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drawings/drawing8.xml" ContentType="application/vnd.openxmlformats-officedocument.drawingml.chartshapes+xml"/>
  <Override PartName="/word/drawings/drawing9.xml" ContentType="application/vnd.openxmlformats-officedocument.drawingml.chartshapes+xml"/>
  <Override PartName="/word/drawings/drawing6.xml" ContentType="application/vnd.openxmlformats-officedocument.drawingml.chartshapes+xml"/>
  <Override PartName="/word/drawings/drawing7.xml" ContentType="application/vnd.openxmlformats-officedocument.drawingml.chartshapes+xml"/>
  <Override PartName="/word/drawings/drawing18.xml" ContentType="application/vnd.openxmlformats-officedocument.drawingml.chartshapes+xml"/>
  <Override PartName="/word/drawings/drawing19.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drawings/drawing16.xml" ContentType="application/vnd.openxmlformats-officedocument.drawingml.chartshapes+xml"/>
  <Override PartName="/word/drawings/drawing17.xml" ContentType="application/vnd.openxmlformats-officedocument.drawingml.chartshapes+xml"/>
  <Override PartName="/word/charts/chart1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drawings/drawing14.xml" ContentType="application/vnd.openxmlformats-officedocument.drawingml.chartshapes+xml"/>
  <Override PartName="/word/drawings/drawing15.xml" ContentType="application/vnd.openxmlformats-officedocument.drawingml.chartshapes+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2.xml" ContentType="application/vnd.openxmlformats-officedocument.drawingml.chartshapes+xml"/>
  <Override PartName="/word/drawings/drawing13.xml" ContentType="application/vnd.openxmlformats-officedocument.drawingml.chartshapes+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drawings/drawing10.xml" ContentType="application/vnd.openxmlformats-officedocument.drawingml.chartshapes+xml"/>
  <Override PartName="/word/drawings/drawing11.xml" ContentType="application/vnd.openxmlformats-officedocument.drawingml.chartshapes+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544" w:rsidRDefault="00491544" w:rsidP="00491544">
      <w:pPr>
        <w:rPr>
          <w:b/>
          <w:sz w:val="44"/>
          <w:szCs w:val="44"/>
          <w:lang w:val="en-US"/>
        </w:rPr>
      </w:pPr>
    </w:p>
    <w:p w:rsidR="007A79BA" w:rsidRDefault="00513C2B" w:rsidP="00491544">
      <w:pPr>
        <w:rPr>
          <w:b/>
          <w:sz w:val="44"/>
          <w:szCs w:val="44"/>
          <w:lang w:val="en-US"/>
        </w:rPr>
      </w:pPr>
      <w:r>
        <w:rPr>
          <w:b/>
          <w:sz w:val="44"/>
          <w:szCs w:val="44"/>
          <w:lang w:val="en-US"/>
        </w:rPr>
        <w:t>Public Debt Accumulation in Spain: the Result of its own Recession, not its C</w:t>
      </w:r>
      <w:r w:rsidR="00491544">
        <w:rPr>
          <w:b/>
          <w:sz w:val="44"/>
          <w:szCs w:val="44"/>
          <w:lang w:val="en-US"/>
        </w:rPr>
        <w:t>ause</w:t>
      </w:r>
    </w:p>
    <w:p w:rsidR="00721208" w:rsidRDefault="00491544" w:rsidP="00491544">
      <w:pPr>
        <w:rPr>
          <w:sz w:val="28"/>
          <w:szCs w:val="28"/>
          <w:lang w:val="en-US"/>
        </w:rPr>
      </w:pPr>
      <w:r>
        <w:rPr>
          <w:sz w:val="32"/>
          <w:szCs w:val="32"/>
          <w:lang w:val="en-US"/>
        </w:rPr>
        <w:br/>
      </w:r>
    </w:p>
    <w:p w:rsidR="00E00537" w:rsidRPr="00721208" w:rsidRDefault="00491544" w:rsidP="00491544">
      <w:pPr>
        <w:rPr>
          <w:sz w:val="28"/>
          <w:szCs w:val="28"/>
          <w:lang w:val="en-US"/>
        </w:rPr>
      </w:pPr>
      <w:r w:rsidRPr="00721208">
        <w:rPr>
          <w:sz w:val="28"/>
          <w:szCs w:val="28"/>
          <w:lang w:val="en-US"/>
        </w:rPr>
        <w:t>Bachelor Thesis</w:t>
      </w:r>
      <w:r w:rsidRPr="00721208">
        <w:rPr>
          <w:sz w:val="28"/>
          <w:szCs w:val="28"/>
          <w:lang w:val="en-US"/>
        </w:rPr>
        <w:br/>
      </w:r>
      <w:r w:rsidRPr="00721208">
        <w:rPr>
          <w:sz w:val="28"/>
          <w:szCs w:val="28"/>
          <w:lang w:val="en-US"/>
        </w:rPr>
        <w:br/>
      </w:r>
      <w:r w:rsidR="00721208">
        <w:rPr>
          <w:sz w:val="28"/>
          <w:szCs w:val="28"/>
          <w:lang w:val="en-US"/>
        </w:rPr>
        <w:t>August</w:t>
      </w:r>
      <w:r w:rsidRPr="00721208">
        <w:rPr>
          <w:sz w:val="28"/>
          <w:szCs w:val="28"/>
          <w:lang w:val="en-US"/>
        </w:rPr>
        <w:t xml:space="preserve"> 2012</w:t>
      </w:r>
      <w:r w:rsidRPr="00721208">
        <w:rPr>
          <w:sz w:val="28"/>
          <w:szCs w:val="28"/>
          <w:lang w:val="en-US"/>
        </w:rPr>
        <w:br/>
      </w:r>
      <w:r w:rsidRPr="00721208">
        <w:rPr>
          <w:sz w:val="28"/>
          <w:szCs w:val="28"/>
          <w:lang w:val="en-US"/>
        </w:rPr>
        <w:br/>
      </w:r>
      <w:r w:rsidR="00513C2B">
        <w:rPr>
          <w:sz w:val="28"/>
          <w:szCs w:val="28"/>
          <w:lang w:val="en-US"/>
        </w:rPr>
        <w:t xml:space="preserve">Sander van </w:t>
      </w:r>
      <w:r w:rsidR="00E00537" w:rsidRPr="00721208">
        <w:rPr>
          <w:sz w:val="28"/>
          <w:szCs w:val="28"/>
          <w:lang w:val="en-US"/>
        </w:rPr>
        <w:t>Heteren (331689)</w:t>
      </w:r>
      <w:r w:rsidRPr="00721208">
        <w:rPr>
          <w:sz w:val="28"/>
          <w:szCs w:val="28"/>
          <w:lang w:val="en-US"/>
        </w:rPr>
        <w:br/>
      </w:r>
      <w:r w:rsidRPr="00721208">
        <w:rPr>
          <w:sz w:val="28"/>
          <w:szCs w:val="28"/>
          <w:lang w:val="en-US"/>
        </w:rPr>
        <w:br/>
      </w:r>
      <w:r w:rsidRPr="00721208">
        <w:rPr>
          <w:sz w:val="28"/>
          <w:szCs w:val="28"/>
          <w:lang w:val="en-US"/>
        </w:rPr>
        <w:br/>
      </w:r>
      <w:r w:rsidRPr="00721208">
        <w:rPr>
          <w:sz w:val="28"/>
          <w:szCs w:val="28"/>
          <w:lang w:val="en-US"/>
        </w:rPr>
        <w:br/>
      </w:r>
      <w:r w:rsidRPr="00721208">
        <w:rPr>
          <w:sz w:val="28"/>
          <w:szCs w:val="28"/>
          <w:lang w:val="en-US"/>
        </w:rPr>
        <w:br/>
      </w:r>
    </w:p>
    <w:p w:rsidR="00E00537" w:rsidRDefault="00E00537" w:rsidP="00491544">
      <w:pPr>
        <w:rPr>
          <w:sz w:val="24"/>
          <w:szCs w:val="24"/>
          <w:lang w:val="en-US"/>
        </w:rPr>
      </w:pPr>
    </w:p>
    <w:p w:rsidR="00E00537" w:rsidRDefault="00E00537" w:rsidP="00491544">
      <w:pPr>
        <w:rPr>
          <w:sz w:val="24"/>
          <w:szCs w:val="24"/>
          <w:lang w:val="en-US"/>
        </w:rPr>
      </w:pPr>
    </w:p>
    <w:p w:rsidR="00491544" w:rsidRPr="00491544" w:rsidRDefault="00491544" w:rsidP="00491544">
      <w:pPr>
        <w:rPr>
          <w:sz w:val="32"/>
          <w:szCs w:val="32"/>
          <w:lang w:val="en-US"/>
        </w:rPr>
      </w:pPr>
      <w:r w:rsidRPr="00721208">
        <w:rPr>
          <w:b/>
          <w:sz w:val="24"/>
          <w:szCs w:val="24"/>
          <w:lang w:val="en-US"/>
        </w:rPr>
        <w:t>Abstract</w:t>
      </w:r>
      <w:r>
        <w:rPr>
          <w:sz w:val="24"/>
          <w:szCs w:val="24"/>
          <w:lang w:val="en-US"/>
        </w:rPr>
        <w:t>: The public debt crisis is a hot debated topic nowadays. Many southern member states accumulated too much public debt and have to pay very high interests on their debt which makes it even more difficult to meet payment obligations. One of those countries that face</w:t>
      </w:r>
      <w:r w:rsidR="003A03AD">
        <w:rPr>
          <w:sz w:val="24"/>
          <w:szCs w:val="24"/>
          <w:lang w:val="en-US"/>
        </w:rPr>
        <w:t>s</w:t>
      </w:r>
      <w:r>
        <w:rPr>
          <w:sz w:val="24"/>
          <w:szCs w:val="24"/>
          <w:lang w:val="en-US"/>
        </w:rPr>
        <w:t xml:space="preserve"> a high interest rate is Spain (6%), but its public debt is lower as a percentage of GDP compared to Germany, while Germany faces the most a</w:t>
      </w:r>
      <w:r w:rsidR="00566826">
        <w:rPr>
          <w:sz w:val="24"/>
          <w:szCs w:val="24"/>
          <w:lang w:val="en-US"/>
        </w:rPr>
        <w:t>ttractive interest rate of the E</w:t>
      </w:r>
      <w:r>
        <w:rPr>
          <w:sz w:val="24"/>
          <w:szCs w:val="24"/>
          <w:lang w:val="en-US"/>
        </w:rPr>
        <w:t>urozone (1%). This paper analyses the underlying vulnerabilities of the Spanish economy, being the real estate sector, the lack of international competitiveness and private debt accumulation by households and corporations. These vulnerabilities triggered a deep recession in 2008 and made public spending inevitable to lessen the recessionary effect</w:t>
      </w:r>
      <w:r w:rsidR="00A572CB">
        <w:rPr>
          <w:sz w:val="24"/>
          <w:szCs w:val="24"/>
          <w:lang w:val="en-US"/>
        </w:rPr>
        <w:t>s</w:t>
      </w:r>
      <w:r>
        <w:rPr>
          <w:sz w:val="24"/>
          <w:szCs w:val="24"/>
          <w:lang w:val="en-US"/>
        </w:rPr>
        <w:t xml:space="preserve"> leadi</w:t>
      </w:r>
      <w:r w:rsidR="00A572CB">
        <w:rPr>
          <w:sz w:val="24"/>
          <w:szCs w:val="24"/>
          <w:lang w:val="en-US"/>
        </w:rPr>
        <w:t>ng to high annual deficits and</w:t>
      </w:r>
      <w:r>
        <w:rPr>
          <w:sz w:val="24"/>
          <w:szCs w:val="24"/>
          <w:lang w:val="en-US"/>
        </w:rPr>
        <w:t xml:space="preserve"> higher interest rates on government securities.</w:t>
      </w:r>
      <w:r>
        <w:rPr>
          <w:sz w:val="32"/>
          <w:szCs w:val="32"/>
          <w:lang w:val="en-US"/>
        </w:rPr>
        <w:br/>
      </w:r>
    </w:p>
    <w:p w:rsidR="00E00537" w:rsidRDefault="00E00537">
      <w:pPr>
        <w:rPr>
          <w:b/>
          <w:sz w:val="44"/>
          <w:szCs w:val="44"/>
          <w:lang w:val="en-US"/>
        </w:rPr>
      </w:pPr>
    </w:p>
    <w:p w:rsidR="00E00537" w:rsidRDefault="00E00537">
      <w:pPr>
        <w:rPr>
          <w:b/>
          <w:sz w:val="44"/>
          <w:szCs w:val="44"/>
          <w:lang w:val="en-US"/>
        </w:rPr>
      </w:pPr>
    </w:p>
    <w:p w:rsidR="007A79BA" w:rsidRPr="00491544" w:rsidRDefault="007A79BA">
      <w:pPr>
        <w:rPr>
          <w:b/>
          <w:sz w:val="24"/>
          <w:szCs w:val="24"/>
          <w:lang w:val="en-US"/>
        </w:rPr>
      </w:pPr>
      <w:r>
        <w:rPr>
          <w:b/>
          <w:sz w:val="44"/>
          <w:szCs w:val="44"/>
          <w:lang w:val="en-US"/>
        </w:rPr>
        <w:br w:type="page"/>
      </w:r>
    </w:p>
    <w:p w:rsidR="0003256E" w:rsidRPr="0003256E" w:rsidRDefault="0003256E" w:rsidP="0003256E">
      <w:pPr>
        <w:jc w:val="center"/>
        <w:rPr>
          <w:b/>
          <w:sz w:val="44"/>
          <w:szCs w:val="44"/>
          <w:lang w:val="en-US"/>
        </w:rPr>
      </w:pPr>
      <w:r w:rsidRPr="0003256E">
        <w:rPr>
          <w:b/>
          <w:sz w:val="44"/>
          <w:szCs w:val="44"/>
          <w:lang w:val="en-US"/>
        </w:rPr>
        <w:lastRenderedPageBreak/>
        <w:t>Table of Contents</w:t>
      </w:r>
    </w:p>
    <w:p w:rsidR="0024695B" w:rsidRDefault="0024695B" w:rsidP="0003256E">
      <w:pPr>
        <w:jc w:val="both"/>
        <w:rPr>
          <w:b/>
          <w:sz w:val="28"/>
          <w:szCs w:val="28"/>
          <w:lang w:val="en-US"/>
        </w:rPr>
      </w:pPr>
    </w:p>
    <w:p w:rsidR="008A6D5F" w:rsidRDefault="0003256E" w:rsidP="0003256E">
      <w:pPr>
        <w:jc w:val="both"/>
        <w:rPr>
          <w:b/>
          <w:sz w:val="28"/>
          <w:szCs w:val="28"/>
          <w:lang w:val="en-US"/>
        </w:rPr>
      </w:pPr>
      <w:r>
        <w:rPr>
          <w:b/>
          <w:sz w:val="28"/>
          <w:szCs w:val="28"/>
          <w:lang w:val="en-US"/>
        </w:rPr>
        <w:tab/>
      </w:r>
    </w:p>
    <w:tbl>
      <w:tblPr>
        <w:tblW w:w="9744" w:type="dxa"/>
        <w:tblInd w:w="70" w:type="dxa"/>
        <w:tblCellMar>
          <w:left w:w="70" w:type="dxa"/>
          <w:right w:w="70" w:type="dxa"/>
        </w:tblCellMar>
        <w:tblLook w:val="04A0"/>
      </w:tblPr>
      <w:tblGrid>
        <w:gridCol w:w="968"/>
        <w:gridCol w:w="968"/>
        <w:gridCol w:w="976"/>
        <w:gridCol w:w="976"/>
        <w:gridCol w:w="976"/>
        <w:gridCol w:w="976"/>
        <w:gridCol w:w="976"/>
        <w:gridCol w:w="976"/>
        <w:gridCol w:w="976"/>
        <w:gridCol w:w="976"/>
      </w:tblGrid>
      <w:tr w:rsidR="008A6D5F" w:rsidRPr="008A6D5F" w:rsidTr="008A6D5F">
        <w:trPr>
          <w:trHeight w:val="375"/>
        </w:trPr>
        <w:tc>
          <w:tcPr>
            <w:tcW w:w="1936" w:type="dxa"/>
            <w:gridSpan w:val="2"/>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eastAsia="Times New Roman"/>
                <w:b/>
                <w:bCs/>
                <w:color w:val="000000"/>
                <w:kern w:val="0"/>
                <w:sz w:val="28"/>
                <w:szCs w:val="28"/>
                <w:lang w:eastAsia="nl-NL"/>
              </w:rPr>
            </w:pPr>
            <w:proofErr w:type="spellStart"/>
            <w:r w:rsidRPr="008A6D5F">
              <w:rPr>
                <w:rFonts w:eastAsia="Times New Roman"/>
                <w:b/>
                <w:bCs/>
                <w:color w:val="000000"/>
                <w:kern w:val="0"/>
                <w:sz w:val="28"/>
                <w:szCs w:val="28"/>
                <w:lang w:eastAsia="nl-NL"/>
              </w:rPr>
              <w:t>Chapter</w:t>
            </w:r>
            <w:proofErr w:type="spellEnd"/>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single" w:sz="4" w:space="0" w:color="auto"/>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eastAsia="Times New Roman"/>
                <w:b/>
                <w:bCs/>
                <w:color w:val="000000"/>
                <w:kern w:val="0"/>
                <w:sz w:val="28"/>
                <w:szCs w:val="28"/>
                <w:lang w:eastAsia="nl-NL"/>
              </w:rPr>
            </w:pPr>
            <w:r w:rsidRPr="008A6D5F">
              <w:rPr>
                <w:rFonts w:eastAsia="Times New Roman"/>
                <w:b/>
                <w:bCs/>
                <w:color w:val="000000"/>
                <w:kern w:val="0"/>
                <w:sz w:val="28"/>
                <w:szCs w:val="28"/>
                <w:lang w:eastAsia="nl-NL"/>
              </w:rPr>
              <w:t>Page nr.</w:t>
            </w: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r>
      <w:tr w:rsidR="008A6D5F" w:rsidRPr="008A6D5F" w:rsidTr="008A6D5F">
        <w:trPr>
          <w:trHeight w:val="300"/>
        </w:trPr>
        <w:tc>
          <w:tcPr>
            <w:tcW w:w="968"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68"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single" w:sz="4" w:space="0" w:color="auto"/>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r>
      <w:tr w:rsidR="008A6D5F" w:rsidRPr="008A6D5F" w:rsidTr="008A6D5F">
        <w:trPr>
          <w:trHeight w:val="300"/>
        </w:trPr>
        <w:tc>
          <w:tcPr>
            <w:tcW w:w="968"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68"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single" w:sz="4" w:space="0" w:color="auto"/>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r>
      <w:tr w:rsidR="008A6D5F" w:rsidRPr="008A6D5F" w:rsidTr="008A6D5F">
        <w:trPr>
          <w:trHeight w:val="375"/>
        </w:trPr>
        <w:tc>
          <w:tcPr>
            <w:tcW w:w="2912" w:type="dxa"/>
            <w:gridSpan w:val="3"/>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eastAsia="Times New Roman"/>
                <w:color w:val="000000"/>
                <w:kern w:val="0"/>
                <w:sz w:val="28"/>
                <w:szCs w:val="28"/>
                <w:lang w:eastAsia="nl-NL"/>
              </w:rPr>
            </w:pPr>
            <w:proofErr w:type="spellStart"/>
            <w:r w:rsidRPr="008A6D5F">
              <w:rPr>
                <w:rFonts w:eastAsia="Times New Roman"/>
                <w:color w:val="000000"/>
                <w:kern w:val="0"/>
                <w:sz w:val="28"/>
                <w:szCs w:val="28"/>
                <w:lang w:eastAsia="nl-NL"/>
              </w:rPr>
              <w:t>Section</w:t>
            </w:r>
            <w:proofErr w:type="spellEnd"/>
            <w:r w:rsidRPr="008A6D5F">
              <w:rPr>
                <w:rFonts w:eastAsia="Times New Roman"/>
                <w:color w:val="000000"/>
                <w:kern w:val="0"/>
                <w:sz w:val="28"/>
                <w:szCs w:val="28"/>
                <w:lang w:eastAsia="nl-NL"/>
              </w:rPr>
              <w:t xml:space="preserve"> I </w:t>
            </w:r>
            <w:proofErr w:type="spellStart"/>
            <w:r w:rsidRPr="008A6D5F">
              <w:rPr>
                <w:rFonts w:eastAsia="Times New Roman"/>
                <w:color w:val="000000"/>
                <w:kern w:val="0"/>
                <w:sz w:val="28"/>
                <w:szCs w:val="28"/>
                <w:lang w:eastAsia="nl-NL"/>
              </w:rPr>
              <w:t>Introduction</w:t>
            </w:r>
            <w:proofErr w:type="spellEnd"/>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single" w:sz="4" w:space="0" w:color="auto"/>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4C52E7" w:rsidP="008A6D5F">
            <w:pPr>
              <w:spacing w:after="0" w:line="240" w:lineRule="auto"/>
              <w:jc w:val="right"/>
              <w:rPr>
                <w:rFonts w:eastAsia="Times New Roman"/>
                <w:color w:val="000000"/>
                <w:kern w:val="0"/>
                <w:sz w:val="28"/>
                <w:szCs w:val="28"/>
                <w:lang w:eastAsia="nl-NL"/>
              </w:rPr>
            </w:pPr>
            <w:r>
              <w:rPr>
                <w:rFonts w:eastAsia="Times New Roman"/>
                <w:color w:val="000000"/>
                <w:kern w:val="0"/>
                <w:sz w:val="28"/>
                <w:szCs w:val="28"/>
                <w:lang w:eastAsia="nl-NL"/>
              </w:rPr>
              <w:t>3</w:t>
            </w: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r>
      <w:tr w:rsidR="008A6D5F" w:rsidRPr="008A6D5F" w:rsidTr="008A6D5F">
        <w:trPr>
          <w:trHeight w:val="375"/>
        </w:trPr>
        <w:tc>
          <w:tcPr>
            <w:tcW w:w="968"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68"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single" w:sz="4" w:space="0" w:color="auto"/>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eastAsia="Times New Roman"/>
                <w:color w:val="000000"/>
                <w:kern w:val="0"/>
                <w:sz w:val="28"/>
                <w:szCs w:val="28"/>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r>
      <w:tr w:rsidR="008A6D5F" w:rsidRPr="008A6D5F" w:rsidTr="008A6D5F">
        <w:trPr>
          <w:trHeight w:val="375"/>
        </w:trPr>
        <w:tc>
          <w:tcPr>
            <w:tcW w:w="3888" w:type="dxa"/>
            <w:gridSpan w:val="4"/>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eastAsia="Times New Roman"/>
                <w:color w:val="000000"/>
                <w:kern w:val="0"/>
                <w:sz w:val="28"/>
                <w:szCs w:val="28"/>
                <w:lang w:eastAsia="nl-NL"/>
              </w:rPr>
            </w:pPr>
            <w:proofErr w:type="spellStart"/>
            <w:r w:rsidRPr="008A6D5F">
              <w:rPr>
                <w:rFonts w:eastAsia="Times New Roman"/>
                <w:color w:val="000000"/>
                <w:kern w:val="0"/>
                <w:sz w:val="28"/>
                <w:szCs w:val="28"/>
                <w:lang w:eastAsia="nl-NL"/>
              </w:rPr>
              <w:t>Section</w:t>
            </w:r>
            <w:proofErr w:type="spellEnd"/>
            <w:r w:rsidRPr="008A6D5F">
              <w:rPr>
                <w:rFonts w:eastAsia="Times New Roman"/>
                <w:color w:val="000000"/>
                <w:kern w:val="0"/>
                <w:sz w:val="28"/>
                <w:szCs w:val="28"/>
                <w:lang w:eastAsia="nl-NL"/>
              </w:rPr>
              <w:t xml:space="preserve"> II The </w:t>
            </w:r>
            <w:proofErr w:type="spellStart"/>
            <w:r w:rsidRPr="008A6D5F">
              <w:rPr>
                <w:rFonts w:eastAsia="Times New Roman"/>
                <w:color w:val="000000"/>
                <w:kern w:val="0"/>
                <w:sz w:val="28"/>
                <w:szCs w:val="28"/>
                <w:lang w:eastAsia="nl-NL"/>
              </w:rPr>
              <w:t>contradiction</w:t>
            </w:r>
            <w:proofErr w:type="spellEnd"/>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single" w:sz="4" w:space="0" w:color="auto"/>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4C52E7" w:rsidP="008A6D5F">
            <w:pPr>
              <w:spacing w:after="0" w:line="240" w:lineRule="auto"/>
              <w:jc w:val="right"/>
              <w:rPr>
                <w:rFonts w:eastAsia="Times New Roman"/>
                <w:color w:val="000000"/>
                <w:kern w:val="0"/>
                <w:sz w:val="28"/>
                <w:szCs w:val="28"/>
                <w:lang w:eastAsia="nl-NL"/>
              </w:rPr>
            </w:pPr>
            <w:r>
              <w:rPr>
                <w:rFonts w:eastAsia="Times New Roman"/>
                <w:color w:val="000000"/>
                <w:kern w:val="0"/>
                <w:sz w:val="28"/>
                <w:szCs w:val="28"/>
                <w:lang w:eastAsia="nl-NL"/>
              </w:rPr>
              <w:t>4</w:t>
            </w: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r>
      <w:tr w:rsidR="008A6D5F" w:rsidRPr="008A6D5F" w:rsidTr="008A6D5F">
        <w:trPr>
          <w:trHeight w:val="375"/>
        </w:trPr>
        <w:tc>
          <w:tcPr>
            <w:tcW w:w="968"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jc w:val="both"/>
              <w:rPr>
                <w:rFonts w:eastAsia="Times New Roman"/>
                <w:color w:val="000000"/>
                <w:kern w:val="0"/>
                <w:sz w:val="28"/>
                <w:szCs w:val="28"/>
                <w:lang w:eastAsia="nl-NL"/>
              </w:rPr>
            </w:pPr>
          </w:p>
        </w:tc>
        <w:tc>
          <w:tcPr>
            <w:tcW w:w="968"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single" w:sz="4" w:space="0" w:color="auto"/>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eastAsia="Times New Roman"/>
                <w:color w:val="000000"/>
                <w:kern w:val="0"/>
                <w:sz w:val="28"/>
                <w:szCs w:val="28"/>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r>
      <w:tr w:rsidR="008A6D5F" w:rsidRPr="008A6D5F" w:rsidTr="008A6D5F">
        <w:trPr>
          <w:trHeight w:val="375"/>
        </w:trPr>
        <w:tc>
          <w:tcPr>
            <w:tcW w:w="6816" w:type="dxa"/>
            <w:gridSpan w:val="7"/>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eastAsia="Times New Roman"/>
                <w:color w:val="000000"/>
                <w:kern w:val="0"/>
                <w:sz w:val="28"/>
                <w:szCs w:val="28"/>
                <w:lang w:val="en-GB" w:eastAsia="nl-NL"/>
              </w:rPr>
            </w:pPr>
            <w:r w:rsidRPr="008A6D5F">
              <w:rPr>
                <w:rFonts w:eastAsia="Times New Roman"/>
                <w:color w:val="000000"/>
                <w:kern w:val="0"/>
                <w:sz w:val="28"/>
                <w:szCs w:val="28"/>
                <w:lang w:val="en-US" w:eastAsia="nl-NL"/>
              </w:rPr>
              <w:t>Section III The real estate bubble and its implications</w:t>
            </w:r>
          </w:p>
        </w:tc>
        <w:tc>
          <w:tcPr>
            <w:tcW w:w="976" w:type="dxa"/>
            <w:tcBorders>
              <w:top w:val="nil"/>
              <w:left w:val="nil"/>
              <w:bottom w:val="single" w:sz="4" w:space="0" w:color="auto"/>
              <w:right w:val="single" w:sz="4" w:space="0" w:color="auto"/>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val="en-GB" w:eastAsia="nl-NL"/>
              </w:rPr>
            </w:pPr>
            <w:r w:rsidRPr="008A6D5F">
              <w:rPr>
                <w:rFonts w:ascii="Calibri" w:eastAsia="Times New Roman" w:hAnsi="Calibri" w:cs="Calibri"/>
                <w:color w:val="000000"/>
                <w:kern w:val="0"/>
                <w:lang w:val="en-GB"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4C52E7" w:rsidP="008A6D5F">
            <w:pPr>
              <w:spacing w:after="0" w:line="240" w:lineRule="auto"/>
              <w:jc w:val="right"/>
              <w:rPr>
                <w:rFonts w:eastAsia="Times New Roman"/>
                <w:color w:val="000000"/>
                <w:kern w:val="0"/>
                <w:sz w:val="28"/>
                <w:szCs w:val="28"/>
                <w:lang w:eastAsia="nl-NL"/>
              </w:rPr>
            </w:pPr>
            <w:r>
              <w:rPr>
                <w:rFonts w:eastAsia="Times New Roman"/>
                <w:color w:val="000000"/>
                <w:kern w:val="0"/>
                <w:sz w:val="28"/>
                <w:szCs w:val="28"/>
                <w:lang w:eastAsia="nl-NL"/>
              </w:rPr>
              <w:t>7</w:t>
            </w: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r>
      <w:tr w:rsidR="008A6D5F" w:rsidRPr="008A6D5F" w:rsidTr="008A6D5F">
        <w:trPr>
          <w:trHeight w:val="375"/>
        </w:trPr>
        <w:tc>
          <w:tcPr>
            <w:tcW w:w="968"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eastAsia="Times New Roman"/>
                <w:color w:val="000000"/>
                <w:kern w:val="0"/>
                <w:sz w:val="28"/>
                <w:szCs w:val="28"/>
                <w:lang w:eastAsia="nl-NL"/>
              </w:rPr>
            </w:pPr>
          </w:p>
        </w:tc>
        <w:tc>
          <w:tcPr>
            <w:tcW w:w="968"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single" w:sz="4" w:space="0" w:color="auto"/>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eastAsia="Times New Roman"/>
                <w:color w:val="000000"/>
                <w:kern w:val="0"/>
                <w:sz w:val="28"/>
                <w:szCs w:val="28"/>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r>
      <w:tr w:rsidR="008A6D5F" w:rsidRPr="008A6D5F" w:rsidTr="008A6D5F">
        <w:trPr>
          <w:trHeight w:val="375"/>
        </w:trPr>
        <w:tc>
          <w:tcPr>
            <w:tcW w:w="6816" w:type="dxa"/>
            <w:gridSpan w:val="7"/>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eastAsia="Times New Roman"/>
                <w:color w:val="000000"/>
                <w:kern w:val="0"/>
                <w:sz w:val="28"/>
                <w:szCs w:val="28"/>
                <w:lang w:val="en-GB" w:eastAsia="nl-NL"/>
              </w:rPr>
            </w:pPr>
            <w:r w:rsidRPr="008A6D5F">
              <w:rPr>
                <w:rFonts w:eastAsia="Times New Roman"/>
                <w:color w:val="000000"/>
                <w:kern w:val="0"/>
                <w:sz w:val="28"/>
                <w:szCs w:val="28"/>
                <w:lang w:val="en-US" w:eastAsia="nl-NL"/>
              </w:rPr>
              <w:t>Section IV The trade-off between private and public debt</w:t>
            </w:r>
          </w:p>
        </w:tc>
        <w:tc>
          <w:tcPr>
            <w:tcW w:w="976" w:type="dxa"/>
            <w:tcBorders>
              <w:top w:val="nil"/>
              <w:left w:val="nil"/>
              <w:bottom w:val="single" w:sz="4" w:space="0" w:color="auto"/>
              <w:right w:val="single" w:sz="4" w:space="0" w:color="auto"/>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val="en-GB" w:eastAsia="nl-NL"/>
              </w:rPr>
            </w:pPr>
            <w:r w:rsidRPr="008A6D5F">
              <w:rPr>
                <w:rFonts w:ascii="Calibri" w:eastAsia="Times New Roman" w:hAnsi="Calibri" w:cs="Calibri"/>
                <w:color w:val="000000"/>
                <w:kern w:val="0"/>
                <w:lang w:val="en-GB"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jc w:val="right"/>
              <w:rPr>
                <w:rFonts w:eastAsia="Times New Roman"/>
                <w:color w:val="000000"/>
                <w:kern w:val="0"/>
                <w:sz w:val="28"/>
                <w:szCs w:val="28"/>
                <w:lang w:eastAsia="nl-NL"/>
              </w:rPr>
            </w:pPr>
            <w:r w:rsidRPr="008A6D5F">
              <w:rPr>
                <w:rFonts w:eastAsia="Times New Roman"/>
                <w:color w:val="000000"/>
                <w:kern w:val="0"/>
                <w:sz w:val="28"/>
                <w:szCs w:val="28"/>
                <w:lang w:eastAsia="nl-NL"/>
              </w:rPr>
              <w:t>1</w:t>
            </w:r>
            <w:r w:rsidR="004C52E7">
              <w:rPr>
                <w:rFonts w:eastAsia="Times New Roman"/>
                <w:color w:val="000000"/>
                <w:kern w:val="0"/>
                <w:sz w:val="28"/>
                <w:szCs w:val="28"/>
                <w:lang w:eastAsia="nl-NL"/>
              </w:rPr>
              <w:t>9</w:t>
            </w: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r>
      <w:tr w:rsidR="008A6D5F" w:rsidRPr="008A6D5F" w:rsidTr="008A6D5F">
        <w:trPr>
          <w:trHeight w:val="375"/>
        </w:trPr>
        <w:tc>
          <w:tcPr>
            <w:tcW w:w="968"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eastAsia="Times New Roman"/>
                <w:color w:val="000000"/>
                <w:kern w:val="0"/>
                <w:sz w:val="28"/>
                <w:szCs w:val="28"/>
                <w:lang w:eastAsia="nl-NL"/>
              </w:rPr>
            </w:pPr>
          </w:p>
        </w:tc>
        <w:tc>
          <w:tcPr>
            <w:tcW w:w="968"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single" w:sz="4" w:space="0" w:color="auto"/>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eastAsia="Times New Roman"/>
                <w:color w:val="000000"/>
                <w:kern w:val="0"/>
                <w:sz w:val="28"/>
                <w:szCs w:val="28"/>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r>
      <w:tr w:rsidR="008A6D5F" w:rsidRPr="008A6D5F" w:rsidTr="008A6D5F">
        <w:trPr>
          <w:trHeight w:val="375"/>
        </w:trPr>
        <w:tc>
          <w:tcPr>
            <w:tcW w:w="4864" w:type="dxa"/>
            <w:gridSpan w:val="5"/>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eastAsia="Times New Roman"/>
                <w:color w:val="000000"/>
                <w:kern w:val="0"/>
                <w:sz w:val="28"/>
                <w:szCs w:val="28"/>
                <w:lang w:eastAsia="nl-NL"/>
              </w:rPr>
            </w:pPr>
            <w:r w:rsidRPr="008A6D5F">
              <w:rPr>
                <w:rFonts w:eastAsia="Times New Roman"/>
                <w:color w:val="000000"/>
                <w:kern w:val="0"/>
                <w:sz w:val="28"/>
                <w:szCs w:val="28"/>
                <w:lang w:val="en-US" w:eastAsia="nl-NL"/>
              </w:rPr>
              <w:t>Section V Policy recommendations</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single" w:sz="4" w:space="0" w:color="auto"/>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jc w:val="right"/>
              <w:rPr>
                <w:rFonts w:eastAsia="Times New Roman"/>
                <w:color w:val="000000"/>
                <w:kern w:val="0"/>
                <w:sz w:val="28"/>
                <w:szCs w:val="28"/>
                <w:lang w:eastAsia="nl-NL"/>
              </w:rPr>
            </w:pPr>
            <w:r w:rsidRPr="008A6D5F">
              <w:rPr>
                <w:rFonts w:eastAsia="Times New Roman"/>
                <w:color w:val="000000"/>
                <w:kern w:val="0"/>
                <w:sz w:val="28"/>
                <w:szCs w:val="28"/>
                <w:lang w:eastAsia="nl-NL"/>
              </w:rPr>
              <w:t>2</w:t>
            </w:r>
            <w:r w:rsidR="004C52E7">
              <w:rPr>
                <w:rFonts w:eastAsia="Times New Roman"/>
                <w:color w:val="000000"/>
                <w:kern w:val="0"/>
                <w:sz w:val="28"/>
                <w:szCs w:val="28"/>
                <w:lang w:eastAsia="nl-NL"/>
              </w:rPr>
              <w:t>4</w:t>
            </w: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r>
      <w:tr w:rsidR="008A6D5F" w:rsidRPr="008A6D5F" w:rsidTr="008A6D5F">
        <w:trPr>
          <w:trHeight w:val="375"/>
        </w:trPr>
        <w:tc>
          <w:tcPr>
            <w:tcW w:w="968"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eastAsia="Times New Roman"/>
                <w:color w:val="000000"/>
                <w:kern w:val="0"/>
                <w:sz w:val="28"/>
                <w:szCs w:val="28"/>
                <w:lang w:eastAsia="nl-NL"/>
              </w:rPr>
            </w:pPr>
          </w:p>
        </w:tc>
        <w:tc>
          <w:tcPr>
            <w:tcW w:w="968"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single" w:sz="4" w:space="0" w:color="auto"/>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eastAsia="Times New Roman"/>
                <w:color w:val="000000"/>
                <w:kern w:val="0"/>
                <w:sz w:val="28"/>
                <w:szCs w:val="28"/>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r>
      <w:tr w:rsidR="008A6D5F" w:rsidRPr="008A6D5F" w:rsidTr="008A6D5F">
        <w:trPr>
          <w:trHeight w:val="375"/>
        </w:trPr>
        <w:tc>
          <w:tcPr>
            <w:tcW w:w="3888" w:type="dxa"/>
            <w:gridSpan w:val="4"/>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eastAsia="Times New Roman"/>
                <w:color w:val="000000"/>
                <w:kern w:val="0"/>
                <w:sz w:val="28"/>
                <w:szCs w:val="28"/>
                <w:lang w:eastAsia="nl-NL"/>
              </w:rPr>
            </w:pPr>
            <w:r w:rsidRPr="008A6D5F">
              <w:rPr>
                <w:rFonts w:eastAsia="Times New Roman"/>
                <w:color w:val="000000"/>
                <w:kern w:val="0"/>
                <w:sz w:val="28"/>
                <w:szCs w:val="28"/>
                <w:lang w:val="en-US" w:eastAsia="nl-NL"/>
              </w:rPr>
              <w:t>Section VI Concluding remarks</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single" w:sz="4" w:space="0" w:color="auto"/>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jc w:val="right"/>
              <w:rPr>
                <w:rFonts w:eastAsia="Times New Roman"/>
                <w:color w:val="000000"/>
                <w:kern w:val="0"/>
                <w:sz w:val="28"/>
                <w:szCs w:val="28"/>
                <w:lang w:eastAsia="nl-NL"/>
              </w:rPr>
            </w:pPr>
            <w:r w:rsidRPr="008A6D5F">
              <w:rPr>
                <w:rFonts w:eastAsia="Times New Roman"/>
                <w:color w:val="000000"/>
                <w:kern w:val="0"/>
                <w:sz w:val="28"/>
                <w:szCs w:val="28"/>
                <w:lang w:eastAsia="nl-NL"/>
              </w:rPr>
              <w:t>2</w:t>
            </w:r>
            <w:r w:rsidR="004C52E7">
              <w:rPr>
                <w:rFonts w:eastAsia="Times New Roman"/>
                <w:color w:val="000000"/>
                <w:kern w:val="0"/>
                <w:sz w:val="28"/>
                <w:szCs w:val="28"/>
                <w:lang w:eastAsia="nl-NL"/>
              </w:rPr>
              <w:t>6</w:t>
            </w: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r>
      <w:tr w:rsidR="008A6D5F" w:rsidRPr="008A6D5F" w:rsidTr="008A6D5F">
        <w:trPr>
          <w:trHeight w:val="300"/>
        </w:trPr>
        <w:tc>
          <w:tcPr>
            <w:tcW w:w="968"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68"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single" w:sz="4" w:space="0" w:color="auto"/>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r>
      <w:tr w:rsidR="008A6D5F" w:rsidRPr="008A6D5F" w:rsidTr="008A6D5F">
        <w:trPr>
          <w:trHeight w:val="375"/>
        </w:trPr>
        <w:tc>
          <w:tcPr>
            <w:tcW w:w="1936" w:type="dxa"/>
            <w:gridSpan w:val="2"/>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eastAsia="Times New Roman"/>
                <w:color w:val="000000"/>
                <w:kern w:val="0"/>
                <w:sz w:val="28"/>
                <w:szCs w:val="28"/>
                <w:lang w:eastAsia="nl-NL"/>
              </w:rPr>
            </w:pPr>
            <w:proofErr w:type="spellStart"/>
            <w:r w:rsidRPr="008A6D5F">
              <w:rPr>
                <w:rFonts w:eastAsia="Times New Roman"/>
                <w:color w:val="000000"/>
                <w:kern w:val="0"/>
                <w:sz w:val="28"/>
                <w:szCs w:val="28"/>
                <w:lang w:eastAsia="nl-NL"/>
              </w:rPr>
              <w:t>References</w:t>
            </w:r>
            <w:proofErr w:type="spellEnd"/>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single" w:sz="4" w:space="0" w:color="auto"/>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r w:rsidRPr="008A6D5F">
              <w:rPr>
                <w:rFonts w:ascii="Calibri" w:eastAsia="Times New Roman" w:hAnsi="Calibri" w:cs="Calibri"/>
                <w:color w:val="000000"/>
                <w:kern w:val="0"/>
                <w:lang w:eastAsia="nl-NL"/>
              </w:rPr>
              <w:t> </w:t>
            </w:r>
          </w:p>
        </w:tc>
        <w:tc>
          <w:tcPr>
            <w:tcW w:w="976" w:type="dxa"/>
            <w:tcBorders>
              <w:top w:val="nil"/>
              <w:left w:val="nil"/>
              <w:bottom w:val="single" w:sz="4" w:space="0" w:color="auto"/>
              <w:right w:val="nil"/>
            </w:tcBorders>
            <w:shd w:val="clear" w:color="auto" w:fill="auto"/>
            <w:noWrap/>
            <w:vAlign w:val="bottom"/>
            <w:hideMark/>
          </w:tcPr>
          <w:p w:rsidR="008A6D5F" w:rsidRPr="008A6D5F" w:rsidRDefault="008A6D5F" w:rsidP="008A6D5F">
            <w:pPr>
              <w:spacing w:after="0" w:line="240" w:lineRule="auto"/>
              <w:jc w:val="right"/>
              <w:rPr>
                <w:rFonts w:eastAsia="Times New Roman"/>
                <w:color w:val="000000"/>
                <w:kern w:val="0"/>
                <w:sz w:val="28"/>
                <w:szCs w:val="28"/>
                <w:lang w:eastAsia="nl-NL"/>
              </w:rPr>
            </w:pPr>
            <w:r w:rsidRPr="008A6D5F">
              <w:rPr>
                <w:rFonts w:eastAsia="Times New Roman"/>
                <w:color w:val="000000"/>
                <w:kern w:val="0"/>
                <w:sz w:val="28"/>
                <w:szCs w:val="28"/>
                <w:lang w:eastAsia="nl-NL"/>
              </w:rPr>
              <w:t>2</w:t>
            </w:r>
            <w:r w:rsidR="004C52E7">
              <w:rPr>
                <w:rFonts w:eastAsia="Times New Roman"/>
                <w:color w:val="000000"/>
                <w:kern w:val="0"/>
                <w:sz w:val="28"/>
                <w:szCs w:val="28"/>
                <w:lang w:eastAsia="nl-NL"/>
              </w:rPr>
              <w:t>7</w:t>
            </w:r>
          </w:p>
        </w:tc>
        <w:tc>
          <w:tcPr>
            <w:tcW w:w="976" w:type="dxa"/>
            <w:tcBorders>
              <w:top w:val="nil"/>
              <w:left w:val="nil"/>
              <w:bottom w:val="nil"/>
              <w:right w:val="nil"/>
            </w:tcBorders>
            <w:shd w:val="clear" w:color="auto" w:fill="auto"/>
            <w:noWrap/>
            <w:vAlign w:val="bottom"/>
            <w:hideMark/>
          </w:tcPr>
          <w:p w:rsidR="008A6D5F" w:rsidRPr="008A6D5F" w:rsidRDefault="008A6D5F" w:rsidP="008A6D5F">
            <w:pPr>
              <w:spacing w:after="0" w:line="240" w:lineRule="auto"/>
              <w:rPr>
                <w:rFonts w:ascii="Calibri" w:eastAsia="Times New Roman" w:hAnsi="Calibri" w:cs="Calibri"/>
                <w:color w:val="000000"/>
                <w:kern w:val="0"/>
                <w:lang w:eastAsia="nl-NL"/>
              </w:rPr>
            </w:pPr>
          </w:p>
        </w:tc>
      </w:tr>
    </w:tbl>
    <w:p w:rsidR="0003256E" w:rsidRDefault="0003256E" w:rsidP="0003256E">
      <w:pPr>
        <w:jc w:val="both"/>
        <w:rPr>
          <w:b/>
          <w:sz w:val="28"/>
          <w:szCs w:val="28"/>
          <w:lang w:val="en-US"/>
        </w:rPr>
      </w:pP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p>
    <w:p w:rsidR="0003256E" w:rsidRDefault="0003256E">
      <w:pPr>
        <w:rPr>
          <w:b/>
          <w:sz w:val="28"/>
          <w:szCs w:val="28"/>
          <w:lang w:val="en-US"/>
        </w:rPr>
      </w:pPr>
      <w:r>
        <w:rPr>
          <w:b/>
          <w:sz w:val="28"/>
          <w:szCs w:val="28"/>
          <w:lang w:val="en-US"/>
        </w:rPr>
        <w:br w:type="page"/>
      </w:r>
    </w:p>
    <w:p w:rsidR="000E1223" w:rsidRDefault="0003256E">
      <w:pPr>
        <w:rPr>
          <w:b/>
          <w:sz w:val="28"/>
          <w:szCs w:val="28"/>
          <w:lang w:val="en-US"/>
        </w:rPr>
      </w:pPr>
      <w:r>
        <w:rPr>
          <w:b/>
          <w:sz w:val="28"/>
          <w:szCs w:val="28"/>
          <w:lang w:val="en-US"/>
        </w:rPr>
        <w:lastRenderedPageBreak/>
        <w:t xml:space="preserve">Section </w:t>
      </w:r>
      <w:r w:rsidR="00BB60F0">
        <w:rPr>
          <w:b/>
          <w:sz w:val="28"/>
          <w:szCs w:val="28"/>
          <w:lang w:val="en-US"/>
        </w:rPr>
        <w:t xml:space="preserve">I </w:t>
      </w:r>
      <w:r w:rsidR="00B872E8">
        <w:rPr>
          <w:b/>
          <w:sz w:val="28"/>
          <w:szCs w:val="28"/>
          <w:lang w:val="en-US"/>
        </w:rPr>
        <w:t>Introduction</w:t>
      </w:r>
    </w:p>
    <w:p w:rsidR="00B872E8" w:rsidRDefault="00B872E8">
      <w:pPr>
        <w:rPr>
          <w:b/>
          <w:sz w:val="28"/>
          <w:szCs w:val="28"/>
          <w:lang w:val="en-US"/>
        </w:rPr>
      </w:pPr>
    </w:p>
    <w:p w:rsidR="00424ED5" w:rsidRDefault="00B872E8">
      <w:pPr>
        <w:rPr>
          <w:sz w:val="24"/>
          <w:szCs w:val="24"/>
          <w:lang w:val="en-US"/>
        </w:rPr>
      </w:pPr>
      <w:r>
        <w:rPr>
          <w:sz w:val="24"/>
          <w:szCs w:val="24"/>
          <w:lang w:val="en-US"/>
        </w:rPr>
        <w:t xml:space="preserve">The Eurozone debt crisis is nowadays a hot debated topic, in which fiscal consolidation is the main subject. </w:t>
      </w:r>
      <w:r w:rsidR="00800FDE">
        <w:rPr>
          <w:sz w:val="24"/>
          <w:szCs w:val="24"/>
          <w:lang w:val="en-US"/>
        </w:rPr>
        <w:t>T</w:t>
      </w:r>
      <w:r>
        <w:rPr>
          <w:sz w:val="24"/>
          <w:szCs w:val="24"/>
          <w:lang w:val="en-US"/>
        </w:rPr>
        <w:t>he southern Eurozone member states (SMS)</w:t>
      </w:r>
      <w:r>
        <w:rPr>
          <w:rStyle w:val="Voetnootmarkering"/>
          <w:sz w:val="24"/>
          <w:szCs w:val="24"/>
          <w:lang w:val="en-US"/>
        </w:rPr>
        <w:footnoteReference w:id="1"/>
      </w:r>
      <w:r>
        <w:rPr>
          <w:sz w:val="24"/>
          <w:szCs w:val="24"/>
          <w:lang w:val="en-US"/>
        </w:rPr>
        <w:t xml:space="preserve"> faced </w:t>
      </w:r>
      <w:r w:rsidR="00800FDE">
        <w:rPr>
          <w:sz w:val="24"/>
          <w:szCs w:val="24"/>
          <w:lang w:val="en-US"/>
        </w:rPr>
        <w:t>severe growing indebt</w:t>
      </w:r>
      <w:r w:rsidR="00477948">
        <w:rPr>
          <w:sz w:val="24"/>
          <w:szCs w:val="24"/>
          <w:lang w:val="en-US"/>
        </w:rPr>
        <w:t>ed</w:t>
      </w:r>
      <w:r w:rsidR="00800FDE">
        <w:rPr>
          <w:sz w:val="24"/>
          <w:szCs w:val="24"/>
          <w:lang w:val="en-US"/>
        </w:rPr>
        <w:t>ness</w:t>
      </w:r>
      <w:r w:rsidR="00D1770E">
        <w:rPr>
          <w:sz w:val="24"/>
          <w:szCs w:val="24"/>
          <w:lang w:val="en-US"/>
        </w:rPr>
        <w:t>,</w:t>
      </w:r>
      <w:r w:rsidR="00800FDE">
        <w:rPr>
          <w:sz w:val="24"/>
          <w:szCs w:val="24"/>
          <w:lang w:val="en-US"/>
        </w:rPr>
        <w:t xml:space="preserve"> </w:t>
      </w:r>
      <w:r w:rsidR="00E13A44">
        <w:rPr>
          <w:sz w:val="24"/>
          <w:szCs w:val="24"/>
          <w:lang w:val="en-US"/>
        </w:rPr>
        <w:t>negative growth rates and skyroc</w:t>
      </w:r>
      <w:r w:rsidR="00A43932">
        <w:rPr>
          <w:sz w:val="24"/>
          <w:szCs w:val="24"/>
          <w:lang w:val="en-US"/>
        </w:rPr>
        <w:t>keting unemployment which hit</w:t>
      </w:r>
      <w:r w:rsidR="00E13A44">
        <w:rPr>
          <w:sz w:val="24"/>
          <w:szCs w:val="24"/>
          <w:lang w:val="en-US"/>
        </w:rPr>
        <w:t xml:space="preserve"> approximately the 25%</w:t>
      </w:r>
      <w:r w:rsidR="00800FDE">
        <w:rPr>
          <w:sz w:val="24"/>
          <w:szCs w:val="24"/>
          <w:lang w:val="en-US"/>
        </w:rPr>
        <w:t xml:space="preserve"> </w:t>
      </w:r>
      <w:r w:rsidR="00E13A44">
        <w:rPr>
          <w:sz w:val="24"/>
          <w:szCs w:val="24"/>
          <w:lang w:val="en-US"/>
        </w:rPr>
        <w:t xml:space="preserve">both in </w:t>
      </w:r>
      <w:r w:rsidR="00DA08BC">
        <w:rPr>
          <w:sz w:val="24"/>
          <w:szCs w:val="24"/>
          <w:lang w:val="en-US"/>
        </w:rPr>
        <w:t xml:space="preserve">Greece and Spain at the end of </w:t>
      </w:r>
      <w:r w:rsidR="00E13A44">
        <w:rPr>
          <w:sz w:val="24"/>
          <w:szCs w:val="24"/>
          <w:lang w:val="en-US"/>
        </w:rPr>
        <w:t>2011.</w:t>
      </w:r>
      <w:r w:rsidR="004D130F">
        <w:rPr>
          <w:sz w:val="24"/>
          <w:szCs w:val="24"/>
          <w:lang w:val="en-US"/>
        </w:rPr>
        <w:t xml:space="preserve"> </w:t>
      </w:r>
      <w:sdt>
        <w:sdtPr>
          <w:rPr>
            <w:sz w:val="24"/>
            <w:szCs w:val="24"/>
            <w:lang w:val="en-US"/>
          </w:rPr>
          <w:id w:val="190529087"/>
          <w:citation/>
        </w:sdtPr>
        <w:sdtContent>
          <w:r w:rsidR="00D35F06">
            <w:rPr>
              <w:sz w:val="24"/>
              <w:szCs w:val="24"/>
              <w:lang w:val="en-US"/>
            </w:rPr>
            <w:fldChar w:fldCharType="begin"/>
          </w:r>
          <w:r w:rsidR="004D130F">
            <w:rPr>
              <w:sz w:val="24"/>
              <w:szCs w:val="24"/>
              <w:lang w:val="en-US"/>
            </w:rPr>
            <w:instrText xml:space="preserve"> CITATION Ind12 \l 1033 </w:instrText>
          </w:r>
          <w:r w:rsidR="00D35F06">
            <w:rPr>
              <w:sz w:val="24"/>
              <w:szCs w:val="24"/>
              <w:lang w:val="en-US"/>
            </w:rPr>
            <w:fldChar w:fldCharType="separate"/>
          </w:r>
          <w:r w:rsidR="004D130F" w:rsidRPr="004D130F">
            <w:rPr>
              <w:noProof/>
              <w:sz w:val="24"/>
              <w:szCs w:val="24"/>
              <w:lang w:val="en-US"/>
            </w:rPr>
            <w:t>(Indexmundi, 2012)</w:t>
          </w:r>
          <w:r w:rsidR="00D35F06">
            <w:rPr>
              <w:sz w:val="24"/>
              <w:szCs w:val="24"/>
              <w:lang w:val="en-US"/>
            </w:rPr>
            <w:fldChar w:fldCharType="end"/>
          </w:r>
        </w:sdtContent>
      </w:sdt>
      <w:r w:rsidR="00E13A44">
        <w:rPr>
          <w:sz w:val="24"/>
          <w:szCs w:val="24"/>
          <w:lang w:val="en-US"/>
        </w:rPr>
        <w:t xml:space="preserve">  The northern member states (NMS) also suffered from the crisis but</w:t>
      </w:r>
      <w:r w:rsidR="00D1770E">
        <w:rPr>
          <w:sz w:val="24"/>
          <w:szCs w:val="24"/>
          <w:lang w:val="en-US"/>
        </w:rPr>
        <w:t xml:space="preserve"> are probably</w:t>
      </w:r>
      <w:r w:rsidR="00E13A44">
        <w:rPr>
          <w:sz w:val="24"/>
          <w:szCs w:val="24"/>
          <w:lang w:val="en-US"/>
        </w:rPr>
        <w:t xml:space="preserve"> within a year back on track.</w:t>
      </w:r>
      <w:r w:rsidR="00E13A44">
        <w:rPr>
          <w:rStyle w:val="Voetnootmarkering"/>
          <w:sz w:val="24"/>
          <w:szCs w:val="24"/>
          <w:lang w:val="en-US"/>
        </w:rPr>
        <w:footnoteReference w:id="2"/>
      </w:r>
      <w:r w:rsidR="00E13A44">
        <w:rPr>
          <w:sz w:val="24"/>
          <w:szCs w:val="24"/>
          <w:lang w:val="en-US"/>
        </w:rPr>
        <w:t xml:space="preserve"> </w:t>
      </w:r>
      <w:r w:rsidR="004D130F">
        <w:rPr>
          <w:sz w:val="24"/>
          <w:szCs w:val="24"/>
          <w:lang w:val="en-US"/>
        </w:rPr>
        <w:t>On the contrary</w:t>
      </w:r>
      <w:r w:rsidR="00550F6D">
        <w:rPr>
          <w:sz w:val="24"/>
          <w:szCs w:val="24"/>
          <w:lang w:val="en-US"/>
        </w:rPr>
        <w:t>,</w:t>
      </w:r>
      <w:r w:rsidR="004D130F">
        <w:rPr>
          <w:sz w:val="24"/>
          <w:szCs w:val="24"/>
          <w:lang w:val="en-US"/>
        </w:rPr>
        <w:t xml:space="preserve"> financial support had to be constructed in the form of </w:t>
      </w:r>
      <w:r w:rsidR="00D1770E">
        <w:rPr>
          <w:sz w:val="24"/>
          <w:szCs w:val="24"/>
          <w:lang w:val="en-US"/>
        </w:rPr>
        <w:t xml:space="preserve">the European Financial Stability Facility (EFSF). This initiative contained 780 billion euro to be used as financial support  </w:t>
      </w:r>
      <w:r w:rsidR="00527616">
        <w:rPr>
          <w:sz w:val="24"/>
          <w:szCs w:val="24"/>
          <w:lang w:val="en-US"/>
        </w:rPr>
        <w:t>for the SMS economies troubling with deleveraging.</w:t>
      </w:r>
      <w:r w:rsidR="009202D6">
        <w:rPr>
          <w:sz w:val="24"/>
          <w:szCs w:val="24"/>
          <w:lang w:val="en-US"/>
        </w:rPr>
        <w:t xml:space="preserve"> </w:t>
      </w:r>
      <w:sdt>
        <w:sdtPr>
          <w:rPr>
            <w:sz w:val="24"/>
            <w:szCs w:val="24"/>
            <w:lang w:val="en-US"/>
          </w:rPr>
          <w:id w:val="190529088"/>
          <w:citation/>
        </w:sdtPr>
        <w:sdtContent>
          <w:r w:rsidR="00D35F06">
            <w:rPr>
              <w:sz w:val="24"/>
              <w:szCs w:val="24"/>
              <w:lang w:val="en-US"/>
            </w:rPr>
            <w:fldChar w:fldCharType="begin"/>
          </w:r>
          <w:r w:rsidR="009202D6">
            <w:rPr>
              <w:sz w:val="24"/>
              <w:szCs w:val="24"/>
              <w:lang w:val="en-US"/>
            </w:rPr>
            <w:instrText xml:space="preserve"> CITATION EFS10 \l 1033 </w:instrText>
          </w:r>
          <w:r w:rsidR="00D35F06">
            <w:rPr>
              <w:sz w:val="24"/>
              <w:szCs w:val="24"/>
              <w:lang w:val="en-US"/>
            </w:rPr>
            <w:fldChar w:fldCharType="separate"/>
          </w:r>
          <w:r w:rsidR="009202D6" w:rsidRPr="009202D6">
            <w:rPr>
              <w:noProof/>
              <w:sz w:val="24"/>
              <w:szCs w:val="24"/>
              <w:lang w:val="en-US"/>
            </w:rPr>
            <w:t>(EFSF, 2010)</w:t>
          </w:r>
          <w:r w:rsidR="00D35F06">
            <w:rPr>
              <w:sz w:val="24"/>
              <w:szCs w:val="24"/>
              <w:lang w:val="en-US"/>
            </w:rPr>
            <w:fldChar w:fldCharType="end"/>
          </w:r>
        </w:sdtContent>
      </w:sdt>
      <w:r w:rsidR="00527616">
        <w:rPr>
          <w:sz w:val="24"/>
          <w:szCs w:val="24"/>
          <w:lang w:val="en-US"/>
        </w:rPr>
        <w:t xml:space="preserve"> </w:t>
      </w:r>
      <w:r w:rsidR="00C830A9">
        <w:rPr>
          <w:sz w:val="24"/>
          <w:szCs w:val="24"/>
          <w:lang w:val="en-US"/>
        </w:rPr>
        <w:t xml:space="preserve">and at the time this paper has been written European leaders </w:t>
      </w:r>
      <w:r w:rsidR="00DB3B2B">
        <w:rPr>
          <w:sz w:val="24"/>
          <w:szCs w:val="24"/>
          <w:lang w:val="en-US"/>
        </w:rPr>
        <w:t>agreed to give financial support of 100 billion euro’s stepwise</w:t>
      </w:r>
      <w:r w:rsidR="00550F6D">
        <w:rPr>
          <w:sz w:val="24"/>
          <w:szCs w:val="24"/>
          <w:lang w:val="en-US"/>
        </w:rPr>
        <w:t xml:space="preserve"> to</w:t>
      </w:r>
      <w:r w:rsidR="00DB3B2B">
        <w:rPr>
          <w:sz w:val="24"/>
          <w:szCs w:val="24"/>
          <w:lang w:val="en-US"/>
        </w:rPr>
        <w:t xml:space="preserve"> help Spanish banks which have to recover their balance sheets.</w:t>
      </w:r>
    </w:p>
    <w:p w:rsidR="00F31A97" w:rsidRDefault="00F31A97">
      <w:pPr>
        <w:rPr>
          <w:sz w:val="24"/>
          <w:szCs w:val="24"/>
          <w:lang w:val="en-US"/>
        </w:rPr>
      </w:pPr>
      <w:r>
        <w:rPr>
          <w:sz w:val="24"/>
          <w:szCs w:val="24"/>
          <w:lang w:val="en-US"/>
        </w:rPr>
        <w:t xml:space="preserve">Greece simply lived above its means, because its real GDP growth in the years after the introduction of the euro is for the lion share financed by </w:t>
      </w:r>
      <w:r w:rsidR="00DB3B2B">
        <w:rPr>
          <w:sz w:val="24"/>
          <w:szCs w:val="24"/>
          <w:lang w:val="en-US"/>
        </w:rPr>
        <w:t>public</w:t>
      </w:r>
      <w:r w:rsidR="00F63345">
        <w:rPr>
          <w:sz w:val="24"/>
          <w:szCs w:val="24"/>
          <w:lang w:val="en-US"/>
        </w:rPr>
        <w:t xml:space="preserve"> debt</w:t>
      </w:r>
      <w:r w:rsidR="004D36A5">
        <w:rPr>
          <w:sz w:val="24"/>
          <w:szCs w:val="24"/>
          <w:lang w:val="en-US"/>
        </w:rPr>
        <w:t>,</w:t>
      </w:r>
      <w:r w:rsidR="00F63345">
        <w:rPr>
          <w:sz w:val="24"/>
          <w:szCs w:val="24"/>
          <w:lang w:val="en-US"/>
        </w:rPr>
        <w:t xml:space="preserve"> ultimately leading to a record high </w:t>
      </w:r>
      <w:r w:rsidR="00DB3B2B">
        <w:rPr>
          <w:sz w:val="24"/>
          <w:szCs w:val="24"/>
          <w:lang w:val="en-US"/>
        </w:rPr>
        <w:t xml:space="preserve">public </w:t>
      </w:r>
      <w:r w:rsidR="00F63345">
        <w:rPr>
          <w:sz w:val="24"/>
          <w:szCs w:val="24"/>
          <w:lang w:val="en-US"/>
        </w:rPr>
        <w:t xml:space="preserve">debt as a percentage of GDP </w:t>
      </w:r>
      <w:r w:rsidR="00E07CBE">
        <w:rPr>
          <w:sz w:val="24"/>
          <w:szCs w:val="24"/>
          <w:lang w:val="en-US"/>
        </w:rPr>
        <w:t>of 165,3% at the end of 2011</w:t>
      </w:r>
      <w:r w:rsidR="007C3344">
        <w:rPr>
          <w:sz w:val="24"/>
          <w:szCs w:val="24"/>
          <w:lang w:val="en-US"/>
        </w:rPr>
        <w:t>. On the other hand Spain shows very different figures with</w:t>
      </w:r>
      <w:r w:rsidR="00DB3B2B">
        <w:rPr>
          <w:sz w:val="24"/>
          <w:szCs w:val="24"/>
          <w:lang w:val="en-US"/>
        </w:rPr>
        <w:t xml:space="preserve"> public</w:t>
      </w:r>
      <w:r w:rsidR="007C3344">
        <w:rPr>
          <w:sz w:val="24"/>
          <w:szCs w:val="24"/>
          <w:lang w:val="en-US"/>
        </w:rPr>
        <w:t xml:space="preserve"> debt as a percentage of GDP of </w:t>
      </w:r>
      <w:r w:rsidR="00E07CBE">
        <w:rPr>
          <w:sz w:val="24"/>
          <w:szCs w:val="24"/>
          <w:lang w:val="en-US"/>
        </w:rPr>
        <w:t>only 68,5% in 2011</w:t>
      </w:r>
      <w:r w:rsidR="00777349">
        <w:rPr>
          <w:sz w:val="24"/>
          <w:szCs w:val="24"/>
          <w:lang w:val="en-US"/>
        </w:rPr>
        <w:t>. In this respect Spain is already near the 60% which the European Commis</w:t>
      </w:r>
      <w:r w:rsidR="00477948">
        <w:rPr>
          <w:sz w:val="24"/>
          <w:szCs w:val="24"/>
          <w:lang w:val="en-US"/>
        </w:rPr>
        <w:t>s</w:t>
      </w:r>
      <w:r w:rsidR="00777349">
        <w:rPr>
          <w:sz w:val="24"/>
          <w:szCs w:val="24"/>
          <w:lang w:val="en-US"/>
        </w:rPr>
        <w:t xml:space="preserve">ion set as a boundary for its 2020 policy making. </w:t>
      </w:r>
      <w:sdt>
        <w:sdtPr>
          <w:rPr>
            <w:sz w:val="24"/>
            <w:szCs w:val="24"/>
            <w:lang w:val="en-US"/>
          </w:rPr>
          <w:id w:val="190529079"/>
          <w:citation/>
        </w:sdtPr>
        <w:sdtContent>
          <w:r w:rsidR="00D35F06">
            <w:rPr>
              <w:sz w:val="24"/>
              <w:szCs w:val="24"/>
              <w:lang w:val="en-US"/>
            </w:rPr>
            <w:fldChar w:fldCharType="begin"/>
          </w:r>
          <w:r w:rsidR="00777349">
            <w:rPr>
              <w:sz w:val="24"/>
              <w:szCs w:val="24"/>
              <w:lang w:val="en-US"/>
            </w:rPr>
            <w:instrText xml:space="preserve"> CITATION Eur11 \l 1033 </w:instrText>
          </w:r>
          <w:r w:rsidR="00D35F06">
            <w:rPr>
              <w:sz w:val="24"/>
              <w:szCs w:val="24"/>
              <w:lang w:val="en-US"/>
            </w:rPr>
            <w:fldChar w:fldCharType="separate"/>
          </w:r>
          <w:r w:rsidR="00777349" w:rsidRPr="00777349">
            <w:rPr>
              <w:noProof/>
              <w:sz w:val="24"/>
              <w:szCs w:val="24"/>
              <w:lang w:val="en-US"/>
            </w:rPr>
            <w:t>(European Commision, 2011)</w:t>
          </w:r>
          <w:r w:rsidR="00D35F06">
            <w:rPr>
              <w:sz w:val="24"/>
              <w:szCs w:val="24"/>
              <w:lang w:val="en-US"/>
            </w:rPr>
            <w:fldChar w:fldCharType="end"/>
          </w:r>
        </w:sdtContent>
      </w:sdt>
      <w:r w:rsidR="00777349">
        <w:rPr>
          <w:sz w:val="24"/>
          <w:szCs w:val="24"/>
          <w:lang w:val="en-US"/>
        </w:rPr>
        <w:t xml:space="preserve"> On the contrary, Germany faces</w:t>
      </w:r>
      <w:r w:rsidR="00E07CBE">
        <w:rPr>
          <w:sz w:val="24"/>
          <w:szCs w:val="24"/>
          <w:lang w:val="en-US"/>
        </w:rPr>
        <w:t xml:space="preserve"> </w:t>
      </w:r>
      <w:r w:rsidR="00DB3B2B">
        <w:rPr>
          <w:sz w:val="24"/>
          <w:szCs w:val="24"/>
          <w:lang w:val="en-US"/>
        </w:rPr>
        <w:t xml:space="preserve">public </w:t>
      </w:r>
      <w:r w:rsidR="00E07CBE">
        <w:rPr>
          <w:sz w:val="24"/>
          <w:szCs w:val="24"/>
          <w:lang w:val="en-US"/>
        </w:rPr>
        <w:t>debt as percentage of GDP of 81,2% which is 12,7</w:t>
      </w:r>
      <w:r w:rsidR="00777349">
        <w:rPr>
          <w:sz w:val="24"/>
          <w:szCs w:val="24"/>
          <w:lang w:val="en-US"/>
        </w:rPr>
        <w:t xml:space="preserve"> percentage points higher than Spain.</w:t>
      </w:r>
      <w:sdt>
        <w:sdtPr>
          <w:rPr>
            <w:sz w:val="24"/>
            <w:szCs w:val="24"/>
            <w:lang w:val="en-US"/>
          </w:rPr>
          <w:id w:val="190529082"/>
          <w:citation/>
        </w:sdtPr>
        <w:sdtContent>
          <w:r w:rsidR="00D35F06">
            <w:rPr>
              <w:sz w:val="24"/>
              <w:szCs w:val="24"/>
              <w:lang w:val="en-US"/>
            </w:rPr>
            <w:fldChar w:fldCharType="begin"/>
          </w:r>
          <w:r w:rsidR="00E07CBE">
            <w:rPr>
              <w:sz w:val="24"/>
              <w:szCs w:val="24"/>
              <w:lang w:val="en-US"/>
            </w:rPr>
            <w:instrText xml:space="preserve"> CITATION Eur111 \l 1033 </w:instrText>
          </w:r>
          <w:r w:rsidR="00D35F06">
            <w:rPr>
              <w:sz w:val="24"/>
              <w:szCs w:val="24"/>
              <w:lang w:val="en-US"/>
            </w:rPr>
            <w:fldChar w:fldCharType="separate"/>
          </w:r>
          <w:r w:rsidR="00E07CBE">
            <w:rPr>
              <w:noProof/>
              <w:sz w:val="24"/>
              <w:szCs w:val="24"/>
              <w:lang w:val="en-US"/>
            </w:rPr>
            <w:t xml:space="preserve"> </w:t>
          </w:r>
          <w:r w:rsidR="00E07CBE" w:rsidRPr="00E07CBE">
            <w:rPr>
              <w:noProof/>
              <w:sz w:val="24"/>
              <w:szCs w:val="24"/>
              <w:lang w:val="en-US"/>
            </w:rPr>
            <w:t>(European Commission, 2011)</w:t>
          </w:r>
          <w:r w:rsidR="00D35F06">
            <w:rPr>
              <w:sz w:val="24"/>
              <w:szCs w:val="24"/>
              <w:lang w:val="en-US"/>
            </w:rPr>
            <w:fldChar w:fldCharType="end"/>
          </w:r>
        </w:sdtContent>
      </w:sdt>
      <w:r w:rsidR="00E07CBE">
        <w:rPr>
          <w:sz w:val="24"/>
          <w:szCs w:val="24"/>
          <w:lang w:val="en-US"/>
        </w:rPr>
        <w:t xml:space="preserve"> From this alone already one can conclude that </w:t>
      </w:r>
      <w:r w:rsidR="00F62763">
        <w:rPr>
          <w:sz w:val="24"/>
          <w:szCs w:val="24"/>
          <w:lang w:val="en-US"/>
        </w:rPr>
        <w:t xml:space="preserve">public </w:t>
      </w:r>
      <w:r w:rsidR="00E07CBE">
        <w:rPr>
          <w:sz w:val="24"/>
          <w:szCs w:val="24"/>
          <w:lang w:val="en-US"/>
        </w:rPr>
        <w:t>indebt</w:t>
      </w:r>
      <w:r w:rsidR="00C000EA">
        <w:rPr>
          <w:sz w:val="24"/>
          <w:szCs w:val="24"/>
          <w:lang w:val="en-US"/>
        </w:rPr>
        <w:t>ed</w:t>
      </w:r>
      <w:r w:rsidR="00E07CBE">
        <w:rPr>
          <w:sz w:val="24"/>
          <w:szCs w:val="24"/>
          <w:lang w:val="en-US"/>
        </w:rPr>
        <w:t>ness itself does not explain why SMS are in need of financial support and that NMS such as Germany are the one’s expected to provide it.</w:t>
      </w:r>
    </w:p>
    <w:p w:rsidR="00DA08BC" w:rsidRDefault="00275AA6">
      <w:pPr>
        <w:rPr>
          <w:sz w:val="24"/>
          <w:szCs w:val="24"/>
          <w:lang w:val="en-US"/>
        </w:rPr>
      </w:pPr>
      <w:r>
        <w:rPr>
          <w:sz w:val="24"/>
          <w:szCs w:val="24"/>
          <w:lang w:val="en-US"/>
        </w:rPr>
        <w:t xml:space="preserve">The aim of this paper </w:t>
      </w:r>
      <w:r w:rsidR="002A0DFA">
        <w:rPr>
          <w:sz w:val="24"/>
          <w:szCs w:val="24"/>
          <w:lang w:val="en-US"/>
        </w:rPr>
        <w:t>is to give more insight in</w:t>
      </w:r>
      <w:r w:rsidR="00DB3B2B">
        <w:rPr>
          <w:sz w:val="24"/>
          <w:szCs w:val="24"/>
          <w:lang w:val="en-US"/>
        </w:rPr>
        <w:t xml:space="preserve"> why</w:t>
      </w:r>
      <w:r w:rsidR="002A0DFA">
        <w:rPr>
          <w:sz w:val="24"/>
          <w:szCs w:val="24"/>
          <w:lang w:val="en-US"/>
        </w:rPr>
        <w:t xml:space="preserve"> </w:t>
      </w:r>
      <w:r w:rsidR="00DB3B2B">
        <w:rPr>
          <w:sz w:val="24"/>
          <w:szCs w:val="24"/>
          <w:lang w:val="en-US"/>
        </w:rPr>
        <w:t>the long term interest rate first started to converge within the EMU and after 2008 started to diverge again</w:t>
      </w:r>
      <w:r w:rsidR="002A0DFA">
        <w:rPr>
          <w:sz w:val="24"/>
          <w:szCs w:val="24"/>
          <w:lang w:val="en-US"/>
        </w:rPr>
        <w:t>. In this paper I use Germany and Spain as the countries o</w:t>
      </w:r>
      <w:r w:rsidR="00DA08BC">
        <w:rPr>
          <w:sz w:val="24"/>
          <w:szCs w:val="24"/>
          <w:lang w:val="en-US"/>
        </w:rPr>
        <w:t>f comparison. Spain is chosen for the simple reason that its recession is not the simple result of overspending in the pre-crisis period like the other SMS. Germany can be seen as the biggest economy of the Eurozone</w:t>
      </w:r>
      <w:r w:rsidR="00BB60F0">
        <w:rPr>
          <w:sz w:val="24"/>
          <w:szCs w:val="24"/>
          <w:lang w:val="en-US"/>
        </w:rPr>
        <w:t xml:space="preserve"> with the lowest yield on its government bonds</w:t>
      </w:r>
      <w:r w:rsidR="00DA08BC">
        <w:rPr>
          <w:sz w:val="24"/>
          <w:szCs w:val="24"/>
          <w:lang w:val="en-US"/>
        </w:rPr>
        <w:t xml:space="preserve">, but nevertheless with </w:t>
      </w:r>
      <w:r w:rsidR="00732AAE">
        <w:rPr>
          <w:sz w:val="24"/>
          <w:szCs w:val="24"/>
          <w:lang w:val="en-US"/>
        </w:rPr>
        <w:t xml:space="preserve">a </w:t>
      </w:r>
      <w:r w:rsidR="00DA08BC">
        <w:rPr>
          <w:sz w:val="24"/>
          <w:szCs w:val="24"/>
          <w:lang w:val="en-US"/>
        </w:rPr>
        <w:t xml:space="preserve">higher </w:t>
      </w:r>
      <w:r w:rsidR="00DB3B2B">
        <w:rPr>
          <w:sz w:val="24"/>
          <w:szCs w:val="24"/>
          <w:lang w:val="en-US"/>
        </w:rPr>
        <w:t xml:space="preserve">public </w:t>
      </w:r>
      <w:r w:rsidR="00DA08BC">
        <w:rPr>
          <w:sz w:val="24"/>
          <w:szCs w:val="24"/>
          <w:lang w:val="en-US"/>
        </w:rPr>
        <w:t>debt than Spain.</w:t>
      </w:r>
    </w:p>
    <w:p w:rsidR="00C830A9" w:rsidRDefault="00732AAE">
      <w:pPr>
        <w:rPr>
          <w:sz w:val="24"/>
          <w:szCs w:val="24"/>
          <w:lang w:val="en-US"/>
        </w:rPr>
      </w:pPr>
      <w:r>
        <w:rPr>
          <w:sz w:val="24"/>
          <w:szCs w:val="24"/>
          <w:lang w:val="en-US"/>
        </w:rPr>
        <w:t>Section</w:t>
      </w:r>
      <w:r w:rsidR="00527616">
        <w:rPr>
          <w:sz w:val="24"/>
          <w:szCs w:val="24"/>
          <w:lang w:val="en-US"/>
        </w:rPr>
        <w:t xml:space="preserve"> II </w:t>
      </w:r>
      <w:r w:rsidR="00B70007">
        <w:rPr>
          <w:sz w:val="24"/>
          <w:szCs w:val="24"/>
          <w:lang w:val="en-US"/>
        </w:rPr>
        <w:t xml:space="preserve">shows the contrast of </w:t>
      </w:r>
      <w:r w:rsidR="00DB3B2B">
        <w:rPr>
          <w:sz w:val="24"/>
          <w:szCs w:val="24"/>
          <w:lang w:val="en-US"/>
        </w:rPr>
        <w:t xml:space="preserve">public </w:t>
      </w:r>
      <w:r w:rsidR="00B70007">
        <w:rPr>
          <w:sz w:val="24"/>
          <w:szCs w:val="24"/>
          <w:lang w:val="en-US"/>
        </w:rPr>
        <w:t>indebtedness between</w:t>
      </w:r>
      <w:r w:rsidR="00527616">
        <w:rPr>
          <w:sz w:val="24"/>
          <w:szCs w:val="24"/>
          <w:lang w:val="en-US"/>
        </w:rPr>
        <w:t xml:space="preserve"> Spain and Ger</w:t>
      </w:r>
      <w:r w:rsidR="00B70007">
        <w:rPr>
          <w:sz w:val="24"/>
          <w:szCs w:val="24"/>
          <w:lang w:val="en-US"/>
        </w:rPr>
        <w:t>many and their respective sovereign default risks.</w:t>
      </w:r>
      <w:r w:rsidR="005E6B05">
        <w:rPr>
          <w:sz w:val="24"/>
          <w:szCs w:val="24"/>
          <w:lang w:val="en-US"/>
        </w:rPr>
        <w:t xml:space="preserve"> This section addresses that public debt an</w:t>
      </w:r>
      <w:r w:rsidR="008D6A90">
        <w:rPr>
          <w:sz w:val="24"/>
          <w:szCs w:val="24"/>
          <w:lang w:val="en-US"/>
        </w:rPr>
        <w:t xml:space="preserve">d the risk of default would not </w:t>
      </w:r>
      <w:r w:rsidR="00B70007">
        <w:rPr>
          <w:sz w:val="24"/>
          <w:szCs w:val="24"/>
          <w:lang w:val="en-US"/>
        </w:rPr>
        <w:t>necessarily go hand in hand</w:t>
      </w:r>
      <w:r>
        <w:rPr>
          <w:sz w:val="24"/>
          <w:szCs w:val="24"/>
          <w:lang w:val="en-US"/>
        </w:rPr>
        <w:t>, but is also the result of the macro-economic stability of a country</w:t>
      </w:r>
      <w:r w:rsidR="005E6B05">
        <w:rPr>
          <w:sz w:val="24"/>
          <w:szCs w:val="24"/>
          <w:lang w:val="en-US"/>
        </w:rPr>
        <w:t>.</w:t>
      </w:r>
      <w:r>
        <w:rPr>
          <w:sz w:val="24"/>
          <w:szCs w:val="24"/>
          <w:lang w:val="en-US"/>
        </w:rPr>
        <w:t xml:space="preserve"> Section III</w:t>
      </w:r>
      <w:r w:rsidR="00390170">
        <w:rPr>
          <w:sz w:val="24"/>
          <w:szCs w:val="24"/>
          <w:lang w:val="en-US"/>
        </w:rPr>
        <w:t xml:space="preserve"> </w:t>
      </w:r>
      <w:r w:rsidR="00B61A5F">
        <w:rPr>
          <w:sz w:val="24"/>
          <w:szCs w:val="24"/>
          <w:lang w:val="en-US"/>
        </w:rPr>
        <w:t xml:space="preserve">gives attention to the main trends before </w:t>
      </w:r>
      <w:r w:rsidR="00DB3B2B">
        <w:rPr>
          <w:sz w:val="24"/>
          <w:szCs w:val="24"/>
          <w:lang w:val="en-US"/>
        </w:rPr>
        <w:t>2008</w:t>
      </w:r>
      <w:r w:rsidR="00B61A5F">
        <w:rPr>
          <w:sz w:val="24"/>
          <w:szCs w:val="24"/>
          <w:lang w:val="en-US"/>
        </w:rPr>
        <w:t xml:space="preserve"> that camouflaged Spain’</w:t>
      </w:r>
      <w:r>
        <w:rPr>
          <w:sz w:val="24"/>
          <w:szCs w:val="24"/>
          <w:lang w:val="en-US"/>
        </w:rPr>
        <w:t xml:space="preserve">s underlying vulnerabilities, addressing the role of the real estate </w:t>
      </w:r>
      <w:r w:rsidR="00BB60F0">
        <w:rPr>
          <w:sz w:val="24"/>
          <w:szCs w:val="24"/>
          <w:lang w:val="en-US"/>
        </w:rPr>
        <w:t>bubble</w:t>
      </w:r>
      <w:r w:rsidR="00276263">
        <w:rPr>
          <w:sz w:val="24"/>
          <w:szCs w:val="24"/>
          <w:lang w:val="en-US"/>
        </w:rPr>
        <w:t xml:space="preserve"> and the lack of competitiveness</w:t>
      </w:r>
      <w:r>
        <w:rPr>
          <w:sz w:val="24"/>
          <w:szCs w:val="24"/>
          <w:lang w:val="en-US"/>
        </w:rPr>
        <w:t xml:space="preserve"> in more detail</w:t>
      </w:r>
      <w:r w:rsidR="000964F2">
        <w:rPr>
          <w:sz w:val="24"/>
          <w:szCs w:val="24"/>
          <w:lang w:val="en-US"/>
        </w:rPr>
        <w:t>.</w:t>
      </w:r>
      <w:r w:rsidR="00B61A5F">
        <w:rPr>
          <w:sz w:val="24"/>
          <w:szCs w:val="24"/>
          <w:lang w:val="en-US"/>
        </w:rPr>
        <w:t xml:space="preserve"> </w:t>
      </w:r>
      <w:r>
        <w:rPr>
          <w:sz w:val="24"/>
          <w:szCs w:val="24"/>
          <w:lang w:val="en-US"/>
        </w:rPr>
        <w:t>Section IV</w:t>
      </w:r>
      <w:r w:rsidR="00DB3B2B">
        <w:rPr>
          <w:sz w:val="24"/>
          <w:szCs w:val="24"/>
          <w:lang w:val="en-US"/>
        </w:rPr>
        <w:t xml:space="preserve"> addresses the role of private and public debt and how there has been a trade-off in the Spanish economy</w:t>
      </w:r>
      <w:r w:rsidR="008D6A90">
        <w:rPr>
          <w:sz w:val="24"/>
          <w:szCs w:val="24"/>
          <w:lang w:val="en-US"/>
        </w:rPr>
        <w:t>.</w:t>
      </w:r>
      <w:r w:rsidR="000964F2">
        <w:rPr>
          <w:sz w:val="24"/>
          <w:szCs w:val="24"/>
          <w:lang w:val="en-US"/>
        </w:rPr>
        <w:t xml:space="preserve"> </w:t>
      </w:r>
      <w:r>
        <w:rPr>
          <w:sz w:val="24"/>
          <w:szCs w:val="24"/>
          <w:lang w:val="en-US"/>
        </w:rPr>
        <w:t xml:space="preserve">Section </w:t>
      </w:r>
      <w:r w:rsidR="00C830A9">
        <w:rPr>
          <w:sz w:val="24"/>
          <w:szCs w:val="24"/>
          <w:lang w:val="en-US"/>
        </w:rPr>
        <w:t>V gives some poli</w:t>
      </w:r>
      <w:r w:rsidR="00276263">
        <w:rPr>
          <w:sz w:val="24"/>
          <w:szCs w:val="24"/>
          <w:lang w:val="en-US"/>
        </w:rPr>
        <w:t>cy recommendations and Section VI</w:t>
      </w:r>
      <w:r w:rsidR="00C830A9">
        <w:rPr>
          <w:sz w:val="24"/>
          <w:szCs w:val="24"/>
          <w:lang w:val="en-US"/>
        </w:rPr>
        <w:t xml:space="preserve"> covers the concluding remarks.</w:t>
      </w:r>
    </w:p>
    <w:p w:rsidR="00DF6E20" w:rsidRPr="006E0D7F" w:rsidRDefault="009202D6">
      <w:pPr>
        <w:rPr>
          <w:sz w:val="24"/>
          <w:szCs w:val="24"/>
          <w:lang w:val="en-US"/>
        </w:rPr>
      </w:pPr>
      <w:r w:rsidRPr="00DF6E20">
        <w:rPr>
          <w:b/>
          <w:sz w:val="28"/>
          <w:szCs w:val="28"/>
          <w:lang w:val="en-US"/>
        </w:rPr>
        <w:lastRenderedPageBreak/>
        <w:t>Section II</w:t>
      </w:r>
      <w:r w:rsidR="008D1399">
        <w:rPr>
          <w:b/>
          <w:sz w:val="28"/>
          <w:szCs w:val="28"/>
          <w:lang w:val="en-US"/>
        </w:rPr>
        <w:t xml:space="preserve"> the contradiction</w:t>
      </w:r>
      <w:r w:rsidR="00286272">
        <w:rPr>
          <w:b/>
          <w:sz w:val="24"/>
          <w:szCs w:val="24"/>
          <w:lang w:val="en-US"/>
        </w:rPr>
        <w:br/>
      </w:r>
    </w:p>
    <w:p w:rsidR="00777349" w:rsidRDefault="00777349">
      <w:pPr>
        <w:rPr>
          <w:sz w:val="24"/>
          <w:szCs w:val="24"/>
          <w:lang w:val="en-US"/>
        </w:rPr>
      </w:pPr>
      <w:r>
        <w:rPr>
          <w:i/>
          <w:sz w:val="24"/>
          <w:szCs w:val="24"/>
          <w:lang w:val="en-US"/>
        </w:rPr>
        <w:t xml:space="preserve">De Grauwe </w:t>
      </w:r>
      <w:r>
        <w:rPr>
          <w:sz w:val="24"/>
          <w:szCs w:val="24"/>
          <w:lang w:val="en-US"/>
        </w:rPr>
        <w:t>already argued that Spain is much more vulnerable to negative external shocks than the UK</w:t>
      </w:r>
      <w:r w:rsidR="00F839F5">
        <w:rPr>
          <w:sz w:val="24"/>
          <w:szCs w:val="24"/>
          <w:lang w:val="en-US"/>
        </w:rPr>
        <w:t>, because it is a member of a monetary union. It does not matter that Spain shows a lower indebt</w:t>
      </w:r>
      <w:r w:rsidR="00BC40B5">
        <w:rPr>
          <w:sz w:val="24"/>
          <w:szCs w:val="24"/>
          <w:lang w:val="en-US"/>
        </w:rPr>
        <w:t>ed</w:t>
      </w:r>
      <w:r w:rsidR="00F839F5">
        <w:rPr>
          <w:sz w:val="24"/>
          <w:szCs w:val="24"/>
          <w:lang w:val="en-US"/>
        </w:rPr>
        <w:t>ness than the UK, because financial markets will never anticipate a</w:t>
      </w:r>
      <w:r w:rsidR="00746D2C">
        <w:rPr>
          <w:sz w:val="24"/>
          <w:szCs w:val="24"/>
          <w:lang w:val="en-US"/>
        </w:rPr>
        <w:t>n</w:t>
      </w:r>
      <w:r w:rsidR="00F839F5">
        <w:rPr>
          <w:sz w:val="24"/>
          <w:szCs w:val="24"/>
          <w:lang w:val="en-US"/>
        </w:rPr>
        <w:t xml:space="preserve"> UK default. On the contrary, Spain can still become victim to a self-fulfilling prophecy within the financial market, because the Spanish Central Bank does not have the necessary monetary policy tool to prevent such speculation from happening.</w:t>
      </w:r>
      <w:r w:rsidR="00BE417C">
        <w:rPr>
          <w:sz w:val="24"/>
          <w:szCs w:val="24"/>
          <w:lang w:val="en-US"/>
        </w:rPr>
        <w:t xml:space="preserve"> This can be seen from the fact that the yield on Spanish bonds increased much more than the yield on UK bonds.</w:t>
      </w:r>
      <w:r w:rsidR="00F839F5">
        <w:rPr>
          <w:sz w:val="24"/>
          <w:szCs w:val="24"/>
          <w:lang w:val="en-US"/>
        </w:rPr>
        <w:t xml:space="preserve"> </w:t>
      </w:r>
      <w:sdt>
        <w:sdtPr>
          <w:rPr>
            <w:sz w:val="24"/>
            <w:szCs w:val="24"/>
            <w:lang w:val="en-US"/>
          </w:rPr>
          <w:id w:val="190529081"/>
          <w:citation/>
        </w:sdtPr>
        <w:sdtContent>
          <w:r w:rsidR="00D35F06">
            <w:rPr>
              <w:sz w:val="24"/>
              <w:szCs w:val="24"/>
              <w:lang w:val="en-US"/>
            </w:rPr>
            <w:fldChar w:fldCharType="begin"/>
          </w:r>
          <w:r w:rsidR="00F839F5">
            <w:rPr>
              <w:sz w:val="24"/>
              <w:szCs w:val="24"/>
              <w:lang w:val="en-US"/>
            </w:rPr>
            <w:instrText xml:space="preserve"> CITATION Gra11 \l 1033 </w:instrText>
          </w:r>
          <w:r w:rsidR="00D35F06">
            <w:rPr>
              <w:sz w:val="24"/>
              <w:szCs w:val="24"/>
              <w:lang w:val="en-US"/>
            </w:rPr>
            <w:fldChar w:fldCharType="separate"/>
          </w:r>
          <w:r w:rsidR="00F839F5" w:rsidRPr="00F839F5">
            <w:rPr>
              <w:noProof/>
              <w:sz w:val="24"/>
              <w:szCs w:val="24"/>
              <w:lang w:val="en-US"/>
            </w:rPr>
            <w:t>(Grauwe, 2011)</w:t>
          </w:r>
          <w:r w:rsidR="00D35F06">
            <w:rPr>
              <w:sz w:val="24"/>
              <w:szCs w:val="24"/>
              <w:lang w:val="en-US"/>
            </w:rPr>
            <w:fldChar w:fldCharType="end"/>
          </w:r>
        </w:sdtContent>
      </w:sdt>
    </w:p>
    <w:p w:rsidR="009202D6" w:rsidRDefault="009202D6">
      <w:pPr>
        <w:rPr>
          <w:sz w:val="24"/>
          <w:szCs w:val="24"/>
          <w:lang w:val="en-US"/>
        </w:rPr>
      </w:pPr>
      <w:r>
        <w:rPr>
          <w:sz w:val="24"/>
          <w:szCs w:val="24"/>
          <w:lang w:val="en-US"/>
        </w:rPr>
        <w:t>In the light of de Grauwe one can also compare German and Spain public debt and its 10-year yield on government bonds (see Figure</w:t>
      </w:r>
      <w:r w:rsidR="00FB7083">
        <w:rPr>
          <w:sz w:val="24"/>
          <w:szCs w:val="24"/>
          <w:lang w:val="en-US"/>
        </w:rPr>
        <w:t>s</w:t>
      </w:r>
      <w:r>
        <w:rPr>
          <w:sz w:val="24"/>
          <w:szCs w:val="24"/>
          <w:lang w:val="en-US"/>
        </w:rPr>
        <w:t xml:space="preserve"> 1 and 2). This comparison shows much similarities with the analysis of de Grauwe when he compared the UK and Spain, but </w:t>
      </w:r>
      <w:r w:rsidR="00390170">
        <w:rPr>
          <w:sz w:val="24"/>
          <w:szCs w:val="24"/>
          <w:lang w:val="en-US"/>
        </w:rPr>
        <w:t>with one fundamental difference:</w:t>
      </w:r>
      <w:r>
        <w:rPr>
          <w:sz w:val="24"/>
          <w:szCs w:val="24"/>
          <w:lang w:val="en-US"/>
        </w:rPr>
        <w:t xml:space="preserve"> Now, both countries are member of a m</w:t>
      </w:r>
      <w:r w:rsidR="00390170">
        <w:rPr>
          <w:sz w:val="24"/>
          <w:szCs w:val="24"/>
          <w:lang w:val="en-US"/>
        </w:rPr>
        <w:t>onetary uni</w:t>
      </w:r>
      <w:r w:rsidR="0027591E">
        <w:rPr>
          <w:sz w:val="24"/>
          <w:szCs w:val="24"/>
          <w:lang w:val="en-US"/>
        </w:rPr>
        <w:t>on.</w:t>
      </w:r>
      <w:r w:rsidR="00390170">
        <w:rPr>
          <w:sz w:val="24"/>
          <w:szCs w:val="24"/>
          <w:lang w:val="en-US"/>
        </w:rPr>
        <w:t xml:space="preserve"> </w:t>
      </w:r>
      <w:r w:rsidR="00100E9B">
        <w:rPr>
          <w:sz w:val="24"/>
          <w:szCs w:val="24"/>
          <w:lang w:val="en-US"/>
        </w:rPr>
        <w:br/>
      </w:r>
      <w:r w:rsidR="007A70F6">
        <w:rPr>
          <w:sz w:val="24"/>
          <w:szCs w:val="24"/>
          <w:lang w:val="en-US"/>
        </w:rPr>
        <w:br/>
      </w:r>
      <w:r w:rsidR="007A70F6">
        <w:rPr>
          <w:sz w:val="24"/>
          <w:szCs w:val="24"/>
          <w:lang w:val="en-US"/>
        </w:rPr>
        <w:br/>
      </w:r>
      <w:r w:rsidR="00100E9B" w:rsidRPr="00100E9B">
        <w:rPr>
          <w:noProof/>
          <w:sz w:val="24"/>
          <w:szCs w:val="24"/>
          <w:lang w:eastAsia="nl-NL"/>
        </w:rPr>
        <w:drawing>
          <wp:inline distT="0" distB="0" distL="0" distR="0">
            <wp:extent cx="6048375" cy="4982210"/>
            <wp:effectExtent l="57150" t="0" r="47625" b="85090"/>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A70F6" w:rsidRDefault="007A70F6">
      <w:pPr>
        <w:rPr>
          <w:sz w:val="24"/>
          <w:szCs w:val="24"/>
          <w:lang w:val="en-US"/>
        </w:rPr>
      </w:pPr>
      <w:r>
        <w:rPr>
          <w:sz w:val="24"/>
          <w:szCs w:val="24"/>
          <w:lang w:val="en-US"/>
        </w:rPr>
        <w:lastRenderedPageBreak/>
        <w:br/>
      </w:r>
    </w:p>
    <w:p w:rsidR="007A70F6" w:rsidRDefault="00100E9B">
      <w:pPr>
        <w:rPr>
          <w:sz w:val="24"/>
          <w:szCs w:val="24"/>
          <w:lang w:val="en-US"/>
        </w:rPr>
      </w:pPr>
      <w:r w:rsidRPr="00100E9B">
        <w:rPr>
          <w:noProof/>
          <w:sz w:val="24"/>
          <w:szCs w:val="24"/>
          <w:lang w:eastAsia="nl-NL"/>
        </w:rPr>
        <w:drawing>
          <wp:inline distT="0" distB="0" distL="0" distR="0">
            <wp:extent cx="5981700" cy="5267325"/>
            <wp:effectExtent l="57150" t="0" r="57150" b="66675"/>
            <wp:docPr id="4"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86272" w:rsidRDefault="007A70F6">
      <w:pPr>
        <w:rPr>
          <w:sz w:val="24"/>
          <w:szCs w:val="24"/>
          <w:lang w:val="en-US"/>
        </w:rPr>
      </w:pPr>
      <w:r>
        <w:rPr>
          <w:sz w:val="24"/>
          <w:szCs w:val="24"/>
          <w:lang w:val="en-US"/>
        </w:rPr>
        <w:br/>
      </w:r>
      <w:r w:rsidR="004D36A5">
        <w:rPr>
          <w:sz w:val="24"/>
          <w:szCs w:val="24"/>
          <w:lang w:val="en-US"/>
        </w:rPr>
        <w:t>Figure 1 shows that public d</w:t>
      </w:r>
      <w:r w:rsidR="00100E9B">
        <w:rPr>
          <w:sz w:val="24"/>
          <w:szCs w:val="24"/>
          <w:lang w:val="en-US"/>
        </w:rPr>
        <w:t xml:space="preserve">ebt increased faster in Germany than in Spain, while Figure 2 shows that over the past year, even when German </w:t>
      </w:r>
      <w:r w:rsidR="004D36A5">
        <w:rPr>
          <w:sz w:val="24"/>
          <w:szCs w:val="24"/>
          <w:lang w:val="en-US"/>
        </w:rPr>
        <w:t xml:space="preserve">public </w:t>
      </w:r>
      <w:r w:rsidR="00100E9B">
        <w:rPr>
          <w:sz w:val="24"/>
          <w:szCs w:val="24"/>
          <w:lang w:val="en-US"/>
        </w:rPr>
        <w:t xml:space="preserve">debt is relatively higher than Spanish </w:t>
      </w:r>
      <w:r w:rsidR="004D36A5">
        <w:rPr>
          <w:sz w:val="24"/>
          <w:szCs w:val="24"/>
          <w:lang w:val="en-US"/>
        </w:rPr>
        <w:t xml:space="preserve">public </w:t>
      </w:r>
      <w:r w:rsidR="00100E9B">
        <w:rPr>
          <w:sz w:val="24"/>
          <w:szCs w:val="24"/>
          <w:lang w:val="en-US"/>
        </w:rPr>
        <w:t>debt, Spanish</w:t>
      </w:r>
      <w:r w:rsidR="00930140">
        <w:rPr>
          <w:sz w:val="24"/>
          <w:szCs w:val="24"/>
          <w:lang w:val="en-US"/>
        </w:rPr>
        <w:t xml:space="preserve"> </w:t>
      </w:r>
      <w:r w:rsidR="00B125A8">
        <w:rPr>
          <w:sz w:val="24"/>
          <w:szCs w:val="24"/>
          <w:lang w:val="en-US"/>
        </w:rPr>
        <w:t>harmonized</w:t>
      </w:r>
      <w:r w:rsidR="00BB60F0">
        <w:rPr>
          <w:sz w:val="24"/>
          <w:szCs w:val="24"/>
          <w:lang w:val="en-US"/>
        </w:rPr>
        <w:t xml:space="preserve"> long term interest rate</w:t>
      </w:r>
      <w:r w:rsidR="00100E9B">
        <w:rPr>
          <w:sz w:val="24"/>
          <w:szCs w:val="24"/>
          <w:lang w:val="en-US"/>
        </w:rPr>
        <w:t xml:space="preserve"> on government </w:t>
      </w:r>
      <w:r w:rsidR="00930140">
        <w:rPr>
          <w:sz w:val="24"/>
          <w:szCs w:val="24"/>
          <w:lang w:val="en-US"/>
        </w:rPr>
        <w:t xml:space="preserve">bonds remained significantly higher from may 2011 until may 2012 and </w:t>
      </w:r>
      <w:r w:rsidR="000823C6">
        <w:rPr>
          <w:sz w:val="24"/>
          <w:szCs w:val="24"/>
          <w:lang w:val="en-US"/>
        </w:rPr>
        <w:t>the rates are further</w:t>
      </w:r>
      <w:r w:rsidR="00930140">
        <w:rPr>
          <w:sz w:val="24"/>
          <w:szCs w:val="24"/>
          <w:lang w:val="en-US"/>
        </w:rPr>
        <w:t xml:space="preserve"> diverging a</w:t>
      </w:r>
      <w:r w:rsidR="00B125A8">
        <w:rPr>
          <w:sz w:val="24"/>
          <w:szCs w:val="24"/>
          <w:lang w:val="en-US"/>
        </w:rPr>
        <w:t>t the end of the period. The long term interest rate can be seen as an indicator on how well financial markets think the respective country is able</w:t>
      </w:r>
      <w:r w:rsidR="004D36A5">
        <w:rPr>
          <w:sz w:val="24"/>
          <w:szCs w:val="24"/>
          <w:lang w:val="en-US"/>
        </w:rPr>
        <w:t xml:space="preserve"> to</w:t>
      </w:r>
      <w:r w:rsidR="00B125A8">
        <w:rPr>
          <w:sz w:val="24"/>
          <w:szCs w:val="24"/>
          <w:lang w:val="en-US"/>
        </w:rPr>
        <w:t xml:space="preserve"> pay back its creditors.</w:t>
      </w:r>
      <w:r w:rsidR="00933455">
        <w:rPr>
          <w:sz w:val="24"/>
          <w:szCs w:val="24"/>
          <w:lang w:val="en-US"/>
        </w:rPr>
        <w:t xml:space="preserve"> Looking at figure 2 one can conclud</w:t>
      </w:r>
      <w:r w:rsidR="002967A8">
        <w:rPr>
          <w:sz w:val="24"/>
          <w:szCs w:val="24"/>
          <w:lang w:val="en-US"/>
        </w:rPr>
        <w:t>e that financial markets think investing in Spain is more risky than in</w:t>
      </w:r>
      <w:r w:rsidR="000823C6">
        <w:rPr>
          <w:sz w:val="24"/>
          <w:szCs w:val="24"/>
          <w:lang w:val="en-US"/>
        </w:rPr>
        <w:t>vesting in</w:t>
      </w:r>
      <w:r w:rsidR="002967A8">
        <w:rPr>
          <w:sz w:val="24"/>
          <w:szCs w:val="24"/>
          <w:lang w:val="en-US"/>
        </w:rPr>
        <w:t xml:space="preserve"> Germany.</w:t>
      </w:r>
      <w:r w:rsidR="002F2D1D">
        <w:rPr>
          <w:sz w:val="24"/>
          <w:szCs w:val="24"/>
          <w:lang w:val="en-US"/>
        </w:rPr>
        <w:t xml:space="preserve"> </w:t>
      </w:r>
    </w:p>
    <w:p w:rsidR="006E0D7F" w:rsidRDefault="000571A0">
      <w:pPr>
        <w:rPr>
          <w:sz w:val="24"/>
          <w:szCs w:val="24"/>
          <w:lang w:val="en-US"/>
        </w:rPr>
      </w:pPr>
      <w:r>
        <w:rPr>
          <w:sz w:val="24"/>
          <w:szCs w:val="24"/>
          <w:lang w:val="en-US"/>
        </w:rPr>
        <w:t xml:space="preserve">As Paul Krugman already denoted </w:t>
      </w:r>
      <w:sdt>
        <w:sdtPr>
          <w:rPr>
            <w:sz w:val="24"/>
            <w:szCs w:val="24"/>
            <w:lang w:val="en-US"/>
          </w:rPr>
          <w:id w:val="1063457695"/>
          <w:citation/>
        </w:sdtPr>
        <w:sdtContent>
          <w:r w:rsidR="00D35F06">
            <w:rPr>
              <w:sz w:val="24"/>
              <w:szCs w:val="24"/>
              <w:lang w:val="en-US"/>
            </w:rPr>
            <w:fldChar w:fldCharType="begin"/>
          </w:r>
          <w:r w:rsidRPr="000571A0">
            <w:rPr>
              <w:sz w:val="24"/>
              <w:szCs w:val="24"/>
              <w:lang w:val="en-US"/>
            </w:rPr>
            <w:instrText xml:space="preserve"> CITATION Pau12 \l 1043 </w:instrText>
          </w:r>
          <w:r w:rsidR="00D35F06">
            <w:rPr>
              <w:sz w:val="24"/>
              <w:szCs w:val="24"/>
              <w:lang w:val="en-US"/>
            </w:rPr>
            <w:fldChar w:fldCharType="separate"/>
          </w:r>
          <w:r w:rsidRPr="000571A0">
            <w:rPr>
              <w:noProof/>
              <w:sz w:val="24"/>
              <w:szCs w:val="24"/>
              <w:lang w:val="en-US"/>
            </w:rPr>
            <w:t>(Krugman, Europe's Economic Suicide, 2012)</w:t>
          </w:r>
          <w:r w:rsidR="00D35F06">
            <w:rPr>
              <w:sz w:val="24"/>
              <w:szCs w:val="24"/>
              <w:lang w:val="en-US"/>
            </w:rPr>
            <w:fldChar w:fldCharType="end"/>
          </w:r>
        </w:sdtContent>
      </w:sdt>
      <w:r>
        <w:rPr>
          <w:sz w:val="24"/>
          <w:szCs w:val="24"/>
          <w:lang w:val="en-US"/>
        </w:rPr>
        <w:t xml:space="preserve">: </w:t>
      </w:r>
      <w:r w:rsidRPr="000571A0">
        <w:rPr>
          <w:i/>
          <w:sz w:val="24"/>
          <w:szCs w:val="24"/>
          <w:lang w:val="en-US"/>
        </w:rPr>
        <w:t xml:space="preserve">“When the bubble burst the Spanish economy was left high and dry; Spain’s fiscal problems are a consequence of its recession, not its cause.’’ </w:t>
      </w:r>
      <w:r>
        <w:rPr>
          <w:sz w:val="24"/>
          <w:szCs w:val="24"/>
          <w:lang w:val="en-US"/>
        </w:rPr>
        <w:t xml:space="preserve">What he means is that Spain had a very low indebtedness until 2008 and even budget surpluses, but when the housing bubble burst </w:t>
      </w:r>
      <w:proofErr w:type="spellStart"/>
      <w:r>
        <w:rPr>
          <w:sz w:val="24"/>
          <w:szCs w:val="24"/>
          <w:lang w:val="en-US"/>
        </w:rPr>
        <w:t xml:space="preserve">world </w:t>
      </w:r>
      <w:r>
        <w:rPr>
          <w:sz w:val="24"/>
          <w:szCs w:val="24"/>
          <w:lang w:val="en-US"/>
        </w:rPr>
        <w:lastRenderedPageBreak/>
        <w:t>wide</w:t>
      </w:r>
      <w:proofErr w:type="spellEnd"/>
      <w:r>
        <w:rPr>
          <w:sz w:val="24"/>
          <w:szCs w:val="24"/>
          <w:lang w:val="en-US"/>
        </w:rPr>
        <w:t xml:space="preserve"> Spain has been piling up deficit after defici</w:t>
      </w:r>
      <w:r w:rsidR="0066731E">
        <w:rPr>
          <w:sz w:val="24"/>
          <w:szCs w:val="24"/>
          <w:lang w:val="en-US"/>
        </w:rPr>
        <w:t>t to simulate its real economy and thereby increasing its debt from approximately 40% in 2007 to approximately 70% in 2011.</w:t>
      </w:r>
      <w:r w:rsidR="0094438C">
        <w:rPr>
          <w:sz w:val="24"/>
          <w:szCs w:val="24"/>
          <w:lang w:val="en-US"/>
        </w:rPr>
        <w:t xml:space="preserve"> In addition t</w:t>
      </w:r>
      <w:r w:rsidR="0005781B">
        <w:rPr>
          <w:sz w:val="24"/>
          <w:szCs w:val="24"/>
          <w:lang w:val="en-US"/>
        </w:rPr>
        <w:t>he Spanish unemployment rate reached the 24,44% and GDP growth was -0,3% both in the first and second quarter of 2012. In contrast, the German unemployment rate is only 7,4% and GDP growth diminished somewhat with respect to 2011, but was still 1,5% in the first quarter and 1,7% in the second quarter of 2012.</w:t>
      </w:r>
    </w:p>
    <w:p w:rsidR="00BC2B5B" w:rsidRDefault="0066731E">
      <w:pPr>
        <w:rPr>
          <w:sz w:val="24"/>
          <w:szCs w:val="24"/>
          <w:lang w:val="en-US"/>
        </w:rPr>
      </w:pPr>
      <w:r>
        <w:rPr>
          <w:sz w:val="24"/>
          <w:szCs w:val="24"/>
          <w:lang w:val="en-US"/>
        </w:rPr>
        <w:t>When a country formerly seen as the best student in class regarding its fiscal policy is piling up deficits</w:t>
      </w:r>
      <w:r w:rsidR="0005781B">
        <w:rPr>
          <w:sz w:val="24"/>
          <w:szCs w:val="24"/>
          <w:lang w:val="en-US"/>
        </w:rPr>
        <w:t xml:space="preserve"> and macro-economic balances deteriorate</w:t>
      </w:r>
      <w:r>
        <w:rPr>
          <w:sz w:val="24"/>
          <w:szCs w:val="24"/>
          <w:lang w:val="en-US"/>
        </w:rPr>
        <w:t xml:space="preserve">, investors in sovereign Spanish bonds become worried about the profitability of such investments when the probability increases that Spain cannot pay back its creditors. </w:t>
      </w:r>
      <w:sdt>
        <w:sdtPr>
          <w:rPr>
            <w:sz w:val="24"/>
            <w:szCs w:val="24"/>
            <w:lang w:val="en-US"/>
          </w:rPr>
          <w:id w:val="866252814"/>
          <w:citation/>
        </w:sdtPr>
        <w:sdtContent>
          <w:r w:rsidR="00D35F06">
            <w:rPr>
              <w:sz w:val="24"/>
              <w:szCs w:val="24"/>
              <w:lang w:val="en-US"/>
            </w:rPr>
            <w:fldChar w:fldCharType="begin"/>
          </w:r>
          <w:r w:rsidR="00BC2B5B" w:rsidRPr="002A0DFA">
            <w:rPr>
              <w:sz w:val="24"/>
              <w:szCs w:val="24"/>
              <w:lang w:val="en-US"/>
            </w:rPr>
            <w:instrText xml:space="preserve">CITATION Bal \l 1043 </w:instrText>
          </w:r>
          <w:r w:rsidR="00D35F06">
            <w:rPr>
              <w:sz w:val="24"/>
              <w:szCs w:val="24"/>
              <w:lang w:val="en-US"/>
            </w:rPr>
            <w:fldChar w:fldCharType="separate"/>
          </w:r>
          <w:r w:rsidR="00BC2B5B" w:rsidRPr="00BC2B5B">
            <w:rPr>
              <w:noProof/>
              <w:sz w:val="24"/>
              <w:szCs w:val="24"/>
              <w:lang w:val="en-US"/>
            </w:rPr>
            <w:t>(Baldacci &amp; Kumar, 2010)</w:t>
          </w:r>
          <w:r w:rsidR="00D35F06">
            <w:rPr>
              <w:sz w:val="24"/>
              <w:szCs w:val="24"/>
              <w:lang w:val="en-US"/>
            </w:rPr>
            <w:fldChar w:fldCharType="end"/>
          </w:r>
        </w:sdtContent>
      </w:sdt>
      <w:r w:rsidR="00BC2B5B">
        <w:rPr>
          <w:sz w:val="24"/>
          <w:szCs w:val="24"/>
          <w:lang w:val="en-US"/>
        </w:rPr>
        <w:t xml:space="preserve"> The consequence of uncertainty by investors reflects itself in the long term interest rate of sovereign bonds. Anyone who believes that holding Spanish bonds any longer is too risky sells its bonds in exchange for euro</w:t>
      </w:r>
      <w:r w:rsidR="004D36A5">
        <w:rPr>
          <w:sz w:val="24"/>
          <w:szCs w:val="24"/>
          <w:lang w:val="en-US"/>
        </w:rPr>
        <w:t>’</w:t>
      </w:r>
      <w:r w:rsidR="00BC2B5B">
        <w:rPr>
          <w:sz w:val="24"/>
          <w:szCs w:val="24"/>
          <w:lang w:val="en-US"/>
        </w:rPr>
        <w:t xml:space="preserve">s which they easily can invest in other euro bonds such as German ones which they believe are less risky. </w:t>
      </w:r>
      <w:r w:rsidR="00363DA7">
        <w:rPr>
          <w:sz w:val="24"/>
          <w:szCs w:val="24"/>
          <w:lang w:val="en-US"/>
        </w:rPr>
        <w:t>In other words: demand for Spanish bonds decreases relative to the supply and for German bonds this works the other way around. The trade-off between demand and supply for sovereign bonds reflects itself in the interest rate, from which the Spanish rate increases and the German rate decreases. (Figure 2)</w:t>
      </w:r>
    </w:p>
    <w:p w:rsidR="00EE4361" w:rsidRDefault="00363DA7" w:rsidP="00EE4361">
      <w:pPr>
        <w:rPr>
          <w:sz w:val="24"/>
          <w:szCs w:val="24"/>
          <w:lang w:val="en-US"/>
        </w:rPr>
      </w:pPr>
      <w:r>
        <w:rPr>
          <w:sz w:val="24"/>
          <w:szCs w:val="24"/>
          <w:lang w:val="en-US"/>
        </w:rPr>
        <w:t xml:space="preserve">De Grauwe </w:t>
      </w:r>
      <w:sdt>
        <w:sdtPr>
          <w:rPr>
            <w:sz w:val="24"/>
            <w:szCs w:val="24"/>
            <w:lang w:val="en-US"/>
          </w:rPr>
          <w:id w:val="-917090596"/>
          <w:citation/>
        </w:sdtPr>
        <w:sdtContent>
          <w:r w:rsidR="00D35F06">
            <w:rPr>
              <w:sz w:val="24"/>
              <w:szCs w:val="24"/>
              <w:lang w:val="en-US"/>
            </w:rPr>
            <w:fldChar w:fldCharType="begin"/>
          </w:r>
          <w:r w:rsidR="0021401D" w:rsidRPr="0021401D">
            <w:rPr>
              <w:sz w:val="24"/>
              <w:szCs w:val="24"/>
              <w:lang w:val="en-US"/>
            </w:rPr>
            <w:instrText xml:space="preserve"> CITATION Gra11 \l 1043 </w:instrText>
          </w:r>
          <w:r w:rsidR="00D35F06">
            <w:rPr>
              <w:sz w:val="24"/>
              <w:szCs w:val="24"/>
              <w:lang w:val="en-US"/>
            </w:rPr>
            <w:fldChar w:fldCharType="separate"/>
          </w:r>
          <w:r w:rsidR="0021401D" w:rsidRPr="0021401D">
            <w:rPr>
              <w:noProof/>
              <w:sz w:val="24"/>
              <w:szCs w:val="24"/>
              <w:lang w:val="en-US"/>
            </w:rPr>
            <w:t>(Grauwe, 2011)</w:t>
          </w:r>
          <w:r w:rsidR="00D35F06">
            <w:rPr>
              <w:sz w:val="24"/>
              <w:szCs w:val="24"/>
              <w:lang w:val="en-US"/>
            </w:rPr>
            <w:fldChar w:fldCharType="end"/>
          </w:r>
        </w:sdtContent>
      </w:sdt>
      <w:r w:rsidR="0021401D">
        <w:rPr>
          <w:sz w:val="24"/>
          <w:szCs w:val="24"/>
          <w:lang w:val="en-US"/>
        </w:rPr>
        <w:t xml:space="preserve"> </w:t>
      </w:r>
      <w:r>
        <w:rPr>
          <w:sz w:val="24"/>
          <w:szCs w:val="24"/>
          <w:lang w:val="en-US"/>
        </w:rPr>
        <w:t>argues that such a trade-off between yields is especially true for countries within a mon</w:t>
      </w:r>
      <w:r w:rsidR="00BB60F0">
        <w:rPr>
          <w:sz w:val="24"/>
          <w:szCs w:val="24"/>
          <w:lang w:val="en-US"/>
        </w:rPr>
        <w:t>etary union. I</w:t>
      </w:r>
      <w:r w:rsidR="00EE4361">
        <w:rPr>
          <w:sz w:val="24"/>
          <w:szCs w:val="24"/>
          <w:lang w:val="en-US"/>
        </w:rPr>
        <w:t>nvestors sell for example the UK bonds in exchange of pounds. Assuming that these investors want to get rid of their pounds by selling them in the foreign exchange market</w:t>
      </w:r>
      <w:r w:rsidR="00A0584C">
        <w:rPr>
          <w:sz w:val="24"/>
          <w:szCs w:val="24"/>
          <w:lang w:val="en-US"/>
        </w:rPr>
        <w:t>, the price of the pound drops and the interest rate increases until there are investors to buy pounds and invest these in government securities again.</w:t>
      </w:r>
      <w:r w:rsidR="004D36A5">
        <w:rPr>
          <w:sz w:val="24"/>
          <w:szCs w:val="24"/>
          <w:lang w:val="en-US"/>
        </w:rPr>
        <w:t xml:space="preserve"> T</w:t>
      </w:r>
      <w:r w:rsidR="00EE4361">
        <w:rPr>
          <w:sz w:val="24"/>
          <w:szCs w:val="24"/>
          <w:lang w:val="en-US"/>
        </w:rPr>
        <w:t>he pounds remain within the UK money market waiting to be used to invest in UK securities. Even when there are no buyers,</w:t>
      </w:r>
      <w:r w:rsidR="00BB60F0">
        <w:rPr>
          <w:sz w:val="24"/>
          <w:szCs w:val="24"/>
          <w:lang w:val="en-US"/>
        </w:rPr>
        <w:t xml:space="preserve"> the UK authorities can use the lender of last resort role of the central bank to buy up UK bonds</w:t>
      </w:r>
      <w:r w:rsidR="004B1D6A">
        <w:rPr>
          <w:sz w:val="24"/>
          <w:szCs w:val="24"/>
          <w:lang w:val="en-US"/>
        </w:rPr>
        <w:t xml:space="preserve"> to </w:t>
      </w:r>
      <w:r w:rsidR="00870996">
        <w:rPr>
          <w:sz w:val="24"/>
          <w:szCs w:val="24"/>
          <w:lang w:val="en-US"/>
        </w:rPr>
        <w:t xml:space="preserve">roll over its debt. This works as follows: when the government is in need of more liquidity, because it needs </w:t>
      </w:r>
      <w:r w:rsidR="00E22D8A">
        <w:rPr>
          <w:sz w:val="24"/>
          <w:szCs w:val="24"/>
          <w:lang w:val="en-US"/>
        </w:rPr>
        <w:t>to pay</w:t>
      </w:r>
      <w:r w:rsidR="004D36A5">
        <w:rPr>
          <w:sz w:val="24"/>
          <w:szCs w:val="24"/>
          <w:lang w:val="en-US"/>
        </w:rPr>
        <w:t xml:space="preserve"> </w:t>
      </w:r>
      <w:r w:rsidR="00E22D8A">
        <w:rPr>
          <w:sz w:val="24"/>
          <w:szCs w:val="24"/>
          <w:lang w:val="en-US"/>
        </w:rPr>
        <w:t xml:space="preserve">back those who own securities that mature, it can finance these securities by creating more securities. Even when these securities can’t be sold on the international market for whatever reason, the central bank intervenes and buys the securities. As a consequence the government can finance its expenditures this way indefinitely. </w:t>
      </w:r>
    </w:p>
    <w:p w:rsidR="00A0584C" w:rsidRDefault="00EE4361" w:rsidP="00EE4361">
      <w:pPr>
        <w:rPr>
          <w:sz w:val="24"/>
          <w:szCs w:val="24"/>
          <w:lang w:val="en-US"/>
        </w:rPr>
      </w:pPr>
      <w:r>
        <w:rPr>
          <w:sz w:val="24"/>
          <w:szCs w:val="24"/>
          <w:lang w:val="en-US"/>
        </w:rPr>
        <w:t xml:space="preserve">In contrast, when Spanish bonds are sold in exchange </w:t>
      </w:r>
      <w:r w:rsidR="0094438C">
        <w:rPr>
          <w:sz w:val="24"/>
          <w:szCs w:val="24"/>
          <w:lang w:val="en-US"/>
        </w:rPr>
        <w:t>for</w:t>
      </w:r>
      <w:r>
        <w:rPr>
          <w:sz w:val="24"/>
          <w:szCs w:val="24"/>
          <w:lang w:val="en-US"/>
        </w:rPr>
        <w:t xml:space="preserve"> euro</w:t>
      </w:r>
      <w:r w:rsidR="00A572CB">
        <w:rPr>
          <w:sz w:val="24"/>
          <w:szCs w:val="24"/>
          <w:lang w:val="en-US"/>
        </w:rPr>
        <w:t>’</w:t>
      </w:r>
      <w:r>
        <w:rPr>
          <w:sz w:val="24"/>
          <w:szCs w:val="24"/>
          <w:lang w:val="en-US"/>
        </w:rPr>
        <w:t xml:space="preserve">s, this </w:t>
      </w:r>
      <w:r w:rsidR="00A0584C">
        <w:rPr>
          <w:sz w:val="24"/>
          <w:szCs w:val="24"/>
          <w:lang w:val="en-US"/>
        </w:rPr>
        <w:t>will raise the interest rate, but certainly not decrease the price of the euro. If these investors use the euro</w:t>
      </w:r>
      <w:r w:rsidR="00A572CB">
        <w:rPr>
          <w:sz w:val="24"/>
          <w:szCs w:val="24"/>
          <w:lang w:val="en-US"/>
        </w:rPr>
        <w:t>’</w:t>
      </w:r>
      <w:r w:rsidR="00A0584C">
        <w:rPr>
          <w:sz w:val="24"/>
          <w:szCs w:val="24"/>
          <w:lang w:val="en-US"/>
        </w:rPr>
        <w:t xml:space="preserve">s they have to invest in what they regard as </w:t>
      </w:r>
      <w:r w:rsidR="0023457D">
        <w:rPr>
          <w:sz w:val="24"/>
          <w:szCs w:val="24"/>
          <w:lang w:val="en-US"/>
        </w:rPr>
        <w:t>a save heaven</w:t>
      </w:r>
      <w:r w:rsidR="00A0584C">
        <w:rPr>
          <w:sz w:val="24"/>
          <w:szCs w:val="24"/>
          <w:lang w:val="en-US"/>
        </w:rPr>
        <w:t xml:space="preserve"> </w:t>
      </w:r>
      <w:r w:rsidR="00E22D8A">
        <w:rPr>
          <w:sz w:val="24"/>
          <w:szCs w:val="24"/>
          <w:lang w:val="en-US"/>
        </w:rPr>
        <w:t>like German bonds,</w:t>
      </w:r>
      <w:r w:rsidR="00A0584C">
        <w:rPr>
          <w:sz w:val="24"/>
          <w:szCs w:val="24"/>
          <w:lang w:val="en-US"/>
        </w:rPr>
        <w:t xml:space="preserve"> the euro</w:t>
      </w:r>
      <w:r w:rsidR="00A572CB">
        <w:rPr>
          <w:sz w:val="24"/>
          <w:szCs w:val="24"/>
          <w:lang w:val="en-US"/>
        </w:rPr>
        <w:t>’</w:t>
      </w:r>
      <w:r w:rsidR="00A0584C">
        <w:rPr>
          <w:sz w:val="24"/>
          <w:szCs w:val="24"/>
          <w:lang w:val="en-US"/>
        </w:rPr>
        <w:t xml:space="preserve">s leave the Spanish banking system. This results in a liquidity crisis since there is no </w:t>
      </w:r>
      <w:r w:rsidR="004D36A5">
        <w:rPr>
          <w:sz w:val="24"/>
          <w:szCs w:val="24"/>
          <w:lang w:val="en-US"/>
        </w:rPr>
        <w:t>Spanish central b</w:t>
      </w:r>
      <w:r w:rsidR="0021401D">
        <w:rPr>
          <w:sz w:val="24"/>
          <w:szCs w:val="24"/>
          <w:lang w:val="en-US"/>
        </w:rPr>
        <w:t>ank that can buy</w:t>
      </w:r>
      <w:r w:rsidR="00A0584C">
        <w:rPr>
          <w:sz w:val="24"/>
          <w:szCs w:val="24"/>
          <w:lang w:val="en-US"/>
        </w:rPr>
        <w:t xml:space="preserve"> up the government securities as a last resort. In place, the ECB could finance the liquidity needed, but Spain does not control this institution.</w:t>
      </w:r>
      <w:r w:rsidR="004B1D6A">
        <w:rPr>
          <w:sz w:val="24"/>
          <w:szCs w:val="24"/>
          <w:lang w:val="en-US"/>
        </w:rPr>
        <w:t xml:space="preserve"> Being that the euro can’t depreciate by this mechanism it has another negative side effect that Spain cannot use the exchange rate to become more competitive.</w:t>
      </w:r>
    </w:p>
    <w:p w:rsidR="00363DA7" w:rsidRDefault="00A0584C" w:rsidP="00EE4361">
      <w:pPr>
        <w:rPr>
          <w:sz w:val="24"/>
          <w:szCs w:val="24"/>
          <w:lang w:val="en-US"/>
        </w:rPr>
      </w:pPr>
      <w:r>
        <w:rPr>
          <w:sz w:val="24"/>
          <w:szCs w:val="24"/>
          <w:lang w:val="en-US"/>
        </w:rPr>
        <w:t>Unfortunately,</w:t>
      </w:r>
      <w:r w:rsidR="0021401D">
        <w:rPr>
          <w:sz w:val="24"/>
          <w:szCs w:val="24"/>
          <w:lang w:val="en-US"/>
        </w:rPr>
        <w:t xml:space="preserve"> the above</w:t>
      </w:r>
      <w:r>
        <w:rPr>
          <w:sz w:val="24"/>
          <w:szCs w:val="24"/>
          <w:lang w:val="en-US"/>
        </w:rPr>
        <w:t xml:space="preserve"> </w:t>
      </w:r>
      <w:r w:rsidR="00262AE2">
        <w:rPr>
          <w:sz w:val="24"/>
          <w:szCs w:val="24"/>
          <w:lang w:val="en-US"/>
        </w:rPr>
        <w:t xml:space="preserve">information is well known by those participating on the financial market. Thus, investors already know that they can speculate a default by Spain, but not by </w:t>
      </w:r>
      <w:r w:rsidR="00262AE2">
        <w:rPr>
          <w:sz w:val="24"/>
          <w:szCs w:val="24"/>
          <w:lang w:val="en-US"/>
        </w:rPr>
        <w:lastRenderedPageBreak/>
        <w:t>the UK which in turn triggers a self-fulfilling prophecy</w:t>
      </w:r>
      <w:r w:rsidR="00477948">
        <w:rPr>
          <w:sz w:val="24"/>
          <w:szCs w:val="24"/>
          <w:lang w:val="en-US"/>
        </w:rPr>
        <w:t xml:space="preserve"> which eventually indeed may lead to a Spanish default. </w:t>
      </w:r>
    </w:p>
    <w:p w:rsidR="00477948" w:rsidRDefault="00477948">
      <w:pPr>
        <w:rPr>
          <w:sz w:val="24"/>
          <w:szCs w:val="24"/>
          <w:lang w:val="en-US"/>
        </w:rPr>
      </w:pPr>
      <w:r>
        <w:rPr>
          <w:sz w:val="24"/>
          <w:szCs w:val="24"/>
          <w:lang w:val="en-US"/>
        </w:rPr>
        <w:t>To avoid a negative spiral leading to</w:t>
      </w:r>
      <w:r w:rsidR="00732AAE">
        <w:rPr>
          <w:sz w:val="24"/>
          <w:szCs w:val="24"/>
          <w:lang w:val="en-US"/>
        </w:rPr>
        <w:t xml:space="preserve"> an</w:t>
      </w:r>
      <w:r>
        <w:rPr>
          <w:sz w:val="24"/>
          <w:szCs w:val="24"/>
          <w:lang w:val="en-US"/>
        </w:rPr>
        <w:t xml:space="preserve"> ever deepening recession in SMS</w:t>
      </w:r>
      <w:r w:rsidR="004B1D6A">
        <w:rPr>
          <w:sz w:val="24"/>
          <w:szCs w:val="24"/>
          <w:lang w:val="en-US"/>
        </w:rPr>
        <w:t xml:space="preserve"> which can spread towards the NM</w:t>
      </w:r>
      <w:r w:rsidR="0005781B">
        <w:rPr>
          <w:sz w:val="24"/>
          <w:szCs w:val="24"/>
          <w:lang w:val="en-US"/>
        </w:rPr>
        <w:t>S</w:t>
      </w:r>
      <w:r w:rsidR="003A03AD">
        <w:rPr>
          <w:sz w:val="24"/>
          <w:szCs w:val="24"/>
          <w:lang w:val="en-US"/>
        </w:rPr>
        <w:t xml:space="preserve">, </w:t>
      </w:r>
      <w:r>
        <w:rPr>
          <w:sz w:val="24"/>
          <w:szCs w:val="24"/>
          <w:lang w:val="en-US"/>
        </w:rPr>
        <w:t>is precisely why EU policy is so much concerned with fiscal austerity measures on the short term and more strict fiscal regulation on the medium term.</w:t>
      </w:r>
      <w:r w:rsidR="00776754">
        <w:rPr>
          <w:sz w:val="24"/>
          <w:szCs w:val="24"/>
          <w:lang w:val="en-US"/>
        </w:rPr>
        <w:t xml:space="preserve"> </w:t>
      </w:r>
    </w:p>
    <w:p w:rsidR="00AB645B" w:rsidRPr="00D54FC7" w:rsidRDefault="006E0D7F">
      <w:pPr>
        <w:rPr>
          <w:b/>
          <w:sz w:val="28"/>
          <w:szCs w:val="28"/>
          <w:lang w:val="en-US"/>
        </w:rPr>
      </w:pPr>
      <w:r w:rsidRPr="00D54FC7">
        <w:rPr>
          <w:b/>
          <w:sz w:val="28"/>
          <w:szCs w:val="28"/>
          <w:lang w:val="en-US"/>
        </w:rPr>
        <w:t>Section III</w:t>
      </w:r>
      <w:r w:rsidR="008D1399" w:rsidRPr="00D54FC7">
        <w:rPr>
          <w:b/>
          <w:sz w:val="28"/>
          <w:szCs w:val="28"/>
          <w:lang w:val="en-US"/>
        </w:rPr>
        <w:t xml:space="preserve"> </w:t>
      </w:r>
      <w:r w:rsidR="00900B3D" w:rsidRPr="00D54FC7">
        <w:rPr>
          <w:b/>
          <w:sz w:val="28"/>
          <w:szCs w:val="28"/>
          <w:lang w:val="en-US"/>
        </w:rPr>
        <w:t>The real estate bubble and its implications</w:t>
      </w:r>
    </w:p>
    <w:p w:rsidR="009F3E8F" w:rsidRDefault="001F71C8">
      <w:pPr>
        <w:rPr>
          <w:sz w:val="24"/>
          <w:szCs w:val="24"/>
          <w:lang w:val="en-US"/>
        </w:rPr>
      </w:pPr>
      <w:r>
        <w:rPr>
          <w:sz w:val="24"/>
          <w:szCs w:val="24"/>
          <w:lang w:val="en-US"/>
        </w:rPr>
        <w:t xml:space="preserve">Section II explained that Spain is more vulnerable to financial markets than Germany, because after 2008 Spain was hit by a much deeper recession which reflects itself in the unemployment rate and </w:t>
      </w:r>
      <w:r w:rsidR="003E7AF3">
        <w:rPr>
          <w:sz w:val="24"/>
          <w:szCs w:val="24"/>
          <w:lang w:val="en-US"/>
        </w:rPr>
        <w:t xml:space="preserve">GDP growth. </w:t>
      </w:r>
      <w:r w:rsidR="005E75BC">
        <w:rPr>
          <w:sz w:val="24"/>
          <w:szCs w:val="24"/>
          <w:lang w:val="en-US"/>
        </w:rPr>
        <w:t>This section</w:t>
      </w:r>
      <w:r w:rsidR="00A6192E">
        <w:rPr>
          <w:sz w:val="24"/>
          <w:szCs w:val="24"/>
          <w:lang w:val="en-US"/>
        </w:rPr>
        <w:t xml:space="preserve"> exists of three parts. Subsection a)</w:t>
      </w:r>
      <w:r w:rsidR="005E75BC">
        <w:rPr>
          <w:sz w:val="24"/>
          <w:szCs w:val="24"/>
          <w:lang w:val="en-US"/>
        </w:rPr>
        <w:t xml:space="preserve"> explains why Spain has been hit </w:t>
      </w:r>
      <w:r w:rsidR="007C4A9A">
        <w:rPr>
          <w:sz w:val="24"/>
          <w:szCs w:val="24"/>
          <w:lang w:val="en-US"/>
        </w:rPr>
        <w:t>harder by the crisis</w:t>
      </w:r>
      <w:bookmarkStart w:id="0" w:name="_GoBack"/>
      <w:bookmarkEnd w:id="0"/>
      <w:r w:rsidR="005E75BC">
        <w:rPr>
          <w:sz w:val="24"/>
          <w:szCs w:val="24"/>
          <w:lang w:val="en-US"/>
        </w:rPr>
        <w:t xml:space="preserve"> relatively to other member states, thereby giving m</w:t>
      </w:r>
      <w:r w:rsidR="0023457D">
        <w:rPr>
          <w:sz w:val="24"/>
          <w:szCs w:val="24"/>
          <w:lang w:val="en-US"/>
        </w:rPr>
        <w:t>uch attention to the housing</w:t>
      </w:r>
      <w:r w:rsidR="005E75BC">
        <w:rPr>
          <w:sz w:val="24"/>
          <w:szCs w:val="24"/>
          <w:lang w:val="en-US"/>
        </w:rPr>
        <w:t xml:space="preserve"> bubble that collapsed in 2008.</w:t>
      </w:r>
      <w:r w:rsidR="00471B5B">
        <w:rPr>
          <w:sz w:val="24"/>
          <w:szCs w:val="24"/>
          <w:lang w:val="en-US"/>
        </w:rPr>
        <w:t xml:space="preserve"> Additional to the housing bubble, </w:t>
      </w:r>
      <w:r w:rsidR="00A6192E">
        <w:rPr>
          <w:sz w:val="24"/>
          <w:szCs w:val="24"/>
          <w:lang w:val="en-US"/>
        </w:rPr>
        <w:t xml:space="preserve">subsection b) shows that </w:t>
      </w:r>
      <w:r w:rsidR="00471B5B">
        <w:rPr>
          <w:sz w:val="24"/>
          <w:szCs w:val="24"/>
          <w:lang w:val="en-US"/>
        </w:rPr>
        <w:t>macro-economic imbalances could evolve with the authorities blinded by the strong economic growth during this period</w:t>
      </w:r>
      <w:r w:rsidR="00A6192E">
        <w:rPr>
          <w:sz w:val="24"/>
          <w:szCs w:val="24"/>
          <w:lang w:val="en-US"/>
        </w:rPr>
        <w:t xml:space="preserve"> and the lack of a monetary instrument to stop the economy from overheating</w:t>
      </w:r>
      <w:r w:rsidR="00471B5B">
        <w:rPr>
          <w:sz w:val="24"/>
          <w:szCs w:val="24"/>
          <w:lang w:val="en-US"/>
        </w:rPr>
        <w:t>.</w:t>
      </w:r>
      <w:r w:rsidR="00A6192E">
        <w:rPr>
          <w:sz w:val="24"/>
          <w:szCs w:val="24"/>
          <w:lang w:val="en-US"/>
        </w:rPr>
        <w:t xml:space="preserve"> Subsection c) goes into the details of private debt growth which gave the opportunity for Spain to achieve the high growth rates as it did. </w:t>
      </w:r>
    </w:p>
    <w:p w:rsidR="00B066F0" w:rsidRDefault="00513C2B">
      <w:pPr>
        <w:rPr>
          <w:sz w:val="24"/>
          <w:szCs w:val="24"/>
          <w:lang w:val="en-US"/>
        </w:rPr>
      </w:pPr>
      <w:r>
        <w:rPr>
          <w:noProof/>
          <w:sz w:val="24"/>
          <w:szCs w:val="24"/>
          <w:lang w:eastAsia="nl-NL"/>
        </w:rPr>
        <w:drawing>
          <wp:anchor distT="0" distB="0" distL="114300" distR="114300" simplePos="0" relativeHeight="251665408" behindDoc="0" locked="0" layoutInCell="1" allowOverlap="1">
            <wp:simplePos x="0" y="0"/>
            <wp:positionH relativeFrom="column">
              <wp:posOffset>90805</wp:posOffset>
            </wp:positionH>
            <wp:positionV relativeFrom="paragraph">
              <wp:posOffset>201295</wp:posOffset>
            </wp:positionV>
            <wp:extent cx="2857500" cy="3181985"/>
            <wp:effectExtent l="95250" t="19050" r="76200" b="56515"/>
            <wp:wrapSquare wrapText="bothSides"/>
            <wp:docPr id="10"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B066F0">
        <w:rPr>
          <w:sz w:val="24"/>
          <w:szCs w:val="24"/>
          <w:lang w:val="en-US"/>
        </w:rPr>
        <w:br/>
      </w:r>
      <w:r w:rsidRPr="00513C2B">
        <w:rPr>
          <w:sz w:val="24"/>
          <w:szCs w:val="24"/>
          <w:lang w:val="en-US"/>
        </w:rPr>
        <w:drawing>
          <wp:inline distT="0" distB="0" distL="0" distR="0">
            <wp:extent cx="2638425" cy="3181985"/>
            <wp:effectExtent l="57150" t="0" r="47625" b="75565"/>
            <wp:docPr id="6"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2D8A" w:rsidRDefault="00B066F0">
      <w:pPr>
        <w:rPr>
          <w:b/>
          <w:sz w:val="24"/>
          <w:szCs w:val="24"/>
          <w:lang w:val="en-US"/>
        </w:rPr>
      </w:pPr>
      <w:r>
        <w:rPr>
          <w:sz w:val="24"/>
          <w:szCs w:val="24"/>
          <w:lang w:val="en-US"/>
        </w:rPr>
        <w:br/>
      </w:r>
    </w:p>
    <w:p w:rsidR="00DF53FE" w:rsidRPr="00DF53FE" w:rsidRDefault="00B025BF">
      <w:pPr>
        <w:rPr>
          <w:b/>
          <w:sz w:val="24"/>
          <w:szCs w:val="24"/>
          <w:lang w:val="en-US"/>
        </w:rPr>
      </w:pPr>
      <w:r>
        <w:rPr>
          <w:b/>
          <w:sz w:val="24"/>
          <w:szCs w:val="24"/>
          <w:lang w:val="en-US"/>
        </w:rPr>
        <w:t xml:space="preserve">a) </w:t>
      </w:r>
      <w:r w:rsidR="00DF53FE">
        <w:rPr>
          <w:b/>
          <w:sz w:val="24"/>
          <w:szCs w:val="24"/>
          <w:lang w:val="en-US"/>
        </w:rPr>
        <w:t>Imploding housing bubble Spain</w:t>
      </w:r>
    </w:p>
    <w:p w:rsidR="00A10113" w:rsidRDefault="00B066F0">
      <w:pPr>
        <w:rPr>
          <w:sz w:val="24"/>
          <w:szCs w:val="24"/>
          <w:lang w:val="en-US"/>
        </w:rPr>
      </w:pPr>
      <w:r>
        <w:rPr>
          <w:sz w:val="24"/>
          <w:szCs w:val="24"/>
          <w:lang w:val="en-US"/>
        </w:rPr>
        <w:t>Figure 3 shows the Housing Price Index for the EMU member s</w:t>
      </w:r>
      <w:r w:rsidR="0061196B">
        <w:rPr>
          <w:sz w:val="24"/>
          <w:szCs w:val="24"/>
          <w:lang w:val="en-US"/>
        </w:rPr>
        <w:t>tates Spain, Greece and Germany</w:t>
      </w:r>
      <w:r>
        <w:rPr>
          <w:sz w:val="24"/>
          <w:szCs w:val="24"/>
          <w:lang w:val="en-US"/>
        </w:rPr>
        <w:t xml:space="preserve"> </w:t>
      </w:r>
      <w:r w:rsidR="009822C7">
        <w:rPr>
          <w:sz w:val="24"/>
          <w:szCs w:val="24"/>
          <w:lang w:val="en-US"/>
        </w:rPr>
        <w:t xml:space="preserve">(see </w:t>
      </w:r>
      <w:r>
        <w:rPr>
          <w:sz w:val="24"/>
          <w:szCs w:val="24"/>
          <w:lang w:val="en-US"/>
        </w:rPr>
        <w:t>Figure</w:t>
      </w:r>
      <w:r w:rsidR="009822C7">
        <w:rPr>
          <w:sz w:val="24"/>
          <w:szCs w:val="24"/>
          <w:lang w:val="en-US"/>
        </w:rPr>
        <w:t xml:space="preserve"> 3)</w:t>
      </w:r>
      <w:r w:rsidR="00AD3321">
        <w:rPr>
          <w:sz w:val="24"/>
          <w:szCs w:val="24"/>
          <w:lang w:val="en-US"/>
        </w:rPr>
        <w:t>.</w:t>
      </w:r>
      <w:r w:rsidR="001A53BD">
        <w:rPr>
          <w:sz w:val="24"/>
          <w:szCs w:val="24"/>
          <w:lang w:val="en-US"/>
        </w:rPr>
        <w:t xml:space="preserve"> </w:t>
      </w:r>
      <w:r w:rsidR="0061196B">
        <w:rPr>
          <w:sz w:val="24"/>
          <w:szCs w:val="24"/>
          <w:lang w:val="en-US"/>
        </w:rPr>
        <w:t xml:space="preserve">Greece is added to the figure to show that another SMS which also perishes from a severe recession comparable to Spain’s did not have a housing bubble as its </w:t>
      </w:r>
      <w:r w:rsidR="00066B09">
        <w:rPr>
          <w:sz w:val="24"/>
          <w:szCs w:val="24"/>
          <w:lang w:val="en-US"/>
        </w:rPr>
        <w:lastRenderedPageBreak/>
        <w:t>trigger. From F</w:t>
      </w:r>
      <w:r w:rsidR="0061196B">
        <w:rPr>
          <w:sz w:val="24"/>
          <w:szCs w:val="24"/>
          <w:lang w:val="en-US"/>
        </w:rPr>
        <w:t>igure 3 it is clear that Spain pays the toll from a huge imploding housing bubble. At the end of 2007 the housing prices were</w:t>
      </w:r>
      <w:r w:rsidR="005667E7">
        <w:rPr>
          <w:sz w:val="24"/>
          <w:szCs w:val="24"/>
          <w:lang w:val="en-US"/>
        </w:rPr>
        <w:t xml:space="preserve"> on average</w:t>
      </w:r>
      <w:r w:rsidR="0061196B">
        <w:rPr>
          <w:sz w:val="24"/>
          <w:szCs w:val="24"/>
          <w:lang w:val="en-US"/>
        </w:rPr>
        <w:t xml:space="preserve"> almost 15% higher than in 2010. Still, housing prices are decreasing</w:t>
      </w:r>
      <w:r w:rsidR="005667E7">
        <w:rPr>
          <w:sz w:val="24"/>
          <w:szCs w:val="24"/>
          <w:lang w:val="en-US"/>
        </w:rPr>
        <w:t xml:space="preserve"> and according to Tinsa</w:t>
      </w:r>
      <w:r w:rsidR="005667E7">
        <w:rPr>
          <w:rStyle w:val="Voetnootmarkering"/>
          <w:sz w:val="24"/>
          <w:szCs w:val="24"/>
          <w:lang w:val="en-US"/>
        </w:rPr>
        <w:footnoteReference w:id="3"/>
      </w:r>
      <w:r w:rsidR="005667E7">
        <w:rPr>
          <w:sz w:val="24"/>
          <w:szCs w:val="24"/>
          <w:lang w:val="en-US"/>
        </w:rPr>
        <w:t xml:space="preserve"> estimates</w:t>
      </w:r>
      <w:r w:rsidR="0027020C">
        <w:rPr>
          <w:sz w:val="24"/>
          <w:szCs w:val="24"/>
          <w:lang w:val="en-US"/>
        </w:rPr>
        <w:t>,</w:t>
      </w:r>
      <w:r w:rsidR="005667E7">
        <w:rPr>
          <w:sz w:val="24"/>
          <w:szCs w:val="24"/>
          <w:lang w:val="en-US"/>
        </w:rPr>
        <w:t xml:space="preserve"> negative price growth is expected for at least the coming months.</w:t>
      </w:r>
      <w:r w:rsidR="00A10113">
        <w:rPr>
          <w:sz w:val="24"/>
          <w:szCs w:val="24"/>
          <w:lang w:val="en-US"/>
        </w:rPr>
        <w:t xml:space="preserve"> </w:t>
      </w:r>
    </w:p>
    <w:p w:rsidR="007D57A0" w:rsidRDefault="00A10113">
      <w:pPr>
        <w:rPr>
          <w:sz w:val="24"/>
          <w:szCs w:val="24"/>
          <w:lang w:val="en-US"/>
        </w:rPr>
      </w:pPr>
      <w:r>
        <w:rPr>
          <w:sz w:val="24"/>
          <w:szCs w:val="24"/>
          <w:lang w:val="en-US"/>
        </w:rPr>
        <w:t xml:space="preserve">The Question still remains: How could such a housing </w:t>
      </w:r>
      <w:r w:rsidR="00107AD4">
        <w:rPr>
          <w:sz w:val="24"/>
          <w:szCs w:val="24"/>
          <w:lang w:val="en-US"/>
        </w:rPr>
        <w:t>boom</w:t>
      </w:r>
      <w:r>
        <w:rPr>
          <w:sz w:val="24"/>
          <w:szCs w:val="24"/>
          <w:lang w:val="en-US"/>
        </w:rPr>
        <w:t xml:space="preserve"> have arisen? As is common in economics, this has </w:t>
      </w:r>
      <w:r w:rsidR="00776754">
        <w:rPr>
          <w:sz w:val="24"/>
          <w:szCs w:val="24"/>
          <w:lang w:val="en-US"/>
        </w:rPr>
        <w:t>much</w:t>
      </w:r>
      <w:r>
        <w:rPr>
          <w:sz w:val="24"/>
          <w:szCs w:val="24"/>
          <w:lang w:val="en-US"/>
        </w:rPr>
        <w:t xml:space="preserve"> to do with increasing demand. The following aspects played a great role in this respect </w:t>
      </w:r>
      <w:r w:rsidR="0023457D">
        <w:rPr>
          <w:sz w:val="24"/>
          <w:szCs w:val="24"/>
          <w:lang w:val="en-US"/>
        </w:rPr>
        <w:t>and</w:t>
      </w:r>
      <w:r>
        <w:rPr>
          <w:sz w:val="24"/>
          <w:szCs w:val="24"/>
          <w:lang w:val="en-US"/>
        </w:rPr>
        <w:t xml:space="preserve"> will be discussed below: a fast developing do</w:t>
      </w:r>
      <w:r w:rsidR="0023457D">
        <w:rPr>
          <w:sz w:val="24"/>
          <w:szCs w:val="24"/>
          <w:lang w:val="en-US"/>
        </w:rPr>
        <w:t>mestic economy</w:t>
      </w:r>
      <w:r w:rsidR="00107AD4">
        <w:rPr>
          <w:sz w:val="24"/>
          <w:szCs w:val="24"/>
          <w:lang w:val="en-US"/>
        </w:rPr>
        <w:t>,</w:t>
      </w:r>
      <w:r>
        <w:rPr>
          <w:sz w:val="24"/>
          <w:szCs w:val="24"/>
          <w:lang w:val="en-US"/>
        </w:rPr>
        <w:t xml:space="preserve"> </w:t>
      </w:r>
      <w:r w:rsidR="00DB23ED">
        <w:rPr>
          <w:sz w:val="24"/>
          <w:szCs w:val="24"/>
          <w:lang w:val="en-US"/>
        </w:rPr>
        <w:t>demographic factors</w:t>
      </w:r>
      <w:r w:rsidR="00107AD4">
        <w:rPr>
          <w:sz w:val="24"/>
          <w:szCs w:val="24"/>
          <w:lang w:val="en-US"/>
        </w:rPr>
        <w:t xml:space="preserve"> and cheap credit. It will become clear that all pl</w:t>
      </w:r>
      <w:r w:rsidR="005342BA">
        <w:rPr>
          <w:sz w:val="24"/>
          <w:szCs w:val="24"/>
          <w:lang w:val="en-US"/>
        </w:rPr>
        <w:t>ayed a role in increasing house</w:t>
      </w:r>
      <w:r w:rsidR="00107AD4">
        <w:rPr>
          <w:sz w:val="24"/>
          <w:szCs w:val="24"/>
          <w:lang w:val="en-US"/>
        </w:rPr>
        <w:t xml:space="preserve"> prices, but there is no evi</w:t>
      </w:r>
      <w:r w:rsidR="00F006A9">
        <w:rPr>
          <w:sz w:val="24"/>
          <w:szCs w:val="24"/>
          <w:lang w:val="en-US"/>
        </w:rPr>
        <w:t>dence that they caused a bubble on itself. However chea</w:t>
      </w:r>
      <w:r w:rsidR="007D57A0">
        <w:rPr>
          <w:sz w:val="24"/>
          <w:szCs w:val="24"/>
          <w:lang w:val="en-US"/>
        </w:rPr>
        <w:t xml:space="preserve">p credit definitely has been the starting point in fueling overconfidence and underestimation of the risks taken, ultimately leading to the bubble as it did in the United States. </w:t>
      </w:r>
      <w:r w:rsidR="00191A99">
        <w:rPr>
          <w:sz w:val="24"/>
          <w:szCs w:val="24"/>
          <w:lang w:val="en-US"/>
        </w:rPr>
        <w:t xml:space="preserve">The greatest contribution to </w:t>
      </w:r>
      <w:r w:rsidR="00D17531">
        <w:rPr>
          <w:sz w:val="24"/>
          <w:szCs w:val="24"/>
          <w:lang w:val="en-US"/>
        </w:rPr>
        <w:t xml:space="preserve">the bubble are </w:t>
      </w:r>
      <w:r w:rsidR="00776754">
        <w:rPr>
          <w:sz w:val="24"/>
          <w:szCs w:val="24"/>
          <w:lang w:val="en-US"/>
        </w:rPr>
        <w:t>unique</w:t>
      </w:r>
      <w:r w:rsidR="005342BA">
        <w:rPr>
          <w:sz w:val="24"/>
          <w:szCs w:val="24"/>
          <w:lang w:val="en-US"/>
        </w:rPr>
        <w:t xml:space="preserve"> cultural</w:t>
      </w:r>
      <w:r w:rsidR="00776754">
        <w:rPr>
          <w:sz w:val="24"/>
          <w:szCs w:val="24"/>
          <w:lang w:val="en-US"/>
        </w:rPr>
        <w:t xml:space="preserve"> features of the SMS and some which are unique for Spain.</w:t>
      </w:r>
    </w:p>
    <w:p w:rsidR="00A10113" w:rsidRDefault="004E23F3">
      <w:pPr>
        <w:rPr>
          <w:i/>
          <w:sz w:val="24"/>
          <w:szCs w:val="24"/>
          <w:lang w:val="en-US"/>
        </w:rPr>
      </w:pPr>
      <w:r>
        <w:rPr>
          <w:i/>
          <w:sz w:val="24"/>
          <w:szCs w:val="24"/>
          <w:lang w:val="en-US"/>
        </w:rPr>
        <w:t>A f</w:t>
      </w:r>
      <w:r w:rsidR="00A10113">
        <w:rPr>
          <w:i/>
          <w:sz w:val="24"/>
          <w:szCs w:val="24"/>
          <w:lang w:val="en-US"/>
        </w:rPr>
        <w:t>ast developing domestic economy</w:t>
      </w:r>
    </w:p>
    <w:p w:rsidR="00A10113" w:rsidRDefault="00874E4D">
      <w:pPr>
        <w:rPr>
          <w:sz w:val="24"/>
          <w:szCs w:val="24"/>
          <w:lang w:val="en-US"/>
        </w:rPr>
      </w:pPr>
      <w:r>
        <w:rPr>
          <w:sz w:val="24"/>
          <w:szCs w:val="24"/>
          <w:lang w:val="en-US"/>
        </w:rPr>
        <w:t xml:space="preserve">Since the introduction of the euro in </w:t>
      </w:r>
      <w:r w:rsidR="0003256E">
        <w:rPr>
          <w:sz w:val="24"/>
          <w:szCs w:val="24"/>
          <w:lang w:val="en-US"/>
        </w:rPr>
        <w:t>2002</w:t>
      </w:r>
      <w:r>
        <w:rPr>
          <w:sz w:val="24"/>
          <w:szCs w:val="24"/>
          <w:lang w:val="en-US"/>
        </w:rPr>
        <w:t xml:space="preserve"> until 2008 Spain’s real GDP grew very fast c</w:t>
      </w:r>
      <w:r w:rsidR="00444381">
        <w:rPr>
          <w:sz w:val="24"/>
          <w:szCs w:val="24"/>
          <w:lang w:val="en-US"/>
        </w:rPr>
        <w:t>ompared to th</w:t>
      </w:r>
      <w:r w:rsidR="006B375F">
        <w:rPr>
          <w:sz w:val="24"/>
          <w:szCs w:val="24"/>
          <w:lang w:val="en-US"/>
        </w:rPr>
        <w:t>e EU average</w:t>
      </w:r>
      <w:r w:rsidR="003A03AD">
        <w:rPr>
          <w:sz w:val="24"/>
          <w:szCs w:val="24"/>
          <w:lang w:val="en-US"/>
        </w:rPr>
        <w:t xml:space="preserve"> (Figure 4</w:t>
      </w:r>
      <w:r w:rsidR="0024695B">
        <w:rPr>
          <w:sz w:val="24"/>
          <w:szCs w:val="24"/>
          <w:lang w:val="en-US"/>
        </w:rPr>
        <w:t>).</w:t>
      </w:r>
      <w:r w:rsidR="006B375F">
        <w:rPr>
          <w:sz w:val="24"/>
          <w:szCs w:val="24"/>
          <w:lang w:val="en-US"/>
        </w:rPr>
        <w:t xml:space="preserve"> </w:t>
      </w:r>
      <w:r w:rsidR="006A30DE">
        <w:rPr>
          <w:sz w:val="24"/>
          <w:szCs w:val="24"/>
          <w:lang w:val="en-US"/>
        </w:rPr>
        <w:t xml:space="preserve">Though, we should be careful by saying that economic growth has causational implications for housing prices, since economic growth itself is partly explained by increasing housing prices. </w:t>
      </w:r>
      <w:r w:rsidR="00E6518A">
        <w:rPr>
          <w:sz w:val="24"/>
          <w:szCs w:val="24"/>
          <w:lang w:val="en-US"/>
        </w:rPr>
        <w:t xml:space="preserve">The price of a house can be seen as part of someone’s wealth. When the price of a house increases, so does a household’s wealth. As is evidenced by </w:t>
      </w:r>
      <w:proofErr w:type="spellStart"/>
      <w:r w:rsidR="00E6518A">
        <w:rPr>
          <w:sz w:val="24"/>
          <w:szCs w:val="24"/>
          <w:lang w:val="en-US"/>
        </w:rPr>
        <w:t>Oriol</w:t>
      </w:r>
      <w:proofErr w:type="spellEnd"/>
      <w:r w:rsidR="00E6518A">
        <w:rPr>
          <w:sz w:val="24"/>
          <w:szCs w:val="24"/>
          <w:lang w:val="en-US"/>
        </w:rPr>
        <w:t xml:space="preserve"> </w:t>
      </w:r>
      <w:proofErr w:type="spellStart"/>
      <w:r w:rsidR="00E6518A">
        <w:rPr>
          <w:sz w:val="24"/>
          <w:szCs w:val="24"/>
          <w:lang w:val="en-US"/>
        </w:rPr>
        <w:t>Aspachs-Bracons</w:t>
      </w:r>
      <w:proofErr w:type="spellEnd"/>
      <w:r w:rsidR="00E6518A">
        <w:rPr>
          <w:sz w:val="24"/>
          <w:szCs w:val="24"/>
          <w:lang w:val="en-US"/>
        </w:rPr>
        <w:t xml:space="preserve"> and Pau </w:t>
      </w:r>
      <w:proofErr w:type="spellStart"/>
      <w:r w:rsidR="00E6518A">
        <w:rPr>
          <w:sz w:val="24"/>
          <w:szCs w:val="24"/>
          <w:lang w:val="en-US"/>
        </w:rPr>
        <w:t>Rabanal</w:t>
      </w:r>
      <w:proofErr w:type="spellEnd"/>
      <w:r w:rsidR="00E6518A">
        <w:rPr>
          <w:sz w:val="24"/>
          <w:szCs w:val="24"/>
          <w:lang w:val="en-US"/>
        </w:rPr>
        <w:t xml:space="preserve"> </w:t>
      </w:r>
      <w:sdt>
        <w:sdtPr>
          <w:rPr>
            <w:sz w:val="24"/>
            <w:szCs w:val="24"/>
            <w:lang w:val="en-US"/>
          </w:rPr>
          <w:id w:val="66627282"/>
          <w:citation/>
        </w:sdtPr>
        <w:sdtContent>
          <w:r w:rsidR="00D35F06">
            <w:rPr>
              <w:sz w:val="24"/>
              <w:szCs w:val="24"/>
              <w:lang w:val="en-US"/>
            </w:rPr>
            <w:fldChar w:fldCharType="begin"/>
          </w:r>
          <w:r w:rsidR="00E6518A">
            <w:rPr>
              <w:noProof/>
              <w:sz w:val="24"/>
              <w:szCs w:val="24"/>
              <w:lang w:val="en-US" w:eastAsia="nl-NL"/>
            </w:rPr>
            <w:instrText xml:space="preserve"> CITATION Asp10 \l 1033 </w:instrText>
          </w:r>
          <w:r w:rsidR="00D35F06">
            <w:rPr>
              <w:sz w:val="24"/>
              <w:szCs w:val="24"/>
              <w:lang w:val="en-US"/>
            </w:rPr>
            <w:fldChar w:fldCharType="separate"/>
          </w:r>
          <w:r w:rsidR="00E6518A" w:rsidRPr="00E6518A">
            <w:rPr>
              <w:noProof/>
              <w:sz w:val="24"/>
              <w:szCs w:val="24"/>
              <w:lang w:val="en-US" w:eastAsia="nl-NL"/>
            </w:rPr>
            <w:t>(Aspachs-Bracons &amp; Rabanal, 2010)</w:t>
          </w:r>
          <w:r w:rsidR="00D35F06">
            <w:rPr>
              <w:sz w:val="24"/>
              <w:szCs w:val="24"/>
              <w:lang w:val="en-US"/>
            </w:rPr>
            <w:fldChar w:fldCharType="end"/>
          </w:r>
        </w:sdtContent>
      </w:sdt>
      <w:r w:rsidR="00E6518A">
        <w:rPr>
          <w:sz w:val="24"/>
          <w:szCs w:val="24"/>
          <w:lang w:val="en-US"/>
        </w:rPr>
        <w:t xml:space="preserve"> housing wealth is used to finance non-durable consumption which in turn increases real GDP</w:t>
      </w:r>
      <w:r w:rsidR="001C574F">
        <w:rPr>
          <w:sz w:val="24"/>
          <w:szCs w:val="24"/>
          <w:lang w:val="en-US"/>
        </w:rPr>
        <w:t>. From a standard Keynesian approach any increase in GDP as the result of more household consumption multiplies the effect which ends with even higher aggregate demand for bot</w:t>
      </w:r>
      <w:r w:rsidR="00D845AE">
        <w:rPr>
          <w:sz w:val="24"/>
          <w:szCs w:val="24"/>
          <w:lang w:val="en-US"/>
        </w:rPr>
        <w:t xml:space="preserve">h non-durable and durable goods. The latter is even more elastic to </w:t>
      </w:r>
      <w:r w:rsidR="00F050FA">
        <w:rPr>
          <w:sz w:val="24"/>
          <w:szCs w:val="24"/>
          <w:lang w:val="en-US"/>
        </w:rPr>
        <w:t xml:space="preserve">demand shocks which reflects itself in higher prices for durable goods such as housing. </w:t>
      </w:r>
      <w:sdt>
        <w:sdtPr>
          <w:rPr>
            <w:sz w:val="24"/>
            <w:szCs w:val="24"/>
            <w:lang w:val="en-US"/>
          </w:rPr>
          <w:id w:val="66627283"/>
          <w:citation/>
        </w:sdtPr>
        <w:sdtContent>
          <w:r w:rsidR="00D35F06">
            <w:rPr>
              <w:sz w:val="24"/>
              <w:szCs w:val="24"/>
              <w:lang w:val="en-US"/>
            </w:rPr>
            <w:fldChar w:fldCharType="begin"/>
          </w:r>
          <w:r w:rsidR="00F050FA">
            <w:rPr>
              <w:sz w:val="24"/>
              <w:szCs w:val="24"/>
              <w:lang w:val="en-US"/>
            </w:rPr>
            <w:instrText xml:space="preserve"> CITATION Bil04 \l 1033 </w:instrText>
          </w:r>
          <w:r w:rsidR="00D35F06">
            <w:rPr>
              <w:sz w:val="24"/>
              <w:szCs w:val="24"/>
              <w:lang w:val="en-US"/>
            </w:rPr>
            <w:fldChar w:fldCharType="separate"/>
          </w:r>
          <w:r w:rsidR="00F050FA" w:rsidRPr="00F050FA">
            <w:rPr>
              <w:noProof/>
              <w:sz w:val="24"/>
              <w:szCs w:val="24"/>
              <w:lang w:val="en-US"/>
            </w:rPr>
            <w:t>(Bils &amp; Klenow, 2004)</w:t>
          </w:r>
          <w:r w:rsidR="00D35F06">
            <w:rPr>
              <w:sz w:val="24"/>
              <w:szCs w:val="24"/>
              <w:lang w:val="en-US"/>
            </w:rPr>
            <w:fldChar w:fldCharType="end"/>
          </w:r>
        </w:sdtContent>
      </w:sdt>
    </w:p>
    <w:p w:rsidR="0024695B" w:rsidRDefault="0024695B">
      <w:pPr>
        <w:rPr>
          <w:sz w:val="24"/>
          <w:szCs w:val="24"/>
          <w:lang w:val="en-US"/>
        </w:rPr>
      </w:pPr>
    </w:p>
    <w:p w:rsidR="004E23F3" w:rsidRDefault="00F27D9E">
      <w:pPr>
        <w:rPr>
          <w:i/>
          <w:sz w:val="24"/>
          <w:szCs w:val="24"/>
          <w:lang w:val="en-US"/>
        </w:rPr>
      </w:pPr>
      <w:r>
        <w:rPr>
          <w:i/>
          <w:sz w:val="24"/>
          <w:szCs w:val="24"/>
          <w:lang w:val="en-US"/>
        </w:rPr>
        <w:t>Demographic factors</w:t>
      </w:r>
    </w:p>
    <w:p w:rsidR="00794481" w:rsidRDefault="00922C0C">
      <w:pPr>
        <w:rPr>
          <w:sz w:val="24"/>
          <w:szCs w:val="24"/>
          <w:lang w:val="en-US"/>
        </w:rPr>
      </w:pPr>
      <w:r>
        <w:rPr>
          <w:sz w:val="24"/>
          <w:szCs w:val="24"/>
          <w:lang w:val="en-US"/>
        </w:rPr>
        <w:t>The demographic developments in Spain during the pre</w:t>
      </w:r>
      <w:r w:rsidR="00566826">
        <w:rPr>
          <w:sz w:val="24"/>
          <w:szCs w:val="24"/>
          <w:lang w:val="en-US"/>
        </w:rPr>
        <w:t>-</w:t>
      </w:r>
      <w:r>
        <w:rPr>
          <w:sz w:val="24"/>
          <w:szCs w:val="24"/>
          <w:lang w:val="en-US"/>
        </w:rPr>
        <w:t>crisis period m</w:t>
      </w:r>
      <w:r w:rsidR="005B3868">
        <w:rPr>
          <w:sz w:val="24"/>
          <w:szCs w:val="24"/>
          <w:lang w:val="en-US"/>
        </w:rPr>
        <w:t xml:space="preserve">ay be of even greater interest. </w:t>
      </w:r>
      <w:r w:rsidR="00470B41">
        <w:rPr>
          <w:sz w:val="24"/>
          <w:szCs w:val="24"/>
          <w:lang w:val="en-US"/>
        </w:rPr>
        <w:t>Immigration (Figure 5</w:t>
      </w:r>
      <w:r w:rsidR="00C65A88">
        <w:rPr>
          <w:sz w:val="24"/>
          <w:szCs w:val="24"/>
          <w:lang w:val="en-US"/>
        </w:rPr>
        <w:t>)</w:t>
      </w:r>
      <w:r w:rsidR="005B3868">
        <w:rPr>
          <w:sz w:val="24"/>
          <w:szCs w:val="24"/>
          <w:lang w:val="en-US"/>
        </w:rPr>
        <w:t xml:space="preserve"> and </w:t>
      </w:r>
      <w:r w:rsidR="00470B41">
        <w:rPr>
          <w:sz w:val="24"/>
          <w:szCs w:val="24"/>
          <w:lang w:val="en-US"/>
        </w:rPr>
        <w:t>population growth (Figure 6</w:t>
      </w:r>
      <w:r w:rsidR="00C65A88">
        <w:rPr>
          <w:sz w:val="24"/>
          <w:szCs w:val="24"/>
          <w:lang w:val="en-US"/>
        </w:rPr>
        <w:t>)</w:t>
      </w:r>
      <w:r w:rsidR="005B3868">
        <w:rPr>
          <w:sz w:val="24"/>
          <w:szCs w:val="24"/>
          <w:lang w:val="en-US"/>
        </w:rPr>
        <w:t xml:space="preserve"> caused the main external </w:t>
      </w:r>
      <w:r w:rsidR="009F3E8F">
        <w:rPr>
          <w:sz w:val="24"/>
          <w:szCs w:val="24"/>
          <w:lang w:val="en-US"/>
        </w:rPr>
        <w:br/>
        <w:t>demand shocks.</w:t>
      </w:r>
      <w:r w:rsidR="009F3E8F" w:rsidRPr="009F3E8F">
        <w:rPr>
          <w:sz w:val="24"/>
          <w:szCs w:val="24"/>
          <w:lang w:val="en-US"/>
        </w:rPr>
        <w:t xml:space="preserve"> </w:t>
      </w:r>
      <w:r w:rsidR="009F3E8F">
        <w:rPr>
          <w:sz w:val="24"/>
          <w:szCs w:val="24"/>
          <w:lang w:val="en-US"/>
        </w:rPr>
        <w:t>These trends were de</w:t>
      </w:r>
      <w:r w:rsidR="00513C2B">
        <w:rPr>
          <w:sz w:val="24"/>
          <w:szCs w:val="24"/>
          <w:lang w:val="en-US"/>
        </w:rPr>
        <w:t>veloping  much faster than the E</w:t>
      </w:r>
      <w:r w:rsidR="009F3E8F">
        <w:rPr>
          <w:sz w:val="24"/>
          <w:szCs w:val="24"/>
          <w:lang w:val="en-US"/>
        </w:rPr>
        <w:t xml:space="preserve">urozone </w:t>
      </w:r>
      <w:r w:rsidR="00393DE9">
        <w:rPr>
          <w:sz w:val="24"/>
          <w:szCs w:val="24"/>
          <w:lang w:val="en-US"/>
        </w:rPr>
        <w:t>average.</w:t>
      </w:r>
    </w:p>
    <w:p w:rsidR="00956A33" w:rsidRDefault="00470B41">
      <w:pPr>
        <w:rPr>
          <w:sz w:val="24"/>
          <w:szCs w:val="24"/>
          <w:lang w:val="en-US"/>
        </w:rPr>
      </w:pPr>
      <w:r>
        <w:rPr>
          <w:sz w:val="24"/>
          <w:szCs w:val="24"/>
          <w:lang w:val="en-US"/>
        </w:rPr>
        <w:t>As can be seen from figure 5</w:t>
      </w:r>
      <w:r w:rsidR="006168B7">
        <w:rPr>
          <w:sz w:val="24"/>
          <w:szCs w:val="24"/>
          <w:lang w:val="en-US"/>
        </w:rPr>
        <w:t xml:space="preserve"> Spanish immigration </w:t>
      </w:r>
      <w:r w:rsidR="00FC5C33">
        <w:rPr>
          <w:sz w:val="24"/>
          <w:szCs w:val="24"/>
          <w:lang w:val="en-US"/>
        </w:rPr>
        <w:t xml:space="preserve">reached tremendous amounts within the period 1999-2007. The increasing amount of immigrants goes hand in hand with the amount of extra residents needed to give all these people shelter. Figure 6 even shows more evidence that there has been a really big population boom in Spain with population growth rates far above the Eurozone average. In both cases Germany shows very different results, having zero or negative growth rates. </w:t>
      </w:r>
    </w:p>
    <w:p w:rsidR="00D17531" w:rsidRDefault="000F7195" w:rsidP="00531ED8">
      <w:pPr>
        <w:rPr>
          <w:sz w:val="24"/>
          <w:szCs w:val="24"/>
          <w:lang w:val="en-US"/>
        </w:rPr>
      </w:pPr>
      <w:r>
        <w:rPr>
          <w:noProof/>
          <w:sz w:val="24"/>
          <w:szCs w:val="24"/>
          <w:lang w:eastAsia="nl-NL"/>
        </w:rPr>
        <w:lastRenderedPageBreak/>
        <w:drawing>
          <wp:anchor distT="0" distB="0" distL="114300" distR="114300" simplePos="0" relativeHeight="251658240" behindDoc="0" locked="0" layoutInCell="1" allowOverlap="1">
            <wp:simplePos x="0" y="0"/>
            <wp:positionH relativeFrom="margin">
              <wp:posOffset>3167380</wp:posOffset>
            </wp:positionH>
            <wp:positionV relativeFrom="margin">
              <wp:posOffset>1986280</wp:posOffset>
            </wp:positionV>
            <wp:extent cx="3095625" cy="2571750"/>
            <wp:effectExtent l="57150" t="0" r="47625" b="76200"/>
            <wp:wrapSquare wrapText="bothSides"/>
            <wp:docPr id="2"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220409">
        <w:rPr>
          <w:sz w:val="24"/>
          <w:szCs w:val="24"/>
          <w:lang w:val="en-US"/>
        </w:rPr>
        <w:t>Where we can say that high economic growth rates were also present in other member countries and do not explain a housing boom in Spain on itself</w:t>
      </w:r>
      <w:r w:rsidR="00A07884">
        <w:rPr>
          <w:sz w:val="24"/>
          <w:szCs w:val="24"/>
          <w:lang w:val="en-US"/>
        </w:rPr>
        <w:t xml:space="preserve"> and even may be the result of the housing boom</w:t>
      </w:r>
      <w:r w:rsidR="00220409">
        <w:rPr>
          <w:sz w:val="24"/>
          <w:szCs w:val="24"/>
          <w:lang w:val="en-US"/>
        </w:rPr>
        <w:t xml:space="preserve">, the demographic factors sure </w:t>
      </w:r>
      <w:r w:rsidR="00107AD4">
        <w:rPr>
          <w:sz w:val="24"/>
          <w:szCs w:val="24"/>
          <w:lang w:val="en-US"/>
        </w:rPr>
        <w:t>do</w:t>
      </w:r>
      <w:r w:rsidR="00220409">
        <w:rPr>
          <w:sz w:val="24"/>
          <w:szCs w:val="24"/>
          <w:lang w:val="en-US"/>
        </w:rPr>
        <w:t>. However, increasing housing prices, because of an increase in housing demand, does not explain the bubble. One can only speak of a bubble when the value of an asset is significantly overvalued</w:t>
      </w:r>
      <w:r w:rsidR="005A3125">
        <w:rPr>
          <w:sz w:val="24"/>
          <w:szCs w:val="24"/>
          <w:lang w:val="en-US"/>
        </w:rPr>
        <w:t xml:space="preserve">, because of overconfidence in the market. </w:t>
      </w:r>
      <w:r w:rsidR="003D22F6">
        <w:rPr>
          <w:sz w:val="24"/>
          <w:szCs w:val="24"/>
          <w:lang w:val="en-US"/>
        </w:rPr>
        <w:t xml:space="preserve">The immigration wave after 1999, resulting from more openness in Spain, and the high population growth rates do explain why housing prices apart from the bubble increased even more in Spain than in </w:t>
      </w:r>
      <w:r w:rsidR="00342B5D">
        <w:rPr>
          <w:sz w:val="24"/>
          <w:szCs w:val="24"/>
          <w:lang w:val="en-US"/>
        </w:rPr>
        <w:t>for example the</w:t>
      </w:r>
      <w:r w:rsidR="003D22F6">
        <w:rPr>
          <w:sz w:val="24"/>
          <w:szCs w:val="24"/>
          <w:lang w:val="en-US"/>
        </w:rPr>
        <w:t xml:space="preserve"> United States where the housing bubble also pushed the domestic economy in recession.</w:t>
      </w:r>
    </w:p>
    <w:p w:rsidR="006A05C0" w:rsidRDefault="00197FAE" w:rsidP="00531ED8">
      <w:pPr>
        <w:rPr>
          <w:i/>
          <w:sz w:val="24"/>
          <w:szCs w:val="24"/>
          <w:lang w:val="en-US"/>
        </w:rPr>
      </w:pPr>
      <w:r>
        <w:rPr>
          <w:b/>
          <w:i/>
          <w:noProof/>
          <w:sz w:val="28"/>
          <w:szCs w:val="28"/>
          <w:lang w:eastAsia="nl-NL"/>
        </w:rPr>
        <w:drawing>
          <wp:anchor distT="0" distB="0" distL="114300" distR="114300" simplePos="0" relativeHeight="251663360" behindDoc="0" locked="0" layoutInCell="1" allowOverlap="1">
            <wp:simplePos x="0" y="0"/>
            <wp:positionH relativeFrom="column">
              <wp:posOffset>5080</wp:posOffset>
            </wp:positionH>
            <wp:positionV relativeFrom="paragraph">
              <wp:posOffset>42545</wp:posOffset>
            </wp:positionV>
            <wp:extent cx="3067050" cy="2571750"/>
            <wp:effectExtent l="57150" t="0" r="57150" b="76200"/>
            <wp:wrapSquare wrapText="bothSides"/>
            <wp:docPr id="5"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492D64" w:rsidRPr="00890F6F">
        <w:rPr>
          <w:b/>
          <w:i/>
          <w:sz w:val="28"/>
          <w:szCs w:val="28"/>
          <w:lang w:val="en-US"/>
        </w:rPr>
        <w:br/>
      </w:r>
    </w:p>
    <w:p w:rsidR="00614A43" w:rsidRPr="00D17531" w:rsidRDefault="006A05C0" w:rsidP="00531ED8">
      <w:pPr>
        <w:rPr>
          <w:sz w:val="24"/>
          <w:szCs w:val="24"/>
          <w:lang w:val="en-US"/>
        </w:rPr>
      </w:pPr>
      <w:r>
        <w:rPr>
          <w:i/>
          <w:sz w:val="24"/>
          <w:szCs w:val="24"/>
          <w:lang w:val="en-US"/>
        </w:rPr>
        <w:t>Low interest rate on mortgages</w:t>
      </w:r>
    </w:p>
    <w:p w:rsidR="004A22A6" w:rsidRDefault="00E639AB">
      <w:pPr>
        <w:rPr>
          <w:sz w:val="24"/>
          <w:szCs w:val="24"/>
          <w:lang w:val="en-US"/>
        </w:rPr>
      </w:pPr>
      <w:r>
        <w:rPr>
          <w:sz w:val="24"/>
          <w:szCs w:val="24"/>
          <w:lang w:val="en-US"/>
        </w:rPr>
        <w:br/>
      </w:r>
      <w:r w:rsidR="00A07884">
        <w:rPr>
          <w:sz w:val="24"/>
          <w:szCs w:val="24"/>
          <w:lang w:val="en-US"/>
        </w:rPr>
        <w:t>As we have seen the Spanish government was quite conservative in their spending, on the other ha</w:t>
      </w:r>
      <w:r w:rsidR="00F006A9">
        <w:rPr>
          <w:sz w:val="24"/>
          <w:szCs w:val="24"/>
          <w:lang w:val="en-US"/>
        </w:rPr>
        <w:t>nd Spanish firms and households</w:t>
      </w:r>
      <w:r w:rsidR="000C35E6">
        <w:rPr>
          <w:sz w:val="24"/>
          <w:szCs w:val="24"/>
          <w:lang w:val="en-US"/>
        </w:rPr>
        <w:t xml:space="preserve"> financed their activities with cheap credit in increasing amounts. Households had the luxury of high house prices and co</w:t>
      </w:r>
      <w:r w:rsidR="004865D0">
        <w:rPr>
          <w:sz w:val="24"/>
          <w:szCs w:val="24"/>
          <w:lang w:val="en-US"/>
        </w:rPr>
        <w:t>ming with it so called housing wealth.</w:t>
      </w:r>
      <w:r w:rsidR="004A22A6" w:rsidRPr="004A22A6">
        <w:rPr>
          <w:sz w:val="24"/>
          <w:szCs w:val="24"/>
          <w:lang w:val="en-US"/>
        </w:rPr>
        <w:t xml:space="preserve"> </w:t>
      </w:r>
      <w:r w:rsidR="004A22A6">
        <w:rPr>
          <w:sz w:val="24"/>
          <w:szCs w:val="24"/>
          <w:lang w:val="en-US"/>
        </w:rPr>
        <w:t>Increasing consumption, high economic growth and inflation were the results. Households, firms and banks thought that the sky was the limit thereby even attracting more leverage to finance their expenditures.</w:t>
      </w:r>
      <w:r w:rsidR="00776754">
        <w:rPr>
          <w:sz w:val="24"/>
          <w:szCs w:val="24"/>
          <w:lang w:val="en-US"/>
        </w:rPr>
        <w:t xml:space="preserve"> However, many economists studied the effect of lower interest rates on housing cycles and didn’t find a significant relationship.</w:t>
      </w:r>
      <w:r w:rsidR="007D7162">
        <w:rPr>
          <w:sz w:val="24"/>
          <w:szCs w:val="24"/>
          <w:lang w:val="en-US"/>
        </w:rPr>
        <w:t xml:space="preserve"> </w:t>
      </w:r>
      <w:sdt>
        <w:sdtPr>
          <w:rPr>
            <w:sz w:val="24"/>
            <w:szCs w:val="24"/>
            <w:lang w:val="en-US"/>
          </w:rPr>
          <w:id w:val="2707617"/>
          <w:citation/>
        </w:sdtPr>
        <w:sdtContent>
          <w:r w:rsidR="00D35F06">
            <w:rPr>
              <w:sz w:val="24"/>
              <w:szCs w:val="24"/>
              <w:lang w:val="en-US"/>
            </w:rPr>
            <w:fldChar w:fldCharType="begin"/>
          </w:r>
          <w:r w:rsidR="007D7162" w:rsidRPr="00C752FE">
            <w:rPr>
              <w:sz w:val="24"/>
              <w:szCs w:val="24"/>
              <w:lang w:val="en-US"/>
            </w:rPr>
            <w:instrText xml:space="preserve"> CITATION Asp10 \l 1043 </w:instrText>
          </w:r>
          <w:r w:rsidR="00D35F06">
            <w:rPr>
              <w:sz w:val="24"/>
              <w:szCs w:val="24"/>
              <w:lang w:val="en-US"/>
            </w:rPr>
            <w:fldChar w:fldCharType="separate"/>
          </w:r>
          <w:r w:rsidR="007D7162" w:rsidRPr="007D7162">
            <w:rPr>
              <w:noProof/>
              <w:sz w:val="24"/>
              <w:szCs w:val="24"/>
              <w:lang w:val="en-GB"/>
            </w:rPr>
            <w:t>(Aspachs-Bracons &amp; Rabanal, 2010)</w:t>
          </w:r>
          <w:r w:rsidR="00D35F06">
            <w:rPr>
              <w:sz w:val="24"/>
              <w:szCs w:val="24"/>
              <w:lang w:val="en-US"/>
            </w:rPr>
            <w:fldChar w:fldCharType="end"/>
          </w:r>
        </w:sdtContent>
      </w:sdt>
      <w:r w:rsidR="007D7162">
        <w:rPr>
          <w:sz w:val="24"/>
          <w:szCs w:val="24"/>
          <w:lang w:val="en-US"/>
        </w:rPr>
        <w:t xml:space="preserve"> </w:t>
      </w:r>
      <w:r w:rsidR="00776754">
        <w:rPr>
          <w:sz w:val="24"/>
          <w:szCs w:val="24"/>
          <w:lang w:val="en-US"/>
        </w:rPr>
        <w:t xml:space="preserve"> This result points in the direction that the </w:t>
      </w:r>
      <w:r w:rsidR="007D7162">
        <w:rPr>
          <w:sz w:val="24"/>
          <w:szCs w:val="24"/>
          <w:lang w:val="en-US"/>
        </w:rPr>
        <w:t>lower cost of housing has only</w:t>
      </w:r>
      <w:r w:rsidR="00776754">
        <w:rPr>
          <w:sz w:val="24"/>
          <w:szCs w:val="24"/>
          <w:lang w:val="en-US"/>
        </w:rPr>
        <w:t xml:space="preserve"> little </w:t>
      </w:r>
      <w:r w:rsidR="007D7162">
        <w:rPr>
          <w:sz w:val="24"/>
          <w:szCs w:val="24"/>
          <w:lang w:val="en-US"/>
        </w:rPr>
        <w:t>added in explaining an increasing demand for dwellings. As will be made clear below, the popularity of home-ownership already started well before the monetary union was mentioned.</w:t>
      </w:r>
      <w:r w:rsidR="004D0A76">
        <w:rPr>
          <w:sz w:val="24"/>
          <w:szCs w:val="24"/>
          <w:lang w:val="en-US"/>
        </w:rPr>
        <w:t xml:space="preserve"> However, </w:t>
      </w:r>
      <w:r w:rsidR="007D7162">
        <w:rPr>
          <w:sz w:val="24"/>
          <w:szCs w:val="24"/>
          <w:lang w:val="en-US"/>
        </w:rPr>
        <w:t xml:space="preserve"> </w:t>
      </w:r>
      <w:r w:rsidR="004D0A76">
        <w:rPr>
          <w:sz w:val="24"/>
          <w:szCs w:val="24"/>
          <w:lang w:val="en-US"/>
        </w:rPr>
        <w:t>the role of cheap credit is very important in explaining the increasing indebtedness of Spanish firms and households. More abou</w:t>
      </w:r>
      <w:r w:rsidR="00121C5D">
        <w:rPr>
          <w:sz w:val="24"/>
          <w:szCs w:val="24"/>
          <w:lang w:val="en-US"/>
        </w:rPr>
        <w:t>t this will be discussed in Section</w:t>
      </w:r>
      <w:r w:rsidR="006D6E14">
        <w:rPr>
          <w:sz w:val="24"/>
          <w:szCs w:val="24"/>
          <w:lang w:val="en-US"/>
        </w:rPr>
        <w:t xml:space="preserve"> IV.</w:t>
      </w:r>
      <w:r w:rsidR="005E281C">
        <w:rPr>
          <w:sz w:val="24"/>
          <w:szCs w:val="24"/>
          <w:lang w:val="en-US"/>
        </w:rPr>
        <w:br/>
      </w:r>
    </w:p>
    <w:p w:rsidR="00B03507" w:rsidRPr="00B03507" w:rsidRDefault="004C05B4">
      <w:pPr>
        <w:rPr>
          <w:i/>
          <w:sz w:val="24"/>
          <w:szCs w:val="24"/>
          <w:lang w:val="en-US"/>
        </w:rPr>
      </w:pPr>
      <w:r>
        <w:rPr>
          <w:i/>
          <w:sz w:val="24"/>
          <w:szCs w:val="24"/>
          <w:lang w:val="en-US"/>
        </w:rPr>
        <w:lastRenderedPageBreak/>
        <w:t>Spanish home-ownership rate</w:t>
      </w:r>
      <w:r w:rsidR="005E281C">
        <w:rPr>
          <w:i/>
          <w:sz w:val="24"/>
          <w:szCs w:val="24"/>
          <w:lang w:val="en-US"/>
        </w:rPr>
        <w:br/>
      </w:r>
    </w:p>
    <w:p w:rsidR="000660F0" w:rsidRDefault="00070ED5">
      <w:pPr>
        <w:rPr>
          <w:sz w:val="24"/>
          <w:szCs w:val="24"/>
          <w:lang w:val="en-US"/>
        </w:rPr>
      </w:pPr>
      <w:r>
        <w:rPr>
          <w:sz w:val="24"/>
          <w:szCs w:val="24"/>
          <w:lang w:val="en-US"/>
        </w:rPr>
        <w:t>Additional to high house prices, Spanish homeownership has been stimulated by low net costs of mortgages. Among the members states Spain can present the second lowest net mortgage costs</w:t>
      </w:r>
      <w:r w:rsidR="004A22A6">
        <w:rPr>
          <w:sz w:val="24"/>
          <w:szCs w:val="24"/>
          <w:lang w:val="en-US"/>
        </w:rPr>
        <w:t xml:space="preserve"> between 1999-2004</w:t>
      </w:r>
      <w:r>
        <w:rPr>
          <w:sz w:val="24"/>
          <w:szCs w:val="24"/>
          <w:lang w:val="en-US"/>
        </w:rPr>
        <w:t xml:space="preserve"> after the Netherlands. </w:t>
      </w:r>
      <w:sdt>
        <w:sdtPr>
          <w:rPr>
            <w:sz w:val="24"/>
            <w:szCs w:val="24"/>
            <w:lang w:val="en-US"/>
          </w:rPr>
          <w:id w:val="6728279"/>
          <w:citation/>
        </w:sdtPr>
        <w:sdtContent>
          <w:r w:rsidR="00D35F06">
            <w:rPr>
              <w:sz w:val="24"/>
              <w:szCs w:val="24"/>
              <w:lang w:val="en-US"/>
            </w:rPr>
            <w:fldChar w:fldCharType="begin"/>
          </w:r>
          <w:r>
            <w:rPr>
              <w:sz w:val="24"/>
              <w:szCs w:val="24"/>
              <w:lang w:val="en-US"/>
            </w:rPr>
            <w:instrText xml:space="preserve"> CITATION Neu04 \l 1033 </w:instrText>
          </w:r>
          <w:r w:rsidR="00D35F06">
            <w:rPr>
              <w:sz w:val="24"/>
              <w:szCs w:val="24"/>
              <w:lang w:val="en-US"/>
            </w:rPr>
            <w:fldChar w:fldCharType="separate"/>
          </w:r>
          <w:r w:rsidRPr="00070ED5">
            <w:rPr>
              <w:noProof/>
              <w:sz w:val="24"/>
              <w:szCs w:val="24"/>
              <w:lang w:val="en-US"/>
            </w:rPr>
            <w:t>(Neuteboom, 2004)</w:t>
          </w:r>
          <w:r w:rsidR="00D35F06">
            <w:rPr>
              <w:sz w:val="24"/>
              <w:szCs w:val="24"/>
              <w:lang w:val="en-US"/>
            </w:rPr>
            <w:fldChar w:fldCharType="end"/>
          </w:r>
        </w:sdtContent>
      </w:sdt>
      <w:r w:rsidR="00363CF1">
        <w:rPr>
          <w:sz w:val="24"/>
          <w:szCs w:val="24"/>
          <w:lang w:val="en-US"/>
        </w:rPr>
        <w:t xml:space="preserve"> Figure 8 shows  that Spain also has the highest homeownership rate of all OECD countries in 2004; </w:t>
      </w:r>
      <w:r w:rsidR="000660F0">
        <w:rPr>
          <w:sz w:val="24"/>
          <w:szCs w:val="24"/>
          <w:lang w:val="en-US"/>
        </w:rPr>
        <w:t>much</w:t>
      </w:r>
      <w:r w:rsidR="00363CF1">
        <w:rPr>
          <w:sz w:val="24"/>
          <w:szCs w:val="24"/>
          <w:lang w:val="en-US"/>
        </w:rPr>
        <w:t xml:space="preserve"> higher than the US.</w:t>
      </w:r>
    </w:p>
    <w:p w:rsidR="000660F0" w:rsidRDefault="000660F0">
      <w:pPr>
        <w:rPr>
          <w:sz w:val="24"/>
          <w:szCs w:val="24"/>
          <w:lang w:val="en-US"/>
        </w:rPr>
      </w:pPr>
      <w:r w:rsidRPr="000660F0">
        <w:rPr>
          <w:noProof/>
          <w:sz w:val="24"/>
          <w:szCs w:val="24"/>
          <w:lang w:eastAsia="nl-NL"/>
        </w:rPr>
        <w:drawing>
          <wp:inline distT="0" distB="0" distL="0" distR="0">
            <wp:extent cx="5534025" cy="3133725"/>
            <wp:effectExtent l="57150" t="0" r="47625" b="66675"/>
            <wp:docPr id="8"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5A246B">
        <w:rPr>
          <w:sz w:val="24"/>
          <w:szCs w:val="24"/>
          <w:lang w:val="en-US"/>
        </w:rPr>
        <w:br/>
      </w:r>
    </w:p>
    <w:p w:rsidR="00605899" w:rsidRDefault="00363CF1">
      <w:pPr>
        <w:rPr>
          <w:sz w:val="24"/>
          <w:szCs w:val="24"/>
          <w:lang w:val="en-US"/>
        </w:rPr>
      </w:pPr>
      <w:r>
        <w:rPr>
          <w:sz w:val="24"/>
          <w:szCs w:val="24"/>
          <w:lang w:val="en-US"/>
        </w:rPr>
        <w:t xml:space="preserve">It is straightforward that when the cost of mortgages decreases it becomes more attractive to </w:t>
      </w:r>
      <w:r w:rsidR="000660F0">
        <w:rPr>
          <w:sz w:val="24"/>
          <w:szCs w:val="24"/>
          <w:lang w:val="en-US"/>
        </w:rPr>
        <w:t xml:space="preserve">buy a house instead of renting one, but this does not explain everything. The Netherlands, </w:t>
      </w:r>
      <w:r w:rsidR="00262FD3">
        <w:rPr>
          <w:sz w:val="24"/>
          <w:szCs w:val="24"/>
          <w:lang w:val="en-US"/>
        </w:rPr>
        <w:t>with</w:t>
      </w:r>
      <w:r w:rsidR="000660F0">
        <w:rPr>
          <w:sz w:val="24"/>
          <w:szCs w:val="24"/>
          <w:lang w:val="en-US"/>
        </w:rPr>
        <w:t xml:space="preserve"> the lowest net cost of mortgages</w:t>
      </w:r>
      <w:r w:rsidR="00262FD3">
        <w:rPr>
          <w:sz w:val="24"/>
          <w:szCs w:val="24"/>
          <w:lang w:val="en-US"/>
        </w:rPr>
        <w:t xml:space="preserve"> </w:t>
      </w:r>
      <w:sdt>
        <w:sdtPr>
          <w:rPr>
            <w:sz w:val="24"/>
            <w:szCs w:val="24"/>
            <w:lang w:val="en-US"/>
          </w:rPr>
          <w:id w:val="6728280"/>
          <w:citation/>
        </w:sdtPr>
        <w:sdtContent>
          <w:r w:rsidR="00D35F06">
            <w:rPr>
              <w:sz w:val="24"/>
              <w:szCs w:val="24"/>
              <w:lang w:val="en-US"/>
            </w:rPr>
            <w:fldChar w:fldCharType="begin"/>
          </w:r>
          <w:r w:rsidR="00262FD3">
            <w:rPr>
              <w:sz w:val="24"/>
              <w:szCs w:val="24"/>
              <w:lang w:val="en-US"/>
            </w:rPr>
            <w:instrText xml:space="preserve"> CITATION Neu04 \l 1033 </w:instrText>
          </w:r>
          <w:r w:rsidR="00D35F06">
            <w:rPr>
              <w:sz w:val="24"/>
              <w:szCs w:val="24"/>
              <w:lang w:val="en-US"/>
            </w:rPr>
            <w:fldChar w:fldCharType="separate"/>
          </w:r>
          <w:r w:rsidR="00262FD3" w:rsidRPr="00262FD3">
            <w:rPr>
              <w:noProof/>
              <w:sz w:val="24"/>
              <w:szCs w:val="24"/>
              <w:lang w:val="en-US"/>
            </w:rPr>
            <w:t>(Neuteboom, 2004)</w:t>
          </w:r>
          <w:r w:rsidR="00D35F06">
            <w:rPr>
              <w:sz w:val="24"/>
              <w:szCs w:val="24"/>
              <w:lang w:val="en-US"/>
            </w:rPr>
            <w:fldChar w:fldCharType="end"/>
          </w:r>
        </w:sdtContent>
      </w:sdt>
      <w:r w:rsidR="000660F0">
        <w:rPr>
          <w:sz w:val="24"/>
          <w:szCs w:val="24"/>
          <w:lang w:val="en-US"/>
        </w:rPr>
        <w:t xml:space="preserve"> (or th</w:t>
      </w:r>
      <w:r w:rsidR="00C5376F">
        <w:rPr>
          <w:sz w:val="24"/>
          <w:szCs w:val="24"/>
          <w:lang w:val="en-US"/>
        </w:rPr>
        <w:t>e most attractive mortgages) had</w:t>
      </w:r>
      <w:r w:rsidR="00EE74EB">
        <w:rPr>
          <w:sz w:val="24"/>
          <w:szCs w:val="24"/>
          <w:lang w:val="en-US"/>
        </w:rPr>
        <w:t xml:space="preserve"> a much lower home-o</w:t>
      </w:r>
      <w:r w:rsidR="000660F0">
        <w:rPr>
          <w:sz w:val="24"/>
          <w:szCs w:val="24"/>
          <w:lang w:val="en-US"/>
        </w:rPr>
        <w:t>wnership rate</w:t>
      </w:r>
      <w:r w:rsidR="00AD10BE">
        <w:rPr>
          <w:sz w:val="24"/>
          <w:szCs w:val="24"/>
          <w:lang w:val="en-US"/>
        </w:rPr>
        <w:t xml:space="preserve"> back in 2004</w:t>
      </w:r>
      <w:r w:rsidR="000660F0">
        <w:rPr>
          <w:sz w:val="24"/>
          <w:szCs w:val="24"/>
          <w:lang w:val="en-US"/>
        </w:rPr>
        <w:t>.</w:t>
      </w:r>
      <w:r w:rsidR="00F24707">
        <w:rPr>
          <w:sz w:val="24"/>
          <w:szCs w:val="24"/>
          <w:lang w:val="en-US"/>
        </w:rPr>
        <w:t xml:space="preserve"> The explanation is imbedded in cultural differences that have rooted in the different countries years ago. Mediterranean welfare states have not developed like those of the NMS. In short this means that they cannot completely rely on the welfare services the state provides. The result is that households are greatly responsible for their own financial future. Therefore a tenure developed that households seek to invest in family </w:t>
      </w:r>
      <w:r w:rsidR="00661EB3">
        <w:rPr>
          <w:sz w:val="24"/>
          <w:szCs w:val="24"/>
          <w:lang w:val="en-US"/>
        </w:rPr>
        <w:t>assets, in particular in illiquid</w:t>
      </w:r>
      <w:r w:rsidR="00DD6B65">
        <w:rPr>
          <w:sz w:val="24"/>
          <w:szCs w:val="24"/>
          <w:lang w:val="en-US"/>
        </w:rPr>
        <w:t xml:space="preserve"> residential</w:t>
      </w:r>
      <w:r w:rsidR="00661EB3">
        <w:rPr>
          <w:sz w:val="24"/>
          <w:szCs w:val="24"/>
          <w:lang w:val="en-US"/>
        </w:rPr>
        <w:t xml:space="preserve"> property. It is generally believed that this is a save way of saving and investing, since it </w:t>
      </w:r>
      <w:r w:rsidR="00D17531">
        <w:rPr>
          <w:sz w:val="24"/>
          <w:szCs w:val="24"/>
          <w:lang w:val="en-US"/>
        </w:rPr>
        <w:t>is inflation</w:t>
      </w:r>
      <w:r w:rsidR="00121C5D">
        <w:rPr>
          <w:sz w:val="24"/>
          <w:szCs w:val="24"/>
          <w:lang w:val="en-US"/>
        </w:rPr>
        <w:t xml:space="preserve"> proof</w:t>
      </w:r>
      <w:r w:rsidR="00661EB3">
        <w:rPr>
          <w:sz w:val="24"/>
          <w:szCs w:val="24"/>
          <w:lang w:val="en-US"/>
        </w:rPr>
        <w:t xml:space="preserve">. Before the </w:t>
      </w:r>
      <w:proofErr w:type="spellStart"/>
      <w:r w:rsidR="00661EB3">
        <w:rPr>
          <w:sz w:val="24"/>
          <w:szCs w:val="24"/>
          <w:lang w:val="en-US"/>
        </w:rPr>
        <w:t>eurozone</w:t>
      </w:r>
      <w:proofErr w:type="spellEnd"/>
      <w:r w:rsidR="00661EB3">
        <w:rPr>
          <w:sz w:val="24"/>
          <w:szCs w:val="24"/>
          <w:lang w:val="en-US"/>
        </w:rPr>
        <w:t xml:space="preserve"> became a fact the SMS faced much higher inflation than the NMS. </w:t>
      </w:r>
      <w:r w:rsidR="00F24707">
        <w:rPr>
          <w:sz w:val="24"/>
          <w:szCs w:val="24"/>
          <w:lang w:val="en-US"/>
        </w:rPr>
        <w:t xml:space="preserve"> </w:t>
      </w:r>
      <w:r w:rsidR="00B03507">
        <w:rPr>
          <w:sz w:val="24"/>
          <w:szCs w:val="24"/>
          <w:lang w:val="en-US"/>
        </w:rPr>
        <w:t>Other consumption goods which are less durable decrease in value every year, while it was believed that housing prices tend to increase in value forever.</w:t>
      </w:r>
      <w:r w:rsidR="004C05B4">
        <w:rPr>
          <w:sz w:val="24"/>
          <w:szCs w:val="24"/>
          <w:lang w:val="en-US"/>
        </w:rPr>
        <w:t xml:space="preserve"> </w:t>
      </w:r>
      <w:sdt>
        <w:sdtPr>
          <w:rPr>
            <w:sz w:val="24"/>
            <w:szCs w:val="24"/>
            <w:lang w:val="en-US"/>
          </w:rPr>
          <w:id w:val="1687417"/>
          <w:citation/>
        </w:sdtPr>
        <w:sdtContent>
          <w:r w:rsidR="00D35F06">
            <w:rPr>
              <w:sz w:val="24"/>
              <w:szCs w:val="24"/>
              <w:lang w:val="en-US"/>
            </w:rPr>
            <w:fldChar w:fldCharType="begin"/>
          </w:r>
          <w:r w:rsidR="00627EF6" w:rsidRPr="00DD6B65">
            <w:rPr>
              <w:sz w:val="24"/>
              <w:szCs w:val="24"/>
              <w:lang w:val="en-GB"/>
            </w:rPr>
            <w:instrText xml:space="preserve"> CITATION Hoe09 \l 1043 </w:instrText>
          </w:r>
          <w:r w:rsidR="00D35F06">
            <w:rPr>
              <w:sz w:val="24"/>
              <w:szCs w:val="24"/>
              <w:lang w:val="en-US"/>
            </w:rPr>
            <w:fldChar w:fldCharType="separate"/>
          </w:r>
          <w:r w:rsidR="00627EF6" w:rsidRPr="00DD6B65">
            <w:rPr>
              <w:noProof/>
              <w:sz w:val="24"/>
              <w:szCs w:val="24"/>
              <w:lang w:val="en-GB"/>
            </w:rPr>
            <w:t>(Hoekstra &amp; Vakili-Zad, 2009)</w:t>
          </w:r>
          <w:r w:rsidR="00D35F06">
            <w:rPr>
              <w:sz w:val="24"/>
              <w:szCs w:val="24"/>
              <w:lang w:val="en-US"/>
            </w:rPr>
            <w:fldChar w:fldCharType="end"/>
          </w:r>
        </w:sdtContent>
      </w:sdt>
    </w:p>
    <w:p w:rsidR="00DD6B65" w:rsidRDefault="00DD6B65">
      <w:pPr>
        <w:rPr>
          <w:sz w:val="24"/>
          <w:szCs w:val="24"/>
          <w:lang w:val="en-US"/>
        </w:rPr>
      </w:pPr>
      <w:r>
        <w:rPr>
          <w:sz w:val="24"/>
          <w:szCs w:val="24"/>
          <w:lang w:val="en-US"/>
        </w:rPr>
        <w:t>A second explanation finds itself in strict rent regulation</w:t>
      </w:r>
      <w:r w:rsidR="00563D21">
        <w:rPr>
          <w:sz w:val="24"/>
          <w:szCs w:val="24"/>
          <w:lang w:val="en-US"/>
        </w:rPr>
        <w:t xml:space="preserve"> and tenant protection</w:t>
      </w:r>
      <w:r>
        <w:rPr>
          <w:sz w:val="24"/>
          <w:szCs w:val="24"/>
          <w:lang w:val="en-US"/>
        </w:rPr>
        <w:t>.</w:t>
      </w:r>
      <w:r w:rsidR="00D97507">
        <w:rPr>
          <w:sz w:val="24"/>
          <w:szCs w:val="24"/>
          <w:lang w:val="en-US"/>
        </w:rPr>
        <w:t xml:space="preserve"> Back in 1950 Spain’s home-ownership rate did not even reach the 50%. So there was enough space for the private dwelling rental sector. The reason that these relative shares shifted in favor of home-ownership can be explained by the governmen</w:t>
      </w:r>
      <w:r w:rsidR="00EE74EB">
        <w:rPr>
          <w:sz w:val="24"/>
          <w:szCs w:val="24"/>
          <w:lang w:val="en-US"/>
        </w:rPr>
        <w:t>t regulation after the Spanish c</w:t>
      </w:r>
      <w:r w:rsidR="00D97507">
        <w:rPr>
          <w:sz w:val="24"/>
          <w:szCs w:val="24"/>
          <w:lang w:val="en-US"/>
        </w:rPr>
        <w:t xml:space="preserve">ivil war. Many </w:t>
      </w:r>
      <w:r w:rsidR="00D97507">
        <w:rPr>
          <w:sz w:val="24"/>
          <w:szCs w:val="24"/>
          <w:lang w:val="en-US"/>
        </w:rPr>
        <w:lastRenderedPageBreak/>
        <w:t>houses have been destroyed during the war. This had considerable rising rents as a consequence. The Franco regime that seized power was afraid that the middle class would be harmed by the rising costs of living. The regime has been so committed to the middle class, because they got much support from them during the war. The</w:t>
      </w:r>
      <w:r w:rsidR="00563D21">
        <w:rPr>
          <w:sz w:val="24"/>
          <w:szCs w:val="24"/>
          <w:lang w:val="en-US"/>
        </w:rPr>
        <w:t xml:space="preserve"> outcome was strict rent regulation at the end of the 1950s called the Urban Rental Laws. These laws froze the rents and furnished for contracts that had no end date. Although, these regulations have been liberalized, contracts still have no end date and tenant protection remains strong. The clearance of non-paying tenants goes with long judicial procedures. The strong tenant protection caused a moral hazard problem in which Spain got considerably more non-payers than other countries. These problems in the renting sector made many unwilling to participate in this sector in the role of landlord.</w:t>
      </w:r>
      <w:r w:rsidR="00D97507">
        <w:rPr>
          <w:sz w:val="24"/>
          <w:szCs w:val="24"/>
          <w:lang w:val="en-US"/>
        </w:rPr>
        <w:t xml:space="preserve"> </w:t>
      </w:r>
      <w:r w:rsidR="00563D21">
        <w:rPr>
          <w:sz w:val="24"/>
          <w:szCs w:val="24"/>
          <w:lang w:val="en-US"/>
        </w:rPr>
        <w:t>The renting sector in Spain therefore had become and still is very unpopular.</w:t>
      </w:r>
      <w:r w:rsidR="00B60D75">
        <w:rPr>
          <w:sz w:val="24"/>
          <w:szCs w:val="24"/>
          <w:lang w:val="en-US"/>
        </w:rPr>
        <w:t xml:space="preserve"> </w:t>
      </w:r>
      <w:sdt>
        <w:sdtPr>
          <w:rPr>
            <w:sz w:val="24"/>
            <w:szCs w:val="24"/>
            <w:lang w:val="en-US"/>
          </w:rPr>
          <w:id w:val="2707616"/>
          <w:citation/>
        </w:sdtPr>
        <w:sdtContent>
          <w:r w:rsidR="00D35F06">
            <w:rPr>
              <w:sz w:val="24"/>
              <w:szCs w:val="24"/>
              <w:lang w:val="en-US"/>
            </w:rPr>
            <w:fldChar w:fldCharType="begin"/>
          </w:r>
          <w:r w:rsidR="00B60D75" w:rsidRPr="00C752FE">
            <w:rPr>
              <w:sz w:val="24"/>
              <w:szCs w:val="24"/>
              <w:lang w:val="en-US"/>
            </w:rPr>
            <w:instrText xml:space="preserve"> CITATION Hoe09 \l 1043 </w:instrText>
          </w:r>
          <w:r w:rsidR="00D35F06">
            <w:rPr>
              <w:sz w:val="24"/>
              <w:szCs w:val="24"/>
              <w:lang w:val="en-US"/>
            </w:rPr>
            <w:fldChar w:fldCharType="separate"/>
          </w:r>
          <w:r w:rsidR="00B60D75" w:rsidRPr="00C752FE">
            <w:rPr>
              <w:noProof/>
              <w:sz w:val="24"/>
              <w:szCs w:val="24"/>
              <w:lang w:val="en-US"/>
            </w:rPr>
            <w:t>(Hoekstra &amp; Vakili-Zad, 2009)</w:t>
          </w:r>
          <w:r w:rsidR="00D35F06">
            <w:rPr>
              <w:sz w:val="24"/>
              <w:szCs w:val="24"/>
              <w:lang w:val="en-US"/>
            </w:rPr>
            <w:fldChar w:fldCharType="end"/>
          </w:r>
        </w:sdtContent>
      </w:sdt>
    </w:p>
    <w:p w:rsidR="00605899" w:rsidRDefault="004C05B4">
      <w:pPr>
        <w:rPr>
          <w:sz w:val="24"/>
          <w:szCs w:val="24"/>
          <w:lang w:val="en-US"/>
        </w:rPr>
      </w:pPr>
      <w:r>
        <w:rPr>
          <w:sz w:val="24"/>
          <w:szCs w:val="24"/>
          <w:lang w:val="en-US"/>
        </w:rPr>
        <w:t xml:space="preserve">Another aspect that contributed to increasing investments in illiquid </w:t>
      </w:r>
      <w:r w:rsidR="00112FF5">
        <w:rPr>
          <w:sz w:val="24"/>
          <w:szCs w:val="24"/>
          <w:lang w:val="en-US"/>
        </w:rPr>
        <w:t xml:space="preserve">residential </w:t>
      </w:r>
      <w:r>
        <w:rPr>
          <w:sz w:val="24"/>
          <w:szCs w:val="24"/>
          <w:lang w:val="en-US"/>
        </w:rPr>
        <w:t xml:space="preserve">property is the relatively large informal sector in Spain. The reason that the real estate sector became attractive to black market investments is for the simple reason that there was a general believe that </w:t>
      </w:r>
      <w:r w:rsidR="00112FF5">
        <w:rPr>
          <w:sz w:val="24"/>
          <w:szCs w:val="24"/>
          <w:lang w:val="en-US"/>
        </w:rPr>
        <w:t>house</w:t>
      </w:r>
      <w:r>
        <w:rPr>
          <w:sz w:val="24"/>
          <w:szCs w:val="24"/>
          <w:lang w:val="en-US"/>
        </w:rPr>
        <w:t xml:space="preserve"> prices didn’t stop increasing</w:t>
      </w:r>
      <w:r w:rsidR="00D17531">
        <w:rPr>
          <w:sz w:val="24"/>
          <w:szCs w:val="24"/>
          <w:lang w:val="en-US"/>
        </w:rPr>
        <w:t xml:space="preserve">. </w:t>
      </w:r>
      <w:sdt>
        <w:sdtPr>
          <w:rPr>
            <w:sz w:val="24"/>
            <w:szCs w:val="24"/>
            <w:lang w:val="en-US"/>
          </w:rPr>
          <w:id w:val="2707618"/>
          <w:citation/>
        </w:sdtPr>
        <w:sdtContent>
          <w:r w:rsidR="00D35F06">
            <w:rPr>
              <w:sz w:val="24"/>
              <w:szCs w:val="24"/>
              <w:lang w:val="en-US"/>
            </w:rPr>
            <w:fldChar w:fldCharType="begin"/>
          </w:r>
          <w:r w:rsidR="000C401F" w:rsidRPr="00C752FE">
            <w:rPr>
              <w:sz w:val="24"/>
              <w:szCs w:val="24"/>
              <w:lang w:val="en-US"/>
            </w:rPr>
            <w:instrText xml:space="preserve"> CITATION Hoe09 \l 1043 </w:instrText>
          </w:r>
          <w:r w:rsidR="00D35F06">
            <w:rPr>
              <w:sz w:val="24"/>
              <w:szCs w:val="24"/>
              <w:lang w:val="en-US"/>
            </w:rPr>
            <w:fldChar w:fldCharType="separate"/>
          </w:r>
          <w:r w:rsidR="000C401F" w:rsidRPr="00C752FE">
            <w:rPr>
              <w:noProof/>
              <w:sz w:val="24"/>
              <w:szCs w:val="24"/>
              <w:lang w:val="en-US"/>
            </w:rPr>
            <w:t>(Hoekstra &amp; Vakili-Zad, 2009)</w:t>
          </w:r>
          <w:r w:rsidR="00D35F06">
            <w:rPr>
              <w:sz w:val="24"/>
              <w:szCs w:val="24"/>
              <w:lang w:val="en-US"/>
            </w:rPr>
            <w:fldChar w:fldCharType="end"/>
          </w:r>
        </w:sdtContent>
      </w:sdt>
    </w:p>
    <w:p w:rsidR="00605899" w:rsidRDefault="001C4325">
      <w:pPr>
        <w:rPr>
          <w:sz w:val="24"/>
          <w:szCs w:val="24"/>
          <w:lang w:val="en-US"/>
        </w:rPr>
      </w:pPr>
      <w:r>
        <w:rPr>
          <w:sz w:val="24"/>
          <w:szCs w:val="24"/>
          <w:lang w:val="en-US"/>
        </w:rPr>
        <w:t>What also played a role is that after</w:t>
      </w:r>
      <w:r w:rsidR="00D17531">
        <w:rPr>
          <w:sz w:val="24"/>
          <w:szCs w:val="24"/>
          <w:lang w:val="en-US"/>
        </w:rPr>
        <w:t xml:space="preserve"> the internet crisis </w:t>
      </w:r>
      <w:r w:rsidR="00112FF5">
        <w:rPr>
          <w:sz w:val="24"/>
          <w:szCs w:val="24"/>
          <w:lang w:val="en-US"/>
        </w:rPr>
        <w:t>many investors started to become more cautious. Many stocks proved to be really volatile and the returns disappointed. Also because of the general believe in forever growing house prices, investing in houses was not a bad idea.</w:t>
      </w:r>
      <w:r>
        <w:rPr>
          <w:sz w:val="24"/>
          <w:szCs w:val="24"/>
          <w:lang w:val="en-US"/>
        </w:rPr>
        <w:t xml:space="preserve"> It went so far, that the number of dwelling</w:t>
      </w:r>
      <w:r w:rsidR="00DD6B65">
        <w:rPr>
          <w:sz w:val="24"/>
          <w:szCs w:val="24"/>
          <w:lang w:val="en-US"/>
        </w:rPr>
        <w:t>s</w:t>
      </w:r>
      <w:r>
        <w:rPr>
          <w:sz w:val="24"/>
          <w:szCs w:val="24"/>
          <w:lang w:val="en-US"/>
        </w:rPr>
        <w:t xml:space="preserve"> grew by 500.000 and the number of households by 300.000</w:t>
      </w:r>
      <w:r w:rsidR="00605899">
        <w:rPr>
          <w:sz w:val="24"/>
          <w:szCs w:val="24"/>
          <w:lang w:val="en-US"/>
        </w:rPr>
        <w:t xml:space="preserve"> since 2001 until 2009.</w:t>
      </w:r>
      <w:r w:rsidR="005D3AC4">
        <w:rPr>
          <w:sz w:val="24"/>
          <w:szCs w:val="24"/>
          <w:lang w:val="en-US"/>
        </w:rPr>
        <w:t xml:space="preserve"> </w:t>
      </w:r>
      <w:sdt>
        <w:sdtPr>
          <w:rPr>
            <w:sz w:val="24"/>
            <w:szCs w:val="24"/>
            <w:lang w:val="en-US"/>
          </w:rPr>
          <w:id w:val="6728281"/>
          <w:citation/>
        </w:sdtPr>
        <w:sdtContent>
          <w:r w:rsidR="00D35F06">
            <w:rPr>
              <w:sz w:val="24"/>
              <w:szCs w:val="24"/>
              <w:lang w:val="en-US"/>
            </w:rPr>
            <w:fldChar w:fldCharType="begin"/>
          </w:r>
          <w:r w:rsidR="005D3AC4">
            <w:rPr>
              <w:sz w:val="24"/>
              <w:szCs w:val="24"/>
              <w:lang w:val="en-US"/>
            </w:rPr>
            <w:instrText xml:space="preserve"> CITATION Hoe09 \l 1033 </w:instrText>
          </w:r>
          <w:r w:rsidR="00D35F06">
            <w:rPr>
              <w:sz w:val="24"/>
              <w:szCs w:val="24"/>
              <w:lang w:val="en-US"/>
            </w:rPr>
            <w:fldChar w:fldCharType="separate"/>
          </w:r>
          <w:r w:rsidR="005D3AC4" w:rsidRPr="005D3AC4">
            <w:rPr>
              <w:noProof/>
              <w:sz w:val="24"/>
              <w:szCs w:val="24"/>
              <w:lang w:val="en-US"/>
            </w:rPr>
            <w:t>(Hoekstra &amp; Vakili-Zad, 2009)</w:t>
          </w:r>
          <w:r w:rsidR="00D35F06">
            <w:rPr>
              <w:sz w:val="24"/>
              <w:szCs w:val="24"/>
              <w:lang w:val="en-US"/>
            </w:rPr>
            <w:fldChar w:fldCharType="end"/>
          </w:r>
        </w:sdtContent>
      </w:sdt>
      <w:r w:rsidR="00605899">
        <w:rPr>
          <w:sz w:val="24"/>
          <w:szCs w:val="24"/>
          <w:lang w:val="en-US"/>
        </w:rPr>
        <w:t xml:space="preserve"> Partially these numbers can be explained by the relatively high n</w:t>
      </w:r>
      <w:r w:rsidR="00627EF6">
        <w:rPr>
          <w:sz w:val="24"/>
          <w:szCs w:val="24"/>
          <w:lang w:val="en-US"/>
        </w:rPr>
        <w:t>umber</w:t>
      </w:r>
      <w:r w:rsidR="00605899">
        <w:rPr>
          <w:sz w:val="24"/>
          <w:szCs w:val="24"/>
          <w:lang w:val="en-US"/>
        </w:rPr>
        <w:t xml:space="preserve"> of second homes that were constructed, but for the lion share this has to do with invest</w:t>
      </w:r>
      <w:r w:rsidR="00627EF6">
        <w:rPr>
          <w:sz w:val="24"/>
          <w:szCs w:val="24"/>
          <w:lang w:val="en-US"/>
        </w:rPr>
        <w:t>ment purposes, adding to the speculative bubble.</w:t>
      </w:r>
    </w:p>
    <w:p w:rsidR="00B03507" w:rsidRPr="005A246B" w:rsidRDefault="00112FF5">
      <w:pPr>
        <w:rPr>
          <w:i/>
          <w:sz w:val="24"/>
          <w:szCs w:val="24"/>
          <w:lang w:val="en-US"/>
        </w:rPr>
      </w:pPr>
      <w:r>
        <w:rPr>
          <w:sz w:val="24"/>
          <w:szCs w:val="24"/>
          <w:lang w:val="en-US"/>
        </w:rPr>
        <w:t>Conclusively, the general believe that house prices would grow forever attracted many to invest in residential property assets, thereby making the general believe a fact until the bubble burst in 2008.</w:t>
      </w:r>
      <w:r w:rsidR="005D3AC4">
        <w:rPr>
          <w:sz w:val="24"/>
          <w:szCs w:val="24"/>
          <w:lang w:val="en-US"/>
        </w:rPr>
        <w:t xml:space="preserve"> </w:t>
      </w:r>
      <w:r w:rsidR="005E281C">
        <w:rPr>
          <w:sz w:val="24"/>
          <w:szCs w:val="24"/>
          <w:lang w:val="en-US"/>
        </w:rPr>
        <w:br/>
      </w:r>
      <w:r w:rsidR="00D0048E">
        <w:rPr>
          <w:sz w:val="24"/>
          <w:szCs w:val="24"/>
          <w:lang w:val="en-US"/>
        </w:rPr>
        <w:br/>
      </w:r>
      <w:r w:rsidR="00B03507" w:rsidRPr="00B03507">
        <w:rPr>
          <w:i/>
          <w:sz w:val="24"/>
          <w:szCs w:val="24"/>
          <w:lang w:val="en-US"/>
        </w:rPr>
        <w:t>Housing wealth and Permanent Income</w:t>
      </w:r>
    </w:p>
    <w:p w:rsidR="00D92B33" w:rsidRDefault="005E281C">
      <w:pPr>
        <w:rPr>
          <w:sz w:val="24"/>
          <w:szCs w:val="24"/>
          <w:lang w:val="en-US"/>
        </w:rPr>
      </w:pPr>
      <w:r>
        <w:rPr>
          <w:sz w:val="24"/>
          <w:szCs w:val="24"/>
          <w:lang w:val="en-US"/>
        </w:rPr>
        <w:br/>
      </w:r>
      <w:r w:rsidR="001360E8">
        <w:rPr>
          <w:sz w:val="24"/>
          <w:szCs w:val="24"/>
          <w:lang w:val="en-US"/>
        </w:rPr>
        <w:t>There is some discussion regarding the</w:t>
      </w:r>
      <w:r w:rsidR="00BA7DF8">
        <w:rPr>
          <w:sz w:val="24"/>
          <w:szCs w:val="24"/>
          <w:lang w:val="en-US"/>
        </w:rPr>
        <w:t xml:space="preserve"> direct</w:t>
      </w:r>
      <w:r w:rsidR="001360E8">
        <w:rPr>
          <w:sz w:val="24"/>
          <w:szCs w:val="24"/>
          <w:lang w:val="en-US"/>
        </w:rPr>
        <w:t xml:space="preserve"> effect of hous</w:t>
      </w:r>
      <w:r w:rsidR="00A26573">
        <w:rPr>
          <w:sz w:val="24"/>
          <w:szCs w:val="24"/>
          <w:lang w:val="en-US"/>
        </w:rPr>
        <w:t>ing wealth on consumption.</w:t>
      </w:r>
      <w:r w:rsidR="00BA7DF8">
        <w:rPr>
          <w:sz w:val="24"/>
          <w:szCs w:val="24"/>
          <w:lang w:val="en-US"/>
        </w:rPr>
        <w:t xml:space="preserve"> While Carro</w:t>
      </w:r>
      <w:r w:rsidR="00985FC2">
        <w:rPr>
          <w:sz w:val="24"/>
          <w:szCs w:val="24"/>
          <w:lang w:val="en-US"/>
        </w:rPr>
        <w:t>l</w:t>
      </w:r>
      <w:r w:rsidR="00BA7DF8">
        <w:rPr>
          <w:sz w:val="24"/>
          <w:szCs w:val="24"/>
          <w:lang w:val="en-US"/>
        </w:rPr>
        <w:t xml:space="preserve">l et al. find that housing wealth directly influences consumption in significant proportion, </w:t>
      </w:r>
      <w:sdt>
        <w:sdtPr>
          <w:rPr>
            <w:sz w:val="24"/>
            <w:szCs w:val="24"/>
            <w:lang w:val="en-US"/>
          </w:rPr>
          <w:id w:val="6728277"/>
          <w:citation/>
        </w:sdtPr>
        <w:sdtContent>
          <w:r w:rsidR="00D35F06">
            <w:rPr>
              <w:sz w:val="24"/>
              <w:szCs w:val="24"/>
              <w:lang w:val="en-US"/>
            </w:rPr>
            <w:fldChar w:fldCharType="begin"/>
          </w:r>
          <w:r w:rsidR="00417D38">
            <w:rPr>
              <w:sz w:val="24"/>
              <w:szCs w:val="24"/>
              <w:lang w:val="en-US"/>
            </w:rPr>
            <w:instrText xml:space="preserve"> CITATION Car06 \l 1033 </w:instrText>
          </w:r>
          <w:r w:rsidR="00D35F06">
            <w:rPr>
              <w:sz w:val="24"/>
              <w:szCs w:val="24"/>
              <w:lang w:val="en-US"/>
            </w:rPr>
            <w:fldChar w:fldCharType="separate"/>
          </w:r>
          <w:r w:rsidR="00417D38" w:rsidRPr="00417D38">
            <w:rPr>
              <w:noProof/>
              <w:sz w:val="24"/>
              <w:szCs w:val="24"/>
              <w:lang w:val="en-US"/>
            </w:rPr>
            <w:t>(Carroll, Otsuka, &amp; Slacalek, 2006)</w:t>
          </w:r>
          <w:r w:rsidR="00D35F06">
            <w:rPr>
              <w:sz w:val="24"/>
              <w:szCs w:val="24"/>
              <w:lang w:val="en-US"/>
            </w:rPr>
            <w:fldChar w:fldCharType="end"/>
          </w:r>
        </w:sdtContent>
      </w:sdt>
      <w:r w:rsidR="00BA7DF8">
        <w:rPr>
          <w:sz w:val="24"/>
          <w:szCs w:val="24"/>
          <w:lang w:val="en-US"/>
        </w:rPr>
        <w:t xml:space="preserve"> Calomiris et al. think Carrol</w:t>
      </w:r>
      <w:r w:rsidR="00985FC2">
        <w:rPr>
          <w:sz w:val="24"/>
          <w:szCs w:val="24"/>
          <w:lang w:val="en-US"/>
        </w:rPr>
        <w:t>l</w:t>
      </w:r>
      <w:r w:rsidR="00BA7DF8">
        <w:rPr>
          <w:sz w:val="24"/>
          <w:szCs w:val="24"/>
          <w:lang w:val="en-US"/>
        </w:rPr>
        <w:t xml:space="preserve"> et al. did not control for the permanent income bias. This permanent income control variable </w:t>
      </w:r>
      <w:r w:rsidR="00414AF8">
        <w:rPr>
          <w:sz w:val="24"/>
          <w:szCs w:val="24"/>
          <w:lang w:val="en-US"/>
        </w:rPr>
        <w:t>reflects the income households think they have in the future.</w:t>
      </w:r>
      <w:r w:rsidR="00D92B33">
        <w:rPr>
          <w:sz w:val="24"/>
          <w:szCs w:val="24"/>
          <w:lang w:val="en-US"/>
        </w:rPr>
        <w:t xml:space="preserve"> People not only give about present consumption constraints, but adjust also their consumption to expected constraints. This is called consumption smoothing.</w:t>
      </w:r>
      <w:r w:rsidR="00414AF8">
        <w:rPr>
          <w:sz w:val="24"/>
          <w:szCs w:val="24"/>
          <w:lang w:val="en-US"/>
        </w:rPr>
        <w:t xml:space="preserve"> The idea</w:t>
      </w:r>
      <w:r w:rsidR="00566826">
        <w:rPr>
          <w:sz w:val="24"/>
          <w:szCs w:val="24"/>
          <w:lang w:val="en-US"/>
        </w:rPr>
        <w:t xml:space="preserve"> of Calomir</w:t>
      </w:r>
      <w:r w:rsidR="00D92B33">
        <w:rPr>
          <w:sz w:val="24"/>
          <w:szCs w:val="24"/>
          <w:lang w:val="en-US"/>
        </w:rPr>
        <w:t>is et al.</w:t>
      </w:r>
      <w:r w:rsidR="00414AF8">
        <w:rPr>
          <w:sz w:val="24"/>
          <w:szCs w:val="24"/>
          <w:lang w:val="en-US"/>
        </w:rPr>
        <w:t xml:space="preserve"> is that increasing housing wealth increases higher permanen</w:t>
      </w:r>
      <w:r w:rsidR="00417D38">
        <w:rPr>
          <w:sz w:val="24"/>
          <w:szCs w:val="24"/>
          <w:lang w:val="en-US"/>
        </w:rPr>
        <w:t>t income expe</w:t>
      </w:r>
      <w:r w:rsidR="00414AF8">
        <w:rPr>
          <w:sz w:val="24"/>
          <w:szCs w:val="24"/>
          <w:lang w:val="en-US"/>
        </w:rPr>
        <w:t>ctations and therefore increases consumption.</w:t>
      </w:r>
      <w:r w:rsidR="008D1399">
        <w:rPr>
          <w:sz w:val="24"/>
          <w:szCs w:val="24"/>
          <w:lang w:val="en-US"/>
        </w:rPr>
        <w:t xml:space="preserve"> </w:t>
      </w:r>
      <w:sdt>
        <w:sdtPr>
          <w:rPr>
            <w:sz w:val="24"/>
            <w:szCs w:val="24"/>
            <w:lang w:val="en-US"/>
          </w:rPr>
          <w:id w:val="6728278"/>
          <w:citation/>
        </w:sdtPr>
        <w:sdtContent>
          <w:r w:rsidR="00D35F06">
            <w:rPr>
              <w:sz w:val="24"/>
              <w:szCs w:val="24"/>
              <w:lang w:val="en-US"/>
            </w:rPr>
            <w:fldChar w:fldCharType="begin"/>
          </w:r>
          <w:r w:rsidR="008D1399">
            <w:rPr>
              <w:sz w:val="24"/>
              <w:szCs w:val="24"/>
              <w:lang w:val="en-US"/>
            </w:rPr>
            <w:instrText xml:space="preserve"> CITATION Cal09 \l 1033 </w:instrText>
          </w:r>
          <w:r w:rsidR="00D35F06">
            <w:rPr>
              <w:sz w:val="24"/>
              <w:szCs w:val="24"/>
              <w:lang w:val="en-US"/>
            </w:rPr>
            <w:fldChar w:fldCharType="separate"/>
          </w:r>
          <w:r w:rsidR="008D1399" w:rsidRPr="008D1399">
            <w:rPr>
              <w:noProof/>
              <w:sz w:val="24"/>
              <w:szCs w:val="24"/>
              <w:lang w:val="en-US"/>
            </w:rPr>
            <w:t>(Calomiris, Longhofer, &amp; Miles, 2009)</w:t>
          </w:r>
          <w:r w:rsidR="00D35F06">
            <w:rPr>
              <w:sz w:val="24"/>
              <w:szCs w:val="24"/>
              <w:lang w:val="en-US"/>
            </w:rPr>
            <w:fldChar w:fldCharType="end"/>
          </w:r>
        </w:sdtContent>
      </w:sdt>
      <w:r w:rsidR="00417D38">
        <w:rPr>
          <w:sz w:val="24"/>
          <w:szCs w:val="24"/>
          <w:lang w:val="en-US"/>
        </w:rPr>
        <w:t xml:space="preserve"> Although, the technical approach might matter to some, the conclusion remains the same. Increasing </w:t>
      </w:r>
      <w:r w:rsidR="00865F2B">
        <w:rPr>
          <w:sz w:val="24"/>
          <w:szCs w:val="24"/>
          <w:lang w:val="en-US"/>
        </w:rPr>
        <w:t>house</w:t>
      </w:r>
      <w:r w:rsidR="00417D38">
        <w:rPr>
          <w:sz w:val="24"/>
          <w:szCs w:val="24"/>
          <w:lang w:val="en-US"/>
        </w:rPr>
        <w:t xml:space="preserve"> prices induce higher household wealth and will increase consumption, whether it is directly or indirectly.</w:t>
      </w:r>
      <w:r w:rsidR="00865F2B">
        <w:rPr>
          <w:sz w:val="24"/>
          <w:szCs w:val="24"/>
          <w:lang w:val="en-US"/>
        </w:rPr>
        <w:t xml:space="preserve"> </w:t>
      </w:r>
      <w:r w:rsidR="00D92B33">
        <w:rPr>
          <w:sz w:val="24"/>
          <w:szCs w:val="24"/>
          <w:lang w:val="en-US"/>
        </w:rPr>
        <w:t xml:space="preserve">If people expect a higher permanent income from their housing wealth this does nothing more than underlining </w:t>
      </w:r>
      <w:r w:rsidR="00D92B33">
        <w:rPr>
          <w:sz w:val="24"/>
          <w:szCs w:val="24"/>
          <w:lang w:val="en-US"/>
        </w:rPr>
        <w:lastRenderedPageBreak/>
        <w:t>that there really can be spoken about a bubble</w:t>
      </w:r>
      <w:r w:rsidR="00B63C49">
        <w:rPr>
          <w:sz w:val="24"/>
          <w:szCs w:val="24"/>
          <w:lang w:val="en-US"/>
        </w:rPr>
        <w:t>.</w:t>
      </w:r>
      <w:r>
        <w:rPr>
          <w:sz w:val="24"/>
          <w:szCs w:val="24"/>
          <w:lang w:val="en-US"/>
        </w:rPr>
        <w:br/>
      </w:r>
    </w:p>
    <w:p w:rsidR="00471B5B" w:rsidRPr="00471B5B" w:rsidRDefault="00B025BF">
      <w:pPr>
        <w:rPr>
          <w:b/>
          <w:sz w:val="24"/>
          <w:szCs w:val="24"/>
          <w:lang w:val="en-US"/>
        </w:rPr>
      </w:pPr>
      <w:r>
        <w:rPr>
          <w:b/>
          <w:sz w:val="24"/>
          <w:szCs w:val="24"/>
          <w:lang w:val="en-US"/>
        </w:rPr>
        <w:t xml:space="preserve">b) </w:t>
      </w:r>
      <w:r w:rsidR="00471B5B" w:rsidRPr="00471B5B">
        <w:rPr>
          <w:b/>
          <w:sz w:val="24"/>
          <w:szCs w:val="24"/>
          <w:lang w:val="en-US"/>
        </w:rPr>
        <w:t>Growin</w:t>
      </w:r>
      <w:r w:rsidR="005E281C">
        <w:rPr>
          <w:b/>
          <w:sz w:val="24"/>
          <w:szCs w:val="24"/>
          <w:lang w:val="en-US"/>
        </w:rPr>
        <w:t xml:space="preserve">g </w:t>
      </w:r>
      <w:proofErr w:type="spellStart"/>
      <w:r w:rsidR="005E281C">
        <w:rPr>
          <w:b/>
          <w:sz w:val="24"/>
          <w:szCs w:val="24"/>
          <w:lang w:val="en-US"/>
        </w:rPr>
        <w:t>m</w:t>
      </w:r>
      <w:r w:rsidR="00471B5B" w:rsidRPr="00471B5B">
        <w:rPr>
          <w:b/>
          <w:sz w:val="24"/>
          <w:szCs w:val="24"/>
          <w:lang w:val="en-US"/>
        </w:rPr>
        <w:t>arco</w:t>
      </w:r>
      <w:proofErr w:type="spellEnd"/>
      <w:r w:rsidR="00471B5B" w:rsidRPr="00471B5B">
        <w:rPr>
          <w:b/>
          <w:sz w:val="24"/>
          <w:szCs w:val="24"/>
          <w:lang w:val="en-US"/>
        </w:rPr>
        <w:t>-economic imbalances</w:t>
      </w:r>
      <w:r w:rsidR="005E281C">
        <w:rPr>
          <w:b/>
          <w:sz w:val="24"/>
          <w:szCs w:val="24"/>
          <w:lang w:val="en-US"/>
        </w:rPr>
        <w:br/>
      </w:r>
    </w:p>
    <w:p w:rsidR="00471B5B" w:rsidRDefault="003467BE">
      <w:pPr>
        <w:rPr>
          <w:i/>
          <w:sz w:val="24"/>
          <w:szCs w:val="24"/>
          <w:lang w:val="en-US"/>
        </w:rPr>
      </w:pPr>
      <w:r>
        <w:rPr>
          <w:i/>
          <w:sz w:val="24"/>
          <w:szCs w:val="24"/>
          <w:lang w:val="en-US"/>
        </w:rPr>
        <w:t>The Balassa-Samuelson effect</w:t>
      </w:r>
      <w:r w:rsidR="005E281C">
        <w:rPr>
          <w:i/>
          <w:sz w:val="24"/>
          <w:szCs w:val="24"/>
          <w:lang w:val="en-US"/>
        </w:rPr>
        <w:t xml:space="preserve"> </w:t>
      </w:r>
      <w:r w:rsidR="005E281C">
        <w:rPr>
          <w:i/>
          <w:sz w:val="24"/>
          <w:szCs w:val="24"/>
          <w:lang w:val="en-US"/>
        </w:rPr>
        <w:br/>
      </w:r>
    </w:p>
    <w:p w:rsidR="003467BE" w:rsidRDefault="003467BE">
      <w:pPr>
        <w:rPr>
          <w:sz w:val="24"/>
          <w:szCs w:val="24"/>
          <w:lang w:val="en-US"/>
        </w:rPr>
      </w:pPr>
      <w:r>
        <w:rPr>
          <w:sz w:val="24"/>
          <w:szCs w:val="24"/>
          <w:lang w:val="en-US"/>
        </w:rPr>
        <w:t xml:space="preserve">The Balassa-Samuelson theory examined what happened to emerging economies with a fixed exchange rate when they opened up their economies. The general unique features of a closed emerging economy is that the protected manufacturing and agricultural sector are less productive than those of developed countries and that wages and prices tend to be relatively low compared to prices on the world market. </w:t>
      </w:r>
      <w:r w:rsidR="005E281C">
        <w:rPr>
          <w:sz w:val="24"/>
          <w:szCs w:val="24"/>
          <w:lang w:val="en-US"/>
        </w:rPr>
        <w:t>A high share of the economy’s output becomes non-tradable, because services are considered non-tradable in general. This will result in high employment rates, but higher poverty, because of the lack of trade.</w:t>
      </w:r>
      <w:r w:rsidR="00C752FE">
        <w:rPr>
          <w:sz w:val="24"/>
          <w:szCs w:val="24"/>
          <w:lang w:val="en-US"/>
        </w:rPr>
        <w:t xml:space="preserve"> </w:t>
      </w:r>
      <w:sdt>
        <w:sdtPr>
          <w:rPr>
            <w:sz w:val="24"/>
            <w:szCs w:val="24"/>
            <w:lang w:val="en-US"/>
          </w:rPr>
          <w:id w:val="490610"/>
          <w:citation/>
        </w:sdtPr>
        <w:sdtContent>
          <w:r w:rsidR="00D35F06">
            <w:rPr>
              <w:sz w:val="24"/>
              <w:szCs w:val="24"/>
              <w:lang w:val="en-US"/>
            </w:rPr>
            <w:fldChar w:fldCharType="begin"/>
          </w:r>
          <w:r w:rsidR="00C752FE">
            <w:rPr>
              <w:sz w:val="24"/>
              <w:szCs w:val="24"/>
              <w:lang w:val="en-US"/>
            </w:rPr>
            <w:instrText xml:space="preserve"> CITATION Nea12 \l 1033 </w:instrText>
          </w:r>
          <w:r w:rsidR="00D35F06">
            <w:rPr>
              <w:sz w:val="24"/>
              <w:szCs w:val="24"/>
              <w:lang w:val="en-US"/>
            </w:rPr>
            <w:fldChar w:fldCharType="separate"/>
          </w:r>
          <w:r w:rsidR="00C752FE" w:rsidRPr="00C752FE">
            <w:rPr>
              <w:noProof/>
              <w:sz w:val="24"/>
              <w:szCs w:val="24"/>
              <w:lang w:val="en-US"/>
            </w:rPr>
            <w:t>(Neal &amp; Garcia-Iglesias, 2012)</w:t>
          </w:r>
          <w:r w:rsidR="00D35F06">
            <w:rPr>
              <w:sz w:val="24"/>
              <w:szCs w:val="24"/>
              <w:lang w:val="en-US"/>
            </w:rPr>
            <w:fldChar w:fldCharType="end"/>
          </w:r>
        </w:sdtContent>
      </w:sdt>
    </w:p>
    <w:p w:rsidR="005E281C" w:rsidRDefault="005E281C">
      <w:pPr>
        <w:rPr>
          <w:sz w:val="24"/>
          <w:szCs w:val="24"/>
          <w:lang w:val="en-US"/>
        </w:rPr>
      </w:pPr>
      <w:r>
        <w:rPr>
          <w:sz w:val="24"/>
          <w:szCs w:val="24"/>
          <w:lang w:val="en-US"/>
        </w:rPr>
        <w:t>Once the economy opens up with the more developed countries, the price of tradable goods tend to increase almost instantly towards the world price. This is no surprise at all. Why would a manufacturing company in Spain accept much lower prices than a company in France and thereby making less profit? It doesn’t. The rise in prices in the now tradable sector of the economy has the effect of increasing wages in both the tradable and non-tradable sector. Wages in the non-tradable sector need to rise to compensate for the now more expansive manufactures and agricultural products. When wages in the whole economy rise, so will prices. Thus also prices in the non-tradable sector, those of services and construction.</w:t>
      </w:r>
      <w:r w:rsidR="00C752FE">
        <w:rPr>
          <w:sz w:val="24"/>
          <w:szCs w:val="24"/>
          <w:lang w:val="en-US"/>
        </w:rPr>
        <w:t xml:space="preserve"> </w:t>
      </w:r>
      <w:sdt>
        <w:sdtPr>
          <w:rPr>
            <w:sz w:val="24"/>
            <w:szCs w:val="24"/>
            <w:lang w:val="en-US"/>
          </w:rPr>
          <w:id w:val="490609"/>
          <w:citation/>
        </w:sdtPr>
        <w:sdtContent>
          <w:r w:rsidR="00D35F06">
            <w:rPr>
              <w:sz w:val="24"/>
              <w:szCs w:val="24"/>
              <w:lang w:val="en-US"/>
            </w:rPr>
            <w:fldChar w:fldCharType="begin"/>
          </w:r>
          <w:r w:rsidR="00C752FE">
            <w:rPr>
              <w:sz w:val="24"/>
              <w:szCs w:val="24"/>
              <w:lang w:val="en-US"/>
            </w:rPr>
            <w:instrText xml:space="preserve"> CITATION Nea12 \l 1033 </w:instrText>
          </w:r>
          <w:r w:rsidR="00D35F06">
            <w:rPr>
              <w:sz w:val="24"/>
              <w:szCs w:val="24"/>
              <w:lang w:val="en-US"/>
            </w:rPr>
            <w:fldChar w:fldCharType="separate"/>
          </w:r>
          <w:r w:rsidR="00C752FE" w:rsidRPr="00C752FE">
            <w:rPr>
              <w:noProof/>
              <w:sz w:val="24"/>
              <w:szCs w:val="24"/>
              <w:lang w:val="en-US"/>
            </w:rPr>
            <w:t>(Neal &amp; Garcia-Iglesias, 2012)</w:t>
          </w:r>
          <w:r w:rsidR="00D35F06">
            <w:rPr>
              <w:sz w:val="24"/>
              <w:szCs w:val="24"/>
              <w:lang w:val="en-US"/>
            </w:rPr>
            <w:fldChar w:fldCharType="end"/>
          </w:r>
        </w:sdtContent>
      </w:sdt>
    </w:p>
    <w:p w:rsidR="00E22D8A" w:rsidRDefault="005E281C">
      <w:pPr>
        <w:rPr>
          <w:sz w:val="24"/>
          <w:szCs w:val="24"/>
          <w:lang w:val="en-US"/>
        </w:rPr>
      </w:pPr>
      <w:r>
        <w:rPr>
          <w:sz w:val="24"/>
          <w:szCs w:val="24"/>
          <w:lang w:val="en-US"/>
        </w:rPr>
        <w:t>Since the exchange rate is fixed, the real exchange rate will appreciate relative to the country the exchange rate is fixed to as long as inflation is higher in the emerging economy than in the developed economy</w:t>
      </w:r>
      <w:r w:rsidR="00470743">
        <w:rPr>
          <w:sz w:val="24"/>
          <w:szCs w:val="24"/>
          <w:lang w:val="en-US"/>
        </w:rPr>
        <w:t>. The high real exchange rate reduces international competitiveness, because the products become relatively expensive to the world market.</w:t>
      </w:r>
      <w:r w:rsidR="00C752FE">
        <w:rPr>
          <w:sz w:val="24"/>
          <w:szCs w:val="24"/>
          <w:lang w:val="en-US"/>
        </w:rPr>
        <w:t xml:space="preserve"> </w:t>
      </w:r>
      <w:sdt>
        <w:sdtPr>
          <w:rPr>
            <w:sz w:val="24"/>
            <w:szCs w:val="24"/>
            <w:lang w:val="en-US"/>
          </w:rPr>
          <w:id w:val="490611"/>
          <w:citation/>
        </w:sdtPr>
        <w:sdtContent>
          <w:r w:rsidR="00D35F06">
            <w:rPr>
              <w:sz w:val="24"/>
              <w:szCs w:val="24"/>
              <w:lang w:val="en-US"/>
            </w:rPr>
            <w:fldChar w:fldCharType="begin"/>
          </w:r>
          <w:r w:rsidR="00C752FE">
            <w:rPr>
              <w:sz w:val="24"/>
              <w:szCs w:val="24"/>
              <w:lang w:val="en-US"/>
            </w:rPr>
            <w:instrText xml:space="preserve"> CITATION Nea12 \l 1033 </w:instrText>
          </w:r>
          <w:r w:rsidR="00D35F06">
            <w:rPr>
              <w:sz w:val="24"/>
              <w:szCs w:val="24"/>
              <w:lang w:val="en-US"/>
            </w:rPr>
            <w:fldChar w:fldCharType="separate"/>
          </w:r>
          <w:r w:rsidR="00C752FE" w:rsidRPr="00C752FE">
            <w:rPr>
              <w:noProof/>
              <w:sz w:val="24"/>
              <w:szCs w:val="24"/>
              <w:lang w:val="en-US"/>
            </w:rPr>
            <w:t>(Neal &amp; Garcia-Iglesias, 2012)</w:t>
          </w:r>
          <w:r w:rsidR="00D35F06">
            <w:rPr>
              <w:sz w:val="24"/>
              <w:szCs w:val="24"/>
              <w:lang w:val="en-US"/>
            </w:rPr>
            <w:fldChar w:fldCharType="end"/>
          </w:r>
        </w:sdtContent>
      </w:sdt>
      <w:r w:rsidR="00470743">
        <w:rPr>
          <w:sz w:val="24"/>
          <w:szCs w:val="24"/>
          <w:lang w:val="en-US"/>
        </w:rPr>
        <w:t xml:space="preserve"> To compensate for this appreciation, higher labor productivity in the tradable sector is needed to reduce the cost of units sold. This can be achieved by increasing investments in advanced technology.</w:t>
      </w:r>
      <w:r w:rsidR="00520AB1" w:rsidRPr="00520AB1">
        <w:rPr>
          <w:sz w:val="24"/>
          <w:szCs w:val="24"/>
          <w:lang w:val="en-US"/>
        </w:rPr>
        <w:t xml:space="preserve"> </w:t>
      </w:r>
      <w:r w:rsidR="00520AB1">
        <w:rPr>
          <w:sz w:val="24"/>
          <w:szCs w:val="24"/>
          <w:lang w:val="en-US"/>
        </w:rPr>
        <w:t>Spain can be seen as the emerging economy and Germany the developed economy in the Balassa-Samuelson analysis.</w:t>
      </w:r>
    </w:p>
    <w:p w:rsidR="00E22D8A" w:rsidRPr="00EE74EB" w:rsidRDefault="00E22D8A">
      <w:pPr>
        <w:rPr>
          <w:i/>
          <w:sz w:val="24"/>
          <w:szCs w:val="24"/>
          <w:lang w:val="en-US"/>
        </w:rPr>
      </w:pPr>
      <w:r>
        <w:rPr>
          <w:i/>
          <w:sz w:val="24"/>
          <w:szCs w:val="24"/>
          <w:lang w:val="en-US"/>
        </w:rPr>
        <w:br/>
      </w:r>
      <w:r w:rsidR="0083472F" w:rsidRPr="0083472F">
        <w:rPr>
          <w:i/>
          <w:sz w:val="24"/>
          <w:szCs w:val="24"/>
          <w:lang w:val="en-US"/>
        </w:rPr>
        <w:t>Diverging Current Accounts</w:t>
      </w:r>
    </w:p>
    <w:p w:rsidR="005E281C" w:rsidRDefault="00470743">
      <w:pPr>
        <w:rPr>
          <w:sz w:val="24"/>
          <w:szCs w:val="24"/>
          <w:lang w:val="en-US"/>
        </w:rPr>
      </w:pPr>
      <w:r>
        <w:rPr>
          <w:sz w:val="24"/>
          <w:szCs w:val="24"/>
          <w:lang w:val="en-US"/>
        </w:rPr>
        <w:t>Spain exactly followed the path of the Balassa-Samuelson effect, ex</w:t>
      </w:r>
      <w:r w:rsidR="00C752FE">
        <w:rPr>
          <w:sz w:val="24"/>
          <w:szCs w:val="24"/>
          <w:lang w:val="en-US"/>
        </w:rPr>
        <w:t>c</w:t>
      </w:r>
      <w:r>
        <w:rPr>
          <w:sz w:val="24"/>
          <w:szCs w:val="24"/>
          <w:lang w:val="en-US"/>
        </w:rPr>
        <w:t>ept that labor productivity lacked behind.</w:t>
      </w:r>
      <w:r w:rsidR="00C752FE">
        <w:rPr>
          <w:sz w:val="24"/>
          <w:szCs w:val="24"/>
          <w:lang w:val="en-US"/>
        </w:rPr>
        <w:t xml:space="preserve"> Instead to much focus has been g</w:t>
      </w:r>
      <w:r w:rsidR="00600990">
        <w:rPr>
          <w:sz w:val="24"/>
          <w:szCs w:val="24"/>
          <w:lang w:val="en-US"/>
        </w:rPr>
        <w:t>iven to the non-tradable sector</w:t>
      </w:r>
      <w:r w:rsidR="00C752FE">
        <w:rPr>
          <w:sz w:val="24"/>
          <w:szCs w:val="24"/>
          <w:lang w:val="en-US"/>
        </w:rPr>
        <w:t xml:space="preserve"> of the economy, especially construction.</w:t>
      </w:r>
    </w:p>
    <w:p w:rsidR="008927A9" w:rsidRDefault="00470743">
      <w:pPr>
        <w:rPr>
          <w:sz w:val="24"/>
          <w:szCs w:val="24"/>
          <w:lang w:val="en-US"/>
        </w:rPr>
      </w:pPr>
      <w:r>
        <w:rPr>
          <w:sz w:val="24"/>
          <w:szCs w:val="24"/>
          <w:lang w:val="en-US"/>
        </w:rPr>
        <w:t>Compared to the NMS</w:t>
      </w:r>
      <w:r w:rsidR="00C752FE">
        <w:rPr>
          <w:sz w:val="24"/>
          <w:szCs w:val="24"/>
          <w:lang w:val="en-US"/>
        </w:rPr>
        <w:t>, the SMS were emerging markets</w:t>
      </w:r>
      <w:r>
        <w:rPr>
          <w:sz w:val="24"/>
          <w:szCs w:val="24"/>
          <w:lang w:val="en-US"/>
        </w:rPr>
        <w:t xml:space="preserve"> when </w:t>
      </w:r>
      <w:r w:rsidR="00C752FE">
        <w:rPr>
          <w:sz w:val="24"/>
          <w:szCs w:val="24"/>
          <w:lang w:val="en-US"/>
        </w:rPr>
        <w:t>they</w:t>
      </w:r>
      <w:r>
        <w:rPr>
          <w:sz w:val="24"/>
          <w:szCs w:val="24"/>
          <w:lang w:val="en-US"/>
        </w:rPr>
        <w:t xml:space="preserve"> entered the Euro</w:t>
      </w:r>
      <w:r w:rsidR="00C752FE">
        <w:rPr>
          <w:sz w:val="24"/>
          <w:szCs w:val="24"/>
          <w:lang w:val="en-US"/>
        </w:rPr>
        <w:t xml:space="preserve">zone. A </w:t>
      </w:r>
      <w:r>
        <w:rPr>
          <w:sz w:val="24"/>
          <w:szCs w:val="24"/>
          <w:lang w:val="en-US"/>
        </w:rPr>
        <w:t>fixed exchange</w:t>
      </w:r>
      <w:r w:rsidR="00600990">
        <w:rPr>
          <w:sz w:val="24"/>
          <w:szCs w:val="24"/>
          <w:lang w:val="en-US"/>
        </w:rPr>
        <w:t xml:space="preserve"> rate</w:t>
      </w:r>
      <w:r>
        <w:rPr>
          <w:sz w:val="24"/>
          <w:szCs w:val="24"/>
          <w:lang w:val="en-US"/>
        </w:rPr>
        <w:t xml:space="preserve"> regime followed automatically</w:t>
      </w:r>
      <w:r w:rsidR="006D05D9">
        <w:rPr>
          <w:sz w:val="24"/>
          <w:szCs w:val="24"/>
          <w:lang w:val="en-US"/>
        </w:rPr>
        <w:t xml:space="preserve"> with the euro as the common currency</w:t>
      </w:r>
      <w:r>
        <w:rPr>
          <w:sz w:val="24"/>
          <w:szCs w:val="24"/>
          <w:lang w:val="en-US"/>
        </w:rPr>
        <w:t xml:space="preserve">. </w:t>
      </w:r>
      <w:r>
        <w:rPr>
          <w:sz w:val="24"/>
          <w:szCs w:val="24"/>
          <w:lang w:val="en-US"/>
        </w:rPr>
        <w:lastRenderedPageBreak/>
        <w:t xml:space="preserve">Figure 9 shows the development of trade openness in Spain which is calculated as </w:t>
      </w:r>
      <w:r w:rsidR="006D05D9">
        <w:rPr>
          <w:sz w:val="24"/>
          <w:szCs w:val="24"/>
          <w:lang w:val="en-US"/>
        </w:rPr>
        <w:t>(</w:t>
      </w:r>
      <w:proofErr w:type="spellStart"/>
      <w:r w:rsidR="000309E8">
        <w:rPr>
          <w:sz w:val="24"/>
          <w:szCs w:val="24"/>
          <w:lang w:val="en-US"/>
        </w:rPr>
        <w:t>Exports+Imports</w:t>
      </w:r>
      <w:proofErr w:type="spellEnd"/>
      <w:r w:rsidR="006D05D9">
        <w:rPr>
          <w:sz w:val="24"/>
          <w:szCs w:val="24"/>
          <w:lang w:val="en-US"/>
        </w:rPr>
        <w:t>)</w:t>
      </w:r>
      <w:r>
        <w:rPr>
          <w:sz w:val="24"/>
          <w:szCs w:val="24"/>
          <w:lang w:val="en-US"/>
        </w:rPr>
        <w:t>/GDP * 100%</w:t>
      </w:r>
      <w:r w:rsidR="000309E8">
        <w:rPr>
          <w:sz w:val="24"/>
          <w:szCs w:val="24"/>
          <w:lang w:val="en-US"/>
        </w:rPr>
        <w:t>.</w:t>
      </w:r>
      <w:r w:rsidR="00CF1F1D">
        <w:rPr>
          <w:sz w:val="24"/>
          <w:szCs w:val="24"/>
          <w:lang w:val="en-US"/>
        </w:rPr>
        <w:t xml:space="preserve"> One sees a significant increase in</w:t>
      </w:r>
      <w:r w:rsidR="0002018C">
        <w:rPr>
          <w:sz w:val="24"/>
          <w:szCs w:val="24"/>
          <w:lang w:val="en-US"/>
        </w:rPr>
        <w:t xml:space="preserve"> trade</w:t>
      </w:r>
      <w:r w:rsidR="00CF1F1D">
        <w:rPr>
          <w:sz w:val="24"/>
          <w:szCs w:val="24"/>
          <w:lang w:val="en-US"/>
        </w:rPr>
        <w:t xml:space="preserve"> openness</w:t>
      </w:r>
      <w:r w:rsidR="002F0FC1">
        <w:rPr>
          <w:sz w:val="24"/>
          <w:szCs w:val="24"/>
          <w:lang w:val="en-US"/>
        </w:rPr>
        <w:t xml:space="preserve">. </w:t>
      </w:r>
    </w:p>
    <w:p w:rsidR="00F13B8C" w:rsidRDefault="00F13B8C">
      <w:pPr>
        <w:rPr>
          <w:sz w:val="24"/>
          <w:szCs w:val="24"/>
          <w:lang w:val="en-US"/>
        </w:rPr>
      </w:pPr>
    </w:p>
    <w:p w:rsidR="00C55F70" w:rsidRDefault="00E22D8A" w:rsidP="00C55F70">
      <w:pPr>
        <w:rPr>
          <w:sz w:val="24"/>
          <w:szCs w:val="24"/>
          <w:lang w:val="en-US"/>
        </w:rPr>
      </w:pPr>
      <w:r>
        <w:rPr>
          <w:noProof/>
          <w:sz w:val="24"/>
          <w:szCs w:val="24"/>
          <w:lang w:eastAsia="nl-NL"/>
        </w:rPr>
        <w:drawing>
          <wp:anchor distT="0" distB="0" distL="114300" distR="114300" simplePos="0" relativeHeight="251664384" behindDoc="0" locked="0" layoutInCell="1" allowOverlap="1">
            <wp:simplePos x="0" y="0"/>
            <wp:positionH relativeFrom="column">
              <wp:posOffset>3195320</wp:posOffset>
            </wp:positionH>
            <wp:positionV relativeFrom="paragraph">
              <wp:posOffset>3481070</wp:posOffset>
            </wp:positionV>
            <wp:extent cx="2714625" cy="2962275"/>
            <wp:effectExtent l="57150" t="0" r="47625" b="66675"/>
            <wp:wrapSquare wrapText="bothSides"/>
            <wp:docPr id="7"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5A246B">
        <w:rPr>
          <w:noProof/>
          <w:sz w:val="24"/>
          <w:szCs w:val="24"/>
          <w:lang w:eastAsia="nl-NL"/>
        </w:rPr>
        <w:drawing>
          <wp:anchor distT="0" distB="0" distL="114300" distR="114300" simplePos="0" relativeHeight="251661312" behindDoc="0" locked="0" layoutInCell="1" allowOverlap="1">
            <wp:simplePos x="0" y="0"/>
            <wp:positionH relativeFrom="column">
              <wp:posOffset>14605</wp:posOffset>
            </wp:positionH>
            <wp:positionV relativeFrom="paragraph">
              <wp:posOffset>3481070</wp:posOffset>
            </wp:positionV>
            <wp:extent cx="2952750" cy="2962275"/>
            <wp:effectExtent l="57150" t="0" r="57150" b="66675"/>
            <wp:wrapSquare wrapText="bothSides"/>
            <wp:docPr id="9"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5A246B">
        <w:rPr>
          <w:noProof/>
          <w:sz w:val="24"/>
          <w:szCs w:val="24"/>
          <w:lang w:eastAsia="nl-NL"/>
        </w:rPr>
        <w:drawing>
          <wp:anchor distT="0" distB="0" distL="114300" distR="114300" simplePos="0" relativeHeight="251662336" behindDoc="0" locked="0" layoutInCell="1" allowOverlap="1">
            <wp:simplePos x="0" y="0"/>
            <wp:positionH relativeFrom="column">
              <wp:posOffset>14605</wp:posOffset>
            </wp:positionH>
            <wp:positionV relativeFrom="paragraph">
              <wp:posOffset>4445</wp:posOffset>
            </wp:positionV>
            <wp:extent cx="2952750" cy="3190875"/>
            <wp:effectExtent l="57150" t="0" r="57150" b="66675"/>
            <wp:wrapSquare wrapText="bothSides"/>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B1389D" w:rsidRPr="00B1389D">
        <w:rPr>
          <w:noProof/>
          <w:sz w:val="24"/>
          <w:szCs w:val="24"/>
          <w:lang w:eastAsia="nl-NL"/>
        </w:rPr>
        <w:drawing>
          <wp:inline distT="0" distB="0" distL="0" distR="0">
            <wp:extent cx="2714625" cy="3190875"/>
            <wp:effectExtent l="57150" t="0" r="47625" b="66675"/>
            <wp:docPr id="15"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2F0FC1">
        <w:rPr>
          <w:sz w:val="24"/>
          <w:szCs w:val="24"/>
          <w:lang w:val="en-US"/>
        </w:rPr>
        <w:br/>
      </w:r>
    </w:p>
    <w:p w:rsidR="00E102A5" w:rsidRDefault="00E102A5">
      <w:pPr>
        <w:rPr>
          <w:sz w:val="24"/>
          <w:szCs w:val="24"/>
          <w:lang w:val="en-US"/>
        </w:rPr>
      </w:pPr>
    </w:p>
    <w:p w:rsidR="002F0FC1" w:rsidRDefault="00D641CA">
      <w:pPr>
        <w:rPr>
          <w:sz w:val="24"/>
          <w:szCs w:val="24"/>
          <w:lang w:val="en-US"/>
        </w:rPr>
      </w:pPr>
      <w:r w:rsidRPr="00D641CA">
        <w:rPr>
          <w:noProof/>
          <w:sz w:val="24"/>
          <w:szCs w:val="24"/>
          <w:lang w:eastAsia="nl-NL"/>
        </w:rPr>
        <w:lastRenderedPageBreak/>
        <w:drawing>
          <wp:inline distT="0" distB="0" distL="0" distR="0">
            <wp:extent cx="5734050" cy="3762375"/>
            <wp:effectExtent l="57150" t="0" r="57150" b="66675"/>
            <wp:docPr id="22" name="Grafie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98704E">
        <w:rPr>
          <w:sz w:val="24"/>
          <w:szCs w:val="24"/>
          <w:lang w:val="en-US"/>
        </w:rPr>
        <w:br/>
      </w:r>
      <w:r w:rsidR="00520AB1">
        <w:rPr>
          <w:sz w:val="24"/>
          <w:szCs w:val="24"/>
          <w:lang w:val="en-US"/>
        </w:rPr>
        <w:br/>
      </w:r>
      <w:r w:rsidR="00C55F70">
        <w:rPr>
          <w:sz w:val="24"/>
          <w:szCs w:val="24"/>
          <w:lang w:val="en-US"/>
        </w:rPr>
        <w:t>Between 1995 and 2008 openness increased by approximately 25 percentage points</w:t>
      </w:r>
      <w:r w:rsidR="00103E9E">
        <w:rPr>
          <w:sz w:val="24"/>
          <w:szCs w:val="24"/>
          <w:lang w:val="en-US"/>
        </w:rPr>
        <w:t xml:space="preserve"> (Figure 9)</w:t>
      </w:r>
      <w:r w:rsidR="00C55F70">
        <w:rPr>
          <w:sz w:val="24"/>
          <w:szCs w:val="24"/>
          <w:lang w:val="en-US"/>
        </w:rPr>
        <w:t>.</w:t>
      </w:r>
      <w:r w:rsidR="00E102A5">
        <w:rPr>
          <w:sz w:val="24"/>
          <w:szCs w:val="24"/>
          <w:lang w:val="en-US"/>
        </w:rPr>
        <w:t xml:space="preserve"> </w:t>
      </w:r>
      <w:r w:rsidR="002F0FC1">
        <w:rPr>
          <w:sz w:val="24"/>
          <w:szCs w:val="24"/>
          <w:lang w:val="en-US"/>
        </w:rPr>
        <w:t xml:space="preserve">Along with the increase in trade openness, the Balassa-Samuelson effect expects rising prices </w:t>
      </w:r>
      <w:r w:rsidR="00E102A5">
        <w:rPr>
          <w:sz w:val="24"/>
          <w:szCs w:val="24"/>
          <w:lang w:val="en-US"/>
        </w:rPr>
        <w:t>and a sig</w:t>
      </w:r>
      <w:r w:rsidR="004818D5">
        <w:rPr>
          <w:sz w:val="24"/>
          <w:szCs w:val="24"/>
          <w:lang w:val="en-US"/>
        </w:rPr>
        <w:t>nificant apprecia</w:t>
      </w:r>
      <w:r w:rsidR="00103E9E">
        <w:rPr>
          <w:sz w:val="24"/>
          <w:szCs w:val="24"/>
          <w:lang w:val="en-US"/>
        </w:rPr>
        <w:t xml:space="preserve">tion of the real effective exchange rate. From figures 10 and 11 </w:t>
      </w:r>
      <w:r w:rsidR="00520AB1">
        <w:rPr>
          <w:sz w:val="24"/>
          <w:szCs w:val="24"/>
          <w:lang w:val="en-US"/>
        </w:rPr>
        <w:t>it</w:t>
      </w:r>
      <w:r w:rsidR="00103E9E">
        <w:rPr>
          <w:sz w:val="24"/>
          <w:szCs w:val="24"/>
          <w:lang w:val="en-US"/>
        </w:rPr>
        <w:t xml:space="preserve"> becomes clear that these expectations are fulfilled. The consumer price index can be seen as a measure for the general price level of the economy. The consumer price index increased much faster in Spa</w:t>
      </w:r>
      <w:r w:rsidR="00706281">
        <w:rPr>
          <w:sz w:val="24"/>
          <w:szCs w:val="24"/>
          <w:lang w:val="en-US"/>
        </w:rPr>
        <w:t>in than in Germany (Figure</w:t>
      </w:r>
      <w:r w:rsidR="0004665D">
        <w:rPr>
          <w:sz w:val="24"/>
          <w:szCs w:val="24"/>
          <w:lang w:val="en-US"/>
        </w:rPr>
        <w:t xml:space="preserve"> 10). When the Spanish economy became more open</w:t>
      </w:r>
      <w:r w:rsidR="00F40AD7">
        <w:rPr>
          <w:sz w:val="24"/>
          <w:szCs w:val="24"/>
          <w:lang w:val="en-US"/>
        </w:rPr>
        <w:t xml:space="preserve"> to</w:t>
      </w:r>
      <w:r w:rsidR="0004665D">
        <w:rPr>
          <w:sz w:val="24"/>
          <w:szCs w:val="24"/>
          <w:lang w:val="en-US"/>
        </w:rPr>
        <w:t xml:space="preserve"> the more developed economies, prices and wages increased in both the tradable as well as in the non-tradable sector of the economy</w:t>
      </w:r>
      <w:r w:rsidR="00491053">
        <w:rPr>
          <w:sz w:val="24"/>
          <w:szCs w:val="24"/>
          <w:lang w:val="en-US"/>
        </w:rPr>
        <w:t>. Thereby</w:t>
      </w:r>
      <w:r w:rsidR="00F40AD7">
        <w:rPr>
          <w:sz w:val="24"/>
          <w:szCs w:val="24"/>
          <w:lang w:val="en-US"/>
        </w:rPr>
        <w:t>,</w:t>
      </w:r>
      <w:r w:rsidR="00491053">
        <w:rPr>
          <w:sz w:val="24"/>
          <w:szCs w:val="24"/>
          <w:lang w:val="en-US"/>
        </w:rPr>
        <w:t xml:space="preserve"> a significant increase in domestic demand, due to an increase in employment and GDP</w:t>
      </w:r>
      <w:r w:rsidR="00F40AD7">
        <w:rPr>
          <w:sz w:val="24"/>
          <w:szCs w:val="24"/>
          <w:lang w:val="en-US"/>
        </w:rPr>
        <w:t>,</w:t>
      </w:r>
      <w:r w:rsidR="00491053">
        <w:rPr>
          <w:sz w:val="24"/>
          <w:szCs w:val="24"/>
          <w:lang w:val="en-US"/>
        </w:rPr>
        <w:t xml:space="preserve"> accelerated the process. </w:t>
      </w:r>
      <w:sdt>
        <w:sdtPr>
          <w:rPr>
            <w:sz w:val="24"/>
            <w:szCs w:val="24"/>
            <w:lang w:val="en-US"/>
          </w:rPr>
          <w:id w:val="5227781"/>
          <w:citation/>
        </w:sdtPr>
        <w:sdtContent>
          <w:r w:rsidR="00D35F06">
            <w:rPr>
              <w:sz w:val="24"/>
              <w:szCs w:val="24"/>
              <w:lang w:val="en-US"/>
            </w:rPr>
            <w:fldChar w:fldCharType="begin"/>
          </w:r>
          <w:r w:rsidR="00F40AD7">
            <w:rPr>
              <w:sz w:val="24"/>
              <w:szCs w:val="24"/>
              <w:lang w:val="en-US"/>
            </w:rPr>
            <w:instrText xml:space="preserve"> CITATION Est09 \l 1033 </w:instrText>
          </w:r>
          <w:r w:rsidR="00D35F06">
            <w:rPr>
              <w:sz w:val="24"/>
              <w:szCs w:val="24"/>
              <w:lang w:val="en-US"/>
            </w:rPr>
            <w:fldChar w:fldCharType="separate"/>
          </w:r>
          <w:r w:rsidR="00F40AD7" w:rsidRPr="00F40AD7">
            <w:rPr>
              <w:noProof/>
              <w:sz w:val="24"/>
              <w:szCs w:val="24"/>
              <w:lang w:val="en-US"/>
            </w:rPr>
            <w:t>(Estrada, Jimeno, &amp; Malo de Molina, 2009)</w:t>
          </w:r>
          <w:r w:rsidR="00D35F06">
            <w:rPr>
              <w:sz w:val="24"/>
              <w:szCs w:val="24"/>
              <w:lang w:val="en-US"/>
            </w:rPr>
            <w:fldChar w:fldCharType="end"/>
          </w:r>
        </w:sdtContent>
      </w:sdt>
      <w:r w:rsidR="00121826">
        <w:rPr>
          <w:sz w:val="24"/>
          <w:szCs w:val="24"/>
          <w:lang w:val="en-US"/>
        </w:rPr>
        <w:t>.</w:t>
      </w:r>
      <w:r w:rsidR="00121826">
        <w:rPr>
          <w:sz w:val="24"/>
          <w:szCs w:val="24"/>
          <w:lang w:val="en-US"/>
        </w:rPr>
        <w:br/>
      </w:r>
      <w:r w:rsidR="00121826">
        <w:rPr>
          <w:sz w:val="24"/>
          <w:szCs w:val="24"/>
          <w:lang w:val="en-US"/>
        </w:rPr>
        <w:br/>
      </w:r>
      <w:r w:rsidR="00103E9E">
        <w:rPr>
          <w:sz w:val="24"/>
          <w:szCs w:val="24"/>
          <w:lang w:val="en-US"/>
        </w:rPr>
        <w:t>Since the nominal exchange rate is fixed</w:t>
      </w:r>
      <w:r w:rsidR="008732A1">
        <w:rPr>
          <w:sz w:val="24"/>
          <w:szCs w:val="24"/>
          <w:lang w:val="en-US"/>
        </w:rPr>
        <w:t>,</w:t>
      </w:r>
      <w:r w:rsidR="00103E9E">
        <w:rPr>
          <w:sz w:val="24"/>
          <w:szCs w:val="24"/>
          <w:lang w:val="en-US"/>
        </w:rPr>
        <w:t xml:space="preserve"> the real effective exchange rate</w:t>
      </w:r>
      <w:r w:rsidR="00491053">
        <w:rPr>
          <w:rStyle w:val="Voetnootmarkering"/>
          <w:sz w:val="24"/>
          <w:szCs w:val="24"/>
          <w:lang w:val="en-US"/>
        </w:rPr>
        <w:footnoteReference w:id="4"/>
      </w:r>
      <w:r w:rsidR="00103E9E">
        <w:rPr>
          <w:sz w:val="24"/>
          <w:szCs w:val="24"/>
          <w:lang w:val="en-US"/>
        </w:rPr>
        <w:t xml:space="preserve"> can only appreciate by inflationary influences</w:t>
      </w:r>
      <w:r w:rsidR="008732A1">
        <w:rPr>
          <w:rStyle w:val="Voetnootmarkering"/>
          <w:sz w:val="24"/>
          <w:szCs w:val="24"/>
          <w:lang w:val="en-US"/>
        </w:rPr>
        <w:footnoteReference w:id="5"/>
      </w:r>
      <w:r w:rsidR="00103E9E">
        <w:rPr>
          <w:sz w:val="24"/>
          <w:szCs w:val="24"/>
          <w:lang w:val="en-US"/>
        </w:rPr>
        <w:t xml:space="preserve">. Theory predicts that a fast increase in the general price level of the emerging economy induces a fast appreciating real effective exchange rate. Between 1999 until 2008 the Spanish REER has </w:t>
      </w:r>
      <w:r w:rsidR="0096484B">
        <w:rPr>
          <w:sz w:val="24"/>
          <w:szCs w:val="24"/>
          <w:lang w:val="en-US"/>
        </w:rPr>
        <w:t>kept appreciating</w:t>
      </w:r>
      <w:r w:rsidR="00103E9E">
        <w:rPr>
          <w:sz w:val="24"/>
          <w:szCs w:val="24"/>
          <w:lang w:val="en-US"/>
        </w:rPr>
        <w:t xml:space="preserve"> while the REER of Germany is as high in </w:t>
      </w:r>
      <w:r w:rsidR="00103E9E">
        <w:rPr>
          <w:sz w:val="24"/>
          <w:szCs w:val="24"/>
          <w:lang w:val="en-US"/>
        </w:rPr>
        <w:lastRenderedPageBreak/>
        <w:t>2008 as it was in 1999. (Figure 11)</w:t>
      </w:r>
      <w:r w:rsidR="0096484B">
        <w:rPr>
          <w:sz w:val="24"/>
          <w:szCs w:val="24"/>
          <w:lang w:val="en-US"/>
        </w:rPr>
        <w:t xml:space="preserve"> As already mentioned earlier, a higher REER deteriorates competitiveness, because products become more expensive on the international market. To compensate for this loss in international competitiveness high productivity growth and low labor cost growth in the tradable s</w:t>
      </w:r>
      <w:r w:rsidR="00532EA2">
        <w:rPr>
          <w:sz w:val="24"/>
          <w:szCs w:val="24"/>
          <w:lang w:val="en-US"/>
        </w:rPr>
        <w:t>ector of the</w:t>
      </w:r>
      <w:r w:rsidR="00600990">
        <w:rPr>
          <w:sz w:val="24"/>
          <w:szCs w:val="24"/>
          <w:lang w:val="en-US"/>
        </w:rPr>
        <w:t xml:space="preserve"> emerging</w:t>
      </w:r>
      <w:r w:rsidR="00532EA2">
        <w:rPr>
          <w:sz w:val="24"/>
          <w:szCs w:val="24"/>
          <w:lang w:val="en-US"/>
        </w:rPr>
        <w:t xml:space="preserve"> economy are needed compared to the more developed trading partners.</w:t>
      </w:r>
      <w:r w:rsidR="00E83D13">
        <w:rPr>
          <w:sz w:val="24"/>
          <w:szCs w:val="24"/>
          <w:lang w:val="en-US"/>
        </w:rPr>
        <w:t xml:space="preserve"> </w:t>
      </w:r>
    </w:p>
    <w:p w:rsidR="00983DD5" w:rsidRDefault="00983DD5">
      <w:pPr>
        <w:rPr>
          <w:sz w:val="24"/>
          <w:szCs w:val="24"/>
          <w:lang w:val="en-US"/>
        </w:rPr>
      </w:pPr>
      <w:r>
        <w:rPr>
          <w:sz w:val="24"/>
          <w:szCs w:val="24"/>
          <w:lang w:val="en-US"/>
        </w:rPr>
        <w:t>From 2002 onwards Spain did not increase its labor productivity in manufacturing enough to compensate for the loss in price competitive</w:t>
      </w:r>
      <w:r w:rsidR="004721BB">
        <w:rPr>
          <w:sz w:val="24"/>
          <w:szCs w:val="24"/>
          <w:lang w:val="en-US"/>
        </w:rPr>
        <w:t xml:space="preserve">ness. (Figure 13) In </w:t>
      </w:r>
      <w:r>
        <w:rPr>
          <w:sz w:val="24"/>
          <w:szCs w:val="24"/>
          <w:lang w:val="en-US"/>
        </w:rPr>
        <w:t xml:space="preserve">2007 </w:t>
      </w:r>
      <w:r w:rsidR="004721BB">
        <w:rPr>
          <w:sz w:val="24"/>
          <w:szCs w:val="24"/>
          <w:lang w:val="en-US"/>
        </w:rPr>
        <w:t>labor productivity in manufacturing</w:t>
      </w:r>
      <w:r>
        <w:rPr>
          <w:sz w:val="24"/>
          <w:szCs w:val="24"/>
          <w:lang w:val="en-US"/>
        </w:rPr>
        <w:t xml:space="preserve"> has been increased slightly more than 10% compared to 2002</w:t>
      </w:r>
      <w:r w:rsidR="004721BB">
        <w:rPr>
          <w:sz w:val="24"/>
          <w:szCs w:val="24"/>
          <w:lang w:val="en-US"/>
        </w:rPr>
        <w:t xml:space="preserve"> (blue line)</w:t>
      </w:r>
      <w:r>
        <w:rPr>
          <w:sz w:val="24"/>
          <w:szCs w:val="24"/>
          <w:lang w:val="en-US"/>
        </w:rPr>
        <w:t>. In the same period the total labor compensation in manufacturing grew 20% with respect to 2002</w:t>
      </w:r>
      <w:r w:rsidR="004721BB">
        <w:rPr>
          <w:sz w:val="24"/>
          <w:szCs w:val="24"/>
          <w:lang w:val="en-US"/>
        </w:rPr>
        <w:t xml:space="preserve"> (green line)</w:t>
      </w:r>
      <w:r>
        <w:rPr>
          <w:sz w:val="24"/>
          <w:szCs w:val="24"/>
          <w:lang w:val="en-US"/>
        </w:rPr>
        <w:t>.  German labor productivity was already much higher</w:t>
      </w:r>
      <w:r w:rsidR="00A852D6">
        <w:rPr>
          <w:sz w:val="24"/>
          <w:szCs w:val="24"/>
          <w:lang w:val="en-US"/>
        </w:rPr>
        <w:t xml:space="preserve"> than Spanish labor productivity</w:t>
      </w:r>
      <w:r>
        <w:rPr>
          <w:sz w:val="24"/>
          <w:szCs w:val="24"/>
          <w:lang w:val="en-US"/>
        </w:rPr>
        <w:t xml:space="preserve"> in 2002 (not shown) as it was much more developed when it entered the </w:t>
      </w:r>
      <w:proofErr w:type="spellStart"/>
      <w:r>
        <w:rPr>
          <w:sz w:val="24"/>
          <w:szCs w:val="24"/>
          <w:lang w:val="en-US"/>
        </w:rPr>
        <w:t>eurozone</w:t>
      </w:r>
      <w:proofErr w:type="spellEnd"/>
      <w:r>
        <w:rPr>
          <w:sz w:val="24"/>
          <w:szCs w:val="24"/>
          <w:lang w:val="en-US"/>
        </w:rPr>
        <w:t>. The Balassa-Samuelson theory underlines that the emerging economy</w:t>
      </w:r>
      <w:r w:rsidR="00532EA2">
        <w:rPr>
          <w:sz w:val="24"/>
          <w:szCs w:val="24"/>
          <w:lang w:val="en-US"/>
        </w:rPr>
        <w:t xml:space="preserve"> (Spain)</w:t>
      </w:r>
      <w:r>
        <w:rPr>
          <w:sz w:val="24"/>
          <w:szCs w:val="24"/>
          <w:lang w:val="en-US"/>
        </w:rPr>
        <w:t xml:space="preserve"> needs to converge its labor productivity towards the developed economy</w:t>
      </w:r>
      <w:r w:rsidR="00A852D6">
        <w:rPr>
          <w:sz w:val="24"/>
          <w:szCs w:val="24"/>
          <w:lang w:val="en-US"/>
        </w:rPr>
        <w:t xml:space="preserve"> (Germany)</w:t>
      </w:r>
      <w:r>
        <w:rPr>
          <w:sz w:val="24"/>
          <w:szCs w:val="24"/>
          <w:lang w:val="en-US"/>
        </w:rPr>
        <w:t>.</w:t>
      </w:r>
      <w:r w:rsidR="00A852D6">
        <w:rPr>
          <w:sz w:val="24"/>
          <w:szCs w:val="24"/>
          <w:lang w:val="en-US"/>
        </w:rPr>
        <w:t xml:space="preserve"> Obviously this did not happen </w:t>
      </w:r>
      <w:r>
        <w:rPr>
          <w:sz w:val="24"/>
          <w:szCs w:val="24"/>
          <w:lang w:val="en-US"/>
        </w:rPr>
        <w:t>(Figure 13)</w:t>
      </w:r>
      <w:r w:rsidR="00A852D6">
        <w:rPr>
          <w:sz w:val="24"/>
          <w:szCs w:val="24"/>
          <w:lang w:val="en-US"/>
        </w:rPr>
        <w:t>.</w:t>
      </w:r>
      <w:r>
        <w:rPr>
          <w:sz w:val="24"/>
          <w:szCs w:val="24"/>
          <w:lang w:val="en-US"/>
        </w:rPr>
        <w:t xml:space="preserve"> German labor productivity in manufacturing grew 25% </w:t>
      </w:r>
      <w:r w:rsidR="003D637A">
        <w:rPr>
          <w:sz w:val="24"/>
          <w:szCs w:val="24"/>
          <w:lang w:val="en-US"/>
        </w:rPr>
        <w:t>between 2002 and 2007</w:t>
      </w:r>
      <w:r w:rsidR="004721BB">
        <w:rPr>
          <w:sz w:val="24"/>
          <w:szCs w:val="24"/>
          <w:lang w:val="en-US"/>
        </w:rPr>
        <w:t xml:space="preserve"> (red line)</w:t>
      </w:r>
      <w:r w:rsidR="003D637A">
        <w:rPr>
          <w:sz w:val="24"/>
          <w:szCs w:val="24"/>
          <w:lang w:val="en-US"/>
        </w:rPr>
        <w:t xml:space="preserve">  while total labor compensation in the sector grew not even 5%</w:t>
      </w:r>
      <w:r w:rsidR="004721BB">
        <w:rPr>
          <w:sz w:val="24"/>
          <w:szCs w:val="24"/>
          <w:lang w:val="en-US"/>
        </w:rPr>
        <w:t xml:space="preserve"> (purple line)</w:t>
      </w:r>
      <w:r w:rsidR="003D637A">
        <w:rPr>
          <w:sz w:val="24"/>
          <w:szCs w:val="24"/>
          <w:lang w:val="en-US"/>
        </w:rPr>
        <w:t xml:space="preserve"> in the same period of consideration</w:t>
      </w:r>
      <w:r w:rsidR="00532EA2">
        <w:rPr>
          <w:sz w:val="24"/>
          <w:szCs w:val="24"/>
          <w:lang w:val="en-US"/>
        </w:rPr>
        <w:t xml:space="preserve">. </w:t>
      </w:r>
    </w:p>
    <w:p w:rsidR="00532EA2" w:rsidRDefault="00532EA2">
      <w:pPr>
        <w:rPr>
          <w:sz w:val="24"/>
          <w:szCs w:val="24"/>
          <w:lang w:val="en-US"/>
        </w:rPr>
      </w:pPr>
      <w:r>
        <w:rPr>
          <w:sz w:val="24"/>
          <w:szCs w:val="24"/>
          <w:lang w:val="en-US"/>
        </w:rPr>
        <w:t xml:space="preserve">The </w:t>
      </w:r>
      <w:r w:rsidR="004721BB">
        <w:rPr>
          <w:sz w:val="24"/>
          <w:szCs w:val="24"/>
          <w:lang w:val="en-US"/>
        </w:rPr>
        <w:t>logic consequence of a lack of labor productivity growth</w:t>
      </w:r>
      <w:r w:rsidR="00A852D6">
        <w:rPr>
          <w:sz w:val="24"/>
          <w:szCs w:val="24"/>
          <w:lang w:val="en-US"/>
        </w:rPr>
        <w:t xml:space="preserve"> in the tradable sector</w:t>
      </w:r>
      <w:r w:rsidR="004721BB">
        <w:rPr>
          <w:sz w:val="24"/>
          <w:szCs w:val="24"/>
          <w:lang w:val="en-US"/>
        </w:rPr>
        <w:t xml:space="preserve"> </w:t>
      </w:r>
      <w:r w:rsidR="00A852D6">
        <w:rPr>
          <w:sz w:val="24"/>
          <w:szCs w:val="24"/>
          <w:lang w:val="en-US"/>
        </w:rPr>
        <w:t xml:space="preserve">of Spain (and the high growth in Germany) compared to the fast growth of total labor compensation </w:t>
      </w:r>
      <w:r w:rsidR="00600990">
        <w:rPr>
          <w:sz w:val="24"/>
          <w:szCs w:val="24"/>
          <w:lang w:val="en-US"/>
        </w:rPr>
        <w:t xml:space="preserve">in Spain </w:t>
      </w:r>
      <w:r w:rsidR="00A852D6">
        <w:rPr>
          <w:sz w:val="24"/>
          <w:szCs w:val="24"/>
          <w:lang w:val="en-US"/>
        </w:rPr>
        <w:t xml:space="preserve">(and the sluggish growth of total labor compensation in Germany) along with the fast increase in prices made Spain very uncompetitive on the international market. </w:t>
      </w:r>
      <w:r w:rsidR="00D66771">
        <w:rPr>
          <w:sz w:val="24"/>
          <w:szCs w:val="24"/>
          <w:lang w:val="en-US"/>
        </w:rPr>
        <w:t>Therefore one can notice a deteriorating current account (imports grow faster than exports) of Spain and consistent growing surpluses on the current account of Germany (Figure 12)</w:t>
      </w:r>
      <w:r w:rsidR="004E751B">
        <w:rPr>
          <w:rStyle w:val="Voetnootmarkering"/>
          <w:sz w:val="24"/>
          <w:szCs w:val="24"/>
          <w:lang w:val="en-US"/>
        </w:rPr>
        <w:footnoteReference w:id="6"/>
      </w:r>
      <w:r w:rsidR="00D66771">
        <w:rPr>
          <w:sz w:val="24"/>
          <w:szCs w:val="24"/>
          <w:lang w:val="en-US"/>
        </w:rPr>
        <w:t>.</w:t>
      </w:r>
    </w:p>
    <w:p w:rsidR="006D05D9" w:rsidRDefault="007F1D0E">
      <w:pPr>
        <w:rPr>
          <w:sz w:val="24"/>
          <w:szCs w:val="24"/>
          <w:lang w:val="en-US"/>
        </w:rPr>
      </w:pPr>
      <w:r>
        <w:rPr>
          <w:sz w:val="24"/>
          <w:szCs w:val="24"/>
          <w:lang w:val="en-US"/>
        </w:rPr>
        <w:t xml:space="preserve">In Germany a policy of wage restraints exists since the beginning of the EMU. </w:t>
      </w:r>
      <w:proofErr w:type="spellStart"/>
      <w:r>
        <w:rPr>
          <w:sz w:val="24"/>
          <w:szCs w:val="24"/>
          <w:lang w:val="en-US"/>
        </w:rPr>
        <w:t>Uxo</w:t>
      </w:r>
      <w:proofErr w:type="spellEnd"/>
      <w:r>
        <w:rPr>
          <w:sz w:val="24"/>
          <w:szCs w:val="24"/>
          <w:lang w:val="en-US"/>
        </w:rPr>
        <w:t xml:space="preserve"> et al. found that </w:t>
      </w:r>
      <w:r w:rsidR="00DC5062">
        <w:rPr>
          <w:sz w:val="24"/>
          <w:szCs w:val="24"/>
          <w:lang w:val="en-US"/>
        </w:rPr>
        <w:t xml:space="preserve">productivity per employee in Germany grew on average by 1,1% </w:t>
      </w:r>
      <w:r w:rsidR="00F13B8C">
        <w:rPr>
          <w:sz w:val="24"/>
          <w:szCs w:val="24"/>
          <w:lang w:val="en-US"/>
        </w:rPr>
        <w:t>annually</w:t>
      </w:r>
      <w:r w:rsidR="00DC5062">
        <w:rPr>
          <w:sz w:val="24"/>
          <w:szCs w:val="24"/>
          <w:lang w:val="en-US"/>
        </w:rPr>
        <w:t>. The inflation target within the EMU is 2% per year. This means that wages can grow by 3,1% on average each year. They conclude that instead wages grew only on average by 1% per year in nominal terms, which is 16% below the wage increase that is allowed if you take the target inflation into consideration.</w:t>
      </w:r>
      <w:r w:rsidR="00EF26B8">
        <w:rPr>
          <w:sz w:val="24"/>
          <w:szCs w:val="24"/>
          <w:lang w:val="en-US"/>
        </w:rPr>
        <w:t xml:space="preserve"> Addit</w:t>
      </w:r>
      <w:r w:rsidR="00384D3E">
        <w:rPr>
          <w:sz w:val="24"/>
          <w:szCs w:val="24"/>
          <w:lang w:val="en-US"/>
        </w:rPr>
        <w:t>ional to the difference in wage growth is the different trend in GDP growth. Whereas Germany’s economy grew at an annual average of 1,5% between 2000 and 2007 the economy of Spain grew by 3,6%.</w:t>
      </w:r>
      <w:r w:rsidR="00EF26B8">
        <w:rPr>
          <w:sz w:val="24"/>
          <w:szCs w:val="24"/>
          <w:lang w:val="en-US"/>
        </w:rPr>
        <w:t xml:space="preserve"> </w:t>
      </w:r>
      <w:r w:rsidR="00DC5062">
        <w:rPr>
          <w:sz w:val="24"/>
          <w:szCs w:val="24"/>
          <w:lang w:val="en-US"/>
        </w:rPr>
        <w:t xml:space="preserve"> </w:t>
      </w:r>
      <w:sdt>
        <w:sdtPr>
          <w:rPr>
            <w:sz w:val="24"/>
            <w:szCs w:val="24"/>
            <w:lang w:val="en-US"/>
          </w:rPr>
          <w:id w:val="5227782"/>
          <w:citation/>
        </w:sdtPr>
        <w:sdtContent>
          <w:r w:rsidR="00D35F06">
            <w:rPr>
              <w:sz w:val="24"/>
              <w:szCs w:val="24"/>
              <w:lang w:val="en-US"/>
            </w:rPr>
            <w:fldChar w:fldCharType="begin"/>
          </w:r>
          <w:r w:rsidR="00DC5062">
            <w:rPr>
              <w:sz w:val="24"/>
              <w:szCs w:val="24"/>
              <w:lang w:val="en-US"/>
            </w:rPr>
            <w:instrText xml:space="preserve"> CITATION Uxo11 \l 1033  </w:instrText>
          </w:r>
          <w:r w:rsidR="00D35F06">
            <w:rPr>
              <w:sz w:val="24"/>
              <w:szCs w:val="24"/>
              <w:lang w:val="en-US"/>
            </w:rPr>
            <w:fldChar w:fldCharType="separate"/>
          </w:r>
          <w:r w:rsidR="00DC5062" w:rsidRPr="007F1D0E">
            <w:rPr>
              <w:noProof/>
              <w:sz w:val="24"/>
              <w:szCs w:val="24"/>
              <w:lang w:val="en-US"/>
            </w:rPr>
            <w:t>(Uxo, Paul, &amp; Febrero, 2011)</w:t>
          </w:r>
          <w:r w:rsidR="00D35F06">
            <w:rPr>
              <w:sz w:val="24"/>
              <w:szCs w:val="24"/>
              <w:lang w:val="en-US"/>
            </w:rPr>
            <w:fldChar w:fldCharType="end"/>
          </w:r>
        </w:sdtContent>
      </w:sdt>
      <w:r w:rsidR="0025711D">
        <w:rPr>
          <w:sz w:val="24"/>
          <w:szCs w:val="24"/>
          <w:lang w:val="en-US"/>
        </w:rPr>
        <w:t xml:space="preserve"> </w:t>
      </w:r>
    </w:p>
    <w:p w:rsidR="00D953E2" w:rsidRDefault="00776ACE">
      <w:pPr>
        <w:rPr>
          <w:sz w:val="24"/>
          <w:szCs w:val="24"/>
          <w:lang w:val="en-US"/>
        </w:rPr>
      </w:pPr>
      <w:r>
        <w:rPr>
          <w:sz w:val="24"/>
          <w:szCs w:val="24"/>
          <w:lang w:val="en-US"/>
        </w:rPr>
        <w:br/>
      </w:r>
    </w:p>
    <w:p w:rsidR="0077336F" w:rsidRDefault="0077336F">
      <w:pPr>
        <w:rPr>
          <w:b/>
          <w:sz w:val="24"/>
          <w:szCs w:val="24"/>
          <w:lang w:val="en-US"/>
        </w:rPr>
      </w:pPr>
      <w:r w:rsidRPr="0077336F">
        <w:rPr>
          <w:b/>
          <w:noProof/>
          <w:sz w:val="24"/>
          <w:szCs w:val="24"/>
          <w:lang w:eastAsia="nl-NL"/>
        </w:rPr>
        <w:lastRenderedPageBreak/>
        <w:drawing>
          <wp:inline distT="0" distB="0" distL="0" distR="0">
            <wp:extent cx="5886450" cy="3219450"/>
            <wp:effectExtent l="57150" t="0" r="57150" b="76200"/>
            <wp:docPr id="16"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4367B" w:rsidRDefault="001E5E25">
      <w:pPr>
        <w:rPr>
          <w:sz w:val="24"/>
          <w:szCs w:val="24"/>
          <w:lang w:val="en-US"/>
        </w:rPr>
      </w:pPr>
      <w:r>
        <w:rPr>
          <w:sz w:val="24"/>
          <w:szCs w:val="24"/>
          <w:lang w:val="en-US"/>
        </w:rPr>
        <w:br/>
      </w:r>
      <w:r w:rsidR="00384D3E">
        <w:rPr>
          <w:sz w:val="24"/>
          <w:szCs w:val="24"/>
          <w:lang w:val="en-US"/>
        </w:rPr>
        <w:t>How could Spain achieve such high an</w:t>
      </w:r>
      <w:r w:rsidR="00B20B29">
        <w:rPr>
          <w:sz w:val="24"/>
          <w:szCs w:val="24"/>
          <w:lang w:val="en-US"/>
        </w:rPr>
        <w:t>nual GDP growth</w:t>
      </w:r>
      <w:r w:rsidR="007B6677">
        <w:rPr>
          <w:sz w:val="24"/>
          <w:szCs w:val="24"/>
          <w:lang w:val="en-US"/>
        </w:rPr>
        <w:t xml:space="preserve"> and increasing domestic demand</w:t>
      </w:r>
      <w:r w:rsidR="00B20B29">
        <w:rPr>
          <w:sz w:val="24"/>
          <w:szCs w:val="24"/>
          <w:lang w:val="en-US"/>
        </w:rPr>
        <w:t xml:space="preserve"> while labor productivity lacked so much behind</w:t>
      </w:r>
      <w:r w:rsidR="00B11177">
        <w:rPr>
          <w:sz w:val="24"/>
          <w:szCs w:val="24"/>
          <w:lang w:val="en-US"/>
        </w:rPr>
        <w:t>?</w:t>
      </w:r>
      <w:r w:rsidR="00225457">
        <w:rPr>
          <w:sz w:val="24"/>
          <w:szCs w:val="24"/>
          <w:lang w:val="en-US"/>
        </w:rPr>
        <w:t xml:space="preserve"> Together with a rise i</w:t>
      </w:r>
      <w:r w:rsidR="00D97958">
        <w:rPr>
          <w:sz w:val="24"/>
          <w:szCs w:val="24"/>
          <w:lang w:val="en-US"/>
        </w:rPr>
        <w:t>n wages beyond inflation</w:t>
      </w:r>
      <w:r w:rsidR="00600990">
        <w:rPr>
          <w:sz w:val="24"/>
          <w:szCs w:val="24"/>
          <w:lang w:val="en-US"/>
        </w:rPr>
        <w:t>ary</w:t>
      </w:r>
      <w:r w:rsidR="00D97958">
        <w:rPr>
          <w:sz w:val="24"/>
          <w:szCs w:val="24"/>
          <w:lang w:val="en-US"/>
        </w:rPr>
        <w:t xml:space="preserve"> influences</w:t>
      </w:r>
      <w:r w:rsidR="00225457">
        <w:rPr>
          <w:sz w:val="24"/>
          <w:szCs w:val="24"/>
          <w:lang w:val="en-US"/>
        </w:rPr>
        <w:t xml:space="preserve"> i</w:t>
      </w:r>
      <w:r w:rsidR="00B11177">
        <w:rPr>
          <w:sz w:val="24"/>
          <w:szCs w:val="24"/>
          <w:lang w:val="en-US"/>
        </w:rPr>
        <w:t>t is already mentioned</w:t>
      </w:r>
      <w:r w:rsidR="00D542D2">
        <w:rPr>
          <w:sz w:val="24"/>
          <w:szCs w:val="24"/>
          <w:lang w:val="en-US"/>
        </w:rPr>
        <w:t xml:space="preserve"> that the Spanish economy mainly relied on the residential property sector for its investments. The main component of Spain’s GDP growth is the construction sector in which the Spanish private sector’</w:t>
      </w:r>
      <w:r w:rsidR="00D46AE4">
        <w:rPr>
          <w:sz w:val="24"/>
          <w:szCs w:val="24"/>
          <w:lang w:val="en-US"/>
        </w:rPr>
        <w:t>s investments were the largest. This can be illustrated by looking at the national account o</w:t>
      </w:r>
      <w:r w:rsidR="007F64C8">
        <w:rPr>
          <w:sz w:val="24"/>
          <w:szCs w:val="24"/>
          <w:lang w:val="en-US"/>
        </w:rPr>
        <w:t>f gross fixed capital formation (GFCF).</w:t>
      </w:r>
      <w:r w:rsidR="00D46AE4">
        <w:rPr>
          <w:sz w:val="24"/>
          <w:szCs w:val="24"/>
          <w:lang w:val="en-US"/>
        </w:rPr>
        <w:t xml:space="preserve"> Simply said, these are the total investments done by the domestic private sector in fixed assets. It is gross, because depreciations are not taken into account. Not just only compared to the Euro Area average and Germany, but also when we look at the other peripheral countries of the Euro Area we see that Spain really </w:t>
      </w:r>
      <w:r w:rsidR="0064367B">
        <w:rPr>
          <w:sz w:val="24"/>
          <w:szCs w:val="24"/>
          <w:lang w:val="en-US"/>
        </w:rPr>
        <w:t xml:space="preserve">was at the top </w:t>
      </w:r>
      <w:r w:rsidR="00D46AE4">
        <w:rPr>
          <w:sz w:val="24"/>
          <w:szCs w:val="24"/>
          <w:lang w:val="en-US"/>
        </w:rPr>
        <w:t>(Figure 15</w:t>
      </w:r>
      <w:r w:rsidR="001D17D6">
        <w:rPr>
          <w:sz w:val="24"/>
          <w:szCs w:val="24"/>
          <w:lang w:val="en-US"/>
        </w:rPr>
        <w:t xml:space="preserve"> next page</w:t>
      </w:r>
      <w:r w:rsidR="00D46AE4">
        <w:rPr>
          <w:sz w:val="24"/>
          <w:szCs w:val="24"/>
          <w:lang w:val="en-US"/>
        </w:rPr>
        <w:t>)</w:t>
      </w:r>
      <w:r w:rsidR="0064367B">
        <w:rPr>
          <w:sz w:val="24"/>
          <w:szCs w:val="24"/>
          <w:lang w:val="en-US"/>
        </w:rPr>
        <w:t xml:space="preserve">. One can also see that Spain was the only country in which gross fixed capital formation </w:t>
      </w:r>
      <w:r w:rsidR="00600990">
        <w:rPr>
          <w:sz w:val="24"/>
          <w:szCs w:val="24"/>
          <w:lang w:val="en-US"/>
        </w:rPr>
        <w:t xml:space="preserve">(GFCF) </w:t>
      </w:r>
      <w:r w:rsidR="0064367B">
        <w:rPr>
          <w:sz w:val="24"/>
          <w:szCs w:val="24"/>
          <w:lang w:val="en-US"/>
        </w:rPr>
        <w:t xml:space="preserve">continuously has been growing </w:t>
      </w:r>
      <w:r w:rsidR="00BF7945">
        <w:rPr>
          <w:sz w:val="24"/>
          <w:szCs w:val="24"/>
          <w:lang w:val="en-US"/>
        </w:rPr>
        <w:t>until 2007</w:t>
      </w:r>
      <w:r w:rsidR="0064367B">
        <w:rPr>
          <w:sz w:val="24"/>
          <w:szCs w:val="24"/>
          <w:lang w:val="en-US"/>
        </w:rPr>
        <w:t>.</w:t>
      </w:r>
      <w:r w:rsidR="00E7557E">
        <w:rPr>
          <w:sz w:val="24"/>
          <w:szCs w:val="24"/>
          <w:lang w:val="en-US"/>
        </w:rPr>
        <w:t xml:space="preserve"> In 2007 </w:t>
      </w:r>
      <w:r w:rsidR="007F64C8">
        <w:rPr>
          <w:sz w:val="24"/>
          <w:szCs w:val="24"/>
          <w:lang w:val="en-US"/>
        </w:rPr>
        <w:t>GFCF</w:t>
      </w:r>
      <w:r w:rsidR="00E7557E">
        <w:rPr>
          <w:sz w:val="24"/>
          <w:szCs w:val="24"/>
          <w:lang w:val="en-US"/>
        </w:rPr>
        <w:t xml:space="preserve"> contributed almost one third</w:t>
      </w:r>
      <w:r w:rsidR="00EF0FD0">
        <w:rPr>
          <w:sz w:val="24"/>
          <w:szCs w:val="24"/>
          <w:lang w:val="en-US"/>
        </w:rPr>
        <w:t xml:space="preserve"> (!)</w:t>
      </w:r>
      <w:r w:rsidR="00E7557E">
        <w:rPr>
          <w:sz w:val="24"/>
          <w:szCs w:val="24"/>
          <w:lang w:val="en-US"/>
        </w:rPr>
        <w:t xml:space="preserve"> of whole domestic production.</w:t>
      </w:r>
      <w:r w:rsidR="00705372">
        <w:rPr>
          <w:sz w:val="24"/>
          <w:szCs w:val="24"/>
          <w:lang w:val="en-US"/>
        </w:rPr>
        <w:t xml:space="preserve"> In Germany, </w:t>
      </w:r>
      <w:r w:rsidR="007F64C8">
        <w:rPr>
          <w:sz w:val="24"/>
          <w:szCs w:val="24"/>
          <w:lang w:val="en-US"/>
        </w:rPr>
        <w:t>GFCF</w:t>
      </w:r>
      <w:r w:rsidR="00705372">
        <w:rPr>
          <w:sz w:val="24"/>
          <w:szCs w:val="24"/>
          <w:lang w:val="en-US"/>
        </w:rPr>
        <w:t xml:space="preserve"> not even contributed 20% of total GDP. </w:t>
      </w:r>
    </w:p>
    <w:p w:rsidR="00225457" w:rsidRDefault="0064367B" w:rsidP="007F64C8">
      <w:pPr>
        <w:rPr>
          <w:sz w:val="24"/>
          <w:szCs w:val="24"/>
          <w:lang w:val="en-US"/>
        </w:rPr>
      </w:pPr>
      <w:r>
        <w:rPr>
          <w:sz w:val="24"/>
          <w:szCs w:val="24"/>
          <w:lang w:val="en-US"/>
        </w:rPr>
        <w:lastRenderedPageBreak/>
        <w:br/>
      </w:r>
      <w:r w:rsidR="004D0A76" w:rsidRPr="004D0A76">
        <w:rPr>
          <w:noProof/>
          <w:sz w:val="24"/>
          <w:szCs w:val="24"/>
          <w:lang w:eastAsia="nl-NL"/>
        </w:rPr>
        <w:drawing>
          <wp:inline distT="0" distB="0" distL="0" distR="0">
            <wp:extent cx="5760720" cy="3724275"/>
            <wp:effectExtent l="57150" t="0" r="49530" b="66675"/>
            <wp:docPr id="11"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sz w:val="24"/>
          <w:szCs w:val="24"/>
          <w:lang w:val="en-US"/>
        </w:rPr>
        <w:br/>
      </w:r>
      <w:r>
        <w:rPr>
          <w:sz w:val="24"/>
          <w:szCs w:val="24"/>
          <w:lang w:val="en-US"/>
        </w:rPr>
        <w:br/>
      </w:r>
      <w:r w:rsidR="001D17D6" w:rsidRPr="001D17D6">
        <w:rPr>
          <w:noProof/>
          <w:sz w:val="24"/>
          <w:szCs w:val="24"/>
          <w:lang w:eastAsia="nl-NL"/>
        </w:rPr>
        <w:drawing>
          <wp:inline distT="0" distB="0" distL="0" distR="0">
            <wp:extent cx="5760720" cy="4381500"/>
            <wp:effectExtent l="57150" t="0" r="49530" b="76200"/>
            <wp:docPr id="12"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7F64C8">
        <w:rPr>
          <w:sz w:val="24"/>
          <w:szCs w:val="24"/>
          <w:lang w:val="en-US"/>
        </w:rPr>
        <w:lastRenderedPageBreak/>
        <w:t>GFCF is divided into six components, from which two are important in the scope</w:t>
      </w:r>
      <w:r w:rsidR="00600990">
        <w:rPr>
          <w:sz w:val="24"/>
          <w:szCs w:val="24"/>
          <w:lang w:val="en-US"/>
        </w:rPr>
        <w:t xml:space="preserve"> of this paper, namely dwellings</w:t>
      </w:r>
      <w:r w:rsidR="007F64C8">
        <w:rPr>
          <w:sz w:val="24"/>
          <w:szCs w:val="24"/>
          <w:lang w:val="en-US"/>
        </w:rPr>
        <w:t xml:space="preserve"> and other machinery and equipment. These two components cover the main contradiction between Spain and Germany. Again one sees that Spain focused much of its investments towards the creation of dwellings and Germany invested a lot of its total expenditures on machinery and equipment</w:t>
      </w:r>
      <w:r w:rsidR="00EF0FD0">
        <w:rPr>
          <w:sz w:val="24"/>
          <w:szCs w:val="24"/>
          <w:lang w:val="en-US"/>
        </w:rPr>
        <w:t xml:space="preserve"> (Figure 16)</w:t>
      </w:r>
      <w:r w:rsidR="007F64C8">
        <w:rPr>
          <w:sz w:val="24"/>
          <w:szCs w:val="24"/>
          <w:lang w:val="en-US"/>
        </w:rPr>
        <w:t>. While extra machinery and equipment enhances productivity</w:t>
      </w:r>
      <w:r w:rsidR="00E16A50">
        <w:rPr>
          <w:sz w:val="24"/>
          <w:szCs w:val="24"/>
          <w:lang w:val="en-US"/>
        </w:rPr>
        <w:t xml:space="preserve"> (of both labor and capital) the creation of dwellings does not. </w:t>
      </w:r>
      <w:r w:rsidR="00EF0FD0">
        <w:rPr>
          <w:sz w:val="24"/>
          <w:szCs w:val="24"/>
          <w:lang w:val="en-US"/>
        </w:rPr>
        <w:t xml:space="preserve">However, this </w:t>
      </w:r>
      <w:r w:rsidR="00D520B1">
        <w:rPr>
          <w:sz w:val="24"/>
          <w:szCs w:val="24"/>
          <w:lang w:val="en-US"/>
        </w:rPr>
        <w:t>feature needs some nuance. It cannot</w:t>
      </w:r>
      <w:r w:rsidR="00EF0FD0">
        <w:rPr>
          <w:sz w:val="24"/>
          <w:szCs w:val="24"/>
          <w:lang w:val="en-US"/>
        </w:rPr>
        <w:t xml:space="preserve"> fully explain the difference in productivity between the two countries. From Figure 15 we know that Spain had a much a higher share of its GDP invested in fixed assets. So even when the share of machinery and equipment is smaller on the Spanish account it is still higher as a percentage of GDP compared to Germany.</w:t>
      </w:r>
      <w:r w:rsidR="00D520B1">
        <w:rPr>
          <w:sz w:val="24"/>
          <w:szCs w:val="24"/>
          <w:lang w:val="en-US"/>
        </w:rPr>
        <w:t xml:space="preserve"> Though, it does give some indication how the different economies spend their money.</w:t>
      </w:r>
      <w:r w:rsidR="00225457">
        <w:rPr>
          <w:sz w:val="24"/>
          <w:szCs w:val="24"/>
          <w:lang w:val="en-US"/>
        </w:rPr>
        <w:t xml:space="preserve"> A better validation is found by </w:t>
      </w:r>
      <w:proofErr w:type="spellStart"/>
      <w:r w:rsidR="00225457">
        <w:rPr>
          <w:sz w:val="24"/>
          <w:szCs w:val="24"/>
          <w:lang w:val="en-US"/>
        </w:rPr>
        <w:t>Uxo</w:t>
      </w:r>
      <w:proofErr w:type="spellEnd"/>
      <w:r w:rsidR="00225457">
        <w:rPr>
          <w:sz w:val="24"/>
          <w:szCs w:val="24"/>
          <w:lang w:val="en-US"/>
        </w:rPr>
        <w:t xml:space="preserve"> et al.</w:t>
      </w:r>
      <w:r w:rsidR="00D97958">
        <w:rPr>
          <w:sz w:val="24"/>
          <w:szCs w:val="24"/>
          <w:lang w:val="en-US"/>
        </w:rPr>
        <w:t xml:space="preserve"> </w:t>
      </w:r>
      <w:r w:rsidR="00225457">
        <w:rPr>
          <w:sz w:val="24"/>
          <w:szCs w:val="24"/>
          <w:lang w:val="en-US"/>
        </w:rPr>
        <w:t xml:space="preserve">They showed that the relative high share in construction expenditures (Figure 16 blue and red block) only started after the introduction of the euro and went along with a </w:t>
      </w:r>
      <w:r w:rsidR="00D97958">
        <w:rPr>
          <w:sz w:val="24"/>
          <w:szCs w:val="24"/>
          <w:lang w:val="en-US"/>
        </w:rPr>
        <w:t xml:space="preserve">relative </w:t>
      </w:r>
      <w:r w:rsidR="00225457">
        <w:rPr>
          <w:sz w:val="24"/>
          <w:szCs w:val="24"/>
          <w:lang w:val="en-US"/>
        </w:rPr>
        <w:t xml:space="preserve">decrease in the production of manufactures. </w:t>
      </w:r>
      <w:sdt>
        <w:sdtPr>
          <w:rPr>
            <w:sz w:val="24"/>
            <w:szCs w:val="24"/>
            <w:lang w:val="en-US"/>
          </w:rPr>
          <w:id w:val="10598396"/>
          <w:citation/>
        </w:sdtPr>
        <w:sdtContent>
          <w:r w:rsidR="00D35F06">
            <w:rPr>
              <w:sz w:val="24"/>
              <w:szCs w:val="24"/>
              <w:lang w:val="en-US"/>
            </w:rPr>
            <w:fldChar w:fldCharType="begin"/>
          </w:r>
          <w:r w:rsidR="00225457">
            <w:rPr>
              <w:sz w:val="24"/>
              <w:szCs w:val="24"/>
              <w:lang w:val="en-US"/>
            </w:rPr>
            <w:instrText xml:space="preserve"> CITATION Uxo11 \l 1033 </w:instrText>
          </w:r>
          <w:r w:rsidR="00D35F06">
            <w:rPr>
              <w:sz w:val="24"/>
              <w:szCs w:val="24"/>
              <w:lang w:val="en-US"/>
            </w:rPr>
            <w:fldChar w:fldCharType="separate"/>
          </w:r>
          <w:r w:rsidR="00225457" w:rsidRPr="00225457">
            <w:rPr>
              <w:noProof/>
              <w:sz w:val="24"/>
              <w:szCs w:val="24"/>
              <w:lang w:val="en-US"/>
            </w:rPr>
            <w:t>(Uxo, Paul, &amp; Febrero, 2011)</w:t>
          </w:r>
          <w:r w:rsidR="00D35F06">
            <w:rPr>
              <w:sz w:val="24"/>
              <w:szCs w:val="24"/>
              <w:lang w:val="en-US"/>
            </w:rPr>
            <w:fldChar w:fldCharType="end"/>
          </w:r>
        </w:sdtContent>
      </w:sdt>
      <w:r w:rsidR="00225457">
        <w:rPr>
          <w:sz w:val="24"/>
          <w:szCs w:val="24"/>
          <w:lang w:val="en-US"/>
        </w:rPr>
        <w:t xml:space="preserve"> </w:t>
      </w:r>
    </w:p>
    <w:p w:rsidR="00C14812" w:rsidRDefault="007B6677" w:rsidP="007F64C8">
      <w:pPr>
        <w:rPr>
          <w:sz w:val="24"/>
          <w:szCs w:val="24"/>
          <w:lang w:val="en-US"/>
        </w:rPr>
      </w:pPr>
      <w:r>
        <w:rPr>
          <w:sz w:val="24"/>
          <w:szCs w:val="24"/>
          <w:lang w:val="en-US"/>
        </w:rPr>
        <w:t xml:space="preserve">How could Germany progress with such a declining domestic demand? The only way is to anticipate on foreign demand and increase its exports and profit from the high international competitiveness German companies achieved. How could Spain anticipate its own high domestic demand? By buying products from the foreign market thereby increasing its imports. Where exports contribute to an economies GDP growth, imports don’t. Additional to a negative contribution to GDP,  technology based imports fuel inflation, because companies can set high-mark ups on such goods and services. </w:t>
      </w:r>
    </w:p>
    <w:p w:rsidR="008618DC" w:rsidRDefault="005A246B" w:rsidP="007F64C8">
      <w:pPr>
        <w:rPr>
          <w:sz w:val="24"/>
          <w:szCs w:val="24"/>
          <w:lang w:val="en-US"/>
        </w:rPr>
      </w:pPr>
      <w:r>
        <w:rPr>
          <w:sz w:val="24"/>
          <w:szCs w:val="24"/>
          <w:lang w:val="en-US"/>
        </w:rPr>
        <w:t>In short the current account divergence which indicates the respective differences in international competitiveness</w:t>
      </w:r>
      <w:r w:rsidR="00E639AB">
        <w:rPr>
          <w:sz w:val="24"/>
          <w:szCs w:val="24"/>
          <w:lang w:val="en-US"/>
        </w:rPr>
        <w:t xml:space="preserve"> is the result of contrary economic trends. The Spanish economy underwent an expansionary period with increasing wages, prices and domestic demand fueled by</w:t>
      </w:r>
      <w:r w:rsidR="00197FAE">
        <w:rPr>
          <w:sz w:val="24"/>
          <w:szCs w:val="24"/>
          <w:lang w:val="en-US"/>
        </w:rPr>
        <w:t xml:space="preserve"> the demand (</w:t>
      </w:r>
      <w:r w:rsidR="00912376">
        <w:rPr>
          <w:sz w:val="24"/>
          <w:szCs w:val="24"/>
          <w:lang w:val="en-US"/>
        </w:rPr>
        <w:t>sub</w:t>
      </w:r>
      <w:r w:rsidR="00197FAE">
        <w:rPr>
          <w:sz w:val="24"/>
          <w:szCs w:val="24"/>
          <w:lang w:val="en-US"/>
        </w:rPr>
        <w:t>section a) and supply (</w:t>
      </w:r>
      <w:r w:rsidR="00912376">
        <w:rPr>
          <w:sz w:val="24"/>
          <w:szCs w:val="24"/>
          <w:lang w:val="en-US"/>
        </w:rPr>
        <w:t>sub</w:t>
      </w:r>
      <w:r w:rsidR="00197FAE">
        <w:rPr>
          <w:sz w:val="24"/>
          <w:szCs w:val="24"/>
          <w:lang w:val="en-US"/>
        </w:rPr>
        <w:t xml:space="preserve">section b) of the </w:t>
      </w:r>
      <w:r w:rsidR="007B6677">
        <w:rPr>
          <w:sz w:val="24"/>
          <w:szCs w:val="24"/>
          <w:lang w:val="en-US"/>
        </w:rPr>
        <w:t>construction sector and mainly residential property,</w:t>
      </w:r>
      <w:r w:rsidR="00E639AB">
        <w:rPr>
          <w:sz w:val="24"/>
          <w:szCs w:val="24"/>
          <w:lang w:val="en-US"/>
        </w:rPr>
        <w:t xml:space="preserve"> while the German economy was in a much more restrictive phase with declining demand, moderate inflation and very restrictive wage growth</w:t>
      </w:r>
      <w:r w:rsidR="00F40548">
        <w:rPr>
          <w:sz w:val="24"/>
          <w:szCs w:val="24"/>
          <w:lang w:val="en-US"/>
        </w:rPr>
        <w:t xml:space="preserve">. </w:t>
      </w:r>
      <w:r w:rsidR="0024567B">
        <w:rPr>
          <w:sz w:val="24"/>
          <w:szCs w:val="24"/>
          <w:lang w:val="en-US"/>
        </w:rPr>
        <w:t xml:space="preserve">Additional the increasing production in the construction sector went along with the decrease of the production of manufactures in Spain while the production of manufactures in Germany remained constant even in a contractionary phase. </w:t>
      </w:r>
    </w:p>
    <w:p w:rsidR="00CA087E" w:rsidRDefault="0024567B" w:rsidP="007F64C8">
      <w:pPr>
        <w:rPr>
          <w:b/>
          <w:sz w:val="24"/>
          <w:szCs w:val="24"/>
          <w:lang w:val="en-US"/>
        </w:rPr>
      </w:pPr>
      <w:r>
        <w:rPr>
          <w:b/>
          <w:sz w:val="24"/>
          <w:szCs w:val="24"/>
          <w:lang w:val="en-US"/>
        </w:rPr>
        <w:br/>
      </w:r>
    </w:p>
    <w:p w:rsidR="00CA087E" w:rsidRDefault="00CA087E" w:rsidP="007F64C8">
      <w:pPr>
        <w:rPr>
          <w:b/>
          <w:sz w:val="24"/>
          <w:szCs w:val="24"/>
          <w:lang w:val="en-US"/>
        </w:rPr>
      </w:pPr>
    </w:p>
    <w:p w:rsidR="00CA087E" w:rsidRDefault="00CA087E" w:rsidP="007F64C8">
      <w:pPr>
        <w:rPr>
          <w:b/>
          <w:sz w:val="24"/>
          <w:szCs w:val="24"/>
          <w:lang w:val="en-US"/>
        </w:rPr>
      </w:pPr>
    </w:p>
    <w:p w:rsidR="00CA087E" w:rsidRDefault="00CA087E" w:rsidP="007F64C8">
      <w:pPr>
        <w:rPr>
          <w:b/>
          <w:sz w:val="24"/>
          <w:szCs w:val="24"/>
          <w:lang w:val="en-US"/>
        </w:rPr>
      </w:pPr>
    </w:p>
    <w:p w:rsidR="00CA087E" w:rsidRDefault="00CA087E" w:rsidP="007F64C8">
      <w:pPr>
        <w:rPr>
          <w:b/>
          <w:sz w:val="24"/>
          <w:szCs w:val="24"/>
          <w:lang w:val="en-US"/>
        </w:rPr>
      </w:pPr>
    </w:p>
    <w:p w:rsidR="00CA087E" w:rsidRDefault="00CA087E" w:rsidP="007F64C8">
      <w:pPr>
        <w:rPr>
          <w:b/>
          <w:sz w:val="24"/>
          <w:szCs w:val="24"/>
          <w:lang w:val="en-US"/>
        </w:rPr>
      </w:pPr>
    </w:p>
    <w:p w:rsidR="00870996" w:rsidRPr="00A67F13" w:rsidRDefault="00197FAE" w:rsidP="007F64C8">
      <w:pPr>
        <w:rPr>
          <w:b/>
          <w:sz w:val="28"/>
          <w:szCs w:val="28"/>
          <w:lang w:val="en-US"/>
        </w:rPr>
      </w:pPr>
      <w:r w:rsidRPr="00A67F13">
        <w:rPr>
          <w:b/>
          <w:sz w:val="28"/>
          <w:szCs w:val="28"/>
          <w:lang w:val="en-US"/>
        </w:rPr>
        <w:lastRenderedPageBreak/>
        <w:t>Section</w:t>
      </w:r>
      <w:r w:rsidR="00912376" w:rsidRPr="00A67F13">
        <w:rPr>
          <w:b/>
          <w:sz w:val="28"/>
          <w:szCs w:val="28"/>
          <w:lang w:val="en-US"/>
        </w:rPr>
        <w:t xml:space="preserve"> </w:t>
      </w:r>
      <w:r w:rsidR="007B6677" w:rsidRPr="00A67F13">
        <w:rPr>
          <w:b/>
          <w:sz w:val="28"/>
          <w:szCs w:val="28"/>
          <w:lang w:val="en-US"/>
        </w:rPr>
        <w:t xml:space="preserve">IV </w:t>
      </w:r>
      <w:r w:rsidR="00CA087E" w:rsidRPr="00A67F13">
        <w:rPr>
          <w:b/>
          <w:sz w:val="28"/>
          <w:szCs w:val="28"/>
          <w:lang w:val="en-US"/>
        </w:rPr>
        <w:t xml:space="preserve">The trade-off between private and public debt </w:t>
      </w:r>
      <w:r w:rsidRPr="00A67F13">
        <w:rPr>
          <w:b/>
          <w:sz w:val="28"/>
          <w:szCs w:val="28"/>
          <w:lang w:val="en-US"/>
        </w:rPr>
        <w:br/>
        <w:t xml:space="preserve"> </w:t>
      </w:r>
    </w:p>
    <w:p w:rsidR="00EF0FD0" w:rsidRDefault="00B025BF" w:rsidP="007F64C8">
      <w:pPr>
        <w:rPr>
          <w:sz w:val="24"/>
          <w:szCs w:val="24"/>
          <w:lang w:val="en-US"/>
        </w:rPr>
      </w:pPr>
      <w:r>
        <w:rPr>
          <w:sz w:val="24"/>
          <w:szCs w:val="24"/>
          <w:lang w:val="en-US"/>
        </w:rPr>
        <w:t>The statement that GDP growth has its origins mainly in construction investments</w:t>
      </w:r>
      <w:r w:rsidR="00176880">
        <w:rPr>
          <w:sz w:val="24"/>
          <w:szCs w:val="24"/>
          <w:lang w:val="en-US"/>
        </w:rPr>
        <w:t xml:space="preserve"> and housing demand</w:t>
      </w:r>
      <w:r>
        <w:rPr>
          <w:sz w:val="24"/>
          <w:szCs w:val="24"/>
          <w:lang w:val="en-US"/>
        </w:rPr>
        <w:t xml:space="preserve"> raise</w:t>
      </w:r>
      <w:r w:rsidR="00176880">
        <w:rPr>
          <w:sz w:val="24"/>
          <w:szCs w:val="24"/>
          <w:lang w:val="en-US"/>
        </w:rPr>
        <w:t xml:space="preserve">s another question: How could </w:t>
      </w:r>
      <w:r w:rsidR="00A6192E">
        <w:rPr>
          <w:sz w:val="24"/>
          <w:szCs w:val="24"/>
          <w:lang w:val="en-US"/>
        </w:rPr>
        <w:t>the Spanish economy achieve such</w:t>
      </w:r>
      <w:r w:rsidR="007B6677">
        <w:rPr>
          <w:sz w:val="24"/>
          <w:szCs w:val="24"/>
          <w:lang w:val="en-US"/>
        </w:rPr>
        <w:t xml:space="preserve"> an expansionary period? How could firms and households accumulate the liquidity needed to finance their investments? The answer lie</w:t>
      </w:r>
      <w:r w:rsidR="0024567B">
        <w:rPr>
          <w:sz w:val="24"/>
          <w:szCs w:val="24"/>
          <w:lang w:val="en-US"/>
        </w:rPr>
        <w:t xml:space="preserve">s in looser credit constraints. </w:t>
      </w:r>
    </w:p>
    <w:p w:rsidR="00DF5AE5" w:rsidRPr="00DF5AE5" w:rsidRDefault="00DF5AE5" w:rsidP="007F64C8">
      <w:pPr>
        <w:rPr>
          <w:i/>
          <w:sz w:val="24"/>
          <w:szCs w:val="24"/>
          <w:lang w:val="en-US"/>
        </w:rPr>
      </w:pPr>
      <w:r>
        <w:rPr>
          <w:i/>
          <w:sz w:val="24"/>
          <w:szCs w:val="24"/>
          <w:lang w:val="en-US"/>
        </w:rPr>
        <w:t>Converging/diverging yields on government securities</w:t>
      </w:r>
    </w:p>
    <w:p w:rsidR="0064367B" w:rsidRDefault="00694A03">
      <w:pPr>
        <w:rPr>
          <w:sz w:val="24"/>
          <w:szCs w:val="24"/>
          <w:lang w:val="en-US"/>
        </w:rPr>
      </w:pPr>
      <w:r>
        <w:rPr>
          <w:sz w:val="24"/>
          <w:szCs w:val="24"/>
          <w:lang w:val="en-US"/>
        </w:rPr>
        <w:t>From Figure 17</w:t>
      </w:r>
      <w:r w:rsidR="007F699D">
        <w:rPr>
          <w:sz w:val="24"/>
          <w:szCs w:val="24"/>
          <w:lang w:val="en-US"/>
        </w:rPr>
        <w:t xml:space="preserve"> one notices that the yield on long term government bonds in Spain almost instantly converged to the Euro Area average</w:t>
      </w:r>
      <w:r w:rsidR="009B2334">
        <w:rPr>
          <w:sz w:val="24"/>
          <w:szCs w:val="24"/>
          <w:lang w:val="en-US"/>
        </w:rPr>
        <w:t>. The process began in 1995 when the European political leaders made the countries aware that some</w:t>
      </w:r>
      <w:r w:rsidR="00F10CC4">
        <w:rPr>
          <w:sz w:val="24"/>
          <w:szCs w:val="24"/>
          <w:lang w:val="en-US"/>
        </w:rPr>
        <w:t xml:space="preserve"> macro-economic</w:t>
      </w:r>
      <w:r w:rsidR="009B2334">
        <w:rPr>
          <w:sz w:val="24"/>
          <w:szCs w:val="24"/>
          <w:lang w:val="en-US"/>
        </w:rPr>
        <w:t xml:space="preserve"> conditions had to be met before a monetary union was possible. The effort that the member states put </w:t>
      </w:r>
      <w:r w:rsidR="00F10CC4">
        <w:rPr>
          <w:sz w:val="24"/>
          <w:szCs w:val="24"/>
          <w:lang w:val="en-US"/>
        </w:rPr>
        <w:t>in the process to adjust their monetary</w:t>
      </w:r>
      <w:r w:rsidR="003A4909">
        <w:rPr>
          <w:sz w:val="24"/>
          <w:szCs w:val="24"/>
          <w:lang w:val="en-US"/>
        </w:rPr>
        <w:t xml:space="preserve"> (inflation)</w:t>
      </w:r>
      <w:r w:rsidR="00F10CC4">
        <w:rPr>
          <w:sz w:val="24"/>
          <w:szCs w:val="24"/>
          <w:lang w:val="en-US"/>
        </w:rPr>
        <w:t xml:space="preserve"> and fiscal policies</w:t>
      </w:r>
      <w:r w:rsidR="003A4909">
        <w:rPr>
          <w:sz w:val="24"/>
          <w:szCs w:val="24"/>
          <w:lang w:val="en-US"/>
        </w:rPr>
        <w:t xml:space="preserve"> (government finance)</w:t>
      </w:r>
      <w:r w:rsidR="00F10CC4">
        <w:rPr>
          <w:sz w:val="24"/>
          <w:szCs w:val="24"/>
          <w:lang w:val="en-US"/>
        </w:rPr>
        <w:t xml:space="preserve"> towards the EU criteria to become part of the monetary union made the convergence of the l</w:t>
      </w:r>
      <w:r w:rsidR="00B96184">
        <w:rPr>
          <w:sz w:val="24"/>
          <w:szCs w:val="24"/>
          <w:lang w:val="en-US"/>
        </w:rPr>
        <w:t>ong term interest rate possible</w:t>
      </w:r>
      <w:r w:rsidR="00F10CC4">
        <w:rPr>
          <w:sz w:val="24"/>
          <w:szCs w:val="24"/>
          <w:lang w:val="en-US"/>
        </w:rPr>
        <w:t xml:space="preserve"> </w:t>
      </w:r>
      <w:sdt>
        <w:sdtPr>
          <w:rPr>
            <w:sz w:val="24"/>
            <w:szCs w:val="24"/>
            <w:lang w:val="en-US"/>
          </w:rPr>
          <w:id w:val="49776629"/>
          <w:citation/>
        </w:sdtPr>
        <w:sdtContent>
          <w:r w:rsidR="00D35F06">
            <w:rPr>
              <w:sz w:val="24"/>
              <w:szCs w:val="24"/>
              <w:lang w:val="en-US"/>
            </w:rPr>
            <w:fldChar w:fldCharType="begin"/>
          </w:r>
          <w:r w:rsidR="002B6D5A">
            <w:rPr>
              <w:sz w:val="24"/>
              <w:szCs w:val="24"/>
              <w:lang w:val="en-US"/>
            </w:rPr>
            <w:instrText xml:space="preserve"> CITATION Sin00 \l 1033 </w:instrText>
          </w:r>
          <w:r w:rsidR="00D35F06">
            <w:rPr>
              <w:sz w:val="24"/>
              <w:szCs w:val="24"/>
              <w:lang w:val="en-US"/>
            </w:rPr>
            <w:fldChar w:fldCharType="separate"/>
          </w:r>
          <w:r w:rsidR="002B6D5A" w:rsidRPr="002B6D5A">
            <w:rPr>
              <w:noProof/>
              <w:sz w:val="24"/>
              <w:szCs w:val="24"/>
              <w:lang w:val="en-US"/>
            </w:rPr>
            <w:t>(Sinn, 2000)</w:t>
          </w:r>
          <w:r w:rsidR="00D35F06">
            <w:rPr>
              <w:sz w:val="24"/>
              <w:szCs w:val="24"/>
              <w:lang w:val="en-US"/>
            </w:rPr>
            <w:fldChar w:fldCharType="end"/>
          </w:r>
        </w:sdtContent>
      </w:sdt>
      <w:r w:rsidR="00B96184">
        <w:rPr>
          <w:sz w:val="24"/>
          <w:szCs w:val="24"/>
          <w:lang w:val="en-US"/>
        </w:rPr>
        <w:t>.</w:t>
      </w:r>
      <w:r w:rsidR="00F10CC4">
        <w:rPr>
          <w:sz w:val="24"/>
          <w:szCs w:val="24"/>
          <w:lang w:val="en-US"/>
        </w:rPr>
        <w:t xml:space="preserve"> In the figure I only show Spain and Germany, but the convergence holds for every country that became part of the monetary union in 2002.</w:t>
      </w:r>
      <w:r w:rsidR="0051188F">
        <w:rPr>
          <w:sz w:val="24"/>
          <w:szCs w:val="24"/>
          <w:lang w:val="en-US"/>
        </w:rPr>
        <w:t xml:space="preserve"> </w:t>
      </w:r>
    </w:p>
    <w:p w:rsidR="00424AA0" w:rsidRDefault="002E1F78">
      <w:pPr>
        <w:rPr>
          <w:sz w:val="24"/>
          <w:szCs w:val="24"/>
          <w:lang w:val="en-US"/>
        </w:rPr>
      </w:pPr>
      <w:r w:rsidRPr="002E1F78">
        <w:rPr>
          <w:noProof/>
          <w:sz w:val="24"/>
          <w:szCs w:val="24"/>
          <w:lang w:eastAsia="nl-NL"/>
        </w:rPr>
        <w:drawing>
          <wp:inline distT="0" distB="0" distL="0" distR="0">
            <wp:extent cx="5760720" cy="3835172"/>
            <wp:effectExtent l="57150" t="0" r="49530" b="70078"/>
            <wp:docPr id="17"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681C38">
        <w:rPr>
          <w:sz w:val="24"/>
          <w:szCs w:val="24"/>
          <w:lang w:val="en-US"/>
        </w:rPr>
        <w:br/>
      </w:r>
      <w:r w:rsidR="0077336F">
        <w:rPr>
          <w:b/>
          <w:sz w:val="24"/>
          <w:szCs w:val="24"/>
          <w:lang w:val="en-US"/>
        </w:rPr>
        <w:br/>
      </w:r>
      <w:r w:rsidR="0051188F">
        <w:rPr>
          <w:sz w:val="24"/>
          <w:szCs w:val="24"/>
          <w:lang w:val="en-US"/>
        </w:rPr>
        <w:t>What is important when watching Figu</w:t>
      </w:r>
      <w:r w:rsidR="00BE7129">
        <w:rPr>
          <w:sz w:val="24"/>
          <w:szCs w:val="24"/>
          <w:lang w:val="en-US"/>
        </w:rPr>
        <w:t>re 17</w:t>
      </w:r>
      <w:r w:rsidR="003A4909">
        <w:rPr>
          <w:sz w:val="24"/>
          <w:szCs w:val="24"/>
          <w:lang w:val="en-US"/>
        </w:rPr>
        <w:t xml:space="preserve"> that one keeps in mind that the countries indeed met the main conditions set by the European political leaders to become part of the monetary union, but that the underlying economic strengths still </w:t>
      </w:r>
      <w:r w:rsidR="00424AA0">
        <w:rPr>
          <w:sz w:val="24"/>
          <w:szCs w:val="24"/>
          <w:lang w:val="en-US"/>
        </w:rPr>
        <w:t>were</w:t>
      </w:r>
      <w:r w:rsidR="003A4909">
        <w:rPr>
          <w:sz w:val="24"/>
          <w:szCs w:val="24"/>
          <w:lang w:val="en-US"/>
        </w:rPr>
        <w:t xml:space="preserve"> very different. Section III already examined this phenomenon and concluded that the economic growth</w:t>
      </w:r>
      <w:r w:rsidR="00DD4EA9">
        <w:rPr>
          <w:sz w:val="24"/>
          <w:szCs w:val="24"/>
          <w:lang w:val="en-US"/>
        </w:rPr>
        <w:t xml:space="preserve"> in Spain</w:t>
      </w:r>
      <w:r w:rsidR="003A4909">
        <w:rPr>
          <w:sz w:val="24"/>
          <w:szCs w:val="24"/>
          <w:lang w:val="en-US"/>
        </w:rPr>
        <w:t xml:space="preserve"> was </w:t>
      </w:r>
      <w:r w:rsidR="003A4909">
        <w:rPr>
          <w:sz w:val="24"/>
          <w:szCs w:val="24"/>
          <w:lang w:val="en-US"/>
        </w:rPr>
        <w:lastRenderedPageBreak/>
        <w:t>unsustainable from the beginning</w:t>
      </w:r>
      <w:r w:rsidR="00B96184">
        <w:rPr>
          <w:sz w:val="24"/>
          <w:szCs w:val="24"/>
          <w:lang w:val="en-US"/>
        </w:rPr>
        <w:t>, built on a real estate bubble</w:t>
      </w:r>
      <w:r w:rsidR="003A4909">
        <w:rPr>
          <w:sz w:val="24"/>
          <w:szCs w:val="24"/>
          <w:lang w:val="en-US"/>
        </w:rPr>
        <w:t>. From 1995 financial markets treated Spain’s public debt as if it is German</w:t>
      </w:r>
      <w:r w:rsidR="00E01903">
        <w:rPr>
          <w:sz w:val="24"/>
          <w:szCs w:val="24"/>
          <w:lang w:val="en-US"/>
        </w:rPr>
        <w:t xml:space="preserve"> public</w:t>
      </w:r>
      <w:r w:rsidR="003A4909">
        <w:rPr>
          <w:sz w:val="24"/>
          <w:szCs w:val="24"/>
          <w:lang w:val="en-US"/>
        </w:rPr>
        <w:t xml:space="preserve"> debt.</w:t>
      </w:r>
      <w:r w:rsidR="00424AA0">
        <w:rPr>
          <w:sz w:val="24"/>
          <w:szCs w:val="24"/>
          <w:lang w:val="en-US"/>
        </w:rPr>
        <w:t xml:space="preserve"> </w:t>
      </w:r>
    </w:p>
    <w:p w:rsidR="00DF5AE5" w:rsidRDefault="00EE4F83">
      <w:pPr>
        <w:rPr>
          <w:sz w:val="24"/>
          <w:szCs w:val="24"/>
          <w:lang w:val="en-US"/>
        </w:rPr>
      </w:pPr>
      <w:r>
        <w:rPr>
          <w:sz w:val="24"/>
          <w:szCs w:val="24"/>
          <w:lang w:val="en-US"/>
        </w:rPr>
        <w:t>Of course</w:t>
      </w:r>
      <w:r w:rsidR="00424AA0">
        <w:rPr>
          <w:sz w:val="24"/>
          <w:szCs w:val="24"/>
          <w:lang w:val="en-US"/>
        </w:rPr>
        <w:t xml:space="preserve">, Spain and many other SMS did not even come close to the German economy which was and </w:t>
      </w:r>
      <w:r w:rsidR="00B96184">
        <w:rPr>
          <w:sz w:val="24"/>
          <w:szCs w:val="24"/>
          <w:lang w:val="en-US"/>
        </w:rPr>
        <w:t>still is</w:t>
      </w:r>
      <w:r w:rsidR="00424AA0">
        <w:rPr>
          <w:sz w:val="24"/>
          <w:szCs w:val="24"/>
          <w:lang w:val="en-US"/>
        </w:rPr>
        <w:t xml:space="preserve"> much more developed. It has higher productivity </w:t>
      </w:r>
      <w:r w:rsidR="00B96184">
        <w:rPr>
          <w:sz w:val="24"/>
          <w:szCs w:val="24"/>
          <w:lang w:val="en-US"/>
        </w:rPr>
        <w:t xml:space="preserve">in both capital and labor </w:t>
      </w:r>
      <w:r w:rsidR="00424AA0">
        <w:rPr>
          <w:sz w:val="24"/>
          <w:szCs w:val="24"/>
          <w:lang w:val="en-US"/>
        </w:rPr>
        <w:t>due to an advancement in ICT, higher educated employment, m</w:t>
      </w:r>
      <w:r w:rsidR="00B96184">
        <w:rPr>
          <w:sz w:val="24"/>
          <w:szCs w:val="24"/>
          <w:lang w:val="en-US"/>
        </w:rPr>
        <w:t>ore technology based industries and a more efficient institutional framework.</w:t>
      </w:r>
      <w:r w:rsidR="00BE7129">
        <w:rPr>
          <w:sz w:val="24"/>
          <w:szCs w:val="24"/>
          <w:lang w:val="en-US"/>
        </w:rPr>
        <w:t xml:space="preserve"> Apparently financial markets started to realize that the economic basis of Germany is much more developed than Spain’s, causing diverging yields after 2008</w:t>
      </w:r>
      <w:r w:rsidR="00DF5AE5">
        <w:rPr>
          <w:sz w:val="24"/>
          <w:szCs w:val="24"/>
          <w:lang w:val="en-US"/>
        </w:rPr>
        <w:t>. This realization has its main component in increasing private debt that became a real problem after the housing bubble imploded and the private sector (households, firms</w:t>
      </w:r>
      <w:r w:rsidR="001B3A11">
        <w:rPr>
          <w:sz w:val="24"/>
          <w:szCs w:val="24"/>
          <w:lang w:val="en-US"/>
        </w:rPr>
        <w:t>)</w:t>
      </w:r>
      <w:r w:rsidR="00CA087E">
        <w:rPr>
          <w:sz w:val="24"/>
          <w:szCs w:val="24"/>
          <w:lang w:val="en-US"/>
        </w:rPr>
        <w:t xml:space="preserve"> along with the Spanish banking sector</w:t>
      </w:r>
      <w:r w:rsidR="00DF5AE5">
        <w:rPr>
          <w:sz w:val="24"/>
          <w:szCs w:val="24"/>
          <w:lang w:val="en-US"/>
        </w:rPr>
        <w:t xml:space="preserve"> had to deal with deteriorating balance sheets thereby unable to pay back a</w:t>
      </w:r>
      <w:r w:rsidR="001B3A11">
        <w:rPr>
          <w:sz w:val="24"/>
          <w:szCs w:val="24"/>
          <w:lang w:val="en-US"/>
        </w:rPr>
        <w:t>l</w:t>
      </w:r>
      <w:r w:rsidR="009B455F">
        <w:rPr>
          <w:sz w:val="24"/>
          <w:szCs w:val="24"/>
          <w:lang w:val="en-US"/>
        </w:rPr>
        <w:t>l their debts which forced them to deleverage their respective balance sheets.</w:t>
      </w:r>
    </w:p>
    <w:p w:rsidR="00D15CF6" w:rsidRPr="00D15CF6" w:rsidRDefault="00D15CF6">
      <w:pPr>
        <w:rPr>
          <w:sz w:val="24"/>
          <w:szCs w:val="24"/>
          <w:lang w:val="en-US"/>
        </w:rPr>
      </w:pPr>
      <w:r>
        <w:rPr>
          <w:i/>
          <w:sz w:val="24"/>
          <w:szCs w:val="24"/>
          <w:lang w:val="en-US"/>
        </w:rPr>
        <w:t>Spanish private debt becomes public debt</w:t>
      </w:r>
    </w:p>
    <w:p w:rsidR="001D1A6D" w:rsidRDefault="00CA087E">
      <w:pPr>
        <w:rPr>
          <w:sz w:val="24"/>
          <w:szCs w:val="24"/>
          <w:lang w:val="en-US"/>
        </w:rPr>
      </w:pPr>
      <w:r>
        <w:rPr>
          <w:sz w:val="24"/>
          <w:szCs w:val="24"/>
          <w:lang w:val="en-US"/>
        </w:rPr>
        <w:t>Figure 18 shows the process mentioned above. From 2002 until 2008 one sees that the Spain every year has been a net borrower and even borrowing every year somewhat more than the previous year as a percentage of GDP. Figure 19 shows the components of the economy that borrow or lend money. Needless to say, but until 2008 public debt or general government deficits were not a problem at all. On the other hand especially corporations financed their activities by an increasing amount of leverage.</w:t>
      </w:r>
      <w:r w:rsidR="00732EBD">
        <w:rPr>
          <w:sz w:val="24"/>
          <w:szCs w:val="24"/>
          <w:lang w:val="en-US"/>
        </w:rPr>
        <w:t xml:space="preserve"> In contrast German</w:t>
      </w:r>
      <w:r w:rsidR="00EE4F83">
        <w:rPr>
          <w:sz w:val="24"/>
          <w:szCs w:val="24"/>
          <w:lang w:val="en-US"/>
        </w:rPr>
        <w:t>y</w:t>
      </w:r>
      <w:r w:rsidR="00732EBD">
        <w:rPr>
          <w:sz w:val="24"/>
          <w:szCs w:val="24"/>
          <w:lang w:val="en-US"/>
        </w:rPr>
        <w:t xml:space="preserve"> has been a net lender in the whole period of consideration mainly fueled by household and corporate saving. The latter has much to do with policy reforms that obliged companies to meet some financing standards. As a consequence many companies already deleveraged before 2002 resulting in the net lender position the German corporate sector had and still has.</w:t>
      </w:r>
      <w:sdt>
        <w:sdtPr>
          <w:rPr>
            <w:sz w:val="24"/>
            <w:szCs w:val="24"/>
            <w:lang w:val="en-US"/>
          </w:rPr>
          <w:id w:val="26662241"/>
          <w:citation/>
        </w:sdtPr>
        <w:sdtContent>
          <w:r w:rsidR="00D35F06">
            <w:rPr>
              <w:sz w:val="24"/>
              <w:szCs w:val="24"/>
              <w:lang w:val="en-US"/>
            </w:rPr>
            <w:fldChar w:fldCharType="begin"/>
          </w:r>
          <w:r w:rsidR="00732EBD" w:rsidRPr="00732EBD">
            <w:rPr>
              <w:sz w:val="24"/>
              <w:szCs w:val="24"/>
              <w:lang w:val="en-GB"/>
            </w:rPr>
            <w:instrText xml:space="preserve"> CITATION Uxo11 \l 1043 </w:instrText>
          </w:r>
          <w:r w:rsidR="00D35F06">
            <w:rPr>
              <w:sz w:val="24"/>
              <w:szCs w:val="24"/>
              <w:lang w:val="en-US"/>
            </w:rPr>
            <w:fldChar w:fldCharType="separate"/>
          </w:r>
          <w:r w:rsidR="00732EBD" w:rsidRPr="00732EBD">
            <w:rPr>
              <w:noProof/>
              <w:sz w:val="24"/>
              <w:szCs w:val="24"/>
              <w:lang w:val="en-GB"/>
            </w:rPr>
            <w:t xml:space="preserve"> </w:t>
          </w:r>
          <w:r w:rsidR="00732EBD" w:rsidRPr="00900B3D">
            <w:rPr>
              <w:noProof/>
              <w:sz w:val="24"/>
              <w:szCs w:val="24"/>
              <w:lang w:val="en-GB"/>
            </w:rPr>
            <w:t>(Uxo, Paul, &amp; Febrero, 2011)</w:t>
          </w:r>
          <w:r w:rsidR="00D35F06">
            <w:rPr>
              <w:sz w:val="24"/>
              <w:szCs w:val="24"/>
              <w:lang w:val="en-US"/>
            </w:rPr>
            <w:fldChar w:fldCharType="end"/>
          </w:r>
        </w:sdtContent>
      </w:sdt>
    </w:p>
    <w:p w:rsidR="00D15CF6" w:rsidRDefault="00CA087E">
      <w:pPr>
        <w:rPr>
          <w:sz w:val="24"/>
          <w:szCs w:val="24"/>
          <w:lang w:val="en-US"/>
        </w:rPr>
      </w:pPr>
      <w:r>
        <w:rPr>
          <w:sz w:val="24"/>
          <w:szCs w:val="24"/>
          <w:lang w:val="en-US"/>
        </w:rPr>
        <w:t>After 2008 an upward trend is shown (Figure 18), meaning that the Spanish economy decreases its annual net borrowing. Nevertheless it is still a net borrower at an annual rate of 4% of GDP  per year. Upon that, Figure 19 shows that there is nothing positive about the</w:t>
      </w:r>
      <w:r w:rsidR="003759D3">
        <w:rPr>
          <w:sz w:val="24"/>
          <w:szCs w:val="24"/>
          <w:lang w:val="en-US"/>
        </w:rPr>
        <w:t xml:space="preserve"> upward trend of Spain’s net borrowing position, because the corporations and households have become the net lenders and the public sector faced increasing deficits every year. Spanish households have become the main net lenders after 2008, because of a lower consumer confidence, uncertainty about future income and increasing unemployment. Additional, many Spanish households couldn’t pay their mortgage loans anymore and were forced to move. In this way </w:t>
      </w:r>
      <w:r w:rsidR="00406008">
        <w:rPr>
          <w:sz w:val="24"/>
          <w:szCs w:val="24"/>
          <w:lang w:val="en-US"/>
        </w:rPr>
        <w:t>household debt reduced</w:t>
      </w:r>
      <w:r w:rsidR="003759D3">
        <w:rPr>
          <w:sz w:val="24"/>
          <w:szCs w:val="24"/>
          <w:lang w:val="en-US"/>
        </w:rPr>
        <w:t xml:space="preserve"> since they had to give up their homes and the mortgage</w:t>
      </w:r>
      <w:r w:rsidR="008E5C3E">
        <w:rPr>
          <w:sz w:val="24"/>
          <w:szCs w:val="24"/>
          <w:lang w:val="en-US"/>
        </w:rPr>
        <w:t xml:space="preserve"> loans</w:t>
      </w:r>
      <w:r w:rsidR="003759D3">
        <w:rPr>
          <w:sz w:val="24"/>
          <w:szCs w:val="24"/>
          <w:lang w:val="en-US"/>
        </w:rPr>
        <w:t xml:space="preserve"> with it.</w:t>
      </w:r>
      <w:r w:rsidR="00D15CF6">
        <w:rPr>
          <w:sz w:val="24"/>
          <w:szCs w:val="24"/>
          <w:lang w:val="en-US"/>
        </w:rPr>
        <w:t xml:space="preserve"> </w:t>
      </w:r>
      <w:r w:rsidR="00732EBD">
        <w:rPr>
          <w:sz w:val="24"/>
          <w:szCs w:val="24"/>
          <w:lang w:val="en-US"/>
        </w:rPr>
        <w:t>For the German households this was definitely not the case, because from 2002 the German households always have been net lenders (Figure 20). Positive is that this position made the economy much less vulnerable to the recessionary effects since they haven’t indebted themselves like Spanish households. A negative side effect is that less household spending goes along with less economic growth.</w:t>
      </w:r>
    </w:p>
    <w:p w:rsidR="00406008" w:rsidRDefault="00D15CF6">
      <w:pPr>
        <w:rPr>
          <w:sz w:val="24"/>
          <w:szCs w:val="24"/>
          <w:lang w:val="en-US"/>
        </w:rPr>
      </w:pPr>
      <w:r>
        <w:rPr>
          <w:sz w:val="24"/>
          <w:szCs w:val="24"/>
          <w:lang w:val="en-US"/>
        </w:rPr>
        <w:t>Corporations also had to deleverage in order to avoid a bankruptcy</w:t>
      </w:r>
      <w:r w:rsidR="00406008">
        <w:rPr>
          <w:sz w:val="24"/>
          <w:szCs w:val="24"/>
          <w:lang w:val="en-US"/>
        </w:rPr>
        <w:t>.</w:t>
      </w:r>
      <w:r>
        <w:rPr>
          <w:sz w:val="24"/>
          <w:szCs w:val="24"/>
          <w:lang w:val="en-US"/>
        </w:rPr>
        <w:t xml:space="preserve"> </w:t>
      </w:r>
      <w:r w:rsidR="00406008">
        <w:rPr>
          <w:sz w:val="24"/>
          <w:szCs w:val="24"/>
          <w:lang w:val="en-US"/>
        </w:rPr>
        <w:t>Deleveraging</w:t>
      </w:r>
      <w:r>
        <w:rPr>
          <w:sz w:val="24"/>
          <w:szCs w:val="24"/>
          <w:lang w:val="en-US"/>
        </w:rPr>
        <w:t xml:space="preserve"> is done by selling assets in order to pay back creditors. However these assets are mainly sold at lower prices than the market value of the assets. When a corporation starts </w:t>
      </w:r>
    </w:p>
    <w:p w:rsidR="00406008" w:rsidRDefault="00406008">
      <w:pPr>
        <w:rPr>
          <w:sz w:val="24"/>
          <w:szCs w:val="24"/>
          <w:lang w:val="en-US"/>
        </w:rPr>
      </w:pPr>
      <w:r w:rsidRPr="00406008">
        <w:rPr>
          <w:noProof/>
          <w:sz w:val="24"/>
          <w:szCs w:val="24"/>
          <w:lang w:eastAsia="nl-NL"/>
        </w:rPr>
        <w:lastRenderedPageBreak/>
        <w:drawing>
          <wp:inline distT="0" distB="0" distL="0" distR="0">
            <wp:extent cx="5760720" cy="2676985"/>
            <wp:effectExtent l="57150" t="0" r="49530" b="85265"/>
            <wp:docPr id="19"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06008" w:rsidRDefault="00406008">
      <w:pPr>
        <w:rPr>
          <w:sz w:val="24"/>
          <w:szCs w:val="24"/>
          <w:lang w:val="en-US"/>
        </w:rPr>
      </w:pPr>
      <w:r w:rsidRPr="00406008">
        <w:rPr>
          <w:noProof/>
          <w:sz w:val="24"/>
          <w:szCs w:val="24"/>
          <w:lang w:eastAsia="nl-NL"/>
        </w:rPr>
        <w:drawing>
          <wp:inline distT="0" distB="0" distL="0" distR="0">
            <wp:extent cx="5760720" cy="2695903"/>
            <wp:effectExtent l="57150" t="0" r="49530" b="85397"/>
            <wp:docPr id="20"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06008" w:rsidRDefault="00406008">
      <w:pPr>
        <w:rPr>
          <w:sz w:val="24"/>
          <w:szCs w:val="24"/>
          <w:lang w:val="en-US"/>
        </w:rPr>
      </w:pPr>
      <w:r w:rsidRPr="00406008">
        <w:rPr>
          <w:noProof/>
          <w:sz w:val="24"/>
          <w:szCs w:val="24"/>
          <w:lang w:eastAsia="nl-NL"/>
        </w:rPr>
        <w:drawing>
          <wp:inline distT="0" distB="0" distL="0" distR="0">
            <wp:extent cx="5760720" cy="2795919"/>
            <wp:effectExtent l="57150" t="0" r="49530" b="80631"/>
            <wp:docPr id="21"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0161B" w:rsidRDefault="00732EBD">
      <w:pPr>
        <w:rPr>
          <w:sz w:val="24"/>
          <w:szCs w:val="24"/>
          <w:lang w:val="en-US"/>
        </w:rPr>
      </w:pPr>
      <w:r>
        <w:rPr>
          <w:sz w:val="24"/>
          <w:szCs w:val="24"/>
          <w:lang w:val="en-US"/>
        </w:rPr>
        <w:lastRenderedPageBreak/>
        <w:t xml:space="preserve">selling assets and has only a short time horizon within the assets are needed to be sold, the price drops due to low bargaining power. The corporation has to sell its assets, it cannot wait until someone offers the market price. This is generally known by buyers of the assets, making the bargaining position of the buyers better than the bargaining position of the sellers. When a corporation sells its assets lower than the market value of the assets it is less easy to use the liquidity to pay back debts on the liability side of the balance sheet, thus more assets need to be sold. These “new” assets are also sold at lower prices than the market value which amplifies the mechanism causing that it is even more difficult for a corporation to finance its </w:t>
      </w:r>
      <w:r w:rsidR="00406008">
        <w:rPr>
          <w:sz w:val="24"/>
          <w:szCs w:val="24"/>
          <w:lang w:val="en-US"/>
        </w:rPr>
        <w:t xml:space="preserve">payment obligations. </w:t>
      </w:r>
    </w:p>
    <w:p w:rsidR="008E5C3E" w:rsidRDefault="00406008">
      <w:pPr>
        <w:rPr>
          <w:sz w:val="24"/>
          <w:szCs w:val="24"/>
          <w:lang w:val="en-US"/>
        </w:rPr>
      </w:pPr>
      <w:r>
        <w:rPr>
          <w:sz w:val="24"/>
          <w:szCs w:val="24"/>
          <w:lang w:val="en-US"/>
        </w:rPr>
        <w:t>The negative spiral consists of two components which are both a real problem for the corporations in Spain that need to deleverage, namely that the problem is persistent</w:t>
      </w:r>
      <w:r w:rsidR="00B0161B">
        <w:rPr>
          <w:sz w:val="24"/>
          <w:szCs w:val="24"/>
          <w:lang w:val="en-US"/>
        </w:rPr>
        <w:t xml:space="preserve"> and amplifying. It is persistent,</w:t>
      </w:r>
      <w:r>
        <w:rPr>
          <w:sz w:val="24"/>
          <w:szCs w:val="24"/>
          <w:lang w:val="en-US"/>
        </w:rPr>
        <w:t xml:space="preserve"> since every time when a corporation sells assets it needs to sell more assets and there seems to be no end when the corporation doesn’t get financial help from outside</w:t>
      </w:r>
      <w:r w:rsidR="00B0161B">
        <w:rPr>
          <w:sz w:val="24"/>
          <w:szCs w:val="24"/>
          <w:lang w:val="en-US"/>
        </w:rPr>
        <w:t>. Also</w:t>
      </w:r>
      <w:r>
        <w:rPr>
          <w:sz w:val="24"/>
          <w:szCs w:val="24"/>
          <w:lang w:val="en-US"/>
        </w:rPr>
        <w:t xml:space="preserve"> the problem is amplifying, because every time the corporation sells its assets at a lower price than the market value the liabilities will increase relative to the value of the assets, making it more difficult for the corporation to meet its payment obligations.</w:t>
      </w:r>
      <w:r w:rsidR="00732EBD">
        <w:rPr>
          <w:sz w:val="24"/>
          <w:szCs w:val="24"/>
          <w:lang w:val="en-US"/>
        </w:rPr>
        <w:t xml:space="preserve"> Thanks to the deleveraging already in an early stage (Figure 20) the German corporate sector also has been hit much less severe</w:t>
      </w:r>
      <w:r w:rsidR="00541650">
        <w:rPr>
          <w:sz w:val="24"/>
          <w:szCs w:val="24"/>
          <w:lang w:val="en-US"/>
        </w:rPr>
        <w:t>, because it has not the payment problems that Spanish corporations face. Another feature is that the German corporate sector is much more competitive on the international market, which already has been mentioned in the previous section. It is therefore also much more flexible when domestic demand drops.</w:t>
      </w:r>
    </w:p>
    <w:p w:rsidR="00732EBD" w:rsidRDefault="00406008">
      <w:pPr>
        <w:rPr>
          <w:sz w:val="24"/>
          <w:szCs w:val="24"/>
          <w:lang w:val="en-US"/>
        </w:rPr>
      </w:pPr>
      <w:r>
        <w:rPr>
          <w:sz w:val="24"/>
          <w:szCs w:val="24"/>
          <w:lang w:val="en-US"/>
        </w:rPr>
        <w:t>On the contrary the public</w:t>
      </w:r>
      <w:r w:rsidR="00732EBD">
        <w:rPr>
          <w:sz w:val="24"/>
          <w:szCs w:val="24"/>
          <w:lang w:val="en-US"/>
        </w:rPr>
        <w:t xml:space="preserve"> sector in Spain used </w:t>
      </w:r>
      <w:r>
        <w:rPr>
          <w:sz w:val="24"/>
          <w:szCs w:val="24"/>
          <w:lang w:val="en-US"/>
        </w:rPr>
        <w:t>anti</w:t>
      </w:r>
      <w:r w:rsidR="00513C2B">
        <w:rPr>
          <w:sz w:val="24"/>
          <w:szCs w:val="24"/>
          <w:lang w:val="en-US"/>
        </w:rPr>
        <w:t>-</w:t>
      </w:r>
      <w:r>
        <w:rPr>
          <w:sz w:val="24"/>
          <w:szCs w:val="24"/>
          <w:lang w:val="en-US"/>
        </w:rPr>
        <w:t xml:space="preserve">cyclical </w:t>
      </w:r>
      <w:r w:rsidR="00732EBD">
        <w:rPr>
          <w:sz w:val="24"/>
          <w:szCs w:val="24"/>
          <w:lang w:val="en-US"/>
        </w:rPr>
        <w:t>policy measures</w:t>
      </w:r>
      <w:r>
        <w:rPr>
          <w:sz w:val="24"/>
          <w:szCs w:val="24"/>
          <w:lang w:val="en-US"/>
        </w:rPr>
        <w:t xml:space="preserve"> in order to stimulate the economy and reduce the recessionary effe</w:t>
      </w:r>
      <w:r w:rsidR="00732EBD">
        <w:rPr>
          <w:sz w:val="24"/>
          <w:szCs w:val="24"/>
          <w:lang w:val="en-US"/>
        </w:rPr>
        <w:t>cts. As can be noticed</w:t>
      </w:r>
      <w:r>
        <w:rPr>
          <w:sz w:val="24"/>
          <w:szCs w:val="24"/>
          <w:lang w:val="en-US"/>
        </w:rPr>
        <w:t xml:space="preserve"> from Figure 19 this leaded to pretty large deficits </w:t>
      </w:r>
      <w:r w:rsidR="00732EBD">
        <w:rPr>
          <w:sz w:val="24"/>
          <w:szCs w:val="24"/>
          <w:lang w:val="en-US"/>
        </w:rPr>
        <w:t>from 2008. Being member of the monetary union has the implication that the authorities can’t use a monetary expansion as a policy tool to give the economy an expansionary impulse. Therefore fiscal expenditures were needed to stimulate demand and to give financial support to the domestic banking sector which appeared to be very vulnerable when house prices dropped.</w:t>
      </w:r>
      <w:r w:rsidR="00541650">
        <w:rPr>
          <w:sz w:val="24"/>
          <w:szCs w:val="24"/>
          <w:lang w:val="en-US"/>
        </w:rPr>
        <w:t xml:space="preserve"> On the other hand the need for a fiscal expansionary policy was much less than in Spain, since the German economy has been hit much less severe than the Spanish economy.</w:t>
      </w:r>
      <w:r w:rsidR="00FD6F45">
        <w:rPr>
          <w:sz w:val="24"/>
          <w:szCs w:val="24"/>
          <w:lang w:val="en-US"/>
        </w:rPr>
        <w:t xml:space="preserve"> The result is that German public deficits did not increase after 2008 than before 2008.</w:t>
      </w:r>
    </w:p>
    <w:p w:rsidR="00732EBD" w:rsidRPr="00732EBD" w:rsidRDefault="00732EBD">
      <w:pPr>
        <w:rPr>
          <w:i/>
          <w:sz w:val="24"/>
          <w:szCs w:val="24"/>
          <w:lang w:val="en-US"/>
        </w:rPr>
      </w:pPr>
      <w:r>
        <w:rPr>
          <w:i/>
          <w:sz w:val="24"/>
          <w:szCs w:val="24"/>
          <w:lang w:val="en-US"/>
        </w:rPr>
        <w:t>Banking sector insolvency</w:t>
      </w:r>
    </w:p>
    <w:p w:rsidR="00406008" w:rsidRDefault="00B0161B">
      <w:pPr>
        <w:rPr>
          <w:sz w:val="24"/>
          <w:szCs w:val="24"/>
          <w:lang w:val="en-US"/>
        </w:rPr>
      </w:pPr>
      <w:r>
        <w:rPr>
          <w:sz w:val="24"/>
          <w:szCs w:val="24"/>
          <w:lang w:val="en-US"/>
        </w:rPr>
        <w:t>The Spanish banking sector</w:t>
      </w:r>
      <w:r w:rsidR="00732EBD">
        <w:rPr>
          <w:sz w:val="24"/>
          <w:szCs w:val="24"/>
          <w:lang w:val="en-US"/>
        </w:rPr>
        <w:t xml:space="preserve"> is also one of the reasons that deficits in Spain grew faster than ot</w:t>
      </w:r>
      <w:r>
        <w:rPr>
          <w:sz w:val="24"/>
          <w:szCs w:val="24"/>
          <w:lang w:val="en-US"/>
        </w:rPr>
        <w:t xml:space="preserve">her peripheral countries  such </w:t>
      </w:r>
      <w:r w:rsidR="00732EBD">
        <w:rPr>
          <w:sz w:val="24"/>
          <w:szCs w:val="24"/>
          <w:lang w:val="en-US"/>
        </w:rPr>
        <w:t>as Portugal</w:t>
      </w:r>
      <w:r>
        <w:rPr>
          <w:sz w:val="24"/>
          <w:szCs w:val="24"/>
          <w:lang w:val="en-US"/>
        </w:rPr>
        <w:t xml:space="preserve"> after 2008</w:t>
      </w:r>
      <w:r w:rsidR="00732EBD">
        <w:rPr>
          <w:sz w:val="24"/>
          <w:szCs w:val="24"/>
          <w:lang w:val="en-US"/>
        </w:rPr>
        <w:t xml:space="preserve">. Banks in Spain were very heavily dependent on the real estate sector. When the bubble burst a logic consequence is that not only house owners, but also banks came in trouble. Banks use the </w:t>
      </w:r>
      <w:r>
        <w:rPr>
          <w:sz w:val="24"/>
          <w:szCs w:val="24"/>
          <w:lang w:val="en-US"/>
        </w:rPr>
        <w:t>dwellings</w:t>
      </w:r>
      <w:r w:rsidR="00732EBD">
        <w:rPr>
          <w:sz w:val="24"/>
          <w:szCs w:val="24"/>
          <w:lang w:val="en-US"/>
        </w:rPr>
        <w:t xml:space="preserve"> as collateral for the mortgage loans. When a household can’t meet its monthly payments, banks can claim the </w:t>
      </w:r>
      <w:r>
        <w:rPr>
          <w:sz w:val="24"/>
          <w:szCs w:val="24"/>
          <w:lang w:val="en-US"/>
        </w:rPr>
        <w:t>dwelling</w:t>
      </w:r>
      <w:r w:rsidR="00732EBD">
        <w:rPr>
          <w:sz w:val="24"/>
          <w:szCs w:val="24"/>
          <w:lang w:val="en-US"/>
        </w:rPr>
        <w:t xml:space="preserve"> which backs the mortgage loan. </w:t>
      </w:r>
      <w:r>
        <w:rPr>
          <w:sz w:val="24"/>
          <w:szCs w:val="24"/>
          <w:lang w:val="en-US"/>
        </w:rPr>
        <w:t>When</w:t>
      </w:r>
      <w:r w:rsidR="00732EBD">
        <w:rPr>
          <w:sz w:val="24"/>
          <w:szCs w:val="24"/>
          <w:lang w:val="en-US"/>
        </w:rPr>
        <w:t xml:space="preserve"> house prices dropped, so did the value of the collateral on the asset side of the banking sector. The drop of the value on the asset side makes a bank insolvent. Creditors on the liability side of </w:t>
      </w:r>
      <w:r>
        <w:rPr>
          <w:sz w:val="24"/>
          <w:szCs w:val="24"/>
          <w:lang w:val="en-US"/>
        </w:rPr>
        <w:t>a bank’s balance sheet</w:t>
      </w:r>
      <w:r w:rsidR="00732EBD">
        <w:rPr>
          <w:sz w:val="24"/>
          <w:szCs w:val="24"/>
          <w:lang w:val="en-US"/>
        </w:rPr>
        <w:t xml:space="preserve"> cannot be sure anymore whether the respective bank is still able to meet its payment obligations. The rest of </w:t>
      </w:r>
      <w:r w:rsidR="00732EBD">
        <w:rPr>
          <w:sz w:val="24"/>
          <w:szCs w:val="24"/>
          <w:lang w:val="en-US"/>
        </w:rPr>
        <w:lastRenderedPageBreak/>
        <w:t>the story is almost identical to the one of the corporate sector. As any private institution (a bank can be seen as such) a bank needs to recover its balance sheet to avoid bankruptcy. Therefore it also has to sell assets at lower prices than the market value, generating even more problems. The rest of the story is known.</w:t>
      </w:r>
    </w:p>
    <w:p w:rsidR="00732EBD" w:rsidRDefault="00732EBD">
      <w:pPr>
        <w:rPr>
          <w:sz w:val="24"/>
          <w:szCs w:val="24"/>
          <w:lang w:val="en-US"/>
        </w:rPr>
      </w:pPr>
      <w:r>
        <w:rPr>
          <w:sz w:val="24"/>
          <w:szCs w:val="24"/>
          <w:lang w:val="en-US"/>
        </w:rPr>
        <w:t xml:space="preserve">As one can imagine, it is not in the best interest for the whole economy that the banking sector faces such insolvency problems. When a bank needs to deleverage in such a dramatic way as the Spanish banks need to, it is straightforward that these banks are less able to grant loans to households and corporations. When households and corporations have difficulty to access credit domestic demand drops even further, creating even more unemployment and amplifying the recessionary effects. To stop such a negative spiral financial help is needed for those banks that need to recover their balance sheets. </w:t>
      </w:r>
    </w:p>
    <w:p w:rsidR="00732EBD" w:rsidRDefault="00732EBD">
      <w:pPr>
        <w:rPr>
          <w:sz w:val="24"/>
          <w:szCs w:val="24"/>
          <w:lang w:val="en-US"/>
        </w:rPr>
      </w:pPr>
      <w:r>
        <w:rPr>
          <w:sz w:val="24"/>
          <w:szCs w:val="24"/>
          <w:lang w:val="en-US"/>
        </w:rPr>
        <w:t xml:space="preserve">The side effect of such financial support is that private debt is exchanged for public debt. The implications of such a trade-off has to be seen yet since it is relatively new in economic practice and is therefore out of the scope of this paper. Though, it is certain that the consequence is  that public debt becomes a higher share of the total debt position of a country that faces such a trade-off. The 100 billion that the European political leaders agreed on to support the Spanish banking sector </w:t>
      </w:r>
      <w:r w:rsidR="00541650">
        <w:rPr>
          <w:sz w:val="24"/>
          <w:szCs w:val="24"/>
          <w:lang w:val="en-US"/>
        </w:rPr>
        <w:t>reinforces this process of trade-off.</w:t>
      </w:r>
    </w:p>
    <w:p w:rsidR="00FD6F45" w:rsidRDefault="00FD6F45">
      <w:pPr>
        <w:rPr>
          <w:sz w:val="24"/>
          <w:szCs w:val="24"/>
          <w:lang w:val="en-US"/>
        </w:rPr>
      </w:pPr>
      <w:r>
        <w:rPr>
          <w:sz w:val="24"/>
          <w:szCs w:val="24"/>
          <w:lang w:val="en-US"/>
        </w:rPr>
        <w:t xml:space="preserve">German banks are not in trouble at all. On the contrary, </w:t>
      </w:r>
      <w:r w:rsidR="00EF1439">
        <w:rPr>
          <w:sz w:val="24"/>
          <w:szCs w:val="24"/>
          <w:lang w:val="en-US"/>
        </w:rPr>
        <w:t>German banks held foreign claims of value of approximately 5 trillion (180% of GDP) in total in 2008 just before the crisis hit. course, this has diminished somewhat since many German banks needed to write off foreign claims on Spanish and Greek banks. Important both for the German as well as for the Spanish banking sector is that 6% of the total foreign claims by the German banking sector are claims on Spanish borrowers</w:t>
      </w:r>
      <w:r w:rsidR="00900B3D">
        <w:rPr>
          <w:sz w:val="24"/>
          <w:szCs w:val="24"/>
          <w:lang w:val="en-US"/>
        </w:rPr>
        <w:t xml:space="preserve"> </w:t>
      </w:r>
      <w:sdt>
        <w:sdtPr>
          <w:rPr>
            <w:sz w:val="24"/>
            <w:szCs w:val="24"/>
            <w:lang w:val="en-US"/>
          </w:rPr>
          <w:id w:val="1603285"/>
          <w:citation/>
        </w:sdtPr>
        <w:sdtContent>
          <w:r w:rsidR="00D35F06">
            <w:rPr>
              <w:sz w:val="24"/>
              <w:szCs w:val="24"/>
              <w:lang w:val="en-US"/>
            </w:rPr>
            <w:fldChar w:fldCharType="begin"/>
          </w:r>
          <w:r w:rsidR="00900B3D" w:rsidRPr="00900B3D">
            <w:rPr>
              <w:sz w:val="24"/>
              <w:szCs w:val="24"/>
              <w:lang w:val="en-GB"/>
            </w:rPr>
            <w:instrText xml:space="preserve"> CITATION Uxo11 \l 1043 </w:instrText>
          </w:r>
          <w:r w:rsidR="00D35F06">
            <w:rPr>
              <w:sz w:val="24"/>
              <w:szCs w:val="24"/>
              <w:lang w:val="en-US"/>
            </w:rPr>
            <w:fldChar w:fldCharType="separate"/>
          </w:r>
          <w:r w:rsidR="00900B3D" w:rsidRPr="00900B3D">
            <w:rPr>
              <w:noProof/>
              <w:sz w:val="24"/>
              <w:szCs w:val="24"/>
              <w:lang w:val="en-GB"/>
            </w:rPr>
            <w:t>(Uxo, Paul, &amp; Febrero, 2011)</w:t>
          </w:r>
          <w:r w:rsidR="00D35F06">
            <w:rPr>
              <w:sz w:val="24"/>
              <w:szCs w:val="24"/>
              <w:lang w:val="en-US"/>
            </w:rPr>
            <w:fldChar w:fldCharType="end"/>
          </w:r>
        </w:sdtContent>
      </w:sdt>
      <w:r w:rsidR="00EF1439">
        <w:rPr>
          <w:sz w:val="24"/>
          <w:szCs w:val="24"/>
          <w:lang w:val="en-US"/>
        </w:rPr>
        <w:t>. From these borrowers the Spanish banking s</w:t>
      </w:r>
      <w:r w:rsidR="00900B3D">
        <w:rPr>
          <w:sz w:val="24"/>
          <w:szCs w:val="24"/>
          <w:lang w:val="en-US"/>
        </w:rPr>
        <w:t>ector is the greatest borrower and hence its future is much dependent on German banks and their willingness</w:t>
      </w:r>
      <w:r w:rsidR="00CF420A">
        <w:rPr>
          <w:sz w:val="24"/>
          <w:szCs w:val="24"/>
          <w:lang w:val="en-US"/>
        </w:rPr>
        <w:t xml:space="preserve"> to</w:t>
      </w:r>
      <w:r w:rsidR="00900B3D">
        <w:rPr>
          <w:sz w:val="24"/>
          <w:szCs w:val="24"/>
          <w:lang w:val="en-US"/>
        </w:rPr>
        <w:t xml:space="preserve"> write off claims.</w:t>
      </w:r>
    </w:p>
    <w:p w:rsidR="00900B3D" w:rsidRDefault="00900B3D">
      <w:pPr>
        <w:rPr>
          <w:sz w:val="24"/>
          <w:szCs w:val="24"/>
          <w:lang w:val="en-US"/>
        </w:rPr>
      </w:pPr>
      <w:r>
        <w:rPr>
          <w:sz w:val="24"/>
          <w:szCs w:val="24"/>
          <w:lang w:val="en-US"/>
        </w:rPr>
        <w:t>Thus, The Spanish economy faced a trade-off with private debt exchanging for public debt. The consequence is that that the net debt position of Spain now is considered as unsustainable, but in fact it already was when households and corporations accumulated more private debt every year after 2002. On the other hand the German economy has been a net lender all along and did not face this exchange of public and private debt. The private sector (households and corporations) had to deleverage in signifi</w:t>
      </w:r>
      <w:r w:rsidR="005857AE">
        <w:rPr>
          <w:sz w:val="24"/>
          <w:szCs w:val="24"/>
          <w:lang w:val="en-US"/>
        </w:rPr>
        <w:t xml:space="preserve">cant amounts which only led to less domestic demand and more unemployment. On the other hand the German economy faced growth rates of 3% and 3,7% in 2010 and 2011 respectively </w:t>
      </w:r>
      <w:sdt>
        <w:sdtPr>
          <w:rPr>
            <w:sz w:val="24"/>
            <w:szCs w:val="24"/>
            <w:lang w:val="en-US"/>
          </w:rPr>
          <w:id w:val="1603286"/>
          <w:citation/>
        </w:sdtPr>
        <w:sdtContent>
          <w:r w:rsidR="00D35F06">
            <w:rPr>
              <w:sz w:val="24"/>
              <w:szCs w:val="24"/>
              <w:lang w:val="en-US"/>
            </w:rPr>
            <w:fldChar w:fldCharType="begin"/>
          </w:r>
          <w:r w:rsidR="005857AE" w:rsidRPr="005857AE">
            <w:rPr>
              <w:sz w:val="24"/>
              <w:szCs w:val="24"/>
              <w:lang w:val="en-GB"/>
            </w:rPr>
            <w:instrText xml:space="preserve"> CITATION Eur12 \l 1043 </w:instrText>
          </w:r>
          <w:r w:rsidR="00D35F06">
            <w:rPr>
              <w:sz w:val="24"/>
              <w:szCs w:val="24"/>
              <w:lang w:val="en-US"/>
            </w:rPr>
            <w:fldChar w:fldCharType="separate"/>
          </w:r>
          <w:r w:rsidR="005857AE" w:rsidRPr="005857AE">
            <w:rPr>
              <w:noProof/>
              <w:sz w:val="24"/>
              <w:szCs w:val="24"/>
              <w:lang w:val="en-GB"/>
            </w:rPr>
            <w:t>(Eurostat, 2011)</w:t>
          </w:r>
          <w:r w:rsidR="00D35F06">
            <w:rPr>
              <w:sz w:val="24"/>
              <w:szCs w:val="24"/>
              <w:lang w:val="en-US"/>
            </w:rPr>
            <w:fldChar w:fldCharType="end"/>
          </w:r>
        </w:sdtContent>
      </w:sdt>
      <w:r w:rsidR="005857AE">
        <w:rPr>
          <w:sz w:val="24"/>
          <w:szCs w:val="24"/>
          <w:lang w:val="en-US"/>
        </w:rPr>
        <w:t xml:space="preserve"> but households and corporations remain net lenders in the economy. These growth rates are comparable to the growth rates Spain faced between 2004 and 2007, but unlike the Spanish economy which accumulated massive private debt the Germans remain net lenders. This is a good indication on how sustainable growth, based on a competitive international position, looks like.</w:t>
      </w:r>
    </w:p>
    <w:p w:rsidR="00732EBD" w:rsidRDefault="00732EBD">
      <w:pPr>
        <w:rPr>
          <w:sz w:val="24"/>
          <w:szCs w:val="24"/>
          <w:lang w:val="en-US"/>
        </w:rPr>
      </w:pPr>
    </w:p>
    <w:p w:rsidR="00406008" w:rsidRPr="00CA087E" w:rsidRDefault="00406008">
      <w:pPr>
        <w:rPr>
          <w:sz w:val="24"/>
          <w:szCs w:val="24"/>
          <w:lang w:val="en-US"/>
        </w:rPr>
      </w:pPr>
    </w:p>
    <w:p w:rsidR="001D1A6D" w:rsidRDefault="00D54FC7">
      <w:pPr>
        <w:rPr>
          <w:b/>
          <w:sz w:val="28"/>
          <w:szCs w:val="28"/>
          <w:lang w:val="en-US"/>
        </w:rPr>
      </w:pPr>
      <w:r>
        <w:rPr>
          <w:b/>
          <w:sz w:val="28"/>
          <w:szCs w:val="28"/>
          <w:lang w:val="en-US"/>
        </w:rPr>
        <w:lastRenderedPageBreak/>
        <w:t>Section V Policy recommendations</w:t>
      </w:r>
    </w:p>
    <w:p w:rsidR="00A27CEE" w:rsidRDefault="00CF420A">
      <w:pPr>
        <w:rPr>
          <w:sz w:val="24"/>
          <w:szCs w:val="24"/>
          <w:lang w:val="en-US"/>
        </w:rPr>
      </w:pPr>
      <w:r>
        <w:rPr>
          <w:b/>
          <w:sz w:val="28"/>
          <w:szCs w:val="28"/>
          <w:lang w:val="en-US"/>
        </w:rPr>
        <w:br/>
      </w:r>
      <w:r w:rsidR="00D54FC7">
        <w:rPr>
          <w:sz w:val="24"/>
          <w:szCs w:val="24"/>
          <w:lang w:val="en-US"/>
        </w:rPr>
        <w:t xml:space="preserve">In the previous sections the problems and underlying mechanisms that the Spanish economy faces are </w:t>
      </w:r>
      <w:r w:rsidR="00845C49">
        <w:rPr>
          <w:sz w:val="24"/>
          <w:szCs w:val="24"/>
          <w:lang w:val="en-US"/>
        </w:rPr>
        <w:t>dealt with. For understanding the political debate that is going on, a good understanding of the problems is a requisite. Within this section I give a summary of possible further steps that need to be taken in order to resolve the balance within the EMU. As known by now, the Spanish economy faces a banking crisis which can lead to a domestic debt crisis and through possible contagion the whole Eurozone may have to deal with a currency crisis from which the implications are not exactly known, but it does definitely hurt every member of the Eurozone. Therefore it is in the best interest for the EMU to work together to help the peripheral member states out of economic misery. I argue that there are three steps that are needed to be taken, but they differ in priority.</w:t>
      </w:r>
      <w:r w:rsidR="00A27CEE">
        <w:rPr>
          <w:sz w:val="24"/>
          <w:szCs w:val="24"/>
          <w:lang w:val="en-US"/>
        </w:rPr>
        <w:t xml:space="preserve"> All three steps are already discussed within European politics, but difficulties arise since every member state watches its own agenda. These difficulties to implement the needed steps will be discussed too.</w:t>
      </w:r>
    </w:p>
    <w:p w:rsidR="00A27CEE" w:rsidRPr="00A27CEE" w:rsidRDefault="00A27CEE">
      <w:pPr>
        <w:rPr>
          <w:i/>
          <w:sz w:val="24"/>
          <w:szCs w:val="24"/>
          <w:lang w:val="en-US"/>
        </w:rPr>
      </w:pPr>
      <w:r>
        <w:rPr>
          <w:i/>
          <w:sz w:val="24"/>
          <w:szCs w:val="24"/>
          <w:lang w:val="en-US"/>
        </w:rPr>
        <w:t>Financial support</w:t>
      </w:r>
    </w:p>
    <w:p w:rsidR="00A27CEE" w:rsidRDefault="00845C49">
      <w:pPr>
        <w:rPr>
          <w:sz w:val="24"/>
          <w:szCs w:val="24"/>
          <w:lang w:val="en-US"/>
        </w:rPr>
      </w:pPr>
      <w:r>
        <w:rPr>
          <w:sz w:val="24"/>
          <w:szCs w:val="24"/>
          <w:lang w:val="en-US"/>
        </w:rPr>
        <w:t>First, Spain and also SMS need financial help from the NMS to get a sustainable debt position and to help domestic banks when necessary.</w:t>
      </w:r>
      <w:r w:rsidR="00A27CEE">
        <w:rPr>
          <w:sz w:val="24"/>
          <w:szCs w:val="24"/>
          <w:lang w:val="en-US"/>
        </w:rPr>
        <w:t xml:space="preserve"> With enough financial help, many SMS, even Spain and Greece, will be able to spend the money in a right way to help their domestic economy out of the recession. However, this is what the rest of Europe is afraid of. How do they know for sure that the member states receiving financial support spend it the right way. In particular Greece already proved to be anything but creditworthy. For this reason strict austerity conditions and have to be agreed before the finances are released. Being that the economy of the SMS are already in a deep recession, even more fiscal consolidation works pro-</w:t>
      </w:r>
      <w:proofErr w:type="spellStart"/>
      <w:r w:rsidR="00A27CEE">
        <w:rPr>
          <w:sz w:val="24"/>
          <w:szCs w:val="24"/>
          <w:lang w:val="en-US"/>
        </w:rPr>
        <w:t>cycical</w:t>
      </w:r>
      <w:proofErr w:type="spellEnd"/>
      <w:r w:rsidR="00A27CEE">
        <w:rPr>
          <w:sz w:val="24"/>
          <w:szCs w:val="24"/>
          <w:lang w:val="en-US"/>
        </w:rPr>
        <w:t xml:space="preserve"> and results in a deeper recession. Additional</w:t>
      </w:r>
      <w:r w:rsidR="00AF1A01">
        <w:rPr>
          <w:sz w:val="24"/>
          <w:szCs w:val="24"/>
          <w:lang w:val="en-US"/>
        </w:rPr>
        <w:t>,</w:t>
      </w:r>
      <w:r w:rsidR="00A27CEE">
        <w:rPr>
          <w:sz w:val="24"/>
          <w:szCs w:val="24"/>
          <w:lang w:val="en-US"/>
        </w:rPr>
        <w:t xml:space="preserve"> the financial loans hold relative high interest rates</w:t>
      </w:r>
      <w:r w:rsidR="00AF1A01">
        <w:rPr>
          <w:sz w:val="24"/>
          <w:szCs w:val="24"/>
          <w:lang w:val="en-US"/>
        </w:rPr>
        <w:t xml:space="preserve"> (6%) </w:t>
      </w:r>
      <w:sdt>
        <w:sdtPr>
          <w:rPr>
            <w:sz w:val="24"/>
            <w:szCs w:val="24"/>
            <w:lang w:val="en-US"/>
          </w:rPr>
          <w:id w:val="1603288"/>
          <w:citation/>
        </w:sdtPr>
        <w:sdtContent>
          <w:r w:rsidR="00D35F06">
            <w:rPr>
              <w:sz w:val="24"/>
              <w:szCs w:val="24"/>
              <w:lang w:val="en-US"/>
            </w:rPr>
            <w:fldChar w:fldCharType="begin"/>
          </w:r>
          <w:r w:rsidR="00AF1A01" w:rsidRPr="00AF1A01">
            <w:rPr>
              <w:sz w:val="24"/>
              <w:szCs w:val="24"/>
              <w:lang w:val="en-GB"/>
            </w:rPr>
            <w:instrText xml:space="preserve"> CITATION deG11 \l 1043 </w:instrText>
          </w:r>
          <w:r w:rsidR="00D35F06">
            <w:rPr>
              <w:sz w:val="24"/>
              <w:szCs w:val="24"/>
              <w:lang w:val="en-US"/>
            </w:rPr>
            <w:fldChar w:fldCharType="separate"/>
          </w:r>
          <w:r w:rsidR="00AF1A01" w:rsidRPr="00AF1A01">
            <w:rPr>
              <w:noProof/>
              <w:sz w:val="24"/>
              <w:szCs w:val="24"/>
              <w:lang w:val="en-GB"/>
            </w:rPr>
            <w:t>(de Grauwe, 2011)</w:t>
          </w:r>
          <w:r w:rsidR="00D35F06">
            <w:rPr>
              <w:sz w:val="24"/>
              <w:szCs w:val="24"/>
              <w:lang w:val="en-US"/>
            </w:rPr>
            <w:fldChar w:fldCharType="end"/>
          </w:r>
        </w:sdtContent>
      </w:sdt>
      <w:r w:rsidR="00A27CEE">
        <w:rPr>
          <w:sz w:val="24"/>
          <w:szCs w:val="24"/>
          <w:lang w:val="en-US"/>
        </w:rPr>
        <w:t>, because the NMS think that those who are in economic misery need to be punished in one way or another for the trouble they caused within the monetary union. The problem with high interest rates is that it gives a signal that those who are giving the loans don’t have high expectations about getting their money back. When these member states give this signal they can’t expect that other financial agents buy government securiti</w:t>
      </w:r>
      <w:r w:rsidR="00AF1A01">
        <w:rPr>
          <w:sz w:val="24"/>
          <w:szCs w:val="24"/>
          <w:lang w:val="en-US"/>
        </w:rPr>
        <w:t>e</w:t>
      </w:r>
      <w:r w:rsidR="00A27CEE">
        <w:rPr>
          <w:sz w:val="24"/>
          <w:szCs w:val="24"/>
          <w:lang w:val="en-US"/>
        </w:rPr>
        <w:t>s of the respective member state. They would also think that such an investment holds a too high risk.</w:t>
      </w:r>
      <w:r w:rsidR="00AF1A01">
        <w:rPr>
          <w:sz w:val="24"/>
          <w:szCs w:val="24"/>
          <w:lang w:val="en-US"/>
        </w:rPr>
        <w:t xml:space="preserve"> Another problem that arises when the EFSF demand a high interest on its loans, is that the member states which already have to implement severe austerity measures even have to consolidate more to meet the payment obligations set by the EFSF.</w:t>
      </w:r>
    </w:p>
    <w:p w:rsidR="00A27CEE" w:rsidRDefault="00A27CEE">
      <w:pPr>
        <w:rPr>
          <w:sz w:val="24"/>
          <w:szCs w:val="24"/>
          <w:lang w:val="en-US"/>
        </w:rPr>
      </w:pPr>
      <w:r>
        <w:rPr>
          <w:sz w:val="24"/>
          <w:szCs w:val="24"/>
          <w:lang w:val="en-US"/>
        </w:rPr>
        <w:t xml:space="preserve">To make financial loans more effective, the austerity constraints need to be loosened somewhat and the interest rates on the loans need to converge towards the German rate, thereby giving the signal that those who are lending the money expect that the member states receiving the financial help are able to meet their payment obligations. </w:t>
      </w:r>
      <w:sdt>
        <w:sdtPr>
          <w:rPr>
            <w:sz w:val="24"/>
            <w:szCs w:val="24"/>
            <w:lang w:val="en-US"/>
          </w:rPr>
          <w:id w:val="1603287"/>
          <w:citation/>
        </w:sdtPr>
        <w:sdtContent>
          <w:r w:rsidR="00D35F06">
            <w:rPr>
              <w:sz w:val="24"/>
              <w:szCs w:val="24"/>
              <w:lang w:val="en-US"/>
            </w:rPr>
            <w:fldChar w:fldCharType="begin"/>
          </w:r>
          <w:r w:rsidR="00AF1A01" w:rsidRPr="00AF1A01">
            <w:rPr>
              <w:sz w:val="24"/>
              <w:szCs w:val="24"/>
              <w:lang w:val="en-GB"/>
            </w:rPr>
            <w:instrText xml:space="preserve"> CITATION deG11 \l 1043 </w:instrText>
          </w:r>
          <w:r w:rsidR="00D35F06">
            <w:rPr>
              <w:sz w:val="24"/>
              <w:szCs w:val="24"/>
              <w:lang w:val="en-US"/>
            </w:rPr>
            <w:fldChar w:fldCharType="separate"/>
          </w:r>
          <w:r w:rsidR="00AF1A01" w:rsidRPr="00AF1A01">
            <w:rPr>
              <w:noProof/>
              <w:sz w:val="24"/>
              <w:szCs w:val="24"/>
              <w:lang w:val="en-GB"/>
            </w:rPr>
            <w:t>(de Grauwe, 2011)</w:t>
          </w:r>
          <w:r w:rsidR="00D35F06">
            <w:rPr>
              <w:sz w:val="24"/>
              <w:szCs w:val="24"/>
              <w:lang w:val="en-US"/>
            </w:rPr>
            <w:fldChar w:fldCharType="end"/>
          </w:r>
        </w:sdtContent>
      </w:sdt>
    </w:p>
    <w:p w:rsidR="00AF1A01" w:rsidRDefault="00AF1A01">
      <w:pPr>
        <w:rPr>
          <w:i/>
          <w:sz w:val="24"/>
          <w:szCs w:val="24"/>
          <w:lang w:val="en-US"/>
        </w:rPr>
      </w:pPr>
    </w:p>
    <w:p w:rsidR="00AF1A01" w:rsidRDefault="00AF1A01">
      <w:pPr>
        <w:rPr>
          <w:i/>
          <w:sz w:val="24"/>
          <w:szCs w:val="24"/>
          <w:lang w:val="en-US"/>
        </w:rPr>
      </w:pPr>
    </w:p>
    <w:p w:rsidR="00A27CEE" w:rsidRPr="00A27CEE" w:rsidRDefault="00A27CEE">
      <w:pPr>
        <w:rPr>
          <w:i/>
          <w:sz w:val="24"/>
          <w:szCs w:val="24"/>
          <w:lang w:val="en-US"/>
        </w:rPr>
      </w:pPr>
      <w:r w:rsidRPr="00A27CEE">
        <w:rPr>
          <w:i/>
          <w:sz w:val="24"/>
          <w:szCs w:val="24"/>
          <w:lang w:val="en-US"/>
        </w:rPr>
        <w:lastRenderedPageBreak/>
        <w:t>European integration</w:t>
      </w:r>
    </w:p>
    <w:p w:rsidR="00AF1A01" w:rsidRDefault="00845C49">
      <w:pPr>
        <w:rPr>
          <w:sz w:val="24"/>
          <w:szCs w:val="24"/>
          <w:lang w:val="en-US"/>
        </w:rPr>
      </w:pPr>
      <w:r>
        <w:rPr>
          <w:sz w:val="24"/>
          <w:szCs w:val="24"/>
          <w:lang w:val="en-US"/>
        </w:rPr>
        <w:t xml:space="preserve">Second more European integration is needed to give more power to Brussel in order to have a credible EFSF that keeps track of the different member states’ debt positions. </w:t>
      </w:r>
      <w:r w:rsidR="00AF1A01">
        <w:rPr>
          <w:sz w:val="24"/>
          <w:szCs w:val="24"/>
          <w:lang w:val="en-US"/>
        </w:rPr>
        <w:t>In the first period of the EMU many member states, including France and Germany</w:t>
      </w:r>
      <w:r w:rsidR="0076358D">
        <w:rPr>
          <w:sz w:val="24"/>
          <w:szCs w:val="24"/>
          <w:lang w:val="en-US"/>
        </w:rPr>
        <w:t>,</w:t>
      </w:r>
      <w:r w:rsidR="00AF1A01">
        <w:rPr>
          <w:sz w:val="24"/>
          <w:szCs w:val="24"/>
          <w:lang w:val="en-US"/>
        </w:rPr>
        <w:t xml:space="preserve"> violated the European </w:t>
      </w:r>
      <w:r w:rsidR="0076358D">
        <w:rPr>
          <w:sz w:val="24"/>
          <w:szCs w:val="24"/>
          <w:lang w:val="en-US"/>
        </w:rPr>
        <w:t>guidelines regarding fiscal policy. Deficits were allowed up to 3% of GDP. Many member states had larger annual deficits. The lack of credibility of punishment made them do so. When there is a board or commission that has the right tools to punish those who are tending to go out of line such as a cut in subsidies coming from the European Union this is much more credible and member states are less inclined to neglect the deficit procedure. A political issue that comes with it is that many member states feel themselves attacked in their sovereignty and therefore more European integration is hard to get much support. At the moment the European leaders are busy in making more European integration possible. However it is not yet clear whether there is enough support for more integration. Time will tell.</w:t>
      </w:r>
    </w:p>
    <w:p w:rsidR="00AF1A01" w:rsidRDefault="00AF1A01">
      <w:pPr>
        <w:rPr>
          <w:sz w:val="24"/>
          <w:szCs w:val="24"/>
          <w:lang w:val="en-US"/>
        </w:rPr>
      </w:pPr>
      <w:r>
        <w:rPr>
          <w:sz w:val="24"/>
          <w:szCs w:val="24"/>
          <w:lang w:val="en-US"/>
        </w:rPr>
        <w:t xml:space="preserve"> </w:t>
      </w:r>
      <w:r w:rsidR="00845C49">
        <w:rPr>
          <w:sz w:val="24"/>
          <w:szCs w:val="24"/>
          <w:lang w:val="en-US"/>
        </w:rPr>
        <w:t>Also more European integration is needed in the form of Eurobonds, so that the European Central bank can use the role of a monetary interme</w:t>
      </w:r>
      <w:r w:rsidR="00A27CEE">
        <w:rPr>
          <w:sz w:val="24"/>
          <w:szCs w:val="24"/>
          <w:lang w:val="en-US"/>
        </w:rPr>
        <w:t xml:space="preserve">diary when liquidity is needed. </w:t>
      </w:r>
      <w:r w:rsidR="0076358D">
        <w:rPr>
          <w:sz w:val="24"/>
          <w:szCs w:val="24"/>
          <w:lang w:val="en-US"/>
        </w:rPr>
        <w:t>As already showed in section II,  peripheral member states such as Spain become really vulnerable to financial speculation in a time of crisis. The use of Eurobonds makes it possible to give any member state the liquidity needed when financial speculation starts. The implementation of Eurobonds alone already gives the signal to the financial markets that speculating a default of a member state isn’t a credible threat. As this is know by financial markets such speculation will be stopped before it ever begins. For this reason member states are much less vulnerable when fiscal expansionary policy gets somewhat out of control. In the future this might be needed to restrain recessionary effects.</w:t>
      </w:r>
      <w:r w:rsidR="00921D5E">
        <w:rPr>
          <w:sz w:val="24"/>
          <w:szCs w:val="24"/>
          <w:lang w:val="en-US"/>
        </w:rPr>
        <w:t xml:space="preserve"> A logic question now would be: So what are you waiting for? But it is not that easy. A negative byproduct of Eurobonds is that core member states such as Germany and the Netherlands who face a lucrative AAA rating will be downgraded. Eurobonds will be the average of bonds of all member states. The average interest rate on those bonds is much higher than the interest rate on German bonds. Core countries then have to borrow money with more expensive interests. Definitely, the implementation of Eurobonds is not attractive to the core of the Eurozone, thereby making it a difficult political issue. These countries have to be compensated for the loss of attractive borrowing.</w:t>
      </w:r>
    </w:p>
    <w:p w:rsidR="00AF1A01" w:rsidRPr="00AF1A01" w:rsidRDefault="00AF1A01">
      <w:pPr>
        <w:rPr>
          <w:i/>
          <w:sz w:val="24"/>
          <w:szCs w:val="24"/>
          <w:lang w:val="en-US"/>
        </w:rPr>
      </w:pPr>
      <w:r w:rsidRPr="00AF1A01">
        <w:rPr>
          <w:i/>
          <w:sz w:val="24"/>
          <w:szCs w:val="24"/>
          <w:lang w:val="en-US"/>
        </w:rPr>
        <w:t>Focusing on competitiveness</w:t>
      </w:r>
    </w:p>
    <w:p w:rsidR="00D54FC7" w:rsidRDefault="00A27CEE">
      <w:pPr>
        <w:rPr>
          <w:sz w:val="24"/>
          <w:szCs w:val="24"/>
          <w:lang w:val="en-US"/>
        </w:rPr>
      </w:pPr>
      <w:r>
        <w:rPr>
          <w:sz w:val="24"/>
          <w:szCs w:val="24"/>
          <w:lang w:val="en-US"/>
        </w:rPr>
        <w:t>Finally, the SMS need to implement pro-growth policies and have to focus on creating jobs</w:t>
      </w:r>
      <w:r w:rsidR="0076358D">
        <w:rPr>
          <w:sz w:val="24"/>
          <w:szCs w:val="24"/>
          <w:lang w:val="en-US"/>
        </w:rPr>
        <w:t xml:space="preserve">. Avoiding a real estate bubble once more is a perfect goal for future policy in Spain. More strict balance sheet regulation for private banks is needed. Basel II and III already </w:t>
      </w:r>
      <w:r w:rsidR="00921D5E">
        <w:rPr>
          <w:sz w:val="24"/>
          <w:szCs w:val="24"/>
          <w:lang w:val="en-US"/>
        </w:rPr>
        <w:t>laid the foundation for such balance sheet reforms. Spain needs to become more competitive on the international market. The only way to do this is by creating better educational opportunities</w:t>
      </w:r>
      <w:r w:rsidR="00A67F13">
        <w:rPr>
          <w:sz w:val="24"/>
          <w:szCs w:val="24"/>
          <w:lang w:val="en-US"/>
        </w:rPr>
        <w:t xml:space="preserve"> to have more human capital</w:t>
      </w:r>
      <w:r w:rsidR="00921D5E">
        <w:rPr>
          <w:sz w:val="24"/>
          <w:szCs w:val="24"/>
          <w:lang w:val="en-US"/>
        </w:rPr>
        <w:t>, subsidizing research and developm</w:t>
      </w:r>
      <w:r w:rsidR="00A67F13">
        <w:rPr>
          <w:sz w:val="24"/>
          <w:szCs w:val="24"/>
          <w:lang w:val="en-US"/>
        </w:rPr>
        <w:t>ent to get a technical advantage and learning from other countries such as Germany, to use their technical know-how in production.</w:t>
      </w:r>
      <w:r w:rsidR="00921D5E">
        <w:rPr>
          <w:sz w:val="24"/>
          <w:szCs w:val="24"/>
          <w:lang w:val="en-US"/>
        </w:rPr>
        <w:t xml:space="preserve"> </w:t>
      </w:r>
    </w:p>
    <w:p w:rsidR="00921D5E" w:rsidRDefault="00921D5E">
      <w:pPr>
        <w:rPr>
          <w:sz w:val="24"/>
          <w:szCs w:val="24"/>
          <w:lang w:val="en-US"/>
        </w:rPr>
      </w:pPr>
      <w:r>
        <w:rPr>
          <w:sz w:val="24"/>
          <w:szCs w:val="24"/>
          <w:lang w:val="en-US"/>
        </w:rPr>
        <w:lastRenderedPageBreak/>
        <w:t xml:space="preserve">Two other possibilities to become more competitive are stepping out of the euro or labor market reforms to cut wages. Both are not really an option since they do more harm than good. Stepping out of the Euro means that Spain devaluates its currency. The devaluation will restore the current account deficit somewhat since Spanish products become cheaper. Although, the short recovery of the current account doesn’t weight against the negative implications. A devaluation will create more economic uncertainty due to stagnation, reducing domestic demand and creating even more unemployment. </w:t>
      </w:r>
    </w:p>
    <w:p w:rsidR="00921D5E" w:rsidRDefault="00921D5E">
      <w:pPr>
        <w:rPr>
          <w:sz w:val="24"/>
          <w:szCs w:val="24"/>
          <w:lang w:val="en-US"/>
        </w:rPr>
      </w:pPr>
      <w:r>
        <w:rPr>
          <w:sz w:val="24"/>
          <w:szCs w:val="24"/>
          <w:lang w:val="en-US"/>
        </w:rPr>
        <w:t xml:space="preserve">Wage restraints will also not help the economy. When wages are cut, following the Keynesian theory this will reduce aggregate demand since households have less money to spend. Other labor market reforms such as more </w:t>
      </w:r>
      <w:r w:rsidR="00566826">
        <w:rPr>
          <w:sz w:val="24"/>
          <w:szCs w:val="24"/>
          <w:lang w:val="en-US"/>
        </w:rPr>
        <w:t>part-time</w:t>
      </w:r>
      <w:r>
        <w:rPr>
          <w:sz w:val="24"/>
          <w:szCs w:val="24"/>
          <w:lang w:val="en-US"/>
        </w:rPr>
        <w:t xml:space="preserve"> contracts, flexible working hours etc. may help to cut labor expenditures and thereby making a company more cost competitive.</w:t>
      </w:r>
      <w:r w:rsidR="00A67F13">
        <w:rPr>
          <w:sz w:val="24"/>
          <w:szCs w:val="24"/>
          <w:lang w:val="en-US"/>
        </w:rPr>
        <w:t xml:space="preserve"> Nevertheless, reforming the labor market needs time and isn’t expected to be done in a short time horizon.</w:t>
      </w:r>
    </w:p>
    <w:p w:rsidR="00A67F13" w:rsidRPr="00A67F13" w:rsidRDefault="00A67F13">
      <w:pPr>
        <w:rPr>
          <w:b/>
          <w:sz w:val="28"/>
          <w:szCs w:val="28"/>
          <w:lang w:val="en-US"/>
        </w:rPr>
      </w:pPr>
      <w:r>
        <w:rPr>
          <w:sz w:val="24"/>
          <w:szCs w:val="24"/>
          <w:lang w:val="en-US"/>
        </w:rPr>
        <w:br/>
      </w:r>
      <w:r w:rsidRPr="00A67F13">
        <w:rPr>
          <w:b/>
          <w:sz w:val="28"/>
          <w:szCs w:val="28"/>
          <w:lang w:val="en-US"/>
        </w:rPr>
        <w:t>Section VI Concluding remarks</w:t>
      </w:r>
    </w:p>
    <w:p w:rsidR="001D1A6D" w:rsidRDefault="00A67F13">
      <w:pPr>
        <w:rPr>
          <w:sz w:val="24"/>
          <w:szCs w:val="24"/>
          <w:lang w:val="en-US"/>
        </w:rPr>
      </w:pPr>
      <w:r>
        <w:rPr>
          <w:sz w:val="24"/>
          <w:szCs w:val="24"/>
          <w:lang w:val="en-US"/>
        </w:rPr>
        <w:br/>
        <w:t xml:space="preserve">The public debt position of Spain didn’t look that worrying in a first instance. Public debt in Spain proved to be even less than German public debt as a percentage of GDP. Still the long term interest rate on government securities diverged </w:t>
      </w:r>
      <w:r w:rsidR="00F377E9">
        <w:rPr>
          <w:sz w:val="24"/>
          <w:szCs w:val="24"/>
          <w:lang w:val="en-US"/>
        </w:rPr>
        <w:t>after 2008 in favor of Germany, ultimately leading to 6% on Spanish 10-year government securities and only 1% on German government securities. The long term interest rate can be seen as the risk that has to be taken to invest in such securities, thus financial markets think that investing in Spain is a much higher risk than investing in Germany.</w:t>
      </w:r>
    </w:p>
    <w:p w:rsidR="00F377E9" w:rsidRDefault="00F377E9">
      <w:pPr>
        <w:rPr>
          <w:sz w:val="24"/>
          <w:szCs w:val="24"/>
          <w:lang w:val="en-US"/>
        </w:rPr>
      </w:pPr>
      <w:r>
        <w:rPr>
          <w:sz w:val="24"/>
          <w:szCs w:val="24"/>
          <w:lang w:val="en-US"/>
        </w:rPr>
        <w:t xml:space="preserve">It became clear that </w:t>
      </w:r>
      <w:r w:rsidR="00A572CB">
        <w:rPr>
          <w:sz w:val="24"/>
          <w:szCs w:val="24"/>
          <w:lang w:val="en-US"/>
        </w:rPr>
        <w:t xml:space="preserve">Spain’s </w:t>
      </w:r>
      <w:r>
        <w:rPr>
          <w:sz w:val="24"/>
          <w:szCs w:val="24"/>
          <w:lang w:val="en-US"/>
        </w:rPr>
        <w:t>public debt accelerated after 2008</w:t>
      </w:r>
      <w:r w:rsidR="00A572CB">
        <w:rPr>
          <w:sz w:val="24"/>
          <w:szCs w:val="24"/>
          <w:lang w:val="en-US"/>
        </w:rPr>
        <w:t>,</w:t>
      </w:r>
      <w:r>
        <w:rPr>
          <w:sz w:val="24"/>
          <w:szCs w:val="24"/>
          <w:lang w:val="en-US"/>
        </w:rPr>
        <w:t xml:space="preserve"> making investors worrying. The reason why government spending increased so much is the severe domestic recession the Spanish economy faces. Economic growth in the period before the financial crisis has been built on a real estate bubble, while the economy became even less competitive than it already was before the crisis. The lack of international competitiveness could be seen from the deteriorating current account after 2002, caused by high inflation rate</w:t>
      </w:r>
      <w:r w:rsidR="00B3405A">
        <w:rPr>
          <w:sz w:val="24"/>
          <w:szCs w:val="24"/>
          <w:lang w:val="en-US"/>
        </w:rPr>
        <w:t>s</w:t>
      </w:r>
      <w:r>
        <w:rPr>
          <w:sz w:val="24"/>
          <w:szCs w:val="24"/>
          <w:lang w:val="en-US"/>
        </w:rPr>
        <w:t>, increasing labor costs and too much focus on the non-tradable sector of economy, mainly the construction sector.</w:t>
      </w:r>
      <w:r w:rsidR="00B3405A">
        <w:rPr>
          <w:sz w:val="24"/>
          <w:szCs w:val="24"/>
          <w:lang w:val="en-US"/>
        </w:rPr>
        <w:t xml:space="preserve"> Besides, households and corporations became net borrowers in increasing amounts. The deficits they produced were every year after 2002 larger than the year before</w:t>
      </w:r>
      <w:r w:rsidR="00A572CB">
        <w:rPr>
          <w:sz w:val="24"/>
          <w:szCs w:val="24"/>
          <w:lang w:val="en-US"/>
        </w:rPr>
        <w:t>,</w:t>
      </w:r>
      <w:r w:rsidR="00B3405A">
        <w:rPr>
          <w:sz w:val="24"/>
          <w:szCs w:val="24"/>
          <w:lang w:val="en-US"/>
        </w:rPr>
        <w:t xml:space="preserve"> until 2008. Thereafter, Spanish firms and households became net lenders to the economy, but that was just because they had to deleverage in order to meet payment obligations. In fact it contributed to lower demand and more unemployment and negative GDP growth.</w:t>
      </w:r>
    </w:p>
    <w:p w:rsidR="00F377E9" w:rsidRDefault="00F377E9">
      <w:pPr>
        <w:rPr>
          <w:sz w:val="24"/>
          <w:szCs w:val="24"/>
          <w:lang w:val="en-US"/>
        </w:rPr>
      </w:pPr>
      <w:r>
        <w:rPr>
          <w:sz w:val="24"/>
          <w:szCs w:val="24"/>
          <w:lang w:val="en-US"/>
        </w:rPr>
        <w:t>Public debt also increased in Spain</w:t>
      </w:r>
      <w:r w:rsidR="00B3405A">
        <w:rPr>
          <w:sz w:val="24"/>
          <w:szCs w:val="24"/>
          <w:lang w:val="en-US"/>
        </w:rPr>
        <w:t xml:space="preserve">, because the domestic banking sector has been hit relatively harder compared to banks in other countries, because they had much assets on their balance sheet from which the value was dependent on the value of the real estate sector. When the real estate assets dropped in value the banks in Spain became suddenly insolvent leading to a banking crisis. To help these banks public spending is needed. The result of public financial support is that private debt is exchanged for public debt. The economic </w:t>
      </w:r>
      <w:r w:rsidR="00B3405A">
        <w:rPr>
          <w:sz w:val="24"/>
          <w:szCs w:val="24"/>
          <w:lang w:val="en-US"/>
        </w:rPr>
        <w:lastRenderedPageBreak/>
        <w:t>consequences of this trade-off has to be seen yet, since it did not happen before in economic practice. Though, one can say that the public spending contributed to the high interest rate Spain faces on its government securities, because it increases the annual public deficit.</w:t>
      </w:r>
    </w:p>
    <w:p w:rsidR="00B3405A" w:rsidRDefault="00B3405A">
      <w:pPr>
        <w:rPr>
          <w:sz w:val="24"/>
          <w:szCs w:val="24"/>
          <w:lang w:val="en-US"/>
        </w:rPr>
      </w:pPr>
      <w:r>
        <w:rPr>
          <w:sz w:val="24"/>
          <w:szCs w:val="24"/>
          <w:lang w:val="en-US"/>
        </w:rPr>
        <w:t>It is in the best interest</w:t>
      </w:r>
      <w:r w:rsidR="00513C2B">
        <w:rPr>
          <w:sz w:val="24"/>
          <w:szCs w:val="24"/>
          <w:lang w:val="en-US"/>
        </w:rPr>
        <w:t xml:space="preserve"> of the whole E</w:t>
      </w:r>
      <w:r w:rsidR="00B0147F">
        <w:rPr>
          <w:sz w:val="24"/>
          <w:szCs w:val="24"/>
          <w:lang w:val="en-US"/>
        </w:rPr>
        <w:t>urozone</w:t>
      </w:r>
      <w:r>
        <w:rPr>
          <w:sz w:val="24"/>
          <w:szCs w:val="24"/>
          <w:lang w:val="en-US"/>
        </w:rPr>
        <w:t xml:space="preserve"> that countries in economic misery such as Spain are helped by other member states to get things back on track. The needed measures that have to be taken for a future sustainable EMU are obvious from an economic perspective, but are compounded with much political debate and therefore sometimes hard to implement in a short time horizon.</w:t>
      </w:r>
    </w:p>
    <w:p w:rsidR="0003256E" w:rsidRPr="0003256E" w:rsidRDefault="00B3405A">
      <w:pPr>
        <w:rPr>
          <w:b/>
          <w:sz w:val="28"/>
          <w:szCs w:val="28"/>
          <w:lang w:val="en-US"/>
        </w:rPr>
      </w:pPr>
      <w:r>
        <w:rPr>
          <w:sz w:val="24"/>
          <w:szCs w:val="24"/>
          <w:lang w:val="en-US"/>
        </w:rPr>
        <w:br/>
      </w:r>
      <w:r w:rsidR="0003256E">
        <w:rPr>
          <w:b/>
          <w:sz w:val="28"/>
          <w:szCs w:val="28"/>
          <w:lang w:val="en-US"/>
        </w:rPr>
        <w:t>References</w:t>
      </w:r>
    </w:p>
    <w:p w:rsidR="0003256E" w:rsidRPr="0003256E" w:rsidRDefault="00D35F06" w:rsidP="0003256E">
      <w:pPr>
        <w:pStyle w:val="Bibliografie"/>
        <w:rPr>
          <w:noProof/>
          <w:lang w:val="en-GB"/>
        </w:rPr>
      </w:pPr>
      <w:r>
        <w:rPr>
          <w:sz w:val="24"/>
          <w:szCs w:val="24"/>
          <w:lang w:val="en-US"/>
        </w:rPr>
        <w:fldChar w:fldCharType="begin"/>
      </w:r>
      <w:r w:rsidR="0003256E" w:rsidRPr="0003256E">
        <w:rPr>
          <w:sz w:val="24"/>
          <w:szCs w:val="24"/>
          <w:lang w:val="en-GB"/>
        </w:rPr>
        <w:instrText xml:space="preserve"> BIBLIOGRAPHY  \l 1043 </w:instrText>
      </w:r>
      <w:r>
        <w:rPr>
          <w:sz w:val="24"/>
          <w:szCs w:val="24"/>
          <w:lang w:val="en-US"/>
        </w:rPr>
        <w:fldChar w:fldCharType="separate"/>
      </w:r>
      <w:r w:rsidR="0003256E" w:rsidRPr="0003256E">
        <w:rPr>
          <w:noProof/>
          <w:lang w:val="en-GB"/>
        </w:rPr>
        <w:t xml:space="preserve">Aspachs-Bracons, O., &amp; Rabanal, P. (2010). The drivers of housing cycles in Spain. </w:t>
      </w:r>
      <w:r w:rsidR="0003256E" w:rsidRPr="0003256E">
        <w:rPr>
          <w:i/>
          <w:iCs/>
          <w:noProof/>
          <w:lang w:val="en-GB"/>
        </w:rPr>
        <w:t>SERIEs</w:t>
      </w:r>
      <w:r w:rsidR="0003256E" w:rsidRPr="0003256E">
        <w:rPr>
          <w:noProof/>
          <w:lang w:val="en-GB"/>
        </w:rPr>
        <w:t xml:space="preserve"> , 101-130.</w:t>
      </w:r>
    </w:p>
    <w:p w:rsidR="0003256E" w:rsidRPr="0003256E" w:rsidRDefault="0003256E" w:rsidP="0003256E">
      <w:pPr>
        <w:pStyle w:val="Bibliografie"/>
        <w:rPr>
          <w:noProof/>
          <w:lang w:val="en-GB"/>
        </w:rPr>
      </w:pPr>
      <w:r w:rsidRPr="0003256E">
        <w:rPr>
          <w:noProof/>
          <w:lang w:val="en-GB"/>
        </w:rPr>
        <w:t xml:space="preserve">Baldacci, E., &amp; Kumar, M. (2010). Fiscal Defictis, Public Debt and Sovereign Bond Yields. </w:t>
      </w:r>
      <w:r w:rsidRPr="0003256E">
        <w:rPr>
          <w:i/>
          <w:iCs/>
          <w:noProof/>
          <w:lang w:val="en-GB"/>
        </w:rPr>
        <w:t>IMF</w:t>
      </w:r>
      <w:r w:rsidRPr="0003256E">
        <w:rPr>
          <w:noProof/>
          <w:lang w:val="en-GB"/>
        </w:rPr>
        <w:t xml:space="preserve"> , 1-28.</w:t>
      </w:r>
    </w:p>
    <w:p w:rsidR="0003256E" w:rsidRPr="0003256E" w:rsidRDefault="0003256E" w:rsidP="0003256E">
      <w:pPr>
        <w:pStyle w:val="Bibliografie"/>
        <w:rPr>
          <w:noProof/>
          <w:lang w:val="en-GB"/>
        </w:rPr>
      </w:pPr>
      <w:r w:rsidRPr="0003256E">
        <w:rPr>
          <w:noProof/>
          <w:lang w:val="en-GB"/>
        </w:rPr>
        <w:t xml:space="preserve">Bils, M., &amp; Klenow, P. (2004). Some Evidence on the Importance of Sticky Prices. </w:t>
      </w:r>
      <w:r w:rsidRPr="0003256E">
        <w:rPr>
          <w:i/>
          <w:iCs/>
          <w:noProof/>
          <w:lang w:val="en-GB"/>
        </w:rPr>
        <w:t>Journal of Political Economy</w:t>
      </w:r>
      <w:r w:rsidRPr="0003256E">
        <w:rPr>
          <w:noProof/>
          <w:lang w:val="en-GB"/>
        </w:rPr>
        <w:t xml:space="preserve"> , 947-985.</w:t>
      </w:r>
    </w:p>
    <w:p w:rsidR="0003256E" w:rsidRPr="0003256E" w:rsidRDefault="0003256E" w:rsidP="0003256E">
      <w:pPr>
        <w:pStyle w:val="Bibliografie"/>
        <w:rPr>
          <w:noProof/>
          <w:lang w:val="en-GB"/>
        </w:rPr>
      </w:pPr>
      <w:r w:rsidRPr="0003256E">
        <w:rPr>
          <w:noProof/>
          <w:lang w:val="en-GB"/>
        </w:rPr>
        <w:t xml:space="preserve">Calomiris, C., Longhofer, S., &amp; Miles, W. (2009). THE (MYTHICAL?) HOUSING WEALTH EFFECT. </w:t>
      </w:r>
      <w:r w:rsidRPr="0003256E">
        <w:rPr>
          <w:i/>
          <w:iCs/>
          <w:noProof/>
          <w:lang w:val="en-GB"/>
        </w:rPr>
        <w:t>the NATIONAL BUREAU of ECONOMIC RESEARCH</w:t>
      </w:r>
      <w:r w:rsidRPr="0003256E">
        <w:rPr>
          <w:noProof/>
          <w:lang w:val="en-GB"/>
        </w:rPr>
        <w:t xml:space="preserve"> , 1-29.</w:t>
      </w:r>
    </w:p>
    <w:p w:rsidR="0003256E" w:rsidRPr="0003256E" w:rsidRDefault="0003256E" w:rsidP="0003256E">
      <w:pPr>
        <w:pStyle w:val="Bibliografie"/>
        <w:rPr>
          <w:noProof/>
          <w:lang w:val="en-GB"/>
        </w:rPr>
      </w:pPr>
      <w:r w:rsidRPr="0003256E">
        <w:rPr>
          <w:noProof/>
          <w:lang w:val="en-GB"/>
        </w:rPr>
        <w:t xml:space="preserve">Carroll, C., Otsuka, M., &amp; Slacalek, J. (2006). HOW LARGE IS THE HOUSING WEALTH EFFECT? A NEW APPROACH. </w:t>
      </w:r>
      <w:r w:rsidRPr="0003256E">
        <w:rPr>
          <w:i/>
          <w:iCs/>
          <w:noProof/>
          <w:lang w:val="en-GB"/>
        </w:rPr>
        <w:t>the NATIONAL BUREAU of ECONOMIC RESEARCH</w:t>
      </w:r>
      <w:r w:rsidRPr="0003256E">
        <w:rPr>
          <w:noProof/>
          <w:lang w:val="en-GB"/>
        </w:rPr>
        <w:t xml:space="preserve"> , 1-19.</w:t>
      </w:r>
    </w:p>
    <w:p w:rsidR="0003256E" w:rsidRDefault="0003256E" w:rsidP="0003256E">
      <w:pPr>
        <w:pStyle w:val="Bibliografie"/>
        <w:rPr>
          <w:noProof/>
        </w:rPr>
      </w:pPr>
      <w:r w:rsidRPr="0003256E">
        <w:rPr>
          <w:noProof/>
          <w:lang w:val="en-GB"/>
        </w:rPr>
        <w:t xml:space="preserve">de Grauwe, P. (2011). A less punishing, more forgiving approach to the debt crisis in the eurozone. </w:t>
      </w:r>
      <w:r>
        <w:rPr>
          <w:i/>
          <w:iCs/>
          <w:noProof/>
        </w:rPr>
        <w:t>CEPS</w:t>
      </w:r>
      <w:r>
        <w:rPr>
          <w:noProof/>
        </w:rPr>
        <w:t xml:space="preserve"> , 1-5.</w:t>
      </w:r>
    </w:p>
    <w:p w:rsidR="0003256E" w:rsidRDefault="0003256E" w:rsidP="0003256E">
      <w:pPr>
        <w:pStyle w:val="Bibliografie"/>
        <w:rPr>
          <w:noProof/>
        </w:rPr>
      </w:pPr>
      <w:r>
        <w:rPr>
          <w:noProof/>
        </w:rPr>
        <w:t xml:space="preserve">EFSF. (2010, May 9). </w:t>
      </w:r>
      <w:r>
        <w:rPr>
          <w:i/>
          <w:iCs/>
          <w:noProof/>
        </w:rPr>
        <w:t>About EFSF</w:t>
      </w:r>
      <w:r>
        <w:rPr>
          <w:noProof/>
        </w:rPr>
        <w:t>. Opgeroepen op June 29, 2012, van http://www.efsf.europa.eu/about/index.htm</w:t>
      </w:r>
    </w:p>
    <w:p w:rsidR="0003256E" w:rsidRPr="0003256E" w:rsidRDefault="0003256E" w:rsidP="0003256E">
      <w:pPr>
        <w:pStyle w:val="Bibliografie"/>
        <w:rPr>
          <w:noProof/>
          <w:lang w:val="en-GB"/>
        </w:rPr>
      </w:pPr>
      <w:r w:rsidRPr="0003256E">
        <w:rPr>
          <w:noProof/>
          <w:lang w:val="en-GB"/>
        </w:rPr>
        <w:t xml:space="preserve">Estrada, A., Jimeno, J., &amp; Malo de Molina, J. (2009). THE SPANISH ECONOMY IN THE EMU: THE FIRST TEN YEARS. </w:t>
      </w:r>
      <w:r w:rsidRPr="0003256E">
        <w:rPr>
          <w:i/>
          <w:iCs/>
          <w:noProof/>
          <w:lang w:val="en-GB"/>
        </w:rPr>
        <w:t>Banco de Espana</w:t>
      </w:r>
      <w:r w:rsidRPr="0003256E">
        <w:rPr>
          <w:noProof/>
          <w:lang w:val="en-GB"/>
        </w:rPr>
        <w:t xml:space="preserve"> , 9-51.</w:t>
      </w:r>
    </w:p>
    <w:p w:rsidR="0003256E" w:rsidRDefault="0003256E" w:rsidP="0003256E">
      <w:pPr>
        <w:pStyle w:val="Bibliografie"/>
        <w:rPr>
          <w:noProof/>
        </w:rPr>
      </w:pPr>
      <w:r w:rsidRPr="0003256E">
        <w:rPr>
          <w:noProof/>
          <w:lang w:val="en-GB"/>
        </w:rPr>
        <w:t xml:space="preserve">European Central Bank. (2012). </w:t>
      </w:r>
      <w:r w:rsidRPr="0003256E">
        <w:rPr>
          <w:i/>
          <w:iCs/>
          <w:noProof/>
          <w:lang w:val="en-GB"/>
        </w:rPr>
        <w:t>Long-term interest rate statistics for EU member states</w:t>
      </w:r>
      <w:r w:rsidRPr="0003256E">
        <w:rPr>
          <w:noProof/>
          <w:lang w:val="en-GB"/>
        </w:rPr>
        <w:t xml:space="preserve">. </w:t>
      </w:r>
      <w:r>
        <w:rPr>
          <w:noProof/>
        </w:rPr>
        <w:t>Opgeroepen op June 28, 2012, van http://www.ecb.int/stats/money/long/html/index.en.html</w:t>
      </w:r>
    </w:p>
    <w:p w:rsidR="0003256E" w:rsidRPr="0003256E" w:rsidRDefault="0003256E" w:rsidP="0003256E">
      <w:pPr>
        <w:pStyle w:val="Bibliografie"/>
        <w:rPr>
          <w:noProof/>
          <w:lang w:val="en-GB"/>
        </w:rPr>
      </w:pPr>
      <w:r w:rsidRPr="0003256E">
        <w:rPr>
          <w:noProof/>
          <w:lang w:val="en-GB"/>
        </w:rPr>
        <w:t xml:space="preserve">European Commision. (2011). </w:t>
      </w:r>
      <w:r w:rsidRPr="0003256E">
        <w:rPr>
          <w:i/>
          <w:iCs/>
          <w:noProof/>
          <w:lang w:val="en-GB"/>
        </w:rPr>
        <w:t>EU Economic Governance: a major step forward.</w:t>
      </w:r>
      <w:r w:rsidRPr="0003256E">
        <w:rPr>
          <w:noProof/>
          <w:lang w:val="en-GB"/>
        </w:rPr>
        <w:t xml:space="preserve"> Brussels.</w:t>
      </w:r>
    </w:p>
    <w:p w:rsidR="0003256E" w:rsidRPr="0003256E" w:rsidRDefault="0003256E" w:rsidP="0003256E">
      <w:pPr>
        <w:pStyle w:val="Bibliografie"/>
        <w:rPr>
          <w:noProof/>
          <w:lang w:val="en-GB"/>
        </w:rPr>
      </w:pPr>
      <w:r w:rsidRPr="0003256E">
        <w:rPr>
          <w:noProof/>
          <w:lang w:val="en-GB"/>
        </w:rPr>
        <w:t xml:space="preserve">European Commission. (2011). </w:t>
      </w:r>
      <w:r w:rsidRPr="0003256E">
        <w:rPr>
          <w:i/>
          <w:iCs/>
          <w:noProof/>
          <w:lang w:val="en-GB"/>
        </w:rPr>
        <w:t>Eurostat Government Finance Statistics</w:t>
      </w:r>
      <w:r w:rsidRPr="0003256E">
        <w:rPr>
          <w:noProof/>
          <w:lang w:val="en-GB"/>
        </w:rPr>
        <w:t>. Opgeroepen op June 27, 2012, van http://epp.eurostat.ec.europa.eu/statistics_explained/index.php/Government_finance_statistics#Database</w:t>
      </w:r>
    </w:p>
    <w:p w:rsidR="0003256E" w:rsidRDefault="0003256E" w:rsidP="0003256E">
      <w:pPr>
        <w:pStyle w:val="Bibliografie"/>
        <w:rPr>
          <w:noProof/>
        </w:rPr>
      </w:pPr>
      <w:r w:rsidRPr="0003256E">
        <w:rPr>
          <w:noProof/>
          <w:lang w:val="en-GB"/>
        </w:rPr>
        <w:t xml:space="preserve">European Commission. (2012). </w:t>
      </w:r>
      <w:r w:rsidRPr="0003256E">
        <w:rPr>
          <w:i/>
          <w:iCs/>
          <w:noProof/>
          <w:lang w:val="en-GB"/>
        </w:rPr>
        <w:t>Eurostat Long term interest rates</w:t>
      </w:r>
      <w:r w:rsidRPr="0003256E">
        <w:rPr>
          <w:noProof/>
          <w:lang w:val="en-GB"/>
        </w:rPr>
        <w:t xml:space="preserve">. </w:t>
      </w:r>
      <w:r>
        <w:rPr>
          <w:noProof/>
        </w:rPr>
        <w:t>Opgeroepen op June 30, 2012, van http://epp.eurostat.ec.europa.eu/tgm/table.do?tab=table&amp;init=1&amp;plugin=1&amp;language=en&amp;pcode=tec00036</w:t>
      </w:r>
    </w:p>
    <w:p w:rsidR="0003256E" w:rsidRPr="0003256E" w:rsidRDefault="0003256E" w:rsidP="0003256E">
      <w:pPr>
        <w:pStyle w:val="Bibliografie"/>
        <w:rPr>
          <w:noProof/>
          <w:lang w:val="en-GB"/>
        </w:rPr>
      </w:pPr>
      <w:r w:rsidRPr="0003256E">
        <w:rPr>
          <w:noProof/>
          <w:lang w:val="en-GB"/>
        </w:rPr>
        <w:lastRenderedPageBreak/>
        <w:t xml:space="preserve">Eurostat. (2011). </w:t>
      </w:r>
      <w:r w:rsidRPr="0003256E">
        <w:rPr>
          <w:i/>
          <w:iCs/>
          <w:noProof/>
          <w:lang w:val="en-GB"/>
        </w:rPr>
        <w:t>GDP and main components-volumes</w:t>
      </w:r>
      <w:r w:rsidRPr="0003256E">
        <w:rPr>
          <w:noProof/>
          <w:lang w:val="en-GB"/>
        </w:rPr>
        <w:t>. Opgeroepen op 7 27, 2012, van Statistical website of the European Commission: http://appsso.eurostat.ec.europa.eu/nui/show.do</w:t>
      </w:r>
    </w:p>
    <w:p w:rsidR="0003256E" w:rsidRDefault="0003256E" w:rsidP="0003256E">
      <w:pPr>
        <w:pStyle w:val="Bibliografie"/>
        <w:rPr>
          <w:noProof/>
        </w:rPr>
      </w:pPr>
      <w:r w:rsidRPr="0003256E">
        <w:rPr>
          <w:noProof/>
          <w:lang w:val="en-GB"/>
        </w:rPr>
        <w:t xml:space="preserve">Grauwe, P. d. (2011). The Governance of a Fragile Eurozone. </w:t>
      </w:r>
      <w:r>
        <w:rPr>
          <w:i/>
          <w:iCs/>
          <w:noProof/>
        </w:rPr>
        <w:t>CEPS</w:t>
      </w:r>
      <w:r>
        <w:rPr>
          <w:noProof/>
        </w:rPr>
        <w:t xml:space="preserve"> , 1-22.</w:t>
      </w:r>
    </w:p>
    <w:p w:rsidR="0003256E" w:rsidRDefault="0003256E" w:rsidP="0003256E">
      <w:pPr>
        <w:pStyle w:val="Bibliografie"/>
        <w:rPr>
          <w:noProof/>
        </w:rPr>
      </w:pPr>
      <w:r>
        <w:rPr>
          <w:noProof/>
        </w:rPr>
        <w:t xml:space="preserve">Hoekstra, J., &amp; Vakili-Zad, C. (2009). </w:t>
      </w:r>
      <w:r w:rsidRPr="0003256E">
        <w:rPr>
          <w:noProof/>
          <w:lang w:val="en-GB"/>
        </w:rPr>
        <w:t xml:space="preserve">High Vacancy Rates and Rising House Prices: The Spanish Paradox. </w:t>
      </w:r>
      <w:r>
        <w:rPr>
          <w:i/>
          <w:iCs/>
          <w:noProof/>
        </w:rPr>
        <w:t>Tijdschrift voor economische en sociale geografie</w:t>
      </w:r>
      <w:r>
        <w:rPr>
          <w:noProof/>
        </w:rPr>
        <w:t xml:space="preserve"> , 55-71.</w:t>
      </w:r>
    </w:p>
    <w:p w:rsidR="0003256E" w:rsidRDefault="0003256E" w:rsidP="0003256E">
      <w:pPr>
        <w:pStyle w:val="Bibliografie"/>
        <w:rPr>
          <w:noProof/>
        </w:rPr>
      </w:pPr>
      <w:r>
        <w:rPr>
          <w:noProof/>
        </w:rPr>
        <w:t xml:space="preserve">Indexmundi. (2012). </w:t>
      </w:r>
      <w:r>
        <w:rPr>
          <w:i/>
          <w:iCs/>
          <w:noProof/>
        </w:rPr>
        <w:t>Indexmundi Indicators Compare Countries</w:t>
      </w:r>
      <w:r>
        <w:rPr>
          <w:noProof/>
        </w:rPr>
        <w:t>. Opgeroepen op June 27, 2012, van http://www.indexmundi.com/facts/indicators/NY.GDP.MKTP.KD.ZG/compare?country=gr#country=gr:pt:es</w:t>
      </w:r>
    </w:p>
    <w:p w:rsidR="0003256E" w:rsidRPr="0003256E" w:rsidRDefault="0003256E" w:rsidP="0003256E">
      <w:pPr>
        <w:pStyle w:val="Bibliografie"/>
        <w:rPr>
          <w:noProof/>
          <w:lang w:val="en-GB"/>
        </w:rPr>
      </w:pPr>
      <w:r w:rsidRPr="0003256E">
        <w:rPr>
          <w:noProof/>
          <w:lang w:val="en-GB"/>
        </w:rPr>
        <w:t xml:space="preserve">Krugman, P. (2012, April 15). Europe's Economic Suicide. </w:t>
      </w:r>
      <w:r w:rsidRPr="0003256E">
        <w:rPr>
          <w:i/>
          <w:iCs/>
          <w:noProof/>
          <w:lang w:val="en-GB"/>
        </w:rPr>
        <w:t>The New York Times</w:t>
      </w:r>
      <w:r w:rsidRPr="0003256E">
        <w:rPr>
          <w:noProof/>
          <w:lang w:val="en-GB"/>
        </w:rPr>
        <w:t xml:space="preserve"> .</w:t>
      </w:r>
    </w:p>
    <w:p w:rsidR="0003256E" w:rsidRPr="0003256E" w:rsidRDefault="0003256E" w:rsidP="0003256E">
      <w:pPr>
        <w:pStyle w:val="Bibliografie"/>
        <w:rPr>
          <w:noProof/>
          <w:lang w:val="en-GB"/>
        </w:rPr>
      </w:pPr>
      <w:r w:rsidRPr="0003256E">
        <w:rPr>
          <w:noProof/>
          <w:lang w:val="en-GB"/>
        </w:rPr>
        <w:t xml:space="preserve">Krugman, P. (2012, April 15). Insane in Spain. </w:t>
      </w:r>
      <w:r w:rsidRPr="0003256E">
        <w:rPr>
          <w:i/>
          <w:iCs/>
          <w:noProof/>
          <w:lang w:val="en-GB"/>
        </w:rPr>
        <w:t>The New York Times</w:t>
      </w:r>
      <w:r w:rsidRPr="0003256E">
        <w:rPr>
          <w:noProof/>
          <w:lang w:val="en-GB"/>
        </w:rPr>
        <w:t xml:space="preserve"> .</w:t>
      </w:r>
    </w:p>
    <w:p w:rsidR="0003256E" w:rsidRPr="0003256E" w:rsidRDefault="0003256E" w:rsidP="0003256E">
      <w:pPr>
        <w:pStyle w:val="Bibliografie"/>
        <w:rPr>
          <w:noProof/>
          <w:lang w:val="en-GB"/>
        </w:rPr>
      </w:pPr>
      <w:r w:rsidRPr="0003256E">
        <w:rPr>
          <w:noProof/>
          <w:lang w:val="en-GB"/>
        </w:rPr>
        <w:t xml:space="preserve">Neal, L., &amp; Garcia-Iglesias, C. (2012). The economy of Spain in the eurozone before and after the crisis of 2008. </w:t>
      </w:r>
      <w:r w:rsidRPr="0003256E">
        <w:rPr>
          <w:i/>
          <w:iCs/>
          <w:noProof/>
          <w:lang w:val="en-GB"/>
        </w:rPr>
        <w:t>The debt crisis of Europe's peripheral economies</w:t>
      </w:r>
      <w:r w:rsidRPr="0003256E">
        <w:rPr>
          <w:noProof/>
          <w:lang w:val="en-GB"/>
        </w:rPr>
        <w:t xml:space="preserve"> (pp. 1-28). Munich: MPRA.</w:t>
      </w:r>
    </w:p>
    <w:p w:rsidR="0003256E" w:rsidRPr="0003256E" w:rsidRDefault="0003256E" w:rsidP="0003256E">
      <w:pPr>
        <w:pStyle w:val="Bibliografie"/>
        <w:rPr>
          <w:noProof/>
          <w:lang w:val="en-GB"/>
        </w:rPr>
      </w:pPr>
      <w:r w:rsidRPr="0003256E">
        <w:rPr>
          <w:noProof/>
          <w:lang w:val="en-GB"/>
        </w:rPr>
        <w:t xml:space="preserve">Neuteboom, P. (2004). A comparative analysis of the net cost of a mortgage for homeowners in Europe. </w:t>
      </w:r>
      <w:r w:rsidRPr="0003256E">
        <w:rPr>
          <w:i/>
          <w:iCs/>
          <w:noProof/>
          <w:lang w:val="en-GB"/>
        </w:rPr>
        <w:t>Journal of Housing and the Built Environment</w:t>
      </w:r>
      <w:r w:rsidRPr="0003256E">
        <w:rPr>
          <w:noProof/>
          <w:lang w:val="en-GB"/>
        </w:rPr>
        <w:t xml:space="preserve"> , 169-186.</w:t>
      </w:r>
    </w:p>
    <w:p w:rsidR="0003256E" w:rsidRPr="0003256E" w:rsidRDefault="0003256E" w:rsidP="0003256E">
      <w:pPr>
        <w:pStyle w:val="Bibliografie"/>
        <w:rPr>
          <w:noProof/>
          <w:lang w:val="en-GB"/>
        </w:rPr>
      </w:pPr>
      <w:r w:rsidRPr="0003256E">
        <w:rPr>
          <w:noProof/>
          <w:lang w:val="en-GB"/>
        </w:rPr>
        <w:t xml:space="preserve">Sauernheimer, K. (2011). Greece: Bail-out Packages, Current Account and Foreign Debt. </w:t>
      </w:r>
      <w:r w:rsidRPr="0003256E">
        <w:rPr>
          <w:i/>
          <w:iCs/>
          <w:noProof/>
          <w:lang w:val="en-GB"/>
        </w:rPr>
        <w:t>CESifo Forum</w:t>
      </w:r>
      <w:r w:rsidRPr="0003256E">
        <w:rPr>
          <w:noProof/>
          <w:lang w:val="en-GB"/>
        </w:rPr>
        <w:t xml:space="preserve"> , 37-43.</w:t>
      </w:r>
    </w:p>
    <w:p w:rsidR="0003256E" w:rsidRPr="0003256E" w:rsidRDefault="0003256E" w:rsidP="0003256E">
      <w:pPr>
        <w:pStyle w:val="Bibliografie"/>
        <w:rPr>
          <w:noProof/>
          <w:lang w:val="en-GB"/>
        </w:rPr>
      </w:pPr>
      <w:r w:rsidRPr="0003256E">
        <w:rPr>
          <w:noProof/>
          <w:lang w:val="en-GB"/>
        </w:rPr>
        <w:t xml:space="preserve">Sinn, H.-W. (2000). The Euro, Interest Rates and European Economic Growth. </w:t>
      </w:r>
      <w:r w:rsidRPr="0003256E">
        <w:rPr>
          <w:i/>
          <w:iCs/>
          <w:noProof/>
          <w:lang w:val="en-GB"/>
        </w:rPr>
        <w:t>CESifo</w:t>
      </w:r>
      <w:r w:rsidRPr="0003256E">
        <w:rPr>
          <w:noProof/>
          <w:lang w:val="en-GB"/>
        </w:rPr>
        <w:t xml:space="preserve"> , 30-31.</w:t>
      </w:r>
    </w:p>
    <w:p w:rsidR="0003256E" w:rsidRDefault="0003256E" w:rsidP="0003256E">
      <w:pPr>
        <w:pStyle w:val="Bibliografie"/>
        <w:rPr>
          <w:noProof/>
        </w:rPr>
      </w:pPr>
      <w:r w:rsidRPr="0003256E">
        <w:rPr>
          <w:noProof/>
          <w:lang w:val="en-GB"/>
        </w:rPr>
        <w:t xml:space="preserve">Uxo, J., Paul, J., &amp; Febrero, E. (2011). Current Account Imbalances in the Monetary Union and the Great Recession: Causes and Policies. </w:t>
      </w:r>
      <w:r>
        <w:rPr>
          <w:i/>
          <w:iCs/>
          <w:noProof/>
        </w:rPr>
        <w:t>Panoeconomicus</w:t>
      </w:r>
      <w:r>
        <w:rPr>
          <w:noProof/>
        </w:rPr>
        <w:t xml:space="preserve"> , 571-592.</w:t>
      </w:r>
    </w:p>
    <w:p w:rsidR="0003256E" w:rsidRDefault="0003256E" w:rsidP="0003256E">
      <w:pPr>
        <w:pStyle w:val="Bibliografie"/>
        <w:rPr>
          <w:noProof/>
        </w:rPr>
      </w:pPr>
      <w:r>
        <w:rPr>
          <w:noProof/>
        </w:rPr>
        <w:t xml:space="preserve">World Bank. (2010). </w:t>
      </w:r>
      <w:r>
        <w:rPr>
          <w:i/>
          <w:iCs/>
          <w:noProof/>
        </w:rPr>
        <w:t>World Bank indicators</w:t>
      </w:r>
      <w:r>
        <w:rPr>
          <w:noProof/>
        </w:rPr>
        <w:t>. Opgeroepen op June 27, 2012, van http://data.worldbank.org/indicator</w:t>
      </w:r>
    </w:p>
    <w:p w:rsidR="00B3405A" w:rsidRPr="00A572CB" w:rsidRDefault="00D35F06" w:rsidP="0003256E">
      <w:pPr>
        <w:rPr>
          <w:sz w:val="24"/>
          <w:szCs w:val="24"/>
        </w:rPr>
      </w:pPr>
      <w:r>
        <w:rPr>
          <w:sz w:val="24"/>
          <w:szCs w:val="24"/>
          <w:lang w:val="en-US"/>
        </w:rPr>
        <w:fldChar w:fldCharType="end"/>
      </w:r>
    </w:p>
    <w:p w:rsidR="001D1A6D" w:rsidRPr="0003256E" w:rsidRDefault="001D1A6D">
      <w:pPr>
        <w:rPr>
          <w:sz w:val="24"/>
          <w:szCs w:val="24"/>
        </w:rPr>
      </w:pPr>
    </w:p>
    <w:p w:rsidR="001D1A6D" w:rsidRPr="0003256E" w:rsidRDefault="001D1A6D">
      <w:pPr>
        <w:rPr>
          <w:sz w:val="24"/>
          <w:szCs w:val="24"/>
        </w:rPr>
      </w:pPr>
    </w:p>
    <w:p w:rsidR="001D1A6D" w:rsidRPr="0003256E" w:rsidRDefault="001D1A6D">
      <w:pPr>
        <w:rPr>
          <w:sz w:val="24"/>
          <w:szCs w:val="24"/>
        </w:rPr>
      </w:pPr>
    </w:p>
    <w:p w:rsidR="001D1A6D" w:rsidRPr="0003256E" w:rsidRDefault="001D1A6D">
      <w:pPr>
        <w:rPr>
          <w:sz w:val="24"/>
          <w:szCs w:val="24"/>
        </w:rPr>
      </w:pPr>
    </w:p>
    <w:p w:rsidR="001D1A6D" w:rsidRPr="0003256E" w:rsidRDefault="001D1A6D">
      <w:pPr>
        <w:rPr>
          <w:sz w:val="24"/>
          <w:szCs w:val="24"/>
        </w:rPr>
      </w:pPr>
    </w:p>
    <w:p w:rsidR="006D05D9" w:rsidRPr="0003256E" w:rsidRDefault="006D05D9" w:rsidP="0003256E">
      <w:pPr>
        <w:rPr>
          <w:b/>
          <w:sz w:val="24"/>
          <w:szCs w:val="24"/>
        </w:rPr>
      </w:pPr>
    </w:p>
    <w:sectPr w:rsidR="006D05D9" w:rsidRPr="0003256E" w:rsidSect="002D2D9B">
      <w:footerReference w:type="default" r:id="rId2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2FB" w:rsidRDefault="006262FB" w:rsidP="00B872E8">
      <w:pPr>
        <w:spacing w:after="0" w:line="240" w:lineRule="auto"/>
      </w:pPr>
      <w:r>
        <w:separator/>
      </w:r>
    </w:p>
  </w:endnote>
  <w:endnote w:type="continuationSeparator" w:id="0">
    <w:p w:rsidR="006262FB" w:rsidRDefault="006262FB" w:rsidP="00B87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6604"/>
      <w:docPartObj>
        <w:docPartGallery w:val="Page Numbers (Bottom of Page)"/>
        <w:docPartUnique/>
      </w:docPartObj>
    </w:sdtPr>
    <w:sdtContent>
      <w:p w:rsidR="004C52E7" w:rsidRDefault="00D35F06">
        <w:pPr>
          <w:pStyle w:val="Voettekst"/>
          <w:jc w:val="right"/>
        </w:pPr>
        <w:fldSimple w:instr=" PAGE   \* MERGEFORMAT ">
          <w:r w:rsidR="00566826">
            <w:rPr>
              <w:noProof/>
            </w:rPr>
            <w:t>27</w:t>
          </w:r>
        </w:fldSimple>
      </w:p>
    </w:sdtContent>
  </w:sdt>
  <w:p w:rsidR="0003256E" w:rsidRDefault="0003256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2FB" w:rsidRDefault="006262FB" w:rsidP="00B872E8">
      <w:pPr>
        <w:spacing w:after="0" w:line="240" w:lineRule="auto"/>
      </w:pPr>
      <w:r>
        <w:separator/>
      </w:r>
    </w:p>
  </w:footnote>
  <w:footnote w:type="continuationSeparator" w:id="0">
    <w:p w:rsidR="006262FB" w:rsidRDefault="006262FB" w:rsidP="00B872E8">
      <w:pPr>
        <w:spacing w:after="0" w:line="240" w:lineRule="auto"/>
      </w:pPr>
      <w:r>
        <w:continuationSeparator/>
      </w:r>
    </w:p>
  </w:footnote>
  <w:footnote w:id="1">
    <w:p w:rsidR="00B872E8" w:rsidRPr="00B872E8" w:rsidRDefault="00B872E8">
      <w:pPr>
        <w:pStyle w:val="Voetnoottekst"/>
        <w:rPr>
          <w:lang w:val="en-US"/>
        </w:rPr>
      </w:pPr>
      <w:r>
        <w:rPr>
          <w:rStyle w:val="Voetnootmarkering"/>
        </w:rPr>
        <w:footnoteRef/>
      </w:r>
      <w:r w:rsidRPr="00B872E8">
        <w:rPr>
          <w:lang w:val="en-US"/>
        </w:rPr>
        <w:t xml:space="preserve"> </w:t>
      </w:r>
      <w:r>
        <w:rPr>
          <w:lang w:val="en-US"/>
        </w:rPr>
        <w:t>From this moment on the southern Eurozone member states will be referred to as SMS and the northern as NMS. Furthermore the member states in this perspective are the members of the EMU.</w:t>
      </w:r>
    </w:p>
  </w:footnote>
  <w:footnote w:id="2">
    <w:p w:rsidR="00E13A44" w:rsidRPr="00E13A44" w:rsidRDefault="00E13A44">
      <w:pPr>
        <w:pStyle w:val="Voetnoottekst"/>
        <w:rPr>
          <w:lang w:val="en-US"/>
        </w:rPr>
      </w:pPr>
      <w:r>
        <w:rPr>
          <w:rStyle w:val="Voetnootmarkering"/>
        </w:rPr>
        <w:footnoteRef/>
      </w:r>
      <w:r w:rsidRPr="00E13A44">
        <w:rPr>
          <w:lang w:val="en-US"/>
        </w:rPr>
        <w:t xml:space="preserve"> </w:t>
      </w:r>
      <w:r>
        <w:rPr>
          <w:lang w:val="en-US"/>
        </w:rPr>
        <w:t>According to Eurostat figures which predicts positive growth rates for almost all Eurozone core countries.</w:t>
      </w:r>
      <w:r w:rsidR="004D130F">
        <w:rPr>
          <w:lang w:val="en-US"/>
        </w:rPr>
        <w:t xml:space="preserve"> On the contrary not for Greece, Portugal, Spain, Italy and Ireland </w:t>
      </w:r>
    </w:p>
  </w:footnote>
  <w:footnote w:id="3">
    <w:p w:rsidR="005667E7" w:rsidRPr="005667E7" w:rsidRDefault="005667E7">
      <w:pPr>
        <w:pStyle w:val="Voetnoottekst"/>
        <w:rPr>
          <w:lang w:val="en-US"/>
        </w:rPr>
      </w:pPr>
      <w:r>
        <w:rPr>
          <w:rStyle w:val="Voetnootmarkering"/>
        </w:rPr>
        <w:footnoteRef/>
      </w:r>
      <w:r w:rsidRPr="005667E7">
        <w:rPr>
          <w:lang w:val="en-US"/>
        </w:rPr>
        <w:t xml:space="preserve"> </w:t>
      </w:r>
      <w:r>
        <w:rPr>
          <w:lang w:val="en-US"/>
        </w:rPr>
        <w:t>Tinsa is Spanish  market leader in real estate valuation and assessment.</w:t>
      </w:r>
    </w:p>
  </w:footnote>
  <w:footnote w:id="4">
    <w:p w:rsidR="00491053" w:rsidRPr="00491053" w:rsidRDefault="00491053" w:rsidP="00491053">
      <w:pPr>
        <w:rPr>
          <w:lang w:val="en-US"/>
        </w:rPr>
      </w:pPr>
      <w:r>
        <w:rPr>
          <w:rStyle w:val="Voetnootmarkering"/>
        </w:rPr>
        <w:footnoteRef/>
      </w:r>
      <w:r w:rsidRPr="00491053">
        <w:rPr>
          <w:lang w:val="en-US"/>
        </w:rPr>
        <w:t xml:space="preserve"> </w:t>
      </w:r>
      <w:r w:rsidRPr="00491053">
        <w:rPr>
          <w:sz w:val="20"/>
          <w:szCs w:val="20"/>
          <w:lang w:val="en-US"/>
        </w:rPr>
        <w:t xml:space="preserve">The definition of REER by the world bank: </w:t>
      </w:r>
      <w:r w:rsidRPr="00491053">
        <w:rPr>
          <w:i/>
          <w:sz w:val="20"/>
          <w:szCs w:val="20"/>
          <w:lang w:val="en-US"/>
        </w:rPr>
        <w:t>“Real effective exchange rate is the nominal effective exchange rate (a measure of the value of a currency against a weighted average of several foreign currencies) divided by a price deflator or index of costs.”</w:t>
      </w:r>
    </w:p>
  </w:footnote>
  <w:footnote w:id="5">
    <w:p w:rsidR="008732A1" w:rsidRDefault="008732A1">
      <w:pPr>
        <w:pStyle w:val="Voetnoottekst"/>
        <w:rPr>
          <w:lang w:val="en-US"/>
        </w:rPr>
      </w:pPr>
      <w:r>
        <w:rPr>
          <w:rStyle w:val="Voetnootmarkering"/>
        </w:rPr>
        <w:footnoteRef/>
      </w:r>
      <w:r w:rsidRPr="008732A1">
        <w:rPr>
          <w:lang w:val="en-US"/>
        </w:rPr>
        <w:t xml:space="preserve"> </w:t>
      </w:r>
      <w:r>
        <w:rPr>
          <w:lang w:val="en-US"/>
        </w:rPr>
        <w:t>The REER in formula: Q= S/P. Where Q is the real effective exchange rate, S is the nominal exchange rate and P is the general price level</w:t>
      </w:r>
      <w:r w:rsidR="001D7C10">
        <w:rPr>
          <w:lang w:val="en-US"/>
        </w:rPr>
        <w:t xml:space="preserve"> of tradable goods</w:t>
      </w:r>
      <w:r>
        <w:rPr>
          <w:lang w:val="en-US"/>
        </w:rPr>
        <w:t xml:space="preserve"> within the economy</w:t>
      </w:r>
      <w:r w:rsidR="001D7C10">
        <w:rPr>
          <w:lang w:val="en-US"/>
        </w:rPr>
        <w:t xml:space="preserve">. The currency is fixed within a monetary union, so Q cannot change because of S. Q can only change, because of a change in P. When P goes up, Q goes down. A lower exchange rate </w:t>
      </w:r>
      <w:r w:rsidR="00F35815">
        <w:rPr>
          <w:lang w:val="en-US"/>
        </w:rPr>
        <w:t>reflects</w:t>
      </w:r>
      <w:r w:rsidR="001D7C10">
        <w:rPr>
          <w:lang w:val="en-US"/>
        </w:rPr>
        <w:t xml:space="preserve"> an appreciation. So Inflation has the effect of appreciating the real exchange rate.</w:t>
      </w:r>
    </w:p>
    <w:p w:rsidR="00365C1B" w:rsidRPr="008732A1" w:rsidRDefault="00365C1B">
      <w:pPr>
        <w:pStyle w:val="Voetnoottekst"/>
        <w:rPr>
          <w:lang w:val="en-US"/>
        </w:rPr>
      </w:pPr>
    </w:p>
  </w:footnote>
  <w:footnote w:id="6">
    <w:p w:rsidR="004E751B" w:rsidRPr="004E751B" w:rsidRDefault="004E751B">
      <w:pPr>
        <w:pStyle w:val="Voetnoottekst"/>
        <w:rPr>
          <w:lang w:val="en-US"/>
        </w:rPr>
      </w:pPr>
      <w:r>
        <w:rPr>
          <w:rStyle w:val="Voetnootmarkering"/>
        </w:rPr>
        <w:footnoteRef/>
      </w:r>
      <w:r w:rsidRPr="004E751B">
        <w:rPr>
          <w:lang w:val="en-US"/>
        </w:rPr>
        <w:t xml:space="preserve"> </w:t>
      </w:r>
      <w:r>
        <w:rPr>
          <w:lang w:val="en-US"/>
        </w:rPr>
        <w:t xml:space="preserve">One can add  more countries to the comparison, because imports of Spain are not all imported from Germany, and also not the other way around, but since all core NMS show the same pattern as Germany (like the Netherlands, Austria, Finland and Belgium) and the SMS as Spain (Portugal, Greece and Italy) I have decided that showing the contrast between Germany and Spain is sufficient to illustrate the contrast.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2679C"/>
    <w:multiLevelType w:val="hybridMultilevel"/>
    <w:tmpl w:val="A98E2E1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E531C36"/>
    <w:multiLevelType w:val="hybridMultilevel"/>
    <w:tmpl w:val="D14E283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C4D137E"/>
    <w:multiLevelType w:val="hybridMultilevel"/>
    <w:tmpl w:val="3804689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48D0FE3"/>
    <w:multiLevelType w:val="hybridMultilevel"/>
    <w:tmpl w:val="9EAEDF6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7FA15A0"/>
    <w:multiLevelType w:val="hybridMultilevel"/>
    <w:tmpl w:val="0F24171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E6A6D1D"/>
    <w:multiLevelType w:val="hybridMultilevel"/>
    <w:tmpl w:val="D556E87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0E1223"/>
    <w:rsid w:val="0002018C"/>
    <w:rsid w:val="000309E8"/>
    <w:rsid w:val="00031CEA"/>
    <w:rsid w:val="0003256E"/>
    <w:rsid w:val="000334EF"/>
    <w:rsid w:val="00045558"/>
    <w:rsid w:val="0004665D"/>
    <w:rsid w:val="00051E0D"/>
    <w:rsid w:val="000571A0"/>
    <w:rsid w:val="0005781B"/>
    <w:rsid w:val="000660F0"/>
    <w:rsid w:val="00066B09"/>
    <w:rsid w:val="00070ED5"/>
    <w:rsid w:val="000823C6"/>
    <w:rsid w:val="000900B2"/>
    <w:rsid w:val="000964F2"/>
    <w:rsid w:val="000A1F84"/>
    <w:rsid w:val="000B7E89"/>
    <w:rsid w:val="000C0B90"/>
    <w:rsid w:val="000C35E6"/>
    <w:rsid w:val="000C401F"/>
    <w:rsid w:val="000C717A"/>
    <w:rsid w:val="000E1223"/>
    <w:rsid w:val="000E7D2D"/>
    <w:rsid w:val="000F04FF"/>
    <w:rsid w:val="000F7195"/>
    <w:rsid w:val="000F7AC3"/>
    <w:rsid w:val="00100E9B"/>
    <w:rsid w:val="001038BC"/>
    <w:rsid w:val="00103E9E"/>
    <w:rsid w:val="00107AD4"/>
    <w:rsid w:val="00112FF5"/>
    <w:rsid w:val="00121826"/>
    <w:rsid w:val="00121C5D"/>
    <w:rsid w:val="001360E8"/>
    <w:rsid w:val="0015718E"/>
    <w:rsid w:val="00176880"/>
    <w:rsid w:val="00181343"/>
    <w:rsid w:val="00191A99"/>
    <w:rsid w:val="00197FAE"/>
    <w:rsid w:val="001A1211"/>
    <w:rsid w:val="001A53BD"/>
    <w:rsid w:val="001A5DD6"/>
    <w:rsid w:val="001A7AA8"/>
    <w:rsid w:val="001B0F75"/>
    <w:rsid w:val="001B3A11"/>
    <w:rsid w:val="001C1547"/>
    <w:rsid w:val="001C4325"/>
    <w:rsid w:val="001C574F"/>
    <w:rsid w:val="001C5921"/>
    <w:rsid w:val="001D17D6"/>
    <w:rsid w:val="001D1A6D"/>
    <w:rsid w:val="001D2F5F"/>
    <w:rsid w:val="001D6101"/>
    <w:rsid w:val="001D7C10"/>
    <w:rsid w:val="001E5E25"/>
    <w:rsid w:val="001F5D1F"/>
    <w:rsid w:val="001F71C8"/>
    <w:rsid w:val="00210F70"/>
    <w:rsid w:val="0021172B"/>
    <w:rsid w:val="0021401D"/>
    <w:rsid w:val="00220409"/>
    <w:rsid w:val="00223CBF"/>
    <w:rsid w:val="00225457"/>
    <w:rsid w:val="00227295"/>
    <w:rsid w:val="00232224"/>
    <w:rsid w:val="0023457D"/>
    <w:rsid w:val="0024567B"/>
    <w:rsid w:val="0024695B"/>
    <w:rsid w:val="0025711D"/>
    <w:rsid w:val="00262AE2"/>
    <w:rsid w:val="00262FD3"/>
    <w:rsid w:val="0027020C"/>
    <w:rsid w:val="0027591E"/>
    <w:rsid w:val="00275AA6"/>
    <w:rsid w:val="00276263"/>
    <w:rsid w:val="00283489"/>
    <w:rsid w:val="00286272"/>
    <w:rsid w:val="002967A8"/>
    <w:rsid w:val="002A0DFA"/>
    <w:rsid w:val="002B280D"/>
    <w:rsid w:val="002B6D5A"/>
    <w:rsid w:val="002D2D9B"/>
    <w:rsid w:val="002D3A7E"/>
    <w:rsid w:val="002E10B4"/>
    <w:rsid w:val="002E1F78"/>
    <w:rsid w:val="002F0FC1"/>
    <w:rsid w:val="002F2739"/>
    <w:rsid w:val="002F2D1D"/>
    <w:rsid w:val="00313DF9"/>
    <w:rsid w:val="00315695"/>
    <w:rsid w:val="00331D7B"/>
    <w:rsid w:val="00333B3E"/>
    <w:rsid w:val="003373B0"/>
    <w:rsid w:val="00340C67"/>
    <w:rsid w:val="00342B5D"/>
    <w:rsid w:val="003467BE"/>
    <w:rsid w:val="00351171"/>
    <w:rsid w:val="0035469C"/>
    <w:rsid w:val="00363CF1"/>
    <w:rsid w:val="00363DA7"/>
    <w:rsid w:val="00365C1B"/>
    <w:rsid w:val="003759D3"/>
    <w:rsid w:val="00381EA4"/>
    <w:rsid w:val="00384333"/>
    <w:rsid w:val="00384D3E"/>
    <w:rsid w:val="00390170"/>
    <w:rsid w:val="00393DE9"/>
    <w:rsid w:val="003A03AD"/>
    <w:rsid w:val="003A4909"/>
    <w:rsid w:val="003D22F6"/>
    <w:rsid w:val="003D637A"/>
    <w:rsid w:val="003E38EC"/>
    <w:rsid w:val="003E7AF3"/>
    <w:rsid w:val="003F4122"/>
    <w:rsid w:val="00406008"/>
    <w:rsid w:val="00412B14"/>
    <w:rsid w:val="00414AF8"/>
    <w:rsid w:val="00417D38"/>
    <w:rsid w:val="00424AA0"/>
    <w:rsid w:val="00424ED5"/>
    <w:rsid w:val="00425957"/>
    <w:rsid w:val="00444381"/>
    <w:rsid w:val="0045110A"/>
    <w:rsid w:val="00455C6C"/>
    <w:rsid w:val="00466702"/>
    <w:rsid w:val="00470743"/>
    <w:rsid w:val="00470B41"/>
    <w:rsid w:val="00471B5B"/>
    <w:rsid w:val="004721BB"/>
    <w:rsid w:val="00473688"/>
    <w:rsid w:val="00477446"/>
    <w:rsid w:val="00477948"/>
    <w:rsid w:val="004818D5"/>
    <w:rsid w:val="004854F6"/>
    <w:rsid w:val="004865D0"/>
    <w:rsid w:val="00491053"/>
    <w:rsid w:val="00491544"/>
    <w:rsid w:val="00492D64"/>
    <w:rsid w:val="004953DB"/>
    <w:rsid w:val="004A22A6"/>
    <w:rsid w:val="004B1D6A"/>
    <w:rsid w:val="004B2F70"/>
    <w:rsid w:val="004B521B"/>
    <w:rsid w:val="004B61D2"/>
    <w:rsid w:val="004C05B4"/>
    <w:rsid w:val="004C52E7"/>
    <w:rsid w:val="004D0A76"/>
    <w:rsid w:val="004D130F"/>
    <w:rsid w:val="004D36A5"/>
    <w:rsid w:val="004E23F3"/>
    <w:rsid w:val="004E751B"/>
    <w:rsid w:val="00503694"/>
    <w:rsid w:val="00505532"/>
    <w:rsid w:val="00507D30"/>
    <w:rsid w:val="0051188F"/>
    <w:rsid w:val="00513C2B"/>
    <w:rsid w:val="00520AB1"/>
    <w:rsid w:val="00527616"/>
    <w:rsid w:val="00531ED8"/>
    <w:rsid w:val="0053251A"/>
    <w:rsid w:val="00532AA6"/>
    <w:rsid w:val="00532EA2"/>
    <w:rsid w:val="005342BA"/>
    <w:rsid w:val="00541650"/>
    <w:rsid w:val="00550F6D"/>
    <w:rsid w:val="0055306D"/>
    <w:rsid w:val="00555EF6"/>
    <w:rsid w:val="00563D21"/>
    <w:rsid w:val="005648EE"/>
    <w:rsid w:val="005667E7"/>
    <w:rsid w:val="00566826"/>
    <w:rsid w:val="005857AE"/>
    <w:rsid w:val="005A246B"/>
    <w:rsid w:val="005A3125"/>
    <w:rsid w:val="005B28C3"/>
    <w:rsid w:val="005B3868"/>
    <w:rsid w:val="005B3F87"/>
    <w:rsid w:val="005D3AC4"/>
    <w:rsid w:val="005D4D14"/>
    <w:rsid w:val="005E23E5"/>
    <w:rsid w:val="005E281C"/>
    <w:rsid w:val="005E6B05"/>
    <w:rsid w:val="005E75BC"/>
    <w:rsid w:val="005F0066"/>
    <w:rsid w:val="006004C2"/>
    <w:rsid w:val="00600990"/>
    <w:rsid w:val="00605899"/>
    <w:rsid w:val="0061196B"/>
    <w:rsid w:val="0061358A"/>
    <w:rsid w:val="00614A43"/>
    <w:rsid w:val="006167B2"/>
    <w:rsid w:val="006168B7"/>
    <w:rsid w:val="00625792"/>
    <w:rsid w:val="006262FB"/>
    <w:rsid w:val="00627EF6"/>
    <w:rsid w:val="00630E9A"/>
    <w:rsid w:val="0064367B"/>
    <w:rsid w:val="00644A67"/>
    <w:rsid w:val="00653AB0"/>
    <w:rsid w:val="00661EB3"/>
    <w:rsid w:val="0066417E"/>
    <w:rsid w:val="0066731E"/>
    <w:rsid w:val="00681C38"/>
    <w:rsid w:val="00694A03"/>
    <w:rsid w:val="006A0143"/>
    <w:rsid w:val="006A05C0"/>
    <w:rsid w:val="006A0BE1"/>
    <w:rsid w:val="006A30DE"/>
    <w:rsid w:val="006B375F"/>
    <w:rsid w:val="006C01A2"/>
    <w:rsid w:val="006C1ECF"/>
    <w:rsid w:val="006C72D0"/>
    <w:rsid w:val="006D01F0"/>
    <w:rsid w:val="006D05D9"/>
    <w:rsid w:val="006D6E14"/>
    <w:rsid w:val="006E0D7F"/>
    <w:rsid w:val="006E0FD3"/>
    <w:rsid w:val="006F77C9"/>
    <w:rsid w:val="00705372"/>
    <w:rsid w:val="00706281"/>
    <w:rsid w:val="00713ABB"/>
    <w:rsid w:val="00721208"/>
    <w:rsid w:val="007242CD"/>
    <w:rsid w:val="00725713"/>
    <w:rsid w:val="00732AAE"/>
    <w:rsid w:val="00732EBD"/>
    <w:rsid w:val="00746D2C"/>
    <w:rsid w:val="00756E8C"/>
    <w:rsid w:val="00760779"/>
    <w:rsid w:val="0076358D"/>
    <w:rsid w:val="0077336F"/>
    <w:rsid w:val="00776754"/>
    <w:rsid w:val="00776ACE"/>
    <w:rsid w:val="00777349"/>
    <w:rsid w:val="00781283"/>
    <w:rsid w:val="00794481"/>
    <w:rsid w:val="00796119"/>
    <w:rsid w:val="007A70F6"/>
    <w:rsid w:val="007A79BA"/>
    <w:rsid w:val="007B6677"/>
    <w:rsid w:val="007C3344"/>
    <w:rsid w:val="007C4A9A"/>
    <w:rsid w:val="007C779F"/>
    <w:rsid w:val="007D57A0"/>
    <w:rsid w:val="007D6A10"/>
    <w:rsid w:val="007D7162"/>
    <w:rsid w:val="007D71C2"/>
    <w:rsid w:val="007F1D0E"/>
    <w:rsid w:val="007F64C8"/>
    <w:rsid w:val="007F699D"/>
    <w:rsid w:val="00800FDE"/>
    <w:rsid w:val="008017CA"/>
    <w:rsid w:val="00813BC3"/>
    <w:rsid w:val="0083472F"/>
    <w:rsid w:val="00845C49"/>
    <w:rsid w:val="008508D9"/>
    <w:rsid w:val="008549DC"/>
    <w:rsid w:val="00856D3E"/>
    <w:rsid w:val="008618DC"/>
    <w:rsid w:val="00863391"/>
    <w:rsid w:val="00865F2B"/>
    <w:rsid w:val="00870996"/>
    <w:rsid w:val="008732A1"/>
    <w:rsid w:val="00874E4D"/>
    <w:rsid w:val="00890F6F"/>
    <w:rsid w:val="008927A9"/>
    <w:rsid w:val="008A4991"/>
    <w:rsid w:val="008A6D5F"/>
    <w:rsid w:val="008A73CF"/>
    <w:rsid w:val="008B1247"/>
    <w:rsid w:val="008C47CB"/>
    <w:rsid w:val="008D1399"/>
    <w:rsid w:val="008D1E30"/>
    <w:rsid w:val="008D6A90"/>
    <w:rsid w:val="008E5C3E"/>
    <w:rsid w:val="00900B3D"/>
    <w:rsid w:val="00902387"/>
    <w:rsid w:val="00912376"/>
    <w:rsid w:val="0091284A"/>
    <w:rsid w:val="009202D6"/>
    <w:rsid w:val="00921D5E"/>
    <w:rsid w:val="00922C0C"/>
    <w:rsid w:val="00924A9B"/>
    <w:rsid w:val="00930140"/>
    <w:rsid w:val="00933455"/>
    <w:rsid w:val="0094438C"/>
    <w:rsid w:val="00956A33"/>
    <w:rsid w:val="0096484B"/>
    <w:rsid w:val="009822C7"/>
    <w:rsid w:val="00983DD5"/>
    <w:rsid w:val="00985FC2"/>
    <w:rsid w:val="0098704E"/>
    <w:rsid w:val="009B2334"/>
    <w:rsid w:val="009B455F"/>
    <w:rsid w:val="009C79F9"/>
    <w:rsid w:val="009E4100"/>
    <w:rsid w:val="009E7079"/>
    <w:rsid w:val="009F3E8F"/>
    <w:rsid w:val="00A0584C"/>
    <w:rsid w:val="00A07884"/>
    <w:rsid w:val="00A10113"/>
    <w:rsid w:val="00A26573"/>
    <w:rsid w:val="00A27CEE"/>
    <w:rsid w:val="00A32B72"/>
    <w:rsid w:val="00A43932"/>
    <w:rsid w:val="00A572CB"/>
    <w:rsid w:val="00A6048A"/>
    <w:rsid w:val="00A6192E"/>
    <w:rsid w:val="00A67F13"/>
    <w:rsid w:val="00A852D6"/>
    <w:rsid w:val="00AB2C0B"/>
    <w:rsid w:val="00AB645B"/>
    <w:rsid w:val="00AC4454"/>
    <w:rsid w:val="00AD0E77"/>
    <w:rsid w:val="00AD10BE"/>
    <w:rsid w:val="00AD238C"/>
    <w:rsid w:val="00AD3321"/>
    <w:rsid w:val="00AD3F78"/>
    <w:rsid w:val="00AF1A01"/>
    <w:rsid w:val="00B0147F"/>
    <w:rsid w:val="00B0161B"/>
    <w:rsid w:val="00B025BF"/>
    <w:rsid w:val="00B03507"/>
    <w:rsid w:val="00B050A2"/>
    <w:rsid w:val="00B066F0"/>
    <w:rsid w:val="00B11177"/>
    <w:rsid w:val="00B125A8"/>
    <w:rsid w:val="00B1389D"/>
    <w:rsid w:val="00B20B29"/>
    <w:rsid w:val="00B3405A"/>
    <w:rsid w:val="00B43BBB"/>
    <w:rsid w:val="00B60D75"/>
    <w:rsid w:val="00B61A5F"/>
    <w:rsid w:val="00B63C49"/>
    <w:rsid w:val="00B70007"/>
    <w:rsid w:val="00B80871"/>
    <w:rsid w:val="00B872E8"/>
    <w:rsid w:val="00B90E42"/>
    <w:rsid w:val="00B96184"/>
    <w:rsid w:val="00B974BC"/>
    <w:rsid w:val="00BA3A85"/>
    <w:rsid w:val="00BA7DF8"/>
    <w:rsid w:val="00BB60F0"/>
    <w:rsid w:val="00BB67DF"/>
    <w:rsid w:val="00BC0C78"/>
    <w:rsid w:val="00BC19C4"/>
    <w:rsid w:val="00BC2B5B"/>
    <w:rsid w:val="00BC40B5"/>
    <w:rsid w:val="00BD1B49"/>
    <w:rsid w:val="00BD52D4"/>
    <w:rsid w:val="00BE1F91"/>
    <w:rsid w:val="00BE417C"/>
    <w:rsid w:val="00BE7129"/>
    <w:rsid w:val="00BF7945"/>
    <w:rsid w:val="00C000EA"/>
    <w:rsid w:val="00C11CF6"/>
    <w:rsid w:val="00C14812"/>
    <w:rsid w:val="00C1726F"/>
    <w:rsid w:val="00C40BF2"/>
    <w:rsid w:val="00C5376F"/>
    <w:rsid w:val="00C55F70"/>
    <w:rsid w:val="00C64016"/>
    <w:rsid w:val="00C65A88"/>
    <w:rsid w:val="00C752FE"/>
    <w:rsid w:val="00C830A9"/>
    <w:rsid w:val="00CA087E"/>
    <w:rsid w:val="00CD10CC"/>
    <w:rsid w:val="00CD2D05"/>
    <w:rsid w:val="00CD72BA"/>
    <w:rsid w:val="00CE08B7"/>
    <w:rsid w:val="00CE11EC"/>
    <w:rsid w:val="00CF1F1D"/>
    <w:rsid w:val="00CF420A"/>
    <w:rsid w:val="00CF5C56"/>
    <w:rsid w:val="00D0048E"/>
    <w:rsid w:val="00D15CF6"/>
    <w:rsid w:val="00D17531"/>
    <w:rsid w:val="00D1770E"/>
    <w:rsid w:val="00D35F06"/>
    <w:rsid w:val="00D46AE4"/>
    <w:rsid w:val="00D520B1"/>
    <w:rsid w:val="00D542D2"/>
    <w:rsid w:val="00D54FC7"/>
    <w:rsid w:val="00D641CA"/>
    <w:rsid w:val="00D66771"/>
    <w:rsid w:val="00D8329B"/>
    <w:rsid w:val="00D845AE"/>
    <w:rsid w:val="00D92B33"/>
    <w:rsid w:val="00D93A60"/>
    <w:rsid w:val="00D953E2"/>
    <w:rsid w:val="00D97507"/>
    <w:rsid w:val="00D97958"/>
    <w:rsid w:val="00DA08BC"/>
    <w:rsid w:val="00DB078A"/>
    <w:rsid w:val="00DB23ED"/>
    <w:rsid w:val="00DB3B2B"/>
    <w:rsid w:val="00DC4378"/>
    <w:rsid w:val="00DC5062"/>
    <w:rsid w:val="00DC6ACA"/>
    <w:rsid w:val="00DD4EA9"/>
    <w:rsid w:val="00DD6B65"/>
    <w:rsid w:val="00DE04EB"/>
    <w:rsid w:val="00DE75CA"/>
    <w:rsid w:val="00DF53FE"/>
    <w:rsid w:val="00DF5AE5"/>
    <w:rsid w:val="00DF6E20"/>
    <w:rsid w:val="00E000E0"/>
    <w:rsid w:val="00E00537"/>
    <w:rsid w:val="00E01903"/>
    <w:rsid w:val="00E07CBE"/>
    <w:rsid w:val="00E102A5"/>
    <w:rsid w:val="00E13A44"/>
    <w:rsid w:val="00E16A50"/>
    <w:rsid w:val="00E22D8A"/>
    <w:rsid w:val="00E639AB"/>
    <w:rsid w:val="00E6518A"/>
    <w:rsid w:val="00E65B10"/>
    <w:rsid w:val="00E7557E"/>
    <w:rsid w:val="00E83D13"/>
    <w:rsid w:val="00E90061"/>
    <w:rsid w:val="00E94A67"/>
    <w:rsid w:val="00ED1D29"/>
    <w:rsid w:val="00EE4361"/>
    <w:rsid w:val="00EE4F83"/>
    <w:rsid w:val="00EE74EB"/>
    <w:rsid w:val="00EF0FD0"/>
    <w:rsid w:val="00EF1439"/>
    <w:rsid w:val="00EF26B8"/>
    <w:rsid w:val="00F006A9"/>
    <w:rsid w:val="00F0127D"/>
    <w:rsid w:val="00F01C16"/>
    <w:rsid w:val="00F050FA"/>
    <w:rsid w:val="00F066F9"/>
    <w:rsid w:val="00F10CC4"/>
    <w:rsid w:val="00F13B8C"/>
    <w:rsid w:val="00F24707"/>
    <w:rsid w:val="00F25850"/>
    <w:rsid w:val="00F27D9E"/>
    <w:rsid w:val="00F31A97"/>
    <w:rsid w:val="00F35815"/>
    <w:rsid w:val="00F377E9"/>
    <w:rsid w:val="00F3796E"/>
    <w:rsid w:val="00F40548"/>
    <w:rsid w:val="00F40AD7"/>
    <w:rsid w:val="00F4198A"/>
    <w:rsid w:val="00F62763"/>
    <w:rsid w:val="00F63345"/>
    <w:rsid w:val="00F7230B"/>
    <w:rsid w:val="00F729D1"/>
    <w:rsid w:val="00F839F5"/>
    <w:rsid w:val="00F85FD7"/>
    <w:rsid w:val="00FA2218"/>
    <w:rsid w:val="00FB2BA2"/>
    <w:rsid w:val="00FB3E29"/>
    <w:rsid w:val="00FB407D"/>
    <w:rsid w:val="00FB6282"/>
    <w:rsid w:val="00FB6B56"/>
    <w:rsid w:val="00FB7083"/>
    <w:rsid w:val="00FC5C33"/>
    <w:rsid w:val="00FD0142"/>
    <w:rsid w:val="00FD6F45"/>
    <w:rsid w:val="00FE3F2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2D9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B872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872E8"/>
    <w:rPr>
      <w:sz w:val="20"/>
      <w:szCs w:val="20"/>
    </w:rPr>
  </w:style>
  <w:style w:type="character" w:styleId="Voetnootmarkering">
    <w:name w:val="footnote reference"/>
    <w:basedOn w:val="Standaardalinea-lettertype"/>
    <w:uiPriority w:val="99"/>
    <w:semiHidden/>
    <w:unhideWhenUsed/>
    <w:rsid w:val="00B872E8"/>
    <w:rPr>
      <w:vertAlign w:val="superscript"/>
    </w:rPr>
  </w:style>
  <w:style w:type="paragraph" w:styleId="Ballontekst">
    <w:name w:val="Balloon Text"/>
    <w:basedOn w:val="Standaard"/>
    <w:link w:val="BallontekstChar"/>
    <w:uiPriority w:val="99"/>
    <w:semiHidden/>
    <w:unhideWhenUsed/>
    <w:rsid w:val="00800FD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0FDE"/>
    <w:rPr>
      <w:rFonts w:ascii="Tahoma" w:hAnsi="Tahoma" w:cs="Tahoma"/>
      <w:sz w:val="16"/>
      <w:szCs w:val="16"/>
    </w:rPr>
  </w:style>
  <w:style w:type="paragraph" w:styleId="Lijstalinea">
    <w:name w:val="List Paragraph"/>
    <w:basedOn w:val="Standaard"/>
    <w:uiPriority w:val="34"/>
    <w:qFormat/>
    <w:rsid w:val="00870996"/>
    <w:pPr>
      <w:ind w:left="720"/>
      <w:contextualSpacing/>
    </w:pPr>
  </w:style>
  <w:style w:type="paragraph" w:styleId="Bijschrift">
    <w:name w:val="caption"/>
    <w:basedOn w:val="Standaard"/>
    <w:next w:val="Standaard"/>
    <w:uiPriority w:val="35"/>
    <w:unhideWhenUsed/>
    <w:qFormat/>
    <w:rsid w:val="00283489"/>
    <w:pPr>
      <w:spacing w:line="240" w:lineRule="auto"/>
    </w:pPr>
    <w:rPr>
      <w:b/>
      <w:bCs/>
      <w:color w:val="4F81BD" w:themeColor="accent1"/>
      <w:sz w:val="18"/>
      <w:szCs w:val="18"/>
    </w:rPr>
  </w:style>
  <w:style w:type="paragraph" w:styleId="Bibliografie">
    <w:name w:val="Bibliography"/>
    <w:basedOn w:val="Standaard"/>
    <w:next w:val="Standaard"/>
    <w:uiPriority w:val="37"/>
    <w:unhideWhenUsed/>
    <w:rsid w:val="0003256E"/>
  </w:style>
  <w:style w:type="paragraph" w:styleId="Koptekst">
    <w:name w:val="header"/>
    <w:basedOn w:val="Standaard"/>
    <w:link w:val="KoptekstChar"/>
    <w:uiPriority w:val="99"/>
    <w:semiHidden/>
    <w:unhideWhenUsed/>
    <w:rsid w:val="000325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3256E"/>
  </w:style>
  <w:style w:type="paragraph" w:styleId="Voettekst">
    <w:name w:val="footer"/>
    <w:basedOn w:val="Standaard"/>
    <w:link w:val="VoettekstChar"/>
    <w:uiPriority w:val="99"/>
    <w:unhideWhenUsed/>
    <w:rsid w:val="000325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25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670697">
      <w:bodyDiv w:val="1"/>
      <w:marLeft w:val="0"/>
      <w:marRight w:val="0"/>
      <w:marTop w:val="0"/>
      <w:marBottom w:val="0"/>
      <w:divBdr>
        <w:top w:val="none" w:sz="0" w:space="0" w:color="auto"/>
        <w:left w:val="none" w:sz="0" w:space="0" w:color="auto"/>
        <w:bottom w:val="none" w:sz="0" w:space="0" w:color="auto"/>
        <w:right w:val="none" w:sz="0" w:space="0" w:color="auto"/>
      </w:divBdr>
    </w:div>
    <w:div w:id="965818755">
      <w:bodyDiv w:val="1"/>
      <w:marLeft w:val="0"/>
      <w:marRight w:val="0"/>
      <w:marTop w:val="0"/>
      <w:marBottom w:val="0"/>
      <w:divBdr>
        <w:top w:val="none" w:sz="0" w:space="0" w:color="auto"/>
        <w:left w:val="none" w:sz="0" w:space="0" w:color="auto"/>
        <w:bottom w:val="none" w:sz="0" w:space="0" w:color="auto"/>
        <w:right w:val="none" w:sz="0" w:space="0" w:color="auto"/>
      </w:divBdr>
    </w:div>
    <w:div w:id="971062144">
      <w:bodyDiv w:val="1"/>
      <w:marLeft w:val="0"/>
      <w:marRight w:val="0"/>
      <w:marTop w:val="0"/>
      <w:marBottom w:val="0"/>
      <w:divBdr>
        <w:top w:val="none" w:sz="0" w:space="0" w:color="auto"/>
        <w:left w:val="none" w:sz="0" w:space="0" w:color="auto"/>
        <w:bottom w:val="none" w:sz="0" w:space="0" w:color="auto"/>
        <w:right w:val="none" w:sz="0" w:space="0" w:color="auto"/>
      </w:divBdr>
    </w:div>
    <w:div w:id="1258710311">
      <w:bodyDiv w:val="1"/>
      <w:marLeft w:val="0"/>
      <w:marRight w:val="0"/>
      <w:marTop w:val="0"/>
      <w:marBottom w:val="0"/>
      <w:divBdr>
        <w:top w:val="none" w:sz="0" w:space="0" w:color="auto"/>
        <w:left w:val="none" w:sz="0" w:space="0" w:color="auto"/>
        <w:bottom w:val="none" w:sz="0" w:space="0" w:color="auto"/>
        <w:right w:val="none" w:sz="0" w:space="0" w:color="auto"/>
      </w:divBdr>
    </w:div>
    <w:div w:id="149201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oter" Target="footer1.xml"/><Relationship Id="rId30"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P%20van%20Heteren\Desktop\Bachelor%20Scriptie\Statistieken%20bachelor%20scriptie.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E:\Bachelor%20Scriptie\Statistieken%20bachelor%20scriptie.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E:\Bachelor%20Scriptie\Statistieken%20bachelor%20scriptie.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SP%20van%20Heteren\Desktop\Bachelor%20Scriptie\Statistieken%20bachelor%20scriptie.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Users\SP%20van%20Heteren\Desktop\Bachelor%20Scriptie\Statistieken%20bachelor%20scriptie.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E:\Bachelor%20Scriptie\Statistieken%20bachelor%20scriptie.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E:\Bachelor%20Scriptie\Statistieken%20bachelor%20scriptie.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C:\Users\SP%20van%20Heteren\Desktop\Bachelor%20Scriptie\Statistieken%20bachelor%20scriptie.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D:\Bachelor%20Scriptie\Statistieken%20bachelor%20scriptie.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D:\Bachelor%20Scriptie\Statistieken%20bachelor%20scriptie.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D:\Bachelor%20Scriptie\Statistieken%20bachelor%20scripti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SP%20van%20Heteren\Desktop\Bachelor%20Scriptie\Statistieken%20bachelor%20scriptie.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SP%20van%20Heteren\Desktop\Bachelor%20Scriptie\Statistieken%20bachelor%20scriptie.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SP%20van%20Heteren\Desktop\Bachelor%20Scriptie\Statistieken%20bachelor%20scriptie.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SP%20van%20Heteren\Desktop\Bachelor%20Scriptie\Statistieken%20bachelor%20scriptie.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SP%20van%20Heteren\Desktop\Bachelor%20Scriptie\Statistieken%20bachelor%20scriptie.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SP%20van%20Heteren\Desktop\Bachelor%20Scriptie\Statistieken%20bachelor%20scriptie.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SP%20van%20Heteren\Desktop\Bachelor%20Scriptie\Statistieken%20bachelor%20scriptie.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E:\Bachelor%20Scriptie\Statistieken%20bachelor%20scripti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lgn="l">
              <a:defRPr sz="1000"/>
            </a:pPr>
            <a:r>
              <a:rPr lang="nl-NL" sz="1000"/>
              <a:t/>
            </a:r>
            <a:br>
              <a:rPr lang="nl-NL" sz="1000"/>
            </a:br>
            <a:r>
              <a:rPr lang="nl-NL" sz="1000"/>
              <a:t/>
            </a:r>
            <a:br>
              <a:rPr lang="nl-NL" sz="1000"/>
            </a:br>
            <a:r>
              <a:rPr lang="nl-NL" sz="1000"/>
              <a:t>Figure 1: Public Debt as a % of GDP for the period 1999-2011</a:t>
            </a:r>
          </a:p>
          <a:p>
            <a:pPr algn="l">
              <a:defRPr sz="1000"/>
            </a:pPr>
            <a:r>
              <a:rPr lang="nl-NL" sz="1000"/>
              <a:t>Spain and Germany</a:t>
            </a:r>
          </a:p>
          <a:p>
            <a:pPr algn="l">
              <a:defRPr sz="1000"/>
            </a:pPr>
            <a:endParaRPr lang="nl-NL" sz="1000"/>
          </a:p>
        </c:rich>
      </c:tx>
      <c:layout>
        <c:manualLayout>
          <c:xMode val="edge"/>
          <c:yMode val="edge"/>
          <c:x val="4.1385165436997447E-2"/>
          <c:y val="1.5033489154411459E-4"/>
        </c:manualLayout>
      </c:layout>
    </c:title>
    <c:plotArea>
      <c:layout>
        <c:manualLayout>
          <c:layoutTarget val="inner"/>
          <c:xMode val="edge"/>
          <c:yMode val="edge"/>
          <c:x val="9.4765960377403438E-2"/>
          <c:y val="0.28906095913482016"/>
          <c:w val="0.70315542189879365"/>
          <c:h val="0.48333342352824482"/>
        </c:manualLayout>
      </c:layout>
      <c:lineChart>
        <c:grouping val="standard"/>
        <c:ser>
          <c:idx val="0"/>
          <c:order val="0"/>
          <c:tx>
            <c:v>Spain</c:v>
          </c:tx>
          <c:spPr>
            <a:ln w="41275" cmpd="dbl">
              <a:prstDash val="solid"/>
            </a:ln>
          </c:spPr>
          <c:marker>
            <c:symbol val="diamond"/>
            <c:size val="5"/>
            <c:spPr>
              <a:ln w="15875"/>
            </c:spPr>
          </c:marker>
          <c:cat>
            <c:numRef>
              <c:f>'Gov Debt %'!$K$21:$K$33</c:f>
              <c:numCache>
                <c:formatCode>General</c:formatCod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numCache>
            </c:numRef>
          </c:cat>
          <c:val>
            <c:numRef>
              <c:f>'Gov Debt %'!$L$21:$L$33</c:f>
              <c:numCache>
                <c:formatCode>0.00</c:formatCode>
                <c:ptCount val="13"/>
                <c:pt idx="0">
                  <c:v>0.624000000000003</c:v>
                </c:pt>
                <c:pt idx="1">
                  <c:v>0.59410000000000052</c:v>
                </c:pt>
                <c:pt idx="2">
                  <c:v>0.55600000000000005</c:v>
                </c:pt>
                <c:pt idx="3">
                  <c:v>0.52600000000000002</c:v>
                </c:pt>
                <c:pt idx="4">
                  <c:v>0.48800000000000032</c:v>
                </c:pt>
                <c:pt idx="5">
                  <c:v>0.46300000000000002</c:v>
                </c:pt>
                <c:pt idx="6">
                  <c:v>0.43200000000000038</c:v>
                </c:pt>
                <c:pt idx="7">
                  <c:v>0.39700000000000196</c:v>
                </c:pt>
                <c:pt idx="8">
                  <c:v>0.36300000000000032</c:v>
                </c:pt>
                <c:pt idx="9">
                  <c:v>0.40200000000000002</c:v>
                </c:pt>
                <c:pt idx="10">
                  <c:v>0.53900000000000003</c:v>
                </c:pt>
                <c:pt idx="11">
                  <c:v>0.61200000000000065</c:v>
                </c:pt>
                <c:pt idx="12">
                  <c:v>0.68500000000000283</c:v>
                </c:pt>
              </c:numCache>
            </c:numRef>
          </c:val>
        </c:ser>
        <c:ser>
          <c:idx val="1"/>
          <c:order val="1"/>
          <c:tx>
            <c:v>Germany</c:v>
          </c:tx>
          <c:spPr>
            <a:ln w="41275" cmpd="dbl">
              <a:prstDash val="solid"/>
            </a:ln>
          </c:spPr>
          <c:marker>
            <c:symbol val="square"/>
            <c:size val="5"/>
          </c:marker>
          <c:cat>
            <c:numRef>
              <c:f>'Gov Debt %'!$K$21:$K$33</c:f>
              <c:numCache>
                <c:formatCode>General</c:formatCod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numCache>
            </c:numRef>
          </c:cat>
          <c:val>
            <c:numRef>
              <c:f>'Gov Debt %'!$P$21:$P$33</c:f>
              <c:numCache>
                <c:formatCode>General</c:formatCode>
                <c:ptCount val="13"/>
                <c:pt idx="0">
                  <c:v>0.61300000000000165</c:v>
                </c:pt>
                <c:pt idx="1">
                  <c:v>0.60200000000000065</c:v>
                </c:pt>
                <c:pt idx="2">
                  <c:v>0.59100000000000052</c:v>
                </c:pt>
                <c:pt idx="3">
                  <c:v>0.60700000000000065</c:v>
                </c:pt>
                <c:pt idx="4">
                  <c:v>0.64400000000000335</c:v>
                </c:pt>
                <c:pt idx="5">
                  <c:v>0.66300000000000381</c:v>
                </c:pt>
                <c:pt idx="6">
                  <c:v>0.68600000000000272</c:v>
                </c:pt>
                <c:pt idx="7">
                  <c:v>0.68000000000000282</c:v>
                </c:pt>
                <c:pt idx="8">
                  <c:v>0.6520000000000038</c:v>
                </c:pt>
                <c:pt idx="9">
                  <c:v>0.66700000000000392</c:v>
                </c:pt>
                <c:pt idx="10">
                  <c:v>0.7440000000000031</c:v>
                </c:pt>
                <c:pt idx="11">
                  <c:v>0.83000000000000063</c:v>
                </c:pt>
                <c:pt idx="12">
                  <c:v>0.81200000000000061</c:v>
                </c:pt>
              </c:numCache>
            </c:numRef>
          </c:val>
        </c:ser>
        <c:marker val="1"/>
        <c:axId val="80852864"/>
        <c:axId val="80854400"/>
      </c:lineChart>
      <c:catAx>
        <c:axId val="80852864"/>
        <c:scaling>
          <c:orientation val="minMax"/>
        </c:scaling>
        <c:axPos val="b"/>
        <c:numFmt formatCode="General" sourceLinked="1"/>
        <c:minorTickMark val="out"/>
        <c:tickLblPos val="nextTo"/>
        <c:txPr>
          <a:bodyPr rot="-5400000" vert="horz"/>
          <a:lstStyle/>
          <a:p>
            <a:pPr>
              <a:defRPr/>
            </a:pPr>
            <a:endParaRPr lang="nl-NL"/>
          </a:p>
        </c:txPr>
        <c:crossAx val="80854400"/>
        <c:crosses val="autoZero"/>
        <c:auto val="1"/>
        <c:lblAlgn val="ctr"/>
        <c:lblOffset val="100"/>
      </c:catAx>
      <c:valAx>
        <c:axId val="80854400"/>
        <c:scaling>
          <c:orientation val="minMax"/>
        </c:scaling>
        <c:axPos val="l"/>
        <c:majorGridlines/>
        <c:numFmt formatCode="0%" sourceLinked="0"/>
        <c:tickLblPos val="nextTo"/>
        <c:spPr>
          <a:ln cap="sq">
            <a:bevel/>
          </a:ln>
        </c:spPr>
        <c:crossAx val="80852864"/>
        <c:crosses val="autoZero"/>
        <c:crossBetween val="midCat"/>
      </c:valAx>
      <c:spPr>
        <a:ln w="12700">
          <a:solidFill>
            <a:srgbClr val="0070C0"/>
          </a:solidFill>
        </a:ln>
      </c:spPr>
    </c:plotArea>
    <c:legend>
      <c:legendPos val="r"/>
      <c:layout>
        <c:manualLayout>
          <c:xMode val="edge"/>
          <c:yMode val="edge"/>
          <c:x val="0.79532221464442965"/>
          <c:y val="0.46074392689188126"/>
          <c:w val="0.18882840432347608"/>
          <c:h val="0.21784790283829997"/>
        </c:manualLayout>
      </c:layout>
    </c:legend>
    <c:plotVisOnly val="1"/>
    <c:dispBlanksAs val="gap"/>
  </c:chart>
  <c:spPr>
    <a:effectLst>
      <a:outerShdw blurRad="50800" dist="50800" dir="5400000" algn="ctr" rotWithShape="0">
        <a:srgbClr val="000000">
          <a:alpha val="80000"/>
        </a:srgbClr>
      </a:outerShdw>
    </a:effectLst>
  </c:spPr>
  <c:txPr>
    <a:bodyPr/>
    <a:lstStyle/>
    <a:p>
      <a:pPr>
        <a:defRPr>
          <a:latin typeface="Times New Roman" pitchFamily="18" charset="0"/>
          <a:cs typeface="Times New Roman" pitchFamily="18" charset="0"/>
        </a:defRPr>
      </a:pPr>
      <a:endParaRPr lang="nl-NL"/>
    </a:p>
  </c:txPr>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lgn="l">
              <a:defRPr/>
            </a:pPr>
            <a:r>
              <a:rPr lang="en-US" sz="1000">
                <a:latin typeface="Times New Roman" pitchFamily="18" charset="0"/>
                <a:cs typeface="Times New Roman" pitchFamily="18" charset="0"/>
              </a:rPr>
              <a:t>Figure 9: Trade Openess Spain 1995-2008 (X+M)/GDP</a:t>
            </a:r>
          </a:p>
        </c:rich>
      </c:tx>
    </c:title>
    <c:plotArea>
      <c:layout>
        <c:manualLayout>
          <c:layoutTarget val="inner"/>
          <c:xMode val="edge"/>
          <c:yMode val="edge"/>
          <c:x val="0.21951903188263405"/>
          <c:y val="0.28470579444008193"/>
          <c:w val="0.52551643479797905"/>
          <c:h val="0.45969872642665383"/>
        </c:manualLayout>
      </c:layout>
      <c:lineChart>
        <c:grouping val="standard"/>
        <c:ser>
          <c:idx val="1"/>
          <c:order val="0"/>
          <c:tx>
            <c:v>Trade Openess (X+M)/GDP</c:v>
          </c:tx>
          <c:spPr>
            <a:ln cmpd="dbl"/>
          </c:spPr>
          <c:marker>
            <c:symbol val="square"/>
            <c:size val="5"/>
          </c:marker>
          <c:cat>
            <c:numRef>
              <c:f>'Trade openness'!$R$4:$R$17</c:f>
              <c:numCache>
                <c:formatCode>General</c:formatCode>
                <c:ptCount val="1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numCache>
            </c:numRef>
          </c:cat>
          <c:val>
            <c:numRef>
              <c:f>'Trade openness'!$V$4:$V$17</c:f>
              <c:numCache>
                <c:formatCode>General</c:formatCode>
                <c:ptCount val="14"/>
                <c:pt idx="0">
                  <c:v>0.50728413788379423</c:v>
                </c:pt>
                <c:pt idx="1">
                  <c:v>0.53078193272791552</c:v>
                </c:pt>
                <c:pt idx="2">
                  <c:v>0.58572363135679895</c:v>
                </c:pt>
                <c:pt idx="3">
                  <c:v>0.60544692074104856</c:v>
                </c:pt>
                <c:pt idx="4">
                  <c:v>0.61826656060449192</c:v>
                </c:pt>
                <c:pt idx="5">
                  <c:v>0.68735739054291256</c:v>
                </c:pt>
                <c:pt idx="6">
                  <c:v>0.67691715245983852</c:v>
                </c:pt>
                <c:pt idx="7">
                  <c:v>0.64497968618681134</c:v>
                </c:pt>
                <c:pt idx="8">
                  <c:v>0.62186885576474393</c:v>
                </c:pt>
                <c:pt idx="9">
                  <c:v>0.63693348707938324</c:v>
                </c:pt>
                <c:pt idx="10">
                  <c:v>0.65467020450093183</c:v>
                </c:pt>
                <c:pt idx="11">
                  <c:v>0.70979437732281503</c:v>
                </c:pt>
                <c:pt idx="12">
                  <c:v>0.74827578562183661</c:v>
                </c:pt>
                <c:pt idx="13">
                  <c:v>0.7239132876839327</c:v>
                </c:pt>
              </c:numCache>
            </c:numRef>
          </c:val>
        </c:ser>
        <c:marker val="1"/>
        <c:axId val="115951488"/>
        <c:axId val="115953024"/>
      </c:lineChart>
      <c:catAx>
        <c:axId val="115951488"/>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nl-NL"/>
          </a:p>
        </c:txPr>
        <c:crossAx val="115953024"/>
        <c:crosses val="autoZero"/>
        <c:auto val="1"/>
        <c:lblAlgn val="ctr"/>
        <c:lblOffset val="100"/>
      </c:catAx>
      <c:valAx>
        <c:axId val="115953024"/>
        <c:scaling>
          <c:orientation val="minMax"/>
          <c:min val="0.5"/>
        </c:scaling>
        <c:axPos val="l"/>
        <c:majorGridlines/>
        <c:numFmt formatCode="0%" sourceLinked="0"/>
        <c:tickLblPos val="nextTo"/>
        <c:txPr>
          <a:bodyPr/>
          <a:lstStyle/>
          <a:p>
            <a:pPr>
              <a:defRPr>
                <a:latin typeface="Times New Roman" pitchFamily="18" charset="0"/>
                <a:cs typeface="Times New Roman" pitchFamily="18" charset="0"/>
              </a:defRPr>
            </a:pPr>
            <a:endParaRPr lang="nl-NL"/>
          </a:p>
        </c:txPr>
        <c:crossAx val="115951488"/>
        <c:crosses val="autoZero"/>
        <c:crossBetween val="between"/>
      </c:valAx>
    </c:plotArea>
    <c:legend>
      <c:legendPos val="r"/>
      <c:layout>
        <c:manualLayout>
          <c:xMode val="edge"/>
          <c:yMode val="edge"/>
          <c:x val="0.66276220145379294"/>
          <c:y val="0.50650421328912865"/>
          <c:w val="0.33723779854620978"/>
          <c:h val="0.16227144187621761"/>
        </c:manualLayout>
      </c:layout>
      <c:txPr>
        <a:bodyPr/>
        <a:lstStyle/>
        <a:p>
          <a:pPr>
            <a:defRPr>
              <a:latin typeface="Times New Roman" pitchFamily="18" charset="0"/>
              <a:cs typeface="Times New Roman" pitchFamily="18" charset="0"/>
            </a:defRPr>
          </a:pPr>
          <a:endParaRPr lang="nl-NL"/>
        </a:p>
      </c:txPr>
    </c:legend>
    <c:plotVisOnly val="1"/>
  </c:chart>
  <c:spPr>
    <a:effectLst>
      <a:outerShdw blurRad="50800" dist="50800" dir="5400000" algn="ctr" rotWithShape="0">
        <a:srgbClr val="000000">
          <a:alpha val="80000"/>
        </a:srgbClr>
      </a:outerShdw>
    </a:effectLst>
  </c:spPr>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0.1202533893789597"/>
          <c:y val="0.32116397215054276"/>
          <c:w val="0.6372475940507436"/>
          <c:h val="0.44844129777895408"/>
        </c:manualLayout>
      </c:layout>
      <c:lineChart>
        <c:grouping val="standard"/>
        <c:ser>
          <c:idx val="1"/>
          <c:order val="0"/>
          <c:tx>
            <c:v>Spain CPI</c:v>
          </c:tx>
          <c:spPr>
            <a:ln cmpd="dbl"/>
          </c:spPr>
          <c:marker>
            <c:symbol val="square"/>
            <c:size val="5"/>
          </c:marker>
          <c:cat>
            <c:numRef>
              <c:f>'[Statistieken bachelor scriptie.xlsx]CPI (2005=100)'!$B$7:$B$16</c:f>
              <c:numCache>
                <c:formatCode>General</c:formatCode>
                <c:ptCount val="10"/>
                <c:pt idx="0">
                  <c:v>1999</c:v>
                </c:pt>
                <c:pt idx="1">
                  <c:v>2000</c:v>
                </c:pt>
                <c:pt idx="2">
                  <c:v>2001</c:v>
                </c:pt>
                <c:pt idx="3">
                  <c:v>2002</c:v>
                </c:pt>
                <c:pt idx="4">
                  <c:v>2003</c:v>
                </c:pt>
                <c:pt idx="5">
                  <c:v>2004</c:v>
                </c:pt>
                <c:pt idx="6">
                  <c:v>2005</c:v>
                </c:pt>
                <c:pt idx="7">
                  <c:v>2006</c:v>
                </c:pt>
                <c:pt idx="8">
                  <c:v>2007</c:v>
                </c:pt>
                <c:pt idx="9">
                  <c:v>2008</c:v>
                </c:pt>
              </c:numCache>
            </c:numRef>
          </c:cat>
          <c:val>
            <c:numRef>
              <c:f>'[Statistieken bachelor scriptie.xlsx]CPI (2005=100)'!$C$7:$C$16</c:f>
              <c:numCache>
                <c:formatCode>General</c:formatCode>
                <c:ptCount val="10"/>
                <c:pt idx="0">
                  <c:v>82.510157677231703</c:v>
                </c:pt>
                <c:pt idx="1">
                  <c:v>85.342413131901779</c:v>
                </c:pt>
                <c:pt idx="2">
                  <c:v>88.407145277180405</c:v>
                </c:pt>
                <c:pt idx="3">
                  <c:v>91.118395514341188</c:v>
                </c:pt>
                <c:pt idx="4">
                  <c:v>93.888289842570558</c:v>
                </c:pt>
                <c:pt idx="5">
                  <c:v>96.740133707138227</c:v>
                </c:pt>
                <c:pt idx="6">
                  <c:v>100</c:v>
                </c:pt>
                <c:pt idx="7">
                  <c:v>103.51580473658761</c:v>
                </c:pt>
                <c:pt idx="8">
                  <c:v>106.40048332527839</c:v>
                </c:pt>
                <c:pt idx="9">
                  <c:v>110.73707104881602</c:v>
                </c:pt>
              </c:numCache>
            </c:numRef>
          </c:val>
        </c:ser>
        <c:ser>
          <c:idx val="2"/>
          <c:order val="1"/>
          <c:tx>
            <c:strRef>
              <c:f>'[Statistieken bachelor scriptie.xlsx]CPI (2005=100)'!$D$2</c:f>
              <c:strCache>
                <c:ptCount val="1"/>
                <c:pt idx="0">
                  <c:v>Germany CPI</c:v>
                </c:pt>
              </c:strCache>
            </c:strRef>
          </c:tx>
          <c:spPr>
            <a:ln cmpd="dbl"/>
          </c:spPr>
          <c:marker>
            <c:symbol val="triangle"/>
            <c:size val="5"/>
          </c:marker>
          <c:cat>
            <c:numRef>
              <c:f>'[Statistieken bachelor scriptie.xlsx]CPI (2005=100)'!$B$7:$B$16</c:f>
              <c:numCache>
                <c:formatCode>General</c:formatCode>
                <c:ptCount val="10"/>
                <c:pt idx="0">
                  <c:v>1999</c:v>
                </c:pt>
                <c:pt idx="1">
                  <c:v>2000</c:v>
                </c:pt>
                <c:pt idx="2">
                  <c:v>2001</c:v>
                </c:pt>
                <c:pt idx="3">
                  <c:v>2002</c:v>
                </c:pt>
                <c:pt idx="4">
                  <c:v>2003</c:v>
                </c:pt>
                <c:pt idx="5">
                  <c:v>2004</c:v>
                </c:pt>
                <c:pt idx="6">
                  <c:v>2005</c:v>
                </c:pt>
                <c:pt idx="7">
                  <c:v>2006</c:v>
                </c:pt>
                <c:pt idx="8">
                  <c:v>2007</c:v>
                </c:pt>
                <c:pt idx="9">
                  <c:v>2008</c:v>
                </c:pt>
              </c:numCache>
            </c:numRef>
          </c:cat>
          <c:val>
            <c:numRef>
              <c:f>'[Statistieken bachelor scriptie.xlsx]CPI (2005=100)'!$D$7:$D$16</c:f>
              <c:numCache>
                <c:formatCode>General</c:formatCode>
                <c:ptCount val="10"/>
                <c:pt idx="0">
                  <c:v>91.347637500000005</c:v>
                </c:pt>
                <c:pt idx="1">
                  <c:v>92.691666666666706</c:v>
                </c:pt>
                <c:pt idx="2">
                  <c:v>94.524999999999991</c:v>
                </c:pt>
                <c:pt idx="3">
                  <c:v>95.85</c:v>
                </c:pt>
                <c:pt idx="4">
                  <c:v>96.85</c:v>
                </c:pt>
                <c:pt idx="5">
                  <c:v>98.466666666666697</c:v>
                </c:pt>
                <c:pt idx="6">
                  <c:v>100</c:v>
                </c:pt>
                <c:pt idx="7">
                  <c:v>101.57499999999999</c:v>
                </c:pt>
                <c:pt idx="8">
                  <c:v>103.9</c:v>
                </c:pt>
                <c:pt idx="9">
                  <c:v>106.63333333333264</c:v>
                </c:pt>
              </c:numCache>
            </c:numRef>
          </c:val>
        </c:ser>
        <c:marker val="1"/>
        <c:axId val="93672192"/>
        <c:axId val="93673728"/>
      </c:lineChart>
      <c:dateAx>
        <c:axId val="93672192"/>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nl-NL"/>
          </a:p>
        </c:txPr>
        <c:crossAx val="93673728"/>
        <c:crosses val="autoZero"/>
        <c:lblOffset val="100"/>
        <c:baseTimeUnit val="days"/>
      </c:dateAx>
      <c:valAx>
        <c:axId val="93673728"/>
        <c:scaling>
          <c:orientation val="minMax"/>
          <c:min val="70"/>
        </c:scaling>
        <c:axPos val="l"/>
        <c:majorGridlines/>
        <c:numFmt formatCode="General" sourceLinked="1"/>
        <c:tickLblPos val="nextTo"/>
        <c:txPr>
          <a:bodyPr/>
          <a:lstStyle/>
          <a:p>
            <a:pPr>
              <a:defRPr>
                <a:latin typeface="Times New Roman" pitchFamily="18" charset="0"/>
                <a:cs typeface="Times New Roman" pitchFamily="18" charset="0"/>
              </a:defRPr>
            </a:pPr>
            <a:endParaRPr lang="nl-NL"/>
          </a:p>
        </c:txPr>
        <c:crossAx val="93672192"/>
        <c:crosses val="autoZero"/>
        <c:crossBetween val="midCat"/>
        <c:majorUnit val="5"/>
      </c:valAx>
    </c:plotArea>
    <c:legend>
      <c:legendPos val="r"/>
      <c:layout>
        <c:manualLayout>
          <c:xMode val="edge"/>
          <c:yMode val="edge"/>
          <c:x val="0.64716342036192831"/>
          <c:y val="0.51290361118653272"/>
          <c:w val="0.34552845528455611"/>
          <c:h val="0.23246375237578071"/>
        </c:manualLayout>
      </c:layout>
      <c:txPr>
        <a:bodyPr/>
        <a:lstStyle/>
        <a:p>
          <a:pPr>
            <a:defRPr>
              <a:latin typeface="Times New Roman" pitchFamily="18" charset="0"/>
              <a:cs typeface="Times New Roman" pitchFamily="18" charset="0"/>
            </a:defRPr>
          </a:pPr>
          <a:endParaRPr lang="nl-NL"/>
        </a:p>
      </c:txPr>
    </c:legend>
    <c:plotVisOnly val="1"/>
  </c:chart>
  <c:spPr>
    <a:effectLst>
      <a:outerShdw blurRad="50800" dist="50800" dir="5400000" algn="ctr" rotWithShape="0">
        <a:srgbClr val="000000">
          <a:alpha val="80000"/>
        </a:srgbClr>
      </a:outerShdw>
    </a:effectLst>
  </c:spPr>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0.13764416707826879"/>
          <c:y val="0.23677681701479114"/>
          <c:w val="0.6089136019264525"/>
          <c:h val="0.59946924622386466"/>
        </c:manualLayout>
      </c:layout>
      <c:lineChart>
        <c:grouping val="standard"/>
        <c:ser>
          <c:idx val="0"/>
          <c:order val="0"/>
          <c:tx>
            <c:v>Spain Labor Productivity</c:v>
          </c:tx>
          <c:marker>
            <c:symbol val="triangle"/>
            <c:size val="7"/>
          </c:marker>
          <c:cat>
            <c:numRef>
              <c:f>'Labour productivity'!$B$23:$B$29</c:f>
              <c:numCache>
                <c:formatCode>General</c:formatCode>
                <c:ptCount val="7"/>
                <c:pt idx="0">
                  <c:v>2002</c:v>
                </c:pt>
                <c:pt idx="1">
                  <c:v>2003</c:v>
                </c:pt>
                <c:pt idx="2">
                  <c:v>2004</c:v>
                </c:pt>
                <c:pt idx="3">
                  <c:v>2005</c:v>
                </c:pt>
                <c:pt idx="4">
                  <c:v>2006</c:v>
                </c:pt>
                <c:pt idx="5">
                  <c:v>2007</c:v>
                </c:pt>
                <c:pt idx="6">
                  <c:v>2008</c:v>
                </c:pt>
              </c:numCache>
            </c:numRef>
          </c:cat>
          <c:val>
            <c:numRef>
              <c:f>'Labour productivity'!$J$7:$J$13</c:f>
              <c:numCache>
                <c:formatCode>0.0</c:formatCode>
                <c:ptCount val="7"/>
                <c:pt idx="0">
                  <c:v>100</c:v>
                </c:pt>
                <c:pt idx="1">
                  <c:v>102.47962165578448</c:v>
                </c:pt>
                <c:pt idx="2">
                  <c:v>104.41957146516079</c:v>
                </c:pt>
                <c:pt idx="3">
                  <c:v>106.44827606059239</c:v>
                </c:pt>
                <c:pt idx="4">
                  <c:v>108.51996633804617</c:v>
                </c:pt>
                <c:pt idx="5">
                  <c:v>110.92142521759114</c:v>
                </c:pt>
                <c:pt idx="6">
                  <c:v>109.30582642317867</c:v>
                </c:pt>
              </c:numCache>
            </c:numRef>
          </c:val>
        </c:ser>
        <c:ser>
          <c:idx val="1"/>
          <c:order val="1"/>
          <c:tx>
            <c:v>Germany Labor Productivity</c:v>
          </c:tx>
          <c:marker>
            <c:symbol val="square"/>
            <c:size val="7"/>
          </c:marker>
          <c:cat>
            <c:numRef>
              <c:f>'Labour productivity'!$B$23:$B$29</c:f>
              <c:numCache>
                <c:formatCode>General</c:formatCode>
                <c:ptCount val="7"/>
                <c:pt idx="0">
                  <c:v>2002</c:v>
                </c:pt>
                <c:pt idx="1">
                  <c:v>2003</c:v>
                </c:pt>
                <c:pt idx="2">
                  <c:v>2004</c:v>
                </c:pt>
                <c:pt idx="3">
                  <c:v>2005</c:v>
                </c:pt>
                <c:pt idx="4">
                  <c:v>2006</c:v>
                </c:pt>
                <c:pt idx="5">
                  <c:v>2007</c:v>
                </c:pt>
                <c:pt idx="6">
                  <c:v>2008</c:v>
                </c:pt>
              </c:numCache>
            </c:numRef>
          </c:cat>
          <c:val>
            <c:numRef>
              <c:f>'Labour productivity'!$K$7:$K$13</c:f>
              <c:numCache>
                <c:formatCode>0.0</c:formatCode>
                <c:ptCount val="7"/>
                <c:pt idx="0">
                  <c:v>100</c:v>
                </c:pt>
                <c:pt idx="1">
                  <c:v>103.55314678163749</c:v>
                </c:pt>
                <c:pt idx="2">
                  <c:v>107.45054458806302</c:v>
                </c:pt>
                <c:pt idx="3">
                  <c:v>112.10737614008634</c:v>
                </c:pt>
                <c:pt idx="4">
                  <c:v>121.46078651378765</c:v>
                </c:pt>
                <c:pt idx="5">
                  <c:v>124.79812054121473</c:v>
                </c:pt>
                <c:pt idx="6">
                  <c:v>119.07746656687975</c:v>
                </c:pt>
              </c:numCache>
            </c:numRef>
          </c:val>
        </c:ser>
        <c:marker val="1"/>
        <c:axId val="93831168"/>
        <c:axId val="93833088"/>
      </c:lineChart>
      <c:lineChart>
        <c:grouping val="standard"/>
        <c:ser>
          <c:idx val="2"/>
          <c:order val="2"/>
          <c:tx>
            <c:v>Spain Labor Compensation</c:v>
          </c:tx>
          <c:spPr>
            <a:ln cmpd="dbl"/>
            <a:effectLst>
              <a:outerShdw blurRad="50800" dist="50800" dir="5400000" algn="ctr" rotWithShape="0">
                <a:srgbClr val="000000">
                  <a:alpha val="30000"/>
                </a:srgbClr>
              </a:outerShdw>
            </a:effectLst>
          </c:spPr>
          <c:marker>
            <c:symbol val="triangle"/>
            <c:size val="7"/>
            <c:spPr>
              <a:effectLst>
                <a:outerShdw blurRad="50800" dist="50800" dir="5400000" algn="ctr" rotWithShape="0">
                  <a:srgbClr val="000000">
                    <a:alpha val="30000"/>
                  </a:srgbClr>
                </a:outerShdw>
              </a:effectLst>
            </c:spPr>
          </c:marker>
          <c:cat>
            <c:numRef>
              <c:f>'Labour productivity'!$B$20:$B$29</c:f>
              <c:numCache>
                <c:formatCode>General</c:formatCode>
                <c:ptCount val="10"/>
                <c:pt idx="0">
                  <c:v>1999</c:v>
                </c:pt>
                <c:pt idx="1">
                  <c:v>2000</c:v>
                </c:pt>
                <c:pt idx="2">
                  <c:v>2001</c:v>
                </c:pt>
                <c:pt idx="3">
                  <c:v>2002</c:v>
                </c:pt>
                <c:pt idx="4">
                  <c:v>2003</c:v>
                </c:pt>
                <c:pt idx="5">
                  <c:v>2004</c:v>
                </c:pt>
                <c:pt idx="6">
                  <c:v>2005</c:v>
                </c:pt>
                <c:pt idx="7">
                  <c:v>2006</c:v>
                </c:pt>
                <c:pt idx="8">
                  <c:v>2007</c:v>
                </c:pt>
                <c:pt idx="9">
                  <c:v>2008</c:v>
                </c:pt>
              </c:numCache>
            </c:numRef>
          </c:cat>
          <c:val>
            <c:numRef>
              <c:f>'Labour productivity'!$C$23:$C$29</c:f>
              <c:numCache>
                <c:formatCode>0.0</c:formatCode>
                <c:ptCount val="7"/>
                <c:pt idx="0">
                  <c:v>100</c:v>
                </c:pt>
                <c:pt idx="1">
                  <c:v>103.76707595646575</c:v>
                </c:pt>
                <c:pt idx="2">
                  <c:v>106.11636608920574</c:v>
                </c:pt>
                <c:pt idx="3">
                  <c:v>110.31494695760844</c:v>
                </c:pt>
                <c:pt idx="4">
                  <c:v>115.52518028022855</c:v>
                </c:pt>
                <c:pt idx="5">
                  <c:v>120.77377690507139</c:v>
                </c:pt>
                <c:pt idx="6">
                  <c:v>125.64655306658803</c:v>
                </c:pt>
              </c:numCache>
            </c:numRef>
          </c:val>
        </c:ser>
        <c:ser>
          <c:idx val="3"/>
          <c:order val="3"/>
          <c:tx>
            <c:v>Germany Labor Compensation</c:v>
          </c:tx>
          <c:spPr>
            <a:ln cmpd="dbl"/>
            <a:effectLst>
              <a:outerShdw blurRad="50800" dist="50800" dir="5400000" algn="ctr" rotWithShape="0">
                <a:srgbClr val="000000">
                  <a:alpha val="30000"/>
                </a:srgbClr>
              </a:outerShdw>
            </a:effectLst>
          </c:spPr>
          <c:marker>
            <c:symbol val="square"/>
            <c:size val="7"/>
            <c:spPr>
              <a:effectLst>
                <a:outerShdw blurRad="50800" dist="50800" dir="5400000" algn="ctr" rotWithShape="0">
                  <a:srgbClr val="000000">
                    <a:alpha val="30000"/>
                  </a:srgbClr>
                </a:outerShdw>
              </a:effectLst>
            </c:spPr>
          </c:marker>
          <c:cat>
            <c:numRef>
              <c:f>'Labour productivity'!$B$20:$B$29</c:f>
              <c:numCache>
                <c:formatCode>General</c:formatCode>
                <c:ptCount val="10"/>
                <c:pt idx="0">
                  <c:v>1999</c:v>
                </c:pt>
                <c:pt idx="1">
                  <c:v>2000</c:v>
                </c:pt>
                <c:pt idx="2">
                  <c:v>2001</c:v>
                </c:pt>
                <c:pt idx="3">
                  <c:v>2002</c:v>
                </c:pt>
                <c:pt idx="4">
                  <c:v>2003</c:v>
                </c:pt>
                <c:pt idx="5">
                  <c:v>2004</c:v>
                </c:pt>
                <c:pt idx="6">
                  <c:v>2005</c:v>
                </c:pt>
                <c:pt idx="7">
                  <c:v>2006</c:v>
                </c:pt>
                <c:pt idx="8">
                  <c:v>2007</c:v>
                </c:pt>
                <c:pt idx="9">
                  <c:v>2008</c:v>
                </c:pt>
              </c:numCache>
            </c:numRef>
          </c:cat>
          <c:val>
            <c:numRef>
              <c:f>'Labour productivity'!$D$23:$D$29</c:f>
              <c:numCache>
                <c:formatCode>0.0</c:formatCode>
                <c:ptCount val="7"/>
                <c:pt idx="0">
                  <c:v>100</c:v>
                </c:pt>
                <c:pt idx="1">
                  <c:v>99.427675749410227</c:v>
                </c:pt>
                <c:pt idx="2">
                  <c:v>99.801763821090162</c:v>
                </c:pt>
                <c:pt idx="3">
                  <c:v>98.881106628225467</c:v>
                </c:pt>
                <c:pt idx="4">
                  <c:v>101.81768178273474</c:v>
                </c:pt>
                <c:pt idx="5">
                  <c:v>103.84607936917126</c:v>
                </c:pt>
                <c:pt idx="6">
                  <c:v>107.25316610021156</c:v>
                </c:pt>
              </c:numCache>
            </c:numRef>
          </c:val>
        </c:ser>
        <c:marker val="1"/>
        <c:axId val="93836416"/>
        <c:axId val="93834624"/>
      </c:lineChart>
      <c:dateAx>
        <c:axId val="93831168"/>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nl-NL"/>
          </a:p>
        </c:txPr>
        <c:crossAx val="93833088"/>
        <c:crosses val="autoZero"/>
        <c:lblOffset val="100"/>
        <c:baseTimeUnit val="days"/>
      </c:dateAx>
      <c:valAx>
        <c:axId val="93833088"/>
        <c:scaling>
          <c:orientation val="minMax"/>
          <c:min val="95"/>
        </c:scaling>
        <c:axPos val="l"/>
        <c:majorGridlines/>
        <c:numFmt formatCode="0" sourceLinked="0"/>
        <c:tickLblPos val="nextTo"/>
        <c:crossAx val="93831168"/>
        <c:crosses val="autoZero"/>
        <c:crossBetween val="midCat"/>
        <c:majorUnit val="5"/>
      </c:valAx>
      <c:valAx>
        <c:axId val="93834624"/>
        <c:scaling>
          <c:orientation val="minMax"/>
          <c:min val="80"/>
        </c:scaling>
        <c:delete val="1"/>
        <c:axPos val="r"/>
        <c:numFmt formatCode="0.0" sourceLinked="1"/>
        <c:tickLblPos val="none"/>
        <c:crossAx val="93836416"/>
        <c:crosses val="max"/>
        <c:crossBetween val="between"/>
      </c:valAx>
      <c:catAx>
        <c:axId val="93836416"/>
        <c:scaling>
          <c:orientation val="minMax"/>
        </c:scaling>
        <c:delete val="1"/>
        <c:axPos val="b"/>
        <c:numFmt formatCode="General" sourceLinked="1"/>
        <c:tickLblPos val="none"/>
        <c:crossAx val="93834624"/>
        <c:crosses val="autoZero"/>
        <c:auto val="1"/>
        <c:lblAlgn val="ctr"/>
        <c:lblOffset val="100"/>
      </c:catAx>
    </c:plotArea>
    <c:legend>
      <c:legendPos val="r"/>
      <c:layout>
        <c:manualLayout>
          <c:xMode val="edge"/>
          <c:yMode val="edge"/>
          <c:x val="0.78458872873448959"/>
          <c:y val="0.26034831721984308"/>
          <c:w val="0.21441651188950259"/>
          <c:h val="0.50624539021229942"/>
        </c:manualLayout>
      </c:layout>
      <c:txPr>
        <a:bodyPr/>
        <a:lstStyle/>
        <a:p>
          <a:pPr>
            <a:defRPr>
              <a:latin typeface="Times New Roman" pitchFamily="18" charset="0"/>
              <a:cs typeface="Times New Roman" pitchFamily="18" charset="0"/>
            </a:defRPr>
          </a:pPr>
          <a:endParaRPr lang="nl-NL"/>
        </a:p>
      </c:txPr>
    </c:legend>
    <c:plotVisOnly val="1"/>
  </c:chart>
  <c:spPr>
    <a:effectLst>
      <a:outerShdw blurRad="50800" dist="50800" dir="5400000" algn="ctr" rotWithShape="0">
        <a:srgbClr val="000000">
          <a:alpha val="80000"/>
        </a:srgbClr>
      </a:outerShdw>
    </a:effectLst>
  </c:spPr>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9.322038193501718E-2"/>
          <c:y val="0.19913832429617184"/>
          <c:w val="0.65321237757901662"/>
          <c:h val="0.5902670989655705"/>
        </c:manualLayout>
      </c:layout>
      <c:lineChart>
        <c:grouping val="standard"/>
        <c:ser>
          <c:idx val="0"/>
          <c:order val="0"/>
          <c:tx>
            <c:v>Germany</c:v>
          </c:tx>
          <c:spPr>
            <a:ln cmpd="dbl"/>
          </c:spPr>
          <c:marker>
            <c:symbol val="triangle"/>
            <c:size val="8"/>
          </c:marker>
          <c:cat>
            <c:strRef>
              <c:f>'Domestic Demand'!$C$12:$I$12</c:f>
              <c:strCache>
                <c:ptCount val="7"/>
                <c:pt idx="0">
                  <c:v>2002</c:v>
                </c:pt>
                <c:pt idx="1">
                  <c:v>2003</c:v>
                </c:pt>
                <c:pt idx="2">
                  <c:v>2004</c:v>
                </c:pt>
                <c:pt idx="3">
                  <c:v>2005</c:v>
                </c:pt>
                <c:pt idx="4">
                  <c:v>2006</c:v>
                </c:pt>
                <c:pt idx="5">
                  <c:v>2007</c:v>
                </c:pt>
                <c:pt idx="6">
                  <c:v>2008</c:v>
                </c:pt>
              </c:strCache>
            </c:strRef>
          </c:cat>
          <c:val>
            <c:numRef>
              <c:f>'Domestic Demand'!$C$13:$I$13</c:f>
              <c:numCache>
                <c:formatCode>#,##0.0</c:formatCode>
                <c:ptCount val="7"/>
                <c:pt idx="0">
                  <c:v>95.5</c:v>
                </c:pt>
                <c:pt idx="1">
                  <c:v>96.1</c:v>
                </c:pt>
                <c:pt idx="2">
                  <c:v>95</c:v>
                </c:pt>
                <c:pt idx="3">
                  <c:v>94.8</c:v>
                </c:pt>
                <c:pt idx="4">
                  <c:v>94.4</c:v>
                </c:pt>
                <c:pt idx="5">
                  <c:v>93</c:v>
                </c:pt>
                <c:pt idx="6">
                  <c:v>93.8</c:v>
                </c:pt>
              </c:numCache>
            </c:numRef>
          </c:val>
        </c:ser>
        <c:ser>
          <c:idx val="1"/>
          <c:order val="1"/>
          <c:tx>
            <c:v>Spain</c:v>
          </c:tx>
          <c:spPr>
            <a:ln cmpd="dbl"/>
          </c:spPr>
          <c:marker>
            <c:symbol val="square"/>
            <c:size val="5"/>
          </c:marker>
          <c:cat>
            <c:strRef>
              <c:f>'Domestic Demand'!$C$12:$I$12</c:f>
              <c:strCache>
                <c:ptCount val="7"/>
                <c:pt idx="0">
                  <c:v>2002</c:v>
                </c:pt>
                <c:pt idx="1">
                  <c:v>2003</c:v>
                </c:pt>
                <c:pt idx="2">
                  <c:v>2004</c:v>
                </c:pt>
                <c:pt idx="3">
                  <c:v>2005</c:v>
                </c:pt>
                <c:pt idx="4">
                  <c:v>2006</c:v>
                </c:pt>
                <c:pt idx="5">
                  <c:v>2007</c:v>
                </c:pt>
                <c:pt idx="6">
                  <c:v>2008</c:v>
                </c:pt>
              </c:strCache>
            </c:strRef>
          </c:cat>
          <c:val>
            <c:numRef>
              <c:f>'Domestic Demand'!$C$14:$I$14</c:f>
              <c:numCache>
                <c:formatCode>#,##0.0</c:formatCode>
                <c:ptCount val="7"/>
                <c:pt idx="0">
                  <c:v>102.1</c:v>
                </c:pt>
                <c:pt idx="1">
                  <c:v>102.4</c:v>
                </c:pt>
                <c:pt idx="2">
                  <c:v>104</c:v>
                </c:pt>
                <c:pt idx="3">
                  <c:v>105.3</c:v>
                </c:pt>
                <c:pt idx="4">
                  <c:v>106.4</c:v>
                </c:pt>
                <c:pt idx="5">
                  <c:v>106.7</c:v>
                </c:pt>
                <c:pt idx="6">
                  <c:v>105.8</c:v>
                </c:pt>
              </c:numCache>
            </c:numRef>
          </c:val>
        </c:ser>
        <c:marker val="1"/>
        <c:axId val="94897664"/>
        <c:axId val="94899200"/>
      </c:lineChart>
      <c:catAx>
        <c:axId val="94897664"/>
        <c:scaling>
          <c:orientation val="minMax"/>
        </c:scaling>
        <c:axPos val="b"/>
        <c:tickLblPos val="nextTo"/>
        <c:txPr>
          <a:bodyPr/>
          <a:lstStyle/>
          <a:p>
            <a:pPr>
              <a:defRPr>
                <a:latin typeface="Times New Roman" pitchFamily="18" charset="0"/>
                <a:cs typeface="Times New Roman" pitchFamily="18" charset="0"/>
              </a:defRPr>
            </a:pPr>
            <a:endParaRPr lang="nl-NL"/>
          </a:p>
        </c:txPr>
        <c:crossAx val="94899200"/>
        <c:crosses val="autoZero"/>
        <c:auto val="1"/>
        <c:lblAlgn val="ctr"/>
        <c:lblOffset val="100"/>
      </c:catAx>
      <c:valAx>
        <c:axId val="94899200"/>
        <c:scaling>
          <c:orientation val="minMax"/>
          <c:min val="90"/>
        </c:scaling>
        <c:axPos val="l"/>
        <c:majorGridlines/>
        <c:numFmt formatCode="0" sourceLinked="0"/>
        <c:tickLblPos val="nextTo"/>
        <c:txPr>
          <a:bodyPr/>
          <a:lstStyle/>
          <a:p>
            <a:pPr>
              <a:defRPr>
                <a:latin typeface="Times New Roman" pitchFamily="18" charset="0"/>
                <a:cs typeface="Times New Roman" pitchFamily="18" charset="0"/>
              </a:defRPr>
            </a:pPr>
            <a:endParaRPr lang="nl-NL"/>
          </a:p>
        </c:txPr>
        <c:crossAx val="94897664"/>
        <c:crosses val="autoZero"/>
        <c:crossBetween val="midCat"/>
      </c:valAx>
    </c:plotArea>
    <c:legend>
      <c:legendPos val="r"/>
      <c:txPr>
        <a:bodyPr/>
        <a:lstStyle/>
        <a:p>
          <a:pPr>
            <a:defRPr>
              <a:latin typeface="Times New Roman" pitchFamily="18" charset="0"/>
              <a:cs typeface="Times New Roman" pitchFamily="18" charset="0"/>
            </a:defRPr>
          </a:pPr>
          <a:endParaRPr lang="nl-NL"/>
        </a:p>
      </c:txPr>
    </c:legend>
    <c:plotVisOnly val="1"/>
  </c:chart>
  <c:spPr>
    <a:effectLst>
      <a:outerShdw blurRad="50800" dist="50800" dir="5400000" algn="ctr" rotWithShape="0">
        <a:srgbClr val="000000">
          <a:alpha val="80000"/>
        </a:srgbClr>
      </a:outerShdw>
    </a:effectLst>
  </c:spPr>
  <c:externalData r:id="rId1"/>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8.3942111402741201E-2"/>
          <c:y val="0.2561115921890838"/>
          <c:w val="0.69059697325068414"/>
          <c:h val="0.61782211138819965"/>
        </c:manualLayout>
      </c:layout>
      <c:lineChart>
        <c:grouping val="standard"/>
        <c:ser>
          <c:idx val="0"/>
          <c:order val="0"/>
          <c:tx>
            <c:v>Euro Area</c:v>
          </c:tx>
          <c:spPr>
            <a:ln w="41275" cmpd="sng">
              <a:prstDash val="solid"/>
            </a:ln>
          </c:spPr>
          <c:marker>
            <c:symbol val="x"/>
            <c:size val="5"/>
          </c:marker>
          <c:cat>
            <c:strRef>
              <c:f>'C:\Users\SP van Heteren\Downloads Chrome\[nama_gdp_c (2).xls]Data'!$D$10:$J$10</c:f>
              <c:strCache>
                <c:ptCount val="7"/>
                <c:pt idx="0">
                  <c:v>2002</c:v>
                </c:pt>
                <c:pt idx="1">
                  <c:v>2003</c:v>
                </c:pt>
                <c:pt idx="2">
                  <c:v>2004</c:v>
                </c:pt>
                <c:pt idx="3">
                  <c:v>2005</c:v>
                </c:pt>
                <c:pt idx="4">
                  <c:v>2006</c:v>
                </c:pt>
                <c:pt idx="5">
                  <c:v>2007</c:v>
                </c:pt>
                <c:pt idx="6">
                  <c:v>2008</c:v>
                </c:pt>
              </c:strCache>
            </c:strRef>
          </c:cat>
          <c:val>
            <c:numRef>
              <c:f>'C:\Users\SP van Heteren\Downloads Chrome\[nama_gdp_c (2).xls]Data'!$D$11:$J$11</c:f>
              <c:numCache>
                <c:formatCode>#,##0.0</c:formatCode>
                <c:ptCount val="7"/>
                <c:pt idx="0">
                  <c:v>20.2</c:v>
                </c:pt>
                <c:pt idx="1">
                  <c:v>20</c:v>
                </c:pt>
                <c:pt idx="2">
                  <c:v>20.100000000000001</c:v>
                </c:pt>
                <c:pt idx="3">
                  <c:v>20.6</c:v>
                </c:pt>
                <c:pt idx="4">
                  <c:v>21.3</c:v>
                </c:pt>
                <c:pt idx="5">
                  <c:v>21.7</c:v>
                </c:pt>
                <c:pt idx="6">
                  <c:v>21.5</c:v>
                </c:pt>
              </c:numCache>
            </c:numRef>
          </c:val>
        </c:ser>
        <c:ser>
          <c:idx val="1"/>
          <c:order val="1"/>
          <c:tx>
            <c:v>Germany</c:v>
          </c:tx>
          <c:spPr>
            <a:ln w="50800" cmpd="dbl"/>
          </c:spPr>
          <c:marker>
            <c:symbol val="triangle"/>
            <c:size val="5"/>
          </c:marker>
          <c:cat>
            <c:strRef>
              <c:f>'C:\Users\SP van Heteren\Downloads Chrome\[nama_gdp_c (2).xls]Data'!$D$10:$J$10</c:f>
              <c:strCache>
                <c:ptCount val="7"/>
                <c:pt idx="0">
                  <c:v>2002</c:v>
                </c:pt>
                <c:pt idx="1">
                  <c:v>2003</c:v>
                </c:pt>
                <c:pt idx="2">
                  <c:v>2004</c:v>
                </c:pt>
                <c:pt idx="3">
                  <c:v>2005</c:v>
                </c:pt>
                <c:pt idx="4">
                  <c:v>2006</c:v>
                </c:pt>
                <c:pt idx="5">
                  <c:v>2007</c:v>
                </c:pt>
                <c:pt idx="6">
                  <c:v>2008</c:v>
                </c:pt>
              </c:strCache>
            </c:strRef>
          </c:cat>
          <c:val>
            <c:numRef>
              <c:f>'C:\Users\SP van Heteren\Downloads Chrome\[nama_gdp_c (2).xls]Data'!$D$12:$J$12</c:f>
              <c:numCache>
                <c:formatCode>#,##0.0</c:formatCode>
                <c:ptCount val="7"/>
                <c:pt idx="0">
                  <c:v>18.399999999999999</c:v>
                </c:pt>
                <c:pt idx="1">
                  <c:v>17.8</c:v>
                </c:pt>
                <c:pt idx="2">
                  <c:v>17.399999999999999</c:v>
                </c:pt>
                <c:pt idx="3">
                  <c:v>17.3</c:v>
                </c:pt>
                <c:pt idx="4">
                  <c:v>18.100000000000001</c:v>
                </c:pt>
                <c:pt idx="5">
                  <c:v>18.399999999999999</c:v>
                </c:pt>
                <c:pt idx="6">
                  <c:v>18.600000000000001</c:v>
                </c:pt>
              </c:numCache>
            </c:numRef>
          </c:val>
        </c:ser>
        <c:ser>
          <c:idx val="2"/>
          <c:order val="2"/>
          <c:tx>
            <c:v>Greece</c:v>
          </c:tx>
          <c:spPr>
            <a:ln w="41275" cmpd="sng"/>
          </c:spPr>
          <c:marker>
            <c:symbol val="circle"/>
            <c:size val="5"/>
          </c:marker>
          <c:cat>
            <c:strRef>
              <c:f>'C:\Users\SP van Heteren\Downloads Chrome\[nama_gdp_c (2).xls]Data'!$D$10:$J$10</c:f>
              <c:strCache>
                <c:ptCount val="7"/>
                <c:pt idx="0">
                  <c:v>2002</c:v>
                </c:pt>
                <c:pt idx="1">
                  <c:v>2003</c:v>
                </c:pt>
                <c:pt idx="2">
                  <c:v>2004</c:v>
                </c:pt>
                <c:pt idx="3">
                  <c:v>2005</c:v>
                </c:pt>
                <c:pt idx="4">
                  <c:v>2006</c:v>
                </c:pt>
                <c:pt idx="5">
                  <c:v>2007</c:v>
                </c:pt>
                <c:pt idx="6">
                  <c:v>2008</c:v>
                </c:pt>
              </c:strCache>
            </c:strRef>
          </c:cat>
          <c:val>
            <c:numRef>
              <c:f>'C:\Users\SP van Heteren\Downloads Chrome\[nama_gdp_c (2).xls]Data'!$D$13:$J$13</c:f>
              <c:numCache>
                <c:formatCode>#,##0.0</c:formatCode>
                <c:ptCount val="7"/>
                <c:pt idx="0">
                  <c:v>22.5</c:v>
                </c:pt>
                <c:pt idx="1">
                  <c:v>23.3</c:v>
                </c:pt>
                <c:pt idx="2">
                  <c:v>22</c:v>
                </c:pt>
                <c:pt idx="3">
                  <c:v>20.7</c:v>
                </c:pt>
                <c:pt idx="4">
                  <c:v>23.7</c:v>
                </c:pt>
                <c:pt idx="5">
                  <c:v>24</c:v>
                </c:pt>
                <c:pt idx="6">
                  <c:v>22.1</c:v>
                </c:pt>
              </c:numCache>
            </c:numRef>
          </c:val>
        </c:ser>
        <c:ser>
          <c:idx val="3"/>
          <c:order val="3"/>
          <c:tx>
            <c:v>Spain</c:v>
          </c:tx>
          <c:spPr>
            <a:ln w="50800" cap="sq" cmpd="dbl">
              <a:bevel/>
            </a:ln>
          </c:spPr>
          <c:marker>
            <c:symbol val="square"/>
            <c:size val="5"/>
          </c:marker>
          <c:cat>
            <c:strRef>
              <c:f>'C:\Users\SP van Heteren\Downloads Chrome\[nama_gdp_c (2).xls]Data'!$D$10:$J$10</c:f>
              <c:strCache>
                <c:ptCount val="7"/>
                <c:pt idx="0">
                  <c:v>2002</c:v>
                </c:pt>
                <c:pt idx="1">
                  <c:v>2003</c:v>
                </c:pt>
                <c:pt idx="2">
                  <c:v>2004</c:v>
                </c:pt>
                <c:pt idx="3">
                  <c:v>2005</c:v>
                </c:pt>
                <c:pt idx="4">
                  <c:v>2006</c:v>
                </c:pt>
                <c:pt idx="5">
                  <c:v>2007</c:v>
                </c:pt>
                <c:pt idx="6">
                  <c:v>2008</c:v>
                </c:pt>
              </c:strCache>
            </c:strRef>
          </c:cat>
          <c:val>
            <c:numRef>
              <c:f>'C:\Users\SP van Heteren\Downloads Chrome\[nama_gdp_c (2).xls]Data'!$D$14:$J$14</c:f>
              <c:numCache>
                <c:formatCode>#,##0.0</c:formatCode>
                <c:ptCount val="7"/>
                <c:pt idx="0">
                  <c:v>26.3</c:v>
                </c:pt>
                <c:pt idx="1">
                  <c:v>27.2</c:v>
                </c:pt>
                <c:pt idx="2">
                  <c:v>28.1</c:v>
                </c:pt>
                <c:pt idx="3">
                  <c:v>29.4</c:v>
                </c:pt>
                <c:pt idx="4">
                  <c:v>30.6</c:v>
                </c:pt>
                <c:pt idx="5">
                  <c:v>30.7</c:v>
                </c:pt>
                <c:pt idx="6">
                  <c:v>28.7</c:v>
                </c:pt>
              </c:numCache>
            </c:numRef>
          </c:val>
        </c:ser>
        <c:ser>
          <c:idx val="5"/>
          <c:order val="4"/>
          <c:tx>
            <c:v>Italy</c:v>
          </c:tx>
          <c:spPr>
            <a:ln w="41275" cmpd="sng">
              <a:prstDash val="solid"/>
            </a:ln>
          </c:spPr>
          <c:marker>
            <c:symbol val="diamond"/>
            <c:size val="5"/>
          </c:marker>
          <c:cat>
            <c:strRef>
              <c:f>'C:\Users\SP van Heteren\Downloads Chrome\[nama_gdp_c (2).xls]Data'!$D$10:$J$10</c:f>
              <c:strCache>
                <c:ptCount val="7"/>
                <c:pt idx="0">
                  <c:v>2002</c:v>
                </c:pt>
                <c:pt idx="1">
                  <c:v>2003</c:v>
                </c:pt>
                <c:pt idx="2">
                  <c:v>2004</c:v>
                </c:pt>
                <c:pt idx="3">
                  <c:v>2005</c:v>
                </c:pt>
                <c:pt idx="4">
                  <c:v>2006</c:v>
                </c:pt>
                <c:pt idx="5">
                  <c:v>2007</c:v>
                </c:pt>
                <c:pt idx="6">
                  <c:v>2008</c:v>
                </c:pt>
              </c:strCache>
            </c:strRef>
          </c:cat>
          <c:val>
            <c:numRef>
              <c:f>'C:\Users\SP van Heteren\Downloads Chrome\[nama_gdp_c (2).xls]Data'!$D$16:$J$16</c:f>
              <c:numCache>
                <c:formatCode>#,##0.0</c:formatCode>
                <c:ptCount val="7"/>
                <c:pt idx="0">
                  <c:v>21.1</c:v>
                </c:pt>
                <c:pt idx="1">
                  <c:v>20.5</c:v>
                </c:pt>
                <c:pt idx="2">
                  <c:v>20.6</c:v>
                </c:pt>
                <c:pt idx="3">
                  <c:v>20.9</c:v>
                </c:pt>
                <c:pt idx="4">
                  <c:v>21.4</c:v>
                </c:pt>
                <c:pt idx="5">
                  <c:v>21.5</c:v>
                </c:pt>
                <c:pt idx="6">
                  <c:v>21</c:v>
                </c:pt>
              </c:numCache>
            </c:numRef>
          </c:val>
        </c:ser>
        <c:ser>
          <c:idx val="6"/>
          <c:order val="5"/>
          <c:tx>
            <c:v>Portugal</c:v>
          </c:tx>
          <c:spPr>
            <a:ln w="41275" cmpd="sng"/>
          </c:spPr>
          <c:marker>
            <c:symbol val="plus"/>
            <c:size val="5"/>
          </c:marker>
          <c:cat>
            <c:strRef>
              <c:f>'C:\Users\SP van Heteren\Downloads Chrome\[nama_gdp_c (2).xls]Data'!$D$10:$J$10</c:f>
              <c:strCache>
                <c:ptCount val="7"/>
                <c:pt idx="0">
                  <c:v>2002</c:v>
                </c:pt>
                <c:pt idx="1">
                  <c:v>2003</c:v>
                </c:pt>
                <c:pt idx="2">
                  <c:v>2004</c:v>
                </c:pt>
                <c:pt idx="3">
                  <c:v>2005</c:v>
                </c:pt>
                <c:pt idx="4">
                  <c:v>2006</c:v>
                </c:pt>
                <c:pt idx="5">
                  <c:v>2007</c:v>
                </c:pt>
                <c:pt idx="6">
                  <c:v>2008</c:v>
                </c:pt>
              </c:strCache>
            </c:strRef>
          </c:cat>
          <c:val>
            <c:numRef>
              <c:f>'C:\Users\SP van Heteren\Downloads Chrome\[nama_gdp_c (2).xls]Data'!$D$18:$J$18</c:f>
              <c:numCache>
                <c:formatCode>#,##0.0</c:formatCode>
                <c:ptCount val="7"/>
                <c:pt idx="0">
                  <c:v>25.6</c:v>
                </c:pt>
                <c:pt idx="1">
                  <c:v>23.6</c:v>
                </c:pt>
                <c:pt idx="2">
                  <c:v>23.2</c:v>
                </c:pt>
                <c:pt idx="3">
                  <c:v>23</c:v>
                </c:pt>
                <c:pt idx="4">
                  <c:v>22.3</c:v>
                </c:pt>
                <c:pt idx="5">
                  <c:v>22.2</c:v>
                </c:pt>
                <c:pt idx="6">
                  <c:v>22.5</c:v>
                </c:pt>
              </c:numCache>
            </c:numRef>
          </c:val>
        </c:ser>
        <c:marker val="1"/>
        <c:axId val="95783168"/>
        <c:axId val="95842304"/>
      </c:lineChart>
      <c:catAx>
        <c:axId val="95783168"/>
        <c:scaling>
          <c:orientation val="minMax"/>
        </c:scaling>
        <c:axPos val="b"/>
        <c:tickLblPos val="nextTo"/>
        <c:txPr>
          <a:bodyPr/>
          <a:lstStyle/>
          <a:p>
            <a:pPr>
              <a:defRPr sz="1000">
                <a:latin typeface="Times New Roman" pitchFamily="18" charset="0"/>
                <a:cs typeface="Times New Roman" pitchFamily="18" charset="0"/>
              </a:defRPr>
            </a:pPr>
            <a:endParaRPr lang="nl-NL"/>
          </a:p>
        </c:txPr>
        <c:crossAx val="95842304"/>
        <c:crosses val="autoZero"/>
        <c:auto val="1"/>
        <c:lblAlgn val="ctr"/>
        <c:lblOffset val="100"/>
      </c:catAx>
      <c:valAx>
        <c:axId val="95842304"/>
        <c:scaling>
          <c:orientation val="minMax"/>
          <c:min val="15"/>
        </c:scaling>
        <c:axPos val="l"/>
        <c:majorGridlines/>
        <c:numFmt formatCode="#,##0.0" sourceLinked="1"/>
        <c:tickLblPos val="nextTo"/>
        <c:txPr>
          <a:bodyPr/>
          <a:lstStyle/>
          <a:p>
            <a:pPr>
              <a:defRPr>
                <a:latin typeface="Times New Roman" pitchFamily="18" charset="0"/>
                <a:cs typeface="Times New Roman" pitchFamily="18" charset="0"/>
              </a:defRPr>
            </a:pPr>
            <a:endParaRPr lang="nl-NL"/>
          </a:p>
        </c:txPr>
        <c:crossAx val="95783168"/>
        <c:crosses val="autoZero"/>
        <c:crossBetween val="midCat"/>
      </c:valAx>
    </c:plotArea>
    <c:legend>
      <c:legendPos val="r"/>
      <c:txPr>
        <a:bodyPr/>
        <a:lstStyle/>
        <a:p>
          <a:pPr>
            <a:defRPr>
              <a:latin typeface="Times New Roman" pitchFamily="18" charset="0"/>
              <a:cs typeface="Times New Roman" pitchFamily="18" charset="0"/>
            </a:defRPr>
          </a:pPr>
          <a:endParaRPr lang="nl-NL"/>
        </a:p>
      </c:txPr>
    </c:legend>
    <c:plotVisOnly val="1"/>
  </c:chart>
  <c:spPr>
    <a:effectLst>
      <a:outerShdw blurRad="50800" dist="50800" dir="5400000" algn="ctr" rotWithShape="0">
        <a:srgbClr val="000000">
          <a:alpha val="80000"/>
        </a:srgbClr>
      </a:outerShdw>
    </a:effectLst>
  </c:spPr>
  <c:externalData r:id="rId1"/>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9.5985559944541818E-2"/>
          <c:y val="0.19802829524358237"/>
          <c:w val="0.55604659882630947"/>
          <c:h val="0.54135076004025096"/>
        </c:manualLayout>
      </c:layout>
      <c:barChart>
        <c:barDir val="col"/>
        <c:grouping val="percentStacked"/>
        <c:ser>
          <c:idx val="0"/>
          <c:order val="0"/>
          <c:tx>
            <c:strRef>
              <c:f>'C:\Users\SP van Heteren\Downloads Chrome\[nama_pi6_c.xls]Data'!$L$9</c:f>
              <c:strCache>
                <c:ptCount val="1"/>
                <c:pt idx="0">
                  <c:v>Dwellings</c:v>
                </c:pt>
              </c:strCache>
            </c:strRef>
          </c:tx>
          <c:cat>
            <c:multiLvlStrRef>
              <c:f>'C:\Users\SP van Heteren\Downloads Chrome\[nama_pi6_c.xls]Data'!$J$10:$K$13</c:f>
              <c:multiLvlStrCache>
                <c:ptCount val="4"/>
                <c:lvl>
                  <c:pt idx="0">
                    <c:v>Germany</c:v>
                  </c:pt>
                  <c:pt idx="1">
                    <c:v>Spain</c:v>
                  </c:pt>
                  <c:pt idx="2">
                    <c:v>Germany</c:v>
                  </c:pt>
                  <c:pt idx="3">
                    <c:v>Spain</c:v>
                  </c:pt>
                </c:lvl>
                <c:lvl>
                  <c:pt idx="0">
                    <c:v>2002-2004</c:v>
                  </c:pt>
                  <c:pt idx="1">
                    <c:v>2002-2004</c:v>
                  </c:pt>
                  <c:pt idx="2">
                    <c:v>2005-2007</c:v>
                  </c:pt>
                  <c:pt idx="3">
                    <c:v>2005-2007</c:v>
                  </c:pt>
                </c:lvl>
              </c:multiLvlStrCache>
            </c:multiLvlStrRef>
          </c:cat>
          <c:val>
            <c:numRef>
              <c:f>'C:\Users\SP van Heteren\Downloads Chrome\[nama_pi6_c.xls]Data'!$L$10:$L$13</c:f>
              <c:numCache>
                <c:formatCode>General</c:formatCode>
                <c:ptCount val="4"/>
                <c:pt idx="0">
                  <c:v>31.33333333333324</c:v>
                </c:pt>
                <c:pt idx="1">
                  <c:v>39.066666666666443</c:v>
                </c:pt>
                <c:pt idx="2">
                  <c:v>29.266666666666666</c:v>
                </c:pt>
                <c:pt idx="3">
                  <c:v>40.4</c:v>
                </c:pt>
              </c:numCache>
            </c:numRef>
          </c:val>
        </c:ser>
        <c:ser>
          <c:idx val="1"/>
          <c:order val="1"/>
          <c:tx>
            <c:strRef>
              <c:f>'C:\Users\SP van Heteren\Downloads Chrome\[nama_pi6_c.xls]Data'!$M$9</c:f>
              <c:strCache>
                <c:ptCount val="1"/>
                <c:pt idx="0">
                  <c:v>Other buildings and structures</c:v>
                </c:pt>
              </c:strCache>
            </c:strRef>
          </c:tx>
          <c:cat>
            <c:multiLvlStrRef>
              <c:f>'C:\Users\SP van Heteren\Downloads Chrome\[nama_pi6_c.xls]Data'!$J$10:$K$13</c:f>
              <c:multiLvlStrCache>
                <c:ptCount val="4"/>
                <c:lvl>
                  <c:pt idx="0">
                    <c:v>Germany</c:v>
                  </c:pt>
                  <c:pt idx="1">
                    <c:v>Spain</c:v>
                  </c:pt>
                  <c:pt idx="2">
                    <c:v>Germany</c:v>
                  </c:pt>
                  <c:pt idx="3">
                    <c:v>Spain</c:v>
                  </c:pt>
                </c:lvl>
                <c:lvl>
                  <c:pt idx="0">
                    <c:v>2002-2004</c:v>
                  </c:pt>
                  <c:pt idx="1">
                    <c:v>2002-2004</c:v>
                  </c:pt>
                  <c:pt idx="2">
                    <c:v>2005-2007</c:v>
                  </c:pt>
                  <c:pt idx="3">
                    <c:v>2005-2007</c:v>
                  </c:pt>
                </c:lvl>
              </c:multiLvlStrCache>
            </c:multiLvlStrRef>
          </c:cat>
          <c:val>
            <c:numRef>
              <c:f>'C:\Users\SP van Heteren\Downloads Chrome\[nama_pi6_c.xls]Data'!$M$10:$M$13</c:f>
              <c:numCache>
                <c:formatCode>General</c:formatCode>
                <c:ptCount val="4"/>
                <c:pt idx="0">
                  <c:v>23.133333333333269</c:v>
                </c:pt>
                <c:pt idx="1">
                  <c:v>31.133333333333269</c:v>
                </c:pt>
                <c:pt idx="2">
                  <c:v>21.83333333333324</c:v>
                </c:pt>
                <c:pt idx="3">
                  <c:v>31.5</c:v>
                </c:pt>
              </c:numCache>
            </c:numRef>
          </c:val>
        </c:ser>
        <c:ser>
          <c:idx val="2"/>
          <c:order val="2"/>
          <c:tx>
            <c:strRef>
              <c:f>'C:\Users\SP van Heteren\Downloads Chrome\[nama_pi6_c.xls]Data'!$N$9</c:f>
              <c:strCache>
                <c:ptCount val="1"/>
                <c:pt idx="0">
                  <c:v>Transport equipment</c:v>
                </c:pt>
              </c:strCache>
            </c:strRef>
          </c:tx>
          <c:cat>
            <c:multiLvlStrRef>
              <c:f>'C:\Users\SP van Heteren\Downloads Chrome\[nama_pi6_c.xls]Data'!$J$10:$K$13</c:f>
              <c:multiLvlStrCache>
                <c:ptCount val="4"/>
                <c:lvl>
                  <c:pt idx="0">
                    <c:v>Germany</c:v>
                  </c:pt>
                  <c:pt idx="1">
                    <c:v>Spain</c:v>
                  </c:pt>
                  <c:pt idx="2">
                    <c:v>Germany</c:v>
                  </c:pt>
                  <c:pt idx="3">
                    <c:v>Spain</c:v>
                  </c:pt>
                </c:lvl>
                <c:lvl>
                  <c:pt idx="0">
                    <c:v>2002-2004</c:v>
                  </c:pt>
                  <c:pt idx="1">
                    <c:v>2002-2004</c:v>
                  </c:pt>
                  <c:pt idx="2">
                    <c:v>2005-2007</c:v>
                  </c:pt>
                  <c:pt idx="3">
                    <c:v>2005-2007</c:v>
                  </c:pt>
                </c:lvl>
              </c:multiLvlStrCache>
            </c:multiLvlStrRef>
          </c:cat>
          <c:val>
            <c:numRef>
              <c:f>'C:\Users\SP van Heteren\Downloads Chrome\[nama_pi6_c.xls]Data'!$N$10:$N$13</c:f>
              <c:numCache>
                <c:formatCode>General</c:formatCode>
                <c:ptCount val="4"/>
                <c:pt idx="0">
                  <c:v>10.433333333333334</c:v>
                </c:pt>
                <c:pt idx="1">
                  <c:v>8.3333333333333357</c:v>
                </c:pt>
                <c:pt idx="2">
                  <c:v>13.066666666666704</c:v>
                </c:pt>
                <c:pt idx="3">
                  <c:v>8.1</c:v>
                </c:pt>
              </c:numCache>
            </c:numRef>
          </c:val>
        </c:ser>
        <c:ser>
          <c:idx val="3"/>
          <c:order val="3"/>
          <c:tx>
            <c:strRef>
              <c:f>'C:\Users\SP van Heteren\Downloads Chrome\[nama_pi6_c.xls]Data'!$O$9</c:f>
              <c:strCache>
                <c:ptCount val="1"/>
                <c:pt idx="0">
                  <c:v>Other machinery and equipment</c:v>
                </c:pt>
              </c:strCache>
            </c:strRef>
          </c:tx>
          <c:cat>
            <c:multiLvlStrRef>
              <c:f>'C:\Users\SP van Heteren\Downloads Chrome\[nama_pi6_c.xls]Data'!$J$10:$K$13</c:f>
              <c:multiLvlStrCache>
                <c:ptCount val="4"/>
                <c:lvl>
                  <c:pt idx="0">
                    <c:v>Germany</c:v>
                  </c:pt>
                  <c:pt idx="1">
                    <c:v>Spain</c:v>
                  </c:pt>
                  <c:pt idx="2">
                    <c:v>Germany</c:v>
                  </c:pt>
                  <c:pt idx="3">
                    <c:v>Spain</c:v>
                  </c:pt>
                </c:lvl>
                <c:lvl>
                  <c:pt idx="0">
                    <c:v>2002-2004</c:v>
                  </c:pt>
                  <c:pt idx="1">
                    <c:v>2002-2004</c:v>
                  </c:pt>
                  <c:pt idx="2">
                    <c:v>2005-2007</c:v>
                  </c:pt>
                  <c:pt idx="3">
                    <c:v>2005-2007</c:v>
                  </c:pt>
                </c:lvl>
              </c:multiLvlStrCache>
            </c:multiLvlStrRef>
          </c:cat>
          <c:val>
            <c:numRef>
              <c:f>'C:\Users\SP van Heteren\Downloads Chrome\[nama_pi6_c.xls]Data'!$O$10:$O$13</c:f>
              <c:numCache>
                <c:formatCode>General</c:formatCode>
                <c:ptCount val="4"/>
                <c:pt idx="0">
                  <c:v>29.099999999999987</c:v>
                </c:pt>
                <c:pt idx="1">
                  <c:v>16.7</c:v>
                </c:pt>
                <c:pt idx="2">
                  <c:v>29.666666666666668</c:v>
                </c:pt>
                <c:pt idx="3">
                  <c:v>15.466666666666704</c:v>
                </c:pt>
              </c:numCache>
            </c:numRef>
          </c:val>
        </c:ser>
        <c:ser>
          <c:idx val="4"/>
          <c:order val="4"/>
          <c:tx>
            <c:strRef>
              <c:f>'C:\Users\SP van Heteren\Downloads Chrome\[nama_pi6_c.xls]Data'!$P$9</c:f>
              <c:strCache>
                <c:ptCount val="1"/>
                <c:pt idx="0">
                  <c:v>Cultivated assets</c:v>
                </c:pt>
              </c:strCache>
            </c:strRef>
          </c:tx>
          <c:cat>
            <c:multiLvlStrRef>
              <c:f>'C:\Users\SP van Heteren\Downloads Chrome\[nama_pi6_c.xls]Data'!$J$10:$K$13</c:f>
              <c:multiLvlStrCache>
                <c:ptCount val="4"/>
                <c:lvl>
                  <c:pt idx="0">
                    <c:v>Germany</c:v>
                  </c:pt>
                  <c:pt idx="1">
                    <c:v>Spain</c:v>
                  </c:pt>
                  <c:pt idx="2">
                    <c:v>Germany</c:v>
                  </c:pt>
                  <c:pt idx="3">
                    <c:v>Spain</c:v>
                  </c:pt>
                </c:lvl>
                <c:lvl>
                  <c:pt idx="0">
                    <c:v>2002-2004</c:v>
                  </c:pt>
                  <c:pt idx="1">
                    <c:v>2002-2004</c:v>
                  </c:pt>
                  <c:pt idx="2">
                    <c:v>2005-2007</c:v>
                  </c:pt>
                  <c:pt idx="3">
                    <c:v>2005-2007</c:v>
                  </c:pt>
                </c:lvl>
              </c:multiLvlStrCache>
            </c:multiLvlStrRef>
          </c:cat>
          <c:val>
            <c:numRef>
              <c:f>'C:\Users\SP van Heteren\Downloads Chrome\[nama_pi6_c.xls]Data'!$P$10:$P$13</c:f>
              <c:numCache>
                <c:formatCode>General</c:formatCode>
                <c:ptCount val="4"/>
                <c:pt idx="0">
                  <c:v>0</c:v>
                </c:pt>
                <c:pt idx="1">
                  <c:v>0.43333333333333335</c:v>
                </c:pt>
                <c:pt idx="2">
                  <c:v>0</c:v>
                </c:pt>
                <c:pt idx="3">
                  <c:v>0.36666666666666786</c:v>
                </c:pt>
              </c:numCache>
            </c:numRef>
          </c:val>
        </c:ser>
        <c:ser>
          <c:idx val="5"/>
          <c:order val="5"/>
          <c:tx>
            <c:strRef>
              <c:f>'C:\Users\SP van Heteren\Downloads Chrome\[nama_pi6_c.xls]Data'!$Q$9</c:f>
              <c:strCache>
                <c:ptCount val="1"/>
                <c:pt idx="0">
                  <c:v>Intangible fixed assets</c:v>
                </c:pt>
              </c:strCache>
            </c:strRef>
          </c:tx>
          <c:cat>
            <c:multiLvlStrRef>
              <c:f>'C:\Users\SP van Heteren\Downloads Chrome\[nama_pi6_c.xls]Data'!$J$10:$K$13</c:f>
              <c:multiLvlStrCache>
                <c:ptCount val="4"/>
                <c:lvl>
                  <c:pt idx="0">
                    <c:v>Germany</c:v>
                  </c:pt>
                  <c:pt idx="1">
                    <c:v>Spain</c:v>
                  </c:pt>
                  <c:pt idx="2">
                    <c:v>Germany</c:v>
                  </c:pt>
                  <c:pt idx="3">
                    <c:v>Spain</c:v>
                  </c:pt>
                </c:lvl>
                <c:lvl>
                  <c:pt idx="0">
                    <c:v>2002-2004</c:v>
                  </c:pt>
                  <c:pt idx="1">
                    <c:v>2002-2004</c:v>
                  </c:pt>
                  <c:pt idx="2">
                    <c:v>2005-2007</c:v>
                  </c:pt>
                  <c:pt idx="3">
                    <c:v>2005-2007</c:v>
                  </c:pt>
                </c:lvl>
              </c:multiLvlStrCache>
            </c:multiLvlStrRef>
          </c:cat>
          <c:val>
            <c:numRef>
              <c:f>'C:\Users\SP van Heteren\Downloads Chrome\[nama_pi6_c.xls]Data'!$Q$10:$Q$13</c:f>
              <c:numCache>
                <c:formatCode>General</c:formatCode>
                <c:ptCount val="4"/>
                <c:pt idx="0">
                  <c:v>6.0666666666666664</c:v>
                </c:pt>
                <c:pt idx="1">
                  <c:v>4.3666666666666663</c:v>
                </c:pt>
                <c:pt idx="2">
                  <c:v>6.166666666666667</c:v>
                </c:pt>
                <c:pt idx="3">
                  <c:v>4.1333333333333462</c:v>
                </c:pt>
              </c:numCache>
            </c:numRef>
          </c:val>
        </c:ser>
        <c:overlap val="100"/>
        <c:axId val="95923200"/>
        <c:axId val="96215808"/>
      </c:barChart>
      <c:catAx>
        <c:axId val="95923200"/>
        <c:scaling>
          <c:orientation val="minMax"/>
        </c:scaling>
        <c:axPos val="b"/>
        <c:tickLblPos val="nextTo"/>
        <c:txPr>
          <a:bodyPr/>
          <a:lstStyle/>
          <a:p>
            <a:pPr>
              <a:defRPr>
                <a:latin typeface="Times New Roman" pitchFamily="18" charset="0"/>
                <a:cs typeface="Times New Roman" pitchFamily="18" charset="0"/>
              </a:defRPr>
            </a:pPr>
            <a:endParaRPr lang="nl-NL"/>
          </a:p>
        </c:txPr>
        <c:crossAx val="96215808"/>
        <c:crosses val="autoZero"/>
        <c:auto val="1"/>
        <c:lblAlgn val="ctr"/>
        <c:lblOffset val="100"/>
      </c:catAx>
      <c:valAx>
        <c:axId val="96215808"/>
        <c:scaling>
          <c:orientation val="minMax"/>
        </c:scaling>
        <c:axPos val="l"/>
        <c:majorGridlines/>
        <c:numFmt formatCode="0%" sourceLinked="1"/>
        <c:tickLblPos val="nextTo"/>
        <c:txPr>
          <a:bodyPr/>
          <a:lstStyle/>
          <a:p>
            <a:pPr>
              <a:defRPr>
                <a:latin typeface="Times New Roman" pitchFamily="18" charset="0"/>
                <a:cs typeface="Times New Roman" pitchFamily="18" charset="0"/>
              </a:defRPr>
            </a:pPr>
            <a:endParaRPr lang="nl-NL"/>
          </a:p>
        </c:txPr>
        <c:crossAx val="95923200"/>
        <c:crosses val="autoZero"/>
        <c:crossBetween val="between"/>
      </c:valAx>
    </c:plotArea>
    <c:legend>
      <c:legendPos val="r"/>
      <c:txPr>
        <a:bodyPr/>
        <a:lstStyle/>
        <a:p>
          <a:pPr>
            <a:defRPr>
              <a:latin typeface="Times New Roman" pitchFamily="18" charset="0"/>
              <a:cs typeface="Times New Roman" pitchFamily="18" charset="0"/>
            </a:defRPr>
          </a:pPr>
          <a:endParaRPr lang="nl-NL"/>
        </a:p>
      </c:txPr>
    </c:legend>
    <c:plotVisOnly val="1"/>
  </c:chart>
  <c:spPr>
    <a:effectLst>
      <a:outerShdw blurRad="50800" dist="50800" dir="5400000" algn="ctr" rotWithShape="0">
        <a:srgbClr val="000000">
          <a:alpha val="80000"/>
        </a:srgbClr>
      </a:outerShdw>
    </a:effectLst>
  </c:spPr>
  <c:externalData r:id="rId1"/>
  <c:userShapes r:id="rId2"/>
</c:chartSpace>
</file>

<file path=word/charts/chart16.xml><?xml version="1.0" encoding="utf-8"?>
<c:chartSpace xmlns:c="http://schemas.openxmlformats.org/drawingml/2006/chart" xmlns:a="http://schemas.openxmlformats.org/drawingml/2006/main" xmlns:r="http://schemas.openxmlformats.org/officeDocument/2006/relationships">
  <c:lang val="nl-NL"/>
  <c:chart>
    <c:plotArea>
      <c:layout>
        <c:manualLayout>
          <c:layoutTarget val="inner"/>
          <c:xMode val="edge"/>
          <c:yMode val="edge"/>
          <c:x val="4.6758357073762268E-2"/>
          <c:y val="0.23974231357503609"/>
          <c:w val="0.77907935119221261"/>
          <c:h val="0.49950438876447162"/>
        </c:manualLayout>
      </c:layout>
      <c:lineChart>
        <c:grouping val="standard"/>
        <c:ser>
          <c:idx val="0"/>
          <c:order val="0"/>
          <c:tx>
            <c:v>Germany</c:v>
          </c:tx>
          <c:spPr>
            <a:ln w="41275" cmpd="dbl"/>
          </c:spPr>
          <c:marker>
            <c:symbol val="none"/>
          </c:marker>
          <c:cat>
            <c:strRef>
              <c:f>'Annual bond rate'!$W$7:$HX$8</c:f>
              <c:strCache>
                <c:ptCount val="210"/>
                <c:pt idx="0">
                  <c:v>Jan-1995</c:v>
                </c:pt>
                <c:pt idx="1">
                  <c:v>Feb-1995</c:v>
                </c:pt>
                <c:pt idx="2">
                  <c:v>Mar-1995</c:v>
                </c:pt>
                <c:pt idx="3">
                  <c:v>Apr-1995</c:v>
                </c:pt>
                <c:pt idx="4">
                  <c:v>May-1995</c:v>
                </c:pt>
                <c:pt idx="5">
                  <c:v>Jun-1995</c:v>
                </c:pt>
                <c:pt idx="6">
                  <c:v>Jul-1995</c:v>
                </c:pt>
                <c:pt idx="7">
                  <c:v>Aug-1995</c:v>
                </c:pt>
                <c:pt idx="8">
                  <c:v>Sep-1995</c:v>
                </c:pt>
                <c:pt idx="9">
                  <c:v>Oct-1995</c:v>
                </c:pt>
                <c:pt idx="10">
                  <c:v>Nov-1995</c:v>
                </c:pt>
                <c:pt idx="11">
                  <c:v>Dec-1995</c:v>
                </c:pt>
                <c:pt idx="12">
                  <c:v>Jan-1996</c:v>
                </c:pt>
                <c:pt idx="13">
                  <c:v>Feb-1996</c:v>
                </c:pt>
                <c:pt idx="14">
                  <c:v>Mar-1996</c:v>
                </c:pt>
                <c:pt idx="15">
                  <c:v>Apr-1996</c:v>
                </c:pt>
                <c:pt idx="16">
                  <c:v>May-1996</c:v>
                </c:pt>
                <c:pt idx="17">
                  <c:v>Jun-1996</c:v>
                </c:pt>
                <c:pt idx="18">
                  <c:v>Jul-1996</c:v>
                </c:pt>
                <c:pt idx="19">
                  <c:v>Aug-1996</c:v>
                </c:pt>
                <c:pt idx="20">
                  <c:v>Sep-1996</c:v>
                </c:pt>
                <c:pt idx="21">
                  <c:v>Oct-1996</c:v>
                </c:pt>
                <c:pt idx="22">
                  <c:v>Nov-1996</c:v>
                </c:pt>
                <c:pt idx="23">
                  <c:v>Dec-1996</c:v>
                </c:pt>
                <c:pt idx="24">
                  <c:v>Jan-1997</c:v>
                </c:pt>
                <c:pt idx="25">
                  <c:v>Feb-1997</c:v>
                </c:pt>
                <c:pt idx="26">
                  <c:v>Mar-1997</c:v>
                </c:pt>
                <c:pt idx="27">
                  <c:v>Apr-1997</c:v>
                </c:pt>
                <c:pt idx="28">
                  <c:v>May-1997</c:v>
                </c:pt>
                <c:pt idx="29">
                  <c:v>Jun-1997</c:v>
                </c:pt>
                <c:pt idx="30">
                  <c:v>Jul-1997</c:v>
                </c:pt>
                <c:pt idx="31">
                  <c:v>Aug-1997</c:v>
                </c:pt>
                <c:pt idx="32">
                  <c:v>Sep-1997</c:v>
                </c:pt>
                <c:pt idx="33">
                  <c:v>Oct-1997</c:v>
                </c:pt>
                <c:pt idx="34">
                  <c:v>Nov-1997</c:v>
                </c:pt>
                <c:pt idx="35">
                  <c:v>Dec-1997</c:v>
                </c:pt>
                <c:pt idx="36">
                  <c:v>Jan-1998</c:v>
                </c:pt>
                <c:pt idx="37">
                  <c:v>Feb-1998</c:v>
                </c:pt>
                <c:pt idx="38">
                  <c:v>Mar-1998</c:v>
                </c:pt>
                <c:pt idx="39">
                  <c:v>Apr-1998</c:v>
                </c:pt>
                <c:pt idx="40">
                  <c:v>May-1998</c:v>
                </c:pt>
                <c:pt idx="41">
                  <c:v>Jun-1998</c:v>
                </c:pt>
                <c:pt idx="42">
                  <c:v>Jul-1998</c:v>
                </c:pt>
                <c:pt idx="43">
                  <c:v>Aug-1998</c:v>
                </c:pt>
                <c:pt idx="44">
                  <c:v>Sep-1998</c:v>
                </c:pt>
                <c:pt idx="45">
                  <c:v>Oct-1998</c:v>
                </c:pt>
                <c:pt idx="46">
                  <c:v>Nov-1998</c:v>
                </c:pt>
                <c:pt idx="47">
                  <c:v>Dec-1998</c:v>
                </c:pt>
                <c:pt idx="48">
                  <c:v>Jan-1999</c:v>
                </c:pt>
                <c:pt idx="49">
                  <c:v>Feb-1999</c:v>
                </c:pt>
                <c:pt idx="50">
                  <c:v>Mar-1999</c:v>
                </c:pt>
                <c:pt idx="51">
                  <c:v>Apr-1999</c:v>
                </c:pt>
                <c:pt idx="52">
                  <c:v>May-1999</c:v>
                </c:pt>
                <c:pt idx="53">
                  <c:v>Jun-1999</c:v>
                </c:pt>
                <c:pt idx="54">
                  <c:v>Jul-1999</c:v>
                </c:pt>
                <c:pt idx="55">
                  <c:v>Aug-1999</c:v>
                </c:pt>
                <c:pt idx="56">
                  <c:v>Sep-1999</c:v>
                </c:pt>
                <c:pt idx="57">
                  <c:v>Oct-1999</c:v>
                </c:pt>
                <c:pt idx="58">
                  <c:v>Nov-1999</c:v>
                </c:pt>
                <c:pt idx="59">
                  <c:v>Dec-1999</c:v>
                </c:pt>
                <c:pt idx="60">
                  <c:v>Jan-2000</c:v>
                </c:pt>
                <c:pt idx="61">
                  <c:v>Feb-2000</c:v>
                </c:pt>
                <c:pt idx="62">
                  <c:v>Mar-2000</c:v>
                </c:pt>
                <c:pt idx="63">
                  <c:v>Apr-2000</c:v>
                </c:pt>
                <c:pt idx="64">
                  <c:v>May-2000</c:v>
                </c:pt>
                <c:pt idx="65">
                  <c:v>Jun-2000</c:v>
                </c:pt>
                <c:pt idx="66">
                  <c:v>Jul-2000</c:v>
                </c:pt>
                <c:pt idx="67">
                  <c:v>Aug-2000</c:v>
                </c:pt>
                <c:pt idx="68">
                  <c:v>Sep-2000</c:v>
                </c:pt>
                <c:pt idx="69">
                  <c:v>Oct-2000</c:v>
                </c:pt>
                <c:pt idx="70">
                  <c:v>Nov-2000</c:v>
                </c:pt>
                <c:pt idx="71">
                  <c:v>Dec-2000</c:v>
                </c:pt>
                <c:pt idx="72">
                  <c:v>Jan-2001</c:v>
                </c:pt>
                <c:pt idx="73">
                  <c:v>Feb-2001</c:v>
                </c:pt>
                <c:pt idx="74">
                  <c:v>Mar-2001</c:v>
                </c:pt>
                <c:pt idx="75">
                  <c:v>Apr-2001</c:v>
                </c:pt>
                <c:pt idx="76">
                  <c:v>May-2001</c:v>
                </c:pt>
                <c:pt idx="77">
                  <c:v>Jun-2001</c:v>
                </c:pt>
                <c:pt idx="78">
                  <c:v>Jul-2001</c:v>
                </c:pt>
                <c:pt idx="79">
                  <c:v>Aug-2001</c:v>
                </c:pt>
                <c:pt idx="80">
                  <c:v>Sep-2001</c:v>
                </c:pt>
                <c:pt idx="81">
                  <c:v>Oct-2001</c:v>
                </c:pt>
                <c:pt idx="82">
                  <c:v>Nov-2001</c:v>
                </c:pt>
                <c:pt idx="83">
                  <c:v>Dec-2001</c:v>
                </c:pt>
                <c:pt idx="84">
                  <c:v>Jan-2002</c:v>
                </c:pt>
                <c:pt idx="85">
                  <c:v>Feb-2002</c:v>
                </c:pt>
                <c:pt idx="86">
                  <c:v>Mar-2002</c:v>
                </c:pt>
                <c:pt idx="87">
                  <c:v>Apr-2002</c:v>
                </c:pt>
                <c:pt idx="88">
                  <c:v>May-2002</c:v>
                </c:pt>
                <c:pt idx="89">
                  <c:v>Jun-2002</c:v>
                </c:pt>
                <c:pt idx="90">
                  <c:v>Jul-2002</c:v>
                </c:pt>
                <c:pt idx="91">
                  <c:v>Aug-2002</c:v>
                </c:pt>
                <c:pt idx="92">
                  <c:v>Sep-2002</c:v>
                </c:pt>
                <c:pt idx="93">
                  <c:v>Oct-2002</c:v>
                </c:pt>
                <c:pt idx="94">
                  <c:v>Nov-2002</c:v>
                </c:pt>
                <c:pt idx="95">
                  <c:v>Dec-2002</c:v>
                </c:pt>
                <c:pt idx="96">
                  <c:v>Jan-2003</c:v>
                </c:pt>
                <c:pt idx="97">
                  <c:v>Feb-2003</c:v>
                </c:pt>
                <c:pt idx="98">
                  <c:v>Mar-2003</c:v>
                </c:pt>
                <c:pt idx="99">
                  <c:v>Apr-2003</c:v>
                </c:pt>
                <c:pt idx="100">
                  <c:v>May-2003</c:v>
                </c:pt>
                <c:pt idx="101">
                  <c:v>Jun-2003</c:v>
                </c:pt>
                <c:pt idx="102">
                  <c:v>Jul-2003</c:v>
                </c:pt>
                <c:pt idx="103">
                  <c:v>Aug-2003</c:v>
                </c:pt>
                <c:pt idx="104">
                  <c:v>Sep-2003</c:v>
                </c:pt>
                <c:pt idx="105">
                  <c:v>Oct-2003</c:v>
                </c:pt>
                <c:pt idx="106">
                  <c:v>Nov-2003</c:v>
                </c:pt>
                <c:pt idx="107">
                  <c:v>Dec-2003</c:v>
                </c:pt>
                <c:pt idx="108">
                  <c:v>Jan-2004</c:v>
                </c:pt>
                <c:pt idx="109">
                  <c:v>Feb-2004</c:v>
                </c:pt>
                <c:pt idx="110">
                  <c:v>Mar-2004</c:v>
                </c:pt>
                <c:pt idx="111">
                  <c:v>Apr-2004</c:v>
                </c:pt>
                <c:pt idx="112">
                  <c:v>May-2004</c:v>
                </c:pt>
                <c:pt idx="113">
                  <c:v>Jun-2004</c:v>
                </c:pt>
                <c:pt idx="114">
                  <c:v>Jul-2004</c:v>
                </c:pt>
                <c:pt idx="115">
                  <c:v>Aug-2004</c:v>
                </c:pt>
                <c:pt idx="116">
                  <c:v>Sep-2004</c:v>
                </c:pt>
                <c:pt idx="117">
                  <c:v>Oct-2004</c:v>
                </c:pt>
                <c:pt idx="118">
                  <c:v>Nov-2004</c:v>
                </c:pt>
                <c:pt idx="119">
                  <c:v>Dec-2004</c:v>
                </c:pt>
                <c:pt idx="120">
                  <c:v>Jan-2005</c:v>
                </c:pt>
                <c:pt idx="121">
                  <c:v>Feb-2005</c:v>
                </c:pt>
                <c:pt idx="122">
                  <c:v>Mar-2005</c:v>
                </c:pt>
                <c:pt idx="123">
                  <c:v>Apr-2005</c:v>
                </c:pt>
                <c:pt idx="124">
                  <c:v>May-2005</c:v>
                </c:pt>
                <c:pt idx="125">
                  <c:v>Jun-2005</c:v>
                </c:pt>
                <c:pt idx="126">
                  <c:v>Jul-2005</c:v>
                </c:pt>
                <c:pt idx="127">
                  <c:v>Aug-2005</c:v>
                </c:pt>
                <c:pt idx="128">
                  <c:v>Sep-2005</c:v>
                </c:pt>
                <c:pt idx="129">
                  <c:v>Oct-2005</c:v>
                </c:pt>
                <c:pt idx="130">
                  <c:v>Nov-2005</c:v>
                </c:pt>
                <c:pt idx="131">
                  <c:v>Dec-2005</c:v>
                </c:pt>
                <c:pt idx="132">
                  <c:v>Jan-2006</c:v>
                </c:pt>
                <c:pt idx="133">
                  <c:v>Feb-2006</c:v>
                </c:pt>
                <c:pt idx="134">
                  <c:v>Mar-2006</c:v>
                </c:pt>
                <c:pt idx="135">
                  <c:v>Apr-2006</c:v>
                </c:pt>
                <c:pt idx="136">
                  <c:v>May-2006</c:v>
                </c:pt>
                <c:pt idx="137">
                  <c:v>Jun-2006</c:v>
                </c:pt>
                <c:pt idx="138">
                  <c:v>Jul-2006</c:v>
                </c:pt>
                <c:pt idx="139">
                  <c:v>Aug-2006</c:v>
                </c:pt>
                <c:pt idx="140">
                  <c:v>Sep-2006</c:v>
                </c:pt>
                <c:pt idx="141">
                  <c:v>Oct-2006</c:v>
                </c:pt>
                <c:pt idx="142">
                  <c:v>Nov-2006</c:v>
                </c:pt>
                <c:pt idx="143">
                  <c:v>Dec-2006</c:v>
                </c:pt>
                <c:pt idx="144">
                  <c:v>Jan-2007</c:v>
                </c:pt>
                <c:pt idx="145">
                  <c:v>Feb-2007</c:v>
                </c:pt>
                <c:pt idx="146">
                  <c:v>Mar-2007</c:v>
                </c:pt>
                <c:pt idx="147">
                  <c:v>Apr-2007</c:v>
                </c:pt>
                <c:pt idx="148">
                  <c:v>May-2007</c:v>
                </c:pt>
                <c:pt idx="149">
                  <c:v>Jun-2007</c:v>
                </c:pt>
                <c:pt idx="150">
                  <c:v>Jul-2007</c:v>
                </c:pt>
                <c:pt idx="151">
                  <c:v>Aug-2007</c:v>
                </c:pt>
                <c:pt idx="152">
                  <c:v>Sep-2007</c:v>
                </c:pt>
                <c:pt idx="153">
                  <c:v>Oct-2007</c:v>
                </c:pt>
                <c:pt idx="154">
                  <c:v>Nov-2007</c:v>
                </c:pt>
                <c:pt idx="155">
                  <c:v>Dec-2007</c:v>
                </c:pt>
                <c:pt idx="156">
                  <c:v>Jan-2008</c:v>
                </c:pt>
                <c:pt idx="157">
                  <c:v>Feb-2008</c:v>
                </c:pt>
                <c:pt idx="158">
                  <c:v>Mar-2008</c:v>
                </c:pt>
                <c:pt idx="159">
                  <c:v>Apr-2008</c:v>
                </c:pt>
                <c:pt idx="160">
                  <c:v>May-2008</c:v>
                </c:pt>
                <c:pt idx="161">
                  <c:v>Jun-2008</c:v>
                </c:pt>
                <c:pt idx="162">
                  <c:v>Jul-2008</c:v>
                </c:pt>
                <c:pt idx="163">
                  <c:v>Aug-2008</c:v>
                </c:pt>
                <c:pt idx="164">
                  <c:v>Sep-2008</c:v>
                </c:pt>
                <c:pt idx="165">
                  <c:v>Oct-2008</c:v>
                </c:pt>
                <c:pt idx="166">
                  <c:v>Nov-2008</c:v>
                </c:pt>
                <c:pt idx="167">
                  <c:v>Dec-2008</c:v>
                </c:pt>
                <c:pt idx="168">
                  <c:v>Jan-2009</c:v>
                </c:pt>
                <c:pt idx="169">
                  <c:v>Feb-2009</c:v>
                </c:pt>
                <c:pt idx="170">
                  <c:v>Mar-2009</c:v>
                </c:pt>
                <c:pt idx="171">
                  <c:v>Apr-2009</c:v>
                </c:pt>
                <c:pt idx="172">
                  <c:v>May-2009</c:v>
                </c:pt>
                <c:pt idx="173">
                  <c:v>Jun-2009</c:v>
                </c:pt>
                <c:pt idx="174">
                  <c:v>Jul-2009</c:v>
                </c:pt>
                <c:pt idx="175">
                  <c:v>Aug-2009</c:v>
                </c:pt>
                <c:pt idx="176">
                  <c:v>Sep-2009</c:v>
                </c:pt>
                <c:pt idx="177">
                  <c:v>Oct-2009</c:v>
                </c:pt>
                <c:pt idx="178">
                  <c:v>Nov-2009</c:v>
                </c:pt>
                <c:pt idx="179">
                  <c:v>Dec-2009</c:v>
                </c:pt>
                <c:pt idx="180">
                  <c:v>Jan-2010</c:v>
                </c:pt>
                <c:pt idx="181">
                  <c:v>Feb-2010</c:v>
                </c:pt>
                <c:pt idx="182">
                  <c:v>Mar-2010</c:v>
                </c:pt>
                <c:pt idx="183">
                  <c:v>Apr-2010</c:v>
                </c:pt>
                <c:pt idx="184">
                  <c:v>May-2010</c:v>
                </c:pt>
                <c:pt idx="185">
                  <c:v>Jun-2010</c:v>
                </c:pt>
                <c:pt idx="186">
                  <c:v>Jul-2010</c:v>
                </c:pt>
                <c:pt idx="187">
                  <c:v>Aug-2010</c:v>
                </c:pt>
                <c:pt idx="188">
                  <c:v>Sep-2010</c:v>
                </c:pt>
                <c:pt idx="189">
                  <c:v>Oct-2010</c:v>
                </c:pt>
                <c:pt idx="190">
                  <c:v>Nov-2010</c:v>
                </c:pt>
                <c:pt idx="191">
                  <c:v>Dec-2010</c:v>
                </c:pt>
                <c:pt idx="192">
                  <c:v>Jan-2011</c:v>
                </c:pt>
                <c:pt idx="193">
                  <c:v>Feb-2011</c:v>
                </c:pt>
                <c:pt idx="194">
                  <c:v>Mar-2011</c:v>
                </c:pt>
                <c:pt idx="195">
                  <c:v>Apr-2011</c:v>
                </c:pt>
                <c:pt idx="196">
                  <c:v>May-2011</c:v>
                </c:pt>
                <c:pt idx="197">
                  <c:v>Jun-2011</c:v>
                </c:pt>
                <c:pt idx="198">
                  <c:v>Jul-2011</c:v>
                </c:pt>
                <c:pt idx="199">
                  <c:v>Aug-2011</c:v>
                </c:pt>
                <c:pt idx="200">
                  <c:v>Sep-2011</c:v>
                </c:pt>
                <c:pt idx="201">
                  <c:v>Oct-2011</c:v>
                </c:pt>
                <c:pt idx="202">
                  <c:v>Nov-2011</c:v>
                </c:pt>
                <c:pt idx="203">
                  <c:v>Dec-2011</c:v>
                </c:pt>
                <c:pt idx="204">
                  <c:v>Jan-2012</c:v>
                </c:pt>
                <c:pt idx="205">
                  <c:v>Feb-2012</c:v>
                </c:pt>
                <c:pt idx="206">
                  <c:v>Mar-2012</c:v>
                </c:pt>
                <c:pt idx="207">
                  <c:v>Apr-2012</c:v>
                </c:pt>
                <c:pt idx="208">
                  <c:v>May-2012</c:v>
                </c:pt>
                <c:pt idx="209">
                  <c:v>Jun-2012</c:v>
                </c:pt>
              </c:strCache>
            </c:strRef>
          </c:cat>
          <c:val>
            <c:numRef>
              <c:f>'Annual bond rate'!$W$9:$HX$9</c:f>
              <c:numCache>
                <c:formatCode>General</c:formatCode>
                <c:ptCount val="210"/>
                <c:pt idx="0">
                  <c:v>7.6</c:v>
                </c:pt>
                <c:pt idx="1">
                  <c:v>7.4</c:v>
                </c:pt>
                <c:pt idx="2">
                  <c:v>7.3</c:v>
                </c:pt>
                <c:pt idx="3">
                  <c:v>7.1</c:v>
                </c:pt>
                <c:pt idx="4">
                  <c:v>6.9</c:v>
                </c:pt>
                <c:pt idx="5">
                  <c:v>6.8</c:v>
                </c:pt>
                <c:pt idx="6">
                  <c:v>6.9</c:v>
                </c:pt>
                <c:pt idx="7">
                  <c:v>6.7</c:v>
                </c:pt>
                <c:pt idx="8">
                  <c:v>6.6</c:v>
                </c:pt>
                <c:pt idx="9">
                  <c:v>6.6</c:v>
                </c:pt>
                <c:pt idx="10">
                  <c:v>6.3</c:v>
                </c:pt>
                <c:pt idx="11">
                  <c:v>6.1</c:v>
                </c:pt>
                <c:pt idx="12">
                  <c:v>5.9</c:v>
                </c:pt>
                <c:pt idx="13">
                  <c:v>6.2</c:v>
                </c:pt>
                <c:pt idx="14">
                  <c:v>6.4</c:v>
                </c:pt>
                <c:pt idx="15">
                  <c:v>6.4</c:v>
                </c:pt>
                <c:pt idx="16">
                  <c:v>6.5</c:v>
                </c:pt>
                <c:pt idx="17">
                  <c:v>6.6</c:v>
                </c:pt>
                <c:pt idx="18">
                  <c:v>6.5</c:v>
                </c:pt>
                <c:pt idx="19">
                  <c:v>6.3</c:v>
                </c:pt>
                <c:pt idx="20">
                  <c:v>6.2</c:v>
                </c:pt>
                <c:pt idx="21">
                  <c:v>6</c:v>
                </c:pt>
                <c:pt idx="22">
                  <c:v>5.9</c:v>
                </c:pt>
                <c:pt idx="23">
                  <c:v>5.8</c:v>
                </c:pt>
                <c:pt idx="24">
                  <c:v>5.8</c:v>
                </c:pt>
                <c:pt idx="25">
                  <c:v>5.6</c:v>
                </c:pt>
                <c:pt idx="26">
                  <c:v>5.7</c:v>
                </c:pt>
                <c:pt idx="27">
                  <c:v>5.9</c:v>
                </c:pt>
                <c:pt idx="28">
                  <c:v>5.8</c:v>
                </c:pt>
                <c:pt idx="29">
                  <c:v>5.7</c:v>
                </c:pt>
                <c:pt idx="30">
                  <c:v>5.6</c:v>
                </c:pt>
                <c:pt idx="31">
                  <c:v>5.7</c:v>
                </c:pt>
                <c:pt idx="32">
                  <c:v>5.6</c:v>
                </c:pt>
                <c:pt idx="33">
                  <c:v>5.6</c:v>
                </c:pt>
                <c:pt idx="34">
                  <c:v>5.6</c:v>
                </c:pt>
                <c:pt idx="35">
                  <c:v>5.3</c:v>
                </c:pt>
                <c:pt idx="36">
                  <c:v>5.0999999999999996</c:v>
                </c:pt>
                <c:pt idx="37">
                  <c:v>5</c:v>
                </c:pt>
                <c:pt idx="38">
                  <c:v>4.9000000000000004</c:v>
                </c:pt>
                <c:pt idx="39">
                  <c:v>4.9000000000000004</c:v>
                </c:pt>
                <c:pt idx="40">
                  <c:v>5</c:v>
                </c:pt>
                <c:pt idx="41">
                  <c:v>4.8</c:v>
                </c:pt>
                <c:pt idx="42">
                  <c:v>4.7</c:v>
                </c:pt>
                <c:pt idx="43">
                  <c:v>4.4000000000000004</c:v>
                </c:pt>
                <c:pt idx="44">
                  <c:v>4.0999999999999996</c:v>
                </c:pt>
                <c:pt idx="45">
                  <c:v>4.0999999999999996</c:v>
                </c:pt>
                <c:pt idx="46">
                  <c:v>4.0999999999999996</c:v>
                </c:pt>
                <c:pt idx="47">
                  <c:v>3.9</c:v>
                </c:pt>
                <c:pt idx="48">
                  <c:v>3.7</c:v>
                </c:pt>
                <c:pt idx="49">
                  <c:v>3.9</c:v>
                </c:pt>
                <c:pt idx="50">
                  <c:v>4</c:v>
                </c:pt>
                <c:pt idx="51">
                  <c:v>3.9</c:v>
                </c:pt>
                <c:pt idx="52">
                  <c:v>4</c:v>
                </c:pt>
                <c:pt idx="53">
                  <c:v>4.4000000000000004</c:v>
                </c:pt>
                <c:pt idx="54">
                  <c:v>4.7</c:v>
                </c:pt>
                <c:pt idx="55">
                  <c:v>4.9000000000000004</c:v>
                </c:pt>
                <c:pt idx="56">
                  <c:v>5</c:v>
                </c:pt>
                <c:pt idx="57">
                  <c:v>5.3</c:v>
                </c:pt>
                <c:pt idx="58">
                  <c:v>5</c:v>
                </c:pt>
                <c:pt idx="59">
                  <c:v>5.2</c:v>
                </c:pt>
                <c:pt idx="60">
                  <c:v>5.5</c:v>
                </c:pt>
                <c:pt idx="61">
                  <c:v>5.5</c:v>
                </c:pt>
                <c:pt idx="62">
                  <c:v>5.3</c:v>
                </c:pt>
                <c:pt idx="63">
                  <c:v>5.2</c:v>
                </c:pt>
                <c:pt idx="64">
                  <c:v>5.4</c:v>
                </c:pt>
                <c:pt idx="65">
                  <c:v>5.2</c:v>
                </c:pt>
                <c:pt idx="66">
                  <c:v>5.3</c:v>
                </c:pt>
                <c:pt idx="67">
                  <c:v>5.2</c:v>
                </c:pt>
                <c:pt idx="68">
                  <c:v>5.3</c:v>
                </c:pt>
                <c:pt idx="69">
                  <c:v>5.2</c:v>
                </c:pt>
                <c:pt idx="70">
                  <c:v>5.2</c:v>
                </c:pt>
                <c:pt idx="71">
                  <c:v>4.9000000000000004</c:v>
                </c:pt>
                <c:pt idx="72">
                  <c:v>4.8</c:v>
                </c:pt>
                <c:pt idx="73">
                  <c:v>4.8</c:v>
                </c:pt>
                <c:pt idx="74">
                  <c:v>4.7</c:v>
                </c:pt>
                <c:pt idx="75">
                  <c:v>4.8</c:v>
                </c:pt>
                <c:pt idx="76">
                  <c:v>5.0999999999999996</c:v>
                </c:pt>
                <c:pt idx="77">
                  <c:v>5</c:v>
                </c:pt>
                <c:pt idx="78">
                  <c:v>5</c:v>
                </c:pt>
                <c:pt idx="79">
                  <c:v>4.8</c:v>
                </c:pt>
                <c:pt idx="80">
                  <c:v>4.8</c:v>
                </c:pt>
                <c:pt idx="81">
                  <c:v>4.5999999999999996</c:v>
                </c:pt>
                <c:pt idx="82">
                  <c:v>4.5</c:v>
                </c:pt>
                <c:pt idx="83">
                  <c:v>4.7</c:v>
                </c:pt>
                <c:pt idx="84">
                  <c:v>4.8599999999999985</c:v>
                </c:pt>
                <c:pt idx="85">
                  <c:v>4.92</c:v>
                </c:pt>
                <c:pt idx="86">
                  <c:v>5.1599999999999975</c:v>
                </c:pt>
                <c:pt idx="87">
                  <c:v>5.1499999999999995</c:v>
                </c:pt>
                <c:pt idx="88">
                  <c:v>5.17</c:v>
                </c:pt>
                <c:pt idx="89">
                  <c:v>5.0199999999999996</c:v>
                </c:pt>
                <c:pt idx="90">
                  <c:v>4.87</c:v>
                </c:pt>
                <c:pt idx="91">
                  <c:v>4.59</c:v>
                </c:pt>
                <c:pt idx="92">
                  <c:v>4.38</c:v>
                </c:pt>
                <c:pt idx="93">
                  <c:v>4.46</c:v>
                </c:pt>
                <c:pt idx="94">
                  <c:v>4.4800000000000004</c:v>
                </c:pt>
                <c:pt idx="95">
                  <c:v>4.33</c:v>
                </c:pt>
                <c:pt idx="96">
                  <c:v>4.18</c:v>
                </c:pt>
                <c:pt idx="97">
                  <c:v>3.9499999999999997</c:v>
                </c:pt>
                <c:pt idx="98">
                  <c:v>4</c:v>
                </c:pt>
                <c:pt idx="99">
                  <c:v>4.1499999999999995</c:v>
                </c:pt>
                <c:pt idx="100">
                  <c:v>3.82</c:v>
                </c:pt>
                <c:pt idx="101">
                  <c:v>3.62</c:v>
                </c:pt>
                <c:pt idx="102">
                  <c:v>3.9699999999999998</c:v>
                </c:pt>
                <c:pt idx="103">
                  <c:v>4.13</c:v>
                </c:pt>
                <c:pt idx="104">
                  <c:v>4.17</c:v>
                </c:pt>
                <c:pt idx="105">
                  <c:v>4.22</c:v>
                </c:pt>
                <c:pt idx="106">
                  <c:v>4.3499999999999996</c:v>
                </c:pt>
                <c:pt idx="107">
                  <c:v>4.29</c:v>
                </c:pt>
                <c:pt idx="108">
                  <c:v>4.17</c:v>
                </c:pt>
                <c:pt idx="109">
                  <c:v>4.1099999999999985</c:v>
                </c:pt>
                <c:pt idx="110">
                  <c:v>3.9099999999999997</c:v>
                </c:pt>
                <c:pt idx="111">
                  <c:v>4.0999999999999996</c:v>
                </c:pt>
                <c:pt idx="112">
                  <c:v>4.25</c:v>
                </c:pt>
                <c:pt idx="113">
                  <c:v>4.3099999999999996</c:v>
                </c:pt>
                <c:pt idx="114">
                  <c:v>4.24</c:v>
                </c:pt>
                <c:pt idx="115">
                  <c:v>4.08</c:v>
                </c:pt>
                <c:pt idx="116">
                  <c:v>4.0199999999999996</c:v>
                </c:pt>
                <c:pt idx="117">
                  <c:v>3.8899999999999997</c:v>
                </c:pt>
                <c:pt idx="118">
                  <c:v>3.7800000000000002</c:v>
                </c:pt>
                <c:pt idx="119">
                  <c:v>3.58</c:v>
                </c:pt>
                <c:pt idx="120">
                  <c:v>3.56</c:v>
                </c:pt>
                <c:pt idx="121">
                  <c:v>3.54</c:v>
                </c:pt>
                <c:pt idx="122">
                  <c:v>3.7</c:v>
                </c:pt>
                <c:pt idx="123">
                  <c:v>3.48</c:v>
                </c:pt>
                <c:pt idx="124">
                  <c:v>3.3</c:v>
                </c:pt>
                <c:pt idx="125">
                  <c:v>3.13</c:v>
                </c:pt>
                <c:pt idx="126">
                  <c:v>3.2</c:v>
                </c:pt>
                <c:pt idx="127">
                  <c:v>3.23</c:v>
                </c:pt>
                <c:pt idx="128">
                  <c:v>3.07</c:v>
                </c:pt>
                <c:pt idx="129">
                  <c:v>3.24</c:v>
                </c:pt>
                <c:pt idx="130">
                  <c:v>3.4499999999999997</c:v>
                </c:pt>
                <c:pt idx="131">
                  <c:v>3.34</c:v>
                </c:pt>
                <c:pt idx="132">
                  <c:v>3.32</c:v>
                </c:pt>
                <c:pt idx="133">
                  <c:v>3.4699999999999998</c:v>
                </c:pt>
                <c:pt idx="134">
                  <c:v>3.64</c:v>
                </c:pt>
                <c:pt idx="135">
                  <c:v>3.8899999999999997</c:v>
                </c:pt>
                <c:pt idx="136">
                  <c:v>3.96</c:v>
                </c:pt>
                <c:pt idx="137">
                  <c:v>3.96</c:v>
                </c:pt>
                <c:pt idx="138">
                  <c:v>4.01</c:v>
                </c:pt>
                <c:pt idx="139">
                  <c:v>3.88</c:v>
                </c:pt>
                <c:pt idx="140">
                  <c:v>3.75</c:v>
                </c:pt>
                <c:pt idx="141">
                  <c:v>3.79</c:v>
                </c:pt>
                <c:pt idx="142">
                  <c:v>3.71</c:v>
                </c:pt>
                <c:pt idx="143">
                  <c:v>3.77</c:v>
                </c:pt>
                <c:pt idx="144">
                  <c:v>4.0199999999999996</c:v>
                </c:pt>
                <c:pt idx="145">
                  <c:v>4.05</c:v>
                </c:pt>
                <c:pt idx="146">
                  <c:v>3.94</c:v>
                </c:pt>
                <c:pt idx="147">
                  <c:v>4.1499999999999995</c:v>
                </c:pt>
                <c:pt idx="148">
                  <c:v>4.28</c:v>
                </c:pt>
                <c:pt idx="149">
                  <c:v>4.5599999999999996</c:v>
                </c:pt>
                <c:pt idx="150">
                  <c:v>4.5</c:v>
                </c:pt>
                <c:pt idx="151">
                  <c:v>4.3</c:v>
                </c:pt>
                <c:pt idx="152">
                  <c:v>4.22</c:v>
                </c:pt>
                <c:pt idx="153">
                  <c:v>4.28</c:v>
                </c:pt>
                <c:pt idx="154">
                  <c:v>4.09</c:v>
                </c:pt>
                <c:pt idx="155">
                  <c:v>4.21</c:v>
                </c:pt>
                <c:pt idx="156">
                  <c:v>4.03</c:v>
                </c:pt>
                <c:pt idx="157">
                  <c:v>3.9499999999999997</c:v>
                </c:pt>
                <c:pt idx="158">
                  <c:v>3.8</c:v>
                </c:pt>
                <c:pt idx="159">
                  <c:v>4.04</c:v>
                </c:pt>
                <c:pt idx="160">
                  <c:v>4.2</c:v>
                </c:pt>
                <c:pt idx="161">
                  <c:v>4.5199999999999996</c:v>
                </c:pt>
                <c:pt idx="162">
                  <c:v>4.49</c:v>
                </c:pt>
                <c:pt idx="163">
                  <c:v>4.2</c:v>
                </c:pt>
                <c:pt idx="164">
                  <c:v>4.09</c:v>
                </c:pt>
                <c:pt idx="165">
                  <c:v>3.88</c:v>
                </c:pt>
                <c:pt idx="166">
                  <c:v>3.56</c:v>
                </c:pt>
                <c:pt idx="167">
                  <c:v>3.05</c:v>
                </c:pt>
                <c:pt idx="168">
                  <c:v>3.07</c:v>
                </c:pt>
                <c:pt idx="169">
                  <c:v>3.13</c:v>
                </c:pt>
                <c:pt idx="170">
                  <c:v>3.02</c:v>
                </c:pt>
                <c:pt idx="171">
                  <c:v>3.13</c:v>
                </c:pt>
                <c:pt idx="172">
                  <c:v>3.3699999999999997</c:v>
                </c:pt>
                <c:pt idx="173">
                  <c:v>3.4699999999999998</c:v>
                </c:pt>
                <c:pt idx="174">
                  <c:v>3.34</c:v>
                </c:pt>
                <c:pt idx="175">
                  <c:v>3.3099999999999987</c:v>
                </c:pt>
                <c:pt idx="176">
                  <c:v>3.2600000000000002</c:v>
                </c:pt>
                <c:pt idx="177">
                  <c:v>3.21</c:v>
                </c:pt>
                <c:pt idx="178">
                  <c:v>3.22</c:v>
                </c:pt>
                <c:pt idx="179">
                  <c:v>3.14</c:v>
                </c:pt>
                <c:pt idx="180">
                  <c:v>3.2600000000000002</c:v>
                </c:pt>
                <c:pt idx="181">
                  <c:v>3.17</c:v>
                </c:pt>
                <c:pt idx="182">
                  <c:v>3.1</c:v>
                </c:pt>
                <c:pt idx="183">
                  <c:v>3.06</c:v>
                </c:pt>
                <c:pt idx="184">
                  <c:v>2.73</c:v>
                </c:pt>
                <c:pt idx="185">
                  <c:v>2.54</c:v>
                </c:pt>
                <c:pt idx="186">
                  <c:v>2.62</c:v>
                </c:pt>
                <c:pt idx="187">
                  <c:v>2.3499999999999988</c:v>
                </c:pt>
                <c:pt idx="188">
                  <c:v>2.2999999999999998</c:v>
                </c:pt>
                <c:pt idx="189">
                  <c:v>2.3499999999999988</c:v>
                </c:pt>
                <c:pt idx="190">
                  <c:v>2.5299999999999998</c:v>
                </c:pt>
                <c:pt idx="191">
                  <c:v>2.9099999999999997</c:v>
                </c:pt>
                <c:pt idx="192">
                  <c:v>3.02</c:v>
                </c:pt>
                <c:pt idx="193">
                  <c:v>3.2</c:v>
                </c:pt>
                <c:pt idx="194">
                  <c:v>3.21</c:v>
                </c:pt>
                <c:pt idx="195">
                  <c:v>3.34</c:v>
                </c:pt>
                <c:pt idx="196">
                  <c:v>3.06</c:v>
                </c:pt>
                <c:pt idx="197">
                  <c:v>2.8899999999999997</c:v>
                </c:pt>
                <c:pt idx="198">
                  <c:v>2.74</c:v>
                </c:pt>
                <c:pt idx="199">
                  <c:v>2.21</c:v>
                </c:pt>
                <c:pt idx="200">
                  <c:v>1.83</c:v>
                </c:pt>
                <c:pt idx="201">
                  <c:v>2</c:v>
                </c:pt>
                <c:pt idx="202">
                  <c:v>1.87</c:v>
                </c:pt>
                <c:pt idx="203">
                  <c:v>1.9300000000000026</c:v>
                </c:pt>
                <c:pt idx="204">
                  <c:v>1.82</c:v>
                </c:pt>
                <c:pt idx="205">
                  <c:v>1.85</c:v>
                </c:pt>
                <c:pt idx="206">
                  <c:v>1.83</c:v>
                </c:pt>
                <c:pt idx="207">
                  <c:v>1.62</c:v>
                </c:pt>
                <c:pt idx="208">
                  <c:v>1.34</c:v>
                </c:pt>
                <c:pt idx="209">
                  <c:v>1.3</c:v>
                </c:pt>
              </c:numCache>
            </c:numRef>
          </c:val>
        </c:ser>
        <c:ser>
          <c:idx val="1"/>
          <c:order val="1"/>
          <c:tx>
            <c:v>Spain</c:v>
          </c:tx>
          <c:spPr>
            <a:ln w="41275" cmpd="dbl"/>
          </c:spPr>
          <c:marker>
            <c:symbol val="none"/>
          </c:marker>
          <c:cat>
            <c:strRef>
              <c:f>'Annual bond rate'!$W$7:$HX$8</c:f>
              <c:strCache>
                <c:ptCount val="210"/>
                <c:pt idx="0">
                  <c:v>Jan-1995</c:v>
                </c:pt>
                <c:pt idx="1">
                  <c:v>Feb-1995</c:v>
                </c:pt>
                <c:pt idx="2">
                  <c:v>Mar-1995</c:v>
                </c:pt>
                <c:pt idx="3">
                  <c:v>Apr-1995</c:v>
                </c:pt>
                <c:pt idx="4">
                  <c:v>May-1995</c:v>
                </c:pt>
                <c:pt idx="5">
                  <c:v>Jun-1995</c:v>
                </c:pt>
                <c:pt idx="6">
                  <c:v>Jul-1995</c:v>
                </c:pt>
                <c:pt idx="7">
                  <c:v>Aug-1995</c:v>
                </c:pt>
                <c:pt idx="8">
                  <c:v>Sep-1995</c:v>
                </c:pt>
                <c:pt idx="9">
                  <c:v>Oct-1995</c:v>
                </c:pt>
                <c:pt idx="10">
                  <c:v>Nov-1995</c:v>
                </c:pt>
                <c:pt idx="11">
                  <c:v>Dec-1995</c:v>
                </c:pt>
                <c:pt idx="12">
                  <c:v>Jan-1996</c:v>
                </c:pt>
                <c:pt idx="13">
                  <c:v>Feb-1996</c:v>
                </c:pt>
                <c:pt idx="14">
                  <c:v>Mar-1996</c:v>
                </c:pt>
                <c:pt idx="15">
                  <c:v>Apr-1996</c:v>
                </c:pt>
                <c:pt idx="16">
                  <c:v>May-1996</c:v>
                </c:pt>
                <c:pt idx="17">
                  <c:v>Jun-1996</c:v>
                </c:pt>
                <c:pt idx="18">
                  <c:v>Jul-1996</c:v>
                </c:pt>
                <c:pt idx="19">
                  <c:v>Aug-1996</c:v>
                </c:pt>
                <c:pt idx="20">
                  <c:v>Sep-1996</c:v>
                </c:pt>
                <c:pt idx="21">
                  <c:v>Oct-1996</c:v>
                </c:pt>
                <c:pt idx="22">
                  <c:v>Nov-1996</c:v>
                </c:pt>
                <c:pt idx="23">
                  <c:v>Dec-1996</c:v>
                </c:pt>
                <c:pt idx="24">
                  <c:v>Jan-1997</c:v>
                </c:pt>
                <c:pt idx="25">
                  <c:v>Feb-1997</c:v>
                </c:pt>
                <c:pt idx="26">
                  <c:v>Mar-1997</c:v>
                </c:pt>
                <c:pt idx="27">
                  <c:v>Apr-1997</c:v>
                </c:pt>
                <c:pt idx="28">
                  <c:v>May-1997</c:v>
                </c:pt>
                <c:pt idx="29">
                  <c:v>Jun-1997</c:v>
                </c:pt>
                <c:pt idx="30">
                  <c:v>Jul-1997</c:v>
                </c:pt>
                <c:pt idx="31">
                  <c:v>Aug-1997</c:v>
                </c:pt>
                <c:pt idx="32">
                  <c:v>Sep-1997</c:v>
                </c:pt>
                <c:pt idx="33">
                  <c:v>Oct-1997</c:v>
                </c:pt>
                <c:pt idx="34">
                  <c:v>Nov-1997</c:v>
                </c:pt>
                <c:pt idx="35">
                  <c:v>Dec-1997</c:v>
                </c:pt>
                <c:pt idx="36">
                  <c:v>Jan-1998</c:v>
                </c:pt>
                <c:pt idx="37">
                  <c:v>Feb-1998</c:v>
                </c:pt>
                <c:pt idx="38">
                  <c:v>Mar-1998</c:v>
                </c:pt>
                <c:pt idx="39">
                  <c:v>Apr-1998</c:v>
                </c:pt>
                <c:pt idx="40">
                  <c:v>May-1998</c:v>
                </c:pt>
                <c:pt idx="41">
                  <c:v>Jun-1998</c:v>
                </c:pt>
                <c:pt idx="42">
                  <c:v>Jul-1998</c:v>
                </c:pt>
                <c:pt idx="43">
                  <c:v>Aug-1998</c:v>
                </c:pt>
                <c:pt idx="44">
                  <c:v>Sep-1998</c:v>
                </c:pt>
                <c:pt idx="45">
                  <c:v>Oct-1998</c:v>
                </c:pt>
                <c:pt idx="46">
                  <c:v>Nov-1998</c:v>
                </c:pt>
                <c:pt idx="47">
                  <c:v>Dec-1998</c:v>
                </c:pt>
                <c:pt idx="48">
                  <c:v>Jan-1999</c:v>
                </c:pt>
                <c:pt idx="49">
                  <c:v>Feb-1999</c:v>
                </c:pt>
                <c:pt idx="50">
                  <c:v>Mar-1999</c:v>
                </c:pt>
                <c:pt idx="51">
                  <c:v>Apr-1999</c:v>
                </c:pt>
                <c:pt idx="52">
                  <c:v>May-1999</c:v>
                </c:pt>
                <c:pt idx="53">
                  <c:v>Jun-1999</c:v>
                </c:pt>
                <c:pt idx="54">
                  <c:v>Jul-1999</c:v>
                </c:pt>
                <c:pt idx="55">
                  <c:v>Aug-1999</c:v>
                </c:pt>
                <c:pt idx="56">
                  <c:v>Sep-1999</c:v>
                </c:pt>
                <c:pt idx="57">
                  <c:v>Oct-1999</c:v>
                </c:pt>
                <c:pt idx="58">
                  <c:v>Nov-1999</c:v>
                </c:pt>
                <c:pt idx="59">
                  <c:v>Dec-1999</c:v>
                </c:pt>
                <c:pt idx="60">
                  <c:v>Jan-2000</c:v>
                </c:pt>
                <c:pt idx="61">
                  <c:v>Feb-2000</c:v>
                </c:pt>
                <c:pt idx="62">
                  <c:v>Mar-2000</c:v>
                </c:pt>
                <c:pt idx="63">
                  <c:v>Apr-2000</c:v>
                </c:pt>
                <c:pt idx="64">
                  <c:v>May-2000</c:v>
                </c:pt>
                <c:pt idx="65">
                  <c:v>Jun-2000</c:v>
                </c:pt>
                <c:pt idx="66">
                  <c:v>Jul-2000</c:v>
                </c:pt>
                <c:pt idx="67">
                  <c:v>Aug-2000</c:v>
                </c:pt>
                <c:pt idx="68">
                  <c:v>Sep-2000</c:v>
                </c:pt>
                <c:pt idx="69">
                  <c:v>Oct-2000</c:v>
                </c:pt>
                <c:pt idx="70">
                  <c:v>Nov-2000</c:v>
                </c:pt>
                <c:pt idx="71">
                  <c:v>Dec-2000</c:v>
                </c:pt>
                <c:pt idx="72">
                  <c:v>Jan-2001</c:v>
                </c:pt>
                <c:pt idx="73">
                  <c:v>Feb-2001</c:v>
                </c:pt>
                <c:pt idx="74">
                  <c:v>Mar-2001</c:v>
                </c:pt>
                <c:pt idx="75">
                  <c:v>Apr-2001</c:v>
                </c:pt>
                <c:pt idx="76">
                  <c:v>May-2001</c:v>
                </c:pt>
                <c:pt idx="77">
                  <c:v>Jun-2001</c:v>
                </c:pt>
                <c:pt idx="78">
                  <c:v>Jul-2001</c:v>
                </c:pt>
                <c:pt idx="79">
                  <c:v>Aug-2001</c:v>
                </c:pt>
                <c:pt idx="80">
                  <c:v>Sep-2001</c:v>
                </c:pt>
                <c:pt idx="81">
                  <c:v>Oct-2001</c:v>
                </c:pt>
                <c:pt idx="82">
                  <c:v>Nov-2001</c:v>
                </c:pt>
                <c:pt idx="83">
                  <c:v>Dec-2001</c:v>
                </c:pt>
                <c:pt idx="84">
                  <c:v>Jan-2002</c:v>
                </c:pt>
                <c:pt idx="85">
                  <c:v>Feb-2002</c:v>
                </c:pt>
                <c:pt idx="86">
                  <c:v>Mar-2002</c:v>
                </c:pt>
                <c:pt idx="87">
                  <c:v>Apr-2002</c:v>
                </c:pt>
                <c:pt idx="88">
                  <c:v>May-2002</c:v>
                </c:pt>
                <c:pt idx="89">
                  <c:v>Jun-2002</c:v>
                </c:pt>
                <c:pt idx="90">
                  <c:v>Jul-2002</c:v>
                </c:pt>
                <c:pt idx="91">
                  <c:v>Aug-2002</c:v>
                </c:pt>
                <c:pt idx="92">
                  <c:v>Sep-2002</c:v>
                </c:pt>
                <c:pt idx="93">
                  <c:v>Oct-2002</c:v>
                </c:pt>
                <c:pt idx="94">
                  <c:v>Nov-2002</c:v>
                </c:pt>
                <c:pt idx="95">
                  <c:v>Dec-2002</c:v>
                </c:pt>
                <c:pt idx="96">
                  <c:v>Jan-2003</c:v>
                </c:pt>
                <c:pt idx="97">
                  <c:v>Feb-2003</c:v>
                </c:pt>
                <c:pt idx="98">
                  <c:v>Mar-2003</c:v>
                </c:pt>
                <c:pt idx="99">
                  <c:v>Apr-2003</c:v>
                </c:pt>
                <c:pt idx="100">
                  <c:v>May-2003</c:v>
                </c:pt>
                <c:pt idx="101">
                  <c:v>Jun-2003</c:v>
                </c:pt>
                <c:pt idx="102">
                  <c:v>Jul-2003</c:v>
                </c:pt>
                <c:pt idx="103">
                  <c:v>Aug-2003</c:v>
                </c:pt>
                <c:pt idx="104">
                  <c:v>Sep-2003</c:v>
                </c:pt>
                <c:pt idx="105">
                  <c:v>Oct-2003</c:v>
                </c:pt>
                <c:pt idx="106">
                  <c:v>Nov-2003</c:v>
                </c:pt>
                <c:pt idx="107">
                  <c:v>Dec-2003</c:v>
                </c:pt>
                <c:pt idx="108">
                  <c:v>Jan-2004</c:v>
                </c:pt>
                <c:pt idx="109">
                  <c:v>Feb-2004</c:v>
                </c:pt>
                <c:pt idx="110">
                  <c:v>Mar-2004</c:v>
                </c:pt>
                <c:pt idx="111">
                  <c:v>Apr-2004</c:v>
                </c:pt>
                <c:pt idx="112">
                  <c:v>May-2004</c:v>
                </c:pt>
                <c:pt idx="113">
                  <c:v>Jun-2004</c:v>
                </c:pt>
                <c:pt idx="114">
                  <c:v>Jul-2004</c:v>
                </c:pt>
                <c:pt idx="115">
                  <c:v>Aug-2004</c:v>
                </c:pt>
                <c:pt idx="116">
                  <c:v>Sep-2004</c:v>
                </c:pt>
                <c:pt idx="117">
                  <c:v>Oct-2004</c:v>
                </c:pt>
                <c:pt idx="118">
                  <c:v>Nov-2004</c:v>
                </c:pt>
                <c:pt idx="119">
                  <c:v>Dec-2004</c:v>
                </c:pt>
                <c:pt idx="120">
                  <c:v>Jan-2005</c:v>
                </c:pt>
                <c:pt idx="121">
                  <c:v>Feb-2005</c:v>
                </c:pt>
                <c:pt idx="122">
                  <c:v>Mar-2005</c:v>
                </c:pt>
                <c:pt idx="123">
                  <c:v>Apr-2005</c:v>
                </c:pt>
                <c:pt idx="124">
                  <c:v>May-2005</c:v>
                </c:pt>
                <c:pt idx="125">
                  <c:v>Jun-2005</c:v>
                </c:pt>
                <c:pt idx="126">
                  <c:v>Jul-2005</c:v>
                </c:pt>
                <c:pt idx="127">
                  <c:v>Aug-2005</c:v>
                </c:pt>
                <c:pt idx="128">
                  <c:v>Sep-2005</c:v>
                </c:pt>
                <c:pt idx="129">
                  <c:v>Oct-2005</c:v>
                </c:pt>
                <c:pt idx="130">
                  <c:v>Nov-2005</c:v>
                </c:pt>
                <c:pt idx="131">
                  <c:v>Dec-2005</c:v>
                </c:pt>
                <c:pt idx="132">
                  <c:v>Jan-2006</c:v>
                </c:pt>
                <c:pt idx="133">
                  <c:v>Feb-2006</c:v>
                </c:pt>
                <c:pt idx="134">
                  <c:v>Mar-2006</c:v>
                </c:pt>
                <c:pt idx="135">
                  <c:v>Apr-2006</c:v>
                </c:pt>
                <c:pt idx="136">
                  <c:v>May-2006</c:v>
                </c:pt>
                <c:pt idx="137">
                  <c:v>Jun-2006</c:v>
                </c:pt>
                <c:pt idx="138">
                  <c:v>Jul-2006</c:v>
                </c:pt>
                <c:pt idx="139">
                  <c:v>Aug-2006</c:v>
                </c:pt>
                <c:pt idx="140">
                  <c:v>Sep-2006</c:v>
                </c:pt>
                <c:pt idx="141">
                  <c:v>Oct-2006</c:v>
                </c:pt>
                <c:pt idx="142">
                  <c:v>Nov-2006</c:v>
                </c:pt>
                <c:pt idx="143">
                  <c:v>Dec-2006</c:v>
                </c:pt>
                <c:pt idx="144">
                  <c:v>Jan-2007</c:v>
                </c:pt>
                <c:pt idx="145">
                  <c:v>Feb-2007</c:v>
                </c:pt>
                <c:pt idx="146">
                  <c:v>Mar-2007</c:v>
                </c:pt>
                <c:pt idx="147">
                  <c:v>Apr-2007</c:v>
                </c:pt>
                <c:pt idx="148">
                  <c:v>May-2007</c:v>
                </c:pt>
                <c:pt idx="149">
                  <c:v>Jun-2007</c:v>
                </c:pt>
                <c:pt idx="150">
                  <c:v>Jul-2007</c:v>
                </c:pt>
                <c:pt idx="151">
                  <c:v>Aug-2007</c:v>
                </c:pt>
                <c:pt idx="152">
                  <c:v>Sep-2007</c:v>
                </c:pt>
                <c:pt idx="153">
                  <c:v>Oct-2007</c:v>
                </c:pt>
                <c:pt idx="154">
                  <c:v>Nov-2007</c:v>
                </c:pt>
                <c:pt idx="155">
                  <c:v>Dec-2007</c:v>
                </c:pt>
                <c:pt idx="156">
                  <c:v>Jan-2008</c:v>
                </c:pt>
                <c:pt idx="157">
                  <c:v>Feb-2008</c:v>
                </c:pt>
                <c:pt idx="158">
                  <c:v>Mar-2008</c:v>
                </c:pt>
                <c:pt idx="159">
                  <c:v>Apr-2008</c:v>
                </c:pt>
                <c:pt idx="160">
                  <c:v>May-2008</c:v>
                </c:pt>
                <c:pt idx="161">
                  <c:v>Jun-2008</c:v>
                </c:pt>
                <c:pt idx="162">
                  <c:v>Jul-2008</c:v>
                </c:pt>
                <c:pt idx="163">
                  <c:v>Aug-2008</c:v>
                </c:pt>
                <c:pt idx="164">
                  <c:v>Sep-2008</c:v>
                </c:pt>
                <c:pt idx="165">
                  <c:v>Oct-2008</c:v>
                </c:pt>
                <c:pt idx="166">
                  <c:v>Nov-2008</c:v>
                </c:pt>
                <c:pt idx="167">
                  <c:v>Dec-2008</c:v>
                </c:pt>
                <c:pt idx="168">
                  <c:v>Jan-2009</c:v>
                </c:pt>
                <c:pt idx="169">
                  <c:v>Feb-2009</c:v>
                </c:pt>
                <c:pt idx="170">
                  <c:v>Mar-2009</c:v>
                </c:pt>
                <c:pt idx="171">
                  <c:v>Apr-2009</c:v>
                </c:pt>
                <c:pt idx="172">
                  <c:v>May-2009</c:v>
                </c:pt>
                <c:pt idx="173">
                  <c:v>Jun-2009</c:v>
                </c:pt>
                <c:pt idx="174">
                  <c:v>Jul-2009</c:v>
                </c:pt>
                <c:pt idx="175">
                  <c:v>Aug-2009</c:v>
                </c:pt>
                <c:pt idx="176">
                  <c:v>Sep-2009</c:v>
                </c:pt>
                <c:pt idx="177">
                  <c:v>Oct-2009</c:v>
                </c:pt>
                <c:pt idx="178">
                  <c:v>Nov-2009</c:v>
                </c:pt>
                <c:pt idx="179">
                  <c:v>Dec-2009</c:v>
                </c:pt>
                <c:pt idx="180">
                  <c:v>Jan-2010</c:v>
                </c:pt>
                <c:pt idx="181">
                  <c:v>Feb-2010</c:v>
                </c:pt>
                <c:pt idx="182">
                  <c:v>Mar-2010</c:v>
                </c:pt>
                <c:pt idx="183">
                  <c:v>Apr-2010</c:v>
                </c:pt>
                <c:pt idx="184">
                  <c:v>May-2010</c:v>
                </c:pt>
                <c:pt idx="185">
                  <c:v>Jun-2010</c:v>
                </c:pt>
                <c:pt idx="186">
                  <c:v>Jul-2010</c:v>
                </c:pt>
                <c:pt idx="187">
                  <c:v>Aug-2010</c:v>
                </c:pt>
                <c:pt idx="188">
                  <c:v>Sep-2010</c:v>
                </c:pt>
                <c:pt idx="189">
                  <c:v>Oct-2010</c:v>
                </c:pt>
                <c:pt idx="190">
                  <c:v>Nov-2010</c:v>
                </c:pt>
                <c:pt idx="191">
                  <c:v>Dec-2010</c:v>
                </c:pt>
                <c:pt idx="192">
                  <c:v>Jan-2011</c:v>
                </c:pt>
                <c:pt idx="193">
                  <c:v>Feb-2011</c:v>
                </c:pt>
                <c:pt idx="194">
                  <c:v>Mar-2011</c:v>
                </c:pt>
                <c:pt idx="195">
                  <c:v>Apr-2011</c:v>
                </c:pt>
                <c:pt idx="196">
                  <c:v>May-2011</c:v>
                </c:pt>
                <c:pt idx="197">
                  <c:v>Jun-2011</c:v>
                </c:pt>
                <c:pt idx="198">
                  <c:v>Jul-2011</c:v>
                </c:pt>
                <c:pt idx="199">
                  <c:v>Aug-2011</c:v>
                </c:pt>
                <c:pt idx="200">
                  <c:v>Sep-2011</c:v>
                </c:pt>
                <c:pt idx="201">
                  <c:v>Oct-2011</c:v>
                </c:pt>
                <c:pt idx="202">
                  <c:v>Nov-2011</c:v>
                </c:pt>
                <c:pt idx="203">
                  <c:v>Dec-2011</c:v>
                </c:pt>
                <c:pt idx="204">
                  <c:v>Jan-2012</c:v>
                </c:pt>
                <c:pt idx="205">
                  <c:v>Feb-2012</c:v>
                </c:pt>
                <c:pt idx="206">
                  <c:v>Mar-2012</c:v>
                </c:pt>
                <c:pt idx="207">
                  <c:v>Apr-2012</c:v>
                </c:pt>
                <c:pt idx="208">
                  <c:v>May-2012</c:v>
                </c:pt>
                <c:pt idx="209">
                  <c:v>Jun-2012</c:v>
                </c:pt>
              </c:strCache>
            </c:strRef>
          </c:cat>
          <c:val>
            <c:numRef>
              <c:f>'Annual bond rate'!$W$10:$HX$10</c:f>
              <c:numCache>
                <c:formatCode>General</c:formatCode>
                <c:ptCount val="210"/>
                <c:pt idx="0">
                  <c:v>11.862000000000025</c:v>
                </c:pt>
                <c:pt idx="1">
                  <c:v>11.596</c:v>
                </c:pt>
                <c:pt idx="2">
                  <c:v>12.261000000000001</c:v>
                </c:pt>
                <c:pt idx="3">
                  <c:v>12.092000000000002</c:v>
                </c:pt>
                <c:pt idx="4">
                  <c:v>11.411</c:v>
                </c:pt>
                <c:pt idx="5">
                  <c:v>11.538</c:v>
                </c:pt>
                <c:pt idx="6">
                  <c:v>11.334</c:v>
                </c:pt>
                <c:pt idx="7">
                  <c:v>10.971</c:v>
                </c:pt>
                <c:pt idx="8">
                  <c:v>10.803000000000004</c:v>
                </c:pt>
                <c:pt idx="9">
                  <c:v>10.893000000000002</c:v>
                </c:pt>
                <c:pt idx="10">
                  <c:v>10.541</c:v>
                </c:pt>
                <c:pt idx="11">
                  <c:v>9.9500000000000028</c:v>
                </c:pt>
                <c:pt idx="12">
                  <c:v>9.4640000000000004</c:v>
                </c:pt>
                <c:pt idx="13">
                  <c:v>9.7050000000000001</c:v>
                </c:pt>
                <c:pt idx="14">
                  <c:v>9.8930000000000007</c:v>
                </c:pt>
                <c:pt idx="15">
                  <c:v>9.3230000000000004</c:v>
                </c:pt>
                <c:pt idx="16">
                  <c:v>9.1710000000000012</c:v>
                </c:pt>
                <c:pt idx="17">
                  <c:v>9.109</c:v>
                </c:pt>
                <c:pt idx="18">
                  <c:v>8.7760000000000016</c:v>
                </c:pt>
                <c:pt idx="19">
                  <c:v>8.862000000000025</c:v>
                </c:pt>
                <c:pt idx="20">
                  <c:v>8.4360000000000035</c:v>
                </c:pt>
                <c:pt idx="21">
                  <c:v>7.76</c:v>
                </c:pt>
                <c:pt idx="22">
                  <c:v>7.3419999999999996</c:v>
                </c:pt>
                <c:pt idx="23">
                  <c:v>7</c:v>
                </c:pt>
                <c:pt idx="24">
                  <c:v>6.83</c:v>
                </c:pt>
                <c:pt idx="25">
                  <c:v>6.74</c:v>
                </c:pt>
                <c:pt idx="26">
                  <c:v>7.03</c:v>
                </c:pt>
                <c:pt idx="27">
                  <c:v>6.95</c:v>
                </c:pt>
                <c:pt idx="28">
                  <c:v>6.6099999999999985</c:v>
                </c:pt>
                <c:pt idx="29">
                  <c:v>6.4700000000000024</c:v>
                </c:pt>
                <c:pt idx="30">
                  <c:v>6.21</c:v>
                </c:pt>
                <c:pt idx="31">
                  <c:v>6.3</c:v>
                </c:pt>
                <c:pt idx="32">
                  <c:v>6.09</c:v>
                </c:pt>
                <c:pt idx="33">
                  <c:v>5.98</c:v>
                </c:pt>
                <c:pt idx="34">
                  <c:v>5.96</c:v>
                </c:pt>
                <c:pt idx="35">
                  <c:v>5.64</c:v>
                </c:pt>
                <c:pt idx="36">
                  <c:v>5.4</c:v>
                </c:pt>
                <c:pt idx="37">
                  <c:v>5.24</c:v>
                </c:pt>
                <c:pt idx="38">
                  <c:v>5.09</c:v>
                </c:pt>
                <c:pt idx="39">
                  <c:v>5.0599999999999996</c:v>
                </c:pt>
                <c:pt idx="40">
                  <c:v>5.13</c:v>
                </c:pt>
                <c:pt idx="41">
                  <c:v>5.0199999999999996</c:v>
                </c:pt>
                <c:pt idx="42">
                  <c:v>4.9400000000000004</c:v>
                </c:pt>
                <c:pt idx="43">
                  <c:v>4.74</c:v>
                </c:pt>
                <c:pt idx="44">
                  <c:v>4.4700000000000024</c:v>
                </c:pt>
                <c:pt idx="45">
                  <c:v>4.4300000000000024</c:v>
                </c:pt>
                <c:pt idx="46">
                  <c:v>4.41</c:v>
                </c:pt>
                <c:pt idx="47">
                  <c:v>4.08</c:v>
                </c:pt>
                <c:pt idx="48">
                  <c:v>3.88</c:v>
                </c:pt>
                <c:pt idx="49">
                  <c:v>4.0199999999999996</c:v>
                </c:pt>
                <c:pt idx="50">
                  <c:v>4.26</c:v>
                </c:pt>
                <c:pt idx="51">
                  <c:v>4.09</c:v>
                </c:pt>
                <c:pt idx="52">
                  <c:v>4.2699999999999996</c:v>
                </c:pt>
                <c:pt idx="53">
                  <c:v>4.5999999999999996</c:v>
                </c:pt>
                <c:pt idx="54">
                  <c:v>4.91</c:v>
                </c:pt>
                <c:pt idx="55">
                  <c:v>5.17</c:v>
                </c:pt>
                <c:pt idx="56">
                  <c:v>5.31</c:v>
                </c:pt>
                <c:pt idx="57">
                  <c:v>5.57</c:v>
                </c:pt>
                <c:pt idx="58">
                  <c:v>5.28</c:v>
                </c:pt>
                <c:pt idx="59">
                  <c:v>5.37</c:v>
                </c:pt>
                <c:pt idx="60">
                  <c:v>5.76</c:v>
                </c:pt>
                <c:pt idx="61">
                  <c:v>5.73</c:v>
                </c:pt>
                <c:pt idx="62">
                  <c:v>5.55</c:v>
                </c:pt>
                <c:pt idx="63">
                  <c:v>5.45</c:v>
                </c:pt>
                <c:pt idx="64">
                  <c:v>5.63</c:v>
                </c:pt>
                <c:pt idx="65">
                  <c:v>5.46</c:v>
                </c:pt>
                <c:pt idx="66">
                  <c:v>5.53</c:v>
                </c:pt>
                <c:pt idx="67">
                  <c:v>5.5</c:v>
                </c:pt>
                <c:pt idx="68">
                  <c:v>5.56</c:v>
                </c:pt>
                <c:pt idx="69">
                  <c:v>5.49</c:v>
                </c:pt>
                <c:pt idx="70">
                  <c:v>5.45</c:v>
                </c:pt>
                <c:pt idx="71">
                  <c:v>5.2</c:v>
                </c:pt>
                <c:pt idx="72">
                  <c:v>5.08</c:v>
                </c:pt>
                <c:pt idx="73">
                  <c:v>5.1199999999999966</c:v>
                </c:pt>
                <c:pt idx="74">
                  <c:v>5.04</c:v>
                </c:pt>
                <c:pt idx="75">
                  <c:v>5.18</c:v>
                </c:pt>
                <c:pt idx="76">
                  <c:v>5.3599999999999985</c:v>
                </c:pt>
                <c:pt idx="77">
                  <c:v>5.33</c:v>
                </c:pt>
                <c:pt idx="78">
                  <c:v>5.35</c:v>
                </c:pt>
                <c:pt idx="79">
                  <c:v>5.1599999999999975</c:v>
                </c:pt>
                <c:pt idx="80">
                  <c:v>5.14</c:v>
                </c:pt>
                <c:pt idx="81">
                  <c:v>4.91</c:v>
                </c:pt>
                <c:pt idx="82">
                  <c:v>4.76</c:v>
                </c:pt>
                <c:pt idx="83">
                  <c:v>4.9700000000000024</c:v>
                </c:pt>
                <c:pt idx="84">
                  <c:v>5.05</c:v>
                </c:pt>
                <c:pt idx="85">
                  <c:v>5.1099999999999985</c:v>
                </c:pt>
                <c:pt idx="86">
                  <c:v>5.34</c:v>
                </c:pt>
                <c:pt idx="87">
                  <c:v>5.34</c:v>
                </c:pt>
                <c:pt idx="88">
                  <c:v>5.3599999999999985</c:v>
                </c:pt>
                <c:pt idx="89">
                  <c:v>5.23</c:v>
                </c:pt>
                <c:pt idx="90">
                  <c:v>5.07</c:v>
                </c:pt>
                <c:pt idx="91">
                  <c:v>4.78</c:v>
                </c:pt>
                <c:pt idx="92">
                  <c:v>4.58</c:v>
                </c:pt>
                <c:pt idx="93">
                  <c:v>4.6199999999999966</c:v>
                </c:pt>
                <c:pt idx="94">
                  <c:v>4.5999999999999996</c:v>
                </c:pt>
                <c:pt idx="95">
                  <c:v>4.4300000000000024</c:v>
                </c:pt>
                <c:pt idx="96">
                  <c:v>4.24</c:v>
                </c:pt>
                <c:pt idx="97">
                  <c:v>4.01</c:v>
                </c:pt>
                <c:pt idx="98">
                  <c:v>4.04</c:v>
                </c:pt>
                <c:pt idx="99">
                  <c:v>4.1899999999999995</c:v>
                </c:pt>
                <c:pt idx="100">
                  <c:v>3.88</c:v>
                </c:pt>
                <c:pt idx="101">
                  <c:v>3.7</c:v>
                </c:pt>
                <c:pt idx="102">
                  <c:v>4.03</c:v>
                </c:pt>
                <c:pt idx="103">
                  <c:v>4.1899999999999995</c:v>
                </c:pt>
                <c:pt idx="104">
                  <c:v>4.21</c:v>
                </c:pt>
                <c:pt idx="105">
                  <c:v>4.2699999999999996</c:v>
                </c:pt>
                <c:pt idx="106">
                  <c:v>4.4000000000000004</c:v>
                </c:pt>
                <c:pt idx="107">
                  <c:v>4.34</c:v>
                </c:pt>
                <c:pt idx="108">
                  <c:v>4.1899999999999995</c:v>
                </c:pt>
                <c:pt idx="109">
                  <c:v>4.1499999999999995</c:v>
                </c:pt>
                <c:pt idx="110">
                  <c:v>4.01</c:v>
                </c:pt>
                <c:pt idx="111">
                  <c:v>4.2</c:v>
                </c:pt>
                <c:pt idx="112">
                  <c:v>4.33</c:v>
                </c:pt>
                <c:pt idx="113">
                  <c:v>4.3899999999999997</c:v>
                </c:pt>
                <c:pt idx="114">
                  <c:v>4.28</c:v>
                </c:pt>
                <c:pt idx="115">
                  <c:v>4.1499999999999995</c:v>
                </c:pt>
                <c:pt idx="116">
                  <c:v>4.08</c:v>
                </c:pt>
                <c:pt idx="117">
                  <c:v>3.9699999999999998</c:v>
                </c:pt>
                <c:pt idx="118">
                  <c:v>3.8499999999999988</c:v>
                </c:pt>
                <c:pt idx="119">
                  <c:v>3.64</c:v>
                </c:pt>
                <c:pt idx="120">
                  <c:v>3.59</c:v>
                </c:pt>
                <c:pt idx="121">
                  <c:v>3.58</c:v>
                </c:pt>
                <c:pt idx="122">
                  <c:v>3.73</c:v>
                </c:pt>
                <c:pt idx="123">
                  <c:v>3.53</c:v>
                </c:pt>
                <c:pt idx="124">
                  <c:v>3.36</c:v>
                </c:pt>
                <c:pt idx="125">
                  <c:v>3.19</c:v>
                </c:pt>
                <c:pt idx="126">
                  <c:v>3.22</c:v>
                </c:pt>
                <c:pt idx="127">
                  <c:v>3.23</c:v>
                </c:pt>
                <c:pt idx="128">
                  <c:v>3.09</c:v>
                </c:pt>
                <c:pt idx="129">
                  <c:v>3.27</c:v>
                </c:pt>
                <c:pt idx="130">
                  <c:v>3.48</c:v>
                </c:pt>
                <c:pt idx="131">
                  <c:v>3.3699999999999997</c:v>
                </c:pt>
                <c:pt idx="132">
                  <c:v>3.3309999999999977</c:v>
                </c:pt>
                <c:pt idx="133">
                  <c:v>3.48</c:v>
                </c:pt>
                <c:pt idx="134">
                  <c:v>3.65</c:v>
                </c:pt>
                <c:pt idx="135">
                  <c:v>3.92</c:v>
                </c:pt>
                <c:pt idx="136">
                  <c:v>3.9899999999999998</c:v>
                </c:pt>
                <c:pt idx="137">
                  <c:v>3.9899999999999998</c:v>
                </c:pt>
                <c:pt idx="138">
                  <c:v>4.0199999999999996</c:v>
                </c:pt>
                <c:pt idx="139">
                  <c:v>3.8899999999999997</c:v>
                </c:pt>
                <c:pt idx="140">
                  <c:v>3.7600000000000002</c:v>
                </c:pt>
                <c:pt idx="141">
                  <c:v>3.8099999999999987</c:v>
                </c:pt>
                <c:pt idx="142">
                  <c:v>3.75</c:v>
                </c:pt>
                <c:pt idx="143">
                  <c:v>3.82</c:v>
                </c:pt>
                <c:pt idx="144">
                  <c:v>4.07</c:v>
                </c:pt>
                <c:pt idx="145">
                  <c:v>4.1099999999999985</c:v>
                </c:pt>
                <c:pt idx="146">
                  <c:v>4.01</c:v>
                </c:pt>
                <c:pt idx="147">
                  <c:v>4.2089999999999996</c:v>
                </c:pt>
                <c:pt idx="148">
                  <c:v>4.3360000000000003</c:v>
                </c:pt>
                <c:pt idx="149">
                  <c:v>4.6189999999999891</c:v>
                </c:pt>
                <c:pt idx="150">
                  <c:v>4.5949999999999891</c:v>
                </c:pt>
                <c:pt idx="151">
                  <c:v>4.397999999999989</c:v>
                </c:pt>
                <c:pt idx="152">
                  <c:v>4.3539999999999965</c:v>
                </c:pt>
                <c:pt idx="153">
                  <c:v>4.3789999999999996</c:v>
                </c:pt>
                <c:pt idx="154">
                  <c:v>4.2489999999999997</c:v>
                </c:pt>
                <c:pt idx="155">
                  <c:v>4.3479999999999945</c:v>
                </c:pt>
                <c:pt idx="156">
                  <c:v>4.18</c:v>
                </c:pt>
                <c:pt idx="157">
                  <c:v>4.1429999999999945</c:v>
                </c:pt>
                <c:pt idx="158">
                  <c:v>4.1159999999999881</c:v>
                </c:pt>
                <c:pt idx="159">
                  <c:v>4.3109999999999955</c:v>
                </c:pt>
                <c:pt idx="160">
                  <c:v>4.4219999999999997</c:v>
                </c:pt>
                <c:pt idx="161">
                  <c:v>4.7919999999999998</c:v>
                </c:pt>
                <c:pt idx="162">
                  <c:v>4.7990000000000004</c:v>
                </c:pt>
                <c:pt idx="163">
                  <c:v>4.5590000000000002</c:v>
                </c:pt>
                <c:pt idx="164">
                  <c:v>4.5659999999999945</c:v>
                </c:pt>
                <c:pt idx="165">
                  <c:v>4.4660000000000002</c:v>
                </c:pt>
                <c:pt idx="166">
                  <c:v>4.1459999999999955</c:v>
                </c:pt>
                <c:pt idx="167">
                  <c:v>3.8579999999999997</c:v>
                </c:pt>
                <c:pt idx="168">
                  <c:v>4.1499999999999995</c:v>
                </c:pt>
                <c:pt idx="169">
                  <c:v>4.234</c:v>
                </c:pt>
                <c:pt idx="170">
                  <c:v>4.0590000000000002</c:v>
                </c:pt>
                <c:pt idx="171">
                  <c:v>4.0060000000000002</c:v>
                </c:pt>
                <c:pt idx="172">
                  <c:v>4.0539999999999985</c:v>
                </c:pt>
                <c:pt idx="173">
                  <c:v>4.2350000000000003</c:v>
                </c:pt>
                <c:pt idx="174">
                  <c:v>4.0119999999999996</c:v>
                </c:pt>
                <c:pt idx="175">
                  <c:v>3.778</c:v>
                </c:pt>
                <c:pt idx="176">
                  <c:v>3.8029999999999977</c:v>
                </c:pt>
                <c:pt idx="177">
                  <c:v>3.7709999999999999</c:v>
                </c:pt>
                <c:pt idx="178">
                  <c:v>3.79</c:v>
                </c:pt>
                <c:pt idx="179">
                  <c:v>3.8</c:v>
                </c:pt>
                <c:pt idx="180">
                  <c:v>3.988</c:v>
                </c:pt>
                <c:pt idx="181">
                  <c:v>3.9789999999999988</c:v>
                </c:pt>
                <c:pt idx="182">
                  <c:v>3.8299999999999987</c:v>
                </c:pt>
                <c:pt idx="183">
                  <c:v>3.9009999999999998</c:v>
                </c:pt>
                <c:pt idx="184">
                  <c:v>4.0810000000000004</c:v>
                </c:pt>
                <c:pt idx="185">
                  <c:v>4.556</c:v>
                </c:pt>
                <c:pt idx="186">
                  <c:v>4.4329999999999998</c:v>
                </c:pt>
                <c:pt idx="187">
                  <c:v>4.0369999999999999</c:v>
                </c:pt>
                <c:pt idx="188">
                  <c:v>4.0949999999999891</c:v>
                </c:pt>
                <c:pt idx="189">
                  <c:v>4.0369999999999999</c:v>
                </c:pt>
                <c:pt idx="190">
                  <c:v>4.6859999999999955</c:v>
                </c:pt>
                <c:pt idx="191">
                  <c:v>5.3739999999999997</c:v>
                </c:pt>
                <c:pt idx="192">
                  <c:v>5.3789999999999996</c:v>
                </c:pt>
                <c:pt idx="193">
                  <c:v>5.258</c:v>
                </c:pt>
                <c:pt idx="194">
                  <c:v>5.2489999999999997</c:v>
                </c:pt>
                <c:pt idx="195">
                  <c:v>5.3289999999999891</c:v>
                </c:pt>
                <c:pt idx="196">
                  <c:v>5.3219999999999965</c:v>
                </c:pt>
                <c:pt idx="197">
                  <c:v>5.48</c:v>
                </c:pt>
                <c:pt idx="198">
                  <c:v>5.8249999999999869</c:v>
                </c:pt>
                <c:pt idx="199">
                  <c:v>5.2519999999999998</c:v>
                </c:pt>
                <c:pt idx="200">
                  <c:v>5.2</c:v>
                </c:pt>
                <c:pt idx="201">
                  <c:v>5.2590000000000003</c:v>
                </c:pt>
                <c:pt idx="202">
                  <c:v>6.1919999999999975</c:v>
                </c:pt>
                <c:pt idx="203">
                  <c:v>5.5049999999999955</c:v>
                </c:pt>
                <c:pt idx="204">
                  <c:v>5.399</c:v>
                </c:pt>
                <c:pt idx="205">
                  <c:v>5.1109999999999891</c:v>
                </c:pt>
                <c:pt idx="206">
                  <c:v>5.17</c:v>
                </c:pt>
                <c:pt idx="207">
                  <c:v>5.79</c:v>
                </c:pt>
                <c:pt idx="208">
                  <c:v>6.1259999999999879</c:v>
                </c:pt>
                <c:pt idx="209">
                  <c:v>6.5890000000000004</c:v>
                </c:pt>
              </c:numCache>
            </c:numRef>
          </c:val>
        </c:ser>
        <c:ser>
          <c:idx val="2"/>
          <c:order val="2"/>
          <c:tx>
            <c:v>Euro Area</c:v>
          </c:tx>
          <c:marker>
            <c:symbol val="none"/>
          </c:marker>
          <c:cat>
            <c:strRef>
              <c:f>'Annual bond rate'!$W$7:$HX$8</c:f>
              <c:strCache>
                <c:ptCount val="210"/>
                <c:pt idx="0">
                  <c:v>Jan-1995</c:v>
                </c:pt>
                <c:pt idx="1">
                  <c:v>Feb-1995</c:v>
                </c:pt>
                <c:pt idx="2">
                  <c:v>Mar-1995</c:v>
                </c:pt>
                <c:pt idx="3">
                  <c:v>Apr-1995</c:v>
                </c:pt>
                <c:pt idx="4">
                  <c:v>May-1995</c:v>
                </c:pt>
                <c:pt idx="5">
                  <c:v>Jun-1995</c:v>
                </c:pt>
                <c:pt idx="6">
                  <c:v>Jul-1995</c:v>
                </c:pt>
                <c:pt idx="7">
                  <c:v>Aug-1995</c:v>
                </c:pt>
                <c:pt idx="8">
                  <c:v>Sep-1995</c:v>
                </c:pt>
                <c:pt idx="9">
                  <c:v>Oct-1995</c:v>
                </c:pt>
                <c:pt idx="10">
                  <c:v>Nov-1995</c:v>
                </c:pt>
                <c:pt idx="11">
                  <c:v>Dec-1995</c:v>
                </c:pt>
                <c:pt idx="12">
                  <c:v>Jan-1996</c:v>
                </c:pt>
                <c:pt idx="13">
                  <c:v>Feb-1996</c:v>
                </c:pt>
                <c:pt idx="14">
                  <c:v>Mar-1996</c:v>
                </c:pt>
                <c:pt idx="15">
                  <c:v>Apr-1996</c:v>
                </c:pt>
                <c:pt idx="16">
                  <c:v>May-1996</c:v>
                </c:pt>
                <c:pt idx="17">
                  <c:v>Jun-1996</c:v>
                </c:pt>
                <c:pt idx="18">
                  <c:v>Jul-1996</c:v>
                </c:pt>
                <c:pt idx="19">
                  <c:v>Aug-1996</c:v>
                </c:pt>
                <c:pt idx="20">
                  <c:v>Sep-1996</c:v>
                </c:pt>
                <c:pt idx="21">
                  <c:v>Oct-1996</c:v>
                </c:pt>
                <c:pt idx="22">
                  <c:v>Nov-1996</c:v>
                </c:pt>
                <c:pt idx="23">
                  <c:v>Dec-1996</c:v>
                </c:pt>
                <c:pt idx="24">
                  <c:v>Jan-1997</c:v>
                </c:pt>
                <c:pt idx="25">
                  <c:v>Feb-1997</c:v>
                </c:pt>
                <c:pt idx="26">
                  <c:v>Mar-1997</c:v>
                </c:pt>
                <c:pt idx="27">
                  <c:v>Apr-1997</c:v>
                </c:pt>
                <c:pt idx="28">
                  <c:v>May-1997</c:v>
                </c:pt>
                <c:pt idx="29">
                  <c:v>Jun-1997</c:v>
                </c:pt>
                <c:pt idx="30">
                  <c:v>Jul-1997</c:v>
                </c:pt>
                <c:pt idx="31">
                  <c:v>Aug-1997</c:v>
                </c:pt>
                <c:pt idx="32">
                  <c:v>Sep-1997</c:v>
                </c:pt>
                <c:pt idx="33">
                  <c:v>Oct-1997</c:v>
                </c:pt>
                <c:pt idx="34">
                  <c:v>Nov-1997</c:v>
                </c:pt>
                <c:pt idx="35">
                  <c:v>Dec-1997</c:v>
                </c:pt>
                <c:pt idx="36">
                  <c:v>Jan-1998</c:v>
                </c:pt>
                <c:pt idx="37">
                  <c:v>Feb-1998</c:v>
                </c:pt>
                <c:pt idx="38">
                  <c:v>Mar-1998</c:v>
                </c:pt>
                <c:pt idx="39">
                  <c:v>Apr-1998</c:v>
                </c:pt>
                <c:pt idx="40">
                  <c:v>May-1998</c:v>
                </c:pt>
                <c:pt idx="41">
                  <c:v>Jun-1998</c:v>
                </c:pt>
                <c:pt idx="42">
                  <c:v>Jul-1998</c:v>
                </c:pt>
                <c:pt idx="43">
                  <c:v>Aug-1998</c:v>
                </c:pt>
                <c:pt idx="44">
                  <c:v>Sep-1998</c:v>
                </c:pt>
                <c:pt idx="45">
                  <c:v>Oct-1998</c:v>
                </c:pt>
                <c:pt idx="46">
                  <c:v>Nov-1998</c:v>
                </c:pt>
                <c:pt idx="47">
                  <c:v>Dec-1998</c:v>
                </c:pt>
                <c:pt idx="48">
                  <c:v>Jan-1999</c:v>
                </c:pt>
                <c:pt idx="49">
                  <c:v>Feb-1999</c:v>
                </c:pt>
                <c:pt idx="50">
                  <c:v>Mar-1999</c:v>
                </c:pt>
                <c:pt idx="51">
                  <c:v>Apr-1999</c:v>
                </c:pt>
                <c:pt idx="52">
                  <c:v>May-1999</c:v>
                </c:pt>
                <c:pt idx="53">
                  <c:v>Jun-1999</c:v>
                </c:pt>
                <c:pt idx="54">
                  <c:v>Jul-1999</c:v>
                </c:pt>
                <c:pt idx="55">
                  <c:v>Aug-1999</c:v>
                </c:pt>
                <c:pt idx="56">
                  <c:v>Sep-1999</c:v>
                </c:pt>
                <c:pt idx="57">
                  <c:v>Oct-1999</c:v>
                </c:pt>
                <c:pt idx="58">
                  <c:v>Nov-1999</c:v>
                </c:pt>
                <c:pt idx="59">
                  <c:v>Dec-1999</c:v>
                </c:pt>
                <c:pt idx="60">
                  <c:v>Jan-2000</c:v>
                </c:pt>
                <c:pt idx="61">
                  <c:v>Feb-2000</c:v>
                </c:pt>
                <c:pt idx="62">
                  <c:v>Mar-2000</c:v>
                </c:pt>
                <c:pt idx="63">
                  <c:v>Apr-2000</c:v>
                </c:pt>
                <c:pt idx="64">
                  <c:v>May-2000</c:v>
                </c:pt>
                <c:pt idx="65">
                  <c:v>Jun-2000</c:v>
                </c:pt>
                <c:pt idx="66">
                  <c:v>Jul-2000</c:v>
                </c:pt>
                <c:pt idx="67">
                  <c:v>Aug-2000</c:v>
                </c:pt>
                <c:pt idx="68">
                  <c:v>Sep-2000</c:v>
                </c:pt>
                <c:pt idx="69">
                  <c:v>Oct-2000</c:v>
                </c:pt>
                <c:pt idx="70">
                  <c:v>Nov-2000</c:v>
                </c:pt>
                <c:pt idx="71">
                  <c:v>Dec-2000</c:v>
                </c:pt>
                <c:pt idx="72">
                  <c:v>Jan-2001</c:v>
                </c:pt>
                <c:pt idx="73">
                  <c:v>Feb-2001</c:v>
                </c:pt>
                <c:pt idx="74">
                  <c:v>Mar-2001</c:v>
                </c:pt>
                <c:pt idx="75">
                  <c:v>Apr-2001</c:v>
                </c:pt>
                <c:pt idx="76">
                  <c:v>May-2001</c:v>
                </c:pt>
                <c:pt idx="77">
                  <c:v>Jun-2001</c:v>
                </c:pt>
                <c:pt idx="78">
                  <c:v>Jul-2001</c:v>
                </c:pt>
                <c:pt idx="79">
                  <c:v>Aug-2001</c:v>
                </c:pt>
                <c:pt idx="80">
                  <c:v>Sep-2001</c:v>
                </c:pt>
                <c:pt idx="81">
                  <c:v>Oct-2001</c:v>
                </c:pt>
                <c:pt idx="82">
                  <c:v>Nov-2001</c:v>
                </c:pt>
                <c:pt idx="83">
                  <c:v>Dec-2001</c:v>
                </c:pt>
                <c:pt idx="84">
                  <c:v>Jan-2002</c:v>
                </c:pt>
                <c:pt idx="85">
                  <c:v>Feb-2002</c:v>
                </c:pt>
                <c:pt idx="86">
                  <c:v>Mar-2002</c:v>
                </c:pt>
                <c:pt idx="87">
                  <c:v>Apr-2002</c:v>
                </c:pt>
                <c:pt idx="88">
                  <c:v>May-2002</c:v>
                </c:pt>
                <c:pt idx="89">
                  <c:v>Jun-2002</c:v>
                </c:pt>
                <c:pt idx="90">
                  <c:v>Jul-2002</c:v>
                </c:pt>
                <c:pt idx="91">
                  <c:v>Aug-2002</c:v>
                </c:pt>
                <c:pt idx="92">
                  <c:v>Sep-2002</c:v>
                </c:pt>
                <c:pt idx="93">
                  <c:v>Oct-2002</c:v>
                </c:pt>
                <c:pt idx="94">
                  <c:v>Nov-2002</c:v>
                </c:pt>
                <c:pt idx="95">
                  <c:v>Dec-2002</c:v>
                </c:pt>
                <c:pt idx="96">
                  <c:v>Jan-2003</c:v>
                </c:pt>
                <c:pt idx="97">
                  <c:v>Feb-2003</c:v>
                </c:pt>
                <c:pt idx="98">
                  <c:v>Mar-2003</c:v>
                </c:pt>
                <c:pt idx="99">
                  <c:v>Apr-2003</c:v>
                </c:pt>
                <c:pt idx="100">
                  <c:v>May-2003</c:v>
                </c:pt>
                <c:pt idx="101">
                  <c:v>Jun-2003</c:v>
                </c:pt>
                <c:pt idx="102">
                  <c:v>Jul-2003</c:v>
                </c:pt>
                <c:pt idx="103">
                  <c:v>Aug-2003</c:v>
                </c:pt>
                <c:pt idx="104">
                  <c:v>Sep-2003</c:v>
                </c:pt>
                <c:pt idx="105">
                  <c:v>Oct-2003</c:v>
                </c:pt>
                <c:pt idx="106">
                  <c:v>Nov-2003</c:v>
                </c:pt>
                <c:pt idx="107">
                  <c:v>Dec-2003</c:v>
                </c:pt>
                <c:pt idx="108">
                  <c:v>Jan-2004</c:v>
                </c:pt>
                <c:pt idx="109">
                  <c:v>Feb-2004</c:v>
                </c:pt>
                <c:pt idx="110">
                  <c:v>Mar-2004</c:v>
                </c:pt>
                <c:pt idx="111">
                  <c:v>Apr-2004</c:v>
                </c:pt>
                <c:pt idx="112">
                  <c:v>May-2004</c:v>
                </c:pt>
                <c:pt idx="113">
                  <c:v>Jun-2004</c:v>
                </c:pt>
                <c:pt idx="114">
                  <c:v>Jul-2004</c:v>
                </c:pt>
                <c:pt idx="115">
                  <c:v>Aug-2004</c:v>
                </c:pt>
                <c:pt idx="116">
                  <c:v>Sep-2004</c:v>
                </c:pt>
                <c:pt idx="117">
                  <c:v>Oct-2004</c:v>
                </c:pt>
                <c:pt idx="118">
                  <c:v>Nov-2004</c:v>
                </c:pt>
                <c:pt idx="119">
                  <c:v>Dec-2004</c:v>
                </c:pt>
                <c:pt idx="120">
                  <c:v>Jan-2005</c:v>
                </c:pt>
                <c:pt idx="121">
                  <c:v>Feb-2005</c:v>
                </c:pt>
                <c:pt idx="122">
                  <c:v>Mar-2005</c:v>
                </c:pt>
                <c:pt idx="123">
                  <c:v>Apr-2005</c:v>
                </c:pt>
                <c:pt idx="124">
                  <c:v>May-2005</c:v>
                </c:pt>
                <c:pt idx="125">
                  <c:v>Jun-2005</c:v>
                </c:pt>
                <c:pt idx="126">
                  <c:v>Jul-2005</c:v>
                </c:pt>
                <c:pt idx="127">
                  <c:v>Aug-2005</c:v>
                </c:pt>
                <c:pt idx="128">
                  <c:v>Sep-2005</c:v>
                </c:pt>
                <c:pt idx="129">
                  <c:v>Oct-2005</c:v>
                </c:pt>
                <c:pt idx="130">
                  <c:v>Nov-2005</c:v>
                </c:pt>
                <c:pt idx="131">
                  <c:v>Dec-2005</c:v>
                </c:pt>
                <c:pt idx="132">
                  <c:v>Jan-2006</c:v>
                </c:pt>
                <c:pt idx="133">
                  <c:v>Feb-2006</c:v>
                </c:pt>
                <c:pt idx="134">
                  <c:v>Mar-2006</c:v>
                </c:pt>
                <c:pt idx="135">
                  <c:v>Apr-2006</c:v>
                </c:pt>
                <c:pt idx="136">
                  <c:v>May-2006</c:v>
                </c:pt>
                <c:pt idx="137">
                  <c:v>Jun-2006</c:v>
                </c:pt>
                <c:pt idx="138">
                  <c:v>Jul-2006</c:v>
                </c:pt>
                <c:pt idx="139">
                  <c:v>Aug-2006</c:v>
                </c:pt>
                <c:pt idx="140">
                  <c:v>Sep-2006</c:v>
                </c:pt>
                <c:pt idx="141">
                  <c:v>Oct-2006</c:v>
                </c:pt>
                <c:pt idx="142">
                  <c:v>Nov-2006</c:v>
                </c:pt>
                <c:pt idx="143">
                  <c:v>Dec-2006</c:v>
                </c:pt>
                <c:pt idx="144">
                  <c:v>Jan-2007</c:v>
                </c:pt>
                <c:pt idx="145">
                  <c:v>Feb-2007</c:v>
                </c:pt>
                <c:pt idx="146">
                  <c:v>Mar-2007</c:v>
                </c:pt>
                <c:pt idx="147">
                  <c:v>Apr-2007</c:v>
                </c:pt>
                <c:pt idx="148">
                  <c:v>May-2007</c:v>
                </c:pt>
                <c:pt idx="149">
                  <c:v>Jun-2007</c:v>
                </c:pt>
                <c:pt idx="150">
                  <c:v>Jul-2007</c:v>
                </c:pt>
                <c:pt idx="151">
                  <c:v>Aug-2007</c:v>
                </c:pt>
                <c:pt idx="152">
                  <c:v>Sep-2007</c:v>
                </c:pt>
                <c:pt idx="153">
                  <c:v>Oct-2007</c:v>
                </c:pt>
                <c:pt idx="154">
                  <c:v>Nov-2007</c:v>
                </c:pt>
                <c:pt idx="155">
                  <c:v>Dec-2007</c:v>
                </c:pt>
                <c:pt idx="156">
                  <c:v>Jan-2008</c:v>
                </c:pt>
                <c:pt idx="157">
                  <c:v>Feb-2008</c:v>
                </c:pt>
                <c:pt idx="158">
                  <c:v>Mar-2008</c:v>
                </c:pt>
                <c:pt idx="159">
                  <c:v>Apr-2008</c:v>
                </c:pt>
                <c:pt idx="160">
                  <c:v>May-2008</c:v>
                </c:pt>
                <c:pt idx="161">
                  <c:v>Jun-2008</c:v>
                </c:pt>
                <c:pt idx="162">
                  <c:v>Jul-2008</c:v>
                </c:pt>
                <c:pt idx="163">
                  <c:v>Aug-2008</c:v>
                </c:pt>
                <c:pt idx="164">
                  <c:v>Sep-2008</c:v>
                </c:pt>
                <c:pt idx="165">
                  <c:v>Oct-2008</c:v>
                </c:pt>
                <c:pt idx="166">
                  <c:v>Nov-2008</c:v>
                </c:pt>
                <c:pt idx="167">
                  <c:v>Dec-2008</c:v>
                </c:pt>
                <c:pt idx="168">
                  <c:v>Jan-2009</c:v>
                </c:pt>
                <c:pt idx="169">
                  <c:v>Feb-2009</c:v>
                </c:pt>
                <c:pt idx="170">
                  <c:v>Mar-2009</c:v>
                </c:pt>
                <c:pt idx="171">
                  <c:v>Apr-2009</c:v>
                </c:pt>
                <c:pt idx="172">
                  <c:v>May-2009</c:v>
                </c:pt>
                <c:pt idx="173">
                  <c:v>Jun-2009</c:v>
                </c:pt>
                <c:pt idx="174">
                  <c:v>Jul-2009</c:v>
                </c:pt>
                <c:pt idx="175">
                  <c:v>Aug-2009</c:v>
                </c:pt>
                <c:pt idx="176">
                  <c:v>Sep-2009</c:v>
                </c:pt>
                <c:pt idx="177">
                  <c:v>Oct-2009</c:v>
                </c:pt>
                <c:pt idx="178">
                  <c:v>Nov-2009</c:v>
                </c:pt>
                <c:pt idx="179">
                  <c:v>Dec-2009</c:v>
                </c:pt>
                <c:pt idx="180">
                  <c:v>Jan-2010</c:v>
                </c:pt>
                <c:pt idx="181">
                  <c:v>Feb-2010</c:v>
                </c:pt>
                <c:pt idx="182">
                  <c:v>Mar-2010</c:v>
                </c:pt>
                <c:pt idx="183">
                  <c:v>Apr-2010</c:v>
                </c:pt>
                <c:pt idx="184">
                  <c:v>May-2010</c:v>
                </c:pt>
                <c:pt idx="185">
                  <c:v>Jun-2010</c:v>
                </c:pt>
                <c:pt idx="186">
                  <c:v>Jul-2010</c:v>
                </c:pt>
                <c:pt idx="187">
                  <c:v>Aug-2010</c:v>
                </c:pt>
                <c:pt idx="188">
                  <c:v>Sep-2010</c:v>
                </c:pt>
                <c:pt idx="189">
                  <c:v>Oct-2010</c:v>
                </c:pt>
                <c:pt idx="190">
                  <c:v>Nov-2010</c:v>
                </c:pt>
                <c:pt idx="191">
                  <c:v>Dec-2010</c:v>
                </c:pt>
                <c:pt idx="192">
                  <c:v>Jan-2011</c:v>
                </c:pt>
                <c:pt idx="193">
                  <c:v>Feb-2011</c:v>
                </c:pt>
                <c:pt idx="194">
                  <c:v>Mar-2011</c:v>
                </c:pt>
                <c:pt idx="195">
                  <c:v>Apr-2011</c:v>
                </c:pt>
                <c:pt idx="196">
                  <c:v>May-2011</c:v>
                </c:pt>
                <c:pt idx="197">
                  <c:v>Jun-2011</c:v>
                </c:pt>
                <c:pt idx="198">
                  <c:v>Jul-2011</c:v>
                </c:pt>
                <c:pt idx="199">
                  <c:v>Aug-2011</c:v>
                </c:pt>
                <c:pt idx="200">
                  <c:v>Sep-2011</c:v>
                </c:pt>
                <c:pt idx="201">
                  <c:v>Oct-2011</c:v>
                </c:pt>
                <c:pt idx="202">
                  <c:v>Nov-2011</c:v>
                </c:pt>
                <c:pt idx="203">
                  <c:v>Dec-2011</c:v>
                </c:pt>
                <c:pt idx="204">
                  <c:v>Jan-2012</c:v>
                </c:pt>
                <c:pt idx="205">
                  <c:v>Feb-2012</c:v>
                </c:pt>
                <c:pt idx="206">
                  <c:v>Mar-2012</c:v>
                </c:pt>
                <c:pt idx="207">
                  <c:v>Apr-2012</c:v>
                </c:pt>
                <c:pt idx="208">
                  <c:v>May-2012</c:v>
                </c:pt>
                <c:pt idx="209">
                  <c:v>Jun-2012</c:v>
                </c:pt>
              </c:strCache>
            </c:strRef>
          </c:cat>
          <c:val>
            <c:numRef>
              <c:f>'Annual bond rate'!$W$11:$HX$11</c:f>
              <c:numCache>
                <c:formatCode>General</c:formatCode>
                <c:ptCount val="210"/>
                <c:pt idx="0">
                  <c:v>9.34</c:v>
                </c:pt>
                <c:pt idx="1">
                  <c:v>9.19</c:v>
                </c:pt>
                <c:pt idx="2">
                  <c:v>9.43</c:v>
                </c:pt>
                <c:pt idx="3">
                  <c:v>9.26</c:v>
                </c:pt>
                <c:pt idx="4">
                  <c:v>8.7800000000000011</c:v>
                </c:pt>
                <c:pt idx="5">
                  <c:v>8.75</c:v>
                </c:pt>
                <c:pt idx="6">
                  <c:v>8.7100000000000009</c:v>
                </c:pt>
                <c:pt idx="7">
                  <c:v>8.4700000000000006</c:v>
                </c:pt>
                <c:pt idx="8">
                  <c:v>8.3600000000000048</c:v>
                </c:pt>
                <c:pt idx="9">
                  <c:v>8.48</c:v>
                </c:pt>
                <c:pt idx="10">
                  <c:v>8.16</c:v>
                </c:pt>
                <c:pt idx="11">
                  <c:v>7.8199999999999985</c:v>
                </c:pt>
                <c:pt idx="12">
                  <c:v>7.44</c:v>
                </c:pt>
                <c:pt idx="13">
                  <c:v>7.6599999999999975</c:v>
                </c:pt>
                <c:pt idx="14">
                  <c:v>7.83</c:v>
                </c:pt>
                <c:pt idx="15">
                  <c:v>7.6199999999999966</c:v>
                </c:pt>
                <c:pt idx="16">
                  <c:v>7.48</c:v>
                </c:pt>
                <c:pt idx="17">
                  <c:v>7.51</c:v>
                </c:pt>
                <c:pt idx="18">
                  <c:v>7.39</c:v>
                </c:pt>
                <c:pt idx="19">
                  <c:v>7.31</c:v>
                </c:pt>
                <c:pt idx="20">
                  <c:v>7.13</c:v>
                </c:pt>
                <c:pt idx="21">
                  <c:v>6.68</c:v>
                </c:pt>
                <c:pt idx="22">
                  <c:v>6.4300000000000024</c:v>
                </c:pt>
                <c:pt idx="23">
                  <c:v>6.31</c:v>
                </c:pt>
                <c:pt idx="24">
                  <c:v>6.23</c:v>
                </c:pt>
                <c:pt idx="25">
                  <c:v>6.06</c:v>
                </c:pt>
                <c:pt idx="26">
                  <c:v>6.3199999999999985</c:v>
                </c:pt>
                <c:pt idx="27">
                  <c:v>6.39</c:v>
                </c:pt>
                <c:pt idx="28">
                  <c:v>6.18</c:v>
                </c:pt>
                <c:pt idx="29">
                  <c:v>6.09</c:v>
                </c:pt>
                <c:pt idx="30">
                  <c:v>5.83</c:v>
                </c:pt>
                <c:pt idx="31">
                  <c:v>5.94</c:v>
                </c:pt>
                <c:pt idx="32">
                  <c:v>5.6599999999999975</c:v>
                </c:pt>
                <c:pt idx="33">
                  <c:v>5.75</c:v>
                </c:pt>
                <c:pt idx="34">
                  <c:v>5.59</c:v>
                </c:pt>
                <c:pt idx="35">
                  <c:v>5.46</c:v>
                </c:pt>
                <c:pt idx="36">
                  <c:v>5.22</c:v>
                </c:pt>
                <c:pt idx="37">
                  <c:v>5.1199999999999966</c:v>
                </c:pt>
                <c:pt idx="38">
                  <c:v>5.01</c:v>
                </c:pt>
                <c:pt idx="39">
                  <c:v>5</c:v>
                </c:pt>
                <c:pt idx="40">
                  <c:v>5.0599999999999996</c:v>
                </c:pt>
                <c:pt idx="41">
                  <c:v>4.91</c:v>
                </c:pt>
                <c:pt idx="42">
                  <c:v>4.8199999999999985</c:v>
                </c:pt>
                <c:pt idx="43">
                  <c:v>4.59</c:v>
                </c:pt>
                <c:pt idx="44">
                  <c:v>4.2699999999999996</c:v>
                </c:pt>
                <c:pt idx="45">
                  <c:v>4.25</c:v>
                </c:pt>
                <c:pt idx="46">
                  <c:v>4.24</c:v>
                </c:pt>
                <c:pt idx="47">
                  <c:v>3.9499999999999997</c:v>
                </c:pt>
                <c:pt idx="48">
                  <c:v>3.8219999999999987</c:v>
                </c:pt>
                <c:pt idx="49">
                  <c:v>3.9741999999999997</c:v>
                </c:pt>
                <c:pt idx="50">
                  <c:v>4.181</c:v>
                </c:pt>
                <c:pt idx="51">
                  <c:v>4.0407000000000002</c:v>
                </c:pt>
                <c:pt idx="52">
                  <c:v>4.2048999999999985</c:v>
                </c:pt>
                <c:pt idx="53">
                  <c:v>4.5266999999999999</c:v>
                </c:pt>
                <c:pt idx="54">
                  <c:v>4.8562000000000003</c:v>
                </c:pt>
                <c:pt idx="55">
                  <c:v>5.0606</c:v>
                </c:pt>
                <c:pt idx="56">
                  <c:v>5.2353000000000014</c:v>
                </c:pt>
                <c:pt idx="57">
                  <c:v>5.4716000000000138</c:v>
                </c:pt>
                <c:pt idx="58">
                  <c:v>5.184199999999989</c:v>
                </c:pt>
                <c:pt idx="59">
                  <c:v>5.3043999999999976</c:v>
                </c:pt>
                <c:pt idx="60">
                  <c:v>5.6984999999999975</c:v>
                </c:pt>
                <c:pt idx="61">
                  <c:v>5.6635999999999891</c:v>
                </c:pt>
                <c:pt idx="62">
                  <c:v>5.4905999999999997</c:v>
                </c:pt>
                <c:pt idx="63">
                  <c:v>5.4138000000000002</c:v>
                </c:pt>
                <c:pt idx="64">
                  <c:v>5.5154999999999985</c:v>
                </c:pt>
                <c:pt idx="65">
                  <c:v>5.3453999999999997</c:v>
                </c:pt>
                <c:pt idx="66">
                  <c:v>5.4537000000000004</c:v>
                </c:pt>
                <c:pt idx="67">
                  <c:v>5.3982000000000001</c:v>
                </c:pt>
                <c:pt idx="68">
                  <c:v>5.4672000000000001</c:v>
                </c:pt>
                <c:pt idx="69">
                  <c:v>5.4163000000000014</c:v>
                </c:pt>
                <c:pt idx="70">
                  <c:v>5.3357000000000001</c:v>
                </c:pt>
                <c:pt idx="71">
                  <c:v>5.0679999999999881</c:v>
                </c:pt>
                <c:pt idx="72">
                  <c:v>5.0082000000000004</c:v>
                </c:pt>
                <c:pt idx="73">
                  <c:v>5.0210999999999997</c:v>
                </c:pt>
                <c:pt idx="74">
                  <c:v>4.9381000000000004</c:v>
                </c:pt>
                <c:pt idx="75">
                  <c:v>5.1013999999999999</c:v>
                </c:pt>
                <c:pt idx="76">
                  <c:v>5.2624999999999975</c:v>
                </c:pt>
                <c:pt idx="77">
                  <c:v>5.2083000000000004</c:v>
                </c:pt>
                <c:pt idx="78">
                  <c:v>5.25</c:v>
                </c:pt>
                <c:pt idx="79">
                  <c:v>5.0582000000000003</c:v>
                </c:pt>
                <c:pt idx="80">
                  <c:v>5.0373999999999999</c:v>
                </c:pt>
                <c:pt idx="81">
                  <c:v>4.8168999999999995</c:v>
                </c:pt>
                <c:pt idx="82">
                  <c:v>4.6666999999999996</c:v>
                </c:pt>
                <c:pt idx="83">
                  <c:v>4.9588000000000001</c:v>
                </c:pt>
                <c:pt idx="84">
                  <c:v>5.0228999999999955</c:v>
                </c:pt>
                <c:pt idx="85">
                  <c:v>5.0660999999999996</c:v>
                </c:pt>
                <c:pt idx="86">
                  <c:v>5.3164999999999996</c:v>
                </c:pt>
                <c:pt idx="87">
                  <c:v>5.2972000000000001</c:v>
                </c:pt>
                <c:pt idx="88">
                  <c:v>5.3030999999999997</c:v>
                </c:pt>
                <c:pt idx="89">
                  <c:v>5.1648999999999869</c:v>
                </c:pt>
                <c:pt idx="90">
                  <c:v>5.0273999999999965</c:v>
                </c:pt>
                <c:pt idx="91">
                  <c:v>4.7311000000000014</c:v>
                </c:pt>
                <c:pt idx="92">
                  <c:v>4.5232999999999999</c:v>
                </c:pt>
                <c:pt idx="93">
                  <c:v>4.6234999999999955</c:v>
                </c:pt>
                <c:pt idx="94">
                  <c:v>4.5923999999999996</c:v>
                </c:pt>
                <c:pt idx="95">
                  <c:v>4.4065000000000003</c:v>
                </c:pt>
                <c:pt idx="96">
                  <c:v>4.2703000000000024</c:v>
                </c:pt>
                <c:pt idx="97">
                  <c:v>4.0607999999999995</c:v>
                </c:pt>
                <c:pt idx="98">
                  <c:v>4.1271999999999869</c:v>
                </c:pt>
                <c:pt idx="99">
                  <c:v>4.2288999999999985</c:v>
                </c:pt>
                <c:pt idx="100">
                  <c:v>3.9186999999999967</c:v>
                </c:pt>
                <c:pt idx="101">
                  <c:v>3.7233000000000058</c:v>
                </c:pt>
                <c:pt idx="102">
                  <c:v>4.0625999999999891</c:v>
                </c:pt>
                <c:pt idx="103">
                  <c:v>4.2046999999999999</c:v>
                </c:pt>
                <c:pt idx="104">
                  <c:v>4.2319000000000004</c:v>
                </c:pt>
                <c:pt idx="105">
                  <c:v>4.3080999999999996</c:v>
                </c:pt>
                <c:pt idx="106">
                  <c:v>4.4378000000000002</c:v>
                </c:pt>
                <c:pt idx="107">
                  <c:v>4.3559999999999945</c:v>
                </c:pt>
                <c:pt idx="108">
                  <c:v>4.2567000000000004</c:v>
                </c:pt>
                <c:pt idx="109">
                  <c:v>4.1833</c:v>
                </c:pt>
                <c:pt idx="110">
                  <c:v>4.0194000000000001</c:v>
                </c:pt>
                <c:pt idx="111">
                  <c:v>4.2423999999999999</c:v>
                </c:pt>
                <c:pt idx="112">
                  <c:v>4.3861999999999997</c:v>
                </c:pt>
                <c:pt idx="113">
                  <c:v>4.4425999999999997</c:v>
                </c:pt>
                <c:pt idx="114">
                  <c:v>4.3395999999999999</c:v>
                </c:pt>
                <c:pt idx="115">
                  <c:v>4.1678999999999879</c:v>
                </c:pt>
                <c:pt idx="116">
                  <c:v>4.1139999999999946</c:v>
                </c:pt>
                <c:pt idx="117">
                  <c:v>3.9793999999999987</c:v>
                </c:pt>
                <c:pt idx="118">
                  <c:v>3.8687</c:v>
                </c:pt>
                <c:pt idx="119">
                  <c:v>3.6892999999999998</c:v>
                </c:pt>
                <c:pt idx="120">
                  <c:v>3.6335999999999999</c:v>
                </c:pt>
                <c:pt idx="121">
                  <c:v>3.6153</c:v>
                </c:pt>
                <c:pt idx="122">
                  <c:v>3.7625000000000002</c:v>
                </c:pt>
                <c:pt idx="123">
                  <c:v>3.5709</c:v>
                </c:pt>
                <c:pt idx="124">
                  <c:v>3.4074</c:v>
                </c:pt>
                <c:pt idx="125">
                  <c:v>3.2541000000000002</c:v>
                </c:pt>
                <c:pt idx="126">
                  <c:v>3.3159999999999967</c:v>
                </c:pt>
                <c:pt idx="127">
                  <c:v>3.3154999999999939</c:v>
                </c:pt>
                <c:pt idx="128">
                  <c:v>3.1555</c:v>
                </c:pt>
                <c:pt idx="129">
                  <c:v>3.3233999999999999</c:v>
                </c:pt>
                <c:pt idx="130">
                  <c:v>3.5272999999999999</c:v>
                </c:pt>
                <c:pt idx="131">
                  <c:v>3.4089999999999998</c:v>
                </c:pt>
                <c:pt idx="132">
                  <c:v>3.3926999999999938</c:v>
                </c:pt>
                <c:pt idx="133">
                  <c:v>3.5509999999999997</c:v>
                </c:pt>
                <c:pt idx="134">
                  <c:v>3.7311999999999999</c:v>
                </c:pt>
                <c:pt idx="135">
                  <c:v>4.0115999999999996</c:v>
                </c:pt>
                <c:pt idx="136">
                  <c:v>4.0602999999999998</c:v>
                </c:pt>
                <c:pt idx="137">
                  <c:v>4.0750999999999999</c:v>
                </c:pt>
                <c:pt idx="138">
                  <c:v>4.0963000000000003</c:v>
                </c:pt>
                <c:pt idx="139">
                  <c:v>3.9681999999999999</c:v>
                </c:pt>
                <c:pt idx="140">
                  <c:v>3.8397999999999977</c:v>
                </c:pt>
                <c:pt idx="141">
                  <c:v>3.8813</c:v>
                </c:pt>
                <c:pt idx="142">
                  <c:v>3.8041</c:v>
                </c:pt>
                <c:pt idx="143">
                  <c:v>3.9025999999999987</c:v>
                </c:pt>
                <c:pt idx="144">
                  <c:v>4.1027999999999976</c:v>
                </c:pt>
                <c:pt idx="145">
                  <c:v>4.1174999999999891</c:v>
                </c:pt>
                <c:pt idx="146">
                  <c:v>4.0226999999999995</c:v>
                </c:pt>
                <c:pt idx="147">
                  <c:v>4.2458999999999998</c:v>
                </c:pt>
                <c:pt idx="148">
                  <c:v>4.3731</c:v>
                </c:pt>
                <c:pt idx="149">
                  <c:v>4.6607999999999965</c:v>
                </c:pt>
                <c:pt idx="150">
                  <c:v>4.6283999999999965</c:v>
                </c:pt>
                <c:pt idx="151">
                  <c:v>4.4263000000000003</c:v>
                </c:pt>
                <c:pt idx="152">
                  <c:v>4.3693999999999997</c:v>
                </c:pt>
                <c:pt idx="153">
                  <c:v>4.4001999999999999</c:v>
                </c:pt>
                <c:pt idx="154">
                  <c:v>4.2515000000000001</c:v>
                </c:pt>
                <c:pt idx="155">
                  <c:v>4.3818000000000001</c:v>
                </c:pt>
                <c:pt idx="156">
                  <c:v>4.2317000000000116</c:v>
                </c:pt>
                <c:pt idx="157">
                  <c:v>4.1394000000000002</c:v>
                </c:pt>
                <c:pt idx="158">
                  <c:v>4.0705</c:v>
                </c:pt>
                <c:pt idx="159">
                  <c:v>4.2827000000000002</c:v>
                </c:pt>
                <c:pt idx="160">
                  <c:v>4.4233000000000002</c:v>
                </c:pt>
                <c:pt idx="161">
                  <c:v>4.8093000000000004</c:v>
                </c:pt>
                <c:pt idx="162">
                  <c:v>4.8144999999999945</c:v>
                </c:pt>
                <c:pt idx="163">
                  <c:v>4.4960000000000004</c:v>
                </c:pt>
                <c:pt idx="164">
                  <c:v>4.5042999999999997</c:v>
                </c:pt>
                <c:pt idx="165">
                  <c:v>4.4157999999999999</c:v>
                </c:pt>
                <c:pt idx="166">
                  <c:v>4.1963999999999997</c:v>
                </c:pt>
                <c:pt idx="167">
                  <c:v>3.8881000000000001</c:v>
                </c:pt>
                <c:pt idx="168">
                  <c:v>4.0994999999999999</c:v>
                </c:pt>
                <c:pt idx="169">
                  <c:v>4.1962000000000002</c:v>
                </c:pt>
                <c:pt idx="170">
                  <c:v>4.1419999999999995</c:v>
                </c:pt>
                <c:pt idx="171">
                  <c:v>4.0897000000000014</c:v>
                </c:pt>
                <c:pt idx="172">
                  <c:v>4.1322999999999999</c:v>
                </c:pt>
                <c:pt idx="173">
                  <c:v>4.3254999999999955</c:v>
                </c:pt>
                <c:pt idx="174">
                  <c:v>4.0897000000000014</c:v>
                </c:pt>
                <c:pt idx="175">
                  <c:v>3.8914999999999949</c:v>
                </c:pt>
                <c:pt idx="176">
                  <c:v>3.8672</c:v>
                </c:pt>
                <c:pt idx="177">
                  <c:v>3.8035999999999999</c:v>
                </c:pt>
                <c:pt idx="178">
                  <c:v>3.8363999999999967</c:v>
                </c:pt>
                <c:pt idx="179">
                  <c:v>3.8726999999999938</c:v>
                </c:pt>
                <c:pt idx="180">
                  <c:v>4.1019999999999985</c:v>
                </c:pt>
                <c:pt idx="181">
                  <c:v>4.1073999999999975</c:v>
                </c:pt>
                <c:pt idx="182">
                  <c:v>3.9859999999999998</c:v>
                </c:pt>
                <c:pt idx="183">
                  <c:v>4.1648999999999869</c:v>
                </c:pt>
                <c:pt idx="184">
                  <c:v>3.6802000000000001</c:v>
                </c:pt>
                <c:pt idx="185">
                  <c:v>3.6959</c:v>
                </c:pt>
                <c:pt idx="186">
                  <c:v>3.6179000000000001</c:v>
                </c:pt>
                <c:pt idx="187">
                  <c:v>3.4405999999999999</c:v>
                </c:pt>
                <c:pt idx="188">
                  <c:v>3.4949999999999997</c:v>
                </c:pt>
                <c:pt idx="189">
                  <c:v>3.3352999999999948</c:v>
                </c:pt>
                <c:pt idx="190">
                  <c:v>3.7261000000000002</c:v>
                </c:pt>
                <c:pt idx="191">
                  <c:v>4.0737000000000014</c:v>
                </c:pt>
                <c:pt idx="192">
                  <c:v>3.9411999999999998</c:v>
                </c:pt>
                <c:pt idx="193">
                  <c:v>4.4770000000000003</c:v>
                </c:pt>
                <c:pt idx="194">
                  <c:v>4.4867000000000106</c:v>
                </c:pt>
                <c:pt idx="195">
                  <c:v>4.6570999999999945</c:v>
                </c:pt>
                <c:pt idx="196">
                  <c:v>4.3656999999999995</c:v>
                </c:pt>
                <c:pt idx="197">
                  <c:v>4.3727999999999998</c:v>
                </c:pt>
                <c:pt idx="198">
                  <c:v>4.5939999999999985</c:v>
                </c:pt>
                <c:pt idx="199">
                  <c:v>4.2104999999999997</c:v>
                </c:pt>
                <c:pt idx="200">
                  <c:v>4.0424999999999995</c:v>
                </c:pt>
                <c:pt idx="201">
                  <c:v>4.0852000000000004</c:v>
                </c:pt>
                <c:pt idx="202">
                  <c:v>4.4081999999999999</c:v>
                </c:pt>
                <c:pt idx="203">
                  <c:v>4.1066000000000003</c:v>
                </c:pt>
                <c:pt idx="204">
                  <c:v>3.9171</c:v>
                </c:pt>
                <c:pt idx="205">
                  <c:v>3.7523999999999997</c:v>
                </c:pt>
                <c:pt idx="206">
                  <c:v>3.2886000000000002</c:v>
                </c:pt>
                <c:pt idx="207">
                  <c:v>3.3889</c:v>
                </c:pt>
                <c:pt idx="208">
                  <c:v>3.5291000000000001</c:v>
                </c:pt>
                <c:pt idx="209">
                  <c:v>3.4121999999999977</c:v>
                </c:pt>
              </c:numCache>
            </c:numRef>
          </c:val>
        </c:ser>
        <c:marker val="1"/>
        <c:axId val="107869696"/>
        <c:axId val="107871232"/>
      </c:lineChart>
      <c:catAx>
        <c:axId val="107869696"/>
        <c:scaling>
          <c:orientation val="minMax"/>
        </c:scaling>
        <c:axPos val="b"/>
        <c:tickLblPos val="nextTo"/>
        <c:txPr>
          <a:bodyPr/>
          <a:lstStyle/>
          <a:p>
            <a:pPr>
              <a:defRPr>
                <a:latin typeface="Times New Roman" pitchFamily="18" charset="0"/>
                <a:cs typeface="Times New Roman" pitchFamily="18" charset="0"/>
              </a:defRPr>
            </a:pPr>
            <a:endParaRPr lang="nl-NL"/>
          </a:p>
        </c:txPr>
        <c:crossAx val="107871232"/>
        <c:crosses val="autoZero"/>
        <c:auto val="1"/>
        <c:lblAlgn val="ctr"/>
        <c:lblOffset val="100"/>
      </c:catAx>
      <c:valAx>
        <c:axId val="107871232"/>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nl-NL"/>
          </a:p>
        </c:txPr>
        <c:crossAx val="107869696"/>
        <c:crosses val="autoZero"/>
        <c:crossBetween val="midCat"/>
        <c:majorUnit val="1"/>
      </c:valAx>
    </c:plotArea>
    <c:legend>
      <c:legendPos val="r"/>
      <c:txPr>
        <a:bodyPr/>
        <a:lstStyle/>
        <a:p>
          <a:pPr>
            <a:defRPr>
              <a:latin typeface="Times New Roman" pitchFamily="18" charset="0"/>
              <a:cs typeface="Times New Roman" pitchFamily="18" charset="0"/>
            </a:defRPr>
          </a:pPr>
          <a:endParaRPr lang="nl-NL"/>
        </a:p>
      </c:txPr>
    </c:legend>
    <c:plotVisOnly val="1"/>
  </c:chart>
  <c:spPr>
    <a:effectLst>
      <a:outerShdw blurRad="50800" dist="50800" dir="5400000" algn="ctr" rotWithShape="0">
        <a:srgbClr val="000000">
          <a:alpha val="80000"/>
        </a:srgbClr>
      </a:outerShdw>
    </a:effectLst>
  </c:spPr>
  <c:externalData r:id="rId1"/>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5.8722222222222405E-2"/>
          <c:y val="0.24388330479471371"/>
          <c:w val="0.64835978584922849"/>
          <c:h val="0.57060707875854089"/>
        </c:manualLayout>
      </c:layout>
      <c:lineChart>
        <c:grouping val="standard"/>
        <c:ser>
          <c:idx val="0"/>
          <c:order val="0"/>
          <c:tx>
            <c:v>Germany</c:v>
          </c:tx>
          <c:spPr>
            <a:ln w="41275" cmpd="dbl"/>
          </c:spPr>
          <c:marker>
            <c:symbol val="triangle"/>
            <c:size val="5"/>
          </c:marker>
          <c:cat>
            <c:strRef>
              <c:f>'Net lending borrowing'!$D$109:$M$109</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'Net lending borrowing'!$D$110:$M$110</c:f>
              <c:numCache>
                <c:formatCode>#,##0.0</c:formatCode>
                <c:ptCount val="10"/>
                <c:pt idx="0">
                  <c:v>2</c:v>
                </c:pt>
                <c:pt idx="1">
                  <c:v>1.9000000000000001</c:v>
                </c:pt>
                <c:pt idx="2">
                  <c:v>4.7</c:v>
                </c:pt>
                <c:pt idx="3">
                  <c:v>5.0999999999999996</c:v>
                </c:pt>
                <c:pt idx="4">
                  <c:v>6.5</c:v>
                </c:pt>
                <c:pt idx="5">
                  <c:v>7.5</c:v>
                </c:pt>
                <c:pt idx="6">
                  <c:v>6.2</c:v>
                </c:pt>
                <c:pt idx="7">
                  <c:v>5.8</c:v>
                </c:pt>
                <c:pt idx="8">
                  <c:v>5.8</c:v>
                </c:pt>
                <c:pt idx="9">
                  <c:v>5.4</c:v>
                </c:pt>
              </c:numCache>
            </c:numRef>
          </c:val>
        </c:ser>
        <c:ser>
          <c:idx val="1"/>
          <c:order val="1"/>
          <c:tx>
            <c:v>Spain</c:v>
          </c:tx>
          <c:spPr>
            <a:ln w="41275" cmpd="dbl"/>
          </c:spPr>
          <c:marker>
            <c:symbol val="square"/>
            <c:size val="5"/>
          </c:marker>
          <c:cat>
            <c:strRef>
              <c:f>'Net lending borrowing'!$D$109:$M$109</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'Net lending borrowing'!$D$111:$M$111</c:f>
              <c:numCache>
                <c:formatCode>#,##0.0</c:formatCode>
                <c:ptCount val="10"/>
                <c:pt idx="0">
                  <c:v>-2.7</c:v>
                </c:pt>
                <c:pt idx="1">
                  <c:v>-2.9</c:v>
                </c:pt>
                <c:pt idx="2">
                  <c:v>-4.8</c:v>
                </c:pt>
                <c:pt idx="3">
                  <c:v>-6.5</c:v>
                </c:pt>
                <c:pt idx="4">
                  <c:v>-8.4</c:v>
                </c:pt>
                <c:pt idx="5">
                  <c:v>-9.6</c:v>
                </c:pt>
                <c:pt idx="6">
                  <c:v>-9.2000000000000011</c:v>
                </c:pt>
                <c:pt idx="7">
                  <c:v>-4.7</c:v>
                </c:pt>
                <c:pt idx="8">
                  <c:v>-4</c:v>
                </c:pt>
                <c:pt idx="9">
                  <c:v>-3.4</c:v>
                </c:pt>
              </c:numCache>
            </c:numRef>
          </c:val>
        </c:ser>
        <c:marker val="1"/>
        <c:axId val="107940864"/>
        <c:axId val="107954944"/>
      </c:lineChart>
      <c:dateAx>
        <c:axId val="107940864"/>
        <c:scaling>
          <c:orientation val="minMax"/>
        </c:scaling>
        <c:axPos val="b"/>
        <c:majorTickMark val="cross"/>
        <c:tickLblPos val="low"/>
        <c:txPr>
          <a:bodyPr/>
          <a:lstStyle/>
          <a:p>
            <a:pPr>
              <a:defRPr>
                <a:latin typeface="Times New Roman" pitchFamily="18" charset="0"/>
                <a:cs typeface="Times New Roman" pitchFamily="18" charset="0"/>
              </a:defRPr>
            </a:pPr>
            <a:endParaRPr lang="nl-NL"/>
          </a:p>
        </c:txPr>
        <c:crossAx val="107954944"/>
        <c:crosses val="autoZero"/>
        <c:lblOffset val="100"/>
        <c:baseTimeUnit val="days"/>
      </c:dateAx>
      <c:valAx>
        <c:axId val="107954944"/>
        <c:scaling>
          <c:orientation val="minMax"/>
        </c:scaling>
        <c:axPos val="l"/>
        <c:majorGridlines/>
        <c:numFmt formatCode="0" sourceLinked="0"/>
        <c:tickLblPos val="nextTo"/>
        <c:txPr>
          <a:bodyPr/>
          <a:lstStyle/>
          <a:p>
            <a:pPr>
              <a:defRPr>
                <a:latin typeface="Times New Roman" pitchFamily="18" charset="0"/>
                <a:cs typeface="Times New Roman" pitchFamily="18" charset="0"/>
              </a:defRPr>
            </a:pPr>
            <a:endParaRPr lang="nl-NL"/>
          </a:p>
        </c:txPr>
        <c:crossAx val="107940864"/>
        <c:crosses val="autoZero"/>
        <c:crossBetween val="midCat"/>
      </c:valAx>
    </c:plotArea>
    <c:legend>
      <c:legendPos val="r"/>
      <c:layout>
        <c:manualLayout>
          <c:xMode val="edge"/>
          <c:yMode val="edge"/>
          <c:x val="0.78360620887041799"/>
          <c:y val="0.41425677157521346"/>
          <c:w val="0.15945429998705463"/>
          <c:h val="0.13876628786573592"/>
        </c:manualLayout>
      </c:layout>
      <c:txPr>
        <a:bodyPr/>
        <a:lstStyle/>
        <a:p>
          <a:pPr>
            <a:defRPr>
              <a:latin typeface="Times New Roman" pitchFamily="18" charset="0"/>
              <a:cs typeface="Times New Roman" pitchFamily="18" charset="0"/>
            </a:defRPr>
          </a:pPr>
          <a:endParaRPr lang="nl-NL"/>
        </a:p>
      </c:txPr>
    </c:legend>
    <c:plotVisOnly val="1"/>
  </c:chart>
  <c:spPr>
    <a:effectLst>
      <a:outerShdw blurRad="50800" dist="50800" dir="5400000" algn="ctr" rotWithShape="0">
        <a:srgbClr val="000000">
          <a:alpha val="80000"/>
        </a:srgbClr>
      </a:outerShdw>
    </a:effectLst>
  </c:spPr>
  <c:externalData r:id="rId1"/>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8.3711432622646534E-2"/>
          <c:y val="0.19659409336010675"/>
          <c:w val="0.60830051415986863"/>
          <c:h val="0.61494233494161754"/>
        </c:manualLayout>
      </c:layout>
      <c:barChart>
        <c:barDir val="col"/>
        <c:grouping val="stacked"/>
        <c:ser>
          <c:idx val="0"/>
          <c:order val="0"/>
          <c:tx>
            <c:strRef>
              <c:f>'Net lending borrowing'!$D$36</c:f>
              <c:strCache>
                <c:ptCount val="1"/>
                <c:pt idx="0">
                  <c:v>Corporations</c:v>
                </c:pt>
              </c:strCache>
            </c:strRef>
          </c:tx>
          <c:cat>
            <c:numRef>
              <c:f>'Net lending borrowing'!$G$84:$P$84</c:f>
              <c:numCache>
                <c:formatCode>General</c:formatCode>
                <c:ptCount val="10"/>
                <c:pt idx="0">
                  <c:v>2011</c:v>
                </c:pt>
                <c:pt idx="1">
                  <c:v>2010</c:v>
                </c:pt>
                <c:pt idx="2">
                  <c:v>2009</c:v>
                </c:pt>
                <c:pt idx="3">
                  <c:v>2008</c:v>
                </c:pt>
                <c:pt idx="4">
                  <c:v>2007</c:v>
                </c:pt>
                <c:pt idx="5">
                  <c:v>2006</c:v>
                </c:pt>
                <c:pt idx="6">
                  <c:v>2005</c:v>
                </c:pt>
                <c:pt idx="7">
                  <c:v>2004</c:v>
                </c:pt>
                <c:pt idx="8">
                  <c:v>2003</c:v>
                </c:pt>
                <c:pt idx="9">
                  <c:v>2002</c:v>
                </c:pt>
              </c:numCache>
            </c:numRef>
          </c:cat>
          <c:val>
            <c:numRef>
              <c:f>'Net lending borrowing'!$G$36:$P$36</c:f>
              <c:numCache>
                <c:formatCode>General</c:formatCode>
                <c:ptCount val="10"/>
                <c:pt idx="0">
                  <c:v>2.8180062475369962</c:v>
                </c:pt>
                <c:pt idx="1">
                  <c:v>1.5256690972109894</c:v>
                </c:pt>
                <c:pt idx="2">
                  <c:v>-0.41523871693049741</c:v>
                </c:pt>
                <c:pt idx="3">
                  <c:v>-5.6944203120388917</c:v>
                </c:pt>
                <c:pt idx="4">
                  <c:v>-8.8410034173312511</c:v>
                </c:pt>
                <c:pt idx="5">
                  <c:v>-8.1194504168750967</c:v>
                </c:pt>
                <c:pt idx="6">
                  <c:v>-6.0613792178141823</c:v>
                </c:pt>
                <c:pt idx="7">
                  <c:v>-3.6983503983149792</c:v>
                </c:pt>
                <c:pt idx="8">
                  <c:v>-2.567674905054643</c:v>
                </c:pt>
                <c:pt idx="9">
                  <c:v>-2.6843723346195731</c:v>
                </c:pt>
              </c:numCache>
            </c:numRef>
          </c:val>
        </c:ser>
        <c:ser>
          <c:idx val="1"/>
          <c:order val="1"/>
          <c:tx>
            <c:strRef>
              <c:f>'Net lending borrowing'!$D$62</c:f>
              <c:strCache>
                <c:ptCount val="1"/>
                <c:pt idx="0">
                  <c:v>Households and NPISH</c:v>
                </c:pt>
              </c:strCache>
            </c:strRef>
          </c:tx>
          <c:cat>
            <c:numRef>
              <c:f>'Net lending borrowing'!$G$84:$P$84</c:f>
              <c:numCache>
                <c:formatCode>General</c:formatCode>
                <c:ptCount val="10"/>
                <c:pt idx="0">
                  <c:v>2011</c:v>
                </c:pt>
                <c:pt idx="1">
                  <c:v>2010</c:v>
                </c:pt>
                <c:pt idx="2">
                  <c:v>2009</c:v>
                </c:pt>
                <c:pt idx="3">
                  <c:v>2008</c:v>
                </c:pt>
                <c:pt idx="4">
                  <c:v>2007</c:v>
                </c:pt>
                <c:pt idx="5">
                  <c:v>2006</c:v>
                </c:pt>
                <c:pt idx="6">
                  <c:v>2005</c:v>
                </c:pt>
                <c:pt idx="7">
                  <c:v>2004</c:v>
                </c:pt>
                <c:pt idx="8">
                  <c:v>2003</c:v>
                </c:pt>
                <c:pt idx="9">
                  <c:v>2002</c:v>
                </c:pt>
              </c:numCache>
            </c:numRef>
          </c:cat>
          <c:val>
            <c:numRef>
              <c:f>'Net lending borrowing'!$G$62:$P$62</c:f>
              <c:numCache>
                <c:formatCode>General</c:formatCode>
                <c:ptCount val="10"/>
                <c:pt idx="0">
                  <c:v>2.324053949056395</c:v>
                </c:pt>
                <c:pt idx="1">
                  <c:v>3.843658866477321</c:v>
                </c:pt>
                <c:pt idx="2">
                  <c:v>6.8652292211243999</c:v>
                </c:pt>
                <c:pt idx="3">
                  <c:v>0.99728889661125852</c:v>
                </c:pt>
                <c:pt idx="4">
                  <c:v>-2.6587577777756692</c:v>
                </c:pt>
                <c:pt idx="5">
                  <c:v>-2.6255470312425486</c:v>
                </c:pt>
                <c:pt idx="6">
                  <c:v>-1.746072244742648</c:v>
                </c:pt>
                <c:pt idx="7">
                  <c:v>-1.01438973771357</c:v>
                </c:pt>
                <c:pt idx="8">
                  <c:v>-8.1728350287709542E-3</c:v>
                </c:pt>
                <c:pt idx="9">
                  <c:v>0.25738490355950916</c:v>
                </c:pt>
              </c:numCache>
            </c:numRef>
          </c:val>
        </c:ser>
        <c:ser>
          <c:idx val="2"/>
          <c:order val="2"/>
          <c:tx>
            <c:strRef>
              <c:f>'Net lending borrowing'!$D$86</c:f>
              <c:strCache>
                <c:ptCount val="1"/>
                <c:pt idx="0">
                  <c:v>General government</c:v>
                </c:pt>
              </c:strCache>
            </c:strRef>
          </c:tx>
          <c:cat>
            <c:numRef>
              <c:f>'Net lending borrowing'!$G$84:$P$84</c:f>
              <c:numCache>
                <c:formatCode>General</c:formatCode>
                <c:ptCount val="10"/>
                <c:pt idx="0">
                  <c:v>2011</c:v>
                </c:pt>
                <c:pt idx="1">
                  <c:v>2010</c:v>
                </c:pt>
                <c:pt idx="2">
                  <c:v>2009</c:v>
                </c:pt>
                <c:pt idx="3">
                  <c:v>2008</c:v>
                </c:pt>
                <c:pt idx="4">
                  <c:v>2007</c:v>
                </c:pt>
                <c:pt idx="5">
                  <c:v>2006</c:v>
                </c:pt>
                <c:pt idx="6">
                  <c:v>2005</c:v>
                </c:pt>
                <c:pt idx="7">
                  <c:v>2004</c:v>
                </c:pt>
                <c:pt idx="8">
                  <c:v>2003</c:v>
                </c:pt>
                <c:pt idx="9">
                  <c:v>2002</c:v>
                </c:pt>
              </c:numCache>
            </c:numRef>
          </c:cat>
          <c:val>
            <c:numRef>
              <c:f>'Net lending borrowing'!$G$86:$P$86</c:f>
              <c:numCache>
                <c:formatCode>General</c:formatCode>
                <c:ptCount val="10"/>
                <c:pt idx="0">
                  <c:v>-8.5099168000000027</c:v>
                </c:pt>
                <c:pt idx="1">
                  <c:v>-9.3372089999999996</c:v>
                </c:pt>
                <c:pt idx="2">
                  <c:v>-11.17957</c:v>
                </c:pt>
                <c:pt idx="3">
                  <c:v>-4.4952465999999998</c:v>
                </c:pt>
                <c:pt idx="4">
                  <c:v>1.9232577000000015</c:v>
                </c:pt>
                <c:pt idx="5">
                  <c:v>2.3691412000000001</c:v>
                </c:pt>
                <c:pt idx="6">
                  <c:v>1.2659215999999971</c:v>
                </c:pt>
                <c:pt idx="7">
                  <c:v>-0.11185150000000001</c:v>
                </c:pt>
                <c:pt idx="8">
                  <c:v>-0.34836710000000032</c:v>
                </c:pt>
                <c:pt idx="9">
                  <c:v>-0.21364179999999999</c:v>
                </c:pt>
              </c:numCache>
            </c:numRef>
          </c:val>
        </c:ser>
        <c:overlap val="100"/>
        <c:axId val="108013056"/>
        <c:axId val="108014592"/>
      </c:barChart>
      <c:dateAx>
        <c:axId val="108013056"/>
        <c:scaling>
          <c:orientation val="minMax"/>
        </c:scaling>
        <c:axPos val="b"/>
        <c:numFmt formatCode="General" sourceLinked="1"/>
        <c:majorTickMark val="cross"/>
        <c:tickLblPos val="low"/>
        <c:txPr>
          <a:bodyPr/>
          <a:lstStyle/>
          <a:p>
            <a:pPr>
              <a:defRPr>
                <a:latin typeface="Times New Roman" pitchFamily="18" charset="0"/>
                <a:cs typeface="Times New Roman" pitchFamily="18" charset="0"/>
              </a:defRPr>
            </a:pPr>
            <a:endParaRPr lang="nl-NL"/>
          </a:p>
        </c:txPr>
        <c:crossAx val="108014592"/>
        <c:crosses val="autoZero"/>
        <c:lblOffset val="100"/>
        <c:baseTimeUnit val="days"/>
      </c:dateAx>
      <c:valAx>
        <c:axId val="108014592"/>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nl-NL"/>
          </a:p>
        </c:txPr>
        <c:crossAx val="108013056"/>
        <c:crosses val="autoZero"/>
        <c:crossBetween val="between"/>
        <c:majorUnit val="2.5"/>
      </c:valAx>
    </c:plotArea>
    <c:legend>
      <c:legendPos val="r"/>
      <c:layout>
        <c:manualLayout>
          <c:xMode val="edge"/>
          <c:yMode val="edge"/>
          <c:x val="0.68625815509333854"/>
          <c:y val="0.33328000286980236"/>
          <c:w val="0.3137418449066614"/>
          <c:h val="0.25447240507237356"/>
        </c:manualLayout>
      </c:layout>
      <c:txPr>
        <a:bodyPr/>
        <a:lstStyle/>
        <a:p>
          <a:pPr>
            <a:defRPr>
              <a:latin typeface="Times New Roman" pitchFamily="18" charset="0"/>
              <a:cs typeface="Times New Roman" pitchFamily="18" charset="0"/>
            </a:defRPr>
          </a:pPr>
          <a:endParaRPr lang="nl-NL"/>
        </a:p>
      </c:txPr>
    </c:legend>
    <c:plotVisOnly val="1"/>
  </c:chart>
  <c:spPr>
    <a:effectLst>
      <a:outerShdw blurRad="50800" dist="50800" dir="5400000" algn="ctr" rotWithShape="0">
        <a:srgbClr val="000000">
          <a:alpha val="80000"/>
        </a:srgbClr>
      </a:outerShdw>
    </a:effectLst>
  </c:spPr>
  <c:externalData r:id="rId1"/>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5.8467742293634613E-2"/>
          <c:y val="0.20987857155668752"/>
          <c:w val="0.63537684692966678"/>
          <c:h val="0.56603780232168965"/>
        </c:manualLayout>
      </c:layout>
      <c:barChart>
        <c:barDir val="col"/>
        <c:grouping val="stacked"/>
        <c:ser>
          <c:idx val="0"/>
          <c:order val="0"/>
          <c:tx>
            <c:strRef>
              <c:f>'Net lending borrowing'!$D$35</c:f>
              <c:strCache>
                <c:ptCount val="1"/>
                <c:pt idx="0">
                  <c:v>Corporations</c:v>
                </c:pt>
              </c:strCache>
            </c:strRef>
          </c:tx>
          <c:cat>
            <c:numRef>
              <c:f>'Net lending borrowing'!$G$84:$P$84</c:f>
              <c:numCache>
                <c:formatCode>General</c:formatCode>
                <c:ptCount val="10"/>
                <c:pt idx="0">
                  <c:v>2011</c:v>
                </c:pt>
                <c:pt idx="1">
                  <c:v>2010</c:v>
                </c:pt>
                <c:pt idx="2">
                  <c:v>2009</c:v>
                </c:pt>
                <c:pt idx="3">
                  <c:v>2008</c:v>
                </c:pt>
                <c:pt idx="4">
                  <c:v>2007</c:v>
                </c:pt>
                <c:pt idx="5">
                  <c:v>2006</c:v>
                </c:pt>
                <c:pt idx="6">
                  <c:v>2005</c:v>
                </c:pt>
                <c:pt idx="7">
                  <c:v>2004</c:v>
                </c:pt>
                <c:pt idx="8">
                  <c:v>2003</c:v>
                </c:pt>
                <c:pt idx="9">
                  <c:v>2002</c:v>
                </c:pt>
              </c:numCache>
            </c:numRef>
          </c:cat>
          <c:val>
            <c:numRef>
              <c:f>'Net lending borrowing'!$G$35:$P$35</c:f>
              <c:numCache>
                <c:formatCode>General</c:formatCode>
                <c:ptCount val="10"/>
                <c:pt idx="0">
                  <c:v>0.86743426170841753</c:v>
                </c:pt>
                <c:pt idx="1">
                  <c:v>4.0310077519379854</c:v>
                </c:pt>
                <c:pt idx="2">
                  <c:v>2.5639081911981467</c:v>
                </c:pt>
                <c:pt idx="3">
                  <c:v>0.69892473118279563</c:v>
                </c:pt>
                <c:pt idx="4">
                  <c:v>1.6965204858966441</c:v>
                </c:pt>
                <c:pt idx="5">
                  <c:v>2.2217900514283286</c:v>
                </c:pt>
                <c:pt idx="6">
                  <c:v>1.881406221902536</c:v>
                </c:pt>
                <c:pt idx="7">
                  <c:v>2.3423054151295664</c:v>
                </c:pt>
                <c:pt idx="8">
                  <c:v>0.21233993015133912</c:v>
                </c:pt>
                <c:pt idx="9">
                  <c:v>1.0711940718506698</c:v>
                </c:pt>
              </c:numCache>
            </c:numRef>
          </c:val>
        </c:ser>
        <c:ser>
          <c:idx val="1"/>
          <c:order val="1"/>
          <c:tx>
            <c:strRef>
              <c:f>'Net lending borrowing'!$D$61</c:f>
              <c:strCache>
                <c:ptCount val="1"/>
                <c:pt idx="0">
                  <c:v>Households and NPISH</c:v>
                </c:pt>
              </c:strCache>
            </c:strRef>
          </c:tx>
          <c:cat>
            <c:numRef>
              <c:f>'Net lending borrowing'!$G$84:$P$84</c:f>
              <c:numCache>
                <c:formatCode>General</c:formatCode>
                <c:ptCount val="10"/>
                <c:pt idx="0">
                  <c:v>2011</c:v>
                </c:pt>
                <c:pt idx="1">
                  <c:v>2010</c:v>
                </c:pt>
                <c:pt idx="2">
                  <c:v>2009</c:v>
                </c:pt>
                <c:pt idx="3">
                  <c:v>2008</c:v>
                </c:pt>
                <c:pt idx="4">
                  <c:v>2007</c:v>
                </c:pt>
                <c:pt idx="5">
                  <c:v>2006</c:v>
                </c:pt>
                <c:pt idx="6">
                  <c:v>2005</c:v>
                </c:pt>
                <c:pt idx="7">
                  <c:v>2004</c:v>
                </c:pt>
                <c:pt idx="8">
                  <c:v>2003</c:v>
                </c:pt>
                <c:pt idx="9">
                  <c:v>2002</c:v>
                </c:pt>
              </c:numCache>
            </c:numRef>
          </c:cat>
          <c:val>
            <c:numRef>
              <c:f>'Net lending borrowing'!$G$61:$P$61</c:f>
              <c:numCache>
                <c:formatCode>General</c:formatCode>
                <c:ptCount val="10"/>
                <c:pt idx="0">
                  <c:v>5.3679788392718137</c:v>
                </c:pt>
                <c:pt idx="1">
                  <c:v>6.0319767441860463</c:v>
                </c:pt>
                <c:pt idx="2">
                  <c:v>6.3971362392082396</c:v>
                </c:pt>
                <c:pt idx="3">
                  <c:v>5.5542081008974042</c:v>
                </c:pt>
                <c:pt idx="4">
                  <c:v>5.6084002470660783</c:v>
                </c:pt>
                <c:pt idx="5">
                  <c:v>5.9120964605211981</c:v>
                </c:pt>
                <c:pt idx="6">
                  <c:v>6.5051249775220255</c:v>
                </c:pt>
                <c:pt idx="7">
                  <c:v>6.0755112264881355</c:v>
                </c:pt>
                <c:pt idx="8">
                  <c:v>5.8253783469150067</c:v>
                </c:pt>
                <c:pt idx="9">
                  <c:v>4.7486164524903884</c:v>
                </c:pt>
              </c:numCache>
            </c:numRef>
          </c:val>
        </c:ser>
        <c:ser>
          <c:idx val="2"/>
          <c:order val="2"/>
          <c:tx>
            <c:strRef>
              <c:f>'Net lending borrowing'!$D$85</c:f>
              <c:strCache>
                <c:ptCount val="1"/>
                <c:pt idx="0">
                  <c:v>General government</c:v>
                </c:pt>
              </c:strCache>
            </c:strRef>
          </c:tx>
          <c:cat>
            <c:numRef>
              <c:f>'Net lending borrowing'!$G$84:$P$84</c:f>
              <c:numCache>
                <c:formatCode>General</c:formatCode>
                <c:ptCount val="10"/>
                <c:pt idx="0">
                  <c:v>2011</c:v>
                </c:pt>
                <c:pt idx="1">
                  <c:v>2010</c:v>
                </c:pt>
                <c:pt idx="2">
                  <c:v>2009</c:v>
                </c:pt>
                <c:pt idx="3">
                  <c:v>2008</c:v>
                </c:pt>
                <c:pt idx="4">
                  <c:v>2007</c:v>
                </c:pt>
                <c:pt idx="5">
                  <c:v>2006</c:v>
                </c:pt>
                <c:pt idx="6">
                  <c:v>2005</c:v>
                </c:pt>
                <c:pt idx="7">
                  <c:v>2004</c:v>
                </c:pt>
                <c:pt idx="8">
                  <c:v>2003</c:v>
                </c:pt>
                <c:pt idx="9">
                  <c:v>2002</c:v>
                </c:pt>
              </c:numCache>
            </c:numRef>
          </c:cat>
          <c:val>
            <c:numRef>
              <c:f>'Net lending borrowing'!$G$85:$P$85</c:f>
              <c:numCache>
                <c:formatCode>General</c:formatCode>
                <c:ptCount val="10"/>
                <c:pt idx="0">
                  <c:v>-1.003578699999998</c:v>
                </c:pt>
                <c:pt idx="1">
                  <c:v>-4.2740632999999999</c:v>
                </c:pt>
                <c:pt idx="2">
                  <c:v>-3.2116235</c:v>
                </c:pt>
                <c:pt idx="3">
                  <c:v>-5.6997300000000001E-2</c:v>
                </c:pt>
                <c:pt idx="4">
                  <c:v>0.23718339999999999</c:v>
                </c:pt>
                <c:pt idx="5">
                  <c:v>-1.6383595000000015</c:v>
                </c:pt>
                <c:pt idx="6">
                  <c:v>-3.3213450999999967</c:v>
                </c:pt>
                <c:pt idx="7">
                  <c:v>-3.7577993000000012</c:v>
                </c:pt>
                <c:pt idx="8">
                  <c:v>-4.1513387999999996</c:v>
                </c:pt>
                <c:pt idx="9">
                  <c:v>-3.8462620999999961</c:v>
                </c:pt>
              </c:numCache>
            </c:numRef>
          </c:val>
        </c:ser>
        <c:overlap val="100"/>
        <c:axId val="112177152"/>
        <c:axId val="112178688"/>
      </c:barChart>
      <c:dateAx>
        <c:axId val="112177152"/>
        <c:scaling>
          <c:orientation val="minMax"/>
        </c:scaling>
        <c:axPos val="b"/>
        <c:numFmt formatCode="General" sourceLinked="1"/>
        <c:majorTickMark val="cross"/>
        <c:tickLblPos val="low"/>
        <c:txPr>
          <a:bodyPr/>
          <a:lstStyle/>
          <a:p>
            <a:pPr>
              <a:defRPr>
                <a:latin typeface="Times New Roman" pitchFamily="18" charset="0"/>
                <a:cs typeface="Times New Roman" pitchFamily="18" charset="0"/>
              </a:defRPr>
            </a:pPr>
            <a:endParaRPr lang="nl-NL"/>
          </a:p>
        </c:txPr>
        <c:crossAx val="112178688"/>
        <c:crosses val="autoZero"/>
        <c:lblOffset val="100"/>
        <c:baseTimeUnit val="days"/>
      </c:dateAx>
      <c:valAx>
        <c:axId val="112178688"/>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nl-NL"/>
          </a:p>
        </c:txPr>
        <c:crossAx val="112177152"/>
        <c:crosses val="autoZero"/>
        <c:crossBetween val="between"/>
        <c:majorUnit val="2.5"/>
      </c:valAx>
    </c:plotArea>
    <c:legend>
      <c:legendPos val="r"/>
      <c:txPr>
        <a:bodyPr/>
        <a:lstStyle/>
        <a:p>
          <a:pPr>
            <a:defRPr>
              <a:latin typeface="Times New Roman" pitchFamily="18" charset="0"/>
              <a:cs typeface="Times New Roman" pitchFamily="18" charset="0"/>
            </a:defRPr>
          </a:pPr>
          <a:endParaRPr lang="nl-NL"/>
        </a:p>
      </c:txPr>
    </c:legend>
    <c:plotVisOnly val="1"/>
  </c:chart>
  <c:spPr>
    <a:effectLst>
      <a:outerShdw blurRad="50800" dist="50800" dir="5400000" algn="ctr" rotWithShape="0">
        <a:srgbClr val="000000">
          <a:alpha val="80000"/>
        </a:srgbClr>
      </a:outerShdw>
    </a:effectLst>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0.18804520454051629"/>
          <c:y val="0.38632536101527076"/>
          <c:w val="0.58286964129483809"/>
          <c:h val="0.38131154953945701"/>
        </c:manualLayout>
      </c:layout>
      <c:lineChart>
        <c:grouping val="standard"/>
        <c:ser>
          <c:idx val="0"/>
          <c:order val="0"/>
          <c:tx>
            <c:strRef>
              <c:f>'Long term interest rate'!$J$6</c:f>
              <c:strCache>
                <c:ptCount val="1"/>
                <c:pt idx="0">
                  <c:v>Spain</c:v>
                </c:pt>
              </c:strCache>
            </c:strRef>
          </c:tx>
          <c:spPr>
            <a:ln w="31750" cmpd="dbl">
              <a:prstDash val="solid"/>
            </a:ln>
          </c:spPr>
          <c:marker>
            <c:symbol val="diamond"/>
            <c:size val="5"/>
          </c:marker>
          <c:cat>
            <c:strRef>
              <c:f>'Long term interest rate'!$B$7:$B$19</c:f>
              <c:strCache>
                <c:ptCount val="13"/>
                <c:pt idx="0">
                  <c:v>May 11</c:v>
                </c:pt>
                <c:pt idx="1">
                  <c:v>June 11</c:v>
                </c:pt>
                <c:pt idx="2">
                  <c:v>July 11</c:v>
                </c:pt>
                <c:pt idx="3">
                  <c:v>Aug. 11</c:v>
                </c:pt>
                <c:pt idx="4">
                  <c:v>Sept. 11</c:v>
                </c:pt>
                <c:pt idx="5">
                  <c:v>Oct. 11</c:v>
                </c:pt>
                <c:pt idx="6">
                  <c:v>Nov. 11</c:v>
                </c:pt>
                <c:pt idx="7">
                  <c:v>Dec. 11</c:v>
                </c:pt>
                <c:pt idx="8">
                  <c:v>Jan. 12</c:v>
                </c:pt>
                <c:pt idx="9">
                  <c:v>Feb. 12</c:v>
                </c:pt>
                <c:pt idx="10">
                  <c:v>Mar. 12</c:v>
                </c:pt>
                <c:pt idx="11">
                  <c:v>Apr. 12</c:v>
                </c:pt>
                <c:pt idx="12">
                  <c:v>May 12</c:v>
                </c:pt>
              </c:strCache>
            </c:strRef>
          </c:cat>
          <c:val>
            <c:numRef>
              <c:f>'Long term interest rate'!$J$7:$J$19</c:f>
              <c:numCache>
                <c:formatCode>General</c:formatCode>
                <c:ptCount val="13"/>
                <c:pt idx="0">
                  <c:v>5.3199999999999997E-2</c:v>
                </c:pt>
                <c:pt idx="1">
                  <c:v>5.4800000000000133E-2</c:v>
                </c:pt>
                <c:pt idx="2">
                  <c:v>5.8299999999999998E-2</c:v>
                </c:pt>
                <c:pt idx="3">
                  <c:v>5.2500000000000012E-2</c:v>
                </c:pt>
                <c:pt idx="4">
                  <c:v>5.2000000000000032E-2</c:v>
                </c:pt>
                <c:pt idx="5">
                  <c:v>5.2600000000000001E-2</c:v>
                </c:pt>
                <c:pt idx="6">
                  <c:v>6.2000000000000034E-2</c:v>
                </c:pt>
                <c:pt idx="7">
                  <c:v>5.5300000000000113E-2</c:v>
                </c:pt>
                <c:pt idx="8">
                  <c:v>5.4100000000000023E-2</c:v>
                </c:pt>
                <c:pt idx="9">
                  <c:v>5.1100000000000007E-2</c:v>
                </c:pt>
                <c:pt idx="10">
                  <c:v>5.1699999999999996E-2</c:v>
                </c:pt>
                <c:pt idx="11">
                  <c:v>5.7900000000000014E-2</c:v>
                </c:pt>
                <c:pt idx="12">
                  <c:v>6.1300000000000014E-2</c:v>
                </c:pt>
              </c:numCache>
            </c:numRef>
          </c:val>
        </c:ser>
        <c:ser>
          <c:idx val="1"/>
          <c:order val="1"/>
          <c:tx>
            <c:strRef>
              <c:f>'Long term interest rate'!$K$6</c:f>
              <c:strCache>
                <c:ptCount val="1"/>
                <c:pt idx="0">
                  <c:v>Germany</c:v>
                </c:pt>
              </c:strCache>
            </c:strRef>
          </c:tx>
          <c:spPr>
            <a:ln cmpd="dbl">
              <a:prstDash val="solid"/>
            </a:ln>
          </c:spPr>
          <c:marker>
            <c:symbol val="square"/>
            <c:size val="5"/>
          </c:marker>
          <c:cat>
            <c:strRef>
              <c:f>'Long term interest rate'!$B$7:$B$19</c:f>
              <c:strCache>
                <c:ptCount val="13"/>
                <c:pt idx="0">
                  <c:v>May 11</c:v>
                </c:pt>
                <c:pt idx="1">
                  <c:v>June 11</c:v>
                </c:pt>
                <c:pt idx="2">
                  <c:v>July 11</c:v>
                </c:pt>
                <c:pt idx="3">
                  <c:v>Aug. 11</c:v>
                </c:pt>
                <c:pt idx="4">
                  <c:v>Sept. 11</c:v>
                </c:pt>
                <c:pt idx="5">
                  <c:v>Oct. 11</c:v>
                </c:pt>
                <c:pt idx="6">
                  <c:v>Nov. 11</c:v>
                </c:pt>
                <c:pt idx="7">
                  <c:v>Dec. 11</c:v>
                </c:pt>
                <c:pt idx="8">
                  <c:v>Jan. 12</c:v>
                </c:pt>
                <c:pt idx="9">
                  <c:v>Feb. 12</c:v>
                </c:pt>
                <c:pt idx="10">
                  <c:v>Mar. 12</c:v>
                </c:pt>
                <c:pt idx="11">
                  <c:v>Apr. 12</c:v>
                </c:pt>
                <c:pt idx="12">
                  <c:v>May 12</c:v>
                </c:pt>
              </c:strCache>
            </c:strRef>
          </c:cat>
          <c:val>
            <c:numRef>
              <c:f>'Long term interest rate'!$K$7:$K$19</c:f>
              <c:numCache>
                <c:formatCode>General</c:formatCode>
                <c:ptCount val="13"/>
                <c:pt idx="0">
                  <c:v>3.0600000000000002E-2</c:v>
                </c:pt>
                <c:pt idx="1">
                  <c:v>2.8899999999999999E-2</c:v>
                </c:pt>
                <c:pt idx="2">
                  <c:v>2.740000000000016E-2</c:v>
                </c:pt>
                <c:pt idx="3">
                  <c:v>2.2100000000000002E-2</c:v>
                </c:pt>
                <c:pt idx="4">
                  <c:v>1.8300000000000021E-2</c:v>
                </c:pt>
                <c:pt idx="5">
                  <c:v>2.0000000000000011E-2</c:v>
                </c:pt>
                <c:pt idx="6">
                  <c:v>1.8700000000000098E-2</c:v>
                </c:pt>
                <c:pt idx="7">
                  <c:v>1.9299999999999998E-2</c:v>
                </c:pt>
                <c:pt idx="8">
                  <c:v>1.8200000000000063E-2</c:v>
                </c:pt>
                <c:pt idx="9">
                  <c:v>1.8500000000000096E-2</c:v>
                </c:pt>
                <c:pt idx="10">
                  <c:v>1.8300000000000021E-2</c:v>
                </c:pt>
                <c:pt idx="11">
                  <c:v>1.6200000000000023E-2</c:v>
                </c:pt>
                <c:pt idx="12">
                  <c:v>1.3400000000000068E-2</c:v>
                </c:pt>
              </c:numCache>
            </c:numRef>
          </c:val>
        </c:ser>
        <c:marker val="1"/>
        <c:axId val="87821312"/>
        <c:axId val="89855488"/>
      </c:lineChart>
      <c:catAx>
        <c:axId val="87821312"/>
        <c:scaling>
          <c:orientation val="minMax"/>
        </c:scaling>
        <c:axPos val="b"/>
        <c:minorTickMark val="out"/>
        <c:tickLblPos val="nextTo"/>
        <c:txPr>
          <a:bodyPr/>
          <a:lstStyle/>
          <a:p>
            <a:pPr>
              <a:defRPr sz="1000"/>
            </a:pPr>
            <a:endParaRPr lang="nl-NL"/>
          </a:p>
        </c:txPr>
        <c:crossAx val="89855488"/>
        <c:crosses val="autoZero"/>
        <c:auto val="1"/>
        <c:lblAlgn val="ctr"/>
        <c:lblOffset val="100"/>
      </c:catAx>
      <c:valAx>
        <c:axId val="89855488"/>
        <c:scaling>
          <c:orientation val="minMax"/>
        </c:scaling>
        <c:axPos val="l"/>
        <c:majorGridlines/>
        <c:numFmt formatCode="0%" sourceLinked="0"/>
        <c:majorTickMark val="none"/>
        <c:tickLblPos val="nextTo"/>
        <c:txPr>
          <a:bodyPr/>
          <a:lstStyle/>
          <a:p>
            <a:pPr>
              <a:defRPr sz="1000"/>
            </a:pPr>
            <a:endParaRPr lang="nl-NL"/>
          </a:p>
        </c:txPr>
        <c:crossAx val="87821312"/>
        <c:crosses val="autoZero"/>
        <c:crossBetween val="midCat"/>
      </c:valAx>
    </c:plotArea>
    <c:legend>
      <c:legendPos val="r"/>
      <c:layout>
        <c:manualLayout>
          <c:xMode val="edge"/>
          <c:yMode val="edge"/>
          <c:x val="0.82310246251065755"/>
          <c:y val="0.50678969182906186"/>
          <c:w val="0.17511370106514471"/>
          <c:h val="0.15674989890083649"/>
        </c:manualLayout>
      </c:layout>
      <c:txPr>
        <a:bodyPr/>
        <a:lstStyle/>
        <a:p>
          <a:pPr>
            <a:defRPr sz="1000"/>
          </a:pPr>
          <a:endParaRPr lang="nl-NL"/>
        </a:p>
      </c:txPr>
    </c:legend>
    <c:plotVisOnly val="1"/>
    <c:dispBlanksAs val="gap"/>
  </c:chart>
  <c:spPr>
    <a:effectLst>
      <a:outerShdw blurRad="50800" dist="50800" dir="5400000" algn="ctr" rotWithShape="0">
        <a:srgbClr val="000000">
          <a:alpha val="80000"/>
        </a:srgbClr>
      </a:outerShdw>
    </a:effectLst>
  </c:spPr>
  <c:txPr>
    <a:bodyPr/>
    <a:lstStyle/>
    <a:p>
      <a:pPr>
        <a:defRPr sz="1200">
          <a:latin typeface="Times New Roman" pitchFamily="18" charset="0"/>
          <a:cs typeface="Times New Roman" pitchFamily="18" charset="0"/>
        </a:defRPr>
      </a:pPr>
      <a:endParaRPr lang="nl-NL"/>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0.13781102362204725"/>
          <c:y val="0.24915191156660974"/>
          <c:w val="0.57102257217847774"/>
          <c:h val="0.52545406319931398"/>
        </c:manualLayout>
      </c:layout>
      <c:lineChart>
        <c:grouping val="standard"/>
        <c:ser>
          <c:idx val="1"/>
          <c:order val="0"/>
          <c:tx>
            <c:v>Spain</c:v>
          </c:tx>
          <c:spPr>
            <a:ln w="41275" cap="sq" cmpd="dbl">
              <a:prstDash val="solid"/>
            </a:ln>
          </c:spPr>
          <c:marker>
            <c:symbol val="square"/>
            <c:size val="5"/>
          </c:marker>
          <c:cat>
            <c:strRef>
              <c:f>'Housing Price Index'!$J$9:$J$27</c:f>
              <c:strCache>
                <c:ptCount val="19"/>
                <c:pt idx="0">
                  <c:v>06Q2</c:v>
                </c:pt>
                <c:pt idx="1">
                  <c:v>06Q3</c:v>
                </c:pt>
                <c:pt idx="2">
                  <c:v>06Q4</c:v>
                </c:pt>
                <c:pt idx="3">
                  <c:v>07Q1</c:v>
                </c:pt>
                <c:pt idx="4">
                  <c:v>07Q2</c:v>
                </c:pt>
                <c:pt idx="5">
                  <c:v>07Q3</c:v>
                </c:pt>
                <c:pt idx="6">
                  <c:v>07Q4</c:v>
                </c:pt>
                <c:pt idx="7">
                  <c:v>08Q1</c:v>
                </c:pt>
                <c:pt idx="8">
                  <c:v>08Q2</c:v>
                </c:pt>
                <c:pt idx="9">
                  <c:v>08Q3</c:v>
                </c:pt>
                <c:pt idx="10">
                  <c:v>08Q4</c:v>
                </c:pt>
                <c:pt idx="11">
                  <c:v>09Q1</c:v>
                </c:pt>
                <c:pt idx="12">
                  <c:v>09Q2</c:v>
                </c:pt>
                <c:pt idx="13">
                  <c:v>09Q3</c:v>
                </c:pt>
                <c:pt idx="14">
                  <c:v>09Q4</c:v>
                </c:pt>
                <c:pt idx="15">
                  <c:v>10Q1</c:v>
                </c:pt>
                <c:pt idx="16">
                  <c:v>10Q2</c:v>
                </c:pt>
                <c:pt idx="17">
                  <c:v>10Q3</c:v>
                </c:pt>
                <c:pt idx="18">
                  <c:v>10Q4</c:v>
                </c:pt>
              </c:strCache>
            </c:strRef>
          </c:cat>
          <c:val>
            <c:numRef>
              <c:f>'Housing Price Index'!$L$9:$L$27</c:f>
              <c:numCache>
                <c:formatCode>0.00</c:formatCode>
                <c:ptCount val="19"/>
                <c:pt idx="0">
                  <c:v>99.8</c:v>
                </c:pt>
                <c:pt idx="1">
                  <c:v>103.1</c:v>
                </c:pt>
                <c:pt idx="2">
                  <c:v>105.8</c:v>
                </c:pt>
                <c:pt idx="3">
                  <c:v>108.3</c:v>
                </c:pt>
                <c:pt idx="4">
                  <c:v>111.4</c:v>
                </c:pt>
                <c:pt idx="5">
                  <c:v>112.6</c:v>
                </c:pt>
                <c:pt idx="6">
                  <c:v>111.8</c:v>
                </c:pt>
                <c:pt idx="7">
                  <c:v>111.4</c:v>
                </c:pt>
                <c:pt idx="8">
                  <c:v>111</c:v>
                </c:pt>
                <c:pt idx="9">
                  <c:v>109.2</c:v>
                </c:pt>
                <c:pt idx="10">
                  <c:v>105.8</c:v>
                </c:pt>
                <c:pt idx="11">
                  <c:v>102.9</c:v>
                </c:pt>
                <c:pt idx="12">
                  <c:v>102.5</c:v>
                </c:pt>
                <c:pt idx="13">
                  <c:v>101.6</c:v>
                </c:pt>
                <c:pt idx="14">
                  <c:v>101.2</c:v>
                </c:pt>
                <c:pt idx="15">
                  <c:v>99.9</c:v>
                </c:pt>
                <c:pt idx="16">
                  <c:v>101.5</c:v>
                </c:pt>
                <c:pt idx="17">
                  <c:v>99.3</c:v>
                </c:pt>
                <c:pt idx="18">
                  <c:v>99.2</c:v>
                </c:pt>
              </c:numCache>
            </c:numRef>
          </c:val>
        </c:ser>
        <c:ser>
          <c:idx val="2"/>
          <c:order val="1"/>
          <c:tx>
            <c:v>Greece</c:v>
          </c:tx>
          <c:spPr>
            <a:ln w="41275" cap="sq" cmpd="dbl">
              <a:prstDash val="solid"/>
            </a:ln>
          </c:spPr>
          <c:marker>
            <c:symbol val="triangle"/>
            <c:size val="5"/>
            <c:spPr>
              <a:ln cmpd="dbl"/>
            </c:spPr>
          </c:marker>
          <c:cat>
            <c:strRef>
              <c:f>'Housing Price Index'!$J$9:$J$27</c:f>
              <c:strCache>
                <c:ptCount val="19"/>
                <c:pt idx="0">
                  <c:v>06Q2</c:v>
                </c:pt>
                <c:pt idx="1">
                  <c:v>06Q3</c:v>
                </c:pt>
                <c:pt idx="2">
                  <c:v>06Q4</c:v>
                </c:pt>
                <c:pt idx="3">
                  <c:v>07Q1</c:v>
                </c:pt>
                <c:pt idx="4">
                  <c:v>07Q2</c:v>
                </c:pt>
                <c:pt idx="5">
                  <c:v>07Q3</c:v>
                </c:pt>
                <c:pt idx="6">
                  <c:v>07Q4</c:v>
                </c:pt>
                <c:pt idx="7">
                  <c:v>08Q1</c:v>
                </c:pt>
                <c:pt idx="8">
                  <c:v>08Q2</c:v>
                </c:pt>
                <c:pt idx="9">
                  <c:v>08Q3</c:v>
                </c:pt>
                <c:pt idx="10">
                  <c:v>08Q4</c:v>
                </c:pt>
                <c:pt idx="11">
                  <c:v>09Q1</c:v>
                </c:pt>
                <c:pt idx="12">
                  <c:v>09Q2</c:v>
                </c:pt>
                <c:pt idx="13">
                  <c:v>09Q3</c:v>
                </c:pt>
                <c:pt idx="14">
                  <c:v>09Q4</c:v>
                </c:pt>
                <c:pt idx="15">
                  <c:v>10Q1</c:v>
                </c:pt>
                <c:pt idx="16">
                  <c:v>10Q2</c:v>
                </c:pt>
                <c:pt idx="17">
                  <c:v>10Q3</c:v>
                </c:pt>
                <c:pt idx="18">
                  <c:v>10Q4</c:v>
                </c:pt>
              </c:strCache>
            </c:strRef>
          </c:cat>
          <c:val>
            <c:numRef>
              <c:f>'Housing Price Index'!$M$9:$M$27</c:f>
              <c:numCache>
                <c:formatCode>0.00</c:formatCode>
                <c:ptCount val="19"/>
                <c:pt idx="0">
                  <c:v>93.3</c:v>
                </c:pt>
                <c:pt idx="1">
                  <c:v>94.3</c:v>
                </c:pt>
                <c:pt idx="2">
                  <c:v>94.1</c:v>
                </c:pt>
                <c:pt idx="3">
                  <c:v>97.5</c:v>
                </c:pt>
                <c:pt idx="4">
                  <c:v>96.2</c:v>
                </c:pt>
                <c:pt idx="5">
                  <c:v>99.7</c:v>
                </c:pt>
                <c:pt idx="6">
                  <c:v>95.7</c:v>
                </c:pt>
                <c:pt idx="7">
                  <c:v>98.2</c:v>
                </c:pt>
                <c:pt idx="8">
                  <c:v>102</c:v>
                </c:pt>
                <c:pt idx="9">
                  <c:v>103.8</c:v>
                </c:pt>
                <c:pt idx="10">
                  <c:v>102.8</c:v>
                </c:pt>
                <c:pt idx="11">
                  <c:v>103.8</c:v>
                </c:pt>
                <c:pt idx="12">
                  <c:v>101.7</c:v>
                </c:pt>
                <c:pt idx="13">
                  <c:v>103.7</c:v>
                </c:pt>
                <c:pt idx="14">
                  <c:v>101.9</c:v>
                </c:pt>
                <c:pt idx="15">
                  <c:v>100.2</c:v>
                </c:pt>
                <c:pt idx="16">
                  <c:v>101.3</c:v>
                </c:pt>
                <c:pt idx="17">
                  <c:v>100.3</c:v>
                </c:pt>
                <c:pt idx="18">
                  <c:v>98.2</c:v>
                </c:pt>
              </c:numCache>
            </c:numRef>
          </c:val>
        </c:ser>
        <c:ser>
          <c:idx val="3"/>
          <c:order val="2"/>
          <c:tx>
            <c:v>Germany</c:v>
          </c:tx>
          <c:spPr>
            <a:ln w="41275" cmpd="dbl"/>
          </c:spPr>
          <c:marker>
            <c:symbol val="diamond"/>
            <c:size val="5"/>
          </c:marker>
          <c:cat>
            <c:strRef>
              <c:f>'Housing Price Index'!$J$9:$J$27</c:f>
              <c:strCache>
                <c:ptCount val="19"/>
                <c:pt idx="0">
                  <c:v>06Q2</c:v>
                </c:pt>
                <c:pt idx="1">
                  <c:v>06Q3</c:v>
                </c:pt>
                <c:pt idx="2">
                  <c:v>06Q4</c:v>
                </c:pt>
                <c:pt idx="3">
                  <c:v>07Q1</c:v>
                </c:pt>
                <c:pt idx="4">
                  <c:v>07Q2</c:v>
                </c:pt>
                <c:pt idx="5">
                  <c:v>07Q3</c:v>
                </c:pt>
                <c:pt idx="6">
                  <c:v>07Q4</c:v>
                </c:pt>
                <c:pt idx="7">
                  <c:v>08Q1</c:v>
                </c:pt>
                <c:pt idx="8">
                  <c:v>08Q2</c:v>
                </c:pt>
                <c:pt idx="9">
                  <c:v>08Q3</c:v>
                </c:pt>
                <c:pt idx="10">
                  <c:v>08Q4</c:v>
                </c:pt>
                <c:pt idx="11">
                  <c:v>09Q1</c:v>
                </c:pt>
                <c:pt idx="12">
                  <c:v>09Q2</c:v>
                </c:pt>
                <c:pt idx="13">
                  <c:v>09Q3</c:v>
                </c:pt>
                <c:pt idx="14">
                  <c:v>09Q4</c:v>
                </c:pt>
                <c:pt idx="15">
                  <c:v>10Q1</c:v>
                </c:pt>
                <c:pt idx="16">
                  <c:v>10Q2</c:v>
                </c:pt>
                <c:pt idx="17">
                  <c:v>10Q3</c:v>
                </c:pt>
                <c:pt idx="18">
                  <c:v>10Q4</c:v>
                </c:pt>
              </c:strCache>
            </c:strRef>
          </c:cat>
          <c:val>
            <c:numRef>
              <c:f>'Housing Price Index'!$N$9:$N$27</c:f>
              <c:numCache>
                <c:formatCode>0.00</c:formatCode>
                <c:ptCount val="19"/>
                <c:pt idx="0">
                  <c:v>99.6</c:v>
                </c:pt>
                <c:pt idx="1">
                  <c:v>98.2</c:v>
                </c:pt>
                <c:pt idx="2">
                  <c:v>99</c:v>
                </c:pt>
                <c:pt idx="3">
                  <c:v>95.5</c:v>
                </c:pt>
                <c:pt idx="4">
                  <c:v>97.5</c:v>
                </c:pt>
                <c:pt idx="5">
                  <c:v>97.3</c:v>
                </c:pt>
                <c:pt idx="6">
                  <c:v>97.3</c:v>
                </c:pt>
                <c:pt idx="7">
                  <c:v>98.8</c:v>
                </c:pt>
                <c:pt idx="8">
                  <c:v>99.1</c:v>
                </c:pt>
                <c:pt idx="9">
                  <c:v>97.3</c:v>
                </c:pt>
                <c:pt idx="10">
                  <c:v>97.6</c:v>
                </c:pt>
                <c:pt idx="11">
                  <c:v>97.6</c:v>
                </c:pt>
                <c:pt idx="12">
                  <c:v>99.1</c:v>
                </c:pt>
                <c:pt idx="13">
                  <c:v>98.9</c:v>
                </c:pt>
                <c:pt idx="14">
                  <c:v>100.4</c:v>
                </c:pt>
                <c:pt idx="15">
                  <c:v>99</c:v>
                </c:pt>
                <c:pt idx="16">
                  <c:v>100.5</c:v>
                </c:pt>
                <c:pt idx="17">
                  <c:v>100.6</c:v>
                </c:pt>
                <c:pt idx="18">
                  <c:v>99.9</c:v>
                </c:pt>
              </c:numCache>
            </c:numRef>
          </c:val>
        </c:ser>
        <c:marker val="1"/>
        <c:axId val="93717248"/>
        <c:axId val="93718784"/>
      </c:lineChart>
      <c:catAx>
        <c:axId val="93717248"/>
        <c:scaling>
          <c:orientation val="minMax"/>
        </c:scaling>
        <c:axPos val="b"/>
        <c:tickLblPos val="nextTo"/>
        <c:txPr>
          <a:bodyPr/>
          <a:lstStyle/>
          <a:p>
            <a:pPr>
              <a:defRPr sz="1000">
                <a:latin typeface="Times New Roman" pitchFamily="18" charset="0"/>
                <a:cs typeface="Times New Roman" pitchFamily="18" charset="0"/>
              </a:defRPr>
            </a:pPr>
            <a:endParaRPr lang="nl-NL"/>
          </a:p>
        </c:txPr>
        <c:crossAx val="93718784"/>
        <c:crosses val="autoZero"/>
        <c:auto val="1"/>
        <c:lblAlgn val="ctr"/>
        <c:lblOffset val="100"/>
      </c:catAx>
      <c:valAx>
        <c:axId val="93718784"/>
        <c:scaling>
          <c:orientation val="minMax"/>
          <c:max val="120"/>
          <c:min val="90"/>
        </c:scaling>
        <c:axPos val="l"/>
        <c:majorGridlines/>
        <c:numFmt formatCode="0" sourceLinked="0"/>
        <c:tickLblPos val="nextTo"/>
        <c:txPr>
          <a:bodyPr/>
          <a:lstStyle/>
          <a:p>
            <a:pPr>
              <a:defRPr sz="1000">
                <a:latin typeface="Times New Roman" pitchFamily="18" charset="0"/>
                <a:cs typeface="Times New Roman" pitchFamily="18" charset="0"/>
              </a:defRPr>
            </a:pPr>
            <a:endParaRPr lang="nl-NL"/>
          </a:p>
        </c:txPr>
        <c:crossAx val="93717248"/>
        <c:crosses val="autoZero"/>
        <c:crossBetween val="midCat"/>
        <c:majorUnit val="5"/>
        <c:minorUnit val="4"/>
      </c:valAx>
    </c:plotArea>
    <c:legend>
      <c:legendPos val="r"/>
      <c:layout>
        <c:manualLayout>
          <c:xMode val="edge"/>
          <c:yMode val="edge"/>
          <c:x val="0.69400208986415868"/>
          <c:y val="0.35054376434835488"/>
          <c:w val="0.28091954022988513"/>
          <c:h val="0.20312320768325429"/>
        </c:manualLayout>
      </c:layout>
      <c:txPr>
        <a:bodyPr/>
        <a:lstStyle/>
        <a:p>
          <a:pPr>
            <a:defRPr>
              <a:latin typeface="Times New Roman" pitchFamily="18" charset="0"/>
              <a:cs typeface="Times New Roman" pitchFamily="18" charset="0"/>
            </a:defRPr>
          </a:pPr>
          <a:endParaRPr lang="nl-NL"/>
        </a:p>
      </c:txPr>
    </c:legend>
    <c:plotVisOnly val="1"/>
  </c:chart>
  <c:spPr>
    <a:effectLst>
      <a:outerShdw blurRad="50800" dist="50800" dir="5400000" algn="ctr" rotWithShape="0">
        <a:schemeClr val="tx1">
          <a:alpha val="80000"/>
        </a:schemeClr>
      </a:outerShdw>
    </a:effectLst>
    <a:scene3d>
      <a:camera prst="orthographicFront"/>
      <a:lightRig rig="threePt" dir="t"/>
    </a:scene3d>
    <a:sp3d>
      <a:bevelT w="0" h="0"/>
    </a:sp3d>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0.10289723671211547"/>
          <c:y val="0.27362277631962723"/>
          <c:w val="0.50727989753920355"/>
          <c:h val="0.50831000291630168"/>
        </c:manualLayout>
      </c:layout>
      <c:lineChart>
        <c:grouping val="standard"/>
        <c:ser>
          <c:idx val="0"/>
          <c:order val="0"/>
          <c:tx>
            <c:v>Germany</c:v>
          </c:tx>
          <c:spPr>
            <a:ln w="41275" cmpd="dbl"/>
          </c:spPr>
          <c:marker>
            <c:symbol val="triangle"/>
            <c:size val="5"/>
          </c:marker>
          <c:cat>
            <c:strRef>
              <c:f>'gdp growth rate'!$E$7:$O$8</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'gdp growth rate'!$E$9:$O$9</c:f>
              <c:numCache>
                <c:formatCode>General</c:formatCode>
                <c:ptCount val="11"/>
                <c:pt idx="0">
                  <c:v>1.5142930723667241</c:v>
                </c:pt>
                <c:pt idx="1">
                  <c:v>7.6107362118781677E-3</c:v>
                </c:pt>
                <c:pt idx="2">
                  <c:v>-0.37289769412242424</c:v>
                </c:pt>
                <c:pt idx="3">
                  <c:v>1.1585272699495732</c:v>
                </c:pt>
                <c:pt idx="4">
                  <c:v>0.67708726622871362</c:v>
                </c:pt>
                <c:pt idx="5">
                  <c:v>3.7026851342567095</c:v>
                </c:pt>
                <c:pt idx="6">
                  <c:v>3.2739458521179516</c:v>
                </c:pt>
                <c:pt idx="7">
                  <c:v>1.0831757592735221</c:v>
                </c:pt>
                <c:pt idx="8">
                  <c:v>-5.1315212119812559</c:v>
                </c:pt>
                <c:pt idx="9">
                  <c:v>4.160276540324733</c:v>
                </c:pt>
                <c:pt idx="10">
                  <c:v>3.0265494998597742</c:v>
                </c:pt>
              </c:numCache>
            </c:numRef>
          </c:val>
        </c:ser>
        <c:ser>
          <c:idx val="1"/>
          <c:order val="1"/>
          <c:tx>
            <c:v>Spain</c:v>
          </c:tx>
          <c:spPr>
            <a:ln w="41275" cmpd="dbl"/>
          </c:spPr>
          <c:marker>
            <c:symbol val="square"/>
            <c:size val="5"/>
          </c:marker>
          <c:cat>
            <c:strRef>
              <c:f>'gdp growth rate'!$E$7:$O$8</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'gdp growth rate'!$E$10:$O$10</c:f>
              <c:numCache>
                <c:formatCode>General</c:formatCode>
                <c:ptCount val="11"/>
                <c:pt idx="0">
                  <c:v>3.6692847082058315</c:v>
                </c:pt>
                <c:pt idx="1">
                  <c:v>2.7101905063577503</c:v>
                </c:pt>
                <c:pt idx="2">
                  <c:v>3.0895995999634365</c:v>
                </c:pt>
                <c:pt idx="3">
                  <c:v>3.2591926219699889</c:v>
                </c:pt>
                <c:pt idx="4">
                  <c:v>3.583752469029132</c:v>
                </c:pt>
                <c:pt idx="5">
                  <c:v>4.0760796276928932</c:v>
                </c:pt>
                <c:pt idx="6">
                  <c:v>3.4791705657371335</c:v>
                </c:pt>
                <c:pt idx="7">
                  <c:v>0.88873224413702623</c:v>
                </c:pt>
                <c:pt idx="8">
                  <c:v>-3.7408515031528471</c:v>
                </c:pt>
                <c:pt idx="9">
                  <c:v>-6.9432771504094909E-2</c:v>
                </c:pt>
                <c:pt idx="10">
                  <c:v>0.70809468150072563</c:v>
                </c:pt>
              </c:numCache>
            </c:numRef>
          </c:val>
        </c:ser>
        <c:ser>
          <c:idx val="2"/>
          <c:order val="2"/>
          <c:tx>
            <c:v>Euro Area</c:v>
          </c:tx>
          <c:spPr>
            <a:ln w="41275" cmpd="dbl"/>
          </c:spPr>
          <c:marker>
            <c:symbol val="diamond"/>
            <c:size val="5"/>
          </c:marker>
          <c:cat>
            <c:strRef>
              <c:f>'gdp growth rate'!$E$7:$O$8</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'gdp growth rate'!$E$11:$O$11</c:f>
              <c:numCache>
                <c:formatCode>General</c:formatCode>
                <c:ptCount val="11"/>
                <c:pt idx="0">
                  <c:v>1.9726290275873719</c:v>
                </c:pt>
                <c:pt idx="1">
                  <c:v>0.91694201923568608</c:v>
                </c:pt>
                <c:pt idx="2">
                  <c:v>0.7225233898457234</c:v>
                </c:pt>
                <c:pt idx="3">
                  <c:v>2.2064926397480074</c:v>
                </c:pt>
                <c:pt idx="4">
                  <c:v>1.6979532303452201</c:v>
                </c:pt>
                <c:pt idx="5">
                  <c:v>3.2509731709058669</c:v>
                </c:pt>
                <c:pt idx="6">
                  <c:v>2.9821243070165884</c:v>
                </c:pt>
                <c:pt idx="7">
                  <c:v>0.36509339437757587</c:v>
                </c:pt>
                <c:pt idx="8">
                  <c:v>-4.4148124629180625</c:v>
                </c:pt>
                <c:pt idx="9">
                  <c:v>1.9512818602622413</c:v>
                </c:pt>
                <c:pt idx="10">
                  <c:v>1.475016746918645</c:v>
                </c:pt>
              </c:numCache>
            </c:numRef>
          </c:val>
        </c:ser>
        <c:marker val="1"/>
        <c:axId val="93842048"/>
        <c:axId val="94847744"/>
      </c:lineChart>
      <c:dateAx>
        <c:axId val="93842048"/>
        <c:scaling>
          <c:orientation val="minMax"/>
        </c:scaling>
        <c:axPos val="b"/>
        <c:majorTickMark val="cross"/>
        <c:tickLblPos val="low"/>
        <c:crossAx val="94847744"/>
        <c:crosses val="autoZero"/>
        <c:lblOffset val="100"/>
        <c:baseTimeUnit val="days"/>
      </c:dateAx>
      <c:valAx>
        <c:axId val="94847744"/>
        <c:scaling>
          <c:orientation val="minMax"/>
        </c:scaling>
        <c:axPos val="l"/>
        <c:majorGridlines/>
        <c:numFmt formatCode="General" sourceLinked="1"/>
        <c:tickLblPos val="nextTo"/>
        <c:crossAx val="93842048"/>
        <c:crosses val="autoZero"/>
        <c:crossBetween val="midCat"/>
      </c:valAx>
    </c:plotArea>
    <c:legend>
      <c:legendPos val="r"/>
      <c:layout>
        <c:manualLayout>
          <c:xMode val="edge"/>
          <c:yMode val="edge"/>
          <c:x val="0.64629343884049473"/>
          <c:y val="0.28067986293379998"/>
          <c:w val="0.34334624283595028"/>
          <c:h val="0.38789370078740193"/>
        </c:manualLayout>
      </c:layout>
    </c:legend>
    <c:plotVisOnly val="1"/>
  </c:chart>
  <c:spPr>
    <a:effectLst>
      <a:outerShdw blurRad="50800" dist="50800" dir="5400000" algn="ctr" rotWithShape="0">
        <a:srgbClr val="000000">
          <a:alpha val="80000"/>
        </a:srgbClr>
      </a:outerShdw>
    </a:effectLst>
  </c:spPr>
  <c:txPr>
    <a:bodyPr/>
    <a:lstStyle/>
    <a:p>
      <a:pPr>
        <a:defRPr>
          <a:latin typeface="Times New Roman" pitchFamily="18" charset="0"/>
          <a:cs typeface="Times New Roman" pitchFamily="18" charset="0"/>
        </a:defRPr>
      </a:pPr>
      <a:endParaRPr lang="nl-NL"/>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0.13573834039975771"/>
          <c:y val="0.31621541751725524"/>
          <c:w val="0.51984494245911672"/>
          <c:h val="0.43798075240594964"/>
        </c:manualLayout>
      </c:layout>
      <c:lineChart>
        <c:grouping val="standard"/>
        <c:ser>
          <c:idx val="1"/>
          <c:order val="0"/>
          <c:tx>
            <c:strRef>
              <c:f>'Population growth rate'!$C$4</c:f>
              <c:strCache>
                <c:ptCount val="1"/>
                <c:pt idx="0">
                  <c:v>Spain</c:v>
                </c:pt>
              </c:strCache>
            </c:strRef>
          </c:tx>
          <c:spPr>
            <a:ln cmpd="dbl">
              <a:prstDash val="solid"/>
            </a:ln>
          </c:spPr>
          <c:marker>
            <c:symbol val="square"/>
            <c:size val="5"/>
          </c:marker>
          <c:cat>
            <c:numRef>
              <c:f>'Population growth rate'!$B$5:$B$10</c:f>
              <c:numCache>
                <c:formatCode>General</c:formatCode>
                <c:ptCount val="6"/>
                <c:pt idx="0">
                  <c:v>2003</c:v>
                </c:pt>
                <c:pt idx="1">
                  <c:v>2004</c:v>
                </c:pt>
                <c:pt idx="2">
                  <c:v>2005</c:v>
                </c:pt>
                <c:pt idx="3">
                  <c:v>2006</c:v>
                </c:pt>
                <c:pt idx="4">
                  <c:v>2007</c:v>
                </c:pt>
                <c:pt idx="5">
                  <c:v>2008</c:v>
                </c:pt>
              </c:numCache>
            </c:numRef>
          </c:cat>
          <c:val>
            <c:numRef>
              <c:f>'Population growth rate'!$C$5:$C$10</c:f>
              <c:numCache>
                <c:formatCode>General</c:formatCode>
                <c:ptCount val="6"/>
                <c:pt idx="0">
                  <c:v>0.16200000000000001</c:v>
                </c:pt>
                <c:pt idx="1">
                  <c:v>0.16200000000000001</c:v>
                </c:pt>
                <c:pt idx="2">
                  <c:v>0.16600000000000001</c:v>
                </c:pt>
                <c:pt idx="3">
                  <c:v>0.16200000000000001</c:v>
                </c:pt>
                <c:pt idx="4">
                  <c:v>0.18000000000000024</c:v>
                </c:pt>
                <c:pt idx="5">
                  <c:v>0.12000000000000002</c:v>
                </c:pt>
              </c:numCache>
            </c:numRef>
          </c:val>
        </c:ser>
        <c:ser>
          <c:idx val="2"/>
          <c:order val="1"/>
          <c:tx>
            <c:strRef>
              <c:f>'Population growth rate'!$D$4</c:f>
              <c:strCache>
                <c:ptCount val="1"/>
                <c:pt idx="0">
                  <c:v>Germany</c:v>
                </c:pt>
              </c:strCache>
            </c:strRef>
          </c:tx>
          <c:spPr>
            <a:ln cmpd="dbl"/>
          </c:spPr>
          <c:marker>
            <c:symbol val="triangle"/>
            <c:size val="5"/>
          </c:marker>
          <c:cat>
            <c:numRef>
              <c:f>'Population growth rate'!$B$5:$B$10</c:f>
              <c:numCache>
                <c:formatCode>General</c:formatCode>
                <c:ptCount val="6"/>
                <c:pt idx="0">
                  <c:v>2003</c:v>
                </c:pt>
                <c:pt idx="1">
                  <c:v>2004</c:v>
                </c:pt>
                <c:pt idx="2">
                  <c:v>2005</c:v>
                </c:pt>
                <c:pt idx="3">
                  <c:v>2006</c:v>
                </c:pt>
                <c:pt idx="4">
                  <c:v>2007</c:v>
                </c:pt>
                <c:pt idx="5">
                  <c:v>2008</c:v>
                </c:pt>
              </c:numCache>
            </c:numRef>
          </c:cat>
          <c:val>
            <c:numRef>
              <c:f>'Population growth rate'!$D$5:$D$10</c:f>
              <c:numCache>
                <c:formatCode>General</c:formatCode>
                <c:ptCount val="6"/>
                <c:pt idx="0">
                  <c:v>-1.0000000000000041E-3</c:v>
                </c:pt>
                <c:pt idx="1">
                  <c:v>-4.0000000000000114E-3</c:v>
                </c:pt>
                <c:pt idx="2">
                  <c:v>-8.0000000000000227E-3</c:v>
                </c:pt>
                <c:pt idx="3">
                  <c:v>-1.4999999999999998E-2</c:v>
                </c:pt>
                <c:pt idx="4">
                  <c:v>-1.2E-2</c:v>
                </c:pt>
                <c:pt idx="5">
                  <c:v>-2.5999999999999999E-2</c:v>
                </c:pt>
              </c:numCache>
            </c:numRef>
          </c:val>
        </c:ser>
        <c:ser>
          <c:idx val="3"/>
          <c:order val="2"/>
          <c:tx>
            <c:strRef>
              <c:f>'Population growth rate'!$E$4</c:f>
              <c:strCache>
                <c:ptCount val="1"/>
                <c:pt idx="0">
                  <c:v>Eurozone average</c:v>
                </c:pt>
              </c:strCache>
            </c:strRef>
          </c:tx>
          <c:spPr>
            <a:ln cmpd="dbl">
              <a:prstDash val="solid"/>
            </a:ln>
          </c:spPr>
          <c:marker>
            <c:symbol val="diamond"/>
            <c:size val="5"/>
          </c:marker>
          <c:cat>
            <c:numRef>
              <c:f>'Population growth rate'!$B$5:$B$10</c:f>
              <c:numCache>
                <c:formatCode>General</c:formatCode>
                <c:ptCount val="6"/>
                <c:pt idx="0">
                  <c:v>2003</c:v>
                </c:pt>
                <c:pt idx="1">
                  <c:v>2004</c:v>
                </c:pt>
                <c:pt idx="2">
                  <c:v>2005</c:v>
                </c:pt>
                <c:pt idx="3">
                  <c:v>2006</c:v>
                </c:pt>
                <c:pt idx="4">
                  <c:v>2007</c:v>
                </c:pt>
                <c:pt idx="5">
                  <c:v>2008</c:v>
                </c:pt>
              </c:numCache>
            </c:numRef>
          </c:cat>
          <c:val>
            <c:numRef>
              <c:f>'Population growth rate'!$E$5:$E$10</c:f>
              <c:numCache>
                <c:formatCode>General</c:formatCode>
                <c:ptCount val="6"/>
                <c:pt idx="0">
                  <c:v>6.3E-2</c:v>
                </c:pt>
                <c:pt idx="1">
                  <c:v>6.5000000000000002E-2</c:v>
                </c:pt>
                <c:pt idx="2">
                  <c:v>5.5000000000000014E-2</c:v>
                </c:pt>
                <c:pt idx="3">
                  <c:v>5.3999999999999999E-2</c:v>
                </c:pt>
                <c:pt idx="4">
                  <c:v>5.9000000000000226E-2</c:v>
                </c:pt>
                <c:pt idx="5">
                  <c:v>4.5000000000000012E-2</c:v>
                </c:pt>
              </c:numCache>
            </c:numRef>
          </c:val>
        </c:ser>
        <c:marker val="1"/>
        <c:axId val="95008640"/>
        <c:axId val="95018368"/>
      </c:lineChart>
      <c:catAx>
        <c:axId val="95008640"/>
        <c:scaling>
          <c:orientation val="minMax"/>
        </c:scaling>
        <c:axPos val="b"/>
        <c:numFmt formatCode="General" sourceLinked="1"/>
        <c:tickLblPos val="low"/>
        <c:txPr>
          <a:bodyPr/>
          <a:lstStyle/>
          <a:p>
            <a:pPr>
              <a:defRPr>
                <a:latin typeface="Times New Roman" pitchFamily="18" charset="0"/>
                <a:cs typeface="Times New Roman" pitchFamily="18" charset="0"/>
              </a:defRPr>
            </a:pPr>
            <a:endParaRPr lang="nl-NL"/>
          </a:p>
        </c:txPr>
        <c:crossAx val="95018368"/>
        <c:crosses val="autoZero"/>
        <c:auto val="1"/>
        <c:lblAlgn val="ctr"/>
        <c:lblOffset val="100"/>
      </c:catAx>
      <c:valAx>
        <c:axId val="95018368"/>
        <c:scaling>
          <c:orientation val="minMax"/>
        </c:scaling>
        <c:axPos val="l"/>
        <c:majorGridlines/>
        <c:minorGridlines/>
        <c:numFmt formatCode="0%" sourceLinked="0"/>
        <c:minorTickMark val="out"/>
        <c:tickLblPos val="nextTo"/>
        <c:txPr>
          <a:bodyPr/>
          <a:lstStyle/>
          <a:p>
            <a:pPr>
              <a:defRPr>
                <a:latin typeface="Times New Roman" pitchFamily="18" charset="0"/>
                <a:cs typeface="Times New Roman" pitchFamily="18" charset="0"/>
              </a:defRPr>
            </a:pPr>
            <a:endParaRPr lang="nl-NL"/>
          </a:p>
        </c:txPr>
        <c:crossAx val="95008640"/>
        <c:crosses val="autoZero"/>
        <c:crossBetween val="midCat"/>
        <c:minorUnit val="2.5000000000000012E-2"/>
      </c:valAx>
      <c:spPr>
        <a:noFill/>
      </c:spPr>
    </c:plotArea>
    <c:legend>
      <c:legendPos val="r"/>
      <c:layout>
        <c:manualLayout>
          <c:xMode val="edge"/>
          <c:yMode val="edge"/>
          <c:x val="0.68281736281735905"/>
          <c:y val="0.24478301513680722"/>
          <c:w val="0.31549267110842172"/>
          <c:h val="0.49216912954373854"/>
        </c:manualLayout>
      </c:layout>
      <c:txPr>
        <a:bodyPr/>
        <a:lstStyle/>
        <a:p>
          <a:pPr>
            <a:defRPr sz="1000">
              <a:latin typeface="Times New Roman" pitchFamily="18" charset="0"/>
              <a:cs typeface="Times New Roman" pitchFamily="18" charset="0"/>
            </a:defRPr>
          </a:pPr>
          <a:endParaRPr lang="nl-NL"/>
        </a:p>
      </c:txPr>
    </c:legend>
    <c:plotVisOnly val="1"/>
  </c:chart>
  <c:spPr>
    <a:effectLst>
      <a:outerShdw blurRad="50800" dist="50800" dir="5400000" algn="ctr" rotWithShape="0">
        <a:srgbClr val="000000">
          <a:alpha val="80000"/>
        </a:srgbClr>
      </a:outerShdw>
    </a:effectLst>
  </c:sp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lang val="nl-NL"/>
  <c:chart>
    <c:plotArea>
      <c:layout>
        <c:manualLayout>
          <c:layoutTarget val="inner"/>
          <c:xMode val="edge"/>
          <c:yMode val="edge"/>
          <c:x val="0.20870086891312495"/>
          <c:y val="0.32391234957301968"/>
          <c:w val="0.56946283888426896"/>
          <c:h val="0.43490424808010131"/>
        </c:manualLayout>
      </c:layout>
      <c:lineChart>
        <c:grouping val="standard"/>
        <c:ser>
          <c:idx val="0"/>
          <c:order val="0"/>
          <c:tx>
            <c:v>Spain</c:v>
          </c:tx>
          <c:spPr>
            <a:ln w="31750" cap="flat" cmpd="dbl"/>
          </c:spPr>
          <c:marker>
            <c:symbol val="square"/>
            <c:size val="5"/>
          </c:marker>
          <c:cat>
            <c:strRef>
              <c:f>'Immigration stats'!$C$6:$C$17</c:f>
              <c:strCache>
                <c:ptCount val="12"/>
                <c:pt idx="0">
                  <c:v>1999</c:v>
                </c:pt>
                <c:pt idx="1">
                  <c:v>2000</c:v>
                </c:pt>
                <c:pt idx="2">
                  <c:v>2001</c:v>
                </c:pt>
                <c:pt idx="3">
                  <c:v>2002</c:v>
                </c:pt>
                <c:pt idx="4">
                  <c:v>2003</c:v>
                </c:pt>
                <c:pt idx="5">
                  <c:v>2004</c:v>
                </c:pt>
                <c:pt idx="6">
                  <c:v>2005</c:v>
                </c:pt>
                <c:pt idx="7">
                  <c:v>2006</c:v>
                </c:pt>
                <c:pt idx="8">
                  <c:v>2007</c:v>
                </c:pt>
                <c:pt idx="9">
                  <c:v>2008</c:v>
                </c:pt>
                <c:pt idx="10">
                  <c:v>2009</c:v>
                </c:pt>
                <c:pt idx="11">
                  <c:v>2010</c:v>
                </c:pt>
              </c:strCache>
            </c:strRef>
          </c:cat>
          <c:val>
            <c:numRef>
              <c:f>'Immigration stats'!$F$6:$F$17</c:f>
              <c:numCache>
                <c:formatCode>General</c:formatCode>
                <c:ptCount val="12"/>
                <c:pt idx="0">
                  <c:v>0.56801309909266307</c:v>
                </c:pt>
                <c:pt idx="1">
                  <c:v>1.8458995799473952</c:v>
                </c:pt>
                <c:pt idx="2">
                  <c:v>0.14429963472637697</c:v>
                </c:pt>
                <c:pt idx="3">
                  <c:v>0.16512204295371835</c:v>
                </c:pt>
                <c:pt idx="4">
                  <c:v>0.39110623680834461</c:v>
                </c:pt>
                <c:pt idx="5">
                  <c:v>1.8288891599456247E-2</c:v>
                </c:pt>
                <c:pt idx="6">
                  <c:v>5.0723018109416124E-2</c:v>
                </c:pt>
                <c:pt idx="7">
                  <c:v>0.16900139583252347</c:v>
                </c:pt>
                <c:pt idx="8">
                  <c:v>0.13964778246618939</c:v>
                </c:pt>
                <c:pt idx="9">
                  <c:v>-0.24237215971348247</c:v>
                </c:pt>
                <c:pt idx="10">
                  <c:v>-0.31271237684381514</c:v>
                </c:pt>
                <c:pt idx="11">
                  <c:v>-6.7756630065113774E-2</c:v>
                </c:pt>
              </c:numCache>
            </c:numRef>
          </c:val>
        </c:ser>
        <c:ser>
          <c:idx val="1"/>
          <c:order val="1"/>
          <c:tx>
            <c:v>Germany</c:v>
          </c:tx>
          <c:spPr>
            <a:ln cap="flat" cmpd="dbl">
              <a:prstDash val="solid"/>
            </a:ln>
          </c:spPr>
          <c:marker>
            <c:symbol val="diamond"/>
            <c:size val="5"/>
          </c:marker>
          <c:cat>
            <c:strRef>
              <c:f>'Immigration stats'!$C$6:$C$17</c:f>
              <c:strCache>
                <c:ptCount val="12"/>
                <c:pt idx="0">
                  <c:v>1999</c:v>
                </c:pt>
                <c:pt idx="1">
                  <c:v>2000</c:v>
                </c:pt>
                <c:pt idx="2">
                  <c:v>2001</c:v>
                </c:pt>
                <c:pt idx="3">
                  <c:v>2002</c:v>
                </c:pt>
                <c:pt idx="4">
                  <c:v>2003</c:v>
                </c:pt>
                <c:pt idx="5">
                  <c:v>2004</c:v>
                </c:pt>
                <c:pt idx="6">
                  <c:v>2005</c:v>
                </c:pt>
                <c:pt idx="7">
                  <c:v>2006</c:v>
                </c:pt>
                <c:pt idx="8">
                  <c:v>2007</c:v>
                </c:pt>
                <c:pt idx="9">
                  <c:v>2008</c:v>
                </c:pt>
                <c:pt idx="10">
                  <c:v>2009</c:v>
                </c:pt>
                <c:pt idx="11">
                  <c:v>2010</c:v>
                </c:pt>
              </c:strCache>
            </c:strRef>
          </c:cat>
          <c:val>
            <c:numRef>
              <c:f>'Immigration stats'!$G$6:$G$17</c:f>
              <c:numCache>
                <c:formatCode>General</c:formatCode>
                <c:ptCount val="12"/>
                <c:pt idx="0">
                  <c:v>8.918495219675672E-2</c:v>
                </c:pt>
                <c:pt idx="1">
                  <c:v>-3.7601985302446433E-2</c:v>
                </c:pt>
                <c:pt idx="2">
                  <c:v>4.5245958547621264E-2</c:v>
                </c:pt>
                <c:pt idx="3">
                  <c:v>-4.1712114301702539E-2</c:v>
                </c:pt>
                <c:pt idx="4">
                  <c:v>-8.7316611733763039E-2</c:v>
                </c:pt>
                <c:pt idx="5">
                  <c:v>1.4564842810234404E-2</c:v>
                </c:pt>
                <c:pt idx="6">
                  <c:v>-9.3341878424712546E-2</c:v>
                </c:pt>
                <c:pt idx="7">
                  <c:v>-6.4320168742012462E-2</c:v>
                </c:pt>
                <c:pt idx="8">
                  <c:v>2.8572723632819881E-2</c:v>
                </c:pt>
                <c:pt idx="9">
                  <c:v>2.0271282643375492E-3</c:v>
                </c:pt>
                <c:pt idx="10">
                  <c:v>-0.49246055829690438</c:v>
                </c:pt>
                <c:pt idx="11">
                  <c:v>0.16706044781292745</c:v>
                </c:pt>
              </c:numCache>
            </c:numRef>
          </c:val>
        </c:ser>
        <c:marker val="1"/>
        <c:axId val="96048256"/>
        <c:axId val="96049792"/>
      </c:lineChart>
      <c:catAx>
        <c:axId val="96048256"/>
        <c:scaling>
          <c:orientation val="minMax"/>
        </c:scaling>
        <c:axPos val="b"/>
        <c:tickLblPos val="low"/>
        <c:txPr>
          <a:bodyPr/>
          <a:lstStyle/>
          <a:p>
            <a:pPr>
              <a:defRPr>
                <a:latin typeface="Times New Roman" pitchFamily="18" charset="0"/>
                <a:cs typeface="Times New Roman" pitchFamily="18" charset="0"/>
              </a:defRPr>
            </a:pPr>
            <a:endParaRPr lang="nl-NL"/>
          </a:p>
        </c:txPr>
        <c:crossAx val="96049792"/>
        <c:crosses val="autoZero"/>
        <c:auto val="1"/>
        <c:lblAlgn val="ctr"/>
        <c:lblOffset val="100"/>
      </c:catAx>
      <c:valAx>
        <c:axId val="96049792"/>
        <c:scaling>
          <c:orientation val="minMax"/>
        </c:scaling>
        <c:axPos val="l"/>
        <c:majorGridlines/>
        <c:minorGridlines/>
        <c:numFmt formatCode="0%" sourceLinked="0"/>
        <c:minorTickMark val="out"/>
        <c:tickLblPos val="nextTo"/>
        <c:txPr>
          <a:bodyPr/>
          <a:lstStyle/>
          <a:p>
            <a:pPr>
              <a:defRPr>
                <a:latin typeface="Times New Roman" pitchFamily="18" charset="0"/>
                <a:cs typeface="Times New Roman" pitchFamily="18" charset="0"/>
              </a:defRPr>
            </a:pPr>
            <a:endParaRPr lang="nl-NL"/>
          </a:p>
        </c:txPr>
        <c:crossAx val="96048256"/>
        <c:crosses val="autoZero"/>
        <c:crossBetween val="midCat"/>
        <c:majorUnit val="0.25"/>
        <c:minorUnit val="0.25"/>
      </c:valAx>
    </c:plotArea>
    <c:legend>
      <c:legendPos val="r"/>
      <c:layout>
        <c:manualLayout>
          <c:xMode val="edge"/>
          <c:yMode val="edge"/>
          <c:x val="0.71755693581780466"/>
          <c:y val="0.34215223097112829"/>
          <c:w val="0.27830227743271324"/>
          <c:h val="0.16754738990959506"/>
        </c:manualLayout>
      </c:layout>
      <c:txPr>
        <a:bodyPr/>
        <a:lstStyle/>
        <a:p>
          <a:pPr>
            <a:defRPr>
              <a:latin typeface="Times New Roman" pitchFamily="18" charset="0"/>
              <a:cs typeface="Times New Roman" pitchFamily="18" charset="0"/>
            </a:defRPr>
          </a:pPr>
          <a:endParaRPr lang="nl-NL"/>
        </a:p>
      </c:txPr>
    </c:legend>
    <c:plotVisOnly val="1"/>
  </c:chart>
  <c:spPr>
    <a:effectLst>
      <a:outerShdw blurRad="50800" dist="50800" dir="5400000" algn="ctr" rotWithShape="0">
        <a:srgbClr val="000000">
          <a:alpha val="80000"/>
        </a:srgbClr>
      </a:outerShdw>
    </a:effectLst>
  </c:sp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Figure 8: home-ownership rate 2004</a:t>
            </a:r>
          </a:p>
        </c:rich>
      </c:tx>
    </c:title>
    <c:plotArea>
      <c:layout>
        <c:manualLayout>
          <c:layoutTarget val="inner"/>
          <c:xMode val="edge"/>
          <c:yMode val="edge"/>
          <c:x val="9.5051070423426268E-2"/>
          <c:y val="0.18888888888888891"/>
          <c:w val="0.66219180433771474"/>
          <c:h val="0.43409648262052358"/>
        </c:manualLayout>
      </c:layout>
      <c:barChart>
        <c:barDir val="col"/>
        <c:grouping val="clustered"/>
        <c:ser>
          <c:idx val="0"/>
          <c:order val="0"/>
          <c:tx>
            <c:v>Homeownership Rate 2004</c:v>
          </c:tx>
          <c:spPr>
            <a:ln cmpd="dbl"/>
          </c:spPr>
          <c:cat>
            <c:strRef>
              <c:f>'Homeownership rate'!$B$3:$B$20</c:f>
              <c:strCache>
                <c:ptCount val="18"/>
                <c:pt idx="0">
                  <c:v>Australia</c:v>
                </c:pt>
                <c:pt idx="1">
                  <c:v>Austria</c:v>
                </c:pt>
                <c:pt idx="2">
                  <c:v>Belgium</c:v>
                </c:pt>
                <c:pt idx="3">
                  <c:v>Canada</c:v>
                </c:pt>
                <c:pt idx="4">
                  <c:v>Denmark</c:v>
                </c:pt>
                <c:pt idx="5">
                  <c:v>Finland</c:v>
                </c:pt>
                <c:pt idx="6">
                  <c:v>France</c:v>
                </c:pt>
                <c:pt idx="7">
                  <c:v>Germany</c:v>
                </c:pt>
                <c:pt idx="8">
                  <c:v>Greece</c:v>
                </c:pt>
                <c:pt idx="9">
                  <c:v>Ireland</c:v>
                </c:pt>
                <c:pt idx="10">
                  <c:v>Italy</c:v>
                </c:pt>
                <c:pt idx="11">
                  <c:v>Luxembourg</c:v>
                </c:pt>
                <c:pt idx="12">
                  <c:v>Mexico</c:v>
                </c:pt>
                <c:pt idx="13">
                  <c:v>Netherlands</c:v>
                </c:pt>
                <c:pt idx="14">
                  <c:v>Spain</c:v>
                </c:pt>
                <c:pt idx="15">
                  <c:v>Switzerland</c:v>
                </c:pt>
                <c:pt idx="16">
                  <c:v>United Kingdom</c:v>
                </c:pt>
                <c:pt idx="17">
                  <c:v>United States</c:v>
                </c:pt>
              </c:strCache>
            </c:strRef>
          </c:cat>
          <c:val>
            <c:numRef>
              <c:f>'Homeownership rate'!$D$3:$D$20</c:f>
              <c:numCache>
                <c:formatCode>0.0</c:formatCode>
                <c:ptCount val="18"/>
                <c:pt idx="0">
                  <c:v>69.450000000000017</c:v>
                </c:pt>
                <c:pt idx="1">
                  <c:v>51.58</c:v>
                </c:pt>
                <c:pt idx="2" formatCode="0.00">
                  <c:v>71.7</c:v>
                </c:pt>
                <c:pt idx="3">
                  <c:v>68.86999999999999</c:v>
                </c:pt>
                <c:pt idx="4">
                  <c:v>51.55</c:v>
                </c:pt>
                <c:pt idx="5">
                  <c:v>65.97</c:v>
                </c:pt>
                <c:pt idx="6" formatCode="0.00">
                  <c:v>54.8</c:v>
                </c:pt>
                <c:pt idx="7">
                  <c:v>40.99</c:v>
                </c:pt>
                <c:pt idx="8">
                  <c:v>73.19</c:v>
                </c:pt>
                <c:pt idx="9" formatCode="0.00">
                  <c:v>81.400000000000006</c:v>
                </c:pt>
                <c:pt idx="10">
                  <c:v>67.940000000000026</c:v>
                </c:pt>
                <c:pt idx="11">
                  <c:v>69.34</c:v>
                </c:pt>
                <c:pt idx="12">
                  <c:v>70.710000000000022</c:v>
                </c:pt>
                <c:pt idx="13" formatCode="0.00">
                  <c:v>55.4</c:v>
                </c:pt>
                <c:pt idx="14">
                  <c:v>83.240000000000023</c:v>
                </c:pt>
                <c:pt idx="15">
                  <c:v>38.42</c:v>
                </c:pt>
                <c:pt idx="16">
                  <c:v>70.669999999999987</c:v>
                </c:pt>
                <c:pt idx="17">
                  <c:v>68.69</c:v>
                </c:pt>
              </c:numCache>
            </c:numRef>
          </c:val>
        </c:ser>
        <c:axId val="96986624"/>
        <c:axId val="97064448"/>
      </c:barChart>
      <c:catAx>
        <c:axId val="96986624"/>
        <c:scaling>
          <c:orientation val="minMax"/>
        </c:scaling>
        <c:axPos val="b"/>
        <c:tickLblPos val="nextTo"/>
        <c:txPr>
          <a:bodyPr/>
          <a:lstStyle/>
          <a:p>
            <a:pPr>
              <a:defRPr b="0">
                <a:solidFill>
                  <a:sysClr val="windowText" lastClr="000000"/>
                </a:solidFill>
                <a:latin typeface="Times New Roman" pitchFamily="18" charset="0"/>
                <a:cs typeface="Times New Roman" pitchFamily="18" charset="0"/>
              </a:defRPr>
            </a:pPr>
            <a:endParaRPr lang="nl-NL"/>
          </a:p>
        </c:txPr>
        <c:crossAx val="97064448"/>
        <c:crosses val="autoZero"/>
        <c:auto val="1"/>
        <c:lblAlgn val="ctr"/>
        <c:lblOffset val="100"/>
      </c:catAx>
      <c:valAx>
        <c:axId val="97064448"/>
        <c:scaling>
          <c:orientation val="minMax"/>
        </c:scaling>
        <c:axPos val="l"/>
        <c:majorGridlines/>
        <c:numFmt formatCode="0.0" sourceLinked="1"/>
        <c:tickLblPos val="nextTo"/>
        <c:txPr>
          <a:bodyPr/>
          <a:lstStyle/>
          <a:p>
            <a:pPr>
              <a:defRPr>
                <a:latin typeface="Times New Roman" pitchFamily="18" charset="0"/>
                <a:cs typeface="Times New Roman" pitchFamily="18" charset="0"/>
              </a:defRPr>
            </a:pPr>
            <a:endParaRPr lang="nl-NL"/>
          </a:p>
        </c:txPr>
        <c:crossAx val="96986624"/>
        <c:crosses val="autoZero"/>
        <c:crossBetween val="between"/>
      </c:valAx>
    </c:plotArea>
    <c:legend>
      <c:legendPos val="r"/>
      <c:layout>
        <c:manualLayout>
          <c:xMode val="edge"/>
          <c:yMode val="edge"/>
          <c:x val="0.76012468320978488"/>
          <c:y val="0.31264740843564781"/>
          <c:w val="0.2350648939966842"/>
          <c:h val="0.20353783902012343"/>
        </c:manualLayout>
      </c:layout>
      <c:txPr>
        <a:bodyPr/>
        <a:lstStyle/>
        <a:p>
          <a:pPr>
            <a:defRPr>
              <a:latin typeface="Times New Roman" pitchFamily="18" charset="0"/>
              <a:cs typeface="Times New Roman" pitchFamily="18" charset="0"/>
            </a:defRPr>
          </a:pPr>
          <a:endParaRPr lang="nl-NL"/>
        </a:p>
      </c:txPr>
    </c:legend>
    <c:plotVisOnly val="1"/>
  </c:chart>
  <c:spPr>
    <a:effectLst>
      <a:outerShdw blurRad="50800" dist="50800" dir="5400000" algn="ctr" rotWithShape="0">
        <a:srgbClr val="000000">
          <a:alpha val="80000"/>
        </a:srgbClr>
      </a:outerShdw>
    </a:effectLst>
  </c:sp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0.1481519546898743"/>
          <c:y val="0.21618688339198774"/>
          <c:w val="0.57586651668541655"/>
          <c:h val="0.59088858457910154"/>
        </c:manualLayout>
      </c:layout>
      <c:lineChart>
        <c:grouping val="standard"/>
        <c:ser>
          <c:idx val="1"/>
          <c:order val="0"/>
          <c:tx>
            <c:v>CA Spain</c:v>
          </c:tx>
          <c:spPr>
            <a:ln cmpd="dbl"/>
          </c:spPr>
          <c:marker>
            <c:symbol val="square"/>
            <c:size val="5"/>
          </c:marker>
          <c:cat>
            <c:numRef>
              <c:f>'Balance of Payments'!$B$3:$B$12</c:f>
              <c:numCache>
                <c:formatCode>General</c:formatCode>
                <c:ptCount val="10"/>
                <c:pt idx="0">
                  <c:v>1999</c:v>
                </c:pt>
                <c:pt idx="1">
                  <c:v>2000</c:v>
                </c:pt>
                <c:pt idx="2">
                  <c:v>2001</c:v>
                </c:pt>
                <c:pt idx="3">
                  <c:v>2002</c:v>
                </c:pt>
                <c:pt idx="4">
                  <c:v>2003</c:v>
                </c:pt>
                <c:pt idx="5">
                  <c:v>2004</c:v>
                </c:pt>
                <c:pt idx="6">
                  <c:v>2005</c:v>
                </c:pt>
                <c:pt idx="7">
                  <c:v>2006</c:v>
                </c:pt>
                <c:pt idx="8">
                  <c:v>2007</c:v>
                </c:pt>
                <c:pt idx="9">
                  <c:v>2008</c:v>
                </c:pt>
              </c:numCache>
            </c:numRef>
          </c:cat>
          <c:val>
            <c:numRef>
              <c:f>'Balance of Payments'!$E$3:$E$12</c:f>
              <c:numCache>
                <c:formatCode>General</c:formatCode>
                <c:ptCount val="10"/>
                <c:pt idx="0">
                  <c:v>-2.9260601664040532E-2</c:v>
                </c:pt>
                <c:pt idx="1">
                  <c:v>-3.9950541057481748E-2</c:v>
                </c:pt>
                <c:pt idx="2">
                  <c:v>-3.9524060240069478E-2</c:v>
                </c:pt>
                <c:pt idx="3">
                  <c:v>-3.2404914461399217E-2</c:v>
                </c:pt>
                <c:pt idx="4">
                  <c:v>-3.494465761432939E-2</c:v>
                </c:pt>
                <c:pt idx="5">
                  <c:v>-5.2522250019050122E-2</c:v>
                </c:pt>
                <c:pt idx="6">
                  <c:v>-7.3742689133696193E-2</c:v>
                </c:pt>
                <c:pt idx="7">
                  <c:v>-8.9678475804654267E-2</c:v>
                </c:pt>
                <c:pt idx="8">
                  <c:v>-0.10027565035096173</c:v>
                </c:pt>
                <c:pt idx="9">
                  <c:v>-9.6983012337862148E-2</c:v>
                </c:pt>
              </c:numCache>
            </c:numRef>
          </c:val>
        </c:ser>
        <c:ser>
          <c:idx val="2"/>
          <c:order val="1"/>
          <c:tx>
            <c:v>CA Germany</c:v>
          </c:tx>
          <c:spPr>
            <a:ln cmpd="dbl"/>
          </c:spPr>
          <c:marker>
            <c:symbol val="triangle"/>
            <c:size val="5"/>
          </c:marker>
          <c:cat>
            <c:numRef>
              <c:f>'Balance of Payments'!$B$3:$B$12</c:f>
              <c:numCache>
                <c:formatCode>General</c:formatCode>
                <c:ptCount val="10"/>
                <c:pt idx="0">
                  <c:v>1999</c:v>
                </c:pt>
                <c:pt idx="1">
                  <c:v>2000</c:v>
                </c:pt>
                <c:pt idx="2">
                  <c:v>2001</c:v>
                </c:pt>
                <c:pt idx="3">
                  <c:v>2002</c:v>
                </c:pt>
                <c:pt idx="4">
                  <c:v>2003</c:v>
                </c:pt>
                <c:pt idx="5">
                  <c:v>2004</c:v>
                </c:pt>
                <c:pt idx="6">
                  <c:v>2005</c:v>
                </c:pt>
                <c:pt idx="7">
                  <c:v>2006</c:v>
                </c:pt>
                <c:pt idx="8">
                  <c:v>2007</c:v>
                </c:pt>
                <c:pt idx="9">
                  <c:v>2008</c:v>
                </c:pt>
              </c:numCache>
            </c:numRef>
          </c:cat>
          <c:val>
            <c:numRef>
              <c:f>'Balance of Payments'!$F$3:$F$12</c:f>
              <c:numCache>
                <c:formatCode>General</c:formatCode>
                <c:ptCount val="10"/>
                <c:pt idx="0">
                  <c:v>-1.3020898411622947E-2</c:v>
                </c:pt>
                <c:pt idx="1">
                  <c:v>-1.7220286652676289E-2</c:v>
                </c:pt>
                <c:pt idx="2">
                  <c:v>7.0498251264279572E-6</c:v>
                </c:pt>
                <c:pt idx="3">
                  <c:v>2.0341148595136242E-2</c:v>
                </c:pt>
                <c:pt idx="4">
                  <c:v>1.9179365077266877E-2</c:v>
                </c:pt>
                <c:pt idx="5">
                  <c:v>4.6738210084722918E-2</c:v>
                </c:pt>
                <c:pt idx="6">
                  <c:v>5.0688146498353917E-2</c:v>
                </c:pt>
                <c:pt idx="7">
                  <c:v>6.2820483239012931E-2</c:v>
                </c:pt>
                <c:pt idx="8">
                  <c:v>7.4848829811429013E-2</c:v>
                </c:pt>
                <c:pt idx="9">
                  <c:v>6.2442577472204525E-2</c:v>
                </c:pt>
              </c:numCache>
            </c:numRef>
          </c:val>
        </c:ser>
        <c:marker val="1"/>
        <c:axId val="112071424"/>
        <c:axId val="112073728"/>
      </c:lineChart>
      <c:catAx>
        <c:axId val="112071424"/>
        <c:scaling>
          <c:orientation val="minMax"/>
        </c:scaling>
        <c:axPos val="b"/>
        <c:numFmt formatCode="General" sourceLinked="1"/>
        <c:tickLblPos val="low"/>
        <c:txPr>
          <a:bodyPr/>
          <a:lstStyle/>
          <a:p>
            <a:pPr>
              <a:defRPr>
                <a:latin typeface="Times New Roman" pitchFamily="18" charset="0"/>
                <a:cs typeface="Times New Roman" pitchFamily="18" charset="0"/>
              </a:defRPr>
            </a:pPr>
            <a:endParaRPr lang="nl-NL"/>
          </a:p>
        </c:txPr>
        <c:crossAx val="112073728"/>
        <c:crosses val="autoZero"/>
        <c:auto val="1"/>
        <c:lblAlgn val="ctr"/>
        <c:lblOffset val="100"/>
      </c:catAx>
      <c:valAx>
        <c:axId val="112073728"/>
        <c:scaling>
          <c:orientation val="minMax"/>
        </c:scaling>
        <c:axPos val="l"/>
        <c:majorGridlines/>
        <c:numFmt formatCode="0%" sourceLinked="0"/>
        <c:tickLblPos val="nextTo"/>
        <c:txPr>
          <a:bodyPr/>
          <a:lstStyle/>
          <a:p>
            <a:pPr>
              <a:defRPr sz="1000">
                <a:latin typeface="Times New Roman" pitchFamily="18" charset="0"/>
                <a:cs typeface="Times New Roman" pitchFamily="18" charset="0"/>
              </a:defRPr>
            </a:pPr>
            <a:endParaRPr lang="nl-NL"/>
          </a:p>
        </c:txPr>
        <c:crossAx val="112071424"/>
        <c:crosses val="autoZero"/>
        <c:crossBetween val="midCat"/>
      </c:valAx>
    </c:plotArea>
    <c:legend>
      <c:legendPos val="r"/>
      <c:layout>
        <c:manualLayout>
          <c:xMode val="edge"/>
          <c:yMode val="edge"/>
          <c:x val="0.68939761477183781"/>
          <c:y val="0.25174096583934741"/>
          <c:w val="0.31060217472815932"/>
          <c:h val="0.26983909619993152"/>
        </c:manualLayout>
      </c:layout>
      <c:txPr>
        <a:bodyPr/>
        <a:lstStyle/>
        <a:p>
          <a:pPr>
            <a:defRPr>
              <a:latin typeface="Times New Roman" pitchFamily="18" charset="0"/>
              <a:cs typeface="Times New Roman" pitchFamily="18" charset="0"/>
            </a:defRPr>
          </a:pPr>
          <a:endParaRPr lang="nl-NL"/>
        </a:p>
      </c:txPr>
    </c:legend>
    <c:plotVisOnly val="1"/>
  </c:chart>
  <c:spPr>
    <a:effectLst>
      <a:outerShdw blurRad="50800" dist="50800" dir="5400000" algn="ctr" rotWithShape="0">
        <a:srgbClr val="000000">
          <a:alpha val="80000"/>
        </a:srgbClr>
      </a:outerShdw>
    </a:effectLst>
  </c:sp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0.10499323948142904"/>
          <c:y val="0.26172493982293682"/>
          <c:w val="0.68841408930466474"/>
          <c:h val="0.5048965770470395"/>
        </c:manualLayout>
      </c:layout>
      <c:lineChart>
        <c:grouping val="standard"/>
        <c:ser>
          <c:idx val="0"/>
          <c:order val="0"/>
          <c:tx>
            <c:strRef>
              <c:f>'[Statistieken bachelor scriptie.xlsx]CPI (2005=100)'!$E$2</c:f>
              <c:strCache>
                <c:ptCount val="1"/>
                <c:pt idx="0">
                  <c:v>REER Spain</c:v>
                </c:pt>
              </c:strCache>
            </c:strRef>
          </c:tx>
          <c:spPr>
            <a:ln cmpd="dbl"/>
          </c:spPr>
          <c:marker>
            <c:symbol val="square"/>
            <c:size val="5"/>
          </c:marker>
          <c:cat>
            <c:numRef>
              <c:f>'[Statistieken bachelor scriptie.xlsx]CPI (2005=100)'!$B$7:$B$16</c:f>
              <c:numCache>
                <c:formatCode>General</c:formatCode>
                <c:ptCount val="10"/>
                <c:pt idx="0">
                  <c:v>1999</c:v>
                </c:pt>
                <c:pt idx="1">
                  <c:v>2000</c:v>
                </c:pt>
                <c:pt idx="2">
                  <c:v>2001</c:v>
                </c:pt>
                <c:pt idx="3">
                  <c:v>2002</c:v>
                </c:pt>
                <c:pt idx="4">
                  <c:v>2003</c:v>
                </c:pt>
                <c:pt idx="5">
                  <c:v>2004</c:v>
                </c:pt>
                <c:pt idx="6">
                  <c:v>2005</c:v>
                </c:pt>
                <c:pt idx="7">
                  <c:v>2006</c:v>
                </c:pt>
                <c:pt idx="8">
                  <c:v>2007</c:v>
                </c:pt>
                <c:pt idx="9">
                  <c:v>2008</c:v>
                </c:pt>
              </c:numCache>
            </c:numRef>
          </c:cat>
          <c:val>
            <c:numRef>
              <c:f>'[Statistieken bachelor scriptie.xlsx]CPI (2005=100)'!$E$7:$E$16</c:f>
              <c:numCache>
                <c:formatCode>General</c:formatCode>
                <c:ptCount val="10"/>
                <c:pt idx="0">
                  <c:v>90.895757464645499</c:v>
                </c:pt>
                <c:pt idx="1">
                  <c:v>88.811573429778861</c:v>
                </c:pt>
                <c:pt idx="2">
                  <c:v>90.444087034058583</c:v>
                </c:pt>
                <c:pt idx="3">
                  <c:v>92.5074375619797</c:v>
                </c:pt>
                <c:pt idx="4">
                  <c:v>96.971641430345528</c:v>
                </c:pt>
                <c:pt idx="5">
                  <c:v>99.008325069375928</c:v>
                </c:pt>
                <c:pt idx="6">
                  <c:v>100</c:v>
                </c:pt>
                <c:pt idx="7">
                  <c:v>101.50917924316002</c:v>
                </c:pt>
                <c:pt idx="8">
                  <c:v>103.190859923833</c:v>
                </c:pt>
                <c:pt idx="9">
                  <c:v>106.08755072959002</c:v>
                </c:pt>
              </c:numCache>
            </c:numRef>
          </c:val>
        </c:ser>
        <c:ser>
          <c:idx val="1"/>
          <c:order val="1"/>
          <c:tx>
            <c:strRef>
              <c:f>'[Statistieken bachelor scriptie.xlsx]CPI (2005=100)'!$F$2</c:f>
              <c:strCache>
                <c:ptCount val="1"/>
                <c:pt idx="0">
                  <c:v>REER Germany</c:v>
                </c:pt>
              </c:strCache>
            </c:strRef>
          </c:tx>
          <c:spPr>
            <a:ln cmpd="dbl"/>
          </c:spPr>
          <c:marker>
            <c:symbol val="triangle"/>
            <c:size val="5"/>
          </c:marker>
          <c:cat>
            <c:numRef>
              <c:f>'[Statistieken bachelor scriptie.xlsx]CPI (2005=100)'!$B$7:$B$16</c:f>
              <c:numCache>
                <c:formatCode>General</c:formatCode>
                <c:ptCount val="10"/>
                <c:pt idx="0">
                  <c:v>1999</c:v>
                </c:pt>
                <c:pt idx="1">
                  <c:v>2000</c:v>
                </c:pt>
                <c:pt idx="2">
                  <c:v>2001</c:v>
                </c:pt>
                <c:pt idx="3">
                  <c:v>2002</c:v>
                </c:pt>
                <c:pt idx="4">
                  <c:v>2003</c:v>
                </c:pt>
                <c:pt idx="5">
                  <c:v>2004</c:v>
                </c:pt>
                <c:pt idx="6">
                  <c:v>2005</c:v>
                </c:pt>
                <c:pt idx="7">
                  <c:v>2006</c:v>
                </c:pt>
                <c:pt idx="8">
                  <c:v>2007</c:v>
                </c:pt>
                <c:pt idx="9">
                  <c:v>2008</c:v>
                </c:pt>
              </c:numCache>
            </c:numRef>
          </c:cat>
          <c:val>
            <c:numRef>
              <c:f>'[Statistieken bachelor scriptie.xlsx]CPI (2005=100)'!$F$7:$F$16</c:f>
              <c:numCache>
                <c:formatCode>General</c:formatCode>
                <c:ptCount val="10"/>
                <c:pt idx="0">
                  <c:v>101.30916666666702</c:v>
                </c:pt>
                <c:pt idx="1">
                  <c:v>94.315833333333288</c:v>
                </c:pt>
                <c:pt idx="2">
                  <c:v>94.304999999999993</c:v>
                </c:pt>
                <c:pt idx="3">
                  <c:v>95.284999999999997</c:v>
                </c:pt>
                <c:pt idx="4">
                  <c:v>100.24916666666699</c:v>
                </c:pt>
                <c:pt idx="5">
                  <c:v>101.8083333333327</c:v>
                </c:pt>
                <c:pt idx="6">
                  <c:v>100</c:v>
                </c:pt>
                <c:pt idx="7">
                  <c:v>99.253333333333359</c:v>
                </c:pt>
                <c:pt idx="8">
                  <c:v>100.98750000000022</c:v>
                </c:pt>
                <c:pt idx="9">
                  <c:v>101.52916666666702</c:v>
                </c:pt>
              </c:numCache>
            </c:numRef>
          </c:val>
        </c:ser>
        <c:marker val="1"/>
        <c:axId val="112608768"/>
        <c:axId val="112610304"/>
      </c:lineChart>
      <c:catAx>
        <c:axId val="112608768"/>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nl-NL"/>
          </a:p>
        </c:txPr>
        <c:crossAx val="112610304"/>
        <c:crosses val="autoZero"/>
        <c:lblAlgn val="ctr"/>
        <c:lblOffset val="100"/>
      </c:catAx>
      <c:valAx>
        <c:axId val="112610304"/>
        <c:scaling>
          <c:orientation val="minMax"/>
          <c:min val="80"/>
        </c:scaling>
        <c:axPos val="l"/>
        <c:majorGridlines/>
        <c:numFmt formatCode="General" sourceLinked="1"/>
        <c:tickLblPos val="nextTo"/>
        <c:txPr>
          <a:bodyPr/>
          <a:lstStyle/>
          <a:p>
            <a:pPr>
              <a:defRPr>
                <a:latin typeface="Times New Roman" pitchFamily="18" charset="0"/>
                <a:cs typeface="Times New Roman" pitchFamily="18" charset="0"/>
              </a:defRPr>
            </a:pPr>
            <a:endParaRPr lang="nl-NL"/>
          </a:p>
        </c:txPr>
        <c:crossAx val="112608768"/>
        <c:crosses val="autoZero"/>
        <c:crossBetween val="midCat"/>
        <c:majorUnit val="5"/>
      </c:valAx>
    </c:plotArea>
    <c:legend>
      <c:legendPos val="r"/>
      <c:layout>
        <c:manualLayout>
          <c:xMode val="edge"/>
          <c:yMode val="edge"/>
          <c:x val="0.66810295487257665"/>
          <c:y val="0.47092053710677562"/>
          <c:w val="0.32662626262626504"/>
          <c:h val="0.27023660085967532"/>
        </c:manualLayout>
      </c:layout>
      <c:txPr>
        <a:bodyPr/>
        <a:lstStyle/>
        <a:p>
          <a:pPr>
            <a:defRPr>
              <a:latin typeface="Times New Roman" pitchFamily="18" charset="0"/>
              <a:cs typeface="Times New Roman" pitchFamily="18" charset="0"/>
            </a:defRPr>
          </a:pPr>
          <a:endParaRPr lang="nl-NL"/>
        </a:p>
      </c:txPr>
    </c:legend>
    <c:plotVisOnly val="1"/>
  </c:chart>
  <c:spPr>
    <a:effectLst>
      <a:outerShdw blurRad="50800" dist="50800" dir="5400000" algn="ctr" rotWithShape="0">
        <a:srgbClr val="000000">
          <a:alpha val="80000"/>
        </a:srgbClr>
      </a:outerShdw>
    </a:effectLst>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0.03465</cdr:x>
      <cdr:y>0.18196</cdr:y>
    </cdr:from>
    <cdr:to>
      <cdr:x>0.23994</cdr:x>
      <cdr:y>0.2709</cdr:y>
    </cdr:to>
    <cdr:sp macro="" textlink="">
      <cdr:nvSpPr>
        <cdr:cNvPr id="2" name="Tekstvak 1"/>
        <cdr:cNvSpPr txBox="1"/>
      </cdr:nvSpPr>
      <cdr:spPr>
        <a:xfrm xmlns:a="http://schemas.openxmlformats.org/drawingml/2006/main">
          <a:off x="209550" y="906572"/>
          <a:ext cx="1241671" cy="4431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baseline="0">
              <a:latin typeface="Times New Roman" pitchFamily="18" charset="0"/>
              <a:cs typeface="Times New Roman" pitchFamily="18" charset="0"/>
            </a:rPr>
            <a:t>% of GDP</a:t>
          </a:r>
          <a:endParaRPr lang="nl-NL" sz="1000" i="1">
            <a:latin typeface="Times New Roman" pitchFamily="18" charset="0"/>
            <a:cs typeface="Times New Roman" pitchFamily="18" charset="0"/>
          </a:endParaRPr>
        </a:p>
      </cdr:txBody>
    </cdr:sp>
  </cdr:relSizeAnchor>
  <cdr:relSizeAnchor xmlns:cdr="http://schemas.openxmlformats.org/drawingml/2006/chartDrawing">
    <cdr:from>
      <cdr:x>0.83601</cdr:x>
      <cdr:y>0.78254</cdr:y>
    </cdr:from>
    <cdr:to>
      <cdr:x>0.94488</cdr:x>
      <cdr:y>0.87149</cdr:y>
    </cdr:to>
    <cdr:sp macro="" textlink="">
      <cdr:nvSpPr>
        <cdr:cNvPr id="3" name="Tekstvak 2"/>
        <cdr:cNvSpPr txBox="1"/>
      </cdr:nvSpPr>
      <cdr:spPr>
        <a:xfrm xmlns:a="http://schemas.openxmlformats.org/drawingml/2006/main">
          <a:off x="5359073" y="4017532"/>
          <a:ext cx="697892" cy="4566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Year</a:t>
          </a:r>
        </a:p>
        <a:p xmlns:a="http://schemas.openxmlformats.org/drawingml/2006/main">
          <a:endParaRPr lang="nl-NL" sz="1100"/>
        </a:p>
      </cdr:txBody>
    </cdr:sp>
  </cdr:relSizeAnchor>
  <cdr:relSizeAnchor xmlns:cdr="http://schemas.openxmlformats.org/drawingml/2006/chartDrawing">
    <cdr:from>
      <cdr:x>0.04458</cdr:x>
      <cdr:y>0.91065</cdr:y>
    </cdr:from>
    <cdr:to>
      <cdr:x>0.36107</cdr:x>
      <cdr:y>0.97251</cdr:y>
    </cdr:to>
    <cdr:sp macro="" textlink="">
      <cdr:nvSpPr>
        <cdr:cNvPr id="4" name="Tekstvak 3"/>
        <cdr:cNvSpPr txBox="1"/>
      </cdr:nvSpPr>
      <cdr:spPr>
        <a:xfrm xmlns:a="http://schemas.openxmlformats.org/drawingml/2006/main">
          <a:off x="285750" y="5048250"/>
          <a:ext cx="2028825"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a:t>
          </a:r>
          <a:r>
            <a:rPr lang="nl-NL" sz="1000" i="1" baseline="0">
              <a:latin typeface="Times New Roman" pitchFamily="18" charset="0"/>
              <a:cs typeface="Times New Roman" pitchFamily="18" charset="0"/>
            </a:rPr>
            <a:t> ECB</a:t>
          </a:r>
          <a:endParaRPr lang="nl-NL" sz="1000" i="1">
            <a:latin typeface="Times New Roman" pitchFamily="18" charset="0"/>
            <a:cs typeface="Times New Roman" pitchFamily="18"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0.14425</cdr:x>
      <cdr:y>0.16579</cdr:y>
    </cdr:from>
    <cdr:to>
      <cdr:x>0.29095</cdr:x>
      <cdr:y>0.24211</cdr:y>
    </cdr:to>
    <cdr:sp macro="" textlink="">
      <cdr:nvSpPr>
        <cdr:cNvPr id="2" name="Tekstvak 1"/>
        <cdr:cNvSpPr txBox="1"/>
      </cdr:nvSpPr>
      <cdr:spPr>
        <a:xfrm xmlns:a="http://schemas.openxmlformats.org/drawingml/2006/main">
          <a:off x="561976" y="600076"/>
          <a:ext cx="57150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a:t>
          </a:r>
        </a:p>
      </cdr:txBody>
    </cdr:sp>
  </cdr:relSizeAnchor>
  <cdr:relSizeAnchor xmlns:cdr="http://schemas.openxmlformats.org/drawingml/2006/chartDrawing">
    <cdr:from>
      <cdr:x>0.78484</cdr:x>
      <cdr:y>0.7</cdr:y>
    </cdr:from>
    <cdr:to>
      <cdr:x>1</cdr:x>
      <cdr:y>0.78158</cdr:y>
    </cdr:to>
    <cdr:sp macro="" textlink="">
      <cdr:nvSpPr>
        <cdr:cNvPr id="3" name="Tekstvak 2"/>
        <cdr:cNvSpPr txBox="1"/>
      </cdr:nvSpPr>
      <cdr:spPr>
        <a:xfrm xmlns:a="http://schemas.openxmlformats.org/drawingml/2006/main">
          <a:off x="2399668" y="2533644"/>
          <a:ext cx="657857" cy="2952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year</a:t>
          </a:r>
        </a:p>
      </cdr:txBody>
    </cdr:sp>
  </cdr:relSizeAnchor>
  <cdr:relSizeAnchor xmlns:cdr="http://schemas.openxmlformats.org/drawingml/2006/chartDrawing">
    <cdr:from>
      <cdr:x>0.18826</cdr:x>
      <cdr:y>0.91053</cdr:y>
    </cdr:from>
    <cdr:to>
      <cdr:x>0.70905</cdr:x>
      <cdr:y>0.99474</cdr:y>
    </cdr:to>
    <cdr:sp macro="" textlink="">
      <cdr:nvSpPr>
        <cdr:cNvPr id="4" name="Tekstvak 3"/>
        <cdr:cNvSpPr txBox="1"/>
      </cdr:nvSpPr>
      <cdr:spPr>
        <a:xfrm xmlns:a="http://schemas.openxmlformats.org/drawingml/2006/main">
          <a:off x="733426" y="3295651"/>
          <a:ext cx="2028825"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 World Bank</a:t>
          </a:r>
        </a:p>
      </cdr:txBody>
    </cdr:sp>
  </cdr:relSizeAnchor>
</c:userShapes>
</file>

<file path=word/drawings/drawing11.xml><?xml version="1.0" encoding="utf-8"?>
<c:userShapes xmlns:c="http://schemas.openxmlformats.org/drawingml/2006/chart">
  <cdr:relSizeAnchor xmlns:cdr="http://schemas.openxmlformats.org/drawingml/2006/chartDrawing">
    <cdr:from>
      <cdr:x>0</cdr:x>
      <cdr:y>0.04202</cdr:y>
    </cdr:from>
    <cdr:to>
      <cdr:x>1</cdr:x>
      <cdr:y>0.26897</cdr:y>
    </cdr:to>
    <cdr:sp macro="" textlink="">
      <cdr:nvSpPr>
        <cdr:cNvPr id="2" name="Tekstvak 1"/>
        <cdr:cNvSpPr txBox="1"/>
      </cdr:nvSpPr>
      <cdr:spPr>
        <a:xfrm xmlns:a="http://schemas.openxmlformats.org/drawingml/2006/main">
          <a:off x="0" y="116070"/>
          <a:ext cx="2886075" cy="6268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b="1">
              <a:latin typeface="Times New Roman" pitchFamily="18" charset="0"/>
              <a:cs typeface="Times New Roman" pitchFamily="18" charset="0"/>
            </a:rPr>
            <a:t>Figure </a:t>
          </a:r>
          <a:r>
            <a:rPr lang="nl-NL" sz="1000" b="1" baseline="0">
              <a:latin typeface="Times New Roman" pitchFamily="18" charset="0"/>
              <a:cs typeface="Times New Roman" pitchFamily="18" charset="0"/>
            </a:rPr>
            <a:t>10: Consumer Price Index (2005=100) Spain and Germany 1999-2008</a:t>
          </a:r>
          <a:endParaRPr lang="nl-NL" sz="1000" b="1">
            <a:latin typeface="Times New Roman" pitchFamily="18" charset="0"/>
            <a:cs typeface="Times New Roman" pitchFamily="18" charset="0"/>
          </a:endParaRPr>
        </a:p>
      </cdr:txBody>
    </cdr:sp>
  </cdr:relSizeAnchor>
  <cdr:relSizeAnchor xmlns:cdr="http://schemas.openxmlformats.org/drawingml/2006/chartDrawing">
    <cdr:from>
      <cdr:x>0.77134</cdr:x>
      <cdr:y>0.72499</cdr:y>
    </cdr:from>
    <cdr:to>
      <cdr:x>1</cdr:x>
      <cdr:y>0.82584</cdr:y>
    </cdr:to>
    <cdr:sp macro="" textlink="">
      <cdr:nvSpPr>
        <cdr:cNvPr id="3" name="Tekstvak 2"/>
        <cdr:cNvSpPr txBox="1"/>
      </cdr:nvSpPr>
      <cdr:spPr>
        <a:xfrm xmlns:a="http://schemas.openxmlformats.org/drawingml/2006/main">
          <a:off x="2617973" y="2361705"/>
          <a:ext cx="696956" cy="3285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year</a:t>
          </a:r>
        </a:p>
      </cdr:txBody>
    </cdr:sp>
  </cdr:relSizeAnchor>
  <cdr:relSizeAnchor xmlns:cdr="http://schemas.openxmlformats.org/drawingml/2006/chartDrawing">
    <cdr:from>
      <cdr:x>0</cdr:x>
      <cdr:y>0.21527</cdr:y>
    </cdr:from>
    <cdr:to>
      <cdr:x>0.35671</cdr:x>
      <cdr:y>0.2993</cdr:y>
    </cdr:to>
    <cdr:sp macro="" textlink="">
      <cdr:nvSpPr>
        <cdr:cNvPr id="4" name="Tekstvak 3"/>
        <cdr:cNvSpPr txBox="1"/>
      </cdr:nvSpPr>
      <cdr:spPr>
        <a:xfrm xmlns:a="http://schemas.openxmlformats.org/drawingml/2006/main">
          <a:off x="0" y="594619"/>
          <a:ext cx="1005708" cy="2321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index</a:t>
          </a:r>
          <a:r>
            <a:rPr lang="nl-NL" sz="1000" i="1" baseline="0"/>
            <a:t> </a:t>
          </a:r>
          <a:r>
            <a:rPr lang="nl-NL" sz="1000" i="1" baseline="0">
              <a:latin typeface="Times New Roman" pitchFamily="18" charset="0"/>
              <a:cs typeface="Times New Roman" pitchFamily="18" charset="0"/>
            </a:rPr>
            <a:t>number</a:t>
          </a:r>
          <a:endParaRPr lang="nl-NL" sz="1000" i="1">
            <a:latin typeface="Times New Roman" pitchFamily="18" charset="0"/>
            <a:cs typeface="Times New Roman" pitchFamily="18" charset="0"/>
          </a:endParaRPr>
        </a:p>
      </cdr:txBody>
    </cdr:sp>
  </cdr:relSizeAnchor>
  <cdr:relSizeAnchor xmlns:cdr="http://schemas.openxmlformats.org/drawingml/2006/chartDrawing">
    <cdr:from>
      <cdr:x>0.04268</cdr:x>
      <cdr:y>0.89916</cdr:y>
    </cdr:from>
    <cdr:to>
      <cdr:x>0.58537</cdr:x>
      <cdr:y>0.9972</cdr:y>
    </cdr:to>
    <cdr:sp macro="" textlink="">
      <cdr:nvSpPr>
        <cdr:cNvPr id="5" name="Tekstvak 4"/>
        <cdr:cNvSpPr txBox="1"/>
      </cdr:nvSpPr>
      <cdr:spPr>
        <a:xfrm xmlns:a="http://schemas.openxmlformats.org/drawingml/2006/main">
          <a:off x="133349" y="3057526"/>
          <a:ext cx="169545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 World</a:t>
          </a:r>
          <a:r>
            <a:rPr lang="nl-NL" sz="1000" i="1" baseline="0">
              <a:latin typeface="Times New Roman" pitchFamily="18" charset="0"/>
              <a:cs typeface="Times New Roman" pitchFamily="18" charset="0"/>
            </a:rPr>
            <a:t> Bank</a:t>
          </a:r>
          <a:endParaRPr lang="nl-NL" sz="1000" i="1">
            <a:latin typeface="Times New Roman" pitchFamily="18" charset="0"/>
            <a:cs typeface="Times New Roman" pitchFamily="18" charset="0"/>
          </a:endParaRPr>
        </a:p>
      </cdr:txBody>
    </cdr:sp>
  </cdr:relSizeAnchor>
</c:userShapes>
</file>

<file path=word/drawings/drawing12.xml><?xml version="1.0" encoding="utf-8"?>
<c:userShapes xmlns:c="http://schemas.openxmlformats.org/drawingml/2006/chart">
  <cdr:relSizeAnchor xmlns:cdr="http://schemas.openxmlformats.org/drawingml/2006/chartDrawing">
    <cdr:from>
      <cdr:x>0.01543</cdr:x>
      <cdr:y>0.01201</cdr:y>
    </cdr:from>
    <cdr:to>
      <cdr:x>0.97222</cdr:x>
      <cdr:y>0.17718</cdr:y>
    </cdr:to>
    <cdr:sp macro="" textlink="">
      <cdr:nvSpPr>
        <cdr:cNvPr id="2" name="Tekstvak 1"/>
        <cdr:cNvSpPr txBox="1"/>
      </cdr:nvSpPr>
      <cdr:spPr>
        <a:xfrm xmlns:a="http://schemas.openxmlformats.org/drawingml/2006/main">
          <a:off x="47627" y="38101"/>
          <a:ext cx="2952750" cy="5238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nl-NL" sz="1100"/>
        </a:p>
      </cdr:txBody>
    </cdr:sp>
  </cdr:relSizeAnchor>
  <cdr:relSizeAnchor xmlns:cdr="http://schemas.openxmlformats.org/drawingml/2006/chartDrawing">
    <cdr:from>
      <cdr:x>0.01235</cdr:x>
      <cdr:y>0.03604</cdr:y>
    </cdr:from>
    <cdr:to>
      <cdr:x>0.98765</cdr:x>
      <cdr:y>0.26126</cdr:y>
    </cdr:to>
    <cdr:sp macro="" textlink="">
      <cdr:nvSpPr>
        <cdr:cNvPr id="3" name="Tekstvak 2"/>
        <cdr:cNvSpPr txBox="1"/>
      </cdr:nvSpPr>
      <cdr:spPr>
        <a:xfrm xmlns:a="http://schemas.openxmlformats.org/drawingml/2006/main">
          <a:off x="38102" y="114300"/>
          <a:ext cx="3009900" cy="714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b="1">
              <a:latin typeface="Times New Roman" pitchFamily="18" charset="0"/>
              <a:cs typeface="Times New Roman" pitchFamily="18" charset="0"/>
            </a:rPr>
            <a:t>Figure 13: Labor</a:t>
          </a:r>
          <a:r>
            <a:rPr lang="nl-NL" sz="1000" b="1" baseline="0">
              <a:latin typeface="Times New Roman" pitchFamily="18" charset="0"/>
              <a:cs typeface="Times New Roman" pitchFamily="18" charset="0"/>
            </a:rPr>
            <a:t> Productivity Index  2002=100 (output per hour manufacturing) and Total Labor Compensation Index (manufacturing) 2002=100 </a:t>
          </a:r>
          <a:r>
            <a:rPr lang="nl-NL" sz="1000" b="1" baseline="0">
              <a:latin typeface="Times New Roman" pitchFamily="18" charset="0"/>
              <a:ea typeface="+mn-ea"/>
              <a:cs typeface="Times New Roman" pitchFamily="18" charset="0"/>
            </a:rPr>
            <a:t>Spain and Germany 2002-2008</a:t>
          </a:r>
          <a:endParaRPr lang="nl-NL" sz="1000" b="1">
            <a:latin typeface="Times New Roman" pitchFamily="18" charset="0"/>
            <a:cs typeface="Times New Roman" pitchFamily="18" charset="0"/>
          </a:endParaRPr>
        </a:p>
      </cdr:txBody>
    </cdr:sp>
  </cdr:relSizeAnchor>
  <cdr:relSizeAnchor xmlns:cdr="http://schemas.openxmlformats.org/drawingml/2006/chartDrawing">
    <cdr:from>
      <cdr:x>0</cdr:x>
      <cdr:y>0.16713</cdr:y>
    </cdr:from>
    <cdr:to>
      <cdr:x>0.40045</cdr:x>
      <cdr:y>0.29526</cdr:y>
    </cdr:to>
    <cdr:sp macro="" textlink="">
      <cdr:nvSpPr>
        <cdr:cNvPr id="4" name="Tekstvak 3"/>
        <cdr:cNvSpPr txBox="1"/>
      </cdr:nvSpPr>
      <cdr:spPr>
        <a:xfrm xmlns:a="http://schemas.openxmlformats.org/drawingml/2006/main">
          <a:off x="0" y="571501"/>
          <a:ext cx="1704978" cy="438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index number </a:t>
          </a:r>
        </a:p>
      </cdr:txBody>
    </cdr:sp>
  </cdr:relSizeAnchor>
  <cdr:relSizeAnchor xmlns:cdr="http://schemas.openxmlformats.org/drawingml/2006/chartDrawing">
    <cdr:from>
      <cdr:x>0.76267</cdr:x>
      <cdr:y>0.80087</cdr:y>
    </cdr:from>
    <cdr:to>
      <cdr:x>0.98421</cdr:x>
      <cdr:y>0.87887</cdr:y>
    </cdr:to>
    <cdr:sp macro="" textlink="">
      <cdr:nvSpPr>
        <cdr:cNvPr id="5" name="Tekstvak 4"/>
        <cdr:cNvSpPr txBox="1"/>
      </cdr:nvSpPr>
      <cdr:spPr>
        <a:xfrm xmlns:a="http://schemas.openxmlformats.org/drawingml/2006/main">
          <a:off x="4140740" y="4073517"/>
          <a:ext cx="1202788" cy="3967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    year</a:t>
          </a:r>
        </a:p>
      </cdr:txBody>
    </cdr:sp>
  </cdr:relSizeAnchor>
  <cdr:relSizeAnchor xmlns:cdr="http://schemas.openxmlformats.org/drawingml/2006/chartDrawing">
    <cdr:from>
      <cdr:x>0.10769</cdr:x>
      <cdr:y>0.90529</cdr:y>
    </cdr:from>
    <cdr:to>
      <cdr:x>0.87692</cdr:x>
      <cdr:y>0.98329</cdr:y>
    </cdr:to>
    <cdr:sp macro="" textlink="">
      <cdr:nvSpPr>
        <cdr:cNvPr id="6" name="Tekstvak 5"/>
        <cdr:cNvSpPr txBox="1"/>
      </cdr:nvSpPr>
      <cdr:spPr>
        <a:xfrm xmlns:a="http://schemas.openxmlformats.org/drawingml/2006/main">
          <a:off x="333377" y="3095626"/>
          <a:ext cx="2381249" cy="2667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 Bureau of Labor Statistics</a:t>
          </a:r>
        </a:p>
      </cdr:txBody>
    </cdr:sp>
  </cdr:relSizeAnchor>
</c:userShapes>
</file>

<file path=word/drawings/drawing13.xml><?xml version="1.0" encoding="utf-8"?>
<c:userShapes xmlns:c="http://schemas.openxmlformats.org/drawingml/2006/chart">
  <cdr:relSizeAnchor xmlns:cdr="http://schemas.openxmlformats.org/drawingml/2006/chartDrawing">
    <cdr:from>
      <cdr:x>0.82414</cdr:x>
      <cdr:y>0.74813</cdr:y>
    </cdr:from>
    <cdr:to>
      <cdr:x>0.96724</cdr:x>
      <cdr:y>0.81343</cdr:y>
    </cdr:to>
    <cdr:sp macro="" textlink="">
      <cdr:nvSpPr>
        <cdr:cNvPr id="2" name="Tekstvak 1"/>
        <cdr:cNvSpPr txBox="1"/>
      </cdr:nvSpPr>
      <cdr:spPr>
        <a:xfrm xmlns:a="http://schemas.openxmlformats.org/drawingml/2006/main">
          <a:off x="4552950" y="3819526"/>
          <a:ext cx="790575"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year</a:t>
          </a:r>
        </a:p>
      </cdr:txBody>
    </cdr:sp>
  </cdr:relSizeAnchor>
  <cdr:relSizeAnchor xmlns:cdr="http://schemas.openxmlformats.org/drawingml/2006/chartDrawing">
    <cdr:from>
      <cdr:x>0.06326</cdr:x>
      <cdr:y>0.1032</cdr:y>
    </cdr:from>
    <cdr:to>
      <cdr:x>0.15119</cdr:x>
      <cdr:y>0.1573</cdr:y>
    </cdr:to>
    <cdr:sp macro="" textlink="">
      <cdr:nvSpPr>
        <cdr:cNvPr id="3" name="Tekstvak 2"/>
        <cdr:cNvSpPr txBox="1"/>
      </cdr:nvSpPr>
      <cdr:spPr>
        <a:xfrm xmlns:a="http://schemas.openxmlformats.org/drawingml/2006/main">
          <a:off x="372380" y="332252"/>
          <a:ext cx="517596" cy="1741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a:t>
          </a:r>
        </a:p>
      </cdr:txBody>
    </cdr:sp>
  </cdr:relSizeAnchor>
  <cdr:relSizeAnchor xmlns:cdr="http://schemas.openxmlformats.org/drawingml/2006/chartDrawing">
    <cdr:from>
      <cdr:x>0.1</cdr:x>
      <cdr:y>0.91791</cdr:y>
    </cdr:from>
    <cdr:to>
      <cdr:x>0.54483</cdr:x>
      <cdr:y>1</cdr:y>
    </cdr:to>
    <cdr:sp macro="" textlink="">
      <cdr:nvSpPr>
        <cdr:cNvPr id="4" name="Tekstvak 3"/>
        <cdr:cNvSpPr txBox="1"/>
      </cdr:nvSpPr>
      <cdr:spPr>
        <a:xfrm xmlns:a="http://schemas.openxmlformats.org/drawingml/2006/main">
          <a:off x="588645" y="2955165"/>
          <a:ext cx="2618470" cy="2642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a:t>
          </a:r>
          <a:r>
            <a:rPr lang="nl-NL" sz="1000" i="1" baseline="0">
              <a:latin typeface="Times New Roman" pitchFamily="18" charset="0"/>
              <a:cs typeface="Times New Roman" pitchFamily="18" charset="0"/>
            </a:rPr>
            <a:t> Eurostat</a:t>
          </a:r>
          <a:endParaRPr lang="nl-NL" sz="1000" i="1">
            <a:latin typeface="Times New Roman" pitchFamily="18" charset="0"/>
            <a:cs typeface="Times New Roman" pitchFamily="18" charset="0"/>
          </a:endParaRPr>
        </a:p>
      </cdr:txBody>
    </cdr:sp>
  </cdr:relSizeAnchor>
  <cdr:relSizeAnchor xmlns:cdr="http://schemas.openxmlformats.org/drawingml/2006/chartDrawing">
    <cdr:from>
      <cdr:x>0.00172</cdr:x>
      <cdr:y>0.01119</cdr:y>
    </cdr:from>
    <cdr:to>
      <cdr:x>1</cdr:x>
      <cdr:y>0.1194</cdr:y>
    </cdr:to>
    <cdr:sp macro="" textlink="">
      <cdr:nvSpPr>
        <cdr:cNvPr id="5" name="Tekstvak 4"/>
        <cdr:cNvSpPr txBox="1"/>
      </cdr:nvSpPr>
      <cdr:spPr>
        <a:xfrm xmlns:a="http://schemas.openxmlformats.org/drawingml/2006/main">
          <a:off x="9524" y="57151"/>
          <a:ext cx="5514976" cy="552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b="1">
              <a:latin typeface="Times New Roman" pitchFamily="18" charset="0"/>
              <a:cs typeface="Times New Roman" pitchFamily="18" charset="0"/>
            </a:rPr>
            <a:t>Figure 14: annual Aggregate Domestic Demand</a:t>
          </a:r>
          <a:r>
            <a:rPr lang="nl-NL" sz="1000" b="1" baseline="0">
              <a:latin typeface="Times New Roman" pitchFamily="18" charset="0"/>
              <a:cs typeface="Times New Roman" pitchFamily="18" charset="0"/>
            </a:rPr>
            <a:t> (% of GDP) for Spain and Germany 2002-2008</a:t>
          </a:r>
          <a:endParaRPr lang="nl-NL" sz="1000" b="1">
            <a:latin typeface="Times New Roman" pitchFamily="18" charset="0"/>
            <a:cs typeface="Times New Roman" pitchFamily="18" charset="0"/>
          </a:endParaRPr>
        </a:p>
      </cdr:txBody>
    </cdr:sp>
  </cdr:relSizeAnchor>
</c:userShapes>
</file>

<file path=word/drawings/drawing14.xml><?xml version="1.0" encoding="utf-8"?>
<c:userShapes xmlns:c="http://schemas.openxmlformats.org/drawingml/2006/chart">
  <cdr:relSizeAnchor xmlns:cdr="http://schemas.openxmlformats.org/drawingml/2006/chartDrawing">
    <cdr:from>
      <cdr:x>0.01418</cdr:x>
      <cdr:y>0.03491</cdr:y>
    </cdr:from>
    <cdr:to>
      <cdr:x>0.98759</cdr:x>
      <cdr:y>0.14963</cdr:y>
    </cdr:to>
    <cdr:sp macro="" textlink="">
      <cdr:nvSpPr>
        <cdr:cNvPr id="2" name="Tekstvak 1"/>
        <cdr:cNvSpPr txBox="1"/>
      </cdr:nvSpPr>
      <cdr:spPr>
        <a:xfrm xmlns:a="http://schemas.openxmlformats.org/drawingml/2006/main">
          <a:off x="76200" y="133351"/>
          <a:ext cx="5229225" cy="438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b="1">
              <a:latin typeface="Times New Roman" pitchFamily="18" charset="0"/>
              <a:cs typeface="Times New Roman" pitchFamily="18" charset="0"/>
            </a:rPr>
            <a:t>Figure 15: Gross</a:t>
          </a:r>
          <a:r>
            <a:rPr lang="nl-NL" sz="1000" b="1" baseline="0">
              <a:latin typeface="Times New Roman" pitchFamily="18" charset="0"/>
              <a:cs typeface="Times New Roman" pitchFamily="18" charset="0"/>
            </a:rPr>
            <a:t> Fixed Capital Formation (% of GDP) Spain, Germany, Greece, Italy, Portugal and Euro Area average 2002-2008</a:t>
          </a:r>
          <a:endParaRPr lang="nl-NL" sz="1000" b="1">
            <a:latin typeface="Times New Roman" pitchFamily="18" charset="0"/>
            <a:cs typeface="Times New Roman" pitchFamily="18" charset="0"/>
          </a:endParaRPr>
        </a:p>
      </cdr:txBody>
    </cdr:sp>
  </cdr:relSizeAnchor>
  <cdr:relSizeAnchor xmlns:cdr="http://schemas.openxmlformats.org/drawingml/2006/chartDrawing">
    <cdr:from>
      <cdr:x>0.05357</cdr:x>
      <cdr:y>0.1333</cdr:y>
    </cdr:from>
    <cdr:to>
      <cdr:x>0.13312</cdr:x>
      <cdr:y>0.19186</cdr:y>
    </cdr:to>
    <cdr:sp macro="" textlink="">
      <cdr:nvSpPr>
        <cdr:cNvPr id="3" name="Tekstvak 2"/>
        <cdr:cNvSpPr txBox="1"/>
      </cdr:nvSpPr>
      <cdr:spPr>
        <a:xfrm xmlns:a="http://schemas.openxmlformats.org/drawingml/2006/main">
          <a:off x="308602" y="496463"/>
          <a:ext cx="458265" cy="2180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100" i="1">
              <a:latin typeface="Times New Roman" pitchFamily="18" charset="0"/>
              <a:cs typeface="Times New Roman" pitchFamily="18" charset="0"/>
            </a:rPr>
            <a:t>%</a:t>
          </a:r>
        </a:p>
      </cdr:txBody>
    </cdr:sp>
  </cdr:relSizeAnchor>
  <cdr:relSizeAnchor xmlns:cdr="http://schemas.openxmlformats.org/drawingml/2006/chartDrawing">
    <cdr:from>
      <cdr:x>0.81006</cdr:x>
      <cdr:y>0.82658</cdr:y>
    </cdr:from>
    <cdr:to>
      <cdr:x>0.93182</cdr:x>
      <cdr:y>0.89189</cdr:y>
    </cdr:to>
    <cdr:sp macro="" textlink="">
      <cdr:nvSpPr>
        <cdr:cNvPr id="4" name="Tekstvak 3"/>
        <cdr:cNvSpPr txBox="1"/>
      </cdr:nvSpPr>
      <cdr:spPr>
        <a:xfrm xmlns:a="http://schemas.openxmlformats.org/drawingml/2006/main">
          <a:off x="4752975" y="3495675"/>
          <a:ext cx="71437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year</a:t>
          </a:r>
        </a:p>
      </cdr:txBody>
    </cdr:sp>
  </cdr:relSizeAnchor>
  <cdr:relSizeAnchor xmlns:cdr="http://schemas.openxmlformats.org/drawingml/2006/chartDrawing">
    <cdr:from>
      <cdr:x>0.06656</cdr:x>
      <cdr:y>0.93841</cdr:y>
    </cdr:from>
    <cdr:to>
      <cdr:x>0.53896</cdr:x>
      <cdr:y>1</cdr:y>
    </cdr:to>
    <cdr:sp macro="" textlink="">
      <cdr:nvSpPr>
        <cdr:cNvPr id="5" name="Tekstvak 4"/>
        <cdr:cNvSpPr txBox="1"/>
      </cdr:nvSpPr>
      <cdr:spPr>
        <a:xfrm xmlns:a="http://schemas.openxmlformats.org/drawingml/2006/main">
          <a:off x="390525" y="4256990"/>
          <a:ext cx="2771775" cy="2769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a:t>
          </a:r>
          <a:r>
            <a:rPr lang="nl-NL" sz="1000" i="1" baseline="0">
              <a:latin typeface="Times New Roman" pitchFamily="18" charset="0"/>
              <a:cs typeface="Times New Roman" pitchFamily="18" charset="0"/>
            </a:rPr>
            <a:t> Eurostat</a:t>
          </a:r>
          <a:endParaRPr lang="nl-NL" sz="1000" i="1">
            <a:latin typeface="Times New Roman" pitchFamily="18" charset="0"/>
            <a:cs typeface="Times New Roman" pitchFamily="18" charset="0"/>
          </a:endParaRPr>
        </a:p>
      </cdr:txBody>
    </cdr:sp>
  </cdr:relSizeAnchor>
</c:userShapes>
</file>

<file path=word/drawings/drawing15.xml><?xml version="1.0" encoding="utf-8"?>
<c:userShapes xmlns:c="http://schemas.openxmlformats.org/drawingml/2006/chart">
  <cdr:relSizeAnchor xmlns:cdr="http://schemas.openxmlformats.org/drawingml/2006/chartDrawing">
    <cdr:from>
      <cdr:x>0.01163</cdr:x>
      <cdr:y>0.02642</cdr:y>
    </cdr:from>
    <cdr:to>
      <cdr:x>0.96179</cdr:x>
      <cdr:y>0.13618</cdr:y>
    </cdr:to>
    <cdr:sp macro="" textlink="">
      <cdr:nvSpPr>
        <cdr:cNvPr id="2" name="Tekstvak 1"/>
        <cdr:cNvSpPr txBox="1"/>
      </cdr:nvSpPr>
      <cdr:spPr>
        <a:xfrm xmlns:a="http://schemas.openxmlformats.org/drawingml/2006/main">
          <a:off x="66675" y="123825"/>
          <a:ext cx="5448300" cy="514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b="1">
              <a:latin typeface="Times New Roman" pitchFamily="18" charset="0"/>
              <a:cs typeface="Times New Roman" pitchFamily="18" charset="0"/>
            </a:rPr>
            <a:t>Figure</a:t>
          </a:r>
          <a:r>
            <a:rPr lang="nl-NL" sz="1000" b="1" baseline="0">
              <a:latin typeface="Times New Roman" pitchFamily="18" charset="0"/>
              <a:cs typeface="Times New Roman" pitchFamily="18" charset="0"/>
            </a:rPr>
            <a:t> 16: Gross Fixed Asset Formation break-down by asset type for Spain and Germany (3-year aggregates) </a:t>
          </a:r>
          <a:endParaRPr lang="nl-NL" sz="1000" b="1">
            <a:latin typeface="Times New Roman" pitchFamily="18" charset="0"/>
            <a:cs typeface="Times New Roman" pitchFamily="18" charset="0"/>
          </a:endParaRPr>
        </a:p>
      </cdr:txBody>
    </cdr:sp>
  </cdr:relSizeAnchor>
  <cdr:relSizeAnchor xmlns:cdr="http://schemas.openxmlformats.org/drawingml/2006/chartDrawing">
    <cdr:from>
      <cdr:x>0.0814</cdr:x>
      <cdr:y>0.89024</cdr:y>
    </cdr:from>
    <cdr:to>
      <cdr:x>0.42027</cdr:x>
      <cdr:y>0.95732</cdr:y>
    </cdr:to>
    <cdr:sp macro="" textlink="">
      <cdr:nvSpPr>
        <cdr:cNvPr id="3" name="Tekstvak 2"/>
        <cdr:cNvSpPr txBox="1"/>
      </cdr:nvSpPr>
      <cdr:spPr>
        <a:xfrm xmlns:a="http://schemas.openxmlformats.org/drawingml/2006/main">
          <a:off x="466725" y="4171950"/>
          <a:ext cx="1943100"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a:t>
          </a:r>
          <a:r>
            <a:rPr lang="nl-NL" sz="1000" i="1" baseline="0">
              <a:latin typeface="Times New Roman" pitchFamily="18" charset="0"/>
              <a:cs typeface="Times New Roman" pitchFamily="18" charset="0"/>
            </a:rPr>
            <a:t> Eurostat</a:t>
          </a:r>
          <a:endParaRPr lang="nl-NL" sz="1000" i="1">
            <a:latin typeface="Times New Roman" pitchFamily="18" charset="0"/>
            <a:cs typeface="Times New Roman" pitchFamily="18" charset="0"/>
          </a:endParaRPr>
        </a:p>
      </cdr:txBody>
    </cdr:sp>
  </cdr:relSizeAnchor>
</c:userShapes>
</file>

<file path=word/drawings/drawing16.xml><?xml version="1.0" encoding="utf-8"?>
<c:userShapes xmlns:c="http://schemas.openxmlformats.org/drawingml/2006/chart">
  <cdr:relSizeAnchor xmlns:cdr="http://schemas.openxmlformats.org/drawingml/2006/chartDrawing">
    <cdr:from>
      <cdr:x>0.00947</cdr:x>
      <cdr:y>0.02846</cdr:y>
    </cdr:from>
    <cdr:to>
      <cdr:x>0.87551</cdr:x>
      <cdr:y>0.14653</cdr:y>
    </cdr:to>
    <cdr:sp macro="" textlink="">
      <cdr:nvSpPr>
        <cdr:cNvPr id="2" name="Tekstvak 1"/>
        <cdr:cNvSpPr txBox="1"/>
      </cdr:nvSpPr>
      <cdr:spPr>
        <a:xfrm xmlns:a="http://schemas.openxmlformats.org/drawingml/2006/main">
          <a:off x="54554" y="109149"/>
          <a:ext cx="4989014" cy="4528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b="1">
              <a:latin typeface="Times New Roman" pitchFamily="18" charset="0"/>
              <a:cs typeface="Times New Roman" pitchFamily="18" charset="0"/>
            </a:rPr>
            <a:t>Figure  17: Long</a:t>
          </a:r>
          <a:r>
            <a:rPr lang="nl-NL" sz="1000" b="1" baseline="0">
              <a:latin typeface="Times New Roman" pitchFamily="18" charset="0"/>
              <a:cs typeface="Times New Roman" pitchFamily="18" charset="0"/>
            </a:rPr>
            <a:t> term interest rate (10-year maturity government bonds) for Spain, Germany and the Euro Area average Jan 1995- Jun 2012</a:t>
          </a:r>
          <a:endParaRPr lang="nl-NL" sz="1000" b="1">
            <a:latin typeface="Times New Roman" pitchFamily="18" charset="0"/>
            <a:cs typeface="Times New Roman" pitchFamily="18" charset="0"/>
          </a:endParaRPr>
        </a:p>
      </cdr:txBody>
    </cdr:sp>
  </cdr:relSizeAnchor>
  <cdr:relSizeAnchor xmlns:cdr="http://schemas.openxmlformats.org/drawingml/2006/chartDrawing">
    <cdr:from>
      <cdr:x>0.0406</cdr:x>
      <cdr:y>0.91554</cdr:y>
    </cdr:from>
    <cdr:to>
      <cdr:x>0.4912</cdr:x>
      <cdr:y>0.96228</cdr:y>
    </cdr:to>
    <cdr:sp macro="" textlink="">
      <cdr:nvSpPr>
        <cdr:cNvPr id="3" name="Tekstvak 2"/>
        <cdr:cNvSpPr txBox="1"/>
      </cdr:nvSpPr>
      <cdr:spPr>
        <a:xfrm xmlns:a="http://schemas.openxmlformats.org/drawingml/2006/main">
          <a:off x="233885" y="3511272"/>
          <a:ext cx="2595781" cy="1792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 OECD</a:t>
          </a:r>
        </a:p>
      </cdr:txBody>
    </cdr:sp>
  </cdr:relSizeAnchor>
  <cdr:relSizeAnchor xmlns:cdr="http://schemas.openxmlformats.org/drawingml/2006/chartDrawing">
    <cdr:from>
      <cdr:x>0.023</cdr:x>
      <cdr:y>0.14837</cdr:y>
    </cdr:from>
    <cdr:to>
      <cdr:x>0.08119</cdr:x>
      <cdr:y>0.19512</cdr:y>
    </cdr:to>
    <cdr:sp macro="" textlink="">
      <cdr:nvSpPr>
        <cdr:cNvPr id="4" name="Tekstvak 3"/>
        <cdr:cNvSpPr txBox="1"/>
      </cdr:nvSpPr>
      <cdr:spPr>
        <a:xfrm xmlns:a="http://schemas.openxmlformats.org/drawingml/2006/main">
          <a:off x="161927" y="695325"/>
          <a:ext cx="409575"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100"/>
            <a:t>%</a:t>
          </a:r>
        </a:p>
      </cdr:txBody>
    </cdr:sp>
  </cdr:relSizeAnchor>
  <cdr:relSizeAnchor xmlns:cdr="http://schemas.openxmlformats.org/drawingml/2006/chartDrawing">
    <cdr:from>
      <cdr:x>0.84303</cdr:x>
      <cdr:y>0.71545</cdr:y>
    </cdr:from>
    <cdr:to>
      <cdr:x>0.99053</cdr:x>
      <cdr:y>0.83333</cdr:y>
    </cdr:to>
    <cdr:sp macro="" textlink="">
      <cdr:nvSpPr>
        <cdr:cNvPr id="5" name="Tekstvak 4"/>
        <cdr:cNvSpPr txBox="1"/>
      </cdr:nvSpPr>
      <cdr:spPr>
        <a:xfrm xmlns:a="http://schemas.openxmlformats.org/drawingml/2006/main">
          <a:off x="5934076" y="3352800"/>
          <a:ext cx="1038226" cy="552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Month</a:t>
          </a:r>
          <a:r>
            <a:rPr lang="nl-NL" sz="1000" i="1" baseline="0">
              <a:latin typeface="Times New Roman" pitchFamily="18" charset="0"/>
              <a:cs typeface="Times New Roman" pitchFamily="18" charset="0"/>
            </a:rPr>
            <a:t> and Year</a:t>
          </a:r>
          <a:endParaRPr lang="nl-NL" sz="1000" i="1">
            <a:latin typeface="Times New Roman" pitchFamily="18" charset="0"/>
            <a:cs typeface="Times New Roman" pitchFamily="18" charset="0"/>
          </a:endParaRPr>
        </a:p>
      </cdr:txBody>
    </cdr:sp>
  </cdr:relSizeAnchor>
</c:userShapes>
</file>

<file path=word/drawings/drawing17.xml><?xml version="1.0" encoding="utf-8"?>
<c:userShapes xmlns:c="http://schemas.openxmlformats.org/drawingml/2006/chart">
  <cdr:relSizeAnchor xmlns:cdr="http://schemas.openxmlformats.org/drawingml/2006/chartDrawing">
    <cdr:from>
      <cdr:x>0</cdr:x>
      <cdr:y>0.00307</cdr:y>
    </cdr:from>
    <cdr:to>
      <cdr:x>1</cdr:x>
      <cdr:y>0.17314</cdr:y>
    </cdr:to>
    <cdr:sp macro="" textlink="">
      <cdr:nvSpPr>
        <cdr:cNvPr id="2" name="Tekstvak 1"/>
        <cdr:cNvSpPr txBox="1"/>
      </cdr:nvSpPr>
      <cdr:spPr>
        <a:xfrm xmlns:a="http://schemas.openxmlformats.org/drawingml/2006/main">
          <a:off x="0" y="8275"/>
          <a:ext cx="5800725" cy="458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b="1">
              <a:latin typeface="Times New Roman" pitchFamily="18" charset="0"/>
              <a:cs typeface="Times New Roman" pitchFamily="18" charset="0"/>
            </a:rPr>
            <a:t>Figure 18: annual</a:t>
          </a:r>
          <a:r>
            <a:rPr lang="nl-NL" sz="1000" b="1" baseline="0">
              <a:latin typeface="Times New Roman" pitchFamily="18" charset="0"/>
              <a:cs typeface="Times New Roman" pitchFamily="18" charset="0"/>
            </a:rPr>
            <a:t> net lending (+)/ net borrowing of the total economy of Spain and Germany </a:t>
          </a:r>
          <a:br>
            <a:rPr lang="nl-NL" sz="1000" b="1" baseline="0">
              <a:latin typeface="Times New Roman" pitchFamily="18" charset="0"/>
              <a:cs typeface="Times New Roman" pitchFamily="18" charset="0"/>
            </a:rPr>
          </a:br>
          <a:r>
            <a:rPr lang="nl-NL" sz="1000" b="1" baseline="0">
              <a:latin typeface="Times New Roman" pitchFamily="18" charset="0"/>
              <a:cs typeface="Times New Roman" pitchFamily="18" charset="0"/>
            </a:rPr>
            <a:t>(% of GDP) 2002-2011</a:t>
          </a:r>
          <a:endParaRPr lang="nl-NL" sz="1000" b="1">
            <a:latin typeface="Times New Roman" pitchFamily="18" charset="0"/>
            <a:cs typeface="Times New Roman" pitchFamily="18" charset="0"/>
          </a:endParaRPr>
        </a:p>
      </cdr:txBody>
    </cdr:sp>
  </cdr:relSizeAnchor>
  <cdr:relSizeAnchor xmlns:cdr="http://schemas.openxmlformats.org/drawingml/2006/chartDrawing">
    <cdr:from>
      <cdr:x>0.02847</cdr:x>
      <cdr:y>0.15951</cdr:y>
    </cdr:from>
    <cdr:to>
      <cdr:x>0.10142</cdr:x>
      <cdr:y>0.24233</cdr:y>
    </cdr:to>
    <cdr:sp macro="" textlink="">
      <cdr:nvSpPr>
        <cdr:cNvPr id="3" name="Tekstvak 2"/>
        <cdr:cNvSpPr txBox="1"/>
      </cdr:nvSpPr>
      <cdr:spPr>
        <a:xfrm xmlns:a="http://schemas.openxmlformats.org/drawingml/2006/main">
          <a:off x="152401" y="495299"/>
          <a:ext cx="39052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a:t>
          </a:r>
        </a:p>
      </cdr:txBody>
    </cdr:sp>
  </cdr:relSizeAnchor>
  <cdr:relSizeAnchor xmlns:cdr="http://schemas.openxmlformats.org/drawingml/2006/chartDrawing">
    <cdr:from>
      <cdr:x>0.0605</cdr:x>
      <cdr:y>0.92331</cdr:y>
    </cdr:from>
    <cdr:to>
      <cdr:x>0.41815</cdr:x>
      <cdr:y>0.99387</cdr:y>
    </cdr:to>
    <cdr:sp macro="" textlink="">
      <cdr:nvSpPr>
        <cdr:cNvPr id="4" name="Tekstvak 3"/>
        <cdr:cNvSpPr txBox="1"/>
      </cdr:nvSpPr>
      <cdr:spPr>
        <a:xfrm xmlns:a="http://schemas.openxmlformats.org/drawingml/2006/main">
          <a:off x="323851" y="2867025"/>
          <a:ext cx="1914525"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 Eurostat</a:t>
          </a:r>
        </a:p>
      </cdr:txBody>
    </cdr:sp>
  </cdr:relSizeAnchor>
</c:userShapes>
</file>

<file path=word/drawings/drawing18.xml><?xml version="1.0" encoding="utf-8"?>
<c:userShapes xmlns:c="http://schemas.openxmlformats.org/drawingml/2006/chart">
  <cdr:relSizeAnchor xmlns:cdr="http://schemas.openxmlformats.org/drawingml/2006/chartDrawing">
    <cdr:from>
      <cdr:x>0.00179</cdr:x>
      <cdr:y>0.00683</cdr:y>
    </cdr:from>
    <cdr:to>
      <cdr:x>1</cdr:x>
      <cdr:y>0.13467</cdr:y>
    </cdr:to>
    <cdr:sp macro="" textlink="">
      <cdr:nvSpPr>
        <cdr:cNvPr id="2" name="Tekstvak 1"/>
        <cdr:cNvSpPr txBox="1"/>
      </cdr:nvSpPr>
      <cdr:spPr>
        <a:xfrm xmlns:a="http://schemas.openxmlformats.org/drawingml/2006/main">
          <a:off x="7094" y="22704"/>
          <a:ext cx="3955941" cy="4249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b="1">
              <a:latin typeface="Times New Roman" pitchFamily="18" charset="0"/>
              <a:cs typeface="Times New Roman" pitchFamily="18" charset="0"/>
            </a:rPr>
            <a:t>Figure 19: annual net</a:t>
          </a:r>
          <a:r>
            <a:rPr lang="nl-NL" sz="1000" b="1" baseline="0">
              <a:latin typeface="Times New Roman" pitchFamily="18" charset="0"/>
              <a:cs typeface="Times New Roman" pitchFamily="18" charset="0"/>
            </a:rPr>
            <a:t> lending (+)/ net borrowing (-) within the Spanish economy (% of GDP) 2002-2013</a:t>
          </a:r>
          <a:endParaRPr lang="nl-NL" sz="1000" b="1">
            <a:latin typeface="Times New Roman" pitchFamily="18" charset="0"/>
            <a:cs typeface="Times New Roman" pitchFamily="18" charset="0"/>
          </a:endParaRPr>
        </a:p>
      </cdr:txBody>
    </cdr:sp>
  </cdr:relSizeAnchor>
  <cdr:relSizeAnchor xmlns:cdr="http://schemas.openxmlformats.org/drawingml/2006/chartDrawing">
    <cdr:from>
      <cdr:x>0.06395</cdr:x>
      <cdr:y>0.92013</cdr:y>
    </cdr:from>
    <cdr:to>
      <cdr:x>0.52632</cdr:x>
      <cdr:y>1</cdr:y>
    </cdr:to>
    <cdr:sp macro="" textlink="">
      <cdr:nvSpPr>
        <cdr:cNvPr id="3" name="Tekstvak 2"/>
        <cdr:cNvSpPr txBox="1"/>
      </cdr:nvSpPr>
      <cdr:spPr>
        <a:xfrm xmlns:a="http://schemas.openxmlformats.org/drawingml/2006/main">
          <a:off x="370939" y="3058710"/>
          <a:ext cx="2682080" cy="2655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a:t>
          </a:r>
          <a:r>
            <a:rPr lang="nl-NL" sz="1000" i="1" baseline="0">
              <a:latin typeface="Times New Roman" pitchFamily="18" charset="0"/>
              <a:cs typeface="Times New Roman" pitchFamily="18" charset="0"/>
            </a:rPr>
            <a:t> Ameco</a:t>
          </a:r>
          <a:endParaRPr lang="nl-NL" sz="1000" i="1">
            <a:latin typeface="Times New Roman" pitchFamily="18" charset="0"/>
            <a:cs typeface="Times New Roman" pitchFamily="18" charset="0"/>
          </a:endParaRPr>
        </a:p>
      </cdr:txBody>
    </cdr:sp>
  </cdr:relSizeAnchor>
  <cdr:relSizeAnchor xmlns:cdr="http://schemas.openxmlformats.org/drawingml/2006/chartDrawing">
    <cdr:from>
      <cdr:x>0.04839</cdr:x>
      <cdr:y>0.10934</cdr:y>
    </cdr:from>
    <cdr:to>
      <cdr:x>0.1129</cdr:x>
      <cdr:y>0.17312</cdr:y>
    </cdr:to>
    <cdr:sp macro="" textlink="">
      <cdr:nvSpPr>
        <cdr:cNvPr id="4" name="Tekstvak 3"/>
        <cdr:cNvSpPr txBox="1"/>
      </cdr:nvSpPr>
      <cdr:spPr>
        <a:xfrm xmlns:a="http://schemas.openxmlformats.org/drawingml/2006/main">
          <a:off x="257176" y="457201"/>
          <a:ext cx="34290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nl-NL" sz="1100"/>
        </a:p>
      </cdr:txBody>
    </cdr:sp>
  </cdr:relSizeAnchor>
  <cdr:relSizeAnchor xmlns:cdr="http://schemas.openxmlformats.org/drawingml/2006/chartDrawing">
    <cdr:from>
      <cdr:x>0.05197</cdr:x>
      <cdr:y>0.0881</cdr:y>
    </cdr:from>
    <cdr:to>
      <cdr:x>0.1362</cdr:x>
      <cdr:y>0.17544</cdr:y>
    </cdr:to>
    <cdr:sp macro="" textlink="">
      <cdr:nvSpPr>
        <cdr:cNvPr id="5" name="Tekstvak 4"/>
        <cdr:cNvSpPr txBox="1"/>
      </cdr:nvSpPr>
      <cdr:spPr>
        <a:xfrm xmlns:a="http://schemas.openxmlformats.org/drawingml/2006/main">
          <a:off x="301464" y="239158"/>
          <a:ext cx="488595" cy="2370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a:t>
          </a:r>
        </a:p>
      </cdr:txBody>
    </cdr:sp>
  </cdr:relSizeAnchor>
  <cdr:relSizeAnchor xmlns:cdr="http://schemas.openxmlformats.org/drawingml/2006/chartDrawing">
    <cdr:from>
      <cdr:x>0.72939</cdr:x>
      <cdr:y>0.77221</cdr:y>
    </cdr:from>
    <cdr:to>
      <cdr:x>0.82796</cdr:x>
      <cdr:y>0.84814</cdr:y>
    </cdr:to>
    <cdr:sp macro="" textlink="">
      <cdr:nvSpPr>
        <cdr:cNvPr id="6" name="Tekstvak 5"/>
        <cdr:cNvSpPr txBox="1"/>
      </cdr:nvSpPr>
      <cdr:spPr>
        <a:xfrm xmlns:a="http://schemas.openxmlformats.org/drawingml/2006/main">
          <a:off x="4230991" y="2567000"/>
          <a:ext cx="571777" cy="252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year</a:t>
          </a:r>
        </a:p>
      </cdr:txBody>
    </cdr:sp>
  </cdr:relSizeAnchor>
</c:userShapes>
</file>

<file path=word/drawings/drawing19.xml><?xml version="1.0" encoding="utf-8"?>
<c:userShapes xmlns:c="http://schemas.openxmlformats.org/drawingml/2006/chart">
  <cdr:relSizeAnchor xmlns:cdr="http://schemas.openxmlformats.org/drawingml/2006/chartDrawing">
    <cdr:from>
      <cdr:x>0.00846</cdr:x>
      <cdr:y>0.00228</cdr:y>
    </cdr:from>
    <cdr:to>
      <cdr:x>0.99323</cdr:x>
      <cdr:y>0.12941</cdr:y>
    </cdr:to>
    <cdr:sp macro="" textlink="">
      <cdr:nvSpPr>
        <cdr:cNvPr id="2" name="Tekstvak 1"/>
        <cdr:cNvSpPr txBox="1"/>
      </cdr:nvSpPr>
      <cdr:spPr>
        <a:xfrm xmlns:a="http://schemas.openxmlformats.org/drawingml/2006/main">
          <a:off x="47626" y="7378"/>
          <a:ext cx="5543550" cy="4117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b="1" i="0">
              <a:latin typeface="Times New Roman" pitchFamily="18" charset="0"/>
              <a:cs typeface="Times New Roman" pitchFamily="18" charset="0"/>
            </a:rPr>
            <a:t>Figure</a:t>
          </a:r>
          <a:r>
            <a:rPr lang="nl-NL" sz="1000" b="1" i="0" baseline="0">
              <a:latin typeface="Times New Roman" pitchFamily="18" charset="0"/>
              <a:cs typeface="Times New Roman" pitchFamily="18" charset="0"/>
            </a:rPr>
            <a:t> 20: annual net lending (+)/ net borrowing (-) within the German economy </a:t>
          </a:r>
          <a:br>
            <a:rPr lang="nl-NL" sz="1000" b="1" i="0" baseline="0">
              <a:latin typeface="Times New Roman" pitchFamily="18" charset="0"/>
              <a:cs typeface="Times New Roman" pitchFamily="18" charset="0"/>
            </a:rPr>
          </a:br>
          <a:r>
            <a:rPr lang="nl-NL" sz="1000" b="1" i="0" baseline="0">
              <a:latin typeface="Times New Roman" pitchFamily="18" charset="0"/>
              <a:cs typeface="Times New Roman" pitchFamily="18" charset="0"/>
            </a:rPr>
            <a:t>(% of GDP) 2002-2013</a:t>
          </a:r>
          <a:endParaRPr lang="nl-NL" sz="1000" b="1" i="0">
            <a:latin typeface="Times New Roman" pitchFamily="18" charset="0"/>
            <a:cs typeface="Times New Roman" pitchFamily="18" charset="0"/>
          </a:endParaRPr>
        </a:p>
      </cdr:txBody>
    </cdr:sp>
  </cdr:relSizeAnchor>
  <cdr:relSizeAnchor xmlns:cdr="http://schemas.openxmlformats.org/drawingml/2006/chartDrawing">
    <cdr:from>
      <cdr:x>0.0371</cdr:x>
      <cdr:y>0.10635</cdr:y>
    </cdr:from>
    <cdr:to>
      <cdr:x>0.10648</cdr:x>
      <cdr:y>0.18792</cdr:y>
    </cdr:to>
    <cdr:sp macro="" textlink="">
      <cdr:nvSpPr>
        <cdr:cNvPr id="3" name="Tekstvak 2"/>
        <cdr:cNvSpPr txBox="1"/>
      </cdr:nvSpPr>
      <cdr:spPr>
        <a:xfrm xmlns:a="http://schemas.openxmlformats.org/drawingml/2006/main">
          <a:off x="216958" y="301868"/>
          <a:ext cx="405759" cy="2315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a:t>
          </a:r>
        </a:p>
        <a:p xmlns:a="http://schemas.openxmlformats.org/drawingml/2006/main">
          <a:endParaRPr lang="nl-NL" sz="1100"/>
        </a:p>
      </cdr:txBody>
    </cdr:sp>
  </cdr:relSizeAnchor>
  <cdr:relSizeAnchor xmlns:cdr="http://schemas.openxmlformats.org/drawingml/2006/chartDrawing">
    <cdr:from>
      <cdr:x>0.7225</cdr:x>
      <cdr:y>0.7836</cdr:y>
    </cdr:from>
    <cdr:to>
      <cdr:x>0.83418</cdr:x>
      <cdr:y>0.84738</cdr:y>
    </cdr:to>
    <cdr:sp macro="" textlink="">
      <cdr:nvSpPr>
        <cdr:cNvPr id="4" name="Tekstvak 3"/>
        <cdr:cNvSpPr txBox="1"/>
      </cdr:nvSpPr>
      <cdr:spPr>
        <a:xfrm xmlns:a="http://schemas.openxmlformats.org/drawingml/2006/main">
          <a:off x="4067176" y="3276601"/>
          <a:ext cx="6286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year</a:t>
          </a:r>
        </a:p>
      </cdr:txBody>
    </cdr:sp>
  </cdr:relSizeAnchor>
  <cdr:relSizeAnchor xmlns:cdr="http://schemas.openxmlformats.org/drawingml/2006/chartDrawing">
    <cdr:from>
      <cdr:x>0.04738</cdr:x>
      <cdr:y>0.9094</cdr:y>
    </cdr:from>
    <cdr:to>
      <cdr:x>0.4247</cdr:x>
      <cdr:y>0.98633</cdr:y>
    </cdr:to>
    <cdr:sp macro="" textlink="">
      <cdr:nvSpPr>
        <cdr:cNvPr id="5" name="Tekstvak 4"/>
        <cdr:cNvSpPr txBox="1"/>
      </cdr:nvSpPr>
      <cdr:spPr>
        <a:xfrm xmlns:a="http://schemas.openxmlformats.org/drawingml/2006/main">
          <a:off x="277095" y="2581275"/>
          <a:ext cx="2206699" cy="21837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a:t>
          </a:r>
          <a:r>
            <a:rPr lang="nl-NL" sz="1000" i="1" baseline="0">
              <a:latin typeface="Times New Roman" pitchFamily="18" charset="0"/>
              <a:cs typeface="Times New Roman" pitchFamily="18" charset="0"/>
            </a:rPr>
            <a:t> Ameco</a:t>
          </a:r>
          <a:endParaRPr lang="nl-NL" sz="1000" i="1">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0.01752</cdr:x>
      <cdr:y>0.04141</cdr:y>
    </cdr:from>
    <cdr:to>
      <cdr:x>0.94108</cdr:x>
      <cdr:y>0.37066</cdr:y>
    </cdr:to>
    <cdr:sp macro="" textlink="">
      <cdr:nvSpPr>
        <cdr:cNvPr id="2" name="Tekstvak 1"/>
        <cdr:cNvSpPr txBox="1"/>
      </cdr:nvSpPr>
      <cdr:spPr>
        <a:xfrm xmlns:a="http://schemas.openxmlformats.org/drawingml/2006/main">
          <a:off x="104775" y="218120"/>
          <a:ext cx="5524483" cy="17342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nl-NL" sz="1000" b="1" baseline="0">
              <a:latin typeface="Times New Roman" pitchFamily="18" charset="0"/>
              <a:cs typeface="Times New Roman" pitchFamily="18" charset="0"/>
            </a:rPr>
            <a:t/>
          </a:r>
          <a:br>
            <a:rPr lang="nl-NL" sz="1000" b="1" baseline="0">
              <a:latin typeface="Times New Roman" pitchFamily="18" charset="0"/>
              <a:cs typeface="Times New Roman" pitchFamily="18" charset="0"/>
            </a:rPr>
          </a:br>
          <a:r>
            <a:rPr lang="nl-NL" sz="1000" b="1" baseline="0">
              <a:latin typeface="Times New Roman" pitchFamily="18" charset="0"/>
              <a:cs typeface="Times New Roman" pitchFamily="18" charset="0"/>
            </a:rPr>
            <a:t/>
          </a:r>
          <a:br>
            <a:rPr lang="nl-NL" sz="1000" b="1" baseline="0">
              <a:latin typeface="Times New Roman" pitchFamily="18" charset="0"/>
              <a:cs typeface="Times New Roman" pitchFamily="18" charset="0"/>
            </a:rPr>
          </a:br>
          <a:r>
            <a:rPr lang="nl-NL" sz="1000" b="1" baseline="0">
              <a:latin typeface="Times New Roman" pitchFamily="18" charset="0"/>
              <a:cs typeface="Times New Roman" pitchFamily="18" charset="0"/>
            </a:rPr>
            <a:t>Figure 2:harmonised long term interest rate in % (10 year yield on government bonds) Spain and Germany for the period May 2011-May 2012</a:t>
          </a:r>
          <a:endParaRPr lang="nl-NL" sz="1000" b="1">
            <a:latin typeface="Times New Roman" pitchFamily="18" charset="0"/>
            <a:cs typeface="Times New Roman" pitchFamily="18" charset="0"/>
          </a:endParaRPr>
        </a:p>
      </cdr:txBody>
    </cdr:sp>
  </cdr:relSizeAnchor>
  <cdr:relSizeAnchor xmlns:cdr="http://schemas.openxmlformats.org/drawingml/2006/chartDrawing">
    <cdr:from>
      <cdr:x>0.03994</cdr:x>
      <cdr:y>0.1982</cdr:y>
    </cdr:from>
    <cdr:to>
      <cdr:x>0.24518</cdr:x>
      <cdr:y>0.32973</cdr:y>
    </cdr:to>
    <cdr:sp macro="" textlink="">
      <cdr:nvSpPr>
        <cdr:cNvPr id="3" name="Tekstvak 2"/>
        <cdr:cNvSpPr txBox="1"/>
      </cdr:nvSpPr>
      <cdr:spPr>
        <a:xfrm xmlns:a="http://schemas.openxmlformats.org/drawingml/2006/main">
          <a:off x="276225" y="1047751"/>
          <a:ext cx="1419225" cy="695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nl-NL" sz="1100"/>
        </a:p>
      </cdr:txBody>
    </cdr:sp>
  </cdr:relSizeAnchor>
  <cdr:relSizeAnchor xmlns:cdr="http://schemas.openxmlformats.org/drawingml/2006/chartDrawing">
    <cdr:from>
      <cdr:x>0.06529</cdr:x>
      <cdr:y>0.22554</cdr:y>
    </cdr:from>
    <cdr:to>
      <cdr:x>0.28491</cdr:x>
      <cdr:y>0.38597</cdr:y>
    </cdr:to>
    <cdr:sp macro="" textlink="">
      <cdr:nvSpPr>
        <cdr:cNvPr id="4" name="Tekstvak 3"/>
        <cdr:cNvSpPr txBox="1"/>
      </cdr:nvSpPr>
      <cdr:spPr>
        <a:xfrm xmlns:a="http://schemas.openxmlformats.org/drawingml/2006/main">
          <a:off x="390518" y="1187973"/>
          <a:ext cx="1313701" cy="8450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harmonised long term interest rate (%) on</a:t>
          </a:r>
          <a:r>
            <a:rPr lang="nl-NL" sz="1000" i="1" baseline="0">
              <a:latin typeface="Times New Roman" pitchFamily="18" charset="0"/>
              <a:cs typeface="Times New Roman" pitchFamily="18" charset="0"/>
            </a:rPr>
            <a:t> government bonds</a:t>
          </a:r>
          <a:endParaRPr lang="nl-NL" sz="1000" i="1">
            <a:latin typeface="Times New Roman" pitchFamily="18" charset="0"/>
            <a:cs typeface="Times New Roman" pitchFamily="18" charset="0"/>
          </a:endParaRPr>
        </a:p>
      </cdr:txBody>
    </cdr:sp>
  </cdr:relSizeAnchor>
  <cdr:relSizeAnchor xmlns:cdr="http://schemas.openxmlformats.org/drawingml/2006/chartDrawing">
    <cdr:from>
      <cdr:x>0.80992</cdr:x>
      <cdr:y>0.77762</cdr:y>
    </cdr:from>
    <cdr:to>
      <cdr:x>0.94353</cdr:x>
      <cdr:y>0.84811</cdr:y>
    </cdr:to>
    <cdr:sp macro="" textlink="">
      <cdr:nvSpPr>
        <cdr:cNvPr id="5" name="Tekstvak 4"/>
        <cdr:cNvSpPr txBox="1"/>
      </cdr:nvSpPr>
      <cdr:spPr>
        <a:xfrm xmlns:a="http://schemas.openxmlformats.org/drawingml/2006/main">
          <a:off x="5600700" y="4607042"/>
          <a:ext cx="923925" cy="4176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Month</a:t>
          </a:r>
        </a:p>
      </cdr:txBody>
    </cdr:sp>
  </cdr:relSizeAnchor>
  <cdr:relSizeAnchor xmlns:cdr="http://schemas.openxmlformats.org/drawingml/2006/chartDrawing">
    <cdr:from>
      <cdr:x>0.09207</cdr:x>
      <cdr:y>0.93331</cdr:y>
    </cdr:from>
    <cdr:to>
      <cdr:x>0.34414</cdr:x>
      <cdr:y>0.9735</cdr:y>
    </cdr:to>
    <cdr:sp macro="" textlink="">
      <cdr:nvSpPr>
        <cdr:cNvPr id="6" name="Tekstvak 5"/>
        <cdr:cNvSpPr txBox="1"/>
      </cdr:nvSpPr>
      <cdr:spPr>
        <a:xfrm xmlns:a="http://schemas.openxmlformats.org/drawingml/2006/main">
          <a:off x="550721" y="4747121"/>
          <a:ext cx="1507807" cy="2044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ea typeface="Batang" pitchFamily="18" charset="-127"/>
              <a:cs typeface="Times New Roman" pitchFamily="18" charset="0"/>
            </a:rPr>
            <a:t>source: ECB</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3.14269E-7</cdr:y>
    </cdr:from>
    <cdr:to>
      <cdr:x>1</cdr:x>
      <cdr:y>0.2004</cdr:y>
    </cdr:to>
    <cdr:sp macro="" textlink="">
      <cdr:nvSpPr>
        <cdr:cNvPr id="2" name="Tekstvak 1"/>
        <cdr:cNvSpPr txBox="1"/>
      </cdr:nvSpPr>
      <cdr:spPr>
        <a:xfrm xmlns:a="http://schemas.openxmlformats.org/drawingml/2006/main">
          <a:off x="0" y="1"/>
          <a:ext cx="2857500" cy="6376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b="1">
              <a:latin typeface="Times New Roman" pitchFamily="18" charset="0"/>
              <a:cs typeface="Times New Roman" pitchFamily="18" charset="0"/>
            </a:rPr>
            <a:t>Figure 3: Housing Price Index (2010=100) from 2005Q1-2011Q4 for the members</a:t>
          </a:r>
          <a:r>
            <a:rPr lang="nl-NL" sz="1000" b="1" baseline="0">
              <a:latin typeface="Times New Roman" pitchFamily="18" charset="0"/>
              <a:cs typeface="Times New Roman" pitchFamily="18" charset="0"/>
            </a:rPr>
            <a:t> Spain, Greece and Germany</a:t>
          </a:r>
          <a:endParaRPr lang="nl-NL" sz="1000" b="1">
            <a:latin typeface="Times New Roman" pitchFamily="18" charset="0"/>
            <a:cs typeface="Times New Roman" pitchFamily="18" charset="0"/>
          </a:endParaRPr>
        </a:p>
      </cdr:txBody>
    </cdr:sp>
  </cdr:relSizeAnchor>
  <cdr:relSizeAnchor xmlns:cdr="http://schemas.openxmlformats.org/drawingml/2006/chartDrawing">
    <cdr:from>
      <cdr:x>0</cdr:x>
      <cdr:y>0.15266</cdr:y>
    </cdr:from>
    <cdr:to>
      <cdr:x>0.37058</cdr:x>
      <cdr:y>0.22424</cdr:y>
    </cdr:to>
    <cdr:sp macro="" textlink="">
      <cdr:nvSpPr>
        <cdr:cNvPr id="3" name="Tekstvak 2"/>
        <cdr:cNvSpPr txBox="1"/>
      </cdr:nvSpPr>
      <cdr:spPr>
        <a:xfrm xmlns:a="http://schemas.openxmlformats.org/drawingml/2006/main">
          <a:off x="0" y="485775"/>
          <a:ext cx="1058932" cy="2277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HPI(2010=100)</a:t>
          </a:r>
        </a:p>
      </cdr:txBody>
    </cdr:sp>
  </cdr:relSizeAnchor>
  <cdr:relSizeAnchor xmlns:cdr="http://schemas.openxmlformats.org/drawingml/2006/chartDrawing">
    <cdr:from>
      <cdr:x>0.77667</cdr:x>
      <cdr:y>0.72589</cdr:y>
    </cdr:from>
    <cdr:to>
      <cdr:x>1</cdr:x>
      <cdr:y>0.91364</cdr:y>
    </cdr:to>
    <cdr:sp macro="" textlink="">
      <cdr:nvSpPr>
        <cdr:cNvPr id="4" name="Tekstvak 3"/>
        <cdr:cNvSpPr txBox="1"/>
      </cdr:nvSpPr>
      <cdr:spPr>
        <a:xfrm xmlns:a="http://schemas.openxmlformats.org/drawingml/2006/main">
          <a:off x="2219325" y="2309770"/>
          <a:ext cx="638175" cy="5974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Year</a:t>
          </a:r>
          <a:r>
            <a:rPr lang="nl-NL" sz="1000" i="1" baseline="0">
              <a:latin typeface="Times New Roman" pitchFamily="18" charset="0"/>
              <a:cs typeface="Times New Roman" pitchFamily="18" charset="0"/>
            </a:rPr>
            <a:t> and Quarter</a:t>
          </a:r>
          <a:endParaRPr lang="nl-NL" sz="1000" i="1">
            <a:latin typeface="Times New Roman" pitchFamily="18" charset="0"/>
            <a:cs typeface="Times New Roman" pitchFamily="18" charset="0"/>
          </a:endParaRPr>
        </a:p>
      </cdr:txBody>
    </cdr:sp>
  </cdr:relSizeAnchor>
  <cdr:relSizeAnchor xmlns:cdr="http://schemas.openxmlformats.org/drawingml/2006/chartDrawing">
    <cdr:from>
      <cdr:x>0.08722</cdr:x>
      <cdr:y>0.91898</cdr:y>
    </cdr:from>
    <cdr:to>
      <cdr:x>0.82</cdr:x>
      <cdr:y>1</cdr:y>
    </cdr:to>
    <cdr:sp macro="" textlink="">
      <cdr:nvSpPr>
        <cdr:cNvPr id="5" name="Tekstvak 4"/>
        <cdr:cNvSpPr txBox="1"/>
      </cdr:nvSpPr>
      <cdr:spPr>
        <a:xfrm xmlns:a="http://schemas.openxmlformats.org/drawingml/2006/main">
          <a:off x="249240" y="2924175"/>
          <a:ext cx="2093909" cy="2578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a:t>
          </a:r>
          <a:r>
            <a:rPr lang="nl-NL" sz="1000" i="1" baseline="0">
              <a:latin typeface="Times New Roman" pitchFamily="18" charset="0"/>
              <a:cs typeface="Times New Roman" pitchFamily="18" charset="0"/>
            </a:rPr>
            <a:t>  European Commission</a:t>
          </a:r>
          <a:endParaRPr lang="nl-NL" sz="1000" i="1">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0.00714</cdr:x>
      <cdr:y>0.00347</cdr:y>
    </cdr:from>
    <cdr:to>
      <cdr:x>1</cdr:x>
      <cdr:y>0.20139</cdr:y>
    </cdr:to>
    <cdr:sp macro="" textlink="">
      <cdr:nvSpPr>
        <cdr:cNvPr id="2" name="Tekstvak 1"/>
        <cdr:cNvSpPr txBox="1"/>
      </cdr:nvSpPr>
      <cdr:spPr>
        <a:xfrm xmlns:a="http://schemas.openxmlformats.org/drawingml/2006/main">
          <a:off x="19050" y="9525"/>
          <a:ext cx="2647950" cy="542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b="1">
              <a:latin typeface="Times New Roman" pitchFamily="18" charset="0"/>
              <a:cs typeface="Times New Roman" pitchFamily="18" charset="0"/>
            </a:rPr>
            <a:t>Figure 4: GDP growth rate (%) Spain, Germany and the Euro Area for the period 2001-2011</a:t>
          </a:r>
        </a:p>
      </cdr:txBody>
    </cdr:sp>
  </cdr:relSizeAnchor>
  <cdr:relSizeAnchor xmlns:cdr="http://schemas.openxmlformats.org/drawingml/2006/chartDrawing">
    <cdr:from>
      <cdr:x>0.02857</cdr:x>
      <cdr:y>0.17708</cdr:y>
    </cdr:from>
    <cdr:to>
      <cdr:x>0.18571</cdr:x>
      <cdr:y>0.24653</cdr:y>
    </cdr:to>
    <cdr:sp macro="" textlink="">
      <cdr:nvSpPr>
        <cdr:cNvPr id="3" name="Tekstvak 2"/>
        <cdr:cNvSpPr txBox="1"/>
      </cdr:nvSpPr>
      <cdr:spPr>
        <a:xfrm xmlns:a="http://schemas.openxmlformats.org/drawingml/2006/main">
          <a:off x="76199" y="485775"/>
          <a:ext cx="41910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a:t>
          </a:r>
        </a:p>
        <a:p xmlns:a="http://schemas.openxmlformats.org/drawingml/2006/main">
          <a:endParaRPr lang="nl-NL" sz="1100"/>
        </a:p>
      </cdr:txBody>
    </cdr:sp>
  </cdr:relSizeAnchor>
  <cdr:relSizeAnchor xmlns:cdr="http://schemas.openxmlformats.org/drawingml/2006/chartDrawing">
    <cdr:from>
      <cdr:x>0.66071</cdr:x>
      <cdr:y>0.72569</cdr:y>
    </cdr:from>
    <cdr:to>
      <cdr:x>0.96071</cdr:x>
      <cdr:y>0.8125</cdr:y>
    </cdr:to>
    <cdr:sp macro="" textlink="">
      <cdr:nvSpPr>
        <cdr:cNvPr id="4" name="Tekstvak 3"/>
        <cdr:cNvSpPr txBox="1"/>
      </cdr:nvSpPr>
      <cdr:spPr>
        <a:xfrm xmlns:a="http://schemas.openxmlformats.org/drawingml/2006/main">
          <a:off x="1762124" y="1990725"/>
          <a:ext cx="80010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Year</a:t>
          </a:r>
        </a:p>
        <a:p xmlns:a="http://schemas.openxmlformats.org/drawingml/2006/main">
          <a:endParaRPr lang="nl-NL" sz="1100"/>
        </a:p>
      </cdr:txBody>
    </cdr:sp>
  </cdr:relSizeAnchor>
  <cdr:relSizeAnchor xmlns:cdr="http://schemas.openxmlformats.org/drawingml/2006/chartDrawing">
    <cdr:from>
      <cdr:x>0.025</cdr:x>
      <cdr:y>0.91319</cdr:y>
    </cdr:from>
    <cdr:to>
      <cdr:x>0.72857</cdr:x>
      <cdr:y>0.98958</cdr:y>
    </cdr:to>
    <cdr:sp macro="" textlink="">
      <cdr:nvSpPr>
        <cdr:cNvPr id="5" name="Tekstvak 4"/>
        <cdr:cNvSpPr txBox="1"/>
      </cdr:nvSpPr>
      <cdr:spPr>
        <a:xfrm xmlns:a="http://schemas.openxmlformats.org/drawingml/2006/main">
          <a:off x="66674" y="2505075"/>
          <a:ext cx="1876425"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 OECD</a:t>
          </a:r>
        </a:p>
      </cdr:txBody>
    </cdr:sp>
  </cdr:relSizeAnchor>
</c:userShapes>
</file>

<file path=word/drawings/drawing5.xml><?xml version="1.0" encoding="utf-8"?>
<c:userShapes xmlns:c="http://schemas.openxmlformats.org/drawingml/2006/chart">
  <cdr:relSizeAnchor xmlns:cdr="http://schemas.openxmlformats.org/drawingml/2006/chartDrawing">
    <cdr:from>
      <cdr:x>0.01538</cdr:x>
      <cdr:y>0.01389</cdr:y>
    </cdr:from>
    <cdr:to>
      <cdr:x>0.9533</cdr:x>
      <cdr:y>0.20486</cdr:y>
    </cdr:to>
    <cdr:sp macro="" textlink="">
      <cdr:nvSpPr>
        <cdr:cNvPr id="2" name="Tekstvak 1"/>
        <cdr:cNvSpPr txBox="1"/>
      </cdr:nvSpPr>
      <cdr:spPr>
        <a:xfrm xmlns:a="http://schemas.openxmlformats.org/drawingml/2006/main">
          <a:off x="47626" y="38632"/>
          <a:ext cx="2903424" cy="5311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100"/>
            <a:t> </a:t>
          </a:r>
          <a:r>
            <a:rPr lang="nl-NL" sz="1000" b="1">
              <a:latin typeface="Times New Roman" pitchFamily="18" charset="0"/>
              <a:cs typeface="Times New Roman" pitchFamily="18" charset="0"/>
            </a:rPr>
            <a:t>Figure 6: Population growth (annual</a:t>
          </a:r>
          <a:r>
            <a:rPr lang="nl-NL" sz="1000" b="1" baseline="0">
              <a:latin typeface="Times New Roman" pitchFamily="18" charset="0"/>
              <a:cs typeface="Times New Roman" pitchFamily="18" charset="0"/>
            </a:rPr>
            <a:t> %)</a:t>
          </a:r>
          <a:r>
            <a:rPr lang="nl-NL" sz="1000" b="1">
              <a:latin typeface="Times New Roman" pitchFamily="18" charset="0"/>
              <a:cs typeface="Times New Roman" pitchFamily="18" charset="0"/>
            </a:rPr>
            <a:t> 2003-2008 Spain, Germany and</a:t>
          </a:r>
          <a:r>
            <a:rPr lang="nl-NL" sz="1000" b="1" baseline="0">
              <a:latin typeface="Times New Roman" pitchFamily="18" charset="0"/>
              <a:cs typeface="Times New Roman" pitchFamily="18" charset="0"/>
            </a:rPr>
            <a:t> Eurozone average</a:t>
          </a:r>
          <a:endParaRPr lang="nl-NL" sz="1000" b="1">
            <a:latin typeface="Times New Roman" pitchFamily="18" charset="0"/>
            <a:cs typeface="Times New Roman" pitchFamily="18" charset="0"/>
          </a:endParaRPr>
        </a:p>
      </cdr:txBody>
    </cdr:sp>
  </cdr:relSizeAnchor>
  <cdr:relSizeAnchor xmlns:cdr="http://schemas.openxmlformats.org/drawingml/2006/chartDrawing">
    <cdr:from>
      <cdr:x>0.06911</cdr:x>
      <cdr:y>0.18885</cdr:y>
    </cdr:from>
    <cdr:to>
      <cdr:x>0.22358</cdr:x>
      <cdr:y>0.26316</cdr:y>
    </cdr:to>
    <cdr:sp macro="" textlink="">
      <cdr:nvSpPr>
        <cdr:cNvPr id="3" name="Tekstvak 2"/>
        <cdr:cNvSpPr txBox="1"/>
      </cdr:nvSpPr>
      <cdr:spPr>
        <a:xfrm xmlns:a="http://schemas.openxmlformats.org/drawingml/2006/main">
          <a:off x="323850" y="581026"/>
          <a:ext cx="7239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nl-NL" sz="1100"/>
        </a:p>
      </cdr:txBody>
    </cdr:sp>
  </cdr:relSizeAnchor>
  <cdr:relSizeAnchor xmlns:cdr="http://schemas.openxmlformats.org/drawingml/2006/chartDrawing">
    <cdr:from>
      <cdr:x>0</cdr:x>
      <cdr:y>0.16019</cdr:y>
    </cdr:from>
    <cdr:to>
      <cdr:x>0.39808</cdr:x>
      <cdr:y>0.32738</cdr:y>
    </cdr:to>
    <cdr:sp macro="" textlink="">
      <cdr:nvSpPr>
        <cdr:cNvPr id="4" name="Tekstvak 3"/>
        <cdr:cNvSpPr txBox="1"/>
      </cdr:nvSpPr>
      <cdr:spPr>
        <a:xfrm xmlns:a="http://schemas.openxmlformats.org/drawingml/2006/main">
          <a:off x="0" y="445544"/>
          <a:ext cx="1232299" cy="4650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Annual growth (%)</a:t>
          </a:r>
        </a:p>
      </cdr:txBody>
    </cdr:sp>
  </cdr:relSizeAnchor>
  <cdr:relSizeAnchor xmlns:cdr="http://schemas.openxmlformats.org/drawingml/2006/chartDrawing">
    <cdr:from>
      <cdr:x>0.70528</cdr:x>
      <cdr:y>0.74303</cdr:y>
    </cdr:from>
    <cdr:to>
      <cdr:x>0.88211</cdr:x>
      <cdr:y>0.82043</cdr:y>
    </cdr:to>
    <cdr:sp macro="" textlink="">
      <cdr:nvSpPr>
        <cdr:cNvPr id="5" name="Tekstvak 4"/>
        <cdr:cNvSpPr txBox="1"/>
      </cdr:nvSpPr>
      <cdr:spPr>
        <a:xfrm xmlns:a="http://schemas.openxmlformats.org/drawingml/2006/main">
          <a:off x="3305175" y="2286001"/>
          <a:ext cx="82867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Year</a:t>
          </a:r>
        </a:p>
      </cdr:txBody>
    </cdr:sp>
  </cdr:relSizeAnchor>
  <cdr:relSizeAnchor xmlns:cdr="http://schemas.openxmlformats.org/drawingml/2006/chartDrawing">
    <cdr:from>
      <cdr:x>0.09253</cdr:x>
      <cdr:y>0.86937</cdr:y>
    </cdr:from>
    <cdr:to>
      <cdr:x>0.67011</cdr:x>
      <cdr:y>0.95605</cdr:y>
    </cdr:to>
    <cdr:sp macro="" textlink="">
      <cdr:nvSpPr>
        <cdr:cNvPr id="6" name="Tekstvak 5"/>
        <cdr:cNvSpPr txBox="1"/>
      </cdr:nvSpPr>
      <cdr:spPr>
        <a:xfrm xmlns:a="http://schemas.openxmlformats.org/drawingml/2006/main">
          <a:off x="286452" y="2235793"/>
          <a:ext cx="1787972" cy="2229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 Eurostat</a:t>
          </a:r>
        </a:p>
      </cdr:txBody>
    </cdr:sp>
  </cdr:relSizeAnchor>
</c:userShapes>
</file>

<file path=word/drawings/drawing6.xml><?xml version="1.0" encoding="utf-8"?>
<c:userShapes xmlns:c="http://schemas.openxmlformats.org/drawingml/2006/chart">
  <cdr:relSizeAnchor xmlns:cdr="http://schemas.openxmlformats.org/drawingml/2006/chartDrawing">
    <cdr:from>
      <cdr:x>0.07547</cdr:x>
      <cdr:y>0.19596</cdr:y>
    </cdr:from>
    <cdr:to>
      <cdr:x>0.47826</cdr:x>
      <cdr:y>0.32646</cdr:y>
    </cdr:to>
    <cdr:sp macro="" textlink="">
      <cdr:nvSpPr>
        <cdr:cNvPr id="2" name="Tekstvak 1"/>
        <cdr:cNvSpPr txBox="1"/>
      </cdr:nvSpPr>
      <cdr:spPr>
        <a:xfrm xmlns:a="http://schemas.openxmlformats.org/drawingml/2006/main">
          <a:off x="231470" y="545024"/>
          <a:ext cx="1235380" cy="362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Annual</a:t>
          </a:r>
          <a:r>
            <a:rPr lang="nl-NL" sz="1100" i="1"/>
            <a:t> </a:t>
          </a:r>
          <a:r>
            <a:rPr lang="nl-NL" sz="1000" i="1">
              <a:latin typeface="Times New Roman" pitchFamily="18" charset="0"/>
              <a:cs typeface="Times New Roman" pitchFamily="18" charset="0"/>
            </a:rPr>
            <a:t>growth</a:t>
          </a:r>
          <a:r>
            <a:rPr lang="nl-NL" sz="1100" i="1"/>
            <a:t> (%)</a:t>
          </a:r>
        </a:p>
      </cdr:txBody>
    </cdr:sp>
  </cdr:relSizeAnchor>
  <cdr:relSizeAnchor xmlns:cdr="http://schemas.openxmlformats.org/drawingml/2006/chartDrawing">
    <cdr:from>
      <cdr:x>0.81289</cdr:x>
      <cdr:y>0.67089</cdr:y>
    </cdr:from>
    <cdr:to>
      <cdr:x>0.9605</cdr:x>
      <cdr:y>0.74684</cdr:y>
    </cdr:to>
    <cdr:sp macro="" textlink="">
      <cdr:nvSpPr>
        <cdr:cNvPr id="3" name="Tekstvak 2"/>
        <cdr:cNvSpPr txBox="1"/>
      </cdr:nvSpPr>
      <cdr:spPr>
        <a:xfrm xmlns:a="http://schemas.openxmlformats.org/drawingml/2006/main">
          <a:off x="3724275" y="2019300"/>
          <a:ext cx="676275"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year</a:t>
          </a:r>
        </a:p>
      </cdr:txBody>
    </cdr:sp>
  </cdr:relSizeAnchor>
  <cdr:relSizeAnchor xmlns:cdr="http://schemas.openxmlformats.org/drawingml/2006/chartDrawing">
    <cdr:from>
      <cdr:x>0.09127</cdr:x>
      <cdr:y>0.06013</cdr:y>
    </cdr:from>
    <cdr:to>
      <cdr:x>0.95426</cdr:x>
      <cdr:y>0.23101</cdr:y>
    </cdr:to>
    <cdr:sp macro="" textlink="">
      <cdr:nvSpPr>
        <cdr:cNvPr id="4" name="Tekstvak 3"/>
        <cdr:cNvSpPr txBox="1"/>
      </cdr:nvSpPr>
      <cdr:spPr>
        <a:xfrm xmlns:a="http://schemas.openxmlformats.org/drawingml/2006/main">
          <a:off x="438151" y="198729"/>
          <a:ext cx="4142878" cy="5648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b="1">
              <a:latin typeface="Times New Roman" pitchFamily="18" charset="0"/>
              <a:cs typeface="Times New Roman" pitchFamily="18" charset="0"/>
            </a:rPr>
            <a:t>Figure 5: Annual growth (%) 1999-2010 of immigration in Spain and Germany</a:t>
          </a:r>
        </a:p>
      </cdr:txBody>
    </cdr:sp>
  </cdr:relSizeAnchor>
  <cdr:relSizeAnchor xmlns:cdr="http://schemas.openxmlformats.org/drawingml/2006/chartDrawing">
    <cdr:from>
      <cdr:x>0.16261</cdr:x>
      <cdr:y>0.90696</cdr:y>
    </cdr:from>
    <cdr:to>
      <cdr:x>0.66459</cdr:x>
      <cdr:y>0.97901</cdr:y>
    </cdr:to>
    <cdr:sp macro="" textlink="">
      <cdr:nvSpPr>
        <cdr:cNvPr id="5" name="Tekstvak 4"/>
        <cdr:cNvSpPr txBox="1"/>
      </cdr:nvSpPr>
      <cdr:spPr>
        <a:xfrm xmlns:a="http://schemas.openxmlformats.org/drawingml/2006/main">
          <a:off x="498739" y="2332465"/>
          <a:ext cx="1539598" cy="1852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  OECD</a:t>
          </a:r>
        </a:p>
      </cdr:txBody>
    </cdr:sp>
  </cdr:relSizeAnchor>
</c:userShapes>
</file>

<file path=word/drawings/drawing7.xml><?xml version="1.0" encoding="utf-8"?>
<c:userShapes xmlns:c="http://schemas.openxmlformats.org/drawingml/2006/chart">
  <cdr:relSizeAnchor xmlns:cdr="http://schemas.openxmlformats.org/drawingml/2006/chartDrawing">
    <cdr:from>
      <cdr:x>0.11016</cdr:x>
      <cdr:y>0.8845</cdr:y>
    </cdr:from>
    <cdr:to>
      <cdr:x>0.35284</cdr:x>
      <cdr:y>0.97264</cdr:y>
    </cdr:to>
    <cdr:sp macro="" textlink="">
      <cdr:nvSpPr>
        <cdr:cNvPr id="2" name="Tekstvak 1"/>
        <cdr:cNvSpPr txBox="1"/>
      </cdr:nvSpPr>
      <cdr:spPr>
        <a:xfrm xmlns:a="http://schemas.openxmlformats.org/drawingml/2006/main">
          <a:off x="609601" y="2771776"/>
          <a:ext cx="134302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 OECD</a:t>
          </a:r>
        </a:p>
      </cdr:txBody>
    </cdr:sp>
  </cdr:relSizeAnchor>
  <cdr:relSizeAnchor xmlns:cdr="http://schemas.openxmlformats.org/drawingml/2006/chartDrawing">
    <cdr:from>
      <cdr:x>0.06024</cdr:x>
      <cdr:y>0.07295</cdr:y>
    </cdr:from>
    <cdr:to>
      <cdr:x>0.16867</cdr:x>
      <cdr:y>0.14894</cdr:y>
    </cdr:to>
    <cdr:sp macro="" textlink="">
      <cdr:nvSpPr>
        <cdr:cNvPr id="3" name="Tekstvak 2"/>
        <cdr:cNvSpPr txBox="1"/>
      </cdr:nvSpPr>
      <cdr:spPr>
        <a:xfrm xmlns:a="http://schemas.openxmlformats.org/drawingml/2006/main">
          <a:off x="333376" y="228601"/>
          <a:ext cx="60007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100"/>
            <a:t>%</a:t>
          </a:r>
        </a:p>
      </cdr:txBody>
    </cdr:sp>
  </cdr:relSizeAnchor>
  <cdr:relSizeAnchor xmlns:cdr="http://schemas.openxmlformats.org/drawingml/2006/chartDrawing">
    <cdr:from>
      <cdr:x>0.77281</cdr:x>
      <cdr:y>0.57447</cdr:y>
    </cdr:from>
    <cdr:to>
      <cdr:x>0.93115</cdr:x>
      <cdr:y>0.66869</cdr:y>
    </cdr:to>
    <cdr:sp macro="" textlink="">
      <cdr:nvSpPr>
        <cdr:cNvPr id="4" name="Tekstvak 3"/>
        <cdr:cNvSpPr txBox="1"/>
      </cdr:nvSpPr>
      <cdr:spPr>
        <a:xfrm xmlns:a="http://schemas.openxmlformats.org/drawingml/2006/main">
          <a:off x="4276726" y="1800226"/>
          <a:ext cx="876300"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country</a:t>
          </a:r>
        </a:p>
        <a:p xmlns:a="http://schemas.openxmlformats.org/drawingml/2006/main">
          <a:endParaRPr lang="nl-NL" sz="1100"/>
        </a:p>
      </cdr:txBody>
    </cdr:sp>
  </cdr:relSizeAnchor>
</c:userShapes>
</file>

<file path=word/drawings/drawing8.xml><?xml version="1.0" encoding="utf-8"?>
<c:userShapes xmlns:c="http://schemas.openxmlformats.org/drawingml/2006/chart">
  <cdr:relSizeAnchor xmlns:cdr="http://schemas.openxmlformats.org/drawingml/2006/chartDrawing">
    <cdr:from>
      <cdr:x>0.1</cdr:x>
      <cdr:y>0.91444</cdr:y>
    </cdr:from>
    <cdr:to>
      <cdr:x>0.55833</cdr:x>
      <cdr:y>0.98128</cdr:y>
    </cdr:to>
    <cdr:sp macro="" textlink="">
      <cdr:nvSpPr>
        <cdr:cNvPr id="2" name="Tekstvak 1"/>
        <cdr:cNvSpPr txBox="1"/>
      </cdr:nvSpPr>
      <cdr:spPr>
        <a:xfrm xmlns:a="http://schemas.openxmlformats.org/drawingml/2006/main">
          <a:off x="457200" y="3257550"/>
          <a:ext cx="209550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 World Bank</a:t>
          </a:r>
        </a:p>
      </cdr:txBody>
    </cdr:sp>
  </cdr:relSizeAnchor>
  <cdr:relSizeAnchor xmlns:cdr="http://schemas.openxmlformats.org/drawingml/2006/chartDrawing">
    <cdr:from>
      <cdr:x>0.74889</cdr:x>
      <cdr:y>0.49595</cdr:y>
    </cdr:from>
    <cdr:to>
      <cdr:x>0.97895</cdr:x>
      <cdr:y>0.57082</cdr:y>
    </cdr:to>
    <cdr:sp macro="" textlink="">
      <cdr:nvSpPr>
        <cdr:cNvPr id="3" name="Tekstvak 2"/>
        <cdr:cNvSpPr txBox="1"/>
      </cdr:nvSpPr>
      <cdr:spPr>
        <a:xfrm xmlns:a="http://schemas.openxmlformats.org/drawingml/2006/main">
          <a:off x="2032948" y="1242391"/>
          <a:ext cx="624527" cy="1875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year</a:t>
          </a:r>
        </a:p>
      </cdr:txBody>
    </cdr:sp>
  </cdr:relSizeAnchor>
  <cdr:relSizeAnchor xmlns:cdr="http://schemas.openxmlformats.org/drawingml/2006/chartDrawing">
    <cdr:from>
      <cdr:x>0.05521</cdr:x>
      <cdr:y>0.12055</cdr:y>
    </cdr:from>
    <cdr:to>
      <cdr:x>0.35583</cdr:x>
      <cdr:y>0.21293</cdr:y>
    </cdr:to>
    <cdr:sp macro="" textlink="">
      <cdr:nvSpPr>
        <cdr:cNvPr id="4" name="Tekstvak 3"/>
        <cdr:cNvSpPr txBox="1"/>
      </cdr:nvSpPr>
      <cdr:spPr>
        <a:xfrm xmlns:a="http://schemas.openxmlformats.org/drawingml/2006/main">
          <a:off x="149874" y="301983"/>
          <a:ext cx="816071" cy="231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CA (%) </a:t>
          </a:r>
        </a:p>
      </cdr:txBody>
    </cdr:sp>
  </cdr:relSizeAnchor>
  <cdr:relSizeAnchor xmlns:cdr="http://schemas.openxmlformats.org/drawingml/2006/chartDrawing">
    <cdr:from>
      <cdr:x>0.00307</cdr:x>
      <cdr:y>0</cdr:y>
    </cdr:from>
    <cdr:to>
      <cdr:x>0.99387</cdr:x>
      <cdr:y>0.10428</cdr:y>
    </cdr:to>
    <cdr:sp macro="" textlink="">
      <cdr:nvSpPr>
        <cdr:cNvPr id="5" name="Tekstvak 4"/>
        <cdr:cNvSpPr txBox="1"/>
      </cdr:nvSpPr>
      <cdr:spPr>
        <a:xfrm xmlns:a="http://schemas.openxmlformats.org/drawingml/2006/main">
          <a:off x="9525" y="0"/>
          <a:ext cx="3076575" cy="371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nl-NL" sz="1100"/>
        </a:p>
      </cdr:txBody>
    </cdr:sp>
  </cdr:relSizeAnchor>
  <cdr:relSizeAnchor xmlns:cdr="http://schemas.openxmlformats.org/drawingml/2006/chartDrawing">
    <cdr:from>
      <cdr:x>0.01227</cdr:x>
      <cdr:y>0.00802</cdr:y>
    </cdr:from>
    <cdr:to>
      <cdr:x>0.99387</cdr:x>
      <cdr:y>0.17871</cdr:y>
    </cdr:to>
    <cdr:sp macro="" textlink="">
      <cdr:nvSpPr>
        <cdr:cNvPr id="6" name="Tekstvak 5"/>
        <cdr:cNvSpPr txBox="1"/>
      </cdr:nvSpPr>
      <cdr:spPr>
        <a:xfrm xmlns:a="http://schemas.openxmlformats.org/drawingml/2006/main">
          <a:off x="33308" y="20091"/>
          <a:ext cx="2664676" cy="4275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b="1">
              <a:latin typeface="Times New Roman" pitchFamily="18" charset="0"/>
              <a:cs typeface="Times New Roman" pitchFamily="18" charset="0"/>
            </a:rPr>
            <a:t>Figure 12: Current Account</a:t>
          </a:r>
          <a:r>
            <a:rPr lang="nl-NL" sz="1000" b="1" baseline="0">
              <a:latin typeface="Times New Roman" pitchFamily="18" charset="0"/>
              <a:cs typeface="Times New Roman" pitchFamily="18" charset="0"/>
            </a:rPr>
            <a:t> (% of GDP) Spain and Germany 1999-2008</a:t>
          </a:r>
          <a:endParaRPr lang="nl-NL" sz="1000" b="1">
            <a:latin typeface="Times New Roman" pitchFamily="18" charset="0"/>
            <a:cs typeface="Times New Roman" pitchFamily="18"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0.01818</cdr:x>
      <cdr:y>0.04663</cdr:y>
    </cdr:from>
    <cdr:to>
      <cdr:x>0.99394</cdr:x>
      <cdr:y>0.22021</cdr:y>
    </cdr:to>
    <cdr:sp macro="" textlink="">
      <cdr:nvSpPr>
        <cdr:cNvPr id="2" name="Tekstvak 1"/>
        <cdr:cNvSpPr txBox="1"/>
      </cdr:nvSpPr>
      <cdr:spPr>
        <a:xfrm xmlns:a="http://schemas.openxmlformats.org/drawingml/2006/main">
          <a:off x="57150" y="171450"/>
          <a:ext cx="3067049" cy="638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nl-NL" sz="1100"/>
        </a:p>
      </cdr:txBody>
    </cdr:sp>
  </cdr:relSizeAnchor>
  <cdr:relSizeAnchor xmlns:cdr="http://schemas.openxmlformats.org/drawingml/2006/chartDrawing">
    <cdr:from>
      <cdr:x>0.03333</cdr:x>
      <cdr:y>0.03368</cdr:y>
    </cdr:from>
    <cdr:to>
      <cdr:x>0.98788</cdr:x>
      <cdr:y>0.24695</cdr:y>
    </cdr:to>
    <cdr:sp macro="" textlink="">
      <cdr:nvSpPr>
        <cdr:cNvPr id="3" name="Tekstvak 2"/>
        <cdr:cNvSpPr txBox="1"/>
      </cdr:nvSpPr>
      <cdr:spPr>
        <a:xfrm xmlns:a="http://schemas.openxmlformats.org/drawingml/2006/main">
          <a:off x="98415" y="105223"/>
          <a:ext cx="2818548" cy="6663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b="1">
              <a:latin typeface="Times New Roman" pitchFamily="18" charset="0"/>
              <a:cs typeface="Times New Roman" pitchFamily="18" charset="0"/>
            </a:rPr>
            <a:t>Figure 11: Real Effective Exchange Rate (2005=100)</a:t>
          </a:r>
          <a:r>
            <a:rPr lang="nl-NL" sz="1000" b="1" baseline="0">
              <a:latin typeface="Times New Roman" pitchFamily="18" charset="0"/>
              <a:cs typeface="Times New Roman" pitchFamily="18" charset="0"/>
            </a:rPr>
            <a:t> Spain and Germany 1999-2008</a:t>
          </a:r>
          <a:endParaRPr lang="nl-NL" sz="1000" b="1">
            <a:latin typeface="Times New Roman" pitchFamily="18" charset="0"/>
            <a:cs typeface="Times New Roman" pitchFamily="18" charset="0"/>
          </a:endParaRPr>
        </a:p>
      </cdr:txBody>
    </cdr:sp>
  </cdr:relSizeAnchor>
  <cdr:relSizeAnchor xmlns:cdr="http://schemas.openxmlformats.org/drawingml/2006/chartDrawing">
    <cdr:from>
      <cdr:x>0.0303</cdr:x>
      <cdr:y>0.16626</cdr:y>
    </cdr:from>
    <cdr:to>
      <cdr:x>0.39091</cdr:x>
      <cdr:y>0.23103</cdr:y>
    </cdr:to>
    <cdr:sp macro="" textlink="">
      <cdr:nvSpPr>
        <cdr:cNvPr id="4" name="Tekstvak 3"/>
        <cdr:cNvSpPr txBox="1"/>
      </cdr:nvSpPr>
      <cdr:spPr>
        <a:xfrm xmlns:a="http://schemas.openxmlformats.org/drawingml/2006/main">
          <a:off x="89468" y="519426"/>
          <a:ext cx="1064792" cy="2023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index number</a:t>
          </a:r>
        </a:p>
      </cdr:txBody>
    </cdr:sp>
  </cdr:relSizeAnchor>
  <cdr:relSizeAnchor xmlns:cdr="http://schemas.openxmlformats.org/drawingml/2006/chartDrawing">
    <cdr:from>
      <cdr:x>0.81515</cdr:x>
      <cdr:y>0.73575</cdr:y>
    </cdr:from>
    <cdr:to>
      <cdr:x>0.97576</cdr:x>
      <cdr:y>0.82812</cdr:y>
    </cdr:to>
    <cdr:sp macro="" textlink="">
      <cdr:nvSpPr>
        <cdr:cNvPr id="5" name="Tekstvak 4"/>
        <cdr:cNvSpPr txBox="1"/>
      </cdr:nvSpPr>
      <cdr:spPr>
        <a:xfrm xmlns:a="http://schemas.openxmlformats.org/drawingml/2006/main">
          <a:off x="2406934" y="1794052"/>
          <a:ext cx="474241" cy="2252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year</a:t>
          </a:r>
        </a:p>
      </cdr:txBody>
    </cdr:sp>
  </cdr:relSizeAnchor>
  <cdr:relSizeAnchor xmlns:cdr="http://schemas.openxmlformats.org/drawingml/2006/chartDrawing">
    <cdr:from>
      <cdr:x>0.0697</cdr:x>
      <cdr:y>0.89637</cdr:y>
    </cdr:from>
    <cdr:to>
      <cdr:x>0.64242</cdr:x>
      <cdr:y>0.97668</cdr:y>
    </cdr:to>
    <cdr:sp macro="" textlink="">
      <cdr:nvSpPr>
        <cdr:cNvPr id="6" name="Tekstvak 5"/>
        <cdr:cNvSpPr txBox="1"/>
      </cdr:nvSpPr>
      <cdr:spPr>
        <a:xfrm xmlns:a="http://schemas.openxmlformats.org/drawingml/2006/main">
          <a:off x="219075" y="3295650"/>
          <a:ext cx="1800225"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1000" i="1">
              <a:latin typeface="Times New Roman" pitchFamily="18" charset="0"/>
              <a:cs typeface="Times New Roman" pitchFamily="18" charset="0"/>
            </a:rPr>
            <a:t>source: World Bank</a:t>
          </a:r>
        </a:p>
      </cdr:txBody>
    </cdr:sp>
  </cdr:relSizeAnchor>
</c:userShape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Wor12</b:Tag>
    <b:SourceType>InternetSite</b:SourceType>
    <b:Guid>{E7338C84-2381-4548-B579-A62401806E3D}</b:Guid>
    <b:Author>
      <b:Author>
        <b:Corporate>World Bank</b:Corporate>
      </b:Author>
    </b:Author>
    <b:Title>World Bank indicators</b:Title>
    <b:YearAccessed>2012</b:YearAccessed>
    <b:MonthAccessed>June</b:MonthAccessed>
    <b:DayAccessed>27</b:DayAccessed>
    <b:URL>http://data.worldbank.org/indicator</b:URL>
    <b:Year>2010</b:Year>
    <b:RefOrder>22</b:RefOrder>
  </b:Source>
  <b:Source>
    <b:Tag>Kar11</b:Tag>
    <b:SourceType>JournalArticle</b:SourceType>
    <b:Guid>{62357FC3-45A9-49EC-87C9-3792734540C8}</b:Guid>
    <b:Author>
      <b:Author>
        <b:NameList>
          <b:Person>
            <b:Last>Sauernheimer</b:Last>
            <b:First>Karlhans</b:First>
          </b:Person>
        </b:NameList>
      </b:Author>
    </b:Author>
    <b:Title>Greece: Bail-out Packages, Current Account and Foreign Debt</b:Title>
    <b:Year>2011</b:Year>
    <b:JournalName>CESifo Forum</b:JournalName>
    <b:Pages>37-43</b:Pages>
    <b:RefOrder>23</b:RefOrder>
  </b:Source>
  <b:Source>
    <b:Tag>Ind12</b:Tag>
    <b:SourceType>InternetSite</b:SourceType>
    <b:Guid>{C6800676-8CC5-4CDD-8031-F9D8AD817E74}</b:Guid>
    <b:Author>
      <b:Author>
        <b:Corporate>Indexmundi</b:Corporate>
      </b:Author>
    </b:Author>
    <b:Title>Indexmundi Indicators Compare Countries</b:Title>
    <b:Year>2012</b:Year>
    <b:YearAccessed>2012</b:YearAccessed>
    <b:MonthAccessed>June</b:MonthAccessed>
    <b:DayAccessed>27</b:DayAccessed>
    <b:URL>http://www.indexmundi.com/facts/indicators/NY.GDP.MKTP.KD.ZG/compare?country=gr#country=gr:pt:es</b:URL>
    <b:RefOrder>1</b:RefOrder>
  </b:Source>
  <b:Source>
    <b:Tag>Eur11</b:Tag>
    <b:SourceType>Report</b:SourceType>
    <b:Guid>{22806D39-8D22-4000-B974-2E0E61571023}</b:Guid>
    <b:Author>
      <b:Author>
        <b:Corporate>European Commision</b:Corporate>
      </b:Author>
    </b:Author>
    <b:Title>EU Economic Governance: a major step forward</b:Title>
    <b:Year>2011</b:Year>
    <b:City>Brussels</b:City>
    <b:RefOrder>3</b:RefOrder>
  </b:Source>
  <b:Source>
    <b:Tag>Gra11</b:Tag>
    <b:SourceType>JournalArticle</b:SourceType>
    <b:Guid>{8BABF1DF-033D-4185-8ADD-73DD9DD7F3C2}</b:Guid>
    <b:Author>
      <b:Author>
        <b:NameList>
          <b:Person>
            <b:Last>Grauwe</b:Last>
            <b:First>Paul</b:First>
            <b:Middle>de</b:Middle>
          </b:Person>
        </b:NameList>
      </b:Author>
    </b:Author>
    <b:Title>The Governance of a Fragile Eurozone</b:Title>
    <b:Year>2011</b:Year>
    <b:JournalName>CEPS</b:JournalName>
    <b:Pages>1-22</b:Pages>
    <b:RefOrder>5</b:RefOrder>
  </b:Source>
  <b:Source>
    <b:Tag>Eur111</b:Tag>
    <b:SourceType>InternetSite</b:SourceType>
    <b:Guid>{FEED35B1-FBA1-4CCB-8347-2648101CD849}</b:Guid>
    <b:Author>
      <b:Author>
        <b:Corporate>European Commission</b:Corporate>
      </b:Author>
    </b:Author>
    <b:Title>Eurostat Government Finance Statistics</b:Title>
    <b:Year>2011</b:Year>
    <b:YearAccessed>2012</b:YearAccessed>
    <b:MonthAccessed>June</b:MonthAccessed>
    <b:DayAccessed>27</b:DayAccessed>
    <b:URL>http://epp.eurostat.ec.europa.eu/statistics_explained/index.php/Government_finance_statistics#Database</b:URL>
    <b:RefOrder>4</b:RefOrder>
  </b:Source>
  <b:Source>
    <b:Tag>Eur121</b:Tag>
    <b:SourceType>InternetSite</b:SourceType>
    <b:Guid>{6B0730C7-1E12-41C5-A67A-597B4311A813}</b:Guid>
    <b:Author>
      <b:Author>
        <b:Corporate>European Central Bank</b:Corporate>
      </b:Author>
    </b:Author>
    <b:Title>Long-term interest rate statistics for EU member states</b:Title>
    <b:Year>2012</b:Year>
    <b:YearAccessed>2012</b:YearAccessed>
    <b:MonthAccessed>June</b:MonthAccessed>
    <b:DayAccessed>28</b:DayAccessed>
    <b:URL>http://www.ecb.int/stats/money/long/html/index.en.html</b:URL>
    <b:RefOrder>24</b:RefOrder>
  </b:Source>
  <b:Source>
    <b:Tag>EFS10</b:Tag>
    <b:SourceType>InternetSite</b:SourceType>
    <b:Guid>{82F7BB9E-83AB-4980-8B79-369B070EE66A}</b:Guid>
    <b:Author>
      <b:Author>
        <b:Corporate>EFSF</b:Corporate>
      </b:Author>
    </b:Author>
    <b:Title>About EFSF</b:Title>
    <b:Year>2010</b:Year>
    <b:Month>May</b:Month>
    <b:Day>9</b:Day>
    <b:YearAccessed>2012</b:YearAccessed>
    <b:MonthAccessed>June</b:MonthAccessed>
    <b:DayAccessed>29</b:DayAccessed>
    <b:URL>http://www.efsf.europa.eu/about/index.htm</b:URL>
    <b:RefOrder>2</b:RefOrder>
  </b:Source>
  <b:Source>
    <b:Tag>Eur122</b:Tag>
    <b:SourceType>InternetSite</b:SourceType>
    <b:Guid>{07347F22-C3AF-43A3-A2E8-48EE31CFB159}</b:Guid>
    <b:Author>
      <b:Author>
        <b:Corporate>European Commission</b:Corporate>
      </b:Author>
    </b:Author>
    <b:Title>Eurostat Long term interest rates</b:Title>
    <b:Year>2012</b:Year>
    <b:YearAccessed>2012</b:YearAccessed>
    <b:MonthAccessed>June</b:MonthAccessed>
    <b:DayAccessed>30</b:DayAccessed>
    <b:URL>http://epp.eurostat.ec.europa.eu/tgm/table.do?tab=table&amp;init=1&amp;plugin=1&amp;language=en&amp;pcode=tec00036</b:URL>
    <b:RefOrder>25</b:RefOrder>
  </b:Source>
  <b:Source>
    <b:Tag>Kru12</b:Tag>
    <b:SourceType>ArticleInAPeriodical</b:SourceType>
    <b:Guid>{50E3E002-2836-461E-B37E-BCC879BBCD99}</b:Guid>
    <b:Author>
      <b:Author>
        <b:NameList>
          <b:Person>
            <b:Last>Krugman</b:Last>
            <b:First>Paul</b:First>
          </b:Person>
        </b:NameList>
      </b:Author>
    </b:Author>
    <b:Title>Insane in Spain</b:Title>
    <b:Year>2012</b:Year>
    <b:Month>April</b:Month>
    <b:Day>15</b:Day>
    <b:PeriodicalTitle>The New York Times</b:PeriodicalTitle>
    <b:RefOrder>26</b:RefOrder>
  </b:Source>
  <b:Source>
    <b:Tag>Nea12</b:Tag>
    <b:SourceType>ConferenceProceedings</b:SourceType>
    <b:Guid>{AB349376-CB82-4D40-96D9-E86F397FAA02}</b:Guid>
    <b:Author>
      <b:Author>
        <b:NameList>
          <b:Person>
            <b:Last>Neal</b:Last>
            <b:First>Larry</b:First>
          </b:Person>
          <b:Person>
            <b:Last>Garcia-Iglesias</b:Last>
            <b:First>Concepcion</b:First>
          </b:Person>
        </b:NameList>
      </b:Author>
    </b:Author>
    <b:Title>The economy of Spain in the eurozone before and after the crisis of 2008</b:Title>
    <b:Year>2012</b:Year>
    <b:Pages>1-28</b:Pages>
    <b:JournalName>MPRA</b:JournalName>
    <b:ConferenceName>The debt crisis of Europe's peripheral economies</b:ConferenceName>
    <b:City>Munich</b:City>
    <b:Publisher>MPRA</b:Publisher>
    <b:RefOrder>16</b:RefOrder>
  </b:Source>
  <b:Source>
    <b:Tag>Pau12</b:Tag>
    <b:SourceType>ArticleInAPeriodical</b:SourceType>
    <b:Guid>{3EF933FE-ACB0-4277-9198-6EFB6C8D0730}</b:Guid>
    <b:Author>
      <b:Author>
        <b:NameList>
          <b:Person>
            <b:Last>Krugman</b:Last>
            <b:First>Paul</b:First>
          </b:Person>
        </b:NameList>
      </b:Author>
    </b:Author>
    <b:Title>Europe's Economic Suicide</b:Title>
    <b:PeriodicalTitle>The New York Times</b:PeriodicalTitle>
    <b:Year>2012</b:Year>
    <b:Month>April</b:Month>
    <b:Day>15</b:Day>
    <b:RefOrder>6</b:RefOrder>
  </b:Source>
  <b:Source>
    <b:Tag>Bal</b:Tag>
    <b:SourceType>JournalArticle</b:SourceType>
    <b:Guid>{45A58BF6-DB65-44C8-91FC-1B524AFD1121}</b:Guid>
    <b:Author>
      <b:Author>
        <b:NameList>
          <b:Person>
            <b:Last>Baldacci</b:Last>
            <b:First>Emanuele</b:First>
          </b:Person>
          <b:Person>
            <b:Last>Kumar</b:Last>
            <b:First>Manmohan</b:First>
          </b:Person>
        </b:NameList>
      </b:Author>
    </b:Author>
    <b:Title>Fiscal Defictis, Public Debt and Sovereign Bond Yields</b:Title>
    <b:JournalName>IMF</b:JournalName>
    <b:Year>2010</b:Year>
    <b:Pages>1-28</b:Pages>
    <b:RefOrder>7</b:RefOrder>
  </b:Source>
  <b:Source>
    <b:Tag>Cor08</b:Tag>
    <b:SourceType>JournalArticle</b:SourceType>
    <b:Guid>{429C5235-1F91-43A2-B670-21D3BB572CC6}</b:Guid>
    <b:LCID>0</b:LCID>
    <b:Author>
      <b:Author>
        <b:NameList>
          <b:Person>
            <b:Last>Cortes-Jimenez</b:Last>
            <b:First>Isabel</b:First>
          </b:Person>
        </b:NameList>
      </b:Author>
    </b:Author>
    <b:Title>Which Type of Tourism Matters to the Regional Economic Growth? The Cases of Spain and Italy</b:Title>
    <b:Pages>127-139</b:Pages>
    <b:Year>2008</b:Year>
    <b:JournalName>International Journal of Tourism Research</b:JournalName>
    <b:RefOrder>8</b:RefOrder>
  </b:Source>
  <b:Source>
    <b:Tag>Mar06</b:Tag>
    <b:SourceType>JournalArticle</b:SourceType>
    <b:Guid>{EADE9D59-D030-42C7-A8BD-5F3136E7ED2C}</b:Guid>
    <b:LCID>0</b:LCID>
    <b:Author>
      <b:Author>
        <b:NameList>
          <b:Person>
            <b:Last>Martin</b:Last>
            <b:First>Miguel-Angel</b:First>
          </b:Person>
          <b:Person>
            <b:Last>Herranz</b:Last>
            <b:First>Agustin</b:First>
          </b:Person>
        </b:NameList>
      </b:Author>
    </b:Author>
    <b:Title>Regional Exports and Economic Growth: The Case of Spanish Regions</b:Title>
    <b:JournalName>International Advances in Economic Research</b:JournalName>
    <b:Year>2006</b:Year>
    <b:Pages>81-89</b:Pages>
    <b:RefOrder>9</b:RefOrder>
  </b:Source>
  <b:Source>
    <b:Tag>Asp10</b:Tag>
    <b:SourceType>JournalArticle</b:SourceType>
    <b:Guid>{A52A1E18-DC57-43B4-B2E1-C8F0E685C374}</b:Guid>
    <b:LCID>0</b:LCID>
    <b:Author>
      <b:Author>
        <b:NameList>
          <b:Person>
            <b:Last>Aspachs-Bracons</b:Last>
            <b:First>Oriol</b:First>
          </b:Person>
          <b:Person>
            <b:Last>Rabanal</b:Last>
            <b:First>Pau</b:First>
          </b:Person>
        </b:NameList>
      </b:Author>
    </b:Author>
    <b:Title>The drivers of housing cycles in Spain</b:Title>
    <b:JournalName>SERIEs</b:JournalName>
    <b:Year>2010</b:Year>
    <b:Pages>101-130</b:Pages>
    <b:RefOrder>10</b:RefOrder>
  </b:Source>
  <b:Source>
    <b:Tag>Bil04</b:Tag>
    <b:SourceType>JournalArticle</b:SourceType>
    <b:Guid>{B8FB7813-2DAA-4E9E-A79C-6B3153D17A9F}</b:Guid>
    <b:LCID>0</b:LCID>
    <b:Author>
      <b:Author>
        <b:NameList>
          <b:Person>
            <b:Last>Bils</b:Last>
            <b:First>Mark</b:First>
          </b:Person>
          <b:Person>
            <b:Last>Klenow</b:Last>
            <b:First>Peter</b:First>
          </b:Person>
        </b:NameList>
      </b:Author>
    </b:Author>
    <b:Title>Some Evidence on the Importance of Sticky Prices</b:Title>
    <b:JournalName>Journal of Political Economy</b:JournalName>
    <b:Year>2004</b:Year>
    <b:Pages>947-985</b:Pages>
    <b:RefOrder>11</b:RefOrder>
  </b:Source>
  <b:Source>
    <b:Tag>Car06</b:Tag>
    <b:SourceType>JournalArticle</b:SourceType>
    <b:Guid>{30052A97-3820-40CF-B7B7-1250432D5EF3}</b:Guid>
    <b:LCID>0</b:LCID>
    <b:Author>
      <b:Author>
        <b:NameList>
          <b:Person>
            <b:Last>Carroll</b:Last>
            <b:First>Christopher</b:First>
          </b:Person>
          <b:Person>
            <b:Last>Otsuka</b:Last>
            <b:First>Misuzu</b:First>
          </b:Person>
          <b:Person>
            <b:Last>Slacalek</b:Last>
            <b:First>Jirka</b:First>
          </b:Person>
        </b:NameList>
      </b:Author>
    </b:Author>
    <b:Title>HOW LARGE IS THE HOUSING WEALTH EFFECT? A NEW APPROACH</b:Title>
    <b:JournalName>the NATIONAL BUREAU of ECONOMIC RESEARCH</b:JournalName>
    <b:Year>2006</b:Year>
    <b:Pages>1-19</b:Pages>
    <b:RefOrder>14</b:RefOrder>
  </b:Source>
  <b:Source>
    <b:Tag>Cal09</b:Tag>
    <b:SourceType>JournalArticle</b:SourceType>
    <b:Guid>{8EFE5630-1454-4808-8ABE-066FF0353D7E}</b:Guid>
    <b:LCID>0</b:LCID>
    <b:Author>
      <b:Author>
        <b:NameList>
          <b:Person>
            <b:Last>Calomiris</b:Last>
            <b:First>Charles</b:First>
          </b:Person>
          <b:Person>
            <b:Last>Longhofer</b:Last>
            <b:First>Stanley</b:First>
          </b:Person>
          <b:Person>
            <b:Last>Miles</b:Last>
            <b:First>William</b:First>
          </b:Person>
        </b:NameList>
      </b:Author>
    </b:Author>
    <b:Title>THE (MYTHICAL?) HOUSING WEALTH EFFECT</b:Title>
    <b:JournalName>the NATIONAL BUREAU of ECONOMIC RESEARCH</b:JournalName>
    <b:Year>2009</b:Year>
    <b:Pages>1-29</b:Pages>
    <b:RefOrder>15</b:RefOrder>
  </b:Source>
  <b:Source>
    <b:Tag>Neu04</b:Tag>
    <b:SourceType>JournalArticle</b:SourceType>
    <b:Guid>{426385A8-9506-4972-A84F-D99FDDA0C954}</b:Guid>
    <b:LCID>0</b:LCID>
    <b:Author>
      <b:Author>
        <b:NameList>
          <b:Person>
            <b:Last>Neuteboom</b:Last>
            <b:First>Peter</b:First>
          </b:Person>
        </b:NameList>
      </b:Author>
    </b:Author>
    <b:Title>A comparative analysis of the net cost of a mortgage for homeowners in Europe</b:Title>
    <b:JournalName>Journal of Housing and the Built Environment</b:JournalName>
    <b:Year>2004</b:Year>
    <b:Pages>169-186</b:Pages>
    <b:RefOrder>12</b:RefOrder>
  </b:Source>
  <b:Source>
    <b:Tag>Hoe09</b:Tag>
    <b:SourceType>JournalArticle</b:SourceType>
    <b:Guid>{96EBA7E0-5F32-461C-A170-7A8EE21279CB}</b:Guid>
    <b:LCID>0</b:LCID>
    <b:Author>
      <b:Author>
        <b:NameList>
          <b:Person>
            <b:Last>Hoekstra</b:Last>
            <b:First>Joris</b:First>
          </b:Person>
          <b:Person>
            <b:Last>Vakili-Zad</b:Last>
            <b:First>Cyrus</b:First>
          </b:Person>
        </b:NameList>
      </b:Author>
    </b:Author>
    <b:Title>High Vacancy Rates and Rising House Prices: The Spanish Paradox</b:Title>
    <b:JournalName>Tijdschrift voor economische en sociale geografie</b:JournalName>
    <b:Year>2009</b:Year>
    <b:Pages>55-71</b:Pages>
    <b:RefOrder>13</b:RefOrder>
  </b:Source>
  <b:Source>
    <b:Tag>Est09</b:Tag>
    <b:SourceType>JournalArticle</b:SourceType>
    <b:Guid>{4D736C37-6826-4952-B99B-50D03346F8D7}</b:Guid>
    <b:LCID>0</b:LCID>
    <b:Author>
      <b:Author>
        <b:NameList>
          <b:Person>
            <b:Last>Estrada</b:Last>
            <b:First>A</b:First>
          </b:Person>
          <b:Person>
            <b:Last>Jimeno</b:Last>
            <b:First>J.F.</b:First>
          </b:Person>
          <b:Person>
            <b:Last>Malo de Molina</b:Last>
            <b:First>J.L.</b:First>
          </b:Person>
        </b:NameList>
      </b:Author>
    </b:Author>
    <b:Title>THE SPANISH ECONOMY IN THE EMU: THE FIRST TEN YEARS</b:Title>
    <b:JournalName>Banco de Espana</b:JournalName>
    <b:Year>2009</b:Year>
    <b:Pages>9-51</b:Pages>
    <b:RefOrder>17</b:RefOrder>
  </b:Source>
  <b:Source>
    <b:Tag>Uxo11</b:Tag>
    <b:SourceType>JournalArticle</b:SourceType>
    <b:Guid>{25E2C282-293D-4267-99F9-42CEE1BBA793}</b:Guid>
    <b:LCID>0</b:LCID>
    <b:Author>
      <b:Author>
        <b:NameList>
          <b:Person>
            <b:Last>Uxo</b:Last>
            <b:First>Jorge</b:First>
          </b:Person>
          <b:Person>
            <b:Last>Paul</b:Last>
            <b:First>Jesus</b:First>
          </b:Person>
          <b:Person>
            <b:Last>Febrero</b:Last>
            <b:First>Eladio</b:First>
          </b:Person>
        </b:NameList>
      </b:Author>
    </b:Author>
    <b:Title>Current Account Imbalances in the Monetary Union and the Great Recession: Causes and Policies</b:Title>
    <b:JournalName>Panoeconomicus</b:JournalName>
    <b:Year>2011</b:Year>
    <b:Pages>571-592</b:Pages>
    <b:RefOrder>18</b:RefOrder>
  </b:Source>
  <b:Source>
    <b:Tag>Sin00</b:Tag>
    <b:SourceType>JournalArticle</b:SourceType>
    <b:Guid>{E1BC4AA7-F156-433E-934B-54280D63456E}</b:Guid>
    <b:LCID>0</b:LCID>
    <b:Author>
      <b:Author>
        <b:NameList>
          <b:Person>
            <b:Last>Sinn</b:Last>
            <b:First>Hans-Werner</b:First>
          </b:Person>
        </b:NameList>
      </b:Author>
    </b:Author>
    <b:Title>The Euro, Interest Rates and European Economic Growth</b:Title>
    <b:JournalName>CESifo</b:JournalName>
    <b:Year>2000</b:Year>
    <b:Pages>30-31</b:Pages>
    <b:RefOrder>19</b:RefOrder>
  </b:Source>
  <b:Source>
    <b:Tag>Eur12</b:Tag>
    <b:SourceType>InternetSite</b:SourceType>
    <b:Guid>{894EE2D8-831C-401E-BAFF-4A5D6E7C388C}</b:Guid>
    <b:LCID>0</b:LCID>
    <b:Author>
      <b:Author>
        <b:Corporate>Eurostat</b:Corporate>
      </b:Author>
    </b:Author>
    <b:Title>GDP and main components-volumes</b:Title>
    <b:Year>2011</b:Year>
    <b:InternetSiteTitle>Statistical website of the European Commission</b:InternetSiteTitle>
    <b:YearAccessed>2012</b:YearAccessed>
    <b:MonthAccessed>7</b:MonthAccessed>
    <b:DayAccessed>27</b:DayAccessed>
    <b:URL>http://appsso.eurostat.ec.europa.eu/nui/show.do</b:URL>
    <b:RefOrder>20</b:RefOrder>
  </b:Source>
  <b:Source>
    <b:Tag>deG11</b:Tag>
    <b:SourceType>JournalArticle</b:SourceType>
    <b:Guid>{3F397E07-9028-4339-8D75-43D4B3A0EB36}</b:Guid>
    <b:LCID>0</b:LCID>
    <b:Author>
      <b:Author>
        <b:NameList>
          <b:Person>
            <b:Last>de Grauwe</b:Last>
            <b:First>Paul</b:First>
          </b:Person>
        </b:NameList>
      </b:Author>
    </b:Author>
    <b:Title>A less punishing, more forgiving approach to the debt crisis in the eurozone</b:Title>
    <b:Year>2011</b:Year>
    <b:JournalName>CEPS</b:JournalName>
    <b:Pages>1-5</b:Pages>
    <b:RefOrder>21</b:RefOrder>
  </b:Source>
</b:Sources>
</file>

<file path=customXml/itemProps1.xml><?xml version="1.0" encoding="utf-8"?>
<ds:datastoreItem xmlns:ds="http://schemas.openxmlformats.org/officeDocument/2006/customXml" ds:itemID="{914BC050-E318-4038-B6DD-08353CFB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8972</Words>
  <Characters>49347</Characters>
  <Application>Microsoft Office Word</Application>
  <DocSecurity>0</DocSecurity>
  <Lines>411</Lines>
  <Paragraphs>116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 van Heteren</dc:creator>
  <cp:lastModifiedBy>SP van Heteren</cp:lastModifiedBy>
  <cp:revision>2</cp:revision>
  <dcterms:created xsi:type="dcterms:W3CDTF">2012-08-24T10:28:00Z</dcterms:created>
  <dcterms:modified xsi:type="dcterms:W3CDTF">2012-08-24T10:28:00Z</dcterms:modified>
</cp:coreProperties>
</file>