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1890A43" w14:textId="77777777" w:rsidR="00CB7F5B" w:rsidRDefault="00CB7F5B" w:rsidP="002D76C8">
      <w:bookmarkStart w:id="0" w:name="_GoBack"/>
      <w:bookmarkEnd w:id="0"/>
    </w:p>
    <w:p w14:paraId="415B7B04" w14:textId="77777777" w:rsidR="00B12472" w:rsidRDefault="00B12472" w:rsidP="002D76C8"/>
    <w:p w14:paraId="6D8B17A6" w14:textId="77777777" w:rsidR="00B12472" w:rsidRDefault="00B12472" w:rsidP="002D76C8"/>
    <w:p w14:paraId="0C173B49" w14:textId="77777777" w:rsidR="00B12472" w:rsidRDefault="00B12472" w:rsidP="002D76C8"/>
    <w:p w14:paraId="724A1C49" w14:textId="77777777" w:rsidR="00B12472" w:rsidRDefault="00B12472" w:rsidP="002D76C8"/>
    <w:p w14:paraId="202C0246" w14:textId="77777777" w:rsidR="00B12472" w:rsidRDefault="00B12472" w:rsidP="002D76C8"/>
    <w:p w14:paraId="536004AE" w14:textId="77777777" w:rsidR="00B12472" w:rsidRDefault="00B12472" w:rsidP="002D76C8"/>
    <w:p w14:paraId="25A06B78" w14:textId="77777777" w:rsidR="00B12472" w:rsidRDefault="00B12472" w:rsidP="002D76C8"/>
    <w:p w14:paraId="16478F6C" w14:textId="77777777" w:rsidR="00B12472" w:rsidRDefault="00B12472" w:rsidP="002D76C8"/>
    <w:p w14:paraId="5255D7E2" w14:textId="77777777" w:rsidR="00B12472" w:rsidRDefault="00B12472" w:rsidP="002D76C8"/>
    <w:p w14:paraId="4247D50A" w14:textId="77777777" w:rsidR="00B12472" w:rsidRDefault="00B12472" w:rsidP="002D76C8"/>
    <w:p w14:paraId="58C4B59A" w14:textId="77777777" w:rsidR="00B12472" w:rsidRDefault="00B12472" w:rsidP="002D76C8"/>
    <w:p w14:paraId="0D77AE0A" w14:textId="77777777" w:rsidR="00B12472" w:rsidRDefault="00B12472" w:rsidP="002D76C8"/>
    <w:p w14:paraId="435C67FC" w14:textId="77777777" w:rsidR="00B12472" w:rsidRDefault="00B12472" w:rsidP="002D76C8"/>
    <w:p w14:paraId="4B0E0AC9" w14:textId="77777777" w:rsidR="00B12472" w:rsidRDefault="00B12472" w:rsidP="002D76C8"/>
    <w:p w14:paraId="74C08B7F" w14:textId="77777777" w:rsidR="00B12472" w:rsidRDefault="00B12472" w:rsidP="002D76C8"/>
    <w:p w14:paraId="19B4761C" w14:textId="77777777" w:rsidR="00B12472" w:rsidRDefault="00B12472" w:rsidP="002D76C8"/>
    <w:p w14:paraId="3B23C419" w14:textId="77777777" w:rsidR="00B12472" w:rsidRDefault="00B12472" w:rsidP="002D76C8"/>
    <w:p w14:paraId="6626C833" w14:textId="77777777" w:rsidR="00B12472" w:rsidRDefault="00B12472" w:rsidP="002D76C8"/>
    <w:p w14:paraId="78DB338D" w14:textId="77777777" w:rsidR="00B12472" w:rsidRDefault="00B12472" w:rsidP="002D76C8"/>
    <w:p w14:paraId="0C559F10" w14:textId="77777777" w:rsidR="00B12472" w:rsidRDefault="00B12472" w:rsidP="002D76C8"/>
    <w:p w14:paraId="4BC3DF96" w14:textId="77777777" w:rsidR="00B12472" w:rsidRDefault="00B12472" w:rsidP="002D76C8"/>
    <w:p w14:paraId="34654EDE" w14:textId="77777777" w:rsidR="00B12472" w:rsidRDefault="00B12472" w:rsidP="002D76C8"/>
    <w:p w14:paraId="4211381A" w14:textId="4C0AAA2E" w:rsidR="0092726F" w:rsidRDefault="0092726F" w:rsidP="002D76C8">
      <w:pPr>
        <w:jc w:val="center"/>
        <w:rPr>
          <w:rFonts w:ascii="Times New Roman" w:hAnsi="Times New Roman" w:cs="Times New Roman"/>
          <w:sz w:val="32"/>
          <w:szCs w:val="32"/>
          <w:u w:val="single"/>
        </w:rPr>
      </w:pPr>
      <w:r>
        <w:rPr>
          <w:rFonts w:ascii="Times New Roman" w:hAnsi="Times New Roman" w:cs="Times New Roman"/>
          <w:sz w:val="32"/>
          <w:szCs w:val="32"/>
          <w:u w:val="single"/>
        </w:rPr>
        <w:t>Rethinking Reform:</w:t>
      </w:r>
    </w:p>
    <w:p w14:paraId="2D8F582B" w14:textId="29A2224D" w:rsidR="00B12472" w:rsidRPr="00793A3D" w:rsidRDefault="00B12472" w:rsidP="002D76C8">
      <w:pPr>
        <w:jc w:val="center"/>
        <w:rPr>
          <w:rFonts w:ascii="Times New Roman" w:hAnsi="Times New Roman" w:cs="Times New Roman"/>
          <w:u w:val="single"/>
        </w:rPr>
      </w:pPr>
      <w:r w:rsidRPr="00793A3D">
        <w:rPr>
          <w:rFonts w:ascii="Times New Roman" w:hAnsi="Times New Roman" w:cs="Times New Roman"/>
          <w:sz w:val="32"/>
          <w:szCs w:val="32"/>
          <w:u w:val="single"/>
        </w:rPr>
        <w:t xml:space="preserve"> A Reappraisal of G</w:t>
      </w:r>
      <w:r w:rsidR="000612AB">
        <w:rPr>
          <w:rFonts w:ascii="Times New Roman" w:hAnsi="Times New Roman" w:cs="Times New Roman"/>
          <w:sz w:val="32"/>
          <w:szCs w:val="32"/>
          <w:u w:val="single"/>
        </w:rPr>
        <w:t>erman East African History</w:t>
      </w:r>
    </w:p>
    <w:p w14:paraId="6F3621F7" w14:textId="77777777" w:rsidR="00B12472" w:rsidRDefault="00B12472" w:rsidP="002D76C8">
      <w:pPr>
        <w:jc w:val="center"/>
        <w:rPr>
          <w:rFonts w:ascii="Times New Roman" w:hAnsi="Times New Roman" w:cs="Times New Roman"/>
        </w:rPr>
      </w:pPr>
    </w:p>
    <w:p w14:paraId="0AC1F15A" w14:textId="77777777" w:rsidR="00B12472" w:rsidRDefault="00B12472" w:rsidP="002D76C8">
      <w:pPr>
        <w:jc w:val="center"/>
        <w:rPr>
          <w:rFonts w:ascii="Times New Roman" w:hAnsi="Times New Roman" w:cs="Times New Roman"/>
        </w:rPr>
      </w:pPr>
    </w:p>
    <w:p w14:paraId="4D54BD78" w14:textId="77777777" w:rsidR="00B12472" w:rsidRDefault="00B12472" w:rsidP="002D76C8">
      <w:pPr>
        <w:jc w:val="center"/>
        <w:rPr>
          <w:rFonts w:ascii="Times New Roman" w:hAnsi="Times New Roman" w:cs="Times New Roman"/>
        </w:rPr>
      </w:pPr>
    </w:p>
    <w:p w14:paraId="46F59224" w14:textId="77777777" w:rsidR="00B12472" w:rsidRDefault="00B12472" w:rsidP="002D76C8">
      <w:pPr>
        <w:jc w:val="center"/>
        <w:rPr>
          <w:rFonts w:ascii="Times New Roman" w:hAnsi="Times New Roman" w:cs="Times New Roman"/>
        </w:rPr>
      </w:pPr>
    </w:p>
    <w:p w14:paraId="55F437FB" w14:textId="77777777" w:rsidR="00B12472" w:rsidRDefault="00B12472" w:rsidP="002D76C8">
      <w:pPr>
        <w:jc w:val="center"/>
        <w:rPr>
          <w:rFonts w:ascii="Times New Roman" w:hAnsi="Times New Roman" w:cs="Times New Roman"/>
        </w:rPr>
      </w:pPr>
    </w:p>
    <w:p w14:paraId="15148E46" w14:textId="77777777" w:rsidR="00B12472" w:rsidRDefault="00B12472" w:rsidP="002D76C8">
      <w:pPr>
        <w:jc w:val="center"/>
        <w:rPr>
          <w:rFonts w:ascii="Times New Roman" w:hAnsi="Times New Roman" w:cs="Times New Roman"/>
        </w:rPr>
      </w:pPr>
    </w:p>
    <w:p w14:paraId="50A2D118" w14:textId="77777777" w:rsidR="00B12472" w:rsidRDefault="00B12472" w:rsidP="002D76C8">
      <w:pPr>
        <w:jc w:val="center"/>
        <w:rPr>
          <w:rFonts w:ascii="Times New Roman" w:hAnsi="Times New Roman" w:cs="Times New Roman"/>
        </w:rPr>
      </w:pPr>
    </w:p>
    <w:p w14:paraId="113C725E" w14:textId="77777777" w:rsidR="00B12472" w:rsidRDefault="00B12472" w:rsidP="002D76C8">
      <w:pPr>
        <w:jc w:val="center"/>
        <w:rPr>
          <w:rFonts w:ascii="Times New Roman" w:hAnsi="Times New Roman" w:cs="Times New Roman"/>
        </w:rPr>
      </w:pPr>
    </w:p>
    <w:p w14:paraId="56FC4229" w14:textId="77777777" w:rsidR="00B12472" w:rsidRDefault="00B12472" w:rsidP="002D76C8">
      <w:pPr>
        <w:jc w:val="center"/>
        <w:rPr>
          <w:rFonts w:ascii="Times New Roman" w:hAnsi="Times New Roman" w:cs="Times New Roman"/>
        </w:rPr>
      </w:pPr>
    </w:p>
    <w:p w14:paraId="2682F9B6" w14:textId="77777777" w:rsidR="00B12472" w:rsidRDefault="00B12472" w:rsidP="002D76C8">
      <w:pPr>
        <w:jc w:val="center"/>
        <w:rPr>
          <w:rFonts w:ascii="Times New Roman" w:hAnsi="Times New Roman" w:cs="Times New Roman"/>
        </w:rPr>
      </w:pPr>
    </w:p>
    <w:p w14:paraId="09B2744B" w14:textId="77777777" w:rsidR="00B12472" w:rsidRDefault="00B12472" w:rsidP="002D76C8">
      <w:pPr>
        <w:jc w:val="center"/>
        <w:rPr>
          <w:rFonts w:ascii="Times New Roman" w:hAnsi="Times New Roman" w:cs="Times New Roman"/>
        </w:rPr>
      </w:pPr>
    </w:p>
    <w:p w14:paraId="502F881E" w14:textId="77777777" w:rsidR="0092726F" w:rsidRDefault="0092726F" w:rsidP="0092726F">
      <w:pPr>
        <w:rPr>
          <w:rFonts w:ascii="Times New Roman" w:hAnsi="Times New Roman" w:cs="Times New Roman"/>
        </w:rPr>
      </w:pPr>
    </w:p>
    <w:p w14:paraId="2EFFF3FB" w14:textId="77777777" w:rsidR="00B12472" w:rsidRDefault="00B12472" w:rsidP="002D76C8">
      <w:pPr>
        <w:jc w:val="center"/>
        <w:rPr>
          <w:rFonts w:ascii="Times New Roman" w:hAnsi="Times New Roman" w:cs="Times New Roman"/>
        </w:rPr>
      </w:pPr>
    </w:p>
    <w:p w14:paraId="226FD49D" w14:textId="77777777" w:rsidR="00B12472" w:rsidRDefault="00B12472" w:rsidP="0092726F">
      <w:pPr>
        <w:rPr>
          <w:rFonts w:ascii="Times New Roman" w:hAnsi="Times New Roman" w:cs="Times New Roman"/>
        </w:rPr>
      </w:pPr>
    </w:p>
    <w:p w14:paraId="373C60D4" w14:textId="77777777" w:rsidR="00B12472" w:rsidRDefault="00B12472" w:rsidP="002D76C8">
      <w:pPr>
        <w:jc w:val="center"/>
        <w:rPr>
          <w:rFonts w:ascii="Times New Roman" w:hAnsi="Times New Roman" w:cs="Times New Roman"/>
        </w:rPr>
      </w:pPr>
    </w:p>
    <w:p w14:paraId="225B7E08" w14:textId="77777777" w:rsidR="00B12472" w:rsidRDefault="00B12472" w:rsidP="002D76C8">
      <w:pPr>
        <w:jc w:val="center"/>
        <w:rPr>
          <w:rFonts w:ascii="Times New Roman" w:hAnsi="Times New Roman" w:cs="Times New Roman"/>
        </w:rPr>
      </w:pPr>
    </w:p>
    <w:p w14:paraId="2AFECAA8" w14:textId="77777777" w:rsidR="00B12472" w:rsidRDefault="00B12472" w:rsidP="004A7676">
      <w:pPr>
        <w:rPr>
          <w:rFonts w:ascii="Times New Roman" w:hAnsi="Times New Roman" w:cs="Times New Roman"/>
        </w:rPr>
      </w:pPr>
    </w:p>
    <w:p w14:paraId="0BB14907" w14:textId="77777777" w:rsidR="00B12472" w:rsidRDefault="00B12472" w:rsidP="002D76C8">
      <w:pPr>
        <w:jc w:val="right"/>
        <w:rPr>
          <w:rFonts w:ascii="Times New Roman" w:hAnsi="Times New Roman" w:cs="Times New Roman"/>
        </w:rPr>
      </w:pPr>
      <w:r>
        <w:rPr>
          <w:rFonts w:ascii="Times New Roman" w:hAnsi="Times New Roman" w:cs="Times New Roman"/>
        </w:rPr>
        <w:t>Taylor Baljon</w:t>
      </w:r>
    </w:p>
    <w:p w14:paraId="542411E5" w14:textId="14DF6A5D" w:rsidR="0092726F" w:rsidRDefault="0092726F" w:rsidP="002D76C8">
      <w:pPr>
        <w:jc w:val="right"/>
        <w:rPr>
          <w:rFonts w:ascii="Times New Roman" w:hAnsi="Times New Roman" w:cs="Times New Roman"/>
        </w:rPr>
      </w:pPr>
      <w:r>
        <w:rPr>
          <w:rFonts w:ascii="Times New Roman" w:hAnsi="Times New Roman" w:cs="Times New Roman"/>
        </w:rPr>
        <w:t>ESHCC</w:t>
      </w:r>
    </w:p>
    <w:p w14:paraId="44DF7FFD" w14:textId="77777777" w:rsidR="0092726F" w:rsidRDefault="0092726F" w:rsidP="0092726F">
      <w:pPr>
        <w:jc w:val="right"/>
        <w:rPr>
          <w:rFonts w:ascii="Times New Roman" w:hAnsi="Times New Roman" w:cs="Times New Roman"/>
        </w:rPr>
      </w:pPr>
      <w:r>
        <w:rPr>
          <w:rFonts w:ascii="Times New Roman" w:hAnsi="Times New Roman" w:cs="Times New Roman"/>
        </w:rPr>
        <w:t xml:space="preserve">Erasmus University </w:t>
      </w:r>
    </w:p>
    <w:p w14:paraId="2B4B5BA6" w14:textId="77777777" w:rsidR="00B12472" w:rsidRDefault="00B12472" w:rsidP="002D76C8">
      <w:pPr>
        <w:jc w:val="right"/>
        <w:rPr>
          <w:rFonts w:ascii="Times New Roman" w:hAnsi="Times New Roman" w:cs="Times New Roman"/>
        </w:rPr>
      </w:pPr>
      <w:r>
        <w:rPr>
          <w:rFonts w:ascii="Times New Roman" w:hAnsi="Times New Roman" w:cs="Times New Roman"/>
        </w:rPr>
        <w:t>#360346</w:t>
      </w:r>
    </w:p>
    <w:p w14:paraId="7FB719EE" w14:textId="3BF9053D" w:rsidR="00B12472" w:rsidRDefault="00544F74" w:rsidP="0092726F">
      <w:pPr>
        <w:jc w:val="right"/>
        <w:rPr>
          <w:rFonts w:ascii="Times New Roman" w:hAnsi="Times New Roman" w:cs="Times New Roman"/>
        </w:rPr>
      </w:pPr>
      <w:hyperlink r:id="rId8" w:history="1">
        <w:r w:rsidR="0092726F" w:rsidRPr="005072B4">
          <w:rPr>
            <w:rStyle w:val="Hyperlink"/>
            <w:rFonts w:ascii="Times New Roman" w:hAnsi="Times New Roman" w:cs="Times New Roman"/>
          </w:rPr>
          <w:t>Taylor.Baljon@Gmail.com</w:t>
        </w:r>
      </w:hyperlink>
    </w:p>
    <w:p w14:paraId="360F977C" w14:textId="5A003AC4" w:rsidR="0092726F" w:rsidRDefault="0092726F" w:rsidP="0092726F">
      <w:pPr>
        <w:jc w:val="right"/>
        <w:rPr>
          <w:rFonts w:ascii="Times New Roman" w:hAnsi="Times New Roman" w:cs="Times New Roman"/>
        </w:rPr>
      </w:pPr>
      <w:r>
        <w:rPr>
          <w:rFonts w:ascii="Times New Roman" w:hAnsi="Times New Roman" w:cs="Times New Roman"/>
        </w:rPr>
        <w:t>Gijsbert Oonk</w:t>
      </w:r>
    </w:p>
    <w:p w14:paraId="14BB1D3D" w14:textId="4A85C5D5" w:rsidR="004E22F3" w:rsidRPr="0092726F" w:rsidRDefault="0092726F" w:rsidP="0092726F">
      <w:pPr>
        <w:jc w:val="right"/>
        <w:rPr>
          <w:rFonts w:ascii="Times New Roman" w:hAnsi="Times New Roman" w:cs="Times New Roman"/>
        </w:rPr>
      </w:pPr>
      <w:r>
        <w:rPr>
          <w:rFonts w:ascii="Times New Roman" w:hAnsi="Times New Roman" w:cs="Times New Roman"/>
        </w:rPr>
        <w:t>Karin Willemse</w:t>
      </w:r>
    </w:p>
    <w:p w14:paraId="2E6ABC38" w14:textId="77777777" w:rsidR="00B12472" w:rsidRPr="004A7676" w:rsidRDefault="00B12472" w:rsidP="002D76C8">
      <w:pPr>
        <w:jc w:val="center"/>
        <w:rPr>
          <w:rFonts w:ascii="Times New Roman" w:hAnsi="Times New Roman" w:cs="Times New Roman"/>
          <w:b/>
          <w:sz w:val="28"/>
          <w:szCs w:val="28"/>
        </w:rPr>
      </w:pPr>
      <w:r w:rsidRPr="004A7676">
        <w:rPr>
          <w:rFonts w:ascii="Times New Roman" w:hAnsi="Times New Roman" w:cs="Times New Roman"/>
          <w:b/>
          <w:sz w:val="28"/>
          <w:szCs w:val="28"/>
        </w:rPr>
        <w:lastRenderedPageBreak/>
        <w:t>Table of Contents</w:t>
      </w:r>
    </w:p>
    <w:p w14:paraId="4FC37474" w14:textId="77777777" w:rsidR="00B12472" w:rsidRDefault="00B12472" w:rsidP="002D76C8">
      <w:pPr>
        <w:jc w:val="center"/>
        <w:rPr>
          <w:rFonts w:ascii="Times New Roman" w:hAnsi="Times New Roman" w:cs="Times New Roman"/>
          <w:sz w:val="32"/>
          <w:szCs w:val="32"/>
        </w:rPr>
      </w:pPr>
    </w:p>
    <w:p w14:paraId="2EBD0F36" w14:textId="3E8F2CE5" w:rsidR="00B12472" w:rsidRPr="004A7676" w:rsidRDefault="00B12472" w:rsidP="002D76C8">
      <w:pPr>
        <w:rPr>
          <w:rFonts w:ascii="Times New Roman" w:hAnsi="Times New Roman" w:cs="Times New Roman"/>
        </w:rPr>
      </w:pPr>
      <w:r w:rsidRPr="004A7676">
        <w:rPr>
          <w:rFonts w:ascii="Times New Roman" w:hAnsi="Times New Roman" w:cs="Times New Roman"/>
        </w:rPr>
        <w:t>I. Introduction</w:t>
      </w:r>
      <w:r w:rsidR="00AF1A3B" w:rsidRPr="004A7676">
        <w:rPr>
          <w:rFonts w:ascii="Times New Roman" w:hAnsi="Times New Roman" w:cs="Times New Roman"/>
        </w:rPr>
        <w:t>……………………………………………………</w:t>
      </w:r>
      <w:r w:rsidR="004A7676">
        <w:rPr>
          <w:rFonts w:ascii="Times New Roman" w:hAnsi="Times New Roman" w:cs="Times New Roman"/>
        </w:rPr>
        <w:t>……………………</w:t>
      </w:r>
      <w:r w:rsidR="00AF1A3B" w:rsidRPr="004A7676">
        <w:rPr>
          <w:rFonts w:ascii="Times New Roman" w:hAnsi="Times New Roman" w:cs="Times New Roman"/>
        </w:rPr>
        <w:t>……</w:t>
      </w:r>
      <w:r w:rsidR="008E1906" w:rsidRPr="004A7676">
        <w:rPr>
          <w:rFonts w:ascii="Times New Roman" w:hAnsi="Times New Roman" w:cs="Times New Roman"/>
        </w:rPr>
        <w:t xml:space="preserve">.    </w:t>
      </w:r>
      <w:r w:rsidR="00AF1A3B" w:rsidRPr="004A7676">
        <w:rPr>
          <w:rFonts w:ascii="Times New Roman" w:hAnsi="Times New Roman" w:cs="Times New Roman"/>
        </w:rPr>
        <w:t>3</w:t>
      </w:r>
    </w:p>
    <w:p w14:paraId="25FD5B64" w14:textId="77777777" w:rsidR="00B12472" w:rsidRPr="004A7676" w:rsidRDefault="00B12472" w:rsidP="002D76C8">
      <w:pPr>
        <w:rPr>
          <w:rFonts w:ascii="Times New Roman" w:hAnsi="Times New Roman" w:cs="Times New Roman"/>
        </w:rPr>
      </w:pPr>
    </w:p>
    <w:p w14:paraId="03A7DDD4" w14:textId="5B527233" w:rsidR="00B12472" w:rsidRPr="004A7676" w:rsidRDefault="00B12472" w:rsidP="002D76C8">
      <w:pPr>
        <w:rPr>
          <w:rFonts w:ascii="Times New Roman" w:hAnsi="Times New Roman" w:cs="Times New Roman"/>
        </w:rPr>
      </w:pPr>
      <w:r w:rsidRPr="004A7676">
        <w:rPr>
          <w:rFonts w:ascii="Times New Roman" w:hAnsi="Times New Roman" w:cs="Times New Roman"/>
        </w:rPr>
        <w:t>II. The Political Context</w:t>
      </w:r>
      <w:r w:rsidR="002D76C8" w:rsidRPr="004A7676">
        <w:rPr>
          <w:rFonts w:ascii="Times New Roman" w:hAnsi="Times New Roman" w:cs="Times New Roman"/>
        </w:rPr>
        <w:t>………………………………………</w:t>
      </w:r>
      <w:r w:rsidR="004A7676">
        <w:rPr>
          <w:rFonts w:ascii="Times New Roman" w:hAnsi="Times New Roman" w:cs="Times New Roman"/>
        </w:rPr>
        <w:t>……………………</w:t>
      </w:r>
      <w:r w:rsidR="003D19C7">
        <w:rPr>
          <w:rFonts w:ascii="Times New Roman" w:hAnsi="Times New Roman" w:cs="Times New Roman"/>
        </w:rPr>
        <w:t>……….  15</w:t>
      </w:r>
    </w:p>
    <w:p w14:paraId="59F5C0F7" w14:textId="77777777" w:rsidR="00B12472" w:rsidRPr="004A7676" w:rsidRDefault="00B12472" w:rsidP="002D76C8">
      <w:pPr>
        <w:rPr>
          <w:rFonts w:ascii="Times New Roman" w:hAnsi="Times New Roman" w:cs="Times New Roman"/>
        </w:rPr>
      </w:pPr>
    </w:p>
    <w:p w14:paraId="43F8B15A" w14:textId="2005E335" w:rsidR="00B12472" w:rsidRPr="004A7676" w:rsidRDefault="00B12472" w:rsidP="002D76C8">
      <w:pPr>
        <w:rPr>
          <w:rFonts w:ascii="Times New Roman" w:hAnsi="Times New Roman" w:cs="Times New Roman"/>
        </w:rPr>
      </w:pPr>
      <w:r w:rsidRPr="004A7676">
        <w:rPr>
          <w:rFonts w:ascii="Times New Roman" w:hAnsi="Times New Roman" w:cs="Times New Roman"/>
        </w:rPr>
        <w:t>III. The Economic Context</w:t>
      </w:r>
      <w:r w:rsidR="00056126" w:rsidRPr="004A7676">
        <w:rPr>
          <w:rFonts w:ascii="Times New Roman" w:hAnsi="Times New Roman" w:cs="Times New Roman"/>
        </w:rPr>
        <w:t>…………………………</w:t>
      </w:r>
      <w:r w:rsidR="004A7676">
        <w:rPr>
          <w:rFonts w:ascii="Times New Roman" w:hAnsi="Times New Roman" w:cs="Times New Roman"/>
        </w:rPr>
        <w:t>……………………</w:t>
      </w:r>
      <w:r w:rsidR="00056126" w:rsidRPr="004A7676">
        <w:rPr>
          <w:rFonts w:ascii="Times New Roman" w:hAnsi="Times New Roman" w:cs="Times New Roman"/>
        </w:rPr>
        <w:t>………………</w:t>
      </w:r>
      <w:r w:rsidR="003D19C7">
        <w:rPr>
          <w:rFonts w:ascii="Times New Roman" w:hAnsi="Times New Roman" w:cs="Times New Roman"/>
        </w:rPr>
        <w:t>….  26</w:t>
      </w:r>
    </w:p>
    <w:p w14:paraId="36B89992" w14:textId="77777777" w:rsidR="00B12472" w:rsidRPr="004A7676" w:rsidRDefault="00B12472" w:rsidP="002D76C8">
      <w:pPr>
        <w:rPr>
          <w:rFonts w:ascii="Times New Roman" w:hAnsi="Times New Roman" w:cs="Times New Roman"/>
        </w:rPr>
      </w:pPr>
    </w:p>
    <w:p w14:paraId="62E841A4" w14:textId="5BCC4B64" w:rsidR="00B12472" w:rsidRPr="004A7676" w:rsidRDefault="00B12472" w:rsidP="002D76C8">
      <w:pPr>
        <w:rPr>
          <w:rFonts w:ascii="Times New Roman" w:hAnsi="Times New Roman" w:cs="Times New Roman"/>
        </w:rPr>
      </w:pPr>
      <w:r w:rsidRPr="004A7676">
        <w:rPr>
          <w:rFonts w:ascii="Times New Roman" w:hAnsi="Times New Roman" w:cs="Times New Roman"/>
        </w:rPr>
        <w:t>IV. The Social Context</w:t>
      </w:r>
      <w:r w:rsidR="00056126" w:rsidRPr="004A7676">
        <w:rPr>
          <w:rFonts w:ascii="Times New Roman" w:hAnsi="Times New Roman" w:cs="Times New Roman"/>
        </w:rPr>
        <w:t>……………………………………</w:t>
      </w:r>
      <w:r w:rsidR="004A7676">
        <w:rPr>
          <w:rFonts w:ascii="Times New Roman" w:hAnsi="Times New Roman" w:cs="Times New Roman"/>
        </w:rPr>
        <w:t>……………………</w:t>
      </w:r>
      <w:r w:rsidR="00056126" w:rsidRPr="004A7676">
        <w:rPr>
          <w:rFonts w:ascii="Times New Roman" w:hAnsi="Times New Roman" w:cs="Times New Roman"/>
        </w:rPr>
        <w:t>…...………</w:t>
      </w:r>
      <w:r w:rsidR="003D19C7">
        <w:rPr>
          <w:rFonts w:ascii="Times New Roman" w:hAnsi="Times New Roman" w:cs="Times New Roman"/>
        </w:rPr>
        <w:t xml:space="preserve">  39</w:t>
      </w:r>
    </w:p>
    <w:p w14:paraId="032B14FC" w14:textId="77777777" w:rsidR="00B12472" w:rsidRPr="004A7676" w:rsidRDefault="00B12472" w:rsidP="002D76C8">
      <w:pPr>
        <w:rPr>
          <w:rFonts w:ascii="Times New Roman" w:hAnsi="Times New Roman" w:cs="Times New Roman"/>
        </w:rPr>
      </w:pPr>
    </w:p>
    <w:p w14:paraId="26D0CA4F" w14:textId="718346BF" w:rsidR="00B12472" w:rsidRPr="004A7676" w:rsidRDefault="00B12472" w:rsidP="002D76C8">
      <w:pPr>
        <w:rPr>
          <w:rFonts w:ascii="Times New Roman" w:hAnsi="Times New Roman" w:cs="Times New Roman"/>
        </w:rPr>
      </w:pPr>
      <w:r w:rsidRPr="004A7676">
        <w:rPr>
          <w:rFonts w:ascii="Times New Roman" w:hAnsi="Times New Roman" w:cs="Times New Roman"/>
        </w:rPr>
        <w:t>V. The Settler Problem</w:t>
      </w:r>
      <w:r w:rsidR="00BE362F" w:rsidRPr="004A7676">
        <w:rPr>
          <w:rFonts w:ascii="Times New Roman" w:hAnsi="Times New Roman" w:cs="Times New Roman"/>
        </w:rPr>
        <w:t>………………………………</w:t>
      </w:r>
      <w:r w:rsidR="004A7676">
        <w:rPr>
          <w:rFonts w:ascii="Times New Roman" w:hAnsi="Times New Roman" w:cs="Times New Roman"/>
        </w:rPr>
        <w:t>……………………</w:t>
      </w:r>
      <w:r w:rsidR="003D19C7">
        <w:rPr>
          <w:rFonts w:ascii="Times New Roman" w:hAnsi="Times New Roman" w:cs="Times New Roman"/>
        </w:rPr>
        <w:t>………...………  49</w:t>
      </w:r>
    </w:p>
    <w:p w14:paraId="32EE0C79" w14:textId="77777777" w:rsidR="00B12472" w:rsidRPr="004A7676" w:rsidRDefault="00B12472" w:rsidP="002D76C8">
      <w:pPr>
        <w:rPr>
          <w:rFonts w:ascii="Times New Roman" w:hAnsi="Times New Roman" w:cs="Times New Roman"/>
        </w:rPr>
      </w:pPr>
    </w:p>
    <w:p w14:paraId="71614B48" w14:textId="6BC749BC" w:rsidR="00B12472" w:rsidRPr="004A7676" w:rsidRDefault="00B12472" w:rsidP="002D76C8">
      <w:pPr>
        <w:rPr>
          <w:rFonts w:ascii="Times New Roman" w:hAnsi="Times New Roman" w:cs="Times New Roman"/>
        </w:rPr>
      </w:pPr>
      <w:r w:rsidRPr="004A7676">
        <w:rPr>
          <w:rFonts w:ascii="Times New Roman" w:hAnsi="Times New Roman" w:cs="Times New Roman"/>
        </w:rPr>
        <w:t>VI. Conclusion</w:t>
      </w:r>
      <w:r w:rsidR="000612AB" w:rsidRPr="004A7676">
        <w:rPr>
          <w:rFonts w:ascii="Times New Roman" w:hAnsi="Times New Roman" w:cs="Times New Roman"/>
        </w:rPr>
        <w:t>……………………………………</w:t>
      </w:r>
      <w:r w:rsidR="004A7676">
        <w:rPr>
          <w:rFonts w:ascii="Times New Roman" w:hAnsi="Times New Roman" w:cs="Times New Roman"/>
        </w:rPr>
        <w:t>…………………...</w:t>
      </w:r>
      <w:r w:rsidR="000612AB" w:rsidRPr="004A7676">
        <w:rPr>
          <w:rFonts w:ascii="Times New Roman" w:hAnsi="Times New Roman" w:cs="Times New Roman"/>
        </w:rPr>
        <w:t>……………………</w:t>
      </w:r>
      <w:r w:rsidR="003D19C7">
        <w:rPr>
          <w:rFonts w:ascii="Times New Roman" w:hAnsi="Times New Roman" w:cs="Times New Roman"/>
        </w:rPr>
        <w:t xml:space="preserve">  57</w:t>
      </w:r>
    </w:p>
    <w:p w14:paraId="3C91F461" w14:textId="77777777" w:rsidR="00B12472" w:rsidRPr="004A7676" w:rsidRDefault="00B12472" w:rsidP="002D76C8">
      <w:pPr>
        <w:rPr>
          <w:rFonts w:ascii="Times New Roman" w:hAnsi="Times New Roman" w:cs="Times New Roman"/>
        </w:rPr>
      </w:pPr>
    </w:p>
    <w:p w14:paraId="46590461" w14:textId="4B7BFE86" w:rsidR="00B12472" w:rsidRPr="004A7676" w:rsidRDefault="00BE362F" w:rsidP="002D76C8">
      <w:pPr>
        <w:rPr>
          <w:rFonts w:ascii="Times New Roman" w:hAnsi="Times New Roman" w:cs="Times New Roman"/>
        </w:rPr>
      </w:pPr>
      <w:r w:rsidRPr="004A7676">
        <w:rPr>
          <w:rFonts w:ascii="Times New Roman" w:hAnsi="Times New Roman" w:cs="Times New Roman"/>
        </w:rPr>
        <w:t>Bibliography……………………………….………</w:t>
      </w:r>
      <w:r w:rsidR="004A7676">
        <w:rPr>
          <w:rFonts w:ascii="Times New Roman" w:hAnsi="Times New Roman" w:cs="Times New Roman"/>
        </w:rPr>
        <w:t>……………………</w:t>
      </w:r>
      <w:r w:rsidR="003D19C7">
        <w:rPr>
          <w:rFonts w:ascii="Times New Roman" w:hAnsi="Times New Roman" w:cs="Times New Roman"/>
        </w:rPr>
        <w:t>…….…………….  60</w:t>
      </w:r>
    </w:p>
    <w:p w14:paraId="6009E097" w14:textId="77777777" w:rsidR="00B12472" w:rsidRDefault="00B12472" w:rsidP="002D76C8">
      <w:pPr>
        <w:rPr>
          <w:rFonts w:ascii="Times New Roman" w:hAnsi="Times New Roman" w:cs="Times New Roman"/>
        </w:rPr>
      </w:pPr>
    </w:p>
    <w:p w14:paraId="75F9FB83" w14:textId="77777777" w:rsidR="00B12472" w:rsidRDefault="00B12472" w:rsidP="002D76C8">
      <w:pPr>
        <w:rPr>
          <w:rFonts w:ascii="Times New Roman" w:hAnsi="Times New Roman" w:cs="Times New Roman"/>
        </w:rPr>
      </w:pPr>
    </w:p>
    <w:p w14:paraId="1232B7B2" w14:textId="77777777" w:rsidR="00B12472" w:rsidRDefault="00B12472" w:rsidP="002D76C8">
      <w:pPr>
        <w:rPr>
          <w:rFonts w:ascii="Times New Roman" w:hAnsi="Times New Roman" w:cs="Times New Roman"/>
        </w:rPr>
      </w:pPr>
    </w:p>
    <w:p w14:paraId="3EBDD8BE" w14:textId="77777777" w:rsidR="00B12472" w:rsidRDefault="00B12472" w:rsidP="002D76C8">
      <w:pPr>
        <w:rPr>
          <w:rFonts w:ascii="Times New Roman" w:hAnsi="Times New Roman" w:cs="Times New Roman"/>
        </w:rPr>
      </w:pPr>
    </w:p>
    <w:p w14:paraId="1430C9E4" w14:textId="77777777" w:rsidR="00B12472" w:rsidRDefault="00B12472" w:rsidP="002D76C8">
      <w:pPr>
        <w:rPr>
          <w:rFonts w:ascii="Times New Roman" w:hAnsi="Times New Roman" w:cs="Times New Roman"/>
        </w:rPr>
      </w:pPr>
    </w:p>
    <w:p w14:paraId="2EBDF3A4" w14:textId="77777777" w:rsidR="00B12472" w:rsidRDefault="00B12472" w:rsidP="002D76C8">
      <w:pPr>
        <w:rPr>
          <w:rFonts w:ascii="Times New Roman" w:hAnsi="Times New Roman" w:cs="Times New Roman"/>
        </w:rPr>
      </w:pPr>
    </w:p>
    <w:p w14:paraId="48389CD1" w14:textId="77777777" w:rsidR="00B12472" w:rsidRDefault="00B12472" w:rsidP="002D76C8">
      <w:pPr>
        <w:rPr>
          <w:rFonts w:ascii="Times New Roman" w:hAnsi="Times New Roman" w:cs="Times New Roman"/>
        </w:rPr>
      </w:pPr>
    </w:p>
    <w:p w14:paraId="3EE4C748" w14:textId="77777777" w:rsidR="00B12472" w:rsidRDefault="00B12472" w:rsidP="002D76C8">
      <w:pPr>
        <w:rPr>
          <w:rFonts w:ascii="Times New Roman" w:hAnsi="Times New Roman" w:cs="Times New Roman"/>
        </w:rPr>
      </w:pPr>
    </w:p>
    <w:p w14:paraId="69BDE853" w14:textId="77777777" w:rsidR="00B12472" w:rsidRDefault="00B12472" w:rsidP="002D76C8">
      <w:pPr>
        <w:rPr>
          <w:rFonts w:ascii="Times New Roman" w:hAnsi="Times New Roman" w:cs="Times New Roman"/>
        </w:rPr>
      </w:pPr>
    </w:p>
    <w:p w14:paraId="3586A9D2" w14:textId="77777777" w:rsidR="00B12472" w:rsidRDefault="00B12472" w:rsidP="002D76C8">
      <w:pPr>
        <w:rPr>
          <w:rFonts w:ascii="Times New Roman" w:hAnsi="Times New Roman" w:cs="Times New Roman"/>
        </w:rPr>
      </w:pPr>
    </w:p>
    <w:p w14:paraId="0A2DA5D3" w14:textId="77777777" w:rsidR="00B12472" w:rsidRDefault="00B12472" w:rsidP="002D76C8">
      <w:pPr>
        <w:rPr>
          <w:rFonts w:ascii="Times New Roman" w:hAnsi="Times New Roman" w:cs="Times New Roman"/>
        </w:rPr>
      </w:pPr>
    </w:p>
    <w:p w14:paraId="143F3C8A" w14:textId="77777777" w:rsidR="00B12472" w:rsidRDefault="00B12472" w:rsidP="002D76C8">
      <w:pPr>
        <w:rPr>
          <w:rFonts w:ascii="Times New Roman" w:hAnsi="Times New Roman" w:cs="Times New Roman"/>
        </w:rPr>
      </w:pPr>
    </w:p>
    <w:p w14:paraId="5902260A" w14:textId="77777777" w:rsidR="00B12472" w:rsidRDefault="00B12472" w:rsidP="002D76C8">
      <w:pPr>
        <w:rPr>
          <w:rFonts w:ascii="Times New Roman" w:hAnsi="Times New Roman" w:cs="Times New Roman"/>
        </w:rPr>
      </w:pPr>
    </w:p>
    <w:p w14:paraId="427A3868" w14:textId="77777777" w:rsidR="00B12472" w:rsidRDefault="00B12472" w:rsidP="002D76C8">
      <w:pPr>
        <w:rPr>
          <w:rFonts w:ascii="Times New Roman" w:hAnsi="Times New Roman" w:cs="Times New Roman"/>
        </w:rPr>
      </w:pPr>
    </w:p>
    <w:p w14:paraId="65D2C166" w14:textId="77777777" w:rsidR="00B12472" w:rsidRDefault="00B12472" w:rsidP="002D76C8">
      <w:pPr>
        <w:rPr>
          <w:rFonts w:ascii="Times New Roman" w:hAnsi="Times New Roman" w:cs="Times New Roman"/>
        </w:rPr>
      </w:pPr>
    </w:p>
    <w:p w14:paraId="61525B2A" w14:textId="77777777" w:rsidR="00B12472" w:rsidRDefault="00B12472" w:rsidP="002D76C8">
      <w:pPr>
        <w:rPr>
          <w:rFonts w:ascii="Times New Roman" w:hAnsi="Times New Roman" w:cs="Times New Roman"/>
        </w:rPr>
      </w:pPr>
    </w:p>
    <w:p w14:paraId="2F8056CA" w14:textId="77777777" w:rsidR="00B12472" w:rsidRDefault="00B12472" w:rsidP="002D76C8">
      <w:pPr>
        <w:rPr>
          <w:rFonts w:ascii="Times New Roman" w:hAnsi="Times New Roman" w:cs="Times New Roman"/>
        </w:rPr>
      </w:pPr>
    </w:p>
    <w:p w14:paraId="698E58E0" w14:textId="77777777" w:rsidR="00B12472" w:rsidRDefault="00B12472" w:rsidP="002D76C8">
      <w:pPr>
        <w:rPr>
          <w:rFonts w:ascii="Times New Roman" w:hAnsi="Times New Roman" w:cs="Times New Roman"/>
        </w:rPr>
      </w:pPr>
    </w:p>
    <w:p w14:paraId="14F46CE2" w14:textId="77777777" w:rsidR="00B12472" w:rsidRDefault="00B12472" w:rsidP="002D76C8">
      <w:pPr>
        <w:rPr>
          <w:rFonts w:ascii="Times New Roman" w:hAnsi="Times New Roman" w:cs="Times New Roman"/>
        </w:rPr>
      </w:pPr>
    </w:p>
    <w:p w14:paraId="0001D5F9" w14:textId="77777777" w:rsidR="00B12472" w:rsidRDefault="00B12472" w:rsidP="002D76C8">
      <w:pPr>
        <w:rPr>
          <w:rFonts w:ascii="Times New Roman" w:hAnsi="Times New Roman" w:cs="Times New Roman"/>
        </w:rPr>
      </w:pPr>
    </w:p>
    <w:p w14:paraId="617A69F4" w14:textId="77777777" w:rsidR="00B12472" w:rsidRDefault="00B12472" w:rsidP="002D76C8">
      <w:pPr>
        <w:rPr>
          <w:rFonts w:ascii="Times New Roman" w:hAnsi="Times New Roman" w:cs="Times New Roman"/>
        </w:rPr>
      </w:pPr>
    </w:p>
    <w:p w14:paraId="303F8DD5" w14:textId="77777777" w:rsidR="00B12472" w:rsidRDefault="00B12472" w:rsidP="002D76C8">
      <w:pPr>
        <w:rPr>
          <w:rFonts w:ascii="Times New Roman" w:hAnsi="Times New Roman" w:cs="Times New Roman"/>
        </w:rPr>
      </w:pPr>
    </w:p>
    <w:p w14:paraId="11310411" w14:textId="77777777" w:rsidR="00B12472" w:rsidRDefault="00B12472" w:rsidP="002D76C8">
      <w:pPr>
        <w:rPr>
          <w:rFonts w:ascii="Times New Roman" w:hAnsi="Times New Roman" w:cs="Times New Roman"/>
        </w:rPr>
      </w:pPr>
    </w:p>
    <w:p w14:paraId="2075B1EE" w14:textId="77777777" w:rsidR="00B12472" w:rsidRDefault="00B12472" w:rsidP="002D76C8">
      <w:pPr>
        <w:rPr>
          <w:rFonts w:ascii="Times New Roman" w:hAnsi="Times New Roman" w:cs="Times New Roman"/>
        </w:rPr>
      </w:pPr>
    </w:p>
    <w:p w14:paraId="5E37C250" w14:textId="77777777" w:rsidR="00B12472" w:rsidRDefault="00B12472" w:rsidP="002D76C8">
      <w:pPr>
        <w:rPr>
          <w:rFonts w:ascii="Times New Roman" w:hAnsi="Times New Roman" w:cs="Times New Roman"/>
        </w:rPr>
      </w:pPr>
    </w:p>
    <w:p w14:paraId="0B6B0FDD" w14:textId="77777777" w:rsidR="004A7676" w:rsidRDefault="004A7676" w:rsidP="002D76C8">
      <w:pPr>
        <w:rPr>
          <w:rFonts w:ascii="Times New Roman" w:hAnsi="Times New Roman" w:cs="Times New Roman"/>
        </w:rPr>
      </w:pPr>
    </w:p>
    <w:p w14:paraId="254C49A2" w14:textId="77777777" w:rsidR="004A7676" w:rsidRDefault="004A7676" w:rsidP="002D76C8">
      <w:pPr>
        <w:rPr>
          <w:rFonts w:ascii="Times New Roman" w:hAnsi="Times New Roman" w:cs="Times New Roman"/>
        </w:rPr>
      </w:pPr>
    </w:p>
    <w:p w14:paraId="1C266283" w14:textId="77777777" w:rsidR="00B12472" w:rsidRDefault="00B12472" w:rsidP="002D76C8">
      <w:pPr>
        <w:rPr>
          <w:rFonts w:ascii="Times New Roman" w:hAnsi="Times New Roman" w:cs="Times New Roman"/>
        </w:rPr>
      </w:pPr>
    </w:p>
    <w:p w14:paraId="079E0134" w14:textId="77777777" w:rsidR="00B12472" w:rsidRDefault="00B12472" w:rsidP="002D76C8">
      <w:pPr>
        <w:rPr>
          <w:rFonts w:ascii="Times New Roman" w:hAnsi="Times New Roman" w:cs="Times New Roman"/>
        </w:rPr>
      </w:pPr>
    </w:p>
    <w:p w14:paraId="53A0D18D" w14:textId="77777777" w:rsidR="00B12472" w:rsidRDefault="00B12472" w:rsidP="002D76C8">
      <w:pPr>
        <w:rPr>
          <w:rFonts w:ascii="Times New Roman" w:hAnsi="Times New Roman" w:cs="Times New Roman"/>
        </w:rPr>
      </w:pPr>
    </w:p>
    <w:p w14:paraId="614B04CE" w14:textId="77777777" w:rsidR="00AF1A3B" w:rsidRDefault="00AF1A3B" w:rsidP="002D76C8">
      <w:pPr>
        <w:rPr>
          <w:rFonts w:ascii="Times New Roman" w:hAnsi="Times New Roman" w:cs="Times New Roman"/>
        </w:rPr>
      </w:pPr>
    </w:p>
    <w:p w14:paraId="16044FAB" w14:textId="77777777" w:rsidR="00AF1A3B" w:rsidRDefault="00AF1A3B" w:rsidP="002D76C8">
      <w:pPr>
        <w:rPr>
          <w:rFonts w:ascii="Times New Roman" w:hAnsi="Times New Roman" w:cs="Times New Roman"/>
        </w:rPr>
      </w:pPr>
    </w:p>
    <w:p w14:paraId="5B93E7C3" w14:textId="77777777" w:rsidR="00B12472" w:rsidRDefault="00B12472" w:rsidP="002D76C8">
      <w:pPr>
        <w:rPr>
          <w:rFonts w:ascii="Times New Roman" w:hAnsi="Times New Roman" w:cs="Times New Roman"/>
        </w:rPr>
      </w:pPr>
    </w:p>
    <w:p w14:paraId="542F0000" w14:textId="77777777" w:rsidR="00B12472" w:rsidRDefault="00B12472" w:rsidP="002D76C8">
      <w:pPr>
        <w:rPr>
          <w:rFonts w:ascii="Times New Roman" w:hAnsi="Times New Roman" w:cs="Times New Roman"/>
        </w:rPr>
      </w:pPr>
    </w:p>
    <w:p w14:paraId="2A1FE9E0" w14:textId="77777777" w:rsidR="00B12472" w:rsidRPr="004E22F3" w:rsidRDefault="00B12472" w:rsidP="002D76C8">
      <w:pPr>
        <w:spacing w:line="360" w:lineRule="auto"/>
        <w:jc w:val="center"/>
        <w:rPr>
          <w:rFonts w:ascii="Times New Roman" w:hAnsi="Times New Roman" w:cs="Times New Roman"/>
          <w:b/>
          <w:sz w:val="28"/>
          <w:szCs w:val="28"/>
        </w:rPr>
      </w:pPr>
      <w:r w:rsidRPr="004E22F3">
        <w:rPr>
          <w:rFonts w:ascii="Times New Roman" w:hAnsi="Times New Roman" w:cs="Times New Roman"/>
          <w:b/>
          <w:sz w:val="28"/>
          <w:szCs w:val="28"/>
        </w:rPr>
        <w:lastRenderedPageBreak/>
        <w:t>Chapter I: Introduction</w:t>
      </w:r>
    </w:p>
    <w:p w14:paraId="6CFC8030" w14:textId="77777777" w:rsidR="00B12472" w:rsidRDefault="00B12472" w:rsidP="002D76C8">
      <w:pPr>
        <w:spacing w:line="360" w:lineRule="auto"/>
        <w:rPr>
          <w:rFonts w:ascii="Times New Roman" w:hAnsi="Times New Roman" w:cs="Times New Roman"/>
          <w:sz w:val="28"/>
          <w:szCs w:val="28"/>
        </w:rPr>
      </w:pPr>
    </w:p>
    <w:p w14:paraId="2DCEB131" w14:textId="776E5F42" w:rsidR="00B12472" w:rsidRDefault="00A231AA" w:rsidP="002D76C8">
      <w:pPr>
        <w:spacing w:line="360" w:lineRule="auto"/>
        <w:rPr>
          <w:rFonts w:ascii="Times New Roman" w:hAnsi="Times New Roman" w:cs="Times New Roman"/>
        </w:rPr>
      </w:pPr>
      <w:r>
        <w:rPr>
          <w:rFonts w:ascii="Times New Roman" w:hAnsi="Times New Roman" w:cs="Times New Roman"/>
        </w:rPr>
        <w:tab/>
        <w:t>This study is designed as a r</w:t>
      </w:r>
      <w:r w:rsidR="000F4B71">
        <w:rPr>
          <w:rFonts w:ascii="Times New Roman" w:hAnsi="Times New Roman" w:cs="Times New Roman"/>
        </w:rPr>
        <w:t>eappraisal of the history</w:t>
      </w:r>
      <w:r>
        <w:rPr>
          <w:rFonts w:ascii="Times New Roman" w:hAnsi="Times New Roman" w:cs="Times New Roman"/>
        </w:rPr>
        <w:t xml:space="preserve"> of German</w:t>
      </w:r>
      <w:r w:rsidR="00F107CD">
        <w:rPr>
          <w:rFonts w:ascii="Times New Roman" w:hAnsi="Times New Roman" w:cs="Times New Roman"/>
        </w:rPr>
        <w:t xml:space="preserve"> East Africa.  Though there have been a number of different attempts at reassessment of various aspects of the period of German rule in modern day Tanzania, this study is by no means superfluous.</w:t>
      </w:r>
      <w:r w:rsidR="005B47D3">
        <w:rPr>
          <w:rStyle w:val="FootnoteReference"/>
          <w:rFonts w:ascii="Times New Roman" w:hAnsi="Times New Roman" w:cs="Times New Roman"/>
        </w:rPr>
        <w:footnoteReference w:id="1"/>
      </w:r>
      <w:r w:rsidR="00F107CD">
        <w:rPr>
          <w:rFonts w:ascii="Times New Roman" w:hAnsi="Times New Roman" w:cs="Times New Roman"/>
        </w:rPr>
        <w:t xml:space="preserve"> </w:t>
      </w:r>
      <w:r w:rsidR="00631A10">
        <w:rPr>
          <w:rFonts w:ascii="Times New Roman" w:hAnsi="Times New Roman" w:cs="Times New Roman"/>
        </w:rPr>
        <w:t xml:space="preserve"> The point of contention brought up in this particular study differs from others in the object of its reassessment.  While others have focused on various aspects of the period under German rule, including economic and social policies of the state and their subsequent effects, this paper takes a somewhat broader view. The goal is not to examine a specific area of German East Africa, but rather </w:t>
      </w:r>
      <w:r w:rsidR="00F83544">
        <w:rPr>
          <w:rFonts w:ascii="Times New Roman" w:hAnsi="Times New Roman" w:cs="Times New Roman"/>
        </w:rPr>
        <w:t xml:space="preserve">a wide-ranging analysis of several aspects of the colony in order to undermine the currently accepted periodization and plot structure of the history of the colony as a whole. </w:t>
      </w:r>
    </w:p>
    <w:p w14:paraId="6D707319" w14:textId="424979C9" w:rsidR="00F83544" w:rsidRDefault="00F83544" w:rsidP="002D76C8">
      <w:pPr>
        <w:spacing w:line="360" w:lineRule="auto"/>
        <w:rPr>
          <w:rFonts w:ascii="Times New Roman" w:hAnsi="Times New Roman" w:cs="Times New Roman"/>
        </w:rPr>
      </w:pPr>
      <w:r>
        <w:rPr>
          <w:rFonts w:ascii="Times New Roman" w:hAnsi="Times New Roman" w:cs="Times New Roman"/>
        </w:rPr>
        <w:tab/>
        <w:t xml:space="preserve">In particular, this study has been organized to debunk one segment of </w:t>
      </w:r>
      <w:r w:rsidR="000F4B71">
        <w:rPr>
          <w:rFonts w:ascii="Times New Roman" w:hAnsi="Times New Roman" w:cs="Times New Roman"/>
        </w:rPr>
        <w:t>the history</w:t>
      </w:r>
      <w:r w:rsidR="00E33DD4">
        <w:rPr>
          <w:rFonts w:ascii="Times New Roman" w:hAnsi="Times New Roman" w:cs="Times New Roman"/>
        </w:rPr>
        <w:t xml:space="preserve"> of </w:t>
      </w:r>
      <w:r>
        <w:rPr>
          <w:rFonts w:ascii="Times New Roman" w:hAnsi="Times New Roman" w:cs="Times New Roman"/>
        </w:rPr>
        <w:t xml:space="preserve">German colonial rule in East Africa.  The segment in question is what is known in </w:t>
      </w:r>
      <w:r w:rsidR="000F4B71">
        <w:rPr>
          <w:rFonts w:ascii="Times New Roman" w:hAnsi="Times New Roman" w:cs="Times New Roman"/>
        </w:rPr>
        <w:t>the history of German East Africa</w:t>
      </w:r>
      <w:r>
        <w:rPr>
          <w:rFonts w:ascii="Times New Roman" w:hAnsi="Times New Roman" w:cs="Times New Roman"/>
        </w:rPr>
        <w:t xml:space="preserve"> as the Dernburg reform era.  The nomenclature comes from the period in office of the Colonial Secretary Bernhard Dernburg.  </w:t>
      </w:r>
      <w:r w:rsidR="00E33DD4">
        <w:rPr>
          <w:rFonts w:ascii="Times New Roman" w:hAnsi="Times New Roman" w:cs="Times New Roman"/>
        </w:rPr>
        <w:t xml:space="preserve">The idea of the reform period </w:t>
      </w:r>
      <w:r w:rsidR="00681ECB">
        <w:rPr>
          <w:rFonts w:ascii="Times New Roman" w:hAnsi="Times New Roman" w:cs="Times New Roman"/>
        </w:rPr>
        <w:t>stems from older sources; most of these date</w:t>
      </w:r>
      <w:r w:rsidR="00E33DD4">
        <w:rPr>
          <w:rFonts w:ascii="Times New Roman" w:hAnsi="Times New Roman" w:cs="Times New Roman"/>
        </w:rPr>
        <w:t xml:space="preserve"> from the late colonial period.</w:t>
      </w:r>
      <w:r w:rsidR="00E33DD4">
        <w:rPr>
          <w:rStyle w:val="FootnoteReference"/>
          <w:rFonts w:ascii="Times New Roman" w:hAnsi="Times New Roman" w:cs="Times New Roman"/>
        </w:rPr>
        <w:footnoteReference w:id="2"/>
      </w:r>
      <w:r w:rsidR="00E33DD4">
        <w:rPr>
          <w:rFonts w:ascii="Times New Roman" w:hAnsi="Times New Roman" w:cs="Times New Roman"/>
        </w:rPr>
        <w:t xml:space="preserve"> In this</w:t>
      </w:r>
      <w:r w:rsidR="00A43A38">
        <w:rPr>
          <w:rFonts w:ascii="Times New Roman" w:hAnsi="Times New Roman" w:cs="Times New Roman"/>
        </w:rPr>
        <w:t xml:space="preserve"> older</w:t>
      </w:r>
      <w:r w:rsidR="00E33DD4">
        <w:rPr>
          <w:rFonts w:ascii="Times New Roman" w:hAnsi="Times New Roman" w:cs="Times New Roman"/>
        </w:rPr>
        <w:t xml:space="preserve"> </w:t>
      </w:r>
      <w:r w:rsidR="00A43A38">
        <w:rPr>
          <w:rFonts w:ascii="Times New Roman" w:hAnsi="Times New Roman" w:cs="Times New Roman"/>
        </w:rPr>
        <w:t>version of the history, the year 1906 is taken as the decisive turning point. After two serious colonial rebellions in the years up to that point, there was a serious political crisis, centering on the colonies, and criticism thereof.  As the crisis escalated, a fresh new face, Bernhard Dernburg</w:t>
      </w:r>
      <w:r w:rsidR="00F71806">
        <w:rPr>
          <w:rFonts w:ascii="Times New Roman" w:hAnsi="Times New Roman" w:cs="Times New Roman"/>
        </w:rPr>
        <w:t>, was brought in as Colonial Secretary to clean out the Augean stables. Following a successful election campaign, Dernburg set about reforming and reorganizing the colonial administration and policy.  This period of “scientific colonization</w:t>
      </w:r>
      <w:r w:rsidR="002D097B">
        <w:rPr>
          <w:rFonts w:ascii="Times New Roman" w:hAnsi="Times New Roman" w:cs="Times New Roman"/>
        </w:rPr>
        <w:t>,</w:t>
      </w:r>
      <w:r w:rsidR="00F71806">
        <w:rPr>
          <w:rFonts w:ascii="Times New Roman" w:hAnsi="Times New Roman" w:cs="Times New Roman"/>
        </w:rPr>
        <w:t>”</w:t>
      </w:r>
      <w:r w:rsidR="002D097B">
        <w:rPr>
          <w:rFonts w:ascii="Times New Roman" w:hAnsi="Times New Roman" w:cs="Times New Roman"/>
        </w:rPr>
        <w:t xml:space="preserve"> or a studious betterment of the colonial process through European technology and science,</w:t>
      </w:r>
      <w:r w:rsidR="00F71806">
        <w:rPr>
          <w:rFonts w:ascii="Times New Roman" w:hAnsi="Times New Roman" w:cs="Times New Roman"/>
        </w:rPr>
        <w:t xml:space="preserve"> brought benefits</w:t>
      </w:r>
      <w:r w:rsidR="00692F73">
        <w:rPr>
          <w:rFonts w:ascii="Times New Roman" w:hAnsi="Times New Roman" w:cs="Times New Roman"/>
        </w:rPr>
        <w:t xml:space="preserve"> to both the metropole</w:t>
      </w:r>
      <w:r w:rsidR="00F71806">
        <w:rPr>
          <w:rFonts w:ascii="Times New Roman" w:hAnsi="Times New Roman" w:cs="Times New Roman"/>
        </w:rPr>
        <w:t xml:space="preserve"> and to </w:t>
      </w:r>
      <w:r w:rsidR="00692F73">
        <w:rPr>
          <w:rFonts w:ascii="Times New Roman" w:hAnsi="Times New Roman" w:cs="Times New Roman"/>
        </w:rPr>
        <w:t>her colonial subjects in a manner fitting of a civilizing imperial power</w:t>
      </w:r>
      <w:r w:rsidR="002D097B">
        <w:rPr>
          <w:rFonts w:ascii="Times New Roman" w:hAnsi="Times New Roman" w:cs="Times New Roman"/>
        </w:rPr>
        <w:t>, according to early European sources</w:t>
      </w:r>
      <w:r w:rsidR="00692F73">
        <w:rPr>
          <w:rFonts w:ascii="Times New Roman" w:hAnsi="Times New Roman" w:cs="Times New Roman"/>
        </w:rPr>
        <w:t xml:space="preserve">. In this way, the year 1906 represents in the older versions of the history a drastic break between the excesses and abuses of an earlier period and the peaceful era of prosperity and reform which was to follow. </w:t>
      </w:r>
    </w:p>
    <w:p w14:paraId="731294A9" w14:textId="4328852E" w:rsidR="00692F73" w:rsidRDefault="00692F73" w:rsidP="002D76C8">
      <w:pPr>
        <w:spacing w:line="360" w:lineRule="auto"/>
        <w:rPr>
          <w:rFonts w:ascii="Times New Roman" w:hAnsi="Times New Roman" w:cs="Times New Roman"/>
        </w:rPr>
      </w:pPr>
      <w:r>
        <w:rPr>
          <w:rFonts w:ascii="Times New Roman" w:hAnsi="Times New Roman" w:cs="Times New Roman"/>
        </w:rPr>
        <w:lastRenderedPageBreak/>
        <w:tab/>
      </w:r>
      <w:r w:rsidR="005C64D5">
        <w:rPr>
          <w:rFonts w:ascii="Times New Roman" w:hAnsi="Times New Roman" w:cs="Times New Roman"/>
        </w:rPr>
        <w:t>This summation of events relies on four major premises. The first of these points asserts that the colonial crisis of 1906</w:t>
      </w:r>
      <w:r w:rsidR="002D097B">
        <w:rPr>
          <w:rFonts w:ascii="Times New Roman" w:hAnsi="Times New Roman" w:cs="Times New Roman"/>
        </w:rPr>
        <w:t>, seen in an upsurge in public debate over the colonies generally, and their rise to prominence as a national issue,</w:t>
      </w:r>
      <w:r w:rsidR="005C64D5">
        <w:rPr>
          <w:rFonts w:ascii="Times New Roman" w:hAnsi="Times New Roman" w:cs="Times New Roman"/>
        </w:rPr>
        <w:t xml:space="preserve"> </w:t>
      </w:r>
      <w:r w:rsidR="00683639">
        <w:rPr>
          <w:rFonts w:ascii="Times New Roman" w:hAnsi="Times New Roman" w:cs="Times New Roman"/>
        </w:rPr>
        <w:t>was caused by previous immorality within the German administration. It was the cruelty and thoughtlessness of the previous officials that led to the two large rebellions in Africa, rather than any sort of native African initiative.  This idea leads to a secon</w:t>
      </w:r>
      <w:r w:rsidR="00D3423C">
        <w:rPr>
          <w:rFonts w:ascii="Times New Roman" w:hAnsi="Times New Roman" w:cs="Times New Roman"/>
        </w:rPr>
        <w:t>d conclusion, that it was the public outcry in Germany against the immorality of the colonial administration that led to major reforms. The third premise of the argument continues that as this was a German response to a German immorality, the initiative for reform lay firmly in the hands of Colonial Secretary Dernburg.</w:t>
      </w:r>
      <w:r w:rsidR="00521E75">
        <w:rPr>
          <w:rFonts w:ascii="Times New Roman" w:hAnsi="Times New Roman" w:cs="Times New Roman"/>
        </w:rPr>
        <w:t xml:space="preserve"> Dernburg’s program of enlightened imperialism, which he outlined during his election speeches, then swept away the abuses of the previous administration</w:t>
      </w:r>
      <w:r w:rsidR="00D51EC5">
        <w:rPr>
          <w:rFonts w:ascii="Times New Roman" w:hAnsi="Times New Roman" w:cs="Times New Roman"/>
        </w:rPr>
        <w:t xml:space="preserve">. After Dernburg’s tenure in office, the colony had been successfully reformed and worked to the benefit of all, a veritable example of the civilizing mission for </w:t>
      </w:r>
      <w:r w:rsidR="00681ECB">
        <w:rPr>
          <w:rFonts w:ascii="Times New Roman" w:hAnsi="Times New Roman" w:cs="Times New Roman"/>
        </w:rPr>
        <w:t>the entire</w:t>
      </w:r>
      <w:r w:rsidR="00D51EC5">
        <w:rPr>
          <w:rFonts w:ascii="Times New Roman" w:hAnsi="Times New Roman" w:cs="Times New Roman"/>
        </w:rPr>
        <w:t xml:space="preserve"> world to see.  The proof of this, the fourth point, lies in the statistical rises in economic production, and especially in the absence of rebellion between 1907 and 1914.</w:t>
      </w:r>
      <w:r w:rsidR="00D51EC5">
        <w:rPr>
          <w:rStyle w:val="FootnoteReference"/>
          <w:rFonts w:ascii="Times New Roman" w:hAnsi="Times New Roman" w:cs="Times New Roman"/>
        </w:rPr>
        <w:footnoteReference w:id="3"/>
      </w:r>
      <w:r w:rsidR="00D51EC5">
        <w:rPr>
          <w:rFonts w:ascii="Times New Roman" w:hAnsi="Times New Roman" w:cs="Times New Roman"/>
        </w:rPr>
        <w:t xml:space="preserve"> </w:t>
      </w:r>
    </w:p>
    <w:p w14:paraId="473D2DF5" w14:textId="788B128A" w:rsidR="00B11A54" w:rsidRDefault="00B11A54" w:rsidP="002D76C8">
      <w:pPr>
        <w:spacing w:line="360" w:lineRule="auto"/>
        <w:rPr>
          <w:rFonts w:ascii="Times New Roman" w:hAnsi="Times New Roman" w:cs="Times New Roman"/>
        </w:rPr>
      </w:pPr>
      <w:r>
        <w:rPr>
          <w:rFonts w:ascii="Times New Roman" w:hAnsi="Times New Roman" w:cs="Times New Roman"/>
        </w:rPr>
        <w:tab/>
        <w:t>That interpretation, however, has not been without its critics over the years.</w:t>
      </w:r>
      <w:r w:rsidR="00DB48DC">
        <w:rPr>
          <w:rFonts w:ascii="Times New Roman" w:hAnsi="Times New Roman" w:cs="Times New Roman"/>
        </w:rPr>
        <w:t xml:space="preserve">  </w:t>
      </w:r>
      <w:r w:rsidR="00681ECB">
        <w:rPr>
          <w:rFonts w:ascii="Times New Roman" w:hAnsi="Times New Roman" w:cs="Times New Roman"/>
        </w:rPr>
        <w:t>The illustrious Cambridge professor, John Iliffe, wrote one of the earliest and best-known critiques, especially within English language historiography</w:t>
      </w:r>
      <w:r w:rsidR="008B57CB">
        <w:rPr>
          <w:rFonts w:ascii="Times New Roman" w:hAnsi="Times New Roman" w:cs="Times New Roman"/>
        </w:rPr>
        <w:t>.</w:t>
      </w:r>
      <w:r w:rsidR="008B57CB">
        <w:rPr>
          <w:rStyle w:val="FootnoteReference"/>
          <w:rFonts w:ascii="Times New Roman" w:hAnsi="Times New Roman" w:cs="Times New Roman"/>
        </w:rPr>
        <w:footnoteReference w:id="4"/>
      </w:r>
      <w:r w:rsidR="008B57CB">
        <w:rPr>
          <w:rFonts w:ascii="Times New Roman" w:hAnsi="Times New Roman" w:cs="Times New Roman"/>
        </w:rPr>
        <w:t xml:space="preserve"> Writing in the early postcolonial period, Iliffe sought to rectify many of the biases of previous authors in regard to </w:t>
      </w:r>
      <w:r w:rsidR="00732261">
        <w:rPr>
          <w:rFonts w:ascii="Times New Roman" w:hAnsi="Times New Roman" w:cs="Times New Roman"/>
        </w:rPr>
        <w:t>the so-called ‘era of reform.’ To this end, and after thorough research, Iliffe created his own, more nuanced version of the later history of German East Africa. Iliffe’s history centers on a number of basic points, many of them directly contradicting the above established version. First, posits Iliffe, there were “very real changes… in East Africa after 1906.”</w:t>
      </w:r>
      <w:r w:rsidR="00732261">
        <w:rPr>
          <w:rStyle w:val="FootnoteReference"/>
          <w:rFonts w:ascii="Times New Roman" w:hAnsi="Times New Roman" w:cs="Times New Roman"/>
        </w:rPr>
        <w:footnoteReference w:id="5"/>
      </w:r>
      <w:r w:rsidR="00732261">
        <w:rPr>
          <w:rFonts w:ascii="Times New Roman" w:hAnsi="Times New Roman" w:cs="Times New Roman"/>
        </w:rPr>
        <w:t xml:space="preserve"> These changes, he continues</w:t>
      </w:r>
      <w:r w:rsidR="00C60557">
        <w:rPr>
          <w:rFonts w:ascii="Times New Roman" w:hAnsi="Times New Roman" w:cs="Times New Roman"/>
        </w:rPr>
        <w:t>, were not devised due to moral outrage among the German public, but were rather a European response to the Maji Maji rebellion of 1905-7, an African initiative. The second point, explains Iliffe, is that the reforms were not the work of an incredibly gifted colonial secretary, forcing his will on Germany’s East African possession. Instead, they derive from c</w:t>
      </w:r>
      <w:r w:rsidR="00681ECB">
        <w:rPr>
          <w:rFonts w:ascii="Times New Roman" w:hAnsi="Times New Roman" w:cs="Times New Roman"/>
        </w:rPr>
        <w:t>onflict and compromise between Colonial S</w:t>
      </w:r>
      <w:r w:rsidR="00C60557">
        <w:rPr>
          <w:rFonts w:ascii="Times New Roman" w:hAnsi="Times New Roman" w:cs="Times New Roman"/>
        </w:rPr>
        <w:t>ecretary Dernburg, the governor of East Africa, and the Reichstag in Berlin. His third point continues that the reform program was opposed and ultimately reversed by the growing white settler community</w:t>
      </w:r>
      <w:r w:rsidR="005229B1">
        <w:rPr>
          <w:rFonts w:ascii="Times New Roman" w:hAnsi="Times New Roman" w:cs="Times New Roman"/>
        </w:rPr>
        <w:t xml:space="preserve"> in the colony.  Despite this, he concedes in his fourth point, German East Africa was remarkably peaceful </w:t>
      </w:r>
      <w:r w:rsidR="005229B1">
        <w:rPr>
          <w:rFonts w:ascii="Times New Roman" w:hAnsi="Times New Roman" w:cs="Times New Roman"/>
        </w:rPr>
        <w:lastRenderedPageBreak/>
        <w:t xml:space="preserve">after 1907. He denies however, that this fact was due to any European initiative, but rather to changes happening at the time within African societies. </w:t>
      </w:r>
      <w:r w:rsidR="00C60557">
        <w:rPr>
          <w:rFonts w:ascii="Times New Roman" w:hAnsi="Times New Roman" w:cs="Times New Roman"/>
        </w:rPr>
        <w:t xml:space="preserve"> </w:t>
      </w:r>
      <w:r w:rsidR="005229B1">
        <w:rPr>
          <w:rFonts w:ascii="Times New Roman" w:hAnsi="Times New Roman" w:cs="Times New Roman"/>
        </w:rPr>
        <w:t>Iliffe then adds a fifth point, extending somewhat the timeline of the reform period. He suggests that there was an “age of improvement” towards the end of German rule in Tanganyika involving economic and social advances.</w:t>
      </w:r>
      <w:r w:rsidR="005229B1">
        <w:rPr>
          <w:rStyle w:val="FootnoteReference"/>
          <w:rFonts w:ascii="Times New Roman" w:hAnsi="Times New Roman" w:cs="Times New Roman"/>
        </w:rPr>
        <w:footnoteReference w:id="6"/>
      </w:r>
      <w:r w:rsidR="005229B1">
        <w:rPr>
          <w:rFonts w:ascii="Times New Roman" w:hAnsi="Times New Roman" w:cs="Times New Roman"/>
        </w:rPr>
        <w:t xml:space="preserve">  However, Iliffe then goes on to explain that this period should not been seen in the light of the “era of reform,” but rather as the beginning of a new period of conflict between Africans and Europeans</w:t>
      </w:r>
      <w:r w:rsidR="00BD16B6">
        <w:rPr>
          <w:rFonts w:ascii="Times New Roman" w:hAnsi="Times New Roman" w:cs="Times New Roman"/>
        </w:rPr>
        <w:t>. In this way, Iliffe contradicts many of the points and problems of the older version of German East Africa’s history, but stops short of a straightforward denial of the idea of a reform period.</w:t>
      </w:r>
    </w:p>
    <w:p w14:paraId="7A46653A" w14:textId="329F3321" w:rsidR="00016FBD" w:rsidRDefault="00016FBD" w:rsidP="002D76C8">
      <w:pPr>
        <w:spacing w:line="360" w:lineRule="auto"/>
        <w:rPr>
          <w:rFonts w:ascii="Times New Roman" w:hAnsi="Times New Roman" w:cs="Times New Roman"/>
        </w:rPr>
      </w:pPr>
      <w:r>
        <w:rPr>
          <w:rFonts w:ascii="Times New Roman" w:hAnsi="Times New Roman" w:cs="Times New Roman"/>
        </w:rPr>
        <w:tab/>
        <w:t>Where Iliffe stops is essentially where the argument of this paper picks up.  This study intends to critique the historiography of German East Africa in a new light. This new critique goe</w:t>
      </w:r>
      <w:r w:rsidR="00EA491E">
        <w:rPr>
          <w:rFonts w:ascii="Times New Roman" w:hAnsi="Times New Roman" w:cs="Times New Roman"/>
        </w:rPr>
        <w:t>s further than Iliffe, for</w:t>
      </w:r>
      <w:r>
        <w:rPr>
          <w:rFonts w:ascii="Times New Roman" w:hAnsi="Times New Roman" w:cs="Times New Roman"/>
        </w:rPr>
        <w:t xml:space="preserve"> despite his admirable work </w:t>
      </w:r>
      <w:r w:rsidR="00EA491E">
        <w:rPr>
          <w:rFonts w:ascii="Times New Roman" w:hAnsi="Times New Roman" w:cs="Times New Roman"/>
        </w:rPr>
        <w:t>in uncovering biases and misconceptions within previous histories, his acceptance of the idea of a period of reform leaves much to be said. The main argument of this work is that the reform period, as it is known, should not be labeled, or even perhaps periodized as such. Guiding this claim is a wealth of scholarship on the German rule in East Africa that has been produced since Iliffe’s 1969 study.</w:t>
      </w:r>
      <w:r w:rsidR="002D097B">
        <w:rPr>
          <w:rStyle w:val="FootnoteReference"/>
          <w:rFonts w:ascii="Times New Roman" w:hAnsi="Times New Roman" w:cs="Times New Roman"/>
        </w:rPr>
        <w:footnoteReference w:id="7"/>
      </w:r>
      <w:r w:rsidR="00EA491E">
        <w:rPr>
          <w:rFonts w:ascii="Times New Roman" w:hAnsi="Times New Roman" w:cs="Times New Roman"/>
        </w:rPr>
        <w:t xml:space="preserve">  Many of these works deal with specific aspects of colonial rule, including slavery, cotton production, labor, and systems of exploitation, but none has come out definitively debunking the myth of the reform period. To this end, this study advances its own system of points in much the same fashion as Iliffe</w:t>
      </w:r>
      <w:r w:rsidR="00F00CFB">
        <w:rPr>
          <w:rFonts w:ascii="Times New Roman" w:hAnsi="Times New Roman" w:cs="Times New Roman"/>
        </w:rPr>
        <w:t xml:space="preserve"> to conclusively deny the existence of a reform period.</w:t>
      </w:r>
    </w:p>
    <w:p w14:paraId="24352FF3" w14:textId="15F64005" w:rsidR="00F00CFB" w:rsidRDefault="00F00CFB" w:rsidP="002D76C8">
      <w:pPr>
        <w:spacing w:line="360" w:lineRule="auto"/>
        <w:rPr>
          <w:rFonts w:ascii="Times New Roman" w:hAnsi="Times New Roman" w:cs="Times New Roman"/>
        </w:rPr>
      </w:pPr>
      <w:r>
        <w:rPr>
          <w:rFonts w:ascii="Times New Roman" w:hAnsi="Times New Roman" w:cs="Times New Roman"/>
        </w:rPr>
        <w:tab/>
      </w:r>
      <w:r w:rsidR="00333E3B">
        <w:rPr>
          <w:rFonts w:ascii="Times New Roman" w:hAnsi="Times New Roman" w:cs="Times New Roman"/>
        </w:rPr>
        <w:t>The first of these points revolves around the concept of a reform period, and how that idea was developed during the 1907 Reichstag elections. In the aftermath of the large rebellions in the German colonies of South-West and East Africa, there was indeed, as the older version of the history suggests, an outcry among the German public at the brutality and expense, in both financial and human costs</w:t>
      </w:r>
      <w:r w:rsidR="0073071D">
        <w:rPr>
          <w:rFonts w:ascii="Times New Roman" w:hAnsi="Times New Roman" w:cs="Times New Roman"/>
        </w:rPr>
        <w:t xml:space="preserve">, of the uprisings. Such was the extent of the scandal and the ensuing crisis that the government dissolved itself and new elections were called. In the run-up to these elections, Dernburg, the new colonial secretary, was sent around electioneering for the parties of order, explaining how the colonies would be reformed and how they would eventually benefit both Germany and the natives. His speeches at this time have become the basis of his historical legacy, in that the substance of reform has often been </w:t>
      </w:r>
      <w:r w:rsidR="0073071D">
        <w:rPr>
          <w:rFonts w:ascii="Times New Roman" w:hAnsi="Times New Roman" w:cs="Times New Roman"/>
        </w:rPr>
        <w:lastRenderedPageBreak/>
        <w:t xml:space="preserve">overlooked in favor of election promises. Starting from this point, this paper will show how this particular misreading of events occurred, and why exactly the misunderstanding proved so durable. </w:t>
      </w:r>
    </w:p>
    <w:p w14:paraId="2B87DB56" w14:textId="4F497CD9" w:rsidR="0073071D" w:rsidRDefault="0073071D" w:rsidP="002D76C8">
      <w:pPr>
        <w:spacing w:line="360" w:lineRule="auto"/>
        <w:rPr>
          <w:rFonts w:ascii="Times New Roman" w:hAnsi="Times New Roman" w:cs="Times New Roman"/>
        </w:rPr>
      </w:pPr>
      <w:r>
        <w:rPr>
          <w:rFonts w:ascii="Times New Roman" w:hAnsi="Times New Roman" w:cs="Times New Roman"/>
        </w:rPr>
        <w:tab/>
        <w:t xml:space="preserve">The second point of this study is that the economic growth of the colony, seized by both the older interpretation and Iliffe’s own as evidence, was to a large degree overstated. If Dernburg’s proposed program is taken as anything like a yardstick </w:t>
      </w:r>
      <w:r w:rsidR="00322272">
        <w:rPr>
          <w:rFonts w:ascii="Times New Roman" w:hAnsi="Times New Roman" w:cs="Times New Roman"/>
        </w:rPr>
        <w:t xml:space="preserve">for the success or failure of these so called reforms, then in economic terms, the reforms were lackluster at best. This point will be advanced particularly in regard to the raw materials that Dernburg was so keen on producing in the colonies for use in German industry. If one looks at the larger picture, rather than simply examining the rising production numbers, this point becomes clear. </w:t>
      </w:r>
    </w:p>
    <w:p w14:paraId="514769C5" w14:textId="720B0731" w:rsidR="00322272" w:rsidRDefault="00322272" w:rsidP="002D76C8">
      <w:pPr>
        <w:spacing w:line="360" w:lineRule="auto"/>
        <w:rPr>
          <w:rFonts w:ascii="Times New Roman" w:hAnsi="Times New Roman" w:cs="Times New Roman"/>
        </w:rPr>
      </w:pPr>
      <w:r>
        <w:rPr>
          <w:rFonts w:ascii="Times New Roman" w:hAnsi="Times New Roman" w:cs="Times New Roman"/>
        </w:rPr>
        <w:tab/>
        <w:t xml:space="preserve">The third point that this paper advances is that, much as the colony did </w:t>
      </w:r>
      <w:r w:rsidR="00447564">
        <w:rPr>
          <w:rFonts w:ascii="Times New Roman" w:hAnsi="Times New Roman" w:cs="Times New Roman"/>
        </w:rPr>
        <w:t xml:space="preserve">not </w:t>
      </w:r>
      <w:r>
        <w:rPr>
          <w:rFonts w:ascii="Times New Roman" w:hAnsi="Times New Roman" w:cs="Times New Roman"/>
        </w:rPr>
        <w:t>become the reformed booming producer of raw materials the Dernburg intended, its progress in social terms was equally dismal. Recent studies on exploitation in the colony by Juhani Koponen and the continuation of slavery under colonial rule, especially in the reform period, by Jan-Georg Deutsch, help to illustrate this point.</w:t>
      </w:r>
      <w:r>
        <w:rPr>
          <w:rStyle w:val="FootnoteReference"/>
          <w:rFonts w:ascii="Times New Roman" w:hAnsi="Times New Roman" w:cs="Times New Roman"/>
        </w:rPr>
        <w:footnoteReference w:id="8"/>
      </w:r>
      <w:r w:rsidR="006D3852">
        <w:rPr>
          <w:rFonts w:ascii="Times New Roman" w:hAnsi="Times New Roman" w:cs="Times New Roman"/>
          <w:vertAlign w:val="superscript"/>
        </w:rPr>
        <w:t>,</w:t>
      </w:r>
      <w:r w:rsidR="000C1089">
        <w:rPr>
          <w:rStyle w:val="FootnoteReference"/>
          <w:rFonts w:ascii="Times New Roman" w:hAnsi="Times New Roman" w:cs="Times New Roman"/>
        </w:rPr>
        <w:footnoteReference w:id="9"/>
      </w:r>
      <w:r>
        <w:rPr>
          <w:rFonts w:ascii="Times New Roman" w:hAnsi="Times New Roman" w:cs="Times New Roman"/>
        </w:rPr>
        <w:t xml:space="preserve"> </w:t>
      </w:r>
      <w:r w:rsidR="000C1089">
        <w:rPr>
          <w:rFonts w:ascii="Times New Roman" w:hAnsi="Times New Roman" w:cs="Times New Roman"/>
        </w:rPr>
        <w:t>As both their studies, and further research has shown, very little success occurred in regard to bettering the position of the natives, and where progress was made, it was often not because of, but despite the interference of the supposedly reform minded state.</w:t>
      </w:r>
      <w:r w:rsidR="000C1089">
        <w:rPr>
          <w:rStyle w:val="FootnoteReference"/>
          <w:rFonts w:ascii="Times New Roman" w:hAnsi="Times New Roman" w:cs="Times New Roman"/>
        </w:rPr>
        <w:footnoteReference w:id="10"/>
      </w:r>
      <w:r w:rsidR="000C1089">
        <w:rPr>
          <w:rFonts w:ascii="Times New Roman" w:hAnsi="Times New Roman" w:cs="Times New Roman"/>
        </w:rPr>
        <w:t xml:space="preserve"> </w:t>
      </w:r>
    </w:p>
    <w:p w14:paraId="33E212CC" w14:textId="041824A6" w:rsidR="00A6682C" w:rsidRDefault="00A6682C" w:rsidP="002D76C8">
      <w:pPr>
        <w:spacing w:line="360" w:lineRule="auto"/>
        <w:rPr>
          <w:rFonts w:ascii="Times New Roman" w:hAnsi="Times New Roman" w:cs="Times New Roman"/>
        </w:rPr>
      </w:pPr>
      <w:r>
        <w:rPr>
          <w:rFonts w:ascii="Times New Roman" w:hAnsi="Times New Roman" w:cs="Times New Roman"/>
        </w:rPr>
        <w:tab/>
        <w:t>The last major point of the argument flows from Dr. Iliffe’s third point, that the white settlers were able to oppose and ultimately reverse the policy of reform in the col</w:t>
      </w:r>
      <w:r w:rsidR="00EF455B">
        <w:rPr>
          <w:rFonts w:ascii="Times New Roman" w:hAnsi="Times New Roman" w:cs="Times New Roman"/>
        </w:rPr>
        <w:t xml:space="preserve">ony.  If this settler community was so successful in quickly opposing and reversing reforms, and these reforms never came in effect, why then would one bother to apply the label of reform to the period? Instead, as this paper will argue, the settlers represent a force of continuity over change, which will be expanded upon below as the nucleus of a different periodization of German East African History.  It is the hope of the study that the new periodization will provide a better vantage from which to view the admittedly short span of German Rule in East Africa, and provide a definite break with the biased historiographies of the colonial period. </w:t>
      </w:r>
    </w:p>
    <w:p w14:paraId="615CCDE9" w14:textId="77777777" w:rsidR="003E3A10" w:rsidRDefault="003E3A10" w:rsidP="002D76C8">
      <w:pPr>
        <w:spacing w:line="360" w:lineRule="auto"/>
        <w:rPr>
          <w:rFonts w:ascii="Times New Roman" w:hAnsi="Times New Roman" w:cs="Times New Roman"/>
        </w:rPr>
      </w:pPr>
    </w:p>
    <w:p w14:paraId="40F7805E" w14:textId="77777777" w:rsidR="004E22F3" w:rsidRDefault="004E22F3" w:rsidP="002D76C8">
      <w:pPr>
        <w:spacing w:line="360" w:lineRule="auto"/>
        <w:rPr>
          <w:rFonts w:ascii="Times New Roman" w:hAnsi="Times New Roman" w:cs="Times New Roman"/>
        </w:rPr>
      </w:pPr>
    </w:p>
    <w:p w14:paraId="7204620C" w14:textId="77777777" w:rsidR="004E22F3" w:rsidRDefault="004E22F3" w:rsidP="002D76C8">
      <w:pPr>
        <w:spacing w:line="360" w:lineRule="auto"/>
        <w:rPr>
          <w:rFonts w:ascii="Times New Roman" w:hAnsi="Times New Roman" w:cs="Times New Roman"/>
        </w:rPr>
      </w:pPr>
    </w:p>
    <w:p w14:paraId="05E46267" w14:textId="365476C2" w:rsidR="003E3A10" w:rsidRPr="004E22F3" w:rsidRDefault="0031118F" w:rsidP="002D76C8">
      <w:pPr>
        <w:spacing w:line="360" w:lineRule="auto"/>
        <w:jc w:val="center"/>
        <w:rPr>
          <w:rFonts w:ascii="Times New Roman" w:hAnsi="Times New Roman" w:cs="Times New Roman"/>
          <w:b/>
        </w:rPr>
      </w:pPr>
      <w:r w:rsidRPr="004E22F3">
        <w:rPr>
          <w:rFonts w:ascii="Times New Roman" w:hAnsi="Times New Roman" w:cs="Times New Roman"/>
          <w:b/>
        </w:rPr>
        <w:lastRenderedPageBreak/>
        <w:t>Methodology</w:t>
      </w:r>
      <w:r w:rsidR="00A3747F" w:rsidRPr="004E22F3">
        <w:rPr>
          <w:rFonts w:ascii="Times New Roman" w:hAnsi="Times New Roman" w:cs="Times New Roman"/>
          <w:b/>
        </w:rPr>
        <w:t xml:space="preserve"> &amp; Sources</w:t>
      </w:r>
    </w:p>
    <w:p w14:paraId="0C2B1063" w14:textId="259FB69A" w:rsidR="002864BA" w:rsidRDefault="00A3747F" w:rsidP="002D76C8">
      <w:pPr>
        <w:spacing w:line="360" w:lineRule="auto"/>
        <w:rPr>
          <w:rFonts w:ascii="Times New Roman" w:hAnsi="Times New Roman" w:cs="Times New Roman"/>
          <w:sz w:val="28"/>
          <w:szCs w:val="28"/>
        </w:rPr>
      </w:pPr>
      <w:r>
        <w:rPr>
          <w:rFonts w:ascii="Times New Roman" w:hAnsi="Times New Roman" w:cs="Times New Roman"/>
          <w:sz w:val="28"/>
          <w:szCs w:val="28"/>
        </w:rPr>
        <w:t xml:space="preserve"> </w:t>
      </w:r>
    </w:p>
    <w:p w14:paraId="6B0B137B" w14:textId="7CE5F7E3" w:rsidR="003955D5" w:rsidRDefault="003955D5" w:rsidP="002D76C8">
      <w:pPr>
        <w:spacing w:line="360" w:lineRule="auto"/>
        <w:rPr>
          <w:rFonts w:ascii="Times New Roman" w:hAnsi="Times New Roman" w:cs="Times New Roman"/>
        </w:rPr>
      </w:pPr>
      <w:r>
        <w:rPr>
          <w:rFonts w:ascii="Times New Roman" w:hAnsi="Times New Roman" w:cs="Times New Roman"/>
        </w:rPr>
        <w:tab/>
      </w:r>
      <w:r w:rsidR="00A90262">
        <w:rPr>
          <w:rFonts w:ascii="Times New Roman" w:hAnsi="Times New Roman" w:cs="Times New Roman"/>
        </w:rPr>
        <w:t xml:space="preserve">This study is based on </w:t>
      </w:r>
      <w:r w:rsidR="000F4B71">
        <w:rPr>
          <w:rFonts w:ascii="Times New Roman" w:hAnsi="Times New Roman" w:cs="Times New Roman"/>
        </w:rPr>
        <w:t>two</w:t>
      </w:r>
      <w:r w:rsidR="00A90262">
        <w:rPr>
          <w:rFonts w:ascii="Times New Roman" w:hAnsi="Times New Roman" w:cs="Times New Roman"/>
        </w:rPr>
        <w:t xml:space="preserve"> types of source material: </w:t>
      </w:r>
      <w:r w:rsidR="000F4B71">
        <w:rPr>
          <w:rFonts w:ascii="Times New Roman" w:hAnsi="Times New Roman" w:cs="Times New Roman"/>
        </w:rPr>
        <w:t xml:space="preserve">German accounts of the period, in the form of </w:t>
      </w:r>
      <w:r w:rsidR="00A90262">
        <w:rPr>
          <w:rFonts w:ascii="Times New Roman" w:hAnsi="Times New Roman" w:cs="Times New Roman"/>
        </w:rPr>
        <w:t xml:space="preserve">published memoirs and </w:t>
      </w:r>
      <w:r w:rsidR="00314F61">
        <w:rPr>
          <w:rFonts w:ascii="Times New Roman" w:hAnsi="Times New Roman" w:cs="Times New Roman"/>
        </w:rPr>
        <w:t xml:space="preserve">speeches of colonial officials and colonial activists, as well as </w:t>
      </w:r>
      <w:r w:rsidR="00A90262">
        <w:rPr>
          <w:rFonts w:ascii="Times New Roman" w:hAnsi="Times New Roman" w:cs="Times New Roman"/>
        </w:rPr>
        <w:t xml:space="preserve">documents collected </w:t>
      </w:r>
      <w:r w:rsidR="00A3747F">
        <w:rPr>
          <w:rFonts w:ascii="Times New Roman" w:hAnsi="Times New Roman" w:cs="Times New Roman"/>
        </w:rPr>
        <w:t xml:space="preserve">in the Berlin – Lichterfelde department of the Bundesarchiv, and the collected works of secondary sources on various subjects surrounding German rule in East Africa. The idea behind this approach is straightforward. Through a combination of official pronouncements, as well as statistics and letters from the colony itself, it is possible to grasp, granted without perfect accuracy, an idea of the differences between the statements of the government and the situation on the ground in German East Africa. </w:t>
      </w:r>
      <w:r w:rsidR="00B02A03">
        <w:rPr>
          <w:rFonts w:ascii="Times New Roman" w:hAnsi="Times New Roman" w:cs="Times New Roman"/>
        </w:rPr>
        <w:t xml:space="preserve">This approach is complimented by the large corpus of literature from other authors on the political, economic, and social areas which have been designated as the major points of argument, as well as discussions of the settler community which ultimately provides the new structure through which to examine the colony. </w:t>
      </w:r>
      <w:r w:rsidR="004A154F">
        <w:rPr>
          <w:rFonts w:ascii="Times New Roman" w:hAnsi="Times New Roman" w:cs="Times New Roman"/>
        </w:rPr>
        <w:t>The statistics and insights that other authors have provided in their research have been especially helpful in this endeavor, and I will not shy away from admitting that in my efforts I am stand</w:t>
      </w:r>
      <w:r w:rsidR="00314F61">
        <w:rPr>
          <w:rFonts w:ascii="Times New Roman" w:hAnsi="Times New Roman" w:cs="Times New Roman"/>
        </w:rPr>
        <w:t>ing on their shoulders. To</w:t>
      </w:r>
      <w:r w:rsidR="004A154F">
        <w:rPr>
          <w:rFonts w:ascii="Times New Roman" w:hAnsi="Times New Roman" w:cs="Times New Roman"/>
        </w:rPr>
        <w:t xml:space="preserve"> grasp the importance of the other authors and their work, however, necessitates a detailed discussion of the historiography of German East Africa, an explanation of how these works have influenced my own views, and placement within the structure of my ultimate argument in debunking the myth of reform in that colony. </w:t>
      </w:r>
    </w:p>
    <w:p w14:paraId="05BF1386" w14:textId="12E25210" w:rsidR="00491E0D" w:rsidRDefault="00491E0D" w:rsidP="002D76C8">
      <w:pPr>
        <w:spacing w:line="360" w:lineRule="auto"/>
        <w:rPr>
          <w:rFonts w:ascii="Times New Roman" w:hAnsi="Times New Roman" w:cs="Times New Roman"/>
        </w:rPr>
      </w:pPr>
      <w:r>
        <w:rPr>
          <w:rFonts w:ascii="Times New Roman" w:hAnsi="Times New Roman" w:cs="Times New Roman"/>
        </w:rPr>
        <w:tab/>
      </w:r>
      <w:r w:rsidR="00703BE1">
        <w:rPr>
          <w:rFonts w:ascii="Times New Roman" w:hAnsi="Times New Roman" w:cs="Times New Roman"/>
        </w:rPr>
        <w:t xml:space="preserve">The first of the categories of secondary literature useful to the study at hand involve the political context of the supposed reform era.  That is to say, these works involve themselves, though not always in their entirety, with the situation in the Reichstag and the elections to that body in 1907.  This is important, for it was during this period that the idea of a reform era first came about. Without discussing the implications of this election, any progress on removing the aura surrounding the Dernburg reforms would be severely hampered. That said, though there are many works on this subject, three in particular have been especially useful in linking the importance of the colonies to the 1907 elections, and the importance of the elections to German East Africa especially. </w:t>
      </w:r>
    </w:p>
    <w:p w14:paraId="0C8CDC0B" w14:textId="62DB30E4" w:rsidR="00703BE1" w:rsidRDefault="00703BE1" w:rsidP="002D76C8">
      <w:pPr>
        <w:spacing w:line="360" w:lineRule="auto"/>
        <w:rPr>
          <w:rFonts w:ascii="Times New Roman" w:hAnsi="Times New Roman" w:cs="Times New Roman"/>
        </w:rPr>
      </w:pPr>
      <w:r>
        <w:rPr>
          <w:rFonts w:ascii="Times New Roman" w:hAnsi="Times New Roman" w:cs="Times New Roman"/>
        </w:rPr>
        <w:tab/>
      </w:r>
      <w:r w:rsidR="002F7834">
        <w:rPr>
          <w:rFonts w:ascii="Times New Roman" w:hAnsi="Times New Roman" w:cs="Times New Roman"/>
        </w:rPr>
        <w:t xml:space="preserve">The first of these books, rather surprisingly, is a somewhat ancient tome on the elections themselves. George Dunlap Crothers wrote his </w:t>
      </w:r>
      <w:r w:rsidR="002F7834">
        <w:rPr>
          <w:rFonts w:ascii="Times New Roman" w:hAnsi="Times New Roman" w:cs="Times New Roman"/>
          <w:i/>
        </w:rPr>
        <w:t>The German Elections of 1907</w:t>
      </w:r>
      <w:r w:rsidR="002F7834">
        <w:rPr>
          <w:rFonts w:ascii="Times New Roman" w:hAnsi="Times New Roman" w:cs="Times New Roman"/>
        </w:rPr>
        <w:t xml:space="preserve"> in 1941, well within the scope of the old colonial version of the reform period.</w:t>
      </w:r>
      <w:r w:rsidR="002F7834">
        <w:rPr>
          <w:rStyle w:val="FootnoteReference"/>
          <w:rFonts w:ascii="Times New Roman" w:hAnsi="Times New Roman" w:cs="Times New Roman"/>
        </w:rPr>
        <w:footnoteReference w:id="11"/>
      </w:r>
      <w:r w:rsidR="002F7834">
        <w:rPr>
          <w:rFonts w:ascii="Times New Roman" w:hAnsi="Times New Roman" w:cs="Times New Roman"/>
        </w:rPr>
        <w:t xml:space="preserve"> Nevertheless, </w:t>
      </w:r>
      <w:r w:rsidR="002F7834">
        <w:rPr>
          <w:rFonts w:ascii="Times New Roman" w:hAnsi="Times New Roman" w:cs="Times New Roman"/>
        </w:rPr>
        <w:lastRenderedPageBreak/>
        <w:t xml:space="preserve">and probably owing in part to the dearth of later literature on the subject, Crothers largely narrative account of the elections remains the best English language summary of the events and reasons behind what was to be known as the Hottentot election. </w:t>
      </w:r>
      <w:r w:rsidR="00E53FB7">
        <w:rPr>
          <w:rFonts w:ascii="Times New Roman" w:hAnsi="Times New Roman" w:cs="Times New Roman"/>
        </w:rPr>
        <w:t xml:space="preserve">Crothers begins with a discussion of the reasons for the colonial crisis that forms the major reason for the later elections. This, as should be noted, had much more to do with Germany’s colony in South West Africa, rather than its Eastern possession on which this study is centered. He then continues with an explanation of the nature of the German Reichstag in 1906 and the more powerful parties, including detailed accounts of their motives and agendas. Two of these motivations are especially important, and lucidly described. The first of these is that of the German center, and confessional catholic party, the </w:t>
      </w:r>
      <w:r w:rsidR="00E53FB7">
        <w:rPr>
          <w:rFonts w:ascii="Times New Roman" w:hAnsi="Times New Roman" w:cs="Times New Roman"/>
          <w:i/>
        </w:rPr>
        <w:t>Zentrum</w:t>
      </w:r>
      <w:r w:rsidR="00E53FB7">
        <w:rPr>
          <w:rFonts w:ascii="Times New Roman" w:hAnsi="Times New Roman" w:cs="Times New Roman"/>
        </w:rPr>
        <w:t>, which was attempting to gain control of the purse strings of government through a blockage of colonial bills.</w:t>
      </w:r>
      <w:r w:rsidR="00E53FB7">
        <w:rPr>
          <w:rStyle w:val="FootnoteReference"/>
          <w:rFonts w:ascii="Times New Roman" w:hAnsi="Times New Roman" w:cs="Times New Roman"/>
        </w:rPr>
        <w:footnoteReference w:id="12"/>
      </w:r>
      <w:r w:rsidR="00E53FB7">
        <w:rPr>
          <w:rFonts w:ascii="Times New Roman" w:hAnsi="Times New Roman" w:cs="Times New Roman"/>
        </w:rPr>
        <w:t xml:space="preserve"> The second important motive discussed is that of the Chancellor, von Bülow, who, more than anything else was concerned with his own job security. </w:t>
      </w:r>
      <w:r w:rsidR="00026518">
        <w:rPr>
          <w:rFonts w:ascii="Times New Roman" w:hAnsi="Times New Roman" w:cs="Times New Roman"/>
        </w:rPr>
        <w:t>The main thrust of the book, however, is its assertion that the 1907 elections represent a distinct surge in national and imperial enthusiasm that was not to wane until after the First World War.</w:t>
      </w:r>
      <w:r w:rsidR="00A2150A">
        <w:rPr>
          <w:rStyle w:val="FootnoteReference"/>
          <w:rFonts w:ascii="Times New Roman" w:hAnsi="Times New Roman" w:cs="Times New Roman"/>
        </w:rPr>
        <w:footnoteReference w:id="13"/>
      </w:r>
      <w:r w:rsidR="00A2150A">
        <w:rPr>
          <w:rFonts w:ascii="Times New Roman" w:hAnsi="Times New Roman" w:cs="Times New Roman"/>
        </w:rPr>
        <w:t xml:space="preserve"> Unfortunately t</w:t>
      </w:r>
      <w:r w:rsidR="00026518">
        <w:rPr>
          <w:rFonts w:ascii="Times New Roman" w:hAnsi="Times New Roman" w:cs="Times New Roman"/>
        </w:rPr>
        <w:t>hat point</w:t>
      </w:r>
      <w:r w:rsidR="00A2150A">
        <w:rPr>
          <w:rFonts w:ascii="Times New Roman" w:hAnsi="Times New Roman" w:cs="Times New Roman"/>
        </w:rPr>
        <w:t xml:space="preserve">, though well articulated, </w:t>
      </w:r>
      <w:r w:rsidR="00026518">
        <w:rPr>
          <w:rFonts w:ascii="Times New Roman" w:hAnsi="Times New Roman" w:cs="Times New Roman"/>
        </w:rPr>
        <w:t>is not directly relevant to this study.</w:t>
      </w:r>
    </w:p>
    <w:p w14:paraId="61A52B4D" w14:textId="090E8B51" w:rsidR="00026518" w:rsidRDefault="00026518" w:rsidP="002D76C8">
      <w:pPr>
        <w:spacing w:line="360" w:lineRule="auto"/>
        <w:rPr>
          <w:rFonts w:ascii="Times New Roman" w:hAnsi="Times New Roman" w:cs="Times New Roman"/>
        </w:rPr>
      </w:pPr>
      <w:r>
        <w:rPr>
          <w:rFonts w:ascii="Times New Roman" w:hAnsi="Times New Roman" w:cs="Times New Roman"/>
        </w:rPr>
        <w:tab/>
      </w:r>
      <w:r w:rsidR="002A3EB6">
        <w:rPr>
          <w:rFonts w:ascii="Times New Roman" w:hAnsi="Times New Roman" w:cs="Times New Roman"/>
        </w:rPr>
        <w:t xml:space="preserve">The second book of note in describing the political context of the development of the idea of a reform period was written much more recently. Woodruff D. Smith’s </w:t>
      </w:r>
      <w:r w:rsidR="00CE203B">
        <w:rPr>
          <w:rFonts w:ascii="Times New Roman" w:hAnsi="Times New Roman" w:cs="Times New Roman"/>
          <w:i/>
        </w:rPr>
        <w:t>German Colonial Empire</w:t>
      </w:r>
      <w:r w:rsidR="00CE203B">
        <w:rPr>
          <w:rFonts w:ascii="Times New Roman" w:hAnsi="Times New Roman" w:cs="Times New Roman"/>
        </w:rPr>
        <w:t xml:space="preserve"> is another narrative account, but much broader in scope, covering the entire span of German colonial history.</w:t>
      </w:r>
      <w:r w:rsidR="00CE203B">
        <w:rPr>
          <w:rStyle w:val="FootnoteReference"/>
          <w:rFonts w:ascii="Times New Roman" w:hAnsi="Times New Roman" w:cs="Times New Roman"/>
        </w:rPr>
        <w:footnoteReference w:id="14"/>
      </w:r>
      <w:r w:rsidR="00CE203B">
        <w:rPr>
          <w:rFonts w:ascii="Times New Roman" w:hAnsi="Times New Roman" w:cs="Times New Roman"/>
        </w:rPr>
        <w:t xml:space="preserve"> Within this all-encompassing trajectory are two chapters of impressive clarity and substantial use to this study. Of most importance is Smith’</w:t>
      </w:r>
      <w:r w:rsidR="00681ECB">
        <w:rPr>
          <w:rFonts w:ascii="Times New Roman" w:hAnsi="Times New Roman" w:cs="Times New Roman"/>
        </w:rPr>
        <w:t xml:space="preserve">s account of Colonial Secretary </w:t>
      </w:r>
      <w:r w:rsidR="00CE203B">
        <w:rPr>
          <w:rFonts w:ascii="Times New Roman" w:hAnsi="Times New Roman" w:cs="Times New Roman"/>
        </w:rPr>
        <w:t xml:space="preserve">Dernburg’s appointment to his position as an integral part of the campaign conducted by the parties of order. The value of this argument is its link between the demands of an election campaign and Dernburg’s election speeches. In the next chapter, Smith goes on to </w:t>
      </w:r>
      <w:r w:rsidR="00953D76">
        <w:rPr>
          <w:rFonts w:ascii="Times New Roman" w:hAnsi="Times New Roman" w:cs="Times New Roman"/>
        </w:rPr>
        <w:t xml:space="preserve">explain the Dernburg era. While critical of the eventual outcome of the reform period, Smith still labels it as such, and uses it as a definitive break in his periodization of the German Colonial Empire. </w:t>
      </w:r>
      <w:r w:rsidR="007B01FC">
        <w:rPr>
          <w:rFonts w:ascii="Times New Roman" w:hAnsi="Times New Roman" w:cs="Times New Roman"/>
        </w:rPr>
        <w:t xml:space="preserve">Unlike many of the other sources surrounding German rule in East Africa, this book centers almost exclusively on the political and administrative aspects of the empire. While this makes for a rather one-sided narrative of German rule, it suits this paper’s needs admirably. </w:t>
      </w:r>
    </w:p>
    <w:p w14:paraId="7DC0597D" w14:textId="17B9A14E" w:rsidR="007B01FC" w:rsidRDefault="007B01FC" w:rsidP="002D76C8">
      <w:pPr>
        <w:spacing w:line="360" w:lineRule="auto"/>
        <w:rPr>
          <w:rFonts w:ascii="Times New Roman" w:hAnsi="Times New Roman" w:cs="Times New Roman"/>
        </w:rPr>
      </w:pPr>
      <w:r>
        <w:rPr>
          <w:rFonts w:ascii="Times New Roman" w:hAnsi="Times New Roman" w:cs="Times New Roman"/>
        </w:rPr>
        <w:lastRenderedPageBreak/>
        <w:tab/>
        <w:t xml:space="preserve">The third book of use in understanding the political context of the reform period has already been described in part above. </w:t>
      </w:r>
      <w:r w:rsidR="00631126">
        <w:rPr>
          <w:rFonts w:ascii="Times New Roman" w:hAnsi="Times New Roman" w:cs="Times New Roman"/>
        </w:rPr>
        <w:t xml:space="preserve"> John Iliffe’s definitive work on German East Africa, while devoted in large part to the idea of the reform period, also contains a useful ch</w:t>
      </w:r>
      <w:r w:rsidR="000F40B3">
        <w:rPr>
          <w:rFonts w:ascii="Times New Roman" w:hAnsi="Times New Roman" w:cs="Times New Roman"/>
        </w:rPr>
        <w:t>apter on the political context.</w:t>
      </w:r>
      <w:r w:rsidR="000F40B3">
        <w:rPr>
          <w:rStyle w:val="FootnoteReference"/>
          <w:rFonts w:ascii="Times New Roman" w:hAnsi="Times New Roman" w:cs="Times New Roman"/>
        </w:rPr>
        <w:footnoteReference w:id="15"/>
      </w:r>
      <w:r w:rsidR="000F40B3">
        <w:rPr>
          <w:rFonts w:ascii="Times New Roman" w:hAnsi="Times New Roman" w:cs="Times New Roman"/>
        </w:rPr>
        <w:t xml:space="preserve"> Iliffe begins with a description of the colonies position within the German government, and their importance to it. He then goes on to describe the colonial crisis of 1906 and the reasons for it. Unlike Crothers and Smith, Iliffe is much more vocal about the reasoning behind the Reichstag dissolution of 190</w:t>
      </w:r>
      <w:r w:rsidR="0071653C">
        <w:rPr>
          <w:rFonts w:ascii="Times New Roman" w:hAnsi="Times New Roman" w:cs="Times New Roman"/>
        </w:rPr>
        <w:t>6, stating, unequivocally that the root of the crisis was, “the government’s determination to reverse socialist gains.”</w:t>
      </w:r>
      <w:r w:rsidR="0071653C">
        <w:rPr>
          <w:rStyle w:val="FootnoteReference"/>
          <w:rFonts w:ascii="Times New Roman" w:hAnsi="Times New Roman" w:cs="Times New Roman"/>
        </w:rPr>
        <w:footnoteReference w:id="16"/>
      </w:r>
      <w:r w:rsidR="0071653C">
        <w:rPr>
          <w:rFonts w:ascii="Times New Roman" w:hAnsi="Times New Roman" w:cs="Times New Roman"/>
        </w:rPr>
        <w:t xml:space="preserve"> Iliffe then goes on, much in line with Crothers, to describe the motives of the various parties involved, though owing to the limited scope of his chapter, in far less detail. He explains the appointment of Dernburg, and Dernburg’s aims for the colonies. He is rightly suspicious of Dernburg’s reform agenda, but ultimately concludes his remarks on the political context of the reform period by suggesting that, “Dernburg’s term of office as Colonial Secretary was an era of genuine reform.”</w:t>
      </w:r>
      <w:r w:rsidR="0071653C">
        <w:rPr>
          <w:rStyle w:val="FootnoteReference"/>
          <w:rFonts w:ascii="Times New Roman" w:hAnsi="Times New Roman" w:cs="Times New Roman"/>
        </w:rPr>
        <w:footnoteReference w:id="17"/>
      </w:r>
      <w:r w:rsidR="0071653C">
        <w:rPr>
          <w:rFonts w:ascii="Times New Roman" w:hAnsi="Times New Roman" w:cs="Times New Roman"/>
        </w:rPr>
        <w:t xml:space="preserve"> This might seem strange in light of his previous criticism, but he holds that line through the rest of the work. That is of course, ultimately this paper’s problem with Iliffe’s book, but does not dilute the usefulness of his several incisive points on the political context of the reform period he set out to describe. </w:t>
      </w:r>
    </w:p>
    <w:p w14:paraId="3EDEE96D" w14:textId="2CA5A698" w:rsidR="00DE72CA" w:rsidRDefault="00DE72CA" w:rsidP="002D76C8">
      <w:pPr>
        <w:spacing w:line="360" w:lineRule="auto"/>
        <w:rPr>
          <w:rFonts w:ascii="Times New Roman" w:hAnsi="Times New Roman" w:cs="Times New Roman"/>
        </w:rPr>
      </w:pPr>
      <w:r>
        <w:rPr>
          <w:rFonts w:ascii="Times New Roman" w:hAnsi="Times New Roman" w:cs="Times New Roman"/>
        </w:rPr>
        <w:tab/>
        <w:t xml:space="preserve">The second of the relevant categories of historiography pertaining to this study is that which brings in the more tangible realities of the so-called reform period, with reference to the claims of its theoretical leader, Dernburg. As will be discussed below, the major aspects of Dernburg’s intended reforms can be grouped into economic and social categories, themselves making up the more empirical part of </w:t>
      </w:r>
      <w:r w:rsidR="00FF5856">
        <w:rPr>
          <w:rFonts w:ascii="Times New Roman" w:hAnsi="Times New Roman" w:cs="Times New Roman"/>
        </w:rPr>
        <w:t xml:space="preserve">the research contained within this paper. Many of these topics overlap, and it has therefore been useful to combine the two into one section of historiography, producing a more coherent structure. </w:t>
      </w:r>
    </w:p>
    <w:p w14:paraId="69F4DEA5" w14:textId="2D172B09" w:rsidR="00FF5856" w:rsidRDefault="00FF5856" w:rsidP="002D76C8">
      <w:pPr>
        <w:spacing w:line="360" w:lineRule="auto"/>
        <w:rPr>
          <w:rFonts w:ascii="Times New Roman" w:hAnsi="Times New Roman" w:cs="Times New Roman"/>
        </w:rPr>
      </w:pPr>
      <w:r>
        <w:rPr>
          <w:rFonts w:ascii="Times New Roman" w:hAnsi="Times New Roman" w:cs="Times New Roman"/>
        </w:rPr>
        <w:tab/>
        <w:t xml:space="preserve">The first of the useful sources regarding social and economic change during the reform era in German East Africa has been described, but it is worth noting John Iliffe’s work again, in respect to its usefulness to later chapters. </w:t>
      </w:r>
      <w:r w:rsidR="005309AE">
        <w:rPr>
          <w:rFonts w:ascii="Times New Roman" w:hAnsi="Times New Roman" w:cs="Times New Roman"/>
        </w:rPr>
        <w:t xml:space="preserve">While also describing the political background of the reform era, Iliffe also discusses at length the economic and social changes that occurred within German East Africa. To be fair, Iliffe’s work does not fit newer interpretations of the reform period, but is useful in many ways. While Iliffe claims that social changes formed a large part of the reform period, he does not cite them very clearly, </w:t>
      </w:r>
      <w:r w:rsidR="005309AE">
        <w:rPr>
          <w:rFonts w:ascii="Times New Roman" w:hAnsi="Times New Roman" w:cs="Times New Roman"/>
        </w:rPr>
        <w:lastRenderedPageBreak/>
        <w:t xml:space="preserve">and ultimately admits that many of these policies changed or were eventually reversed by the rise of the settler community. He also describes economic changes within the colony, but again, is forced to explain that </w:t>
      </w:r>
      <w:r w:rsidR="00A01FE3">
        <w:rPr>
          <w:rFonts w:ascii="Times New Roman" w:hAnsi="Times New Roman" w:cs="Times New Roman"/>
        </w:rPr>
        <w:t>those same settlers halted most of these changes. This seeming paradox between Iliffe’s claim of a period of “genuine reform,” and later admission of that reform’s failure in sense sows the seeds of this paper’s argument for a new historical periodization and trajectory.</w:t>
      </w:r>
      <w:r w:rsidR="008D33FE">
        <w:rPr>
          <w:rStyle w:val="FootnoteReference"/>
          <w:rFonts w:ascii="Times New Roman" w:hAnsi="Times New Roman" w:cs="Times New Roman"/>
        </w:rPr>
        <w:footnoteReference w:id="18"/>
      </w:r>
      <w:r w:rsidR="00A01FE3">
        <w:rPr>
          <w:rFonts w:ascii="Times New Roman" w:hAnsi="Times New Roman" w:cs="Times New Roman"/>
        </w:rPr>
        <w:t xml:space="preserve"> Despite this, Iliffe’s work is still very insightful, and provides ample detail of the historical processes at work during the reform period. </w:t>
      </w:r>
    </w:p>
    <w:p w14:paraId="4E7A4C51" w14:textId="501A599B" w:rsidR="00A01FE3" w:rsidRDefault="00A01FE3" w:rsidP="002D76C8">
      <w:pPr>
        <w:spacing w:line="360" w:lineRule="auto"/>
        <w:rPr>
          <w:rFonts w:ascii="Times New Roman" w:hAnsi="Times New Roman" w:cs="Times New Roman"/>
        </w:rPr>
      </w:pPr>
      <w:r>
        <w:rPr>
          <w:rFonts w:ascii="Times New Roman" w:hAnsi="Times New Roman" w:cs="Times New Roman"/>
        </w:rPr>
        <w:tab/>
        <w:t xml:space="preserve">A second valuable work in terms of both social and economic change in German East Africa during Dernburg’s tenure in office is the Finnish scholar, Juhani Koponen’s book, </w:t>
      </w:r>
      <w:r>
        <w:rPr>
          <w:rFonts w:ascii="Times New Roman" w:hAnsi="Times New Roman" w:cs="Times New Roman"/>
          <w:i/>
        </w:rPr>
        <w:t>Development for Exploitation: German Colonial Policies in Mainland Tanzania, 1884 – 1914</w:t>
      </w:r>
      <w:r>
        <w:rPr>
          <w:rFonts w:ascii="Times New Roman" w:hAnsi="Times New Roman" w:cs="Times New Roman"/>
        </w:rPr>
        <w:t xml:space="preserve">. </w:t>
      </w:r>
      <w:r w:rsidR="000205FD">
        <w:rPr>
          <w:rFonts w:ascii="Times New Roman" w:hAnsi="Times New Roman" w:cs="Times New Roman"/>
        </w:rPr>
        <w:t xml:space="preserve">This much more modern book, published in 1995, </w:t>
      </w:r>
      <w:r w:rsidR="00FA51F8">
        <w:rPr>
          <w:rFonts w:ascii="Times New Roman" w:hAnsi="Times New Roman" w:cs="Times New Roman"/>
        </w:rPr>
        <w:t xml:space="preserve">is admittedly tilted towards a description of the economics of the colony than social issues, and spans the entire length of German rule, rather than a select period like Iliffe’s. However, Koponen’s work is much more critical of the reform period than Iliffe, and should his work have been a narrative rather than a concerted attempt to show that German East Africa was developed primarily to be best exploited, rather than to help the natives or even civilize them, it might have made this particular study unnecessary. </w:t>
      </w:r>
      <w:r w:rsidR="008D33FE">
        <w:rPr>
          <w:rFonts w:ascii="Times New Roman" w:hAnsi="Times New Roman" w:cs="Times New Roman"/>
        </w:rPr>
        <w:t xml:space="preserve">As it stands though, Koponen’s lengthy work contains invaluable chapters describing the social and economic changes in the colony during the supposed reform period with a rightfully critical eye. </w:t>
      </w:r>
      <w:r w:rsidR="00681ECB">
        <w:rPr>
          <w:rFonts w:ascii="Times New Roman" w:hAnsi="Times New Roman" w:cs="Times New Roman"/>
        </w:rPr>
        <w:t>Thomas Sunseri, however, harshly criticizes his book,</w:t>
      </w:r>
      <w:r w:rsidR="008D33FE">
        <w:rPr>
          <w:rFonts w:ascii="Times New Roman" w:hAnsi="Times New Roman" w:cs="Times New Roman"/>
        </w:rPr>
        <w:t xml:space="preserve"> for its over-focus on economic matters as the driving force of history, and its ignorance in regard to the perspective of the average African native. </w:t>
      </w:r>
    </w:p>
    <w:p w14:paraId="0B2EC652" w14:textId="3ADEF7F0" w:rsidR="008D33FE" w:rsidRDefault="008D33FE" w:rsidP="002D76C8">
      <w:pPr>
        <w:spacing w:line="360" w:lineRule="auto"/>
        <w:rPr>
          <w:rFonts w:ascii="Times New Roman" w:hAnsi="Times New Roman" w:cs="Times New Roman"/>
        </w:rPr>
      </w:pPr>
      <w:r>
        <w:rPr>
          <w:rFonts w:ascii="Times New Roman" w:hAnsi="Times New Roman" w:cs="Times New Roman"/>
        </w:rPr>
        <w:tab/>
        <w:t xml:space="preserve">This brings up the third work of note that proved useful in an assessment of he empirical results of the reform period in German East Africa. Thomas Sunseri’s Ph.D. dissertation, </w:t>
      </w:r>
      <w:r>
        <w:rPr>
          <w:rFonts w:ascii="Times New Roman" w:hAnsi="Times New Roman" w:cs="Times New Roman"/>
          <w:i/>
        </w:rPr>
        <w:t>A Social History of Cotton Production in German East Africa 1884 – 1915</w:t>
      </w:r>
      <w:r w:rsidR="00A71F6F">
        <w:rPr>
          <w:rFonts w:ascii="Times New Roman" w:hAnsi="Times New Roman" w:cs="Times New Roman"/>
        </w:rPr>
        <w:t>, published in 1993</w:t>
      </w:r>
      <w:r>
        <w:rPr>
          <w:rFonts w:ascii="Times New Roman" w:hAnsi="Times New Roman" w:cs="Times New Roman"/>
        </w:rPr>
        <w:t xml:space="preserve">, provides another useful modern perspective dedicated solely to German East Africa. Where Koponen focused primarily on economic issues, Sunseri has largely opted for a social approach. Though Sunseri is quite critical of Koponen’s </w:t>
      </w:r>
      <w:r w:rsidR="008C60AD">
        <w:rPr>
          <w:rFonts w:ascii="Times New Roman" w:hAnsi="Times New Roman" w:cs="Times New Roman"/>
        </w:rPr>
        <w:t>work in a review on the topic, in practice the works can be seen as complimentary.</w:t>
      </w:r>
      <w:r w:rsidR="008C60AD">
        <w:rPr>
          <w:rStyle w:val="FootnoteReference"/>
          <w:rFonts w:ascii="Times New Roman" w:hAnsi="Times New Roman" w:cs="Times New Roman"/>
        </w:rPr>
        <w:footnoteReference w:id="19"/>
      </w:r>
      <w:r w:rsidR="008C60AD">
        <w:rPr>
          <w:rFonts w:ascii="Times New Roman" w:hAnsi="Times New Roman" w:cs="Times New Roman"/>
        </w:rPr>
        <w:t xml:space="preserve"> Whereas Koponen is ultimately critical of the efficacy of the economic development of the colony, Sunseri is equally critical of the aspects of social reform claimed to have been carried out by the German authorities. </w:t>
      </w:r>
      <w:r w:rsidR="00D82C2F">
        <w:rPr>
          <w:rFonts w:ascii="Times New Roman" w:hAnsi="Times New Roman" w:cs="Times New Roman"/>
        </w:rPr>
        <w:t xml:space="preserve">On the whole, however, while Sunseri claims that Koponen has focused too much on </w:t>
      </w:r>
      <w:r w:rsidR="00D82C2F">
        <w:rPr>
          <w:rFonts w:ascii="Times New Roman" w:hAnsi="Times New Roman" w:cs="Times New Roman"/>
        </w:rPr>
        <w:lastRenderedPageBreak/>
        <w:t xml:space="preserve">economic issues, it would seem instead the Sunseri’s work is the more lopsided of the two. This of course, does not detract from its overall value to the study. </w:t>
      </w:r>
    </w:p>
    <w:p w14:paraId="70FBA23D" w14:textId="2549C4A8" w:rsidR="00D82C2F" w:rsidRDefault="00D82C2F" w:rsidP="002D76C8">
      <w:pPr>
        <w:spacing w:line="360" w:lineRule="auto"/>
        <w:rPr>
          <w:rFonts w:ascii="Times New Roman" w:hAnsi="Times New Roman" w:cs="Times New Roman"/>
        </w:rPr>
      </w:pPr>
      <w:r>
        <w:rPr>
          <w:rFonts w:ascii="Times New Roman" w:hAnsi="Times New Roman" w:cs="Times New Roman"/>
        </w:rPr>
        <w:tab/>
        <w:t>A fourth useful source on what we might call the situation on the ground in German East Africa</w:t>
      </w:r>
      <w:r w:rsidR="004914C5">
        <w:rPr>
          <w:rFonts w:ascii="Times New Roman" w:hAnsi="Times New Roman" w:cs="Times New Roman"/>
        </w:rPr>
        <w:t xml:space="preserve"> is Jan-Georg Deutsch’s work, </w:t>
      </w:r>
      <w:r w:rsidR="004914C5">
        <w:rPr>
          <w:rFonts w:ascii="Times New Roman" w:hAnsi="Times New Roman" w:cs="Times New Roman"/>
          <w:i/>
        </w:rPr>
        <w:t>Emancipation without Abolition in German East Africa c. 1884 – 1914.</w:t>
      </w:r>
      <w:r w:rsidR="004914C5">
        <w:rPr>
          <w:rFonts w:ascii="Times New Roman" w:hAnsi="Times New Roman" w:cs="Times New Roman"/>
        </w:rPr>
        <w:t xml:space="preserve"> Like Sunseri’s study of cotton production, Deutsch’s book focuses mostly on social issues within the colony. Being the most recent publication of the sources, dating from 2006, it also unsurprisingly takes one of the harsher views on the idea of the reform period. Deutsch outlines the development of slavery in East Africa before the German occupation, and then explains, with excellent archival evidence, the continuation of slavery under German rule. Deutsch rather boldly asserts that slavery ultimately did not decline because of, but rather </w:t>
      </w:r>
      <w:r w:rsidR="004914C5">
        <w:rPr>
          <w:rFonts w:ascii="Times New Roman" w:hAnsi="Times New Roman" w:cs="Times New Roman"/>
          <w:i/>
        </w:rPr>
        <w:t>in spite of</w:t>
      </w:r>
      <w:r w:rsidR="004914C5">
        <w:rPr>
          <w:rFonts w:ascii="Times New Roman" w:hAnsi="Times New Roman" w:cs="Times New Roman"/>
        </w:rPr>
        <w:t xml:space="preserve"> German efforts. This of course, is extremely helpful in this study’s attempt to debunk the myth of the reform period in German East African history. Much like Koponen, if Deutsch’s work had been a complete narrative of German rule, rather than a selective study, it might have rendered this study of little use.</w:t>
      </w:r>
      <w:r w:rsidR="004F1E93">
        <w:rPr>
          <w:rFonts w:ascii="Times New Roman" w:hAnsi="Times New Roman" w:cs="Times New Roman"/>
        </w:rPr>
        <w:t xml:space="preserve"> Given the circumstances, however, a combination of the two works provides an excellent reappraisal of German rule in a broader context than either of the two authors attempted themselves. </w:t>
      </w:r>
    </w:p>
    <w:p w14:paraId="1A0A1735" w14:textId="163B4036" w:rsidR="004F1E93" w:rsidRDefault="004F1E93" w:rsidP="002D76C8">
      <w:pPr>
        <w:spacing w:line="360" w:lineRule="auto"/>
        <w:rPr>
          <w:rFonts w:ascii="Times New Roman" w:hAnsi="Times New Roman" w:cs="Times New Roman"/>
        </w:rPr>
      </w:pPr>
      <w:r>
        <w:rPr>
          <w:rFonts w:ascii="Times New Roman" w:hAnsi="Times New Roman" w:cs="Times New Roman"/>
        </w:rPr>
        <w:tab/>
      </w:r>
      <w:r w:rsidR="00C72E46">
        <w:rPr>
          <w:rFonts w:ascii="Times New Roman" w:hAnsi="Times New Roman" w:cs="Times New Roman"/>
        </w:rPr>
        <w:t>Besides English language examples, there is also an abundance of German language material on German East Africa. This paper centers itself mainly on a reappraisal of the English language history of German East Africa, which is largely less critical of the reform era than its German counterparts</w:t>
      </w:r>
      <w:r w:rsidR="00F122F0">
        <w:rPr>
          <w:rFonts w:ascii="Times New Roman" w:hAnsi="Times New Roman" w:cs="Times New Roman"/>
        </w:rPr>
        <w:t xml:space="preserve">. However, German language sources have proved useful on their own, and two examples in particular provide a good viewpoint. These are Rainer Tetzlaff’s </w:t>
      </w:r>
      <w:r w:rsidR="00F122F0">
        <w:rPr>
          <w:rFonts w:ascii="Times New Roman" w:hAnsi="Times New Roman" w:cs="Times New Roman"/>
          <w:i/>
        </w:rPr>
        <w:t>Koloniale Entwicklung und Ausbeutung: Wirtschafts – und Sozialgeschichte Deutsch – Ostafrikas 1885 – 1914</w:t>
      </w:r>
      <w:r w:rsidR="00F122F0">
        <w:rPr>
          <w:rFonts w:ascii="Times New Roman" w:hAnsi="Times New Roman" w:cs="Times New Roman"/>
        </w:rPr>
        <w:t xml:space="preserve">, and Detleff Bald’s </w:t>
      </w:r>
      <w:r w:rsidR="00F122F0">
        <w:rPr>
          <w:rFonts w:ascii="Times New Roman" w:hAnsi="Times New Roman" w:cs="Times New Roman"/>
          <w:i/>
        </w:rPr>
        <w:t>Deutsch – Ostafrika 1900 – 1914.</w:t>
      </w:r>
      <w:r w:rsidR="00F122F0">
        <w:rPr>
          <w:rFonts w:ascii="Times New Roman" w:hAnsi="Times New Roman" w:cs="Times New Roman"/>
        </w:rPr>
        <w:t xml:space="preserve"> </w:t>
      </w:r>
      <w:r w:rsidR="00F01D50">
        <w:rPr>
          <w:rFonts w:ascii="Times New Roman" w:hAnsi="Times New Roman" w:cs="Times New Roman"/>
        </w:rPr>
        <w:t xml:space="preserve"> These works, published within a year of each other in 1971 and 1970 respectively, offer a general context of the German literature with which to compare to English language sources.  Tetzlaff’s account is a combined social and economic approach, achieving much more balance in his argument than any of the previously mentioned authors. He moves from a general discussion of the failure of the initial colonial enterprise in the 1890’s to a more detailed discussion of the social and economic failures of the so called reform period. More than any of the English language authors, Tetzlaff is very concerned with the idea of rethinking the reform idea during the Dernburg era. He quite convincingly points out many of that theory’s failings, which have been quite useful in this work. Unfortunately, much of his analysis has not carried over into English language sources. In Detleff Bald’s work, he conforms to a much older line of historical analysis. While his is more narrative, and actually </w:t>
      </w:r>
      <w:r w:rsidR="00F01D50">
        <w:rPr>
          <w:rFonts w:ascii="Times New Roman" w:hAnsi="Times New Roman" w:cs="Times New Roman"/>
        </w:rPr>
        <w:lastRenderedPageBreak/>
        <w:t xml:space="preserve">adheres in its periodization more to a </w:t>
      </w:r>
      <w:r w:rsidR="000C5509">
        <w:rPr>
          <w:rFonts w:ascii="Times New Roman" w:hAnsi="Times New Roman" w:cs="Times New Roman"/>
        </w:rPr>
        <w:t>settler-based</w:t>
      </w:r>
      <w:r w:rsidR="00F01D50">
        <w:rPr>
          <w:rFonts w:ascii="Times New Roman" w:hAnsi="Times New Roman" w:cs="Times New Roman"/>
        </w:rPr>
        <w:t xml:space="preserve"> model of historiography, Bald does not draw such a conclusion. Instead he is much less critical</w:t>
      </w:r>
      <w:r w:rsidR="000C5509">
        <w:rPr>
          <w:rFonts w:ascii="Times New Roman" w:hAnsi="Times New Roman" w:cs="Times New Roman"/>
        </w:rPr>
        <w:t xml:space="preserve"> of the reform idea, and actually fairly sympathetic to figures like Dernburg and Rechenberg. The contrast between the two mirrors in miniature the same debate that occurs within the English language historiography. </w:t>
      </w:r>
    </w:p>
    <w:p w14:paraId="3CD83533" w14:textId="121A6203" w:rsidR="0062366D" w:rsidRDefault="000C5509" w:rsidP="002D76C8">
      <w:pPr>
        <w:spacing w:line="360" w:lineRule="auto"/>
        <w:rPr>
          <w:rFonts w:ascii="Times New Roman" w:hAnsi="Times New Roman" w:cs="Times New Roman"/>
        </w:rPr>
      </w:pPr>
      <w:r>
        <w:rPr>
          <w:rFonts w:ascii="Times New Roman" w:hAnsi="Times New Roman" w:cs="Times New Roman"/>
        </w:rPr>
        <w:tab/>
      </w:r>
      <w:r w:rsidR="007D7459">
        <w:rPr>
          <w:rFonts w:ascii="Times New Roman" w:hAnsi="Times New Roman" w:cs="Times New Roman"/>
        </w:rPr>
        <w:t xml:space="preserve">Continuing with the idea of literature that is sympathetic to the idea of a reform </w:t>
      </w:r>
      <w:r w:rsidR="00681ECB">
        <w:rPr>
          <w:rFonts w:ascii="Times New Roman" w:hAnsi="Times New Roman" w:cs="Times New Roman"/>
        </w:rPr>
        <w:t>era</w:t>
      </w:r>
      <w:r w:rsidR="007D7459">
        <w:rPr>
          <w:rFonts w:ascii="Times New Roman" w:hAnsi="Times New Roman" w:cs="Times New Roman"/>
        </w:rPr>
        <w:t xml:space="preserve"> is the work of Gann and Duignan, </w:t>
      </w:r>
      <w:r w:rsidR="007D7459">
        <w:rPr>
          <w:rFonts w:ascii="Times New Roman" w:hAnsi="Times New Roman" w:cs="Times New Roman"/>
          <w:i/>
        </w:rPr>
        <w:t>The Rulers of German Africa, 1884 – 1914.</w:t>
      </w:r>
      <w:r w:rsidR="007D7459">
        <w:rPr>
          <w:rFonts w:ascii="Times New Roman" w:hAnsi="Times New Roman" w:cs="Times New Roman"/>
        </w:rPr>
        <w:t xml:space="preserve"> Published in 1977, this work perhaps more than any other shows the pitfalls of adherence to a reform idea. While </w:t>
      </w:r>
      <w:r w:rsidR="007D7459">
        <w:rPr>
          <w:rFonts w:ascii="Times New Roman" w:hAnsi="Times New Roman" w:cs="Times New Roman"/>
          <w:i/>
        </w:rPr>
        <w:t xml:space="preserve">Rulers </w:t>
      </w:r>
      <w:r w:rsidR="007D7459">
        <w:rPr>
          <w:rFonts w:ascii="Times New Roman" w:hAnsi="Times New Roman" w:cs="Times New Roman"/>
        </w:rPr>
        <w:t>suggests definite social advances during the Dernburg era, they seem distinctly shy about citing their sources on these claims, and equally so about the serious use of archival sources. This detracts substantially from the credibility of their work. They do, however, do a good job showing the economic changes and advances during the period, and document these quite well. However, they lose the forest for the trees in their attempt, missing the point that substantial economic growth in the German African colonies, though impressive, was from such a low base as to render it ultimately irrelevant to the metropole</w:t>
      </w:r>
      <w:r w:rsidR="004C4CC7">
        <w:rPr>
          <w:rFonts w:ascii="Times New Roman" w:hAnsi="Times New Roman" w:cs="Times New Roman"/>
        </w:rPr>
        <w:t xml:space="preserve">, the whole point of reforming the colony. That this happens despite charts describing colonial trade as a percentage of all German trade is strange to say the least. Nevertheless, the book is useful in much of its economic data, and perhaps even more so as a counterpoint to this argument. </w:t>
      </w:r>
    </w:p>
    <w:p w14:paraId="7A1B07F1" w14:textId="0245CC9E" w:rsidR="000C5509" w:rsidRDefault="0062366D" w:rsidP="002D76C8">
      <w:pPr>
        <w:spacing w:line="360" w:lineRule="auto"/>
        <w:rPr>
          <w:rFonts w:ascii="Times New Roman" w:hAnsi="Times New Roman" w:cs="Times New Roman"/>
        </w:rPr>
      </w:pPr>
      <w:r>
        <w:rPr>
          <w:rFonts w:ascii="Times New Roman" w:hAnsi="Times New Roman" w:cs="Times New Roman"/>
        </w:rPr>
        <w:tab/>
        <w:t>Lastly, it has been useful to include sources on the role of Indian traders within the German colony, their part in economic growth, and in regard to social changes within the colony. This role has been largely filled</w:t>
      </w:r>
      <w:r w:rsidR="00F0629E">
        <w:rPr>
          <w:rFonts w:ascii="Times New Roman" w:hAnsi="Times New Roman" w:cs="Times New Roman"/>
        </w:rPr>
        <w:t xml:space="preserve"> by the work of Robert Gregory, in his work </w:t>
      </w:r>
      <w:r w:rsidR="00F0629E">
        <w:rPr>
          <w:rFonts w:ascii="Times New Roman" w:hAnsi="Times New Roman" w:cs="Times New Roman"/>
          <w:i/>
        </w:rPr>
        <w:t>India and East Africa: A History of Race Relations within the British Empire 1890 – 1939.</w:t>
      </w:r>
      <w:r w:rsidR="00F0629E">
        <w:rPr>
          <w:rFonts w:ascii="Times New Roman" w:hAnsi="Times New Roman" w:cs="Times New Roman"/>
        </w:rPr>
        <w:t xml:space="preserve"> As the title suggests, this book is of only limited relevance to the thesis as a whole.  However, its discussion of German policy towards the Indian population is indeed insightful. It also allows for comparison to British standards at the same time, which has been surprisingly useful during the course of the research that allowed for this study. </w:t>
      </w:r>
    </w:p>
    <w:p w14:paraId="77012718" w14:textId="42D69510" w:rsidR="00F0629E" w:rsidRDefault="00F0629E" w:rsidP="002D76C8">
      <w:pPr>
        <w:spacing w:line="360" w:lineRule="auto"/>
        <w:rPr>
          <w:rFonts w:ascii="Times New Roman" w:hAnsi="Times New Roman" w:cs="Times New Roman"/>
        </w:rPr>
      </w:pPr>
      <w:r>
        <w:rPr>
          <w:rFonts w:ascii="Times New Roman" w:hAnsi="Times New Roman" w:cs="Times New Roman"/>
        </w:rPr>
        <w:tab/>
      </w:r>
      <w:r w:rsidR="003D5DA3">
        <w:rPr>
          <w:rFonts w:ascii="Times New Roman" w:hAnsi="Times New Roman" w:cs="Times New Roman"/>
        </w:rPr>
        <w:t xml:space="preserve">A third category of relevant secondary literature in the production of this paper has been on the development of a vocal and politicized settler population in German East Africa that was ultimately to change </w:t>
      </w:r>
      <w:r w:rsidR="00CB18FD">
        <w:rPr>
          <w:rFonts w:ascii="Times New Roman" w:hAnsi="Times New Roman" w:cs="Times New Roman"/>
        </w:rPr>
        <w:t xml:space="preserve">the </w:t>
      </w:r>
      <w:r w:rsidR="00AA69F6">
        <w:rPr>
          <w:rFonts w:ascii="Times New Roman" w:hAnsi="Times New Roman" w:cs="Times New Roman"/>
        </w:rPr>
        <w:t xml:space="preserve">situation there dramatically.  There has been lively debate on this point within secondary literature as to whether German East Africa was moving towards a model of colonialism that looked more like British South Africa than anything else. </w:t>
      </w:r>
    </w:p>
    <w:p w14:paraId="12662C59" w14:textId="4992A29A" w:rsidR="00AA69F6" w:rsidRDefault="00AA69F6" w:rsidP="002D76C8">
      <w:pPr>
        <w:spacing w:line="360" w:lineRule="auto"/>
        <w:rPr>
          <w:rFonts w:ascii="Times New Roman" w:hAnsi="Times New Roman" w:cs="Times New Roman"/>
        </w:rPr>
      </w:pPr>
      <w:r>
        <w:rPr>
          <w:rFonts w:ascii="Times New Roman" w:hAnsi="Times New Roman" w:cs="Times New Roman"/>
        </w:rPr>
        <w:tab/>
        <w:t xml:space="preserve">As usual, John Iliffe’s </w:t>
      </w:r>
      <w:r>
        <w:rPr>
          <w:rFonts w:ascii="Times New Roman" w:hAnsi="Times New Roman" w:cs="Times New Roman"/>
          <w:i/>
        </w:rPr>
        <w:t>Tanganyika under German Rule</w:t>
      </w:r>
      <w:r>
        <w:rPr>
          <w:rFonts w:ascii="Times New Roman" w:hAnsi="Times New Roman" w:cs="Times New Roman"/>
        </w:rPr>
        <w:t xml:space="preserve"> was again extremely useful in defining the rise of the settler community in the colony, describing its often bitter relationship with the administration of Governor Rechenberg in lucid detail. Iliffe was the first to advance the idea that German East Africa was moving towards a settler-dominated “white man’s </w:t>
      </w:r>
      <w:r>
        <w:rPr>
          <w:rFonts w:ascii="Times New Roman" w:hAnsi="Times New Roman" w:cs="Times New Roman"/>
        </w:rPr>
        <w:lastRenderedPageBreak/>
        <w:t xml:space="preserve">country.” Though this study disagrees with many of his ultimate conclusions, in regard to the direction the colony was moving his argument is coherent and sound. </w:t>
      </w:r>
    </w:p>
    <w:p w14:paraId="15E33C72" w14:textId="4A54C2A0" w:rsidR="00AA69F6" w:rsidRDefault="00490DD5" w:rsidP="002D76C8">
      <w:pPr>
        <w:spacing w:line="360" w:lineRule="auto"/>
        <w:rPr>
          <w:rFonts w:ascii="Times New Roman" w:hAnsi="Times New Roman" w:cs="Times New Roman"/>
        </w:rPr>
      </w:pPr>
      <w:r>
        <w:rPr>
          <w:rFonts w:ascii="Times New Roman" w:hAnsi="Times New Roman" w:cs="Times New Roman"/>
        </w:rPr>
        <w:tab/>
        <w:t>Another author previously mentioned, Juhani Koponen, weighed in his opinion on the rise of the settler community in his much more recent work. Despite much criticism of Iliffe in his book, Koponen ultimately comes to the same conclusion as Iliffe in regard to the development of German East Africa as a white man’s county. As he puts it plainly, the aim was not a German East Africa, but rather an East African Germany.</w:t>
      </w:r>
      <w:r w:rsidR="00FA7C8B">
        <w:rPr>
          <w:rFonts w:ascii="Times New Roman" w:hAnsi="Times New Roman" w:cs="Times New Roman"/>
        </w:rPr>
        <w:t xml:space="preserve"> Along with Iliffe, Koponen also describes in detail the rise of the settlers, their importance, and gives a more highly documented and </w:t>
      </w:r>
      <w:r w:rsidR="006630A5">
        <w:rPr>
          <w:rFonts w:ascii="Times New Roman" w:hAnsi="Times New Roman" w:cs="Times New Roman"/>
        </w:rPr>
        <w:t>well-cited</w:t>
      </w:r>
      <w:r w:rsidR="00FA7C8B">
        <w:rPr>
          <w:rFonts w:ascii="Times New Roman" w:hAnsi="Times New Roman" w:cs="Times New Roman"/>
        </w:rPr>
        <w:t xml:space="preserve"> version of Iliffe’s original argument. In this way, this study’s ultimate conclusions in regard to a new periodization of German East African history are heavily indebted to the arguments of these two scholars. </w:t>
      </w:r>
    </w:p>
    <w:p w14:paraId="30BB5695" w14:textId="751A755F" w:rsidR="006630A5" w:rsidRDefault="006630A5" w:rsidP="002D76C8">
      <w:pPr>
        <w:spacing w:line="360" w:lineRule="auto"/>
        <w:rPr>
          <w:rFonts w:ascii="Times New Roman" w:hAnsi="Times New Roman" w:cs="Times New Roman"/>
        </w:rPr>
      </w:pPr>
      <w:r>
        <w:rPr>
          <w:rFonts w:ascii="Times New Roman" w:hAnsi="Times New Roman" w:cs="Times New Roman"/>
        </w:rPr>
        <w:tab/>
        <w:t xml:space="preserve">A third valuable source on the settler community has been the German historian, Rainer Tetzlaff. </w:t>
      </w:r>
      <w:r w:rsidR="005D709A">
        <w:rPr>
          <w:rFonts w:ascii="Times New Roman" w:hAnsi="Times New Roman" w:cs="Times New Roman"/>
        </w:rPr>
        <w:t xml:space="preserve">While he does not commit himself to the particular model of Iliffe and Koponen, he does explain the rise of the settlers and their influence clearly, and provides in his work much more quantitative methods of this rise, with much better graphs and tables that have been immensely helpful in visualizing the process of change. </w:t>
      </w:r>
    </w:p>
    <w:p w14:paraId="5796A16D" w14:textId="77777777" w:rsidR="00A71F6F" w:rsidRDefault="005D709A" w:rsidP="002D76C8">
      <w:pPr>
        <w:spacing w:line="360" w:lineRule="auto"/>
        <w:rPr>
          <w:rFonts w:ascii="Times New Roman" w:hAnsi="Times New Roman" w:cs="Times New Roman"/>
        </w:rPr>
      </w:pPr>
      <w:r>
        <w:rPr>
          <w:rFonts w:ascii="Times New Roman" w:hAnsi="Times New Roman" w:cs="Times New Roman"/>
        </w:rPr>
        <w:tab/>
        <w:t>Of course, all of the secondary literature would not be sufficient on its own to produce a study such as this, and so it is also important to note the necessary primary sources that have been of great use in the production of this work. Much of the primary sources have come from the Bundesarchiv in Lichterfelde, Berlin</w:t>
      </w:r>
      <w:r w:rsidR="00A71F6F">
        <w:rPr>
          <w:rFonts w:ascii="Times New Roman" w:hAnsi="Times New Roman" w:cs="Times New Roman"/>
        </w:rPr>
        <w:t xml:space="preserve">, </w:t>
      </w:r>
      <w:r>
        <w:rPr>
          <w:rFonts w:ascii="Times New Roman" w:hAnsi="Times New Roman" w:cs="Times New Roman"/>
        </w:rPr>
        <w:t xml:space="preserve">and more specifically within the files of the </w:t>
      </w:r>
      <w:r w:rsidRPr="005D709A">
        <w:rPr>
          <w:rFonts w:ascii="Times New Roman" w:hAnsi="Times New Roman" w:cs="Times New Roman"/>
          <w:i/>
        </w:rPr>
        <w:t>Reichskolonialamt</w:t>
      </w:r>
      <w:r>
        <w:rPr>
          <w:rFonts w:ascii="Times New Roman" w:hAnsi="Times New Roman" w:cs="Times New Roman"/>
        </w:rPr>
        <w:t xml:space="preserve"> that were so readily available there. </w:t>
      </w:r>
      <w:r w:rsidR="00A71F6F">
        <w:rPr>
          <w:rFonts w:ascii="Times New Roman" w:hAnsi="Times New Roman" w:cs="Times New Roman"/>
        </w:rPr>
        <w:t xml:space="preserve">The sources are generally composed of </w:t>
      </w:r>
      <w:r w:rsidR="00AF1A3B">
        <w:rPr>
          <w:rFonts w:ascii="Times New Roman" w:hAnsi="Times New Roman" w:cs="Times New Roman"/>
        </w:rPr>
        <w:t>correspondence that</w:t>
      </w:r>
      <w:r>
        <w:rPr>
          <w:rFonts w:ascii="Times New Roman" w:hAnsi="Times New Roman" w:cs="Times New Roman"/>
        </w:rPr>
        <w:t xml:space="preserve"> helped to flesh out the details</w:t>
      </w:r>
      <w:r w:rsidR="00AF1A3B">
        <w:rPr>
          <w:rFonts w:ascii="Times New Roman" w:hAnsi="Times New Roman" w:cs="Times New Roman"/>
        </w:rPr>
        <w:t xml:space="preserve"> of changes occurring in the colony, both social and economic. It was also useful to check on the files that previous scholars had cited, to gain a better understanding of their argumentation</w:t>
      </w:r>
      <w:r w:rsidR="00A71F6F">
        <w:rPr>
          <w:rFonts w:ascii="Times New Roman" w:hAnsi="Times New Roman" w:cs="Times New Roman"/>
        </w:rPr>
        <w:t xml:space="preserve">. </w:t>
      </w:r>
      <w:r w:rsidR="00AF1A3B">
        <w:rPr>
          <w:rFonts w:ascii="Times New Roman" w:hAnsi="Times New Roman" w:cs="Times New Roman"/>
        </w:rPr>
        <w:t xml:space="preserve">Most useful, and vital to my argument, however, are the speeches of Dernburg, published in the same year they were given, on his ideas for reform. While it might have seemed prudent to define reform in a very theoretical and technical sense, it is through Dernburg’s own claims of what he saw as reform, and what his reform would entail that this paper is able to judge the existence of the reform era.  </w:t>
      </w:r>
    </w:p>
    <w:p w14:paraId="1315B4BA" w14:textId="485BB0D4" w:rsidR="005D709A" w:rsidRDefault="00A71F6F" w:rsidP="004A7676">
      <w:pPr>
        <w:spacing w:line="360" w:lineRule="auto"/>
        <w:ind w:firstLine="720"/>
        <w:rPr>
          <w:rFonts w:ascii="Times New Roman" w:hAnsi="Times New Roman" w:cs="Times New Roman"/>
        </w:rPr>
      </w:pPr>
      <w:r>
        <w:rPr>
          <w:rFonts w:ascii="Times New Roman" w:hAnsi="Times New Roman" w:cs="Times New Roman"/>
        </w:rPr>
        <w:t xml:space="preserve">Given the nature of the primary sources used, this paper leaves itself in some ways open to criticism, especially in regard to a pro-government bias. Indeed, all of the primary sources used in this paper come in one way or another directly from Germans in Germany or in East Africa. </w:t>
      </w:r>
      <w:r w:rsidR="00C4407E">
        <w:rPr>
          <w:rFonts w:ascii="Times New Roman" w:hAnsi="Times New Roman" w:cs="Times New Roman"/>
        </w:rPr>
        <w:t xml:space="preserve">In that sense, while this paper intends to get a degree of understanding about the realities on the ground in German East Africa, it is by no means comprehensive, in that it </w:t>
      </w:r>
      <w:r w:rsidR="00C4407E">
        <w:rPr>
          <w:rFonts w:ascii="Times New Roman" w:hAnsi="Times New Roman" w:cs="Times New Roman"/>
        </w:rPr>
        <w:lastRenderedPageBreak/>
        <w:t xml:space="preserve">lacks African voices entirely. This situation is the case for a number of reasons. Firstly, given that this is a master’s thesis, and not a PhD dissertation, my ability to travel to different archives was severely limited. Had it been possible to visit the national archives in Tanzania, the paper would be much more balanced for it, but would still have major problems. This brings up the second issue, a distinct lack of input from Africans. While many modern historians seek to use a bottom-up approach to history, the resources available from this period simply do not allow so broad an attempt. Instead, source material is largely limited to what the Germans produced. This has been considered in the course of the research, but on the whole, given that this is an assessment of the German government rather than an attempt to tell the story of the Africans there, the bias inherent in the sources does not seem to have been seriously damaging to the overall results. </w:t>
      </w:r>
      <w:r w:rsidR="00AF1A3B">
        <w:rPr>
          <w:rFonts w:ascii="Times New Roman" w:hAnsi="Times New Roman" w:cs="Times New Roman"/>
        </w:rPr>
        <w:t xml:space="preserve">Having reviewed the various sources, and the method by which I have used them, it is now possible to enter into the actual discussion of the reform period, and the new periodization which this paper intends to suggest for the history of German Colonial East Africa. </w:t>
      </w:r>
    </w:p>
    <w:p w14:paraId="15847EAE" w14:textId="77777777" w:rsidR="00AF1A3B" w:rsidRDefault="00AF1A3B" w:rsidP="002D76C8">
      <w:pPr>
        <w:spacing w:line="360" w:lineRule="auto"/>
        <w:rPr>
          <w:rFonts w:ascii="Times New Roman" w:hAnsi="Times New Roman" w:cs="Times New Roman"/>
        </w:rPr>
      </w:pPr>
    </w:p>
    <w:p w14:paraId="2D3266A3" w14:textId="77777777" w:rsidR="004E22F3" w:rsidRDefault="004E22F3" w:rsidP="002D76C8">
      <w:pPr>
        <w:spacing w:line="360" w:lineRule="auto"/>
        <w:rPr>
          <w:rFonts w:ascii="Times New Roman" w:hAnsi="Times New Roman" w:cs="Times New Roman"/>
        </w:rPr>
      </w:pPr>
    </w:p>
    <w:p w14:paraId="019853DC" w14:textId="77777777" w:rsidR="004E22F3" w:rsidRDefault="004E22F3" w:rsidP="002D76C8">
      <w:pPr>
        <w:spacing w:line="360" w:lineRule="auto"/>
        <w:rPr>
          <w:rFonts w:ascii="Times New Roman" w:hAnsi="Times New Roman" w:cs="Times New Roman"/>
        </w:rPr>
      </w:pPr>
    </w:p>
    <w:p w14:paraId="4BD5CDD4" w14:textId="77777777" w:rsidR="004E22F3" w:rsidRDefault="004E22F3" w:rsidP="002D76C8">
      <w:pPr>
        <w:spacing w:line="360" w:lineRule="auto"/>
        <w:rPr>
          <w:rFonts w:ascii="Times New Roman" w:hAnsi="Times New Roman" w:cs="Times New Roman"/>
        </w:rPr>
      </w:pPr>
    </w:p>
    <w:p w14:paraId="4854B770" w14:textId="77777777" w:rsidR="004E22F3" w:rsidRDefault="004E22F3" w:rsidP="002D76C8">
      <w:pPr>
        <w:spacing w:line="360" w:lineRule="auto"/>
        <w:rPr>
          <w:rFonts w:ascii="Times New Roman" w:hAnsi="Times New Roman" w:cs="Times New Roman"/>
        </w:rPr>
      </w:pPr>
    </w:p>
    <w:p w14:paraId="750E15BB" w14:textId="77777777" w:rsidR="004E22F3" w:rsidRDefault="004E22F3" w:rsidP="002D76C8">
      <w:pPr>
        <w:spacing w:line="360" w:lineRule="auto"/>
        <w:rPr>
          <w:rFonts w:ascii="Times New Roman" w:hAnsi="Times New Roman" w:cs="Times New Roman"/>
        </w:rPr>
      </w:pPr>
    </w:p>
    <w:p w14:paraId="3864A32A" w14:textId="77777777" w:rsidR="004E22F3" w:rsidRDefault="004E22F3" w:rsidP="002D76C8">
      <w:pPr>
        <w:spacing w:line="360" w:lineRule="auto"/>
        <w:rPr>
          <w:rFonts w:ascii="Times New Roman" w:hAnsi="Times New Roman" w:cs="Times New Roman"/>
        </w:rPr>
      </w:pPr>
    </w:p>
    <w:p w14:paraId="07D46265" w14:textId="77777777" w:rsidR="004E22F3" w:rsidRDefault="004E22F3" w:rsidP="002D76C8">
      <w:pPr>
        <w:spacing w:line="360" w:lineRule="auto"/>
        <w:rPr>
          <w:rFonts w:ascii="Times New Roman" w:hAnsi="Times New Roman" w:cs="Times New Roman"/>
        </w:rPr>
      </w:pPr>
    </w:p>
    <w:p w14:paraId="79CF71E3" w14:textId="77777777" w:rsidR="004E22F3" w:rsidRDefault="004E22F3" w:rsidP="002D76C8">
      <w:pPr>
        <w:spacing w:line="360" w:lineRule="auto"/>
        <w:rPr>
          <w:rFonts w:ascii="Times New Roman" w:hAnsi="Times New Roman" w:cs="Times New Roman"/>
        </w:rPr>
      </w:pPr>
    </w:p>
    <w:p w14:paraId="26511052" w14:textId="77777777" w:rsidR="004E22F3" w:rsidRDefault="004E22F3" w:rsidP="002D76C8">
      <w:pPr>
        <w:spacing w:line="360" w:lineRule="auto"/>
        <w:rPr>
          <w:rFonts w:ascii="Times New Roman" w:hAnsi="Times New Roman" w:cs="Times New Roman"/>
        </w:rPr>
      </w:pPr>
    </w:p>
    <w:p w14:paraId="0EEBE133" w14:textId="77777777" w:rsidR="004E22F3" w:rsidRDefault="004E22F3" w:rsidP="002D76C8">
      <w:pPr>
        <w:spacing w:line="360" w:lineRule="auto"/>
        <w:rPr>
          <w:rFonts w:ascii="Times New Roman" w:hAnsi="Times New Roman" w:cs="Times New Roman"/>
        </w:rPr>
      </w:pPr>
    </w:p>
    <w:p w14:paraId="0A2B18FA" w14:textId="77777777" w:rsidR="004E22F3" w:rsidRDefault="004E22F3" w:rsidP="002D76C8">
      <w:pPr>
        <w:spacing w:line="360" w:lineRule="auto"/>
        <w:rPr>
          <w:rFonts w:ascii="Times New Roman" w:hAnsi="Times New Roman" w:cs="Times New Roman"/>
        </w:rPr>
      </w:pPr>
    </w:p>
    <w:p w14:paraId="3269F22F" w14:textId="77777777" w:rsidR="004E22F3" w:rsidRDefault="004E22F3" w:rsidP="002D76C8">
      <w:pPr>
        <w:spacing w:line="360" w:lineRule="auto"/>
        <w:rPr>
          <w:rFonts w:ascii="Times New Roman" w:hAnsi="Times New Roman" w:cs="Times New Roman"/>
        </w:rPr>
      </w:pPr>
    </w:p>
    <w:p w14:paraId="257CB3DE" w14:textId="77777777" w:rsidR="004E22F3" w:rsidRDefault="004E22F3" w:rsidP="002D76C8">
      <w:pPr>
        <w:spacing w:line="360" w:lineRule="auto"/>
        <w:rPr>
          <w:rFonts w:ascii="Times New Roman" w:hAnsi="Times New Roman" w:cs="Times New Roman"/>
        </w:rPr>
      </w:pPr>
    </w:p>
    <w:p w14:paraId="3C0D075E" w14:textId="77777777" w:rsidR="004E22F3" w:rsidRDefault="004E22F3" w:rsidP="002D76C8">
      <w:pPr>
        <w:spacing w:line="360" w:lineRule="auto"/>
        <w:rPr>
          <w:rFonts w:ascii="Times New Roman" w:hAnsi="Times New Roman" w:cs="Times New Roman"/>
        </w:rPr>
      </w:pPr>
    </w:p>
    <w:p w14:paraId="5AE07212" w14:textId="77777777" w:rsidR="004E22F3" w:rsidRDefault="004E22F3" w:rsidP="002D76C8">
      <w:pPr>
        <w:spacing w:line="360" w:lineRule="auto"/>
        <w:rPr>
          <w:rFonts w:ascii="Times New Roman" w:hAnsi="Times New Roman" w:cs="Times New Roman"/>
        </w:rPr>
      </w:pPr>
    </w:p>
    <w:p w14:paraId="6F84FCF8" w14:textId="77777777" w:rsidR="004E22F3" w:rsidRDefault="004E22F3" w:rsidP="002D76C8">
      <w:pPr>
        <w:spacing w:line="360" w:lineRule="auto"/>
        <w:rPr>
          <w:rFonts w:ascii="Times New Roman" w:hAnsi="Times New Roman" w:cs="Times New Roman"/>
        </w:rPr>
      </w:pPr>
    </w:p>
    <w:p w14:paraId="078C61B4" w14:textId="77777777" w:rsidR="0067769F" w:rsidRDefault="0067769F" w:rsidP="002D76C8">
      <w:pPr>
        <w:spacing w:line="360" w:lineRule="auto"/>
        <w:rPr>
          <w:rFonts w:ascii="Times New Roman" w:hAnsi="Times New Roman" w:cs="Times New Roman"/>
        </w:rPr>
      </w:pPr>
    </w:p>
    <w:p w14:paraId="2F8CE393" w14:textId="77777777" w:rsidR="0067769F" w:rsidRDefault="0067769F" w:rsidP="002D76C8">
      <w:pPr>
        <w:spacing w:line="360" w:lineRule="auto"/>
        <w:rPr>
          <w:rFonts w:ascii="Times New Roman" w:hAnsi="Times New Roman" w:cs="Times New Roman"/>
        </w:rPr>
      </w:pPr>
    </w:p>
    <w:p w14:paraId="64460C9D" w14:textId="77777777" w:rsidR="004E22F3" w:rsidRDefault="004E22F3" w:rsidP="002D76C8">
      <w:pPr>
        <w:spacing w:line="360" w:lineRule="auto"/>
        <w:rPr>
          <w:rFonts w:ascii="Times New Roman" w:hAnsi="Times New Roman" w:cs="Times New Roman"/>
        </w:rPr>
      </w:pPr>
    </w:p>
    <w:p w14:paraId="6E5EDD17" w14:textId="77777777" w:rsidR="004E22F3" w:rsidRPr="005D709A" w:rsidRDefault="004E22F3" w:rsidP="002D76C8">
      <w:pPr>
        <w:spacing w:line="360" w:lineRule="auto"/>
        <w:rPr>
          <w:rFonts w:ascii="Times New Roman" w:hAnsi="Times New Roman" w:cs="Times New Roman"/>
        </w:rPr>
      </w:pPr>
    </w:p>
    <w:p w14:paraId="33E9045A" w14:textId="77777777" w:rsidR="006040A9" w:rsidRPr="004E22F3" w:rsidRDefault="006040A9" w:rsidP="002D76C8">
      <w:pPr>
        <w:spacing w:line="360" w:lineRule="auto"/>
        <w:jc w:val="center"/>
        <w:rPr>
          <w:rFonts w:ascii="Times New Roman" w:hAnsi="Times New Roman" w:cs="Times New Roman"/>
          <w:b/>
          <w:sz w:val="28"/>
          <w:szCs w:val="28"/>
        </w:rPr>
      </w:pPr>
      <w:r w:rsidRPr="004E22F3">
        <w:rPr>
          <w:rFonts w:ascii="Times New Roman" w:hAnsi="Times New Roman" w:cs="Times New Roman"/>
          <w:b/>
          <w:sz w:val="28"/>
          <w:szCs w:val="28"/>
        </w:rPr>
        <w:t>Chapter II: The Political Context</w:t>
      </w:r>
    </w:p>
    <w:p w14:paraId="21E04122" w14:textId="77777777" w:rsidR="006040A9" w:rsidRDefault="006040A9" w:rsidP="004E22F3">
      <w:pPr>
        <w:spacing w:line="360" w:lineRule="auto"/>
        <w:rPr>
          <w:rFonts w:ascii="Times New Roman" w:hAnsi="Times New Roman" w:cs="Times New Roman"/>
          <w:sz w:val="32"/>
          <w:szCs w:val="32"/>
        </w:rPr>
      </w:pPr>
    </w:p>
    <w:p w14:paraId="332F8441" w14:textId="77777777" w:rsidR="006040A9" w:rsidRDefault="006040A9" w:rsidP="002D76C8">
      <w:pPr>
        <w:spacing w:line="360" w:lineRule="auto"/>
        <w:rPr>
          <w:rFonts w:ascii="Times New Roman" w:hAnsi="Times New Roman" w:cs="Times New Roman"/>
        </w:rPr>
      </w:pPr>
      <w:r>
        <w:rPr>
          <w:rFonts w:ascii="Times New Roman" w:hAnsi="Times New Roman" w:cs="Times New Roman"/>
        </w:rPr>
        <w:tab/>
        <w:t xml:space="preserve">The intention of this study is to debunk the myth of the reform period in German East Africa.  However, before any serious discussion of the successes and failures in Africa that might lead to a positive or negative assessment of that myth, it is first important to launch into an explanation of how the idea of a reform period came to be in the first place.  To understand that development, an understanding of the basic mechanics of the German government and the colonies in that system, as well as an understanding of the relationship between the Reichstag and the colonies is necessary.  This must necessarily be followed by a discussion of the nature of the Reichstag, and the parties that comprised it in 1906 during the run up to the colonial crisis, as well as the ambitions and motives of these different actors. Only then can an explanation of the crisis itself be undertaken. It is then through an explanation of the crisis, the following dissolution of the Reichstag, and the election campaign in which Dernburg’s colonial reform agenda played a major role, that the creation of the idea of the reform era can be understood. This chapter then, seeks to examine each of these aspects of the development in turn, with the goal of that greater understanding. </w:t>
      </w:r>
    </w:p>
    <w:p w14:paraId="40F16F5B" w14:textId="77777777" w:rsidR="006040A9" w:rsidRDefault="006040A9" w:rsidP="002D76C8">
      <w:pPr>
        <w:spacing w:line="360" w:lineRule="auto"/>
        <w:rPr>
          <w:rFonts w:ascii="Times New Roman" w:hAnsi="Times New Roman" w:cs="Times New Roman"/>
        </w:rPr>
      </w:pPr>
    </w:p>
    <w:p w14:paraId="0949C350" w14:textId="77777777" w:rsidR="006040A9" w:rsidRPr="004E22F3" w:rsidRDefault="006040A9" w:rsidP="002D76C8">
      <w:pPr>
        <w:spacing w:line="360" w:lineRule="auto"/>
        <w:jc w:val="center"/>
        <w:rPr>
          <w:rFonts w:ascii="Times New Roman" w:hAnsi="Times New Roman" w:cs="Times New Roman"/>
          <w:b/>
        </w:rPr>
      </w:pPr>
      <w:r w:rsidRPr="004E22F3">
        <w:rPr>
          <w:rFonts w:ascii="Times New Roman" w:hAnsi="Times New Roman" w:cs="Times New Roman"/>
          <w:b/>
        </w:rPr>
        <w:t>Structure of the Colonial Empire</w:t>
      </w:r>
    </w:p>
    <w:p w14:paraId="6DD691F3" w14:textId="77777777" w:rsidR="006040A9" w:rsidRDefault="006040A9" w:rsidP="002D76C8">
      <w:pPr>
        <w:spacing w:line="360" w:lineRule="auto"/>
        <w:jc w:val="center"/>
        <w:rPr>
          <w:rFonts w:ascii="Times New Roman" w:hAnsi="Times New Roman" w:cs="Times New Roman"/>
          <w:sz w:val="28"/>
          <w:szCs w:val="28"/>
        </w:rPr>
      </w:pPr>
    </w:p>
    <w:p w14:paraId="5BAA18D4" w14:textId="77777777" w:rsidR="006040A9" w:rsidRDefault="006040A9" w:rsidP="002D76C8">
      <w:pPr>
        <w:spacing w:line="360" w:lineRule="auto"/>
        <w:rPr>
          <w:rFonts w:ascii="Times New Roman" w:hAnsi="Times New Roman" w:cs="Times New Roman"/>
        </w:rPr>
      </w:pPr>
      <w:r>
        <w:rPr>
          <w:rFonts w:ascii="Times New Roman" w:hAnsi="Times New Roman" w:cs="Times New Roman"/>
        </w:rPr>
        <w:tab/>
        <w:t>The first step in understanding the idea of the reform period is to understand the governmental structure from which it sprang, and especially the unique position of the colonies in Germany’s constitutional structure as compared to other countries.  This is not a new idea, and has been articulated in several other writings on the topic, most notably in Iliffe’s work on the reform period.</w:t>
      </w:r>
      <w:r>
        <w:rPr>
          <w:rStyle w:val="FootnoteReference"/>
          <w:rFonts w:ascii="Times New Roman" w:hAnsi="Times New Roman" w:cs="Times New Roman"/>
        </w:rPr>
        <w:footnoteReference w:id="20"/>
      </w:r>
      <w:r>
        <w:rPr>
          <w:rFonts w:ascii="Times New Roman" w:hAnsi="Times New Roman" w:cs="Times New Roman"/>
        </w:rPr>
        <w:t xml:space="preserve"> The peculiar position of the colonies within this framework is largely a product of the way the imperial German government was formed in the aftermath of the Franco-Prussian war.  Due to the insistence of the Prussian authorities that no non-Prussian body should wield serious influence over the internal workings of that state, many powers were devolved on the various German states, leaving comparatively little for the imperial government, and therefore the elected Reichstag, to control.  There were notable exceptions, including the newly acquired state of Elsaß-Lothringen, limited control over social insurance, and more importantly the fledgling German navy, which at that time </w:t>
      </w:r>
      <w:r>
        <w:rPr>
          <w:rFonts w:ascii="Times New Roman" w:hAnsi="Times New Roman" w:cs="Times New Roman"/>
        </w:rPr>
        <w:lastRenderedPageBreak/>
        <w:t xml:space="preserve">was more of a pipe dream, but which had larger implications later on. In these, and a few other areas, the Reichstag was able to amend and even veto budgets, giving it a considerable degree of control. Any new imperial projects also fell under the financial supervision of the Reichstag, should they require funding. This is where the colonies came into play. </w:t>
      </w:r>
    </w:p>
    <w:p w14:paraId="2787591B" w14:textId="17773913" w:rsidR="006040A9" w:rsidRDefault="006040A9" w:rsidP="002D76C8">
      <w:pPr>
        <w:spacing w:line="360" w:lineRule="auto"/>
        <w:rPr>
          <w:rFonts w:ascii="Times New Roman" w:hAnsi="Times New Roman" w:cs="Times New Roman"/>
        </w:rPr>
      </w:pPr>
      <w:r>
        <w:rPr>
          <w:rFonts w:ascii="Times New Roman" w:hAnsi="Times New Roman" w:cs="Times New Roman"/>
        </w:rPr>
        <w:tab/>
        <w:t>When the colonies, which had not been considered at the time of German unification, came into existence, Bismarck attempted t</w:t>
      </w:r>
      <w:r w:rsidR="005F6DF0">
        <w:rPr>
          <w:rFonts w:ascii="Times New Roman" w:hAnsi="Times New Roman" w:cs="Times New Roman"/>
        </w:rPr>
        <w:t>o avoid this</w:t>
      </w:r>
      <w:r>
        <w:rPr>
          <w:rFonts w:ascii="Times New Roman" w:hAnsi="Times New Roman" w:cs="Times New Roman"/>
        </w:rPr>
        <w:t xml:space="preserve"> annoying interference in his affairs on the premise that the colonies would be able to fund themselves.  This would be possible through a system of concessionary companies, one for each of Germany’s new colonial possessions. However, by and large, these companies turned out to be dismal failures. None could raise adequate capital to invest and exploit the resources of its own colony, and eventually the German government was forced to take over the administration of the entire colonial empire.  This meant though, that the budgets of these colonies would now come under the direct budgetary authority of the Reichstag.  This direct control of the budget was different from, for example, British colonies, where the House only had control over grants-in-aid.</w:t>
      </w:r>
      <w:r>
        <w:rPr>
          <w:rStyle w:val="FootnoteReference"/>
          <w:rFonts w:ascii="Times New Roman" w:hAnsi="Times New Roman" w:cs="Times New Roman"/>
        </w:rPr>
        <w:footnoteReference w:id="21"/>
      </w:r>
      <w:r>
        <w:rPr>
          <w:rFonts w:ascii="Times New Roman" w:hAnsi="Times New Roman" w:cs="Times New Roman"/>
        </w:rPr>
        <w:t xml:space="preserve"> In the German case, the Reichstag was able to examine and change virtually any aspect of the colonies funding. Furthermore, it had the time to closely scrutinize such budgets, given the limited scope of its power within the Empire. </w:t>
      </w:r>
    </w:p>
    <w:p w14:paraId="0E721D5B" w14:textId="3C08B365" w:rsidR="006040A9" w:rsidRDefault="006040A9" w:rsidP="002D76C8">
      <w:pPr>
        <w:spacing w:line="360" w:lineRule="auto"/>
        <w:rPr>
          <w:rFonts w:ascii="Times New Roman" w:hAnsi="Times New Roman" w:cs="Times New Roman"/>
        </w:rPr>
      </w:pPr>
      <w:r>
        <w:rPr>
          <w:rFonts w:ascii="Times New Roman" w:hAnsi="Times New Roman" w:cs="Times New Roman"/>
        </w:rPr>
        <w:tab/>
        <w:t>It was this peculiar nature of Reichstag control over the colonies, and the time</w:t>
      </w:r>
      <w:r w:rsidR="005F6DF0">
        <w:rPr>
          <w:rFonts w:ascii="Times New Roman" w:hAnsi="Times New Roman" w:cs="Times New Roman"/>
        </w:rPr>
        <w:t xml:space="preserve"> and reason to use that control</w:t>
      </w:r>
      <w:r>
        <w:rPr>
          <w:rFonts w:ascii="Times New Roman" w:hAnsi="Times New Roman" w:cs="Times New Roman"/>
        </w:rPr>
        <w:t xml:space="preserve"> that led the colonies to come to such prominence.  In order to pass colonial or naval bills, in a sense to conduct the foreign policy that Wilhelm II was insistent upon, the Chancellor was forced, in practice, to attempt to form a semi-permanent majority</w:t>
      </w:r>
      <w:r w:rsidR="001F5D02">
        <w:rPr>
          <w:rFonts w:ascii="Times New Roman" w:hAnsi="Times New Roman" w:cs="Times New Roman"/>
        </w:rPr>
        <w:t>, in other words a coalition that would survive multiple elections,</w:t>
      </w:r>
      <w:r>
        <w:rPr>
          <w:rFonts w:ascii="Times New Roman" w:hAnsi="Times New Roman" w:cs="Times New Roman"/>
        </w:rPr>
        <w:t xml:space="preserve"> within the Reichstag that would support his budgets. A Chancellor, himself directly responsible to the Kaiser, would not last long if he was not able to do so. The peculiar nature also implied that, given the high degree of authority the Reichstag wielded in regard to colonial policy, the composition of that body could have a major effect on the direction of colonial policy.  This was true especially in regard to the right-wing coalition that came into power in the wake of the 1907 elections. That influence, while important later on, is of less concern at this point in time.  It is in this way, due to the unique constitutional position of the colonies in Germany, and the peculiar degree of control which the Reichstag wielded over them, that the colonies were to become such a contentious issue. Given that, it becomes necessary to explain the nature of the </w:t>
      </w:r>
      <w:r>
        <w:rPr>
          <w:rFonts w:ascii="Times New Roman" w:hAnsi="Times New Roman" w:cs="Times New Roman"/>
        </w:rPr>
        <w:lastRenderedPageBreak/>
        <w:t xml:space="preserve">Reichstag which was to have such an important effect on the colonies, and eventually on the development of the idea of a reform period. </w:t>
      </w:r>
    </w:p>
    <w:p w14:paraId="4ADCD68B" w14:textId="77777777" w:rsidR="006040A9" w:rsidRPr="004E22F3" w:rsidRDefault="006040A9" w:rsidP="002D76C8">
      <w:pPr>
        <w:spacing w:line="360" w:lineRule="auto"/>
        <w:rPr>
          <w:rFonts w:ascii="Times New Roman" w:hAnsi="Times New Roman" w:cs="Times New Roman"/>
          <w:b/>
        </w:rPr>
      </w:pPr>
    </w:p>
    <w:p w14:paraId="151F6BF7" w14:textId="77777777" w:rsidR="006040A9" w:rsidRPr="004E22F3" w:rsidRDefault="006040A9" w:rsidP="002D76C8">
      <w:pPr>
        <w:spacing w:line="360" w:lineRule="auto"/>
        <w:jc w:val="center"/>
        <w:rPr>
          <w:rFonts w:ascii="Times New Roman" w:hAnsi="Times New Roman" w:cs="Times New Roman"/>
          <w:b/>
        </w:rPr>
      </w:pPr>
      <w:r w:rsidRPr="004E22F3">
        <w:rPr>
          <w:rFonts w:ascii="Times New Roman" w:hAnsi="Times New Roman" w:cs="Times New Roman"/>
          <w:b/>
        </w:rPr>
        <w:t>The Reichstag in 1906</w:t>
      </w:r>
    </w:p>
    <w:p w14:paraId="717D918F" w14:textId="77777777" w:rsidR="006040A9" w:rsidRDefault="006040A9" w:rsidP="002D76C8">
      <w:pPr>
        <w:spacing w:line="360" w:lineRule="auto"/>
        <w:jc w:val="center"/>
        <w:rPr>
          <w:rFonts w:ascii="Times New Roman" w:hAnsi="Times New Roman" w:cs="Times New Roman"/>
        </w:rPr>
      </w:pPr>
    </w:p>
    <w:p w14:paraId="794608F1" w14:textId="38F1682C" w:rsidR="006040A9" w:rsidRDefault="006040A9" w:rsidP="002D76C8">
      <w:pPr>
        <w:spacing w:line="360" w:lineRule="auto"/>
        <w:rPr>
          <w:rFonts w:ascii="Times New Roman" w:hAnsi="Times New Roman" w:cs="Times New Roman"/>
        </w:rPr>
      </w:pPr>
      <w:r>
        <w:rPr>
          <w:rFonts w:ascii="Times New Roman" w:hAnsi="Times New Roman" w:cs="Times New Roman"/>
        </w:rPr>
        <w:tab/>
        <w:t xml:space="preserve">While a full discussion of all the parties in the Reichstag and their motives would be necessary to give a complete view of the situation in 1906, this paper will limit itself to a discussion of three distinct groups, their ambitions, their fears, and their motives in relation to the colonial crisis which was to come to a head in that year. Two of these groups are parties themselves, namely the </w:t>
      </w:r>
      <w:r>
        <w:rPr>
          <w:rFonts w:ascii="Times New Roman" w:hAnsi="Times New Roman" w:cs="Times New Roman"/>
          <w:i/>
        </w:rPr>
        <w:t xml:space="preserve">Sozialdemokratische Partei Deutschlands, </w:t>
      </w:r>
      <w:r>
        <w:rPr>
          <w:rFonts w:ascii="Times New Roman" w:hAnsi="Times New Roman" w:cs="Times New Roman"/>
        </w:rPr>
        <w:t xml:space="preserve">henceforth SPD, the socialist party, and the </w:t>
      </w:r>
      <w:r>
        <w:rPr>
          <w:rFonts w:ascii="Times New Roman" w:hAnsi="Times New Roman" w:cs="Times New Roman"/>
          <w:i/>
        </w:rPr>
        <w:t>Zentrum</w:t>
      </w:r>
      <w:r>
        <w:rPr>
          <w:rFonts w:ascii="Times New Roman" w:hAnsi="Times New Roman" w:cs="Times New Roman"/>
        </w:rPr>
        <w:t xml:space="preserve">, or center party, which was in actuality a catholic confessional party. The third grouping represents a number of parties, including the </w:t>
      </w:r>
      <w:r>
        <w:rPr>
          <w:rFonts w:ascii="Times New Roman" w:hAnsi="Times New Roman" w:cs="Times New Roman"/>
          <w:i/>
        </w:rPr>
        <w:t>Deutschkonservative Partei</w:t>
      </w:r>
      <w:r>
        <w:rPr>
          <w:rFonts w:ascii="Times New Roman" w:hAnsi="Times New Roman" w:cs="Times New Roman"/>
        </w:rPr>
        <w:t xml:space="preserve">, the conservatives, the </w:t>
      </w:r>
      <w:r>
        <w:rPr>
          <w:rFonts w:ascii="Times New Roman" w:hAnsi="Times New Roman" w:cs="Times New Roman"/>
          <w:i/>
        </w:rPr>
        <w:t>Deutsche Reichspartei</w:t>
      </w:r>
      <w:r>
        <w:rPr>
          <w:rFonts w:ascii="Times New Roman" w:hAnsi="Times New Roman" w:cs="Times New Roman"/>
        </w:rPr>
        <w:t xml:space="preserve">, the party of the empire, and the </w:t>
      </w:r>
      <w:r>
        <w:rPr>
          <w:rFonts w:ascii="Times New Roman" w:hAnsi="Times New Roman" w:cs="Times New Roman"/>
          <w:i/>
        </w:rPr>
        <w:t>Nationalliberale Partei,</w:t>
      </w:r>
      <w:r>
        <w:rPr>
          <w:rFonts w:ascii="Times New Roman" w:hAnsi="Times New Roman" w:cs="Times New Roman"/>
        </w:rPr>
        <w:t xml:space="preserve"> the national liberals. These parties can be grouped coherently as the parties of order, that is to say, pro-government and anti-socialist. In the aftermath of the previous Reichstag elections in 1903, the SPD had made massive gains, becoming for the first time the second largest party in the Reichstag,</w:t>
      </w:r>
      <w:r w:rsidR="001F5D02">
        <w:rPr>
          <w:rFonts w:ascii="Times New Roman" w:hAnsi="Times New Roman" w:cs="Times New Roman"/>
        </w:rPr>
        <w:t xml:space="preserve"> behind the catholic center party,</w:t>
      </w:r>
      <w:r>
        <w:rPr>
          <w:rFonts w:ascii="Times New Roman" w:hAnsi="Times New Roman" w:cs="Times New Roman"/>
        </w:rPr>
        <w:t xml:space="preserve"> and a serious force to be reckoned with. For that reason, this discussion will start with that new powerful bloc. </w:t>
      </w:r>
    </w:p>
    <w:p w14:paraId="0ED1F845" w14:textId="32BB1AB3" w:rsidR="006040A9" w:rsidRDefault="006040A9" w:rsidP="002D76C8">
      <w:pPr>
        <w:spacing w:line="360" w:lineRule="auto"/>
        <w:rPr>
          <w:rFonts w:ascii="Times New Roman" w:hAnsi="Times New Roman" w:cs="Times New Roman"/>
        </w:rPr>
      </w:pPr>
      <w:r>
        <w:rPr>
          <w:rFonts w:ascii="Times New Roman" w:hAnsi="Times New Roman" w:cs="Times New Roman"/>
        </w:rPr>
        <w:tab/>
        <w:t>The SPD in 1906 had been growing in the Reichstag steadily since the 1880’s, but now reached a new prominence with 81 of the 397 seats in that body.  This turned them, from the government’s perspective, from a mere nuisance into a more serious threat. Of all the serious political parties, that is to say excluding the obstructionist Poles, Alsatians, and Danes, only the SPD was consistent in its opposition to all national policies.  This position was natural, given that they felt national policies only served to perpetuate the capitalist system, to which they were obviously against. The position of the SPD on national policies is perhaps best summed up by Crothers in his work on the 1907 elections, saying that, “their basic syllogism was simple: capitalism is evil; the German army, navy, and colonies are instruments of capitalism; ergo, they are evil.”</w:t>
      </w:r>
      <w:r>
        <w:rPr>
          <w:rStyle w:val="FootnoteReference"/>
          <w:rFonts w:ascii="Times New Roman" w:hAnsi="Times New Roman" w:cs="Times New Roman"/>
        </w:rPr>
        <w:footnoteReference w:id="22"/>
      </w:r>
      <w:r>
        <w:rPr>
          <w:rFonts w:ascii="Times New Roman" w:hAnsi="Times New Roman" w:cs="Times New Roman"/>
        </w:rPr>
        <w:t xml:space="preserve"> For that reason, the socialists were a thorn in the government’s side whenever it tried to pass colonial, navy, or army budgets. </w:t>
      </w:r>
      <w:r w:rsidR="001F5D02">
        <w:rPr>
          <w:rFonts w:ascii="Times New Roman" w:hAnsi="Times New Roman" w:cs="Times New Roman"/>
        </w:rPr>
        <w:t xml:space="preserve">The SPD’s </w:t>
      </w:r>
      <w:r>
        <w:rPr>
          <w:rFonts w:ascii="Times New Roman" w:hAnsi="Times New Roman" w:cs="Times New Roman"/>
        </w:rPr>
        <w:t xml:space="preserve">opposition to colonialism and imperialism was somewhat conflicted. On the one hand, they denigrated these activities as capitalist adventures, designed to profit the few at the expense </w:t>
      </w:r>
      <w:r>
        <w:rPr>
          <w:rFonts w:ascii="Times New Roman" w:hAnsi="Times New Roman" w:cs="Times New Roman"/>
        </w:rPr>
        <w:lastRenderedPageBreak/>
        <w:t>of the many. However, they were also concerned for the welfare of the exploited Africans in the colonies, and given prevailing thought at the time in regard to the white man’s burden to civilize and help the natives, they were not opposed to a colonialism whose purpose was to spread civilization, rather than capitalism. Despite this reservation, in practice the SPD rejected nearly all colonial budgets as a matter of course.</w:t>
      </w:r>
      <w:r>
        <w:rPr>
          <w:rStyle w:val="FootnoteReference"/>
          <w:rFonts w:ascii="Times New Roman" w:hAnsi="Times New Roman" w:cs="Times New Roman"/>
        </w:rPr>
        <w:footnoteReference w:id="23"/>
      </w:r>
      <w:r>
        <w:rPr>
          <w:rFonts w:ascii="Times New Roman" w:hAnsi="Times New Roman" w:cs="Times New Roman"/>
        </w:rPr>
        <w:t xml:space="preserve"> In that sense, the motives of the SPD in the coming crisis are by far the most obvious, and do not require much analysis. </w:t>
      </w:r>
    </w:p>
    <w:p w14:paraId="282E2624" w14:textId="44AE2577" w:rsidR="006040A9" w:rsidRDefault="006040A9" w:rsidP="002D76C8">
      <w:pPr>
        <w:spacing w:line="360" w:lineRule="auto"/>
        <w:rPr>
          <w:rFonts w:ascii="Times New Roman" w:hAnsi="Times New Roman" w:cs="Times New Roman"/>
        </w:rPr>
      </w:pPr>
      <w:r>
        <w:rPr>
          <w:rFonts w:ascii="Times New Roman" w:hAnsi="Times New Roman" w:cs="Times New Roman"/>
        </w:rPr>
        <w:tab/>
        <w:t>On the opposite end of the political spectrum were the parties of order, supporting generally the policies of Prinz Bernhard von Bülow. Given that the government (read Bülow) could normally count on the support of these parties, it is not so much their motives that are relevant to this study, but rather the motives of Bülow, who they assi</w:t>
      </w:r>
      <w:r w:rsidR="001F5D02">
        <w:rPr>
          <w:rFonts w:ascii="Times New Roman" w:hAnsi="Times New Roman" w:cs="Times New Roman"/>
        </w:rPr>
        <w:t>duously supported. H</w:t>
      </w:r>
      <w:r>
        <w:rPr>
          <w:rFonts w:ascii="Times New Roman" w:hAnsi="Times New Roman" w:cs="Times New Roman"/>
        </w:rPr>
        <w:t>owever</w:t>
      </w:r>
      <w:r w:rsidR="001F5D02">
        <w:rPr>
          <w:rFonts w:ascii="Times New Roman" w:hAnsi="Times New Roman" w:cs="Times New Roman"/>
        </w:rPr>
        <w:t>,</w:t>
      </w:r>
      <w:r>
        <w:rPr>
          <w:rFonts w:ascii="Times New Roman" w:hAnsi="Times New Roman" w:cs="Times New Roman"/>
        </w:rPr>
        <w:t xml:space="preserve"> among them the parties of order occupied 160 seats in the Reichstag, and when combined with the 25 seats of the less supportive radicals fell just short of a majority. Bülow’s motives in the Reichstag are complex and complicated. Most authors, however, tend to condense his goals into two coherent categories, which will suffice for this study. Of the two categories, the first was the most often expressed and most obvious. As was stated earlier, one of the major goals of any Chancellor was the creation of a semi-majority in the Reichstag which would smooth the passage of budgets and legislation. This made Bülow’s position in 1906 rather tenuous, without majority support the passage of bills was often slowed and eventually, during the crisis to come, stopped. To combat this challenge, Bülow aimed to follow a policy of </w:t>
      </w:r>
      <w:r>
        <w:rPr>
          <w:rFonts w:ascii="Times New Roman" w:hAnsi="Times New Roman" w:cs="Times New Roman"/>
          <w:i/>
        </w:rPr>
        <w:t>Sammlungspolitik</w:t>
      </w:r>
      <w:r>
        <w:rPr>
          <w:rFonts w:ascii="Times New Roman" w:hAnsi="Times New Roman" w:cs="Times New Roman"/>
        </w:rPr>
        <w:t>, that is, a majority coalition of the parties of order aligned against the obstructionist socialist threat.</w:t>
      </w:r>
      <w:r>
        <w:rPr>
          <w:rStyle w:val="FootnoteReference"/>
          <w:rFonts w:ascii="Times New Roman" w:hAnsi="Times New Roman" w:cs="Times New Roman"/>
        </w:rPr>
        <w:footnoteReference w:id="24"/>
      </w:r>
      <w:r>
        <w:rPr>
          <w:rFonts w:ascii="Times New Roman" w:hAnsi="Times New Roman" w:cs="Times New Roman"/>
        </w:rPr>
        <w:t xml:space="preserve"> Some authors argue further that in fact Bülow had few other principles than determined opposition to socialism.</w:t>
      </w:r>
      <w:r>
        <w:rPr>
          <w:rStyle w:val="FootnoteReference"/>
          <w:rFonts w:ascii="Times New Roman" w:hAnsi="Times New Roman" w:cs="Times New Roman"/>
        </w:rPr>
        <w:footnoteReference w:id="25"/>
      </w:r>
      <w:r>
        <w:rPr>
          <w:rFonts w:ascii="Times New Roman" w:hAnsi="Times New Roman" w:cs="Times New Roman"/>
        </w:rPr>
        <w:t xml:space="preserve"> On the other hand, perhaps of larger consideration to Bülow, was his own job security. </w:t>
      </w:r>
      <w:r w:rsidR="001F5D02">
        <w:rPr>
          <w:rFonts w:ascii="Times New Roman" w:hAnsi="Times New Roman" w:cs="Times New Roman"/>
        </w:rPr>
        <w:t>D</w:t>
      </w:r>
      <w:r>
        <w:rPr>
          <w:rFonts w:ascii="Times New Roman" w:hAnsi="Times New Roman" w:cs="Times New Roman"/>
        </w:rPr>
        <w:t xml:space="preserve">uring this time the German Chancellor was only responsible to the Kaiser, </w:t>
      </w:r>
      <w:r>
        <w:rPr>
          <w:rFonts w:ascii="Times New Roman" w:hAnsi="Times New Roman" w:cs="Times New Roman"/>
          <w:i/>
        </w:rPr>
        <w:t>not</w:t>
      </w:r>
      <w:r>
        <w:rPr>
          <w:rFonts w:ascii="Times New Roman" w:hAnsi="Times New Roman" w:cs="Times New Roman"/>
        </w:rPr>
        <w:t xml:space="preserve"> the Reichstag, and ultimately it was his job to get the Reichstag to go along with the Kaiser’s wishes. But Bülow’s relations with Kaiser Wilhelm had gone sour recently, for a number of reasons.</w:t>
      </w:r>
      <w:r>
        <w:rPr>
          <w:rStyle w:val="FootnoteReference"/>
          <w:rFonts w:ascii="Times New Roman" w:hAnsi="Times New Roman" w:cs="Times New Roman"/>
        </w:rPr>
        <w:footnoteReference w:id="26"/>
      </w:r>
      <w:r>
        <w:rPr>
          <w:rFonts w:ascii="Times New Roman" w:hAnsi="Times New Roman" w:cs="Times New Roman"/>
        </w:rPr>
        <w:t xml:space="preserve"> On the one hand, Bülow had dismissed out of hand the Kaiser’s plans for a Franco-Russian-German alliance. Perhaps more importantly, Bülow’s plans for</w:t>
      </w:r>
      <w:r w:rsidR="001F5D02">
        <w:rPr>
          <w:rFonts w:ascii="Times New Roman" w:hAnsi="Times New Roman" w:cs="Times New Roman"/>
        </w:rPr>
        <w:t xml:space="preserve"> an exploitation of the French position in</w:t>
      </w:r>
      <w:r>
        <w:rPr>
          <w:rFonts w:ascii="Times New Roman" w:hAnsi="Times New Roman" w:cs="Times New Roman"/>
        </w:rPr>
        <w:t xml:space="preserve"> Morocco </w:t>
      </w:r>
      <w:r w:rsidR="001F5D02">
        <w:rPr>
          <w:rFonts w:ascii="Times New Roman" w:hAnsi="Times New Roman" w:cs="Times New Roman"/>
        </w:rPr>
        <w:t xml:space="preserve">for other colonial gains </w:t>
      </w:r>
      <w:r>
        <w:rPr>
          <w:rFonts w:ascii="Times New Roman" w:hAnsi="Times New Roman" w:cs="Times New Roman"/>
        </w:rPr>
        <w:t xml:space="preserve">had failed spectacularly in what is now known as the First Moroccan Crisis, which strengthened the alliance between France and Great Britain and </w:t>
      </w:r>
      <w:r>
        <w:rPr>
          <w:rFonts w:ascii="Times New Roman" w:hAnsi="Times New Roman" w:cs="Times New Roman"/>
        </w:rPr>
        <w:lastRenderedPageBreak/>
        <w:t>served to isolate Germany diplomatically. With rumors abounding that he would be replaced due to the Kaiser’s ill feelings towards him, Bülow could not afford to appear weak in the crisis that was to follow, and therefore neither would his supportive parties of order.</w:t>
      </w:r>
    </w:p>
    <w:p w14:paraId="0D79F9F7" w14:textId="1F22E239" w:rsidR="006040A9" w:rsidRDefault="006040A9" w:rsidP="002D76C8">
      <w:pPr>
        <w:spacing w:line="360" w:lineRule="auto"/>
        <w:rPr>
          <w:rFonts w:ascii="Times New Roman" w:hAnsi="Times New Roman" w:cs="Times New Roman"/>
        </w:rPr>
      </w:pPr>
      <w:r>
        <w:rPr>
          <w:rFonts w:ascii="Times New Roman" w:hAnsi="Times New Roman" w:cs="Times New Roman"/>
        </w:rPr>
        <w:tab/>
        <w:t>Holding the balance between these two blocs was the largest and most powerful party in the Reichstag, the Zentrum. The Zentrum was a catholic confessional party, created to prevent discrimination against the large catholic minority in a German Empire dominated by protestant Prussia. Due to its desire to protect catholic interests, which were often the preserve of smaller states within the empire, the party also became one</w:t>
      </w:r>
      <w:r w:rsidR="00DF1BB0">
        <w:rPr>
          <w:rFonts w:ascii="Times New Roman" w:hAnsi="Times New Roman" w:cs="Times New Roman"/>
        </w:rPr>
        <w:t xml:space="preserve"> </w:t>
      </w:r>
      <w:r>
        <w:rPr>
          <w:rFonts w:ascii="Times New Roman" w:hAnsi="Times New Roman" w:cs="Times New Roman"/>
        </w:rPr>
        <w:t>of states’ rights against the encroachment of the central government. This meant that, though the party was often a supporter of order and the government, it could not always be relied upon. In the public eye, this anti-national element was augmented by nominal homage to the foreign Pope in Rome, making the Zentrum doubly suspicious in regard to its patriotism. As a half-hearted supporter of the government, the Zentrum would usually agree to pass controversial budgets, but only after pulling certain concessions from the government.  For example, the navy could be expanded, but only if that was accompanied by an inheritance tax, and a reduction of indirect taxes.</w:t>
      </w:r>
      <w:r>
        <w:rPr>
          <w:rStyle w:val="FootnoteReference"/>
          <w:rFonts w:ascii="Times New Roman" w:hAnsi="Times New Roman" w:cs="Times New Roman"/>
        </w:rPr>
        <w:footnoteReference w:id="27"/>
      </w:r>
      <w:r>
        <w:rPr>
          <w:rFonts w:ascii="Times New Roman" w:hAnsi="Times New Roman" w:cs="Times New Roman"/>
        </w:rPr>
        <w:t xml:space="preserve"> Support for colonial budgets, on the other hand, was often tied to their value in terms of souls for catholic conversion. This tentative support would end in 1906, however, as will be discussed below. Complicating the Zentrum’s position on government support, and especially on colonial issues, was a fundamental divide within the party itself. The catholic party tied together very different groups, from landed aristocrats in Silesia to catholic laborers in the Rhineland. This left the party divided into a more conservative wing, led by Peter Spahn, and a radical, left-leaning wing which would come to be led by Matthias Erzberger.</w:t>
      </w:r>
      <w:r>
        <w:rPr>
          <w:rStyle w:val="FootnoteReference"/>
          <w:rFonts w:ascii="Times New Roman" w:hAnsi="Times New Roman" w:cs="Times New Roman"/>
        </w:rPr>
        <w:footnoteReference w:id="28"/>
      </w:r>
      <w:r>
        <w:rPr>
          <w:rFonts w:ascii="Times New Roman" w:hAnsi="Times New Roman" w:cs="Times New Roman"/>
        </w:rPr>
        <w:t xml:space="preserve"> The differences between these two sides would accelerate during the colonial crisis. As the Zentrum held the balance in the Reichstag in 1906, the question of which wing would come into ascendancy would essentially decide whether or not the government could pass bills according to the wishes Bülow and through him, the Kaiser.  Given all this information, it is now possible to move into a discussion of the colonial crisis itself, and through that, the rise of Dernburg and the idea of the reform period. </w:t>
      </w:r>
    </w:p>
    <w:p w14:paraId="46F99899" w14:textId="77777777" w:rsidR="007F0D3D" w:rsidRDefault="007F0D3D" w:rsidP="002D76C8">
      <w:pPr>
        <w:spacing w:line="360" w:lineRule="auto"/>
        <w:rPr>
          <w:rFonts w:ascii="Times New Roman" w:hAnsi="Times New Roman" w:cs="Times New Roman"/>
        </w:rPr>
      </w:pPr>
    </w:p>
    <w:p w14:paraId="5BE9AD87" w14:textId="77777777" w:rsidR="004E22F3" w:rsidRDefault="004E22F3" w:rsidP="002D76C8">
      <w:pPr>
        <w:spacing w:line="360" w:lineRule="auto"/>
        <w:rPr>
          <w:rFonts w:ascii="Times New Roman" w:hAnsi="Times New Roman" w:cs="Times New Roman"/>
        </w:rPr>
      </w:pPr>
    </w:p>
    <w:p w14:paraId="2EB30290" w14:textId="77777777" w:rsidR="004E22F3" w:rsidRDefault="004E22F3" w:rsidP="002D76C8">
      <w:pPr>
        <w:spacing w:line="360" w:lineRule="auto"/>
        <w:rPr>
          <w:rFonts w:ascii="Times New Roman" w:hAnsi="Times New Roman" w:cs="Times New Roman"/>
        </w:rPr>
      </w:pPr>
    </w:p>
    <w:p w14:paraId="44F08A0C" w14:textId="77777777" w:rsidR="006040A9" w:rsidRPr="004E22F3" w:rsidRDefault="006040A9" w:rsidP="002D76C8">
      <w:pPr>
        <w:spacing w:line="360" w:lineRule="auto"/>
        <w:jc w:val="center"/>
        <w:rPr>
          <w:rFonts w:ascii="Times New Roman" w:hAnsi="Times New Roman" w:cs="Times New Roman"/>
          <w:b/>
        </w:rPr>
      </w:pPr>
      <w:r w:rsidRPr="004E22F3">
        <w:rPr>
          <w:rFonts w:ascii="Times New Roman" w:hAnsi="Times New Roman" w:cs="Times New Roman"/>
          <w:b/>
        </w:rPr>
        <w:t>The Colonial Crisis</w:t>
      </w:r>
    </w:p>
    <w:p w14:paraId="5AECD0E4" w14:textId="77777777" w:rsidR="006040A9" w:rsidRDefault="006040A9" w:rsidP="002D76C8">
      <w:pPr>
        <w:spacing w:line="360" w:lineRule="auto"/>
        <w:jc w:val="center"/>
        <w:rPr>
          <w:rFonts w:ascii="Times New Roman" w:hAnsi="Times New Roman" w:cs="Times New Roman"/>
          <w:sz w:val="28"/>
          <w:szCs w:val="28"/>
        </w:rPr>
      </w:pPr>
    </w:p>
    <w:p w14:paraId="4A168F32" w14:textId="6147F092" w:rsidR="006040A9" w:rsidRDefault="006040A9" w:rsidP="002D76C8">
      <w:pPr>
        <w:spacing w:line="360" w:lineRule="auto"/>
        <w:rPr>
          <w:rFonts w:ascii="Times New Roman" w:hAnsi="Times New Roman" w:cs="Times New Roman"/>
        </w:rPr>
      </w:pPr>
      <w:r>
        <w:rPr>
          <w:rFonts w:ascii="Times New Roman" w:hAnsi="Times New Roman" w:cs="Times New Roman"/>
        </w:rPr>
        <w:tab/>
        <w:t xml:space="preserve">While the motivations for the escalation of the colonial crisis in 1906 were contained within the motivations of the various parties, the real root of the problem stemmed from the revolt in German South West Africa that began in 1904. </w:t>
      </w:r>
      <w:r w:rsidR="00DF1BB0">
        <w:rPr>
          <w:rFonts w:ascii="Times New Roman" w:hAnsi="Times New Roman" w:cs="Times New Roman"/>
        </w:rPr>
        <w:t>S</w:t>
      </w:r>
      <w:r>
        <w:rPr>
          <w:rFonts w:ascii="Times New Roman" w:hAnsi="Times New Roman" w:cs="Times New Roman"/>
        </w:rPr>
        <w:t>uffice it to say that the</w:t>
      </w:r>
      <w:r w:rsidR="00DF1BB0">
        <w:rPr>
          <w:rFonts w:ascii="Times New Roman" w:hAnsi="Times New Roman" w:cs="Times New Roman"/>
        </w:rPr>
        <w:t xml:space="preserve"> African</w:t>
      </w:r>
      <w:r>
        <w:rPr>
          <w:rFonts w:ascii="Times New Roman" w:hAnsi="Times New Roman" w:cs="Times New Roman"/>
        </w:rPr>
        <w:t xml:space="preserve"> revolt against the settler community became much more expensive in both human and financial terms than anyone had predicted. This caused outrage both over budgetary matters and also in a moral sense. However, during the course of the revolt, the Reichstag, for the most part, continued to support increasingly large colonial budgets. This was also true of the Zentrum, though its support of the budgets became increasingly tenuous. This was to change in September of 1905, when the Zentrum, on which the government had previously counted for its majority of support, suddenly changed tack. </w:t>
      </w:r>
    </w:p>
    <w:p w14:paraId="5E805F3B" w14:textId="4510D7ED" w:rsidR="006040A9" w:rsidRDefault="006040A9" w:rsidP="002D76C8">
      <w:pPr>
        <w:spacing w:line="360" w:lineRule="auto"/>
        <w:rPr>
          <w:rFonts w:ascii="Times New Roman" w:hAnsi="Times New Roman" w:cs="Times New Roman"/>
        </w:rPr>
      </w:pPr>
      <w:r>
        <w:rPr>
          <w:rFonts w:ascii="Times New Roman" w:hAnsi="Times New Roman" w:cs="Times New Roman"/>
        </w:rPr>
        <w:tab/>
        <w:t>The change in tack had everything to do with the split that had developed inside the Zentrum, between conservative and radical wings. The rising star of the radical wing, Matthias Erzberger, began a virulent attack on an assortment of colonial scandals. His anonymous sources in the colonies revealed, for example, the huge amounts of money that were being spent on Southwest Africa, and the minimal returns on those investments. They also exposed the inefficiencies of the colonial administration there and certain cases of corruption. His attacks were not limited to that, however, and also included discrepancies in regard to railway concessions in German Cameroon.</w:t>
      </w:r>
      <w:r w:rsidR="00DF1BB0">
        <w:rPr>
          <w:rStyle w:val="FootnoteReference"/>
          <w:rFonts w:ascii="Times New Roman" w:hAnsi="Times New Roman" w:cs="Times New Roman"/>
        </w:rPr>
        <w:footnoteReference w:id="29"/>
      </w:r>
      <w:r>
        <w:rPr>
          <w:rFonts w:ascii="Times New Roman" w:hAnsi="Times New Roman" w:cs="Times New Roman"/>
        </w:rPr>
        <w:t xml:space="preserve"> Soon, large segments of the Reichstag joined in the clamor, especially the SPD and the radicals, building to a climax in January and February of 1906. Though the leaders of the Zentrum, and specifically Spahn of the conservative wing rebuked Erzberger as having gone to far, the majority of the party began to follow Erzberger’s line.</w:t>
      </w:r>
      <w:r>
        <w:rPr>
          <w:rStyle w:val="FootnoteReference"/>
          <w:rFonts w:ascii="Times New Roman" w:hAnsi="Times New Roman" w:cs="Times New Roman"/>
        </w:rPr>
        <w:footnoteReference w:id="30"/>
      </w:r>
      <w:r>
        <w:rPr>
          <w:rFonts w:ascii="Times New Roman" w:hAnsi="Times New Roman" w:cs="Times New Roman"/>
        </w:rPr>
        <w:t xml:space="preserve"> By May of that year, and the close of the Reichstag session, the Reichstag was no longer approving colonial budgets, and a showdown in that body loomed. </w:t>
      </w:r>
    </w:p>
    <w:p w14:paraId="7DD2541D" w14:textId="20C465CA" w:rsidR="006040A9" w:rsidRDefault="006040A9" w:rsidP="002D76C8">
      <w:pPr>
        <w:spacing w:line="360" w:lineRule="auto"/>
        <w:rPr>
          <w:rFonts w:ascii="Times New Roman" w:hAnsi="Times New Roman" w:cs="Times New Roman"/>
        </w:rPr>
      </w:pPr>
      <w:r>
        <w:rPr>
          <w:rFonts w:ascii="Times New Roman" w:hAnsi="Times New Roman" w:cs="Times New Roman"/>
        </w:rPr>
        <w:tab/>
        <w:t xml:space="preserve">Before the Reichstag reopened in November of 1906, Chancellor von Bülow had surprised everyone with his choice of the new head of the colonial department. Given the uproar over the situation in the colonies, which had also been taken up in the German press, a strong message was necessary. The man that Bülow appointed for this purpose was the young banker, Bernhard Dernburg. His appointment </w:t>
      </w:r>
      <w:r w:rsidR="005F6DF0">
        <w:rPr>
          <w:rFonts w:ascii="Times New Roman" w:hAnsi="Times New Roman" w:cs="Times New Roman"/>
        </w:rPr>
        <w:t xml:space="preserve">fulfilled </w:t>
      </w:r>
      <w:r>
        <w:rPr>
          <w:rFonts w:ascii="Times New Roman" w:hAnsi="Times New Roman" w:cs="Times New Roman"/>
        </w:rPr>
        <w:t xml:space="preserve">two major purposes. The first of these concerned Dernburg’s background. Known as a shrewd businessman, it was asserted that this </w:t>
      </w:r>
      <w:r>
        <w:rPr>
          <w:rFonts w:ascii="Times New Roman" w:hAnsi="Times New Roman" w:cs="Times New Roman"/>
        </w:rPr>
        <w:lastRenderedPageBreak/>
        <w:t xml:space="preserve">kind of man would be able to turn around a bloated and ineffectual administration, streamlining it and removing serious inefficiencies. On this point, it was not all show, for between September when he was appointed and November when the Reichstag opened, Dernburg did indeed make some necessary changes, cancelling for example the worst of the </w:t>
      </w:r>
      <w:r w:rsidR="005F6DF0">
        <w:rPr>
          <w:rFonts w:ascii="Times New Roman" w:hAnsi="Times New Roman" w:cs="Times New Roman"/>
        </w:rPr>
        <w:t xml:space="preserve">inefficient and basically bankrupt </w:t>
      </w:r>
      <w:r>
        <w:rPr>
          <w:rFonts w:ascii="Times New Roman" w:hAnsi="Times New Roman" w:cs="Times New Roman"/>
        </w:rPr>
        <w:t>monopoly contracts in the colonies.</w:t>
      </w:r>
      <w:r>
        <w:rPr>
          <w:rStyle w:val="FootnoteReference"/>
          <w:rFonts w:ascii="Times New Roman" w:hAnsi="Times New Roman" w:cs="Times New Roman"/>
        </w:rPr>
        <w:footnoteReference w:id="31"/>
      </w:r>
      <w:r>
        <w:rPr>
          <w:rFonts w:ascii="Times New Roman" w:hAnsi="Times New Roman" w:cs="Times New Roman"/>
        </w:rPr>
        <w:t xml:space="preserve"> In the process, importantly, Dernburg came across efforts by Erzberger and his colleague Hermann Roeren, to protect certain missionaries and catholic officials. However, showing a degree of change was not Bülow’s only purpose in the appointment of Dernburg. Dernburg’s previous association with the radicals was bait to which they would later rise, and join the government’s position on colonial issues. In this way, Dernburg’s appointment, far from simply an honest attempt to reform, was a political ploy that would ultimately prove very successful.</w:t>
      </w:r>
      <w:r>
        <w:rPr>
          <w:rStyle w:val="FootnoteReference"/>
          <w:rFonts w:ascii="Times New Roman" w:hAnsi="Times New Roman" w:cs="Times New Roman"/>
        </w:rPr>
        <w:footnoteReference w:id="32"/>
      </w:r>
    </w:p>
    <w:p w14:paraId="08F1DC24" w14:textId="77777777" w:rsidR="006040A9" w:rsidRDefault="006040A9" w:rsidP="002D76C8">
      <w:pPr>
        <w:spacing w:line="360" w:lineRule="auto"/>
        <w:rPr>
          <w:rFonts w:ascii="Times New Roman" w:hAnsi="Times New Roman" w:cs="Times New Roman"/>
        </w:rPr>
      </w:pPr>
      <w:r>
        <w:rPr>
          <w:rFonts w:ascii="Times New Roman" w:hAnsi="Times New Roman" w:cs="Times New Roman"/>
        </w:rPr>
        <w:tab/>
        <w:t>With the radical wing of the Zentrum in the ascendant, it was becoming clear that the party would not support the government in its coming attempts to pass a colonial budget. Merely a few days into the new session of the Reichstag, Dernburg set out to explain his minor changes to the colonial system. The first two speakers for the Zentrum responded in remarkably cordial tones, Erzberger included. The third, however, Roeren, launched into a spectacular assault on colonial policy. He cited brutalities in Togo, which he had ostensibly learned from his missionary contacts there, and went on to accuse the government of protecting colonial officials from justice, even under Dernburg’s own short period in office. Roeren then suggested that the entire colonial system should be abolished and not a “single penny” more should be given to it.</w:t>
      </w:r>
      <w:r>
        <w:rPr>
          <w:rStyle w:val="FootnoteReference"/>
          <w:rFonts w:ascii="Times New Roman" w:hAnsi="Times New Roman" w:cs="Times New Roman"/>
        </w:rPr>
        <w:footnoteReference w:id="33"/>
      </w:r>
      <w:r>
        <w:rPr>
          <w:rFonts w:ascii="Times New Roman" w:hAnsi="Times New Roman" w:cs="Times New Roman"/>
        </w:rPr>
        <w:t xml:space="preserve"> Dernburg, however, given his recent forays into the efforts of Erzberger and Roeren to protect catholic officials, was more than prepared to respond. Having lost patience with Roeren at the MP’s insinuation of his own complicity in colonial scandals, Dernburg fired back with accusations of Roeren’s shady dealings with the colonial department in his efforts to protect catholic officials. At this point, the dialogue became truly nasty. Dernburg claimed to be exposing Roeren, to which Roeren retorted that Dernburg was too young and unqualified to do so. Dernburg’s response devolved into a direct attack on the Zentrum generally, and its interference in colonial affairs was “an abscess which had to be lanced.”</w:t>
      </w:r>
      <w:r>
        <w:rPr>
          <w:rStyle w:val="FootnoteReference"/>
          <w:rFonts w:ascii="Times New Roman" w:hAnsi="Times New Roman" w:cs="Times New Roman"/>
        </w:rPr>
        <w:footnoteReference w:id="34"/>
      </w:r>
      <w:r>
        <w:rPr>
          <w:rFonts w:ascii="Times New Roman" w:hAnsi="Times New Roman" w:cs="Times New Roman"/>
        </w:rPr>
        <w:t xml:space="preserve"> </w:t>
      </w:r>
    </w:p>
    <w:p w14:paraId="41971171" w14:textId="77777777" w:rsidR="006040A9" w:rsidRDefault="006040A9" w:rsidP="002D76C8">
      <w:pPr>
        <w:spacing w:line="360" w:lineRule="auto"/>
        <w:rPr>
          <w:rFonts w:ascii="Times New Roman" w:hAnsi="Times New Roman" w:cs="Times New Roman"/>
        </w:rPr>
      </w:pPr>
      <w:r>
        <w:rPr>
          <w:rFonts w:ascii="Times New Roman" w:hAnsi="Times New Roman" w:cs="Times New Roman"/>
        </w:rPr>
        <w:lastRenderedPageBreak/>
        <w:tab/>
        <w:t xml:space="preserve">This is the point at which Dernburg’s importance in the idea of the reform period begins to take shape. Though previously largely apolitical, the information Dernburg had found in regard to Zentrum interference in colonial affairs, and those same people’s subsequent personal attack on him, caused a marked shift in Dernburg’s position. His scathing attack on the Zentrum transformed Dernburg suddenly into a government attack-dog, a role he was to continue through the coming elections. The game changed in other fundamental senses at this same time. In the wake of the vitriolic attacks of Dernburg on Hermann Roeren and the Zentrum, that party, with its aforementioned problems in regard to patriotism and national sentiment, now seemed distinctly anti-national. As the press led an attack on the Zentrum’s obstructionism, and interference in colonial issues, the door was open for the true mastermind of the 1907 elections, Chancellor von Bülow. </w:t>
      </w:r>
    </w:p>
    <w:p w14:paraId="5B84F703" w14:textId="77777777" w:rsidR="006040A9" w:rsidRDefault="006040A9" w:rsidP="002D76C8">
      <w:pPr>
        <w:spacing w:line="360" w:lineRule="auto"/>
        <w:rPr>
          <w:rFonts w:ascii="Times New Roman" w:hAnsi="Times New Roman" w:cs="Times New Roman"/>
        </w:rPr>
      </w:pPr>
      <w:r>
        <w:rPr>
          <w:rFonts w:ascii="Times New Roman" w:hAnsi="Times New Roman" w:cs="Times New Roman"/>
        </w:rPr>
        <w:t xml:space="preserve">It has been mentioned earlier that Bülow had two main motives at this time, one being the creation of an anti-socialist majority through </w:t>
      </w:r>
      <w:r>
        <w:rPr>
          <w:rFonts w:ascii="Times New Roman" w:hAnsi="Times New Roman" w:cs="Times New Roman"/>
          <w:i/>
        </w:rPr>
        <w:t>Sammlungspolitik</w:t>
      </w:r>
      <w:r>
        <w:rPr>
          <w:rFonts w:ascii="Times New Roman" w:hAnsi="Times New Roman" w:cs="Times New Roman"/>
        </w:rPr>
        <w:t>, as well a concern for his personal prestige and job security.</w:t>
      </w:r>
      <w:r>
        <w:rPr>
          <w:rStyle w:val="FootnoteReference"/>
          <w:rFonts w:ascii="Times New Roman" w:hAnsi="Times New Roman" w:cs="Times New Roman"/>
        </w:rPr>
        <w:footnoteReference w:id="35"/>
      </w:r>
      <w:r>
        <w:rPr>
          <w:rFonts w:ascii="Times New Roman" w:hAnsi="Times New Roman" w:cs="Times New Roman"/>
        </w:rPr>
        <w:t xml:space="preserve"> Bülow saw the chance for an election based on national policies, with the colonies as the centerpiece. In a single stroke, Bülow would be able to bring together the parties of order, smash the SPD, and regain his favor at court and with the Kaiser. The Chancellor was quick to make his move. Even while Reichstag debates on the colonies continued, Bülow secretly began the procedures necessary with the members of the Bundesrat and the Kaiser to dissolve the Reichstag and call for new elections.</w:t>
      </w:r>
      <w:r>
        <w:rPr>
          <w:rStyle w:val="FootnoteReference"/>
          <w:rFonts w:ascii="Times New Roman" w:hAnsi="Times New Roman" w:cs="Times New Roman"/>
        </w:rPr>
        <w:footnoteReference w:id="36"/>
      </w:r>
      <w:r>
        <w:rPr>
          <w:rFonts w:ascii="Times New Roman" w:hAnsi="Times New Roman" w:cs="Times New Roman"/>
        </w:rPr>
        <w:t xml:space="preserve"> When the colonial budget came up for a vote a few days later, Bülow was prepared, carrying his notice of dissolution in the wrong folder to disguise his intentions. Unaware of the danger, the Zentrum voted down the colonial bills, expecting that they would be able to ask for amendments and concessions before begrudgingly accepting the government’s plans. Instead, the Reichstag was shocked by the sudden announcement of its dissolution in the wake of the no vote. Bülow could now have his national election dominated by the issue of the colonies, and at the center of it all would be Dernburg. </w:t>
      </w:r>
    </w:p>
    <w:p w14:paraId="5581FB77" w14:textId="02E90EA2" w:rsidR="003661E7" w:rsidRDefault="006040A9" w:rsidP="002D76C8">
      <w:pPr>
        <w:spacing w:line="360" w:lineRule="auto"/>
        <w:rPr>
          <w:rFonts w:ascii="Times New Roman" w:hAnsi="Times New Roman" w:cs="Times New Roman"/>
        </w:rPr>
      </w:pPr>
      <w:r>
        <w:rPr>
          <w:rFonts w:ascii="Times New Roman" w:hAnsi="Times New Roman" w:cs="Times New Roman"/>
        </w:rPr>
        <w:t xml:space="preserve">Given that the election of 1907 was ostensibly about the colonies, rather than Bülow’s own personal prestige and search for a workable parliamentary majority, it was natural that as colonial director, Dernburg would lead the campaign. This was especially possible given his recent attacks on the intrigues of the center, and his small though noticeable reforms to date. To this end, Dernburg devoted considerable energy, launching a serious of campaign </w:t>
      </w:r>
      <w:r>
        <w:rPr>
          <w:rFonts w:ascii="Times New Roman" w:hAnsi="Times New Roman" w:cs="Times New Roman"/>
        </w:rPr>
        <w:lastRenderedPageBreak/>
        <w:t>speeches across the county, on which historical reputation is largely based.</w:t>
      </w:r>
      <w:r>
        <w:rPr>
          <w:rStyle w:val="FootnoteReference"/>
          <w:rFonts w:ascii="Times New Roman" w:hAnsi="Times New Roman" w:cs="Times New Roman"/>
        </w:rPr>
        <w:footnoteReference w:id="37"/>
      </w:r>
      <w:r>
        <w:rPr>
          <w:rFonts w:ascii="Times New Roman" w:hAnsi="Times New Roman" w:cs="Times New Roman"/>
        </w:rPr>
        <w:t xml:space="preserve"> It is precisely because Dernburg’s speeches at this point are the basis of that reputation that they have so much bearing on the development of the idea of reform during his tenure as Colonial Secretary.</w:t>
      </w:r>
      <w:r>
        <w:rPr>
          <w:rStyle w:val="FootnoteReference"/>
          <w:rFonts w:ascii="Times New Roman" w:hAnsi="Times New Roman" w:cs="Times New Roman"/>
        </w:rPr>
        <w:footnoteReference w:id="38"/>
      </w:r>
      <w:r>
        <w:rPr>
          <w:rFonts w:ascii="Times New Roman" w:hAnsi="Times New Roman" w:cs="Times New Roman"/>
        </w:rPr>
        <w:t xml:space="preserve"> In many cases, it seems as though historians have confused Dernburg’s claims during these speeches, full of often hopeful and overly optimistic assessments as can be expected during an election campaign, for his actual accomplishments during the supposed reform period.</w:t>
      </w:r>
      <w:r>
        <w:rPr>
          <w:rStyle w:val="FootnoteReference"/>
          <w:rFonts w:ascii="Times New Roman" w:hAnsi="Times New Roman" w:cs="Times New Roman"/>
        </w:rPr>
        <w:footnoteReference w:id="39"/>
      </w:r>
      <w:r>
        <w:rPr>
          <w:rFonts w:ascii="Times New Roman" w:hAnsi="Times New Roman" w:cs="Times New Roman"/>
        </w:rPr>
        <w:t xml:space="preserve"> By looking at the speeches themselves, this paper will make the argument, articulated over the next few chapters, first, that the understanding of the reform period as seen in the colonial interpretation of the period is based on the claims made in these speeches, second, that the reform period cannot be honestly called such, given the lack of change in the way that Dernburg explained himself, and third, that the trajectory of German East African history should instead avoid the pitfall of the reform period with a new periodization based more on continuation during this time, rather than change. Given that, the speeches themselves and the election that produced them must now be closely examined. </w:t>
      </w:r>
    </w:p>
    <w:p w14:paraId="7698EACE" w14:textId="77777777" w:rsidR="003661E7" w:rsidRDefault="003661E7" w:rsidP="002D76C8">
      <w:pPr>
        <w:spacing w:line="360" w:lineRule="auto"/>
        <w:rPr>
          <w:rFonts w:ascii="Times New Roman" w:hAnsi="Times New Roman" w:cs="Times New Roman"/>
        </w:rPr>
      </w:pPr>
    </w:p>
    <w:p w14:paraId="0C44DC19" w14:textId="77777777" w:rsidR="006040A9" w:rsidRPr="004E22F3" w:rsidRDefault="006040A9" w:rsidP="002D76C8">
      <w:pPr>
        <w:spacing w:line="360" w:lineRule="auto"/>
        <w:jc w:val="center"/>
        <w:rPr>
          <w:rFonts w:ascii="Times New Roman" w:hAnsi="Times New Roman" w:cs="Times New Roman"/>
          <w:b/>
        </w:rPr>
      </w:pPr>
      <w:r w:rsidRPr="004E22F3">
        <w:rPr>
          <w:rFonts w:ascii="Times New Roman" w:hAnsi="Times New Roman" w:cs="Times New Roman"/>
          <w:b/>
        </w:rPr>
        <w:t>The Election and Campaign of 1907</w:t>
      </w:r>
    </w:p>
    <w:p w14:paraId="48BC6860" w14:textId="77777777" w:rsidR="006040A9" w:rsidRDefault="006040A9" w:rsidP="002D76C8">
      <w:pPr>
        <w:spacing w:line="360" w:lineRule="auto"/>
        <w:jc w:val="center"/>
        <w:rPr>
          <w:rFonts w:ascii="Times New Roman" w:hAnsi="Times New Roman" w:cs="Times New Roman"/>
        </w:rPr>
      </w:pPr>
    </w:p>
    <w:p w14:paraId="7EFCF4AD" w14:textId="77777777" w:rsidR="006040A9" w:rsidRDefault="006040A9" w:rsidP="002D76C8">
      <w:pPr>
        <w:spacing w:line="360" w:lineRule="auto"/>
        <w:rPr>
          <w:rFonts w:ascii="Times New Roman" w:hAnsi="Times New Roman" w:cs="Times New Roman"/>
        </w:rPr>
      </w:pPr>
      <w:r>
        <w:rPr>
          <w:rFonts w:ascii="Times New Roman" w:hAnsi="Times New Roman" w:cs="Times New Roman"/>
        </w:rPr>
        <w:tab/>
        <w:t>The elections of 1907 were the only time during the Second Reich that Germany’s colonies became an issue of serious national importance.</w:t>
      </w:r>
      <w:r>
        <w:rPr>
          <w:rStyle w:val="FootnoteReference"/>
          <w:rFonts w:ascii="Times New Roman" w:hAnsi="Times New Roman" w:cs="Times New Roman"/>
        </w:rPr>
        <w:footnoteReference w:id="40"/>
      </w:r>
      <w:r>
        <w:rPr>
          <w:rFonts w:ascii="Times New Roman" w:hAnsi="Times New Roman" w:cs="Times New Roman"/>
        </w:rPr>
        <w:t xml:space="preserve"> This is, however, not surprising for two reasons. The first of these was the actual deterioration of the situation in the German colonies, especially Southwest and East Africa. However, the problems in the colonies would have never become so important were it not for the reality that colonial issues were merely proxies in a political game that Erzberger had begun.</w:t>
      </w:r>
      <w:r>
        <w:rPr>
          <w:rStyle w:val="FootnoteReference"/>
          <w:rFonts w:ascii="Times New Roman" w:hAnsi="Times New Roman" w:cs="Times New Roman"/>
        </w:rPr>
        <w:footnoteReference w:id="41"/>
      </w:r>
      <w:r>
        <w:rPr>
          <w:rFonts w:ascii="Times New Roman" w:hAnsi="Times New Roman" w:cs="Times New Roman"/>
        </w:rPr>
        <w:t xml:space="preserve"> Erzberger’s attempt to use the colonial scandals to gain greater control over Reichstag finances had failed though, and now Bülow had his chance to do away with the need for the Zentrum entirely. The election was framed in terms of a national question. As the </w:t>
      </w:r>
      <w:r w:rsidRPr="00B030BD">
        <w:rPr>
          <w:rFonts w:ascii="Times New Roman" w:hAnsi="Times New Roman" w:cs="Times New Roman"/>
          <w:i/>
        </w:rPr>
        <w:t>Norddeutsche Allgemeine Zeitung</w:t>
      </w:r>
      <w:r>
        <w:rPr>
          <w:rFonts w:ascii="Times New Roman" w:hAnsi="Times New Roman" w:cs="Times New Roman"/>
        </w:rPr>
        <w:t xml:space="preserve"> put it on the day the Reichstag was dissolved, the election and the proper financing of the colonies was, “a great </w:t>
      </w:r>
      <w:r>
        <w:rPr>
          <w:rFonts w:ascii="Times New Roman" w:hAnsi="Times New Roman" w:cs="Times New Roman"/>
        </w:rPr>
        <w:lastRenderedPageBreak/>
        <w:t>test of whether Germany is capable of developing from a European into a World Power or not.”</w:t>
      </w:r>
      <w:r>
        <w:rPr>
          <w:rStyle w:val="FootnoteReference"/>
          <w:rFonts w:ascii="Times New Roman" w:hAnsi="Times New Roman" w:cs="Times New Roman"/>
        </w:rPr>
        <w:footnoteReference w:id="42"/>
      </w:r>
      <w:r>
        <w:rPr>
          <w:rFonts w:ascii="Times New Roman" w:hAnsi="Times New Roman" w:cs="Times New Roman"/>
        </w:rPr>
        <w:t xml:space="preserve"> </w:t>
      </w:r>
    </w:p>
    <w:p w14:paraId="49438DD4" w14:textId="77777777" w:rsidR="006040A9" w:rsidRDefault="006040A9" w:rsidP="002D76C8">
      <w:pPr>
        <w:spacing w:line="360" w:lineRule="auto"/>
        <w:rPr>
          <w:rFonts w:ascii="Times New Roman" w:hAnsi="Times New Roman"/>
          <w:color w:val="1A1A1A"/>
        </w:rPr>
      </w:pPr>
      <w:r>
        <w:rPr>
          <w:rFonts w:ascii="Times New Roman" w:hAnsi="Times New Roman" w:cs="Times New Roman"/>
        </w:rPr>
        <w:tab/>
        <w:t>It was in this context that Dernburg was sent out campaigning, to explain to the German people the value of their colonies, to frame the financing of these colonies as an issue of national honor, and to explain how the colonies would be reformed in response to previous criticism from the left and center. Dernburg gave several of these speeches in the month before the election, and, like a good politician, he tailored these speeches to his specific audience. This separates the speeches nicely for the purposes of this paper, in terms of Dernburg’s social and economic plans, as will become apparent in further chapters below. Two speeches in particular, given just a few days apart in Berlin are of special importance. In the first, given to an audience of scholars, academics, artists and authors on the eighth of January, outlines Dernburg’s original plans for social reform in the colonies. He was keen, first of all, to describe to this learned audience the benefits that German rule would bestow upon the natives in Africa. He asserted that Germany had begun this great civilizing mission by ending slavery in its colonies, a claim that interestingly was absolutely false.</w:t>
      </w:r>
      <w:r>
        <w:rPr>
          <w:rStyle w:val="FootnoteReference"/>
          <w:rFonts w:ascii="Times New Roman" w:hAnsi="Times New Roman" w:cs="Times New Roman"/>
        </w:rPr>
        <w:footnoteReference w:id="43"/>
      </w:r>
      <w:r>
        <w:rPr>
          <w:rFonts w:ascii="Times New Roman" w:hAnsi="Times New Roman" w:cs="Times New Roman"/>
        </w:rPr>
        <w:t xml:space="preserve"> The speech went on to paint a picture of improving conditions for the African subjects, as they slowly saw the tangible benefits of German rule, and were drawn into the money economy. This was of course only possible because of the (false) previous abolition of slavery that had freed the workforce for production of cash crops for the German market as well as plantation work for the white settlers. As Dernburg put it, “</w:t>
      </w:r>
      <w:r>
        <w:rPr>
          <w:rFonts w:ascii="Times New Roman" w:hAnsi="Times New Roman"/>
          <w:color w:val="1A1A1A"/>
        </w:rPr>
        <w:t>w</w:t>
      </w:r>
      <w:r w:rsidRPr="009F7C52">
        <w:rPr>
          <w:rFonts w:ascii="Times New Roman" w:hAnsi="Times New Roman"/>
          <w:color w:val="1A1A1A"/>
        </w:rPr>
        <w:t>here one colonized with destructive means in the past, one can colonize with preserving means today, which including the missiona</w:t>
      </w:r>
      <w:r>
        <w:rPr>
          <w:rFonts w:ascii="Times New Roman" w:hAnsi="Times New Roman"/>
          <w:color w:val="1A1A1A"/>
        </w:rPr>
        <w:t>ry, the doctor, the train,</w:t>
      </w:r>
      <w:r w:rsidRPr="009F7C52">
        <w:rPr>
          <w:rFonts w:ascii="Times New Roman" w:hAnsi="Times New Roman"/>
          <w:color w:val="1A1A1A"/>
        </w:rPr>
        <w:t xml:space="preserve"> the machin</w:t>
      </w:r>
      <w:r>
        <w:rPr>
          <w:rFonts w:ascii="Times New Roman" w:hAnsi="Times New Roman"/>
          <w:color w:val="1A1A1A"/>
        </w:rPr>
        <w:t>e, and advanced theoretical and applied science in all fields.”</w:t>
      </w:r>
      <w:r>
        <w:rPr>
          <w:rStyle w:val="FootnoteReference"/>
          <w:rFonts w:ascii="Times New Roman" w:hAnsi="Times New Roman"/>
          <w:color w:val="1A1A1A"/>
        </w:rPr>
        <w:footnoteReference w:id="44"/>
      </w:r>
      <w:r>
        <w:rPr>
          <w:rFonts w:ascii="Times New Roman" w:hAnsi="Times New Roman"/>
          <w:color w:val="1A1A1A"/>
        </w:rPr>
        <w:t xml:space="preserve"> This quote, perhaps more than any other, is of paramount importance in the later development of the reform idea. It is from this phrase that Mary Townsend was to devise the idea of “scientific colonialism,” which was to inform the entire story of Dernburg’s reform agenda in the colonial interpretation.</w:t>
      </w:r>
      <w:r>
        <w:rPr>
          <w:rStyle w:val="FootnoteReference"/>
          <w:rFonts w:ascii="Times New Roman" w:hAnsi="Times New Roman"/>
          <w:color w:val="1A1A1A"/>
        </w:rPr>
        <w:footnoteReference w:id="45"/>
      </w:r>
      <w:r>
        <w:rPr>
          <w:rFonts w:ascii="Times New Roman" w:hAnsi="Times New Roman"/>
          <w:color w:val="1A1A1A"/>
        </w:rPr>
        <w:t xml:space="preserve"> After explaining these rather intangible benefits to a responsive audience, Dernburg continued by explaining that the colonies cost relatively little in terms of the German budget. As far as he was concerned, it was a small price to pay for he honor of the role as a civilizing power. At the same time, he implied that the Reichstag had been hindering this national obligation by not supporting the colonial bills, cleverly taking a pot-shot at the center. </w:t>
      </w:r>
    </w:p>
    <w:p w14:paraId="3FA4D6F5" w14:textId="77777777" w:rsidR="006040A9" w:rsidRDefault="006040A9" w:rsidP="002D76C8">
      <w:pPr>
        <w:spacing w:line="360" w:lineRule="auto"/>
        <w:rPr>
          <w:rFonts w:ascii="Times New Roman" w:hAnsi="Times New Roman"/>
          <w:color w:val="1A1A1A"/>
        </w:rPr>
      </w:pPr>
      <w:r>
        <w:rPr>
          <w:rFonts w:ascii="Times New Roman" w:hAnsi="Times New Roman"/>
          <w:color w:val="1A1A1A"/>
        </w:rPr>
        <w:lastRenderedPageBreak/>
        <w:tab/>
        <w:t>The second of the two speeches discussed here was given only three days later in the same city, but to a very different audience. During this second campaign speech, Dernburg’s audience consisted of various trading interests, and therefore its content was also very different. Whereas a few days before he spoke of the cultural benefits of the colonies, and the minor cost that such a venture would entail, he now changed tack entirely, and explained the material benefits. One by one, he moved through the various raw materials which the colonies would produce for the benefit of the fatherland. Copper, rubber, oil, rice and coffee all played major roles in his plan, but it was cotton that he stressed the most.</w:t>
      </w:r>
      <w:r>
        <w:rPr>
          <w:rStyle w:val="FootnoteReference"/>
          <w:rFonts w:ascii="Times New Roman" w:hAnsi="Times New Roman"/>
          <w:color w:val="1A1A1A"/>
        </w:rPr>
        <w:footnoteReference w:id="46"/>
      </w:r>
      <w:r>
        <w:rPr>
          <w:rFonts w:ascii="Times New Roman" w:hAnsi="Times New Roman"/>
          <w:color w:val="1A1A1A"/>
        </w:rPr>
        <w:t xml:space="preserve"> This involved a detailed discussion of the overly optimistic predictions he had for the various colonies, the type of cotton that would be produced, and how it would benefit the metropole. Cotton production in East Africa especially, he argued, would break the Anglo-American duopoly in that market, and make German industry more competitive. Soon, he projected, most of Germany’s cotton needs could be sustained by its colonies. The crux of his speech, however, was a four-part explanation of the most important benefits of the colonies to the homeland. First, they secure German jobs, and high standard of living for German workers. Second, they provide the raw materials needed for German industry. Third, the colonies secure cheap prices for raw materials, allowing German industry to thrive. Fourth, through the cheap production of all of Germany’s needed raw materials, they allow for a positive trade balance.</w:t>
      </w:r>
      <w:r>
        <w:rPr>
          <w:rStyle w:val="FootnoteReference"/>
          <w:rFonts w:ascii="Times New Roman" w:hAnsi="Times New Roman"/>
          <w:color w:val="1A1A1A"/>
        </w:rPr>
        <w:footnoteReference w:id="47"/>
      </w:r>
      <w:r>
        <w:rPr>
          <w:rFonts w:ascii="Times New Roman" w:hAnsi="Times New Roman"/>
          <w:color w:val="1A1A1A"/>
        </w:rPr>
        <w:t xml:space="preserve"> Finally, Dernburg brought the speech full circle, to suggest that this protection of trade, as well as German jobs, was “a national issue of the highest rank,” that every good patriot should support.</w:t>
      </w:r>
      <w:r>
        <w:rPr>
          <w:rStyle w:val="FootnoteReference"/>
          <w:rFonts w:ascii="Times New Roman" w:hAnsi="Times New Roman"/>
          <w:color w:val="1A1A1A"/>
        </w:rPr>
        <w:footnoteReference w:id="48"/>
      </w:r>
      <w:r>
        <w:rPr>
          <w:rFonts w:ascii="Times New Roman" w:hAnsi="Times New Roman"/>
          <w:color w:val="1A1A1A"/>
        </w:rPr>
        <w:t xml:space="preserve"> </w:t>
      </w:r>
    </w:p>
    <w:p w14:paraId="170CF73C" w14:textId="24762515" w:rsidR="00516ADF" w:rsidRPr="004E22F3" w:rsidRDefault="006040A9" w:rsidP="002D76C8">
      <w:pPr>
        <w:spacing w:line="360" w:lineRule="auto"/>
        <w:rPr>
          <w:rFonts w:ascii="Times New Roman" w:hAnsi="Times New Roman" w:cs="Times New Roman"/>
        </w:rPr>
      </w:pPr>
      <w:r>
        <w:rPr>
          <w:rFonts w:ascii="Times New Roman" w:hAnsi="Times New Roman"/>
          <w:color w:val="1A1A1A"/>
        </w:rPr>
        <w:tab/>
        <w:t xml:space="preserve">In this way, Dernburg, through a proposition of colonial reform, made support of the government position a national issue as Bülow had intended. The result was a massive electoral success. While the Zentrum retained its strong position, the SPD was crushed at the polls, losing half of its seats. At the same time, Bülow and his parties of order had gained a solid majority, and would no longer have to compromise. This would have serious implications for the colonies, and for the trajectory of attempts at reform. More important for now, however, is that the correlation between Dernburg’s electoral speeches and Bülow’s political machinations have been shown, as well as the context of the rise of the reform idea. It is now possible to move on to a case based study of the efficacy of the reform period, and whether indeed it should be called such. </w:t>
      </w:r>
    </w:p>
    <w:p w14:paraId="312646FE" w14:textId="247E4981" w:rsidR="00B15DBF" w:rsidRPr="004E22F3" w:rsidRDefault="00B15DBF" w:rsidP="002D76C8">
      <w:pPr>
        <w:spacing w:line="360" w:lineRule="auto"/>
        <w:jc w:val="center"/>
        <w:rPr>
          <w:rFonts w:ascii="Times New Roman" w:hAnsi="Times New Roman" w:cs="Times New Roman"/>
          <w:b/>
          <w:sz w:val="28"/>
          <w:szCs w:val="28"/>
        </w:rPr>
      </w:pPr>
      <w:r w:rsidRPr="004E22F3">
        <w:rPr>
          <w:rFonts w:ascii="Times New Roman" w:hAnsi="Times New Roman" w:cs="Times New Roman"/>
          <w:b/>
          <w:sz w:val="28"/>
          <w:szCs w:val="28"/>
        </w:rPr>
        <w:lastRenderedPageBreak/>
        <w:t>Chapter III: The Economic Context</w:t>
      </w:r>
    </w:p>
    <w:p w14:paraId="7C2E4B97" w14:textId="77777777" w:rsidR="00793A3D" w:rsidRDefault="00793A3D" w:rsidP="002D76C8">
      <w:pPr>
        <w:spacing w:line="360" w:lineRule="auto"/>
        <w:jc w:val="center"/>
        <w:rPr>
          <w:rFonts w:ascii="Times New Roman" w:hAnsi="Times New Roman" w:cs="Times New Roman"/>
          <w:sz w:val="32"/>
          <w:szCs w:val="32"/>
          <w:u w:val="single"/>
        </w:rPr>
      </w:pPr>
    </w:p>
    <w:p w14:paraId="1716E7A1" w14:textId="791C72F2" w:rsidR="00793A3D" w:rsidRDefault="002D5623" w:rsidP="002D76C8">
      <w:pPr>
        <w:spacing w:line="360" w:lineRule="auto"/>
        <w:rPr>
          <w:rFonts w:ascii="Times New Roman" w:hAnsi="Times New Roman" w:cs="Times New Roman"/>
        </w:rPr>
      </w:pPr>
      <w:r>
        <w:rPr>
          <w:rFonts w:ascii="Times New Roman" w:hAnsi="Times New Roman" w:cs="Times New Roman"/>
        </w:rPr>
        <w:tab/>
        <w:t>In this first of two largely quant</w:t>
      </w:r>
      <w:r w:rsidR="004762CC">
        <w:rPr>
          <w:rFonts w:ascii="Times New Roman" w:hAnsi="Times New Roman" w:cs="Times New Roman"/>
        </w:rPr>
        <w:t>it</w:t>
      </w:r>
      <w:r>
        <w:rPr>
          <w:rFonts w:ascii="Times New Roman" w:hAnsi="Times New Roman" w:cs="Times New Roman"/>
        </w:rPr>
        <w:t xml:space="preserve">ative </w:t>
      </w:r>
      <w:r w:rsidR="004762CC">
        <w:rPr>
          <w:rFonts w:ascii="Times New Roman" w:hAnsi="Times New Roman" w:cs="Times New Roman"/>
        </w:rPr>
        <w:t>chapters analyzing the efficacy of Dernburg’s supposed reform period, this study will look at the economic results of the program, in light of Dernburg’s claims during his election campaign speeches. To do this, the colonial secretary’s plans must be broken down into their constituent parts, namely, his plans for the production of raw materials in the colonies for the benefit of Germany, and the massive building schemes that would make such ventures both possible and profitable. As far as East Africa was determined to be a desirable location for the production of raw materials for German industry, this was not a new idea created by Dernburg. Rather, Dernburg elaborated on already existing ideas of the value and usefulness of the colonies, and especially East Africa. Before launching into discussions of the successes and failures of the various raw materials production schemes, it is first important to understand the development of the idea of colonies as sources of these materials to Germany, and the way in which Dernburg changed the emphasis and direction of</w:t>
      </w:r>
      <w:r w:rsidR="003B1F00">
        <w:rPr>
          <w:rFonts w:ascii="Times New Roman" w:hAnsi="Times New Roman" w:cs="Times New Roman"/>
        </w:rPr>
        <w:t xml:space="preserve"> this idea. </w:t>
      </w:r>
    </w:p>
    <w:p w14:paraId="1FC42180" w14:textId="07823C46" w:rsidR="003B1F00" w:rsidRDefault="003B1F00" w:rsidP="002D76C8">
      <w:pPr>
        <w:spacing w:line="360" w:lineRule="auto"/>
        <w:rPr>
          <w:rFonts w:ascii="Times New Roman" w:hAnsi="Times New Roman" w:cs="Times New Roman"/>
        </w:rPr>
      </w:pPr>
      <w:r>
        <w:rPr>
          <w:rFonts w:ascii="Times New Roman" w:hAnsi="Times New Roman" w:cs="Times New Roman"/>
        </w:rPr>
        <w:tab/>
        <w:t xml:space="preserve">The idea of the colonies as a resource base from which to supply German industry dates back to their very founding. </w:t>
      </w:r>
      <w:r w:rsidR="00367D0B">
        <w:rPr>
          <w:rFonts w:ascii="Times New Roman" w:hAnsi="Times New Roman" w:cs="Times New Roman"/>
        </w:rPr>
        <w:t>While the colonies were being acquired for the still nascent German Empire, Bismarck, the engineer of these acquisitions was already framing their importance in terms of raw materials. As he put it at the time, “Just consider if a part of the cotton… which we import could be grown on German soil, wouldn’t that be an increase in the national wealth? Presently we buy all our cotton from America, and we’re bound by a certain American monopoly… If we could… cultivate cotton in… the African equatorial areas with the same intelligence as the Americans plant and work their cotton, … that would be an advantage for our national prosperity, whereas now the money which we expend for cotton… [is] completely lost from our wealth.”</w:t>
      </w:r>
      <w:r w:rsidR="009254E1">
        <w:rPr>
          <w:rStyle w:val="FootnoteReference"/>
          <w:rFonts w:ascii="Times New Roman" w:hAnsi="Times New Roman" w:cs="Times New Roman"/>
        </w:rPr>
        <w:footnoteReference w:id="49"/>
      </w:r>
      <w:r w:rsidR="009254E1">
        <w:rPr>
          <w:rFonts w:ascii="Times New Roman" w:hAnsi="Times New Roman" w:cs="Times New Roman"/>
        </w:rPr>
        <w:t xml:space="preserve"> </w:t>
      </w:r>
      <w:r w:rsidR="00FE295F">
        <w:rPr>
          <w:rFonts w:ascii="Times New Roman" w:hAnsi="Times New Roman" w:cs="Times New Roman"/>
        </w:rPr>
        <w:t xml:space="preserve">This is the basic crux of the idea. Cotton, above all, was a product which for a number of reasons was essential to German industry, and needed to be secured for it at a reasonable price. The reason that cotton was so important at this time was that it was the major resource for the large German textile industry, which itself was part of a larger chain of production involving numerous other areas of German industrial might. The importance of the price and sourcing of the cotton that drove much of Germany’s industrial development was made abundantly clear during the American civil war. </w:t>
      </w:r>
      <w:r w:rsidR="00B04E86">
        <w:rPr>
          <w:rFonts w:ascii="Times New Roman" w:hAnsi="Times New Roman" w:cs="Times New Roman"/>
        </w:rPr>
        <w:lastRenderedPageBreak/>
        <w:t xml:space="preserve">At this time, Germany, as well as much of the rest of the industrialized world, was unable to find enough cotton to keep its textile industry operational due to the Union blockade of the Confederacy, from which most of the world’s cotton supply was sourced. </w:t>
      </w:r>
      <w:r w:rsidR="002777DF">
        <w:rPr>
          <w:rFonts w:ascii="Times New Roman" w:hAnsi="Times New Roman" w:cs="Times New Roman"/>
        </w:rPr>
        <w:t>Even after this problem was made obvious, Germany still imported 70% of its cotton from America</w:t>
      </w:r>
      <w:r w:rsidR="005C0D22">
        <w:rPr>
          <w:rFonts w:ascii="Times New Roman" w:hAnsi="Times New Roman" w:cs="Times New Roman"/>
        </w:rPr>
        <w:t>, and the rest mostly from the British Empire</w:t>
      </w:r>
      <w:r w:rsidR="00FB7D95">
        <w:rPr>
          <w:rFonts w:ascii="Times New Roman" w:hAnsi="Times New Roman" w:cs="Times New Roman"/>
        </w:rPr>
        <w:t>, as other sources of this commodity were simply not available.</w:t>
      </w:r>
      <w:r w:rsidR="002777DF">
        <w:rPr>
          <w:rStyle w:val="FootnoteReference"/>
          <w:rFonts w:ascii="Times New Roman" w:hAnsi="Times New Roman" w:cs="Times New Roman"/>
        </w:rPr>
        <w:footnoteReference w:id="50"/>
      </w:r>
      <w:r w:rsidR="002777DF">
        <w:rPr>
          <w:rFonts w:ascii="Times New Roman" w:hAnsi="Times New Roman" w:cs="Times New Roman"/>
        </w:rPr>
        <w:t xml:space="preserve"> </w:t>
      </w:r>
      <w:r w:rsidR="00FE295F">
        <w:rPr>
          <w:rFonts w:ascii="Times New Roman" w:hAnsi="Times New Roman" w:cs="Times New Roman"/>
        </w:rPr>
        <w:t xml:space="preserve"> </w:t>
      </w:r>
      <w:r w:rsidR="005C0D22">
        <w:rPr>
          <w:rFonts w:ascii="Times New Roman" w:hAnsi="Times New Roman" w:cs="Times New Roman"/>
        </w:rPr>
        <w:t xml:space="preserve">While there were no more stoppages of American production, speculation and the near US monopoly on cotton created a situation of severely fluctuating prices that was detrimental to the German economy. At the same time, safety regulations and rising industrial wages were bringing up the costs of textile production. Furthermore, the dependence of industrial workers on the textile industry, and the wages they gained there, made cotton a national issue. Even the SPD, which was on principle against all colonial enterprises, saw the value of cotton production within the German Empire as a means for securing German jobs. </w:t>
      </w:r>
      <w:r w:rsidR="000E4972">
        <w:rPr>
          <w:rFonts w:ascii="Times New Roman" w:hAnsi="Times New Roman" w:cs="Times New Roman"/>
        </w:rPr>
        <w:t xml:space="preserve">In much the same way that the colonies themselves became a national issue in the elections of 1907, the sourcing of cotton had become an issue of national importance much earlier. </w:t>
      </w:r>
      <w:r w:rsidR="00217300">
        <w:rPr>
          <w:rFonts w:ascii="Times New Roman" w:hAnsi="Times New Roman" w:cs="Times New Roman"/>
        </w:rPr>
        <w:t>Dernburg was to seize upon this and expand it in his agenda for colonial reform.</w:t>
      </w:r>
    </w:p>
    <w:p w14:paraId="0FE187CE" w14:textId="68B433C3" w:rsidR="00217300" w:rsidRDefault="00217300" w:rsidP="002D76C8">
      <w:pPr>
        <w:spacing w:line="360" w:lineRule="auto"/>
        <w:rPr>
          <w:rFonts w:ascii="Times New Roman" w:hAnsi="Times New Roman" w:cs="Times New Roman"/>
        </w:rPr>
      </w:pPr>
      <w:r>
        <w:rPr>
          <w:rFonts w:ascii="Times New Roman" w:hAnsi="Times New Roman" w:cs="Times New Roman"/>
        </w:rPr>
        <w:tab/>
        <w:t xml:space="preserve">Where </w:t>
      </w:r>
      <w:r w:rsidR="005E5454">
        <w:rPr>
          <w:rFonts w:ascii="Times New Roman" w:hAnsi="Times New Roman" w:cs="Times New Roman"/>
        </w:rPr>
        <w:t>most industrialists</w:t>
      </w:r>
      <w:r>
        <w:rPr>
          <w:rFonts w:ascii="Times New Roman" w:hAnsi="Times New Roman" w:cs="Times New Roman"/>
        </w:rPr>
        <w:t xml:space="preserve"> had thought primarily in terms of cotton, Dernburg greatly expanded the scope of benefits to the German economy and German industry that could be provided by its colonies. </w:t>
      </w:r>
      <w:r w:rsidR="007A160D">
        <w:rPr>
          <w:rFonts w:ascii="Times New Roman" w:hAnsi="Times New Roman" w:cs="Times New Roman"/>
        </w:rPr>
        <w:t>Many of the products he was concerned with did not directly involve German East Africa, for instance petroleum in Kamerun and copper in Southwest Africa, and therefore do not deserve specific mention here.</w:t>
      </w:r>
      <w:r w:rsidR="007A160D">
        <w:rPr>
          <w:rStyle w:val="FootnoteReference"/>
          <w:rFonts w:ascii="Times New Roman" w:hAnsi="Times New Roman" w:cs="Times New Roman"/>
        </w:rPr>
        <w:footnoteReference w:id="51"/>
      </w:r>
      <w:r w:rsidR="007A160D">
        <w:rPr>
          <w:rFonts w:ascii="Times New Roman" w:hAnsi="Times New Roman" w:cs="Times New Roman"/>
        </w:rPr>
        <w:t xml:space="preserve"> What Dernburg did have in mind for German East Africa were agricultural products that could not be produced in Germany. Foremost among these was naturally cotton, but he also explained the value of sisal, rubber, and coffee. He suggested that these products could be produced in such vast quantities in these areas that Germany would be self-sufficient. This was a significant departure from Bismarck, for example, who had suggested that production of even a fraction of the raw materials needed by the metropole would be considered a victory.</w:t>
      </w:r>
      <w:r w:rsidR="007A160D">
        <w:rPr>
          <w:rStyle w:val="FootnoteReference"/>
          <w:rFonts w:ascii="Times New Roman" w:hAnsi="Times New Roman" w:cs="Times New Roman"/>
        </w:rPr>
        <w:footnoteReference w:id="52"/>
      </w:r>
      <w:r w:rsidR="0059236D">
        <w:rPr>
          <w:rFonts w:ascii="Times New Roman" w:hAnsi="Times New Roman" w:cs="Times New Roman"/>
        </w:rPr>
        <w:t xml:space="preserve"> Dernburg’s optimistic assessment of the potential of the colonies in this respect would be a major factor in the eventual rise of the idea of a reform era, for where he promised growth, indeed there was often much growth, but as will be explained below, the growth in those areas was deceptive, and hardly amounted to anything that could be realistically called a reform period.</w:t>
      </w:r>
    </w:p>
    <w:p w14:paraId="63F91782" w14:textId="77777777" w:rsidR="00B03F2A" w:rsidRDefault="00B12BF4" w:rsidP="002D76C8">
      <w:pPr>
        <w:spacing w:line="360" w:lineRule="auto"/>
        <w:rPr>
          <w:rFonts w:ascii="Times New Roman" w:hAnsi="Times New Roman" w:cs="Times New Roman"/>
        </w:rPr>
      </w:pPr>
      <w:r>
        <w:rPr>
          <w:rFonts w:ascii="Times New Roman" w:hAnsi="Times New Roman" w:cs="Times New Roman"/>
        </w:rPr>
        <w:tab/>
      </w:r>
    </w:p>
    <w:p w14:paraId="4FE34EE2" w14:textId="5E560818" w:rsidR="00B03F2A" w:rsidRPr="004E22F3" w:rsidRDefault="00B03F2A" w:rsidP="002D76C8">
      <w:pPr>
        <w:spacing w:line="360" w:lineRule="auto"/>
        <w:jc w:val="center"/>
        <w:rPr>
          <w:rFonts w:ascii="Times New Roman" w:hAnsi="Times New Roman" w:cs="Times New Roman"/>
          <w:b/>
        </w:rPr>
      </w:pPr>
      <w:r w:rsidRPr="004E22F3">
        <w:rPr>
          <w:rFonts w:ascii="Times New Roman" w:hAnsi="Times New Roman" w:cs="Times New Roman"/>
          <w:b/>
        </w:rPr>
        <w:lastRenderedPageBreak/>
        <w:t>Sisal</w:t>
      </w:r>
    </w:p>
    <w:p w14:paraId="25817250" w14:textId="77777777" w:rsidR="00B03F2A" w:rsidRPr="00B03F2A" w:rsidRDefault="00B03F2A" w:rsidP="002D76C8">
      <w:pPr>
        <w:spacing w:line="360" w:lineRule="auto"/>
        <w:jc w:val="center"/>
        <w:rPr>
          <w:rFonts w:ascii="Times New Roman" w:hAnsi="Times New Roman" w:cs="Times New Roman"/>
        </w:rPr>
      </w:pPr>
    </w:p>
    <w:p w14:paraId="64AABB05" w14:textId="6607AF77" w:rsidR="00B12BF4" w:rsidRDefault="00D61C07" w:rsidP="002D76C8">
      <w:pPr>
        <w:spacing w:line="360" w:lineRule="auto"/>
        <w:rPr>
          <w:rFonts w:ascii="Times New Roman" w:hAnsi="Times New Roman" w:cs="Times New Roman"/>
        </w:rPr>
      </w:pPr>
      <w:r w:rsidRPr="00B03F2A">
        <w:rPr>
          <w:rFonts w:ascii="Times New Roman" w:hAnsi="Times New Roman" w:cs="Times New Roman"/>
        </w:rPr>
        <w:t>It would perhaps be logical to start with one of the more successful of Dernburg’s</w:t>
      </w:r>
      <w:r>
        <w:rPr>
          <w:rFonts w:ascii="Times New Roman" w:hAnsi="Times New Roman" w:cs="Times New Roman"/>
        </w:rPr>
        <w:t xml:space="preserve"> proposed </w:t>
      </w:r>
      <w:r w:rsidR="00C1370B">
        <w:rPr>
          <w:rFonts w:ascii="Times New Roman" w:hAnsi="Times New Roman" w:cs="Times New Roman"/>
        </w:rPr>
        <w:t>raw material benefits to the metropole. This was the crop known as sisal. Sisal, to those who might not be familiar with it, is a type of agave native to the Yucatan Peninsula, which provides strong and durable fibers useful in the production of rope, much like hemp was used at that time. In fact, in Dernburg’s own speech he refers to the product of the sisal plant as hemp.</w:t>
      </w:r>
      <w:r w:rsidR="00C1370B">
        <w:rPr>
          <w:rStyle w:val="FootnoteReference"/>
          <w:rFonts w:ascii="Times New Roman" w:hAnsi="Times New Roman" w:cs="Times New Roman"/>
        </w:rPr>
        <w:footnoteReference w:id="53"/>
      </w:r>
      <w:r w:rsidR="00C1370B">
        <w:rPr>
          <w:rFonts w:ascii="Times New Roman" w:hAnsi="Times New Roman" w:cs="Times New Roman"/>
        </w:rPr>
        <w:t xml:space="preserve"> </w:t>
      </w:r>
      <w:r w:rsidR="00E255DD">
        <w:rPr>
          <w:rFonts w:ascii="Times New Roman" w:hAnsi="Times New Roman" w:cs="Times New Roman"/>
        </w:rPr>
        <w:t>Dernburg’s suggestion here was that</w:t>
      </w:r>
      <w:r w:rsidR="0048722F">
        <w:rPr>
          <w:rFonts w:ascii="Times New Roman" w:hAnsi="Times New Roman" w:cs="Times New Roman"/>
        </w:rPr>
        <w:t xml:space="preserve"> this fibrous plant could eliminate German reliance on Russian and </w:t>
      </w:r>
      <w:r w:rsidR="0075725E">
        <w:rPr>
          <w:rFonts w:ascii="Times New Roman" w:hAnsi="Times New Roman" w:cs="Times New Roman"/>
        </w:rPr>
        <w:t xml:space="preserve">Italian hemp in the rope, paper, and upholstery industries. Eventually, though demand for the fiber of the sisal plant was now low, it would come to occupy a more important role that Germany would be able to supply. </w:t>
      </w:r>
    </w:p>
    <w:p w14:paraId="53729E4E" w14:textId="7CE4F389" w:rsidR="003B1F00" w:rsidRDefault="00872429" w:rsidP="002D76C8">
      <w:pPr>
        <w:spacing w:line="360" w:lineRule="auto"/>
        <w:rPr>
          <w:rFonts w:ascii="Times New Roman" w:hAnsi="Times New Roman" w:cs="Times New Roman"/>
        </w:rPr>
      </w:pPr>
      <w:r>
        <w:rPr>
          <w:rFonts w:ascii="Times New Roman" w:hAnsi="Times New Roman" w:cs="Times New Roman"/>
        </w:rPr>
        <w:tab/>
        <w:t xml:space="preserve">The production of sisal </w:t>
      </w:r>
      <w:r w:rsidR="008133D0">
        <w:rPr>
          <w:rFonts w:ascii="Times New Roman" w:hAnsi="Times New Roman" w:cs="Times New Roman"/>
        </w:rPr>
        <w:t>was remarkably successful in German East Africa. Of all the cash crops grown on a large scale in the colony, it was the only one to provide continuous year on year growth. In fact, the growth of the sisal crop, both in absolute terms, and in terms of total revenue was truly impressive. From a starting point before Dernburg’s tenure in office of 1,397 tons of sisal, with a total value of 1.1 million marks in 1905, production rose by 1913 nearly twentyfold, to 19,698 tons and a total value of 10.3 million marks.</w:t>
      </w:r>
      <w:r w:rsidR="008133D0">
        <w:rPr>
          <w:rStyle w:val="FootnoteReference"/>
          <w:rFonts w:ascii="Times New Roman" w:hAnsi="Times New Roman" w:cs="Times New Roman"/>
        </w:rPr>
        <w:footnoteReference w:id="54"/>
      </w:r>
      <w:r w:rsidR="008133D0">
        <w:rPr>
          <w:rFonts w:ascii="Times New Roman" w:hAnsi="Times New Roman" w:cs="Times New Roman"/>
        </w:rPr>
        <w:t xml:space="preserve"> This is consistent with Dernburg’s own calculations during his election speech, in which he suggested that production of sisal in the colony could be expected to reach 20,000, and a t</w:t>
      </w:r>
      <w:r w:rsidR="00441E8E">
        <w:rPr>
          <w:rFonts w:ascii="Times New Roman" w:hAnsi="Times New Roman" w:cs="Times New Roman"/>
        </w:rPr>
        <w:t>otal worth of 16 million marks.</w:t>
      </w:r>
      <w:r w:rsidR="00441E8E">
        <w:rPr>
          <w:rStyle w:val="FootnoteReference"/>
          <w:rFonts w:ascii="Times New Roman" w:hAnsi="Times New Roman" w:cs="Times New Roman"/>
        </w:rPr>
        <w:footnoteReference w:id="55"/>
      </w:r>
      <w:r w:rsidR="00441E8E">
        <w:rPr>
          <w:rFonts w:ascii="Times New Roman" w:hAnsi="Times New Roman" w:cs="Times New Roman"/>
        </w:rPr>
        <w:t xml:space="preserve"> Had the value of sisal remained the same during the period, his estimation would ha</w:t>
      </w:r>
      <w:r w:rsidR="00677FF6">
        <w:rPr>
          <w:rFonts w:ascii="Times New Roman" w:hAnsi="Times New Roman" w:cs="Times New Roman"/>
        </w:rPr>
        <w:t>ve been extraordinarily precise, unlike many of his other overly optimistic claims.</w:t>
      </w:r>
      <w:r w:rsidR="00441E8E">
        <w:rPr>
          <w:rFonts w:ascii="Times New Roman" w:hAnsi="Times New Roman" w:cs="Times New Roman"/>
        </w:rPr>
        <w:t xml:space="preserve"> At the time of these increases, many fields originally producing other, less hardy and climatically adapted crops switched to the production of sisal. So valuable was the crop, that at the period of highest prices the investment on a field of sisal could be recouped in only two years.</w:t>
      </w:r>
      <w:r w:rsidR="00441E8E">
        <w:rPr>
          <w:rStyle w:val="FootnoteReference"/>
          <w:rFonts w:ascii="Times New Roman" w:hAnsi="Times New Roman" w:cs="Times New Roman"/>
        </w:rPr>
        <w:footnoteReference w:id="56"/>
      </w:r>
      <w:r w:rsidR="00441E8E">
        <w:rPr>
          <w:rFonts w:ascii="Times New Roman" w:hAnsi="Times New Roman" w:cs="Times New Roman"/>
        </w:rPr>
        <w:t xml:space="preserve"> Dividends of fifteen to twenty percent on investments in sisal production were not unusual</w:t>
      </w:r>
      <w:r w:rsidR="00A16B65">
        <w:rPr>
          <w:rFonts w:ascii="Times New Roman" w:hAnsi="Times New Roman" w:cs="Times New Roman"/>
        </w:rPr>
        <w:t>.</w:t>
      </w:r>
      <w:r w:rsidR="00441E8E">
        <w:rPr>
          <w:rStyle w:val="FootnoteReference"/>
          <w:rFonts w:ascii="Times New Roman" w:hAnsi="Times New Roman" w:cs="Times New Roman"/>
        </w:rPr>
        <w:footnoteReference w:id="57"/>
      </w:r>
      <w:r w:rsidR="00A16B65">
        <w:rPr>
          <w:rFonts w:ascii="Times New Roman" w:hAnsi="Times New Roman" w:cs="Times New Roman"/>
        </w:rPr>
        <w:t xml:space="preserve"> The high value of sisal, and the conversion of many other plantations to sisal production led the amount and value of the sisal crop to rise spectacularly. By 1913, sisal was the </w:t>
      </w:r>
      <w:r w:rsidR="0022222B">
        <w:rPr>
          <w:rFonts w:ascii="Times New Roman" w:hAnsi="Times New Roman" w:cs="Times New Roman"/>
        </w:rPr>
        <w:t xml:space="preserve">largest and </w:t>
      </w:r>
      <w:r w:rsidR="00A16B65">
        <w:rPr>
          <w:rFonts w:ascii="Times New Roman" w:hAnsi="Times New Roman" w:cs="Times New Roman"/>
        </w:rPr>
        <w:t>valuable export of German East Africa, accounting for 30% of the worth of all exports.</w:t>
      </w:r>
      <w:r w:rsidR="00A16B65">
        <w:rPr>
          <w:rStyle w:val="FootnoteReference"/>
          <w:rFonts w:ascii="Times New Roman" w:hAnsi="Times New Roman" w:cs="Times New Roman"/>
        </w:rPr>
        <w:footnoteReference w:id="58"/>
      </w:r>
      <w:r w:rsidR="0066024B">
        <w:rPr>
          <w:rFonts w:ascii="Times New Roman" w:hAnsi="Times New Roman" w:cs="Times New Roman"/>
        </w:rPr>
        <w:t xml:space="preserve"> These successes were largely made possible by two factors. Firstly, the </w:t>
      </w:r>
      <w:r w:rsidR="0066024B">
        <w:rPr>
          <w:rFonts w:ascii="Times New Roman" w:hAnsi="Times New Roman" w:cs="Times New Roman"/>
        </w:rPr>
        <w:lastRenderedPageBreak/>
        <w:t xml:space="preserve">building of railroads, also strongly supported by Dernburg in his scheme, were hugely important in transporting a very heavy crop from the interior to port, which would not have possible with the previous caravan system. Secondly, the arrival of large scale German capital keen to make a quick profit allowed for the import of the machinery necessary for the labor intensive process of sisal preparation to proceed unhindered. </w:t>
      </w:r>
    </w:p>
    <w:p w14:paraId="6374D439" w14:textId="0CA6A7FB" w:rsidR="003661E7" w:rsidRDefault="0066024B" w:rsidP="002D76C8">
      <w:pPr>
        <w:spacing w:line="360" w:lineRule="auto"/>
        <w:rPr>
          <w:rFonts w:ascii="Times New Roman" w:hAnsi="Times New Roman" w:cs="Times New Roman"/>
        </w:rPr>
      </w:pPr>
      <w:r>
        <w:rPr>
          <w:rFonts w:ascii="Times New Roman" w:hAnsi="Times New Roman" w:cs="Times New Roman"/>
        </w:rPr>
        <w:tab/>
        <w:t xml:space="preserve">However, the successes of sisal during Dernburg’s supposed reform period </w:t>
      </w:r>
      <w:r w:rsidR="004C1353">
        <w:rPr>
          <w:rFonts w:ascii="Times New Roman" w:hAnsi="Times New Roman" w:cs="Times New Roman"/>
        </w:rPr>
        <w:t>hide major flaws in terms of his overall plans. The rise in sisal production was accompanied, from 1908 onwards, by a concurrent decline in value</w:t>
      </w:r>
      <w:r w:rsidR="005C4B76">
        <w:rPr>
          <w:rFonts w:ascii="Times New Roman" w:hAnsi="Times New Roman" w:cs="Times New Roman"/>
        </w:rPr>
        <w:t xml:space="preserve"> as the market was saturated and overproduction began to become a problem. At the time, surprisingly, German East Africa was actually producing six times more sisal than was imported by the metropole, as the demand for sisal in the paper and upholstery industries never materialized as Dernburg had envisioned. </w:t>
      </w:r>
      <w:r w:rsidR="00C0675B">
        <w:rPr>
          <w:rFonts w:ascii="Times New Roman" w:hAnsi="Times New Roman" w:cs="Times New Roman"/>
        </w:rPr>
        <w:t xml:space="preserve">Eventually, a major use for sisal was found in the production of agricultural equipment in the 1930’s. However, by this point, when sisal production in German East Africa had surged past 100,000 tons, and German imports of it reached 60,000 tons, the colony had been surrendered, and Germany was importing yet another industrial raw material from the British Empire. Therefore, Dernburg’s intention to make German industry independent in hemp production, which was largely the point of growing the crop, ultimately failed, but at the same time had other important consequences. </w:t>
      </w:r>
      <w:r w:rsidR="00C92F04">
        <w:rPr>
          <w:rFonts w:ascii="Times New Roman" w:hAnsi="Times New Roman" w:cs="Times New Roman"/>
        </w:rPr>
        <w:t xml:space="preserve">Sisal, more than any other cash crop in German East Africa, was entirely dependent on both machinery and a large supply of labor. This meant that sisal production also entailed a rise in European owned plantations in the colony. With their large labor demands, these enterprises could not coexist with the kind of native-enriching peasant production schemes that Dernburg had intended for his social agenda in the colonies. That is to say, the labor intensive interests of the plantations were eventually to combine with settler interests to push back much of Dernburg’s social reform agenda, resulting in the widespread use of coercive and forceful methods of manpower acquisition in the colony. That point, however, will be discussed further below. At present, it is most important to highlight the fact that, while the growth of sisal production was impressive, and fairly accurately predicted by Dernburg, it did not develop in such a way as to help his reform agenda, but rather hindered it in the long run. </w:t>
      </w:r>
    </w:p>
    <w:p w14:paraId="13FE846C" w14:textId="77777777" w:rsidR="003661E7" w:rsidRDefault="003661E7" w:rsidP="002D76C8">
      <w:pPr>
        <w:spacing w:line="360" w:lineRule="auto"/>
        <w:rPr>
          <w:rFonts w:ascii="Times New Roman" w:hAnsi="Times New Roman" w:cs="Times New Roman"/>
        </w:rPr>
      </w:pPr>
    </w:p>
    <w:p w14:paraId="63795724" w14:textId="77777777" w:rsidR="004E22F3" w:rsidRDefault="004E22F3" w:rsidP="002D76C8">
      <w:pPr>
        <w:spacing w:line="360" w:lineRule="auto"/>
        <w:rPr>
          <w:rFonts w:ascii="Times New Roman" w:hAnsi="Times New Roman" w:cs="Times New Roman"/>
        </w:rPr>
      </w:pPr>
    </w:p>
    <w:p w14:paraId="4110E8FA" w14:textId="77777777" w:rsidR="004E22F3" w:rsidRDefault="004E22F3" w:rsidP="002D76C8">
      <w:pPr>
        <w:spacing w:line="360" w:lineRule="auto"/>
        <w:rPr>
          <w:rFonts w:ascii="Times New Roman" w:hAnsi="Times New Roman" w:cs="Times New Roman"/>
        </w:rPr>
      </w:pPr>
    </w:p>
    <w:p w14:paraId="1F904969" w14:textId="77777777" w:rsidR="004E22F3" w:rsidRDefault="004E22F3" w:rsidP="002D76C8">
      <w:pPr>
        <w:spacing w:line="360" w:lineRule="auto"/>
        <w:rPr>
          <w:rFonts w:ascii="Times New Roman" w:hAnsi="Times New Roman" w:cs="Times New Roman"/>
        </w:rPr>
      </w:pPr>
    </w:p>
    <w:p w14:paraId="40C6A40C" w14:textId="77777777" w:rsidR="004E22F3" w:rsidRDefault="004E22F3" w:rsidP="002D76C8">
      <w:pPr>
        <w:spacing w:line="360" w:lineRule="auto"/>
        <w:rPr>
          <w:rFonts w:ascii="Times New Roman" w:hAnsi="Times New Roman" w:cs="Times New Roman"/>
        </w:rPr>
      </w:pPr>
    </w:p>
    <w:p w14:paraId="00EF3629" w14:textId="73FD7C83" w:rsidR="000A3121" w:rsidRPr="004E22F3" w:rsidRDefault="000A3121" w:rsidP="002D76C8">
      <w:pPr>
        <w:spacing w:line="360" w:lineRule="auto"/>
        <w:jc w:val="center"/>
        <w:rPr>
          <w:rFonts w:ascii="Times New Roman" w:hAnsi="Times New Roman" w:cs="Times New Roman"/>
          <w:b/>
        </w:rPr>
      </w:pPr>
      <w:r w:rsidRPr="004E22F3">
        <w:rPr>
          <w:rFonts w:ascii="Times New Roman" w:hAnsi="Times New Roman" w:cs="Times New Roman"/>
          <w:b/>
        </w:rPr>
        <w:lastRenderedPageBreak/>
        <w:t>Rubber</w:t>
      </w:r>
    </w:p>
    <w:p w14:paraId="5E9EA194" w14:textId="77777777" w:rsidR="000A3121" w:rsidRDefault="000A3121" w:rsidP="002D76C8">
      <w:pPr>
        <w:spacing w:line="360" w:lineRule="auto"/>
        <w:jc w:val="center"/>
        <w:rPr>
          <w:rFonts w:ascii="Times New Roman" w:hAnsi="Times New Roman" w:cs="Times New Roman"/>
        </w:rPr>
      </w:pPr>
    </w:p>
    <w:p w14:paraId="06A9970A" w14:textId="2B1E3347" w:rsidR="000A3121" w:rsidRDefault="0022222B" w:rsidP="002D76C8">
      <w:pPr>
        <w:spacing w:line="360" w:lineRule="auto"/>
        <w:rPr>
          <w:rFonts w:ascii="Times New Roman" w:hAnsi="Times New Roman" w:cs="Times New Roman"/>
        </w:rPr>
      </w:pPr>
      <w:r>
        <w:rPr>
          <w:rFonts w:ascii="Times New Roman" w:hAnsi="Times New Roman" w:cs="Times New Roman"/>
        </w:rPr>
        <w:tab/>
      </w:r>
      <w:r w:rsidR="006B1381">
        <w:rPr>
          <w:rFonts w:ascii="Times New Roman" w:hAnsi="Times New Roman" w:cs="Times New Roman"/>
        </w:rPr>
        <w:t xml:space="preserve">Before sisal overtook it in the final years of German East Africa, rubber had been the most important and most valuable export of the colony. </w:t>
      </w:r>
      <w:r w:rsidR="00871BDC">
        <w:rPr>
          <w:rFonts w:ascii="Times New Roman" w:hAnsi="Times New Roman" w:cs="Times New Roman"/>
        </w:rPr>
        <w:t xml:space="preserve">In fact, it held this position from 1899 to 1912. </w:t>
      </w:r>
      <w:r w:rsidR="00573DDD">
        <w:rPr>
          <w:rFonts w:ascii="Times New Roman" w:hAnsi="Times New Roman" w:cs="Times New Roman"/>
        </w:rPr>
        <w:t>On the surface, this would seem to suggest a success story similar to that seen with sisal. Indeed, as with sisal, rubber production in German East Africa increased dramatically, from 326 tons in 1905 to 1,367 tons in 1913; a more than fourfold rise.</w:t>
      </w:r>
      <w:r w:rsidR="00573DDD">
        <w:rPr>
          <w:rStyle w:val="FootnoteReference"/>
          <w:rFonts w:ascii="Times New Roman" w:hAnsi="Times New Roman" w:cs="Times New Roman"/>
        </w:rPr>
        <w:footnoteReference w:id="59"/>
      </w:r>
      <w:r w:rsidR="00573DDD">
        <w:rPr>
          <w:rFonts w:ascii="Times New Roman" w:hAnsi="Times New Roman" w:cs="Times New Roman"/>
        </w:rPr>
        <w:t xml:space="preserve"> </w:t>
      </w:r>
      <w:r w:rsidR="00B12DA3">
        <w:rPr>
          <w:rFonts w:ascii="Times New Roman" w:hAnsi="Times New Roman" w:cs="Times New Roman"/>
        </w:rPr>
        <w:t>This boom allowed for the fulfillment of one of Dernburg’s promised ideals, namely that the movement from a form of destructive colonization to one of preservation.</w:t>
      </w:r>
      <w:r w:rsidR="00B12DA3">
        <w:rPr>
          <w:rStyle w:val="FootnoteReference"/>
          <w:rFonts w:ascii="Times New Roman" w:hAnsi="Times New Roman" w:cs="Times New Roman"/>
        </w:rPr>
        <w:footnoteReference w:id="60"/>
      </w:r>
      <w:r w:rsidR="00B12DA3">
        <w:rPr>
          <w:rFonts w:ascii="Times New Roman" w:hAnsi="Times New Roman" w:cs="Times New Roman"/>
        </w:rPr>
        <w:t xml:space="preserve"> Indeed, during his time as colonial secretary, the rise in global rubber prices allowed for cultivated rubber to overtake wild rubber, which was prone to abuses most spectacularly shown in the well-publicized case of the Belgian Congo.</w:t>
      </w:r>
      <w:r w:rsidR="00B12DA3">
        <w:rPr>
          <w:rStyle w:val="FootnoteReference"/>
          <w:rFonts w:ascii="Times New Roman" w:hAnsi="Times New Roman" w:cs="Times New Roman"/>
        </w:rPr>
        <w:footnoteReference w:id="61"/>
      </w:r>
      <w:r w:rsidR="00B12DA3">
        <w:rPr>
          <w:rFonts w:ascii="Times New Roman" w:hAnsi="Times New Roman" w:cs="Times New Roman"/>
        </w:rPr>
        <w:t xml:space="preserve"> </w:t>
      </w:r>
      <w:r w:rsidR="00DD2359">
        <w:rPr>
          <w:rFonts w:ascii="Times New Roman" w:hAnsi="Times New Roman" w:cs="Times New Roman"/>
        </w:rPr>
        <w:t>By 1913, only 6% of the rubber exported from German East Africa came from wild sources.</w:t>
      </w:r>
      <w:r w:rsidR="00DD2359">
        <w:rPr>
          <w:rStyle w:val="FootnoteReference"/>
          <w:rFonts w:ascii="Times New Roman" w:hAnsi="Times New Roman" w:cs="Times New Roman"/>
        </w:rPr>
        <w:footnoteReference w:id="62"/>
      </w:r>
      <w:r w:rsidR="00DD2359">
        <w:rPr>
          <w:rFonts w:ascii="Times New Roman" w:hAnsi="Times New Roman" w:cs="Times New Roman"/>
        </w:rPr>
        <w:t xml:space="preserve"> </w:t>
      </w:r>
      <w:r w:rsidR="00072C89">
        <w:rPr>
          <w:rFonts w:ascii="Times New Roman" w:hAnsi="Times New Roman" w:cs="Times New Roman"/>
        </w:rPr>
        <w:t>The price of rubber rose dramatically during the ostensible reform era, and might have been seen as a successful justification of the reform idea, but in the end, the crop was to be one of the reform period</w:t>
      </w:r>
      <w:r w:rsidR="001F5C06">
        <w:rPr>
          <w:rFonts w:ascii="Times New Roman" w:hAnsi="Times New Roman" w:cs="Times New Roman"/>
        </w:rPr>
        <w:t>’</w:t>
      </w:r>
      <w:r w:rsidR="00072C89">
        <w:rPr>
          <w:rFonts w:ascii="Times New Roman" w:hAnsi="Times New Roman" w:cs="Times New Roman"/>
        </w:rPr>
        <w:t xml:space="preserve">s most dubious failures. </w:t>
      </w:r>
    </w:p>
    <w:p w14:paraId="31E2FC01" w14:textId="6BD1BB9C" w:rsidR="00072C89" w:rsidRDefault="00072C89" w:rsidP="002D76C8">
      <w:pPr>
        <w:spacing w:line="360" w:lineRule="auto"/>
        <w:rPr>
          <w:rFonts w:ascii="Times New Roman" w:hAnsi="Times New Roman" w:cs="Times New Roman"/>
        </w:rPr>
      </w:pPr>
      <w:r>
        <w:rPr>
          <w:rFonts w:ascii="Times New Roman" w:hAnsi="Times New Roman" w:cs="Times New Roman"/>
        </w:rPr>
        <w:tab/>
        <w:t>To understand the history of rubber in German East Africa during this time, it is important to view it in the context of the global rubber boom that peaked between 1903 and 1912. Before this time, rubber was largely collected in the Amazon rainforest of Brazil, but was not widely used. Suddenly, however, around the turn of the century, new technologies like electric cables, cars, airplanes, and bicycles that all needed rubber expanded dramatically. Production in Brazil proved unable to keep up with massively growing demand for rubber, and the price rose accordingly</w:t>
      </w:r>
      <w:r w:rsidR="00392AC7">
        <w:rPr>
          <w:rFonts w:ascii="Times New Roman" w:hAnsi="Times New Roman" w:cs="Times New Roman"/>
        </w:rPr>
        <w:t xml:space="preserve">. Soon speculation became rampant, and new sources of rubber were sought after voraciously. German East Africa became wrapped up in this excitement, but with one very important qualification. Whereas the rubber produced in the Amazon came from the sap of the rubber tree, </w:t>
      </w:r>
      <w:r w:rsidR="00392AC7">
        <w:rPr>
          <w:rFonts w:ascii="Times New Roman" w:hAnsi="Times New Roman" w:cs="Times New Roman"/>
          <w:i/>
        </w:rPr>
        <w:t>Hevea brasiliensis</w:t>
      </w:r>
      <w:r w:rsidR="00392AC7">
        <w:rPr>
          <w:rFonts w:ascii="Times New Roman" w:hAnsi="Times New Roman" w:cs="Times New Roman"/>
        </w:rPr>
        <w:t xml:space="preserve">, </w:t>
      </w:r>
      <w:r w:rsidR="00FB09FA">
        <w:rPr>
          <w:rFonts w:ascii="Times New Roman" w:hAnsi="Times New Roman" w:cs="Times New Roman"/>
        </w:rPr>
        <w:t>the rubber</w:t>
      </w:r>
      <w:r w:rsidR="00392AC7">
        <w:rPr>
          <w:rFonts w:ascii="Times New Roman" w:hAnsi="Times New Roman" w:cs="Times New Roman"/>
        </w:rPr>
        <w:t xml:space="preserve"> produced in German East Africa was act</w:t>
      </w:r>
      <w:r w:rsidR="00FB09FA">
        <w:rPr>
          <w:rFonts w:ascii="Times New Roman" w:hAnsi="Times New Roman" w:cs="Times New Roman"/>
        </w:rPr>
        <w:t>ually not the same product that had been known the world over</w:t>
      </w:r>
      <w:r w:rsidR="00392AC7">
        <w:rPr>
          <w:rFonts w:ascii="Times New Roman" w:hAnsi="Times New Roman" w:cs="Times New Roman"/>
        </w:rPr>
        <w:t>, but rather came from an entirely different plant, related to the cassava, known scientifically</w:t>
      </w:r>
      <w:r w:rsidR="00392AC7" w:rsidRPr="00392AC7">
        <w:rPr>
          <w:rFonts w:ascii="Times New Roman" w:hAnsi="Times New Roman" w:cs="Times New Roman"/>
        </w:rPr>
        <w:t xml:space="preserve"> as </w:t>
      </w:r>
      <w:r w:rsidR="00392AC7" w:rsidRPr="00FB09FA">
        <w:rPr>
          <w:rFonts w:ascii="Times New Roman" w:hAnsi="Times New Roman" w:cs="Times New Roman"/>
          <w:i/>
        </w:rPr>
        <w:t>Manihot glaziovii</w:t>
      </w:r>
      <w:r w:rsidR="00FB09FA">
        <w:rPr>
          <w:rFonts w:ascii="Times New Roman" w:hAnsi="Times New Roman" w:cs="Times New Roman"/>
        </w:rPr>
        <w:t xml:space="preserve">. This was a new type of crop, first used in plantations in German East Africa, and was more drought resistant than normal rubber, allowing for its cultivation in </w:t>
      </w:r>
      <w:r w:rsidR="00FB09FA">
        <w:rPr>
          <w:rFonts w:ascii="Times New Roman" w:hAnsi="Times New Roman" w:cs="Times New Roman"/>
        </w:rPr>
        <w:lastRenderedPageBreak/>
        <w:t>areas previously thought impossible for rubber production. Given the current global boom, settlers in German East Africa were quick to turn to this new and highly profitabl</w:t>
      </w:r>
      <w:r w:rsidR="00406FBF">
        <w:rPr>
          <w:rFonts w:ascii="Times New Roman" w:hAnsi="Times New Roman" w:cs="Times New Roman"/>
        </w:rPr>
        <w:t>e crop.</w:t>
      </w:r>
      <w:r w:rsidR="00FB09FA">
        <w:rPr>
          <w:rFonts w:ascii="Times New Roman" w:hAnsi="Times New Roman" w:cs="Times New Roman"/>
        </w:rPr>
        <w:t xml:space="preserve"> </w:t>
      </w:r>
      <w:r w:rsidR="00406FBF">
        <w:rPr>
          <w:rFonts w:ascii="Times New Roman" w:hAnsi="Times New Roman" w:cs="Times New Roman"/>
        </w:rPr>
        <w:t>They succeeded</w:t>
      </w:r>
      <w:r w:rsidR="00FB09FA">
        <w:rPr>
          <w:rFonts w:ascii="Times New Roman" w:hAnsi="Times New Roman" w:cs="Times New Roman"/>
        </w:rPr>
        <w:t xml:space="preserve"> in a manner that the colony’s governor, Rechenberg, who had been advocating a peasant production polic</w:t>
      </w:r>
      <w:r w:rsidR="00406FBF">
        <w:rPr>
          <w:rFonts w:ascii="Times New Roman" w:hAnsi="Times New Roman" w:cs="Times New Roman"/>
        </w:rPr>
        <w:t xml:space="preserve">y as the only reasonable course, was completely unprepared for. Once again, Dernburg’s plans for social betterment of Africans would be thwarted by the success of the white settlers and their cash crops. But the new growers were in for a shock. The problem with the </w:t>
      </w:r>
      <w:r w:rsidR="00406FBF" w:rsidRPr="00FB09FA">
        <w:rPr>
          <w:rFonts w:ascii="Times New Roman" w:hAnsi="Times New Roman" w:cs="Times New Roman"/>
          <w:i/>
        </w:rPr>
        <w:t>Manihot glaziovii</w:t>
      </w:r>
      <w:r w:rsidR="00406FBF">
        <w:rPr>
          <w:rFonts w:ascii="Times New Roman" w:hAnsi="Times New Roman" w:cs="Times New Roman"/>
        </w:rPr>
        <w:t xml:space="preserve">, as compared to </w:t>
      </w:r>
      <w:r w:rsidR="00406FBF">
        <w:rPr>
          <w:rFonts w:ascii="Times New Roman" w:hAnsi="Times New Roman" w:cs="Times New Roman"/>
          <w:i/>
        </w:rPr>
        <w:t>Hevea brasiliensis</w:t>
      </w:r>
      <w:r w:rsidR="00406FBF">
        <w:rPr>
          <w:rFonts w:ascii="Times New Roman" w:hAnsi="Times New Roman" w:cs="Times New Roman"/>
        </w:rPr>
        <w:t xml:space="preserve"> is that the rubber produced by </w:t>
      </w:r>
      <w:r w:rsidR="001B305D" w:rsidRPr="00FB09FA">
        <w:rPr>
          <w:rFonts w:ascii="Times New Roman" w:hAnsi="Times New Roman" w:cs="Times New Roman"/>
          <w:i/>
        </w:rPr>
        <w:t>Manihot glaziovii</w:t>
      </w:r>
      <w:r w:rsidR="001B305D">
        <w:rPr>
          <w:rFonts w:ascii="Times New Roman" w:hAnsi="Times New Roman" w:cs="Times New Roman"/>
        </w:rPr>
        <w:t xml:space="preserve"> was of a much lower quality than that derived from </w:t>
      </w:r>
      <w:r w:rsidR="001B305D">
        <w:rPr>
          <w:rFonts w:ascii="Times New Roman" w:hAnsi="Times New Roman" w:cs="Times New Roman"/>
          <w:i/>
        </w:rPr>
        <w:t>Hevea brasiliensis</w:t>
      </w:r>
      <w:r w:rsidR="001B305D">
        <w:rPr>
          <w:rFonts w:ascii="Times New Roman" w:hAnsi="Times New Roman" w:cs="Times New Roman"/>
        </w:rPr>
        <w:t xml:space="preserve">. In fact, some experts considered rubber from </w:t>
      </w:r>
      <w:r w:rsidR="001B305D" w:rsidRPr="00FB09FA">
        <w:rPr>
          <w:rFonts w:ascii="Times New Roman" w:hAnsi="Times New Roman" w:cs="Times New Roman"/>
          <w:i/>
        </w:rPr>
        <w:t>Manihot glaziovii</w:t>
      </w:r>
      <w:r w:rsidR="001B305D">
        <w:rPr>
          <w:rFonts w:ascii="Times New Roman" w:hAnsi="Times New Roman" w:cs="Times New Roman"/>
        </w:rPr>
        <w:t xml:space="preserve"> to be the worst rubber in the world.</w:t>
      </w:r>
      <w:r w:rsidR="00B468B9">
        <w:rPr>
          <w:rStyle w:val="FootnoteReference"/>
          <w:rFonts w:ascii="Times New Roman" w:hAnsi="Times New Roman" w:cs="Times New Roman"/>
        </w:rPr>
        <w:footnoteReference w:id="63"/>
      </w:r>
      <w:r w:rsidR="00B468B9">
        <w:rPr>
          <w:rFonts w:ascii="Times New Roman" w:hAnsi="Times New Roman" w:cs="Times New Roman"/>
        </w:rPr>
        <w:t xml:space="preserve"> Therefore, when British plantations in Southeast Asia started producing large quantities of rubber from their newly planted </w:t>
      </w:r>
      <w:r w:rsidR="00B468B9">
        <w:rPr>
          <w:rFonts w:ascii="Times New Roman" w:hAnsi="Times New Roman" w:cs="Times New Roman"/>
          <w:i/>
        </w:rPr>
        <w:t>Hevea brasiliensis</w:t>
      </w:r>
      <w:r w:rsidR="00B468B9">
        <w:rPr>
          <w:rFonts w:ascii="Times New Roman" w:hAnsi="Times New Roman" w:cs="Times New Roman"/>
        </w:rPr>
        <w:t xml:space="preserve"> trees in 1913, and the price of rubber consequently collapsed, the plantations in German East Africa were left not only with a crisis of overproduction, but also a crisis of quality. Suddenly the rubber that the colony was producing was basically worthless, and companies involved suffered enormous losses when the rubber bubble burst. Most companies and settlers then switched their lands to produce sisal instead of rubber, explaining the later importance of that crop. What is important to gather from all this, is that another one of Dernburg’s schemes to make the colonies into </w:t>
      </w:r>
      <w:r w:rsidR="00805BEB">
        <w:rPr>
          <w:rFonts w:ascii="Times New Roman" w:hAnsi="Times New Roman" w:cs="Times New Roman"/>
        </w:rPr>
        <w:t xml:space="preserve">beneficial resource bases for Germany’s industry had failed, despite growth on paper. </w:t>
      </w:r>
    </w:p>
    <w:p w14:paraId="050B1C5B" w14:textId="77777777" w:rsidR="006375A8" w:rsidRDefault="006375A8" w:rsidP="002D76C8">
      <w:pPr>
        <w:spacing w:line="360" w:lineRule="auto"/>
        <w:rPr>
          <w:rFonts w:ascii="Times New Roman" w:hAnsi="Times New Roman" w:cs="Times New Roman"/>
        </w:rPr>
      </w:pPr>
    </w:p>
    <w:p w14:paraId="164B84EF" w14:textId="6A378F4D" w:rsidR="006375A8" w:rsidRPr="004E22F3" w:rsidRDefault="006375A8" w:rsidP="002D76C8">
      <w:pPr>
        <w:spacing w:line="360" w:lineRule="auto"/>
        <w:jc w:val="center"/>
        <w:rPr>
          <w:rFonts w:ascii="Times New Roman" w:hAnsi="Times New Roman" w:cs="Times New Roman"/>
          <w:b/>
        </w:rPr>
      </w:pPr>
      <w:r w:rsidRPr="004E22F3">
        <w:rPr>
          <w:rFonts w:ascii="Times New Roman" w:hAnsi="Times New Roman" w:cs="Times New Roman"/>
          <w:b/>
        </w:rPr>
        <w:t>Coffee</w:t>
      </w:r>
    </w:p>
    <w:p w14:paraId="70816BF0" w14:textId="77777777" w:rsidR="006375A8" w:rsidRDefault="006375A8" w:rsidP="002D76C8">
      <w:pPr>
        <w:spacing w:line="360" w:lineRule="auto"/>
        <w:jc w:val="center"/>
        <w:rPr>
          <w:rFonts w:ascii="Times New Roman" w:hAnsi="Times New Roman" w:cs="Times New Roman"/>
        </w:rPr>
      </w:pPr>
    </w:p>
    <w:p w14:paraId="3016D6C4" w14:textId="40A1F3D9" w:rsidR="006375A8" w:rsidRDefault="006375A8" w:rsidP="002D76C8">
      <w:pPr>
        <w:spacing w:line="360" w:lineRule="auto"/>
        <w:rPr>
          <w:rFonts w:ascii="Times New Roman" w:hAnsi="Times New Roman" w:cs="Times New Roman"/>
        </w:rPr>
      </w:pPr>
      <w:r>
        <w:rPr>
          <w:rFonts w:ascii="Times New Roman" w:hAnsi="Times New Roman" w:cs="Times New Roman"/>
        </w:rPr>
        <w:tab/>
      </w:r>
      <w:r w:rsidR="00061306">
        <w:rPr>
          <w:rFonts w:ascii="Times New Roman" w:hAnsi="Times New Roman" w:cs="Times New Roman"/>
        </w:rPr>
        <w:t>Compared to the gradual success of sisal and the spectacular failure of rubber, coffee’s history during the reform era is a much blander story. Attempts to grow coffee started early in German East Africa, largely in the North around the Usambara Mountains. These attempts largely failed, however, for a number of reasons. First of all, the soil conditio</w:t>
      </w:r>
      <w:r w:rsidR="000C30A0">
        <w:rPr>
          <w:rFonts w:ascii="Times New Roman" w:hAnsi="Times New Roman" w:cs="Times New Roman"/>
        </w:rPr>
        <w:t>ns were wrong. More importantly</w:t>
      </w:r>
      <w:r w:rsidR="00061306">
        <w:rPr>
          <w:rFonts w:ascii="Times New Roman" w:hAnsi="Times New Roman" w:cs="Times New Roman"/>
        </w:rPr>
        <w:t xml:space="preserve"> however</w:t>
      </w:r>
      <w:r w:rsidR="000C30A0">
        <w:rPr>
          <w:rFonts w:ascii="Times New Roman" w:hAnsi="Times New Roman" w:cs="Times New Roman"/>
        </w:rPr>
        <w:t>,</w:t>
      </w:r>
      <w:r w:rsidR="00061306">
        <w:rPr>
          <w:rFonts w:ascii="Times New Roman" w:hAnsi="Times New Roman" w:cs="Times New Roman"/>
        </w:rPr>
        <w:t xml:space="preserve"> was, as Tetzlaff calls it, “nature’s revenge.”</w:t>
      </w:r>
      <w:r w:rsidR="00061306">
        <w:rPr>
          <w:rStyle w:val="FootnoteReference"/>
          <w:rFonts w:ascii="Times New Roman" w:hAnsi="Times New Roman" w:cs="Times New Roman"/>
        </w:rPr>
        <w:footnoteReference w:id="64"/>
      </w:r>
      <w:r w:rsidR="000C30A0">
        <w:rPr>
          <w:rFonts w:ascii="Times New Roman" w:hAnsi="Times New Roman" w:cs="Times New Roman"/>
        </w:rPr>
        <w:t xml:space="preserve"> During the founding period of the colony, the area around the Usambara </w:t>
      </w:r>
      <w:r w:rsidR="004C6610">
        <w:rPr>
          <w:rFonts w:ascii="Times New Roman" w:hAnsi="Times New Roman" w:cs="Times New Roman"/>
        </w:rPr>
        <w:t>Mountains</w:t>
      </w:r>
      <w:r w:rsidR="000C30A0">
        <w:rPr>
          <w:rFonts w:ascii="Times New Roman" w:hAnsi="Times New Roman" w:cs="Times New Roman"/>
        </w:rPr>
        <w:t xml:space="preserve"> was heavily deforested, leading to dramatic erosion</w:t>
      </w:r>
      <w:r w:rsidR="001F5C06">
        <w:rPr>
          <w:rFonts w:ascii="Times New Roman" w:hAnsi="Times New Roman" w:cs="Times New Roman"/>
        </w:rPr>
        <w:t>,</w:t>
      </w:r>
      <w:r w:rsidR="000C30A0">
        <w:rPr>
          <w:rFonts w:ascii="Times New Roman" w:hAnsi="Times New Roman" w:cs="Times New Roman"/>
        </w:rPr>
        <w:t xml:space="preserve"> which rendered previously acceptable patches of soil unusable. Still, settlers and certain German companies persisted in their efforts. Dernburg mentioned these, and their lack of success to date in one of his campaign speeches, suggesting that, “the rising price [of coffee] gives us hope that</w:t>
      </w:r>
      <w:r w:rsidR="00A04F3B">
        <w:rPr>
          <w:rFonts w:ascii="Times New Roman" w:hAnsi="Times New Roman" w:cs="Times New Roman"/>
        </w:rPr>
        <w:t xml:space="preserve"> the coffee </w:t>
      </w:r>
      <w:r w:rsidR="00A04F3B">
        <w:rPr>
          <w:rFonts w:ascii="Times New Roman" w:hAnsi="Times New Roman" w:cs="Times New Roman"/>
        </w:rPr>
        <w:lastRenderedPageBreak/>
        <w:t>plantations in East Africa, which had become unprofitable in 1902 and 1903 will again regain their purpose.”</w:t>
      </w:r>
      <w:r w:rsidR="00A04F3B">
        <w:rPr>
          <w:rStyle w:val="FootnoteReference"/>
          <w:rFonts w:ascii="Times New Roman" w:hAnsi="Times New Roman" w:cs="Times New Roman"/>
        </w:rPr>
        <w:footnoteReference w:id="65"/>
      </w:r>
      <w:r w:rsidR="00A04F3B">
        <w:rPr>
          <w:rFonts w:ascii="Times New Roman" w:hAnsi="Times New Roman" w:cs="Times New Roman"/>
        </w:rPr>
        <w:t xml:space="preserve"> This however, was not to be, and despite their best efforts. Even the largest company involved, the DOAG, or German East Africa Company, only managed to make a profit in three of its sixteen years of operation.</w:t>
      </w:r>
      <w:r w:rsidR="00A04F3B">
        <w:rPr>
          <w:rStyle w:val="FootnoteReference"/>
          <w:rFonts w:ascii="Times New Roman" w:hAnsi="Times New Roman" w:cs="Times New Roman"/>
        </w:rPr>
        <w:footnoteReference w:id="66"/>
      </w:r>
      <w:r w:rsidR="00A04F3B">
        <w:rPr>
          <w:rFonts w:ascii="Times New Roman" w:hAnsi="Times New Roman" w:cs="Times New Roman"/>
        </w:rPr>
        <w:t xml:space="preserve"> Most producers</w:t>
      </w:r>
      <w:r w:rsidR="00D54CDD">
        <w:rPr>
          <w:rFonts w:ascii="Times New Roman" w:hAnsi="Times New Roman" w:cs="Times New Roman"/>
        </w:rPr>
        <w:t xml:space="preserve"> however</w:t>
      </w:r>
      <w:r w:rsidR="00A04F3B">
        <w:rPr>
          <w:rFonts w:ascii="Times New Roman" w:hAnsi="Times New Roman" w:cs="Times New Roman"/>
        </w:rPr>
        <w:t>, just as Dernburg was making his speeches, were switching to sisal, similar to the situation seen above with rubber.</w:t>
      </w:r>
      <w:r w:rsidR="00A04F3B">
        <w:rPr>
          <w:rStyle w:val="FootnoteReference"/>
          <w:rFonts w:ascii="Times New Roman" w:hAnsi="Times New Roman" w:cs="Times New Roman"/>
        </w:rPr>
        <w:footnoteReference w:id="67"/>
      </w:r>
      <w:r w:rsidR="00D54CDD">
        <w:rPr>
          <w:rFonts w:ascii="Times New Roman" w:hAnsi="Times New Roman" w:cs="Times New Roman"/>
        </w:rPr>
        <w:t xml:space="preserve"> At the same time, new areas were being opened up for the growth of coffee, which would ultimately prove much more successful. </w:t>
      </w:r>
      <w:r w:rsidR="00117482">
        <w:rPr>
          <w:rFonts w:ascii="Times New Roman" w:hAnsi="Times New Roman" w:cs="Times New Roman"/>
        </w:rPr>
        <w:t xml:space="preserve">The type of growth in these two areas was remarkably different, and had very little in either case to do with central government planning. In the first instance, </w:t>
      </w:r>
      <w:r w:rsidR="00101585">
        <w:rPr>
          <w:rFonts w:ascii="Times New Roman" w:hAnsi="Times New Roman" w:cs="Times New Roman"/>
        </w:rPr>
        <w:t xml:space="preserve">around 1907 </w:t>
      </w:r>
      <w:r w:rsidR="00117482">
        <w:rPr>
          <w:rFonts w:ascii="Times New Roman" w:hAnsi="Times New Roman" w:cs="Times New Roman"/>
        </w:rPr>
        <w:t xml:space="preserve">settlers began planting coffee </w:t>
      </w:r>
      <w:r w:rsidR="00101585">
        <w:rPr>
          <w:rFonts w:ascii="Times New Roman" w:hAnsi="Times New Roman" w:cs="Times New Roman"/>
        </w:rPr>
        <w:t xml:space="preserve">in earnest </w:t>
      </w:r>
      <w:r w:rsidR="00117482">
        <w:rPr>
          <w:rFonts w:ascii="Times New Roman" w:hAnsi="Times New Roman" w:cs="Times New Roman"/>
        </w:rPr>
        <w:t>on the slopes of Mount Meru and Mount Kilimanjaro</w:t>
      </w:r>
      <w:r w:rsidR="00101585">
        <w:rPr>
          <w:rFonts w:ascii="Times New Roman" w:hAnsi="Times New Roman" w:cs="Times New Roman"/>
        </w:rPr>
        <w:t>. This was combined with missionaries who suggested that the native Chagga people begin coffee cultivation as well. Both groups were quite successful, as the average coffee bush on Kilimanjaro’s fertile slopes produced five times as many beans as those from previous plantations in the Usambara Mountains.</w:t>
      </w:r>
      <w:r w:rsidR="00101585">
        <w:rPr>
          <w:rStyle w:val="FootnoteReference"/>
          <w:rFonts w:ascii="Times New Roman" w:hAnsi="Times New Roman" w:cs="Times New Roman"/>
        </w:rPr>
        <w:footnoteReference w:id="68"/>
      </w:r>
      <w:r w:rsidR="00101585">
        <w:rPr>
          <w:rFonts w:ascii="Times New Roman" w:hAnsi="Times New Roman" w:cs="Times New Roman"/>
        </w:rPr>
        <w:t xml:space="preserve"> Here can be seen one of few examples of Dernburg’s idea of enriching the African peasantry at work</w:t>
      </w:r>
      <w:r w:rsidR="004C6610">
        <w:rPr>
          <w:rFonts w:ascii="Times New Roman" w:hAnsi="Times New Roman" w:cs="Times New Roman"/>
        </w:rPr>
        <w:t>, and by the end of German rule, it was said that the Chagga were cultivating somewhere in the area of 80,000 coffee bushes.</w:t>
      </w:r>
      <w:r w:rsidR="004C6610">
        <w:rPr>
          <w:rStyle w:val="FootnoteReference"/>
          <w:rFonts w:ascii="Times New Roman" w:hAnsi="Times New Roman" w:cs="Times New Roman"/>
        </w:rPr>
        <w:footnoteReference w:id="69"/>
      </w:r>
      <w:r w:rsidR="004C6610">
        <w:rPr>
          <w:rFonts w:ascii="Times New Roman" w:hAnsi="Times New Roman" w:cs="Times New Roman"/>
        </w:rPr>
        <w:t xml:space="preserve"> It might seem as though this would, in some small way, validate Dernburg’s reform program, but the distribution of coffee seeds to the natives was undertaken by catholic missionaries, not the government, which was unwilling to take a position on the Chagga coffee growers. </w:t>
      </w:r>
      <w:r w:rsidR="00DE715E">
        <w:rPr>
          <w:rFonts w:ascii="Times New Roman" w:hAnsi="Times New Roman" w:cs="Times New Roman"/>
        </w:rPr>
        <w:t xml:space="preserve">On the other side of the colony on the shores of Lake Victoria coffee was also being grown with marked success, but in a very different way. In Bukoba, the German resident came up with his own scheme for </w:t>
      </w:r>
      <w:r w:rsidR="001C05BF">
        <w:rPr>
          <w:rFonts w:ascii="Times New Roman" w:hAnsi="Times New Roman" w:cs="Times New Roman"/>
        </w:rPr>
        <w:t>coffee production without interference from the central government of the colony. Steumer, the German resident, embarked on a top-down approach, by which he convinced the local rulers to coerce their unfree subjects into planting coffee. This, though running totally in the face of Dernburg’s ideas concerning African peasant production, was extremely successful. Between 1905 and 1912, while Steumer was resident, the value of coffee for export increased fifteen fold, and by then accounted for a third of German East Africa’s coffee exports.</w:t>
      </w:r>
      <w:r w:rsidR="001C05BF">
        <w:rPr>
          <w:rStyle w:val="FootnoteReference"/>
          <w:rFonts w:ascii="Times New Roman" w:hAnsi="Times New Roman" w:cs="Times New Roman"/>
        </w:rPr>
        <w:footnoteReference w:id="70"/>
      </w:r>
      <w:r w:rsidR="001C05BF">
        <w:rPr>
          <w:rFonts w:ascii="Times New Roman" w:hAnsi="Times New Roman" w:cs="Times New Roman"/>
        </w:rPr>
        <w:t xml:space="preserve"> However, these successes, as is universally the case with raw materials produced in the colony, never made a serious dent in the home market. This is made abundantly clear by statistics which show that </w:t>
      </w:r>
      <w:r w:rsidR="001C05BF">
        <w:rPr>
          <w:rFonts w:ascii="Times New Roman" w:hAnsi="Times New Roman" w:cs="Times New Roman"/>
        </w:rPr>
        <w:lastRenderedPageBreak/>
        <w:t>the thousand tons of coffee exported by German East Africa in 1913 barely made up half of one percent of Germany’s annual coffee imports.</w:t>
      </w:r>
      <w:r w:rsidR="001C05BF">
        <w:rPr>
          <w:rStyle w:val="FootnoteReference"/>
          <w:rFonts w:ascii="Times New Roman" w:hAnsi="Times New Roman" w:cs="Times New Roman"/>
        </w:rPr>
        <w:footnoteReference w:id="71"/>
      </w:r>
      <w:r w:rsidR="001C05BF">
        <w:rPr>
          <w:rFonts w:ascii="Times New Roman" w:hAnsi="Times New Roman" w:cs="Times New Roman"/>
        </w:rPr>
        <w:t xml:space="preserve"> Granted, Dernburg was correct in the long run that coffee would become important in German East Africa</w:t>
      </w:r>
      <w:r w:rsidR="006466F6">
        <w:rPr>
          <w:rFonts w:ascii="Times New Roman" w:hAnsi="Times New Roman" w:cs="Times New Roman"/>
        </w:rPr>
        <w:t>, considering that modern day Tanzania’s top export is in fact coffee. Nevertheless, on the whole, any pretense of correcting Germany’s balance of payments on coffee was ultimately a failure.</w:t>
      </w:r>
    </w:p>
    <w:p w14:paraId="4B5F9EF7" w14:textId="77777777" w:rsidR="006466F6" w:rsidRDefault="006466F6" w:rsidP="002D76C8">
      <w:pPr>
        <w:spacing w:line="360" w:lineRule="auto"/>
        <w:rPr>
          <w:rFonts w:ascii="Times New Roman" w:hAnsi="Times New Roman" w:cs="Times New Roman"/>
        </w:rPr>
      </w:pPr>
    </w:p>
    <w:p w14:paraId="2E62449F" w14:textId="0AEF47E7" w:rsidR="006466F6" w:rsidRPr="004E22F3" w:rsidRDefault="006466F6" w:rsidP="002D76C8">
      <w:pPr>
        <w:spacing w:line="360" w:lineRule="auto"/>
        <w:jc w:val="center"/>
        <w:rPr>
          <w:rFonts w:ascii="Times New Roman" w:hAnsi="Times New Roman" w:cs="Times New Roman"/>
          <w:b/>
        </w:rPr>
      </w:pPr>
      <w:r w:rsidRPr="004E22F3">
        <w:rPr>
          <w:rFonts w:ascii="Times New Roman" w:hAnsi="Times New Roman" w:cs="Times New Roman"/>
          <w:b/>
        </w:rPr>
        <w:t>Cotton</w:t>
      </w:r>
    </w:p>
    <w:p w14:paraId="18A62EFB" w14:textId="77777777" w:rsidR="006466F6" w:rsidRDefault="006466F6" w:rsidP="002D76C8">
      <w:pPr>
        <w:spacing w:line="360" w:lineRule="auto"/>
        <w:jc w:val="center"/>
        <w:rPr>
          <w:rFonts w:ascii="Times New Roman" w:hAnsi="Times New Roman" w:cs="Times New Roman"/>
        </w:rPr>
      </w:pPr>
    </w:p>
    <w:p w14:paraId="3A65004B" w14:textId="30E14B98" w:rsidR="006466F6" w:rsidRDefault="006466F6" w:rsidP="002D76C8">
      <w:pPr>
        <w:spacing w:line="360" w:lineRule="auto"/>
        <w:rPr>
          <w:rFonts w:ascii="Times New Roman" w:hAnsi="Times New Roman" w:cs="Times New Roman"/>
        </w:rPr>
      </w:pPr>
      <w:r>
        <w:rPr>
          <w:rFonts w:ascii="Times New Roman" w:hAnsi="Times New Roman" w:cs="Times New Roman"/>
        </w:rPr>
        <w:tab/>
      </w:r>
      <w:r w:rsidR="00C6384E">
        <w:rPr>
          <w:rFonts w:ascii="Times New Roman" w:hAnsi="Times New Roman" w:cs="Times New Roman"/>
        </w:rPr>
        <w:t xml:space="preserve">Last, but certainly not least of the raw materials designated to help transform German East Africa from a liability to the metropole into a valuable asset was cotton. As mentioned before, much of the reasoning behind the colonial effort in the first place centered </w:t>
      </w:r>
      <w:r w:rsidR="001F5C06">
        <w:rPr>
          <w:rFonts w:ascii="Times New Roman" w:hAnsi="Times New Roman" w:cs="Times New Roman"/>
        </w:rPr>
        <w:t>on</w:t>
      </w:r>
      <w:r w:rsidR="00C6384E">
        <w:rPr>
          <w:rFonts w:ascii="Times New Roman" w:hAnsi="Times New Roman" w:cs="Times New Roman"/>
        </w:rPr>
        <w:t xml:space="preserve"> cotton, and it was here without a doubt that the government made its greatest efforts to promote cultivation for export. However, an analysis of the effectiveness of the Dernburg period in transforming the nature of cotton production in German East Africa is complicated for a number of reasons</w:t>
      </w:r>
      <w:r w:rsidR="00BB76D4">
        <w:rPr>
          <w:rFonts w:ascii="Times New Roman" w:hAnsi="Times New Roman" w:cs="Times New Roman"/>
        </w:rPr>
        <w:t xml:space="preserve">. Foremost among these, is the diverse nature of schemes created to promote cotton production. Whereas many other crops were limited to specific areas, cotton production was attempted many different areas, and under many different circumstances. It is therefore hard to make generalizations about its effectiveness. Because of this, it is necessary to compartmentalize cotton production. Two major groups with subgroups can best serve this purpose. On the one hand, there was European-led, white production, which can be split into </w:t>
      </w:r>
      <w:r w:rsidR="00626D6A">
        <w:rPr>
          <w:rFonts w:ascii="Times New Roman" w:hAnsi="Times New Roman" w:cs="Times New Roman"/>
        </w:rPr>
        <w:t>large-scale</w:t>
      </w:r>
      <w:r w:rsidR="00BB76D4">
        <w:rPr>
          <w:rFonts w:ascii="Times New Roman" w:hAnsi="Times New Roman" w:cs="Times New Roman"/>
        </w:rPr>
        <w:t xml:space="preserve"> commercial efforts, and smaller settler plantations. On the other side were efforts at African cultivation, and these can be broken down into those that were largely benign, and those that were by nature more coercive. </w:t>
      </w:r>
      <w:r w:rsidR="00572331">
        <w:rPr>
          <w:rFonts w:ascii="Times New Roman" w:hAnsi="Times New Roman" w:cs="Times New Roman"/>
        </w:rPr>
        <w:t xml:space="preserve">However, to understand any of this, it is first important to understand the background of cotton production in German East Africa, which started well before Dernburg’s term in office. The process can be said to begin with the establishment of the Colonial Economic Committee, or KWK, in 1896. With support from the cotton industry, colonial interest groups, and some state support, the KWK sought to open up the German colonies to cotton production. Its efforts did not get off the ground in German East Africa though, until around 1904, under the tenure of Governor von Götzen. At that time, KWK became a semi-governmental entity in the colony, effecting government policy, and attempting to create suitable conditions of cotton cultivation. </w:t>
      </w:r>
      <w:r w:rsidR="00244507">
        <w:rPr>
          <w:rFonts w:ascii="Times New Roman" w:hAnsi="Times New Roman" w:cs="Times New Roman"/>
        </w:rPr>
        <w:t xml:space="preserve">In their words, “mild </w:t>
      </w:r>
      <w:r w:rsidR="00244507">
        <w:rPr>
          <w:rFonts w:ascii="Times New Roman" w:hAnsi="Times New Roman" w:cs="Times New Roman"/>
        </w:rPr>
        <w:lastRenderedPageBreak/>
        <w:t>compulsion” would be necessary to get cotton production going.</w:t>
      </w:r>
      <w:r w:rsidR="00244507">
        <w:rPr>
          <w:rStyle w:val="FootnoteReference"/>
          <w:rFonts w:ascii="Times New Roman" w:hAnsi="Times New Roman" w:cs="Times New Roman"/>
        </w:rPr>
        <w:footnoteReference w:id="72"/>
      </w:r>
      <w:r w:rsidR="00244507">
        <w:rPr>
          <w:rFonts w:ascii="Times New Roman" w:hAnsi="Times New Roman" w:cs="Times New Roman"/>
        </w:rPr>
        <w:t xml:space="preserve"> The format needed to make this happen was already in place, the communal shamba, or plot of land given over in each town to production of export crops, by order of the government. When the KWK became involved, all of these shambas were converted to cotton production, which was to become a </w:t>
      </w:r>
      <w:r w:rsidR="00244507">
        <w:rPr>
          <w:rFonts w:ascii="Times New Roman" w:hAnsi="Times New Roman" w:cs="Times New Roman"/>
          <w:i/>
        </w:rPr>
        <w:t>Volkskultur</w:t>
      </w:r>
      <w:r w:rsidR="00244507">
        <w:rPr>
          <w:rFonts w:ascii="Times New Roman" w:hAnsi="Times New Roman" w:cs="Times New Roman"/>
        </w:rPr>
        <w:t>.</w:t>
      </w:r>
      <w:r w:rsidR="00244507">
        <w:rPr>
          <w:rStyle w:val="FootnoteReference"/>
          <w:rFonts w:ascii="Times New Roman" w:hAnsi="Times New Roman" w:cs="Times New Roman"/>
        </w:rPr>
        <w:footnoteReference w:id="73"/>
      </w:r>
      <w:r w:rsidR="00244507">
        <w:rPr>
          <w:rFonts w:ascii="Times New Roman" w:hAnsi="Times New Roman" w:cs="Times New Roman"/>
        </w:rPr>
        <w:t xml:space="preserve"> </w:t>
      </w:r>
      <w:r w:rsidR="00914021">
        <w:rPr>
          <w:rFonts w:ascii="Times New Roman" w:hAnsi="Times New Roman" w:cs="Times New Roman"/>
        </w:rPr>
        <w:t>Many historians have cited these shambas</w:t>
      </w:r>
      <w:r w:rsidR="00244507">
        <w:rPr>
          <w:rFonts w:ascii="Times New Roman" w:hAnsi="Times New Roman" w:cs="Times New Roman"/>
        </w:rPr>
        <w:t xml:space="preserve"> as the major reasoning behind the Maji-Maji uprising which followed closely after their establishment, most notably John Iliffe.</w:t>
      </w:r>
      <w:r w:rsidR="00914021">
        <w:rPr>
          <w:rStyle w:val="FootnoteReference"/>
          <w:rFonts w:ascii="Times New Roman" w:hAnsi="Times New Roman" w:cs="Times New Roman"/>
        </w:rPr>
        <w:footnoteReference w:id="74"/>
      </w:r>
      <w:r w:rsidR="00914021">
        <w:rPr>
          <w:rFonts w:ascii="Times New Roman" w:hAnsi="Times New Roman" w:cs="Times New Roman"/>
        </w:rPr>
        <w:t xml:space="preserve"> Given the perceived failure of these coercive measures to produce effective African cultivation, new methods were sought after in the aftermath of the Maji-Maji uprising. </w:t>
      </w:r>
    </w:p>
    <w:p w14:paraId="6D6BF59B" w14:textId="1C514141" w:rsidR="00025E75" w:rsidRDefault="00394184" w:rsidP="002D76C8">
      <w:pPr>
        <w:spacing w:line="360" w:lineRule="auto"/>
        <w:rPr>
          <w:rFonts w:ascii="Times New Roman" w:hAnsi="Times New Roman" w:cs="Times New Roman"/>
        </w:rPr>
      </w:pPr>
      <w:r>
        <w:rPr>
          <w:rFonts w:ascii="Times New Roman" w:hAnsi="Times New Roman" w:cs="Times New Roman"/>
        </w:rPr>
        <w:tab/>
      </w:r>
      <w:r w:rsidR="006A3C91">
        <w:rPr>
          <w:rFonts w:ascii="Times New Roman" w:hAnsi="Times New Roman" w:cs="Times New Roman"/>
        </w:rPr>
        <w:t xml:space="preserve">One of the two newer methods of cotton production advocated was a European-led variety. The most obvious of this new form was the large, industrialized plantation. Following Dernburg’s claims that with German technology and expertise, the colonies could be transformed into the producers of Germany’s industrial cotton demand, several large enterprises were set up to put the ideas into practice. Two of Germany’s largest textile interests set out to </w:t>
      </w:r>
      <w:r w:rsidR="00025E75">
        <w:rPr>
          <w:rFonts w:ascii="Times New Roman" w:hAnsi="Times New Roman" w:cs="Times New Roman"/>
        </w:rPr>
        <w:t>produce the majority of their cotton needs in German East Africa, one under the leadership of a millionaire by the name of Otto, and the other as a project of the Leipzig Cotton Spinners. Both efforts failed spectacularly. In both cases, millions of marks were poured into the effort to produce cotton in the colony, with little to no result. The Otto plantation sought to bring in steam-driven plows, which cut too deeply into the soil, effectively ruining it. The company continued to try to produce until the advent of the First World War, but about the only thing it ever produced in quantity were losses. The Leipzig Cotton Spinners’ plantation succumbed to recurrent cases of disease, and was abandoned entirely in 1911 after equally astounding losses.</w:t>
      </w:r>
      <w:r w:rsidR="00EB22F4">
        <w:rPr>
          <w:rStyle w:val="FootnoteReference"/>
          <w:rFonts w:ascii="Times New Roman" w:hAnsi="Times New Roman" w:cs="Times New Roman"/>
        </w:rPr>
        <w:footnoteReference w:id="75"/>
      </w:r>
      <w:r w:rsidR="00025E75">
        <w:rPr>
          <w:rFonts w:ascii="Times New Roman" w:hAnsi="Times New Roman" w:cs="Times New Roman"/>
        </w:rPr>
        <w:t xml:space="preserve"> These well-publicized failures effectively scared future large enterprises off. </w:t>
      </w:r>
    </w:p>
    <w:p w14:paraId="0818AA12" w14:textId="38039296" w:rsidR="00C11A06" w:rsidRDefault="00025E75" w:rsidP="002D76C8">
      <w:pPr>
        <w:spacing w:line="360" w:lineRule="auto"/>
        <w:rPr>
          <w:rFonts w:ascii="Times New Roman" w:hAnsi="Times New Roman" w:cs="Times New Roman"/>
        </w:rPr>
      </w:pPr>
      <w:r>
        <w:rPr>
          <w:rFonts w:ascii="Times New Roman" w:hAnsi="Times New Roman" w:cs="Times New Roman"/>
        </w:rPr>
        <w:tab/>
        <w:t xml:space="preserve"> </w:t>
      </w:r>
      <w:r w:rsidR="00C11A06">
        <w:rPr>
          <w:rFonts w:ascii="Times New Roman" w:hAnsi="Times New Roman" w:cs="Times New Roman"/>
        </w:rPr>
        <w:t xml:space="preserve">The other area of European run schemes for cotton production was that run by the growing settler community. </w:t>
      </w:r>
      <w:r w:rsidR="0093776E">
        <w:rPr>
          <w:rFonts w:ascii="Times New Roman" w:hAnsi="Times New Roman" w:cs="Times New Roman"/>
        </w:rPr>
        <w:t xml:space="preserve">The settlers themselves are described below in detail, but suffice it to say that they were a very vocal community, and largely antagonistic to the efforts of the government and the KWK during Dernburg’s term in office. The settlers were indeed able to settle and cultivate the land, mostly in the area around the Usambara Mountains and inland from there to the peaks of Kilimanjaro and Meru. </w:t>
      </w:r>
      <w:r w:rsidR="000167F8">
        <w:rPr>
          <w:rFonts w:ascii="Times New Roman" w:hAnsi="Times New Roman" w:cs="Times New Roman"/>
        </w:rPr>
        <w:t xml:space="preserve">However, they were not able to do so without help, for the most part. The major concern of these plantation owners was labor </w:t>
      </w:r>
      <w:r w:rsidR="000167F8">
        <w:rPr>
          <w:rFonts w:ascii="Times New Roman" w:hAnsi="Times New Roman" w:cs="Times New Roman"/>
        </w:rPr>
        <w:lastRenderedPageBreak/>
        <w:t>supply, and how they were to procure it. The settlers sought to secure a pool of cheap labor to work their fields, which generally run counter to the government and for that matter the KWK’s plans for the development of African sources of production. Simply put, if the white settlers were to be using the Africans on their own fields, the natives would not be free to produce the cotton that German industry so desperately craved. Furthermore, there was the issue of how the labor supply would be secured. Generally speaking, the settlers sought to move the government to allow them to either coerce the natives into laboring in their fields, or else to create tax incentives that would force the natives into a financial situation whereby they would have to work in those fields. During Dernburg’s term in office, the efforts of the settlers largely failed, and they needed loans and support to get by.</w:t>
      </w:r>
      <w:r w:rsidR="00EB22F4">
        <w:rPr>
          <w:rStyle w:val="FootnoteReference"/>
          <w:rFonts w:ascii="Times New Roman" w:hAnsi="Times New Roman" w:cs="Times New Roman"/>
        </w:rPr>
        <w:footnoteReference w:id="76"/>
      </w:r>
      <w:r w:rsidR="00EB22F4">
        <w:rPr>
          <w:rFonts w:ascii="Times New Roman" w:hAnsi="Times New Roman" w:cs="Times New Roman"/>
        </w:rPr>
        <w:t xml:space="preserve"> In short, without coercive measures from the central government, the settler population did not constitute an effective force for the large-scale production of cotton for export.</w:t>
      </w:r>
    </w:p>
    <w:p w14:paraId="2B6FFC06" w14:textId="352AA37B" w:rsidR="00EB22F4" w:rsidRDefault="000A7D12" w:rsidP="002D76C8">
      <w:pPr>
        <w:spacing w:line="360" w:lineRule="auto"/>
        <w:rPr>
          <w:rFonts w:ascii="Times New Roman" w:hAnsi="Times New Roman" w:cs="Times New Roman"/>
        </w:rPr>
      </w:pPr>
      <w:r>
        <w:rPr>
          <w:rFonts w:ascii="Times New Roman" w:hAnsi="Times New Roman" w:cs="Times New Roman"/>
        </w:rPr>
        <w:tab/>
        <w:t xml:space="preserve">On the other side of the spectrum of cotton cultivation efforts were those that </w:t>
      </w:r>
      <w:r w:rsidR="00C87B36">
        <w:rPr>
          <w:rFonts w:ascii="Times New Roman" w:hAnsi="Times New Roman" w:cs="Times New Roman"/>
        </w:rPr>
        <w:t>saw African cultivation, rather than any European enterprise, as the best hope for the creation of a cotton resource base in German East Africa.</w:t>
      </w:r>
      <w:r w:rsidR="00BD12A8">
        <w:rPr>
          <w:rFonts w:ascii="Times New Roman" w:hAnsi="Times New Roman" w:cs="Times New Roman"/>
        </w:rPr>
        <w:t xml:space="preserve"> This idea was strongly supported both by the governor of the colony, Rechenberg, and the KWK. The idea, as far as the governor and the KWK were concerned, was to convince natives, without force, to produce cotton for their own material enrichment. Rechenberg was very anxious about any use of force, for in his understanding it had been the excessive force used in the communal shambas that did not economically benefit the natives under his predecessor, von Götzen, that had led to the Maji-Maji uprising.</w:t>
      </w:r>
      <w:r w:rsidR="00BD12A8">
        <w:rPr>
          <w:rStyle w:val="FootnoteReference"/>
          <w:rFonts w:ascii="Times New Roman" w:hAnsi="Times New Roman" w:cs="Times New Roman"/>
        </w:rPr>
        <w:footnoteReference w:id="77"/>
      </w:r>
      <w:r w:rsidR="00BD12A8">
        <w:rPr>
          <w:rFonts w:ascii="Times New Roman" w:hAnsi="Times New Roman" w:cs="Times New Roman"/>
        </w:rPr>
        <w:t xml:space="preserve"> To </w:t>
      </w:r>
      <w:r w:rsidR="00681ECB">
        <w:rPr>
          <w:rFonts w:ascii="Times New Roman" w:hAnsi="Times New Roman" w:cs="Times New Roman"/>
        </w:rPr>
        <w:t>affect</w:t>
      </w:r>
      <w:r w:rsidR="00BD12A8">
        <w:rPr>
          <w:rFonts w:ascii="Times New Roman" w:hAnsi="Times New Roman" w:cs="Times New Roman"/>
        </w:rPr>
        <w:t xml:space="preserve"> this sort of change, the government and the KWK passed out increasing large amounts of cotton seed freely to African peasants. From 1,500 hundredweight of cotton seed passed out in the first year of Dernburg’s term in office, the number tripled by the time he had left.</w:t>
      </w:r>
      <w:r w:rsidR="00BD12A8">
        <w:rPr>
          <w:rStyle w:val="FootnoteReference"/>
          <w:rFonts w:ascii="Times New Roman" w:hAnsi="Times New Roman" w:cs="Times New Roman"/>
        </w:rPr>
        <w:footnoteReference w:id="78"/>
      </w:r>
      <w:r w:rsidR="00BD12A8">
        <w:rPr>
          <w:rFonts w:ascii="Times New Roman" w:hAnsi="Times New Roman" w:cs="Times New Roman"/>
        </w:rPr>
        <w:t xml:space="preserve"> </w:t>
      </w:r>
      <w:r w:rsidR="0081166D">
        <w:rPr>
          <w:rFonts w:ascii="Times New Roman" w:hAnsi="Times New Roman" w:cs="Times New Roman"/>
        </w:rPr>
        <w:t>In certain areas, mostly along the coast in Rufiji and Lindi, the practice was moderately successful. How successful though, is extremely hard to estimate, given the dearth of statistics on African peasant cultivation. It is also difficult to determine how much if any coercion was used in these peasant production schemes</w:t>
      </w:r>
      <w:r w:rsidR="00153678">
        <w:rPr>
          <w:rFonts w:ascii="Times New Roman" w:hAnsi="Times New Roman" w:cs="Times New Roman"/>
        </w:rPr>
        <w:t>, for it was clearly happening in some cases under the rather innocent sounding name of “repeated stimulation and encouragement.”</w:t>
      </w:r>
      <w:r w:rsidR="00153678">
        <w:rPr>
          <w:rStyle w:val="FootnoteReference"/>
          <w:rFonts w:ascii="Times New Roman" w:hAnsi="Times New Roman" w:cs="Times New Roman"/>
        </w:rPr>
        <w:footnoteReference w:id="79"/>
      </w:r>
      <w:r w:rsidR="00153678">
        <w:rPr>
          <w:rFonts w:ascii="Times New Roman" w:hAnsi="Times New Roman" w:cs="Times New Roman"/>
        </w:rPr>
        <w:t xml:space="preserve"> Out of all the areas of cash crop production, and in all its forms, this attempted stimulus of peasant agriculture was by far the biggest step the government took. However, given the tenuous nature of evidence on the productiveness of </w:t>
      </w:r>
      <w:r w:rsidR="00153678">
        <w:rPr>
          <w:rFonts w:ascii="Times New Roman" w:hAnsi="Times New Roman" w:cs="Times New Roman"/>
        </w:rPr>
        <w:lastRenderedPageBreak/>
        <w:t xml:space="preserve">these non-coercive schemes, it would be unwise to come to rash conclusions. What can be said, at any rate, is that those that </w:t>
      </w:r>
      <w:r w:rsidR="00153678">
        <w:rPr>
          <w:rFonts w:ascii="Times New Roman" w:hAnsi="Times New Roman" w:cs="Times New Roman"/>
          <w:i/>
        </w:rPr>
        <w:t>did</w:t>
      </w:r>
      <w:r w:rsidR="00153678">
        <w:rPr>
          <w:rFonts w:ascii="Times New Roman" w:hAnsi="Times New Roman" w:cs="Times New Roman"/>
        </w:rPr>
        <w:t xml:space="preserve"> use coercion were often the most successful.</w:t>
      </w:r>
    </w:p>
    <w:p w14:paraId="0F2BD4EF" w14:textId="5021DE3E" w:rsidR="00153678" w:rsidRDefault="00153678" w:rsidP="002D76C8">
      <w:pPr>
        <w:spacing w:line="360" w:lineRule="auto"/>
        <w:rPr>
          <w:rFonts w:ascii="Times New Roman" w:hAnsi="Times New Roman" w:cs="Times New Roman"/>
        </w:rPr>
      </w:pPr>
      <w:r>
        <w:rPr>
          <w:rFonts w:ascii="Times New Roman" w:hAnsi="Times New Roman" w:cs="Times New Roman"/>
        </w:rPr>
        <w:tab/>
      </w:r>
      <w:r w:rsidR="00D64204">
        <w:rPr>
          <w:rFonts w:ascii="Times New Roman" w:hAnsi="Times New Roman" w:cs="Times New Roman"/>
        </w:rPr>
        <w:t xml:space="preserve">Using a coercive method to force the natives into producing cotton seems counter-productive, given the previous experience in the colony with Götzen’s </w:t>
      </w:r>
      <w:r w:rsidR="00CE1AAE">
        <w:rPr>
          <w:rFonts w:ascii="Times New Roman" w:hAnsi="Times New Roman" w:cs="Times New Roman"/>
        </w:rPr>
        <w:t>communal shamba policy. However, in some areas, these practices were essentially revived, and in some cases with great success. We have already seen one such example, that of Resident Steumer and his method for coffee production in Bukoba. In the district neighboring his, Mwanza, a new district commissioner named Gunzert arrived in 1907, at the start of the Dernburg era.  Gunzert ignored the government’s orders not to use coercion, and much like Steumer in Bukoba, set about forcing the chiefs to have their peasants produce cotton</w:t>
      </w:r>
      <w:r w:rsidR="00AB1FF4">
        <w:rPr>
          <w:rFonts w:ascii="Times New Roman" w:hAnsi="Times New Roman" w:cs="Times New Roman"/>
        </w:rPr>
        <w:t>, under threat of brutal punishment.</w:t>
      </w:r>
      <w:r w:rsidR="00AB1FF4">
        <w:rPr>
          <w:rStyle w:val="FootnoteReference"/>
          <w:rFonts w:ascii="Times New Roman" w:hAnsi="Times New Roman" w:cs="Times New Roman"/>
        </w:rPr>
        <w:footnoteReference w:id="80"/>
      </w:r>
      <w:r w:rsidR="00AB1FF4">
        <w:rPr>
          <w:rFonts w:ascii="Times New Roman" w:hAnsi="Times New Roman" w:cs="Times New Roman"/>
        </w:rPr>
        <w:t xml:space="preserve"> </w:t>
      </w:r>
      <w:r w:rsidR="00E316FC">
        <w:rPr>
          <w:rFonts w:ascii="Times New Roman" w:hAnsi="Times New Roman" w:cs="Times New Roman"/>
        </w:rPr>
        <w:t>Despite the violent nature of his methods, Gunzert’s plans proved very successful; starting from nearly no cotton production in 1907, production rose by the end of his time as commissioner to account for 20% of the colony’s cotton exports.</w:t>
      </w:r>
      <w:r w:rsidR="00E316FC">
        <w:rPr>
          <w:rStyle w:val="FootnoteReference"/>
          <w:rFonts w:ascii="Times New Roman" w:hAnsi="Times New Roman" w:cs="Times New Roman"/>
        </w:rPr>
        <w:footnoteReference w:id="81"/>
      </w:r>
      <w:r w:rsidR="004C1DCE">
        <w:rPr>
          <w:rFonts w:ascii="Times New Roman" w:hAnsi="Times New Roman" w:cs="Times New Roman"/>
        </w:rPr>
        <w:t xml:space="preserve"> This had a surprising catalytic effect. Seeing that the cotton that had been forced on certain chiefs was actually quite profitable, other headmen began to ask for seed of a crop they previously despised and would actively resist planting. Gunzert himself explained that though ultimately the Africans would need economic incentives to continue production in the long run, this process was best started by force.</w:t>
      </w:r>
      <w:r w:rsidR="004C1DCE">
        <w:rPr>
          <w:rStyle w:val="FootnoteReference"/>
          <w:rFonts w:ascii="Times New Roman" w:hAnsi="Times New Roman" w:cs="Times New Roman"/>
        </w:rPr>
        <w:footnoteReference w:id="82"/>
      </w:r>
      <w:r w:rsidR="004C1DCE">
        <w:rPr>
          <w:rFonts w:ascii="Times New Roman" w:hAnsi="Times New Roman" w:cs="Times New Roman"/>
        </w:rPr>
        <w:t xml:space="preserve"> </w:t>
      </w:r>
      <w:r w:rsidR="00536BCF">
        <w:rPr>
          <w:rFonts w:ascii="Times New Roman" w:hAnsi="Times New Roman" w:cs="Times New Roman"/>
        </w:rPr>
        <w:t xml:space="preserve">In this way, the ends justified the means, and again Dernburg’s social program was sacrificed for the sake of the creation of a raw materials base in the colonies. Ultimately, this meant that both policies were doomed to failure, since the cotton produced in German East Africa </w:t>
      </w:r>
      <w:r w:rsidR="00066C93">
        <w:rPr>
          <w:rFonts w:ascii="Times New Roman" w:hAnsi="Times New Roman" w:cs="Times New Roman"/>
        </w:rPr>
        <w:t xml:space="preserve">never even amounted to half of one percent of the cotton needed by German industry, whereas Dernburg had claimed it would be producing </w:t>
      </w:r>
      <w:r w:rsidR="00066C93">
        <w:rPr>
          <w:rFonts w:ascii="Times New Roman" w:hAnsi="Times New Roman" w:cs="Times New Roman"/>
          <w:i/>
        </w:rPr>
        <w:t>all</w:t>
      </w:r>
      <w:r w:rsidR="00066C93">
        <w:rPr>
          <w:rFonts w:ascii="Times New Roman" w:hAnsi="Times New Roman" w:cs="Times New Roman"/>
        </w:rPr>
        <w:t xml:space="preserve"> of Germany’s cotton needs.</w:t>
      </w:r>
      <w:r w:rsidR="00066C93">
        <w:rPr>
          <w:rStyle w:val="FootnoteReference"/>
          <w:rFonts w:ascii="Times New Roman" w:hAnsi="Times New Roman" w:cs="Times New Roman"/>
        </w:rPr>
        <w:footnoteReference w:id="83"/>
      </w:r>
      <w:r w:rsidR="00066C93">
        <w:rPr>
          <w:rFonts w:ascii="Times New Roman" w:hAnsi="Times New Roman" w:cs="Times New Roman"/>
        </w:rPr>
        <w:t xml:space="preserve"> </w:t>
      </w:r>
    </w:p>
    <w:p w14:paraId="32B2D853" w14:textId="77777777" w:rsidR="0085681B" w:rsidRDefault="0085681B" w:rsidP="002D76C8">
      <w:pPr>
        <w:spacing w:line="360" w:lineRule="auto"/>
        <w:rPr>
          <w:rFonts w:ascii="Times New Roman" w:hAnsi="Times New Roman" w:cs="Times New Roman"/>
        </w:rPr>
      </w:pPr>
    </w:p>
    <w:p w14:paraId="1221C511" w14:textId="3491D9A5" w:rsidR="0085681B" w:rsidRPr="004E22F3" w:rsidRDefault="0085681B" w:rsidP="002D76C8">
      <w:pPr>
        <w:spacing w:line="360" w:lineRule="auto"/>
        <w:jc w:val="center"/>
        <w:rPr>
          <w:rFonts w:ascii="Times New Roman" w:hAnsi="Times New Roman" w:cs="Times New Roman"/>
          <w:b/>
        </w:rPr>
      </w:pPr>
      <w:r w:rsidRPr="004E22F3">
        <w:rPr>
          <w:rFonts w:ascii="Times New Roman" w:hAnsi="Times New Roman" w:cs="Times New Roman"/>
          <w:b/>
        </w:rPr>
        <w:t>Railways</w:t>
      </w:r>
    </w:p>
    <w:p w14:paraId="5A5758D2" w14:textId="77777777" w:rsidR="0085681B" w:rsidRDefault="0085681B" w:rsidP="002D76C8">
      <w:pPr>
        <w:spacing w:line="360" w:lineRule="auto"/>
        <w:jc w:val="center"/>
        <w:rPr>
          <w:rFonts w:ascii="Times New Roman" w:hAnsi="Times New Roman" w:cs="Times New Roman"/>
        </w:rPr>
      </w:pPr>
    </w:p>
    <w:p w14:paraId="63F74DDF" w14:textId="546A27A0" w:rsidR="0085681B" w:rsidRDefault="0085681B" w:rsidP="002D76C8">
      <w:pPr>
        <w:spacing w:line="360" w:lineRule="auto"/>
        <w:rPr>
          <w:rFonts w:ascii="Times New Roman" w:hAnsi="Times New Roman" w:cs="Times New Roman"/>
        </w:rPr>
      </w:pPr>
      <w:r>
        <w:rPr>
          <w:rFonts w:ascii="Times New Roman" w:hAnsi="Times New Roman" w:cs="Times New Roman"/>
        </w:rPr>
        <w:tab/>
        <w:t xml:space="preserve">Key to his program of reform was Dernburg’s idea that the growth of the colonies as providers of raw materials would be ensured by a simultaneous program of railroad construction. Railroads, like cotton, had long held a place of importance in the ideal of German colonization. They were seen as signs of civilization and of true commitment to the colonial effort. At the same time, it was widely agreed, even by those on the left wing of the </w:t>
      </w:r>
      <w:r>
        <w:rPr>
          <w:rFonts w:ascii="Times New Roman" w:hAnsi="Times New Roman" w:cs="Times New Roman"/>
        </w:rPr>
        <w:lastRenderedPageBreak/>
        <w:t>political spectrum that the colonies would remain worthless without integrated railroad networks.</w:t>
      </w:r>
      <w:r>
        <w:rPr>
          <w:rStyle w:val="FootnoteReference"/>
          <w:rFonts w:ascii="Times New Roman" w:hAnsi="Times New Roman" w:cs="Times New Roman"/>
        </w:rPr>
        <w:footnoteReference w:id="84"/>
      </w:r>
      <w:r>
        <w:rPr>
          <w:rFonts w:ascii="Times New Roman" w:hAnsi="Times New Roman" w:cs="Times New Roman"/>
        </w:rPr>
        <w:t xml:space="preserve"> Indeed, railroad construction had already begun in German East Africa before Dernburg’s term in office, although at the time there were a paltry 129 kilometers of track. This was massively expanded under Dernburg and afterwards, so that by the First World War there were 1,500 kilometers of railroads stretching across the entire </w:t>
      </w:r>
      <w:r w:rsidR="00DC53F7">
        <w:rPr>
          <w:rFonts w:ascii="Times New Roman" w:hAnsi="Times New Roman" w:cs="Times New Roman"/>
        </w:rPr>
        <w:t>colony. This was one of the major successes of the supposed reform era, and though this study criticizes the notion of such a period, the vast expansion of rail in the colony, and the changes that were implemented to allow for it do constitute actual reform in this case. This is because Dernburg created an entirely new system of financing in order to pay for the railroad scheme he had in mind. Whereas the Reichstag had previously balked at the idea of paying for capital-intensive railroad construction, Dernburg, using his previous expertise as a banker, came up with a clever trick to make it possible. By applying for loans in German capital markets that the colony would service on its own, the specter of massive government payouts to the colonies was mitigated. The railroads, following the proven example to the north in Uganda, would open new markets, and bring new tax revenues into the colonial government’s purse, thus accounting for increased expenditures that resulted from interest payments on the loans.</w:t>
      </w:r>
      <w:r w:rsidR="00DC53F7">
        <w:rPr>
          <w:rStyle w:val="FootnoteReference"/>
          <w:rFonts w:ascii="Times New Roman" w:hAnsi="Times New Roman" w:cs="Times New Roman"/>
        </w:rPr>
        <w:footnoteReference w:id="85"/>
      </w:r>
      <w:r w:rsidR="00DC53F7">
        <w:rPr>
          <w:rFonts w:ascii="Times New Roman" w:hAnsi="Times New Roman" w:cs="Times New Roman"/>
        </w:rPr>
        <w:t xml:space="preserve"> In other words, the system of railroad growth would largely support itself. </w:t>
      </w:r>
      <w:r w:rsidR="00713175">
        <w:rPr>
          <w:rFonts w:ascii="Times New Roman" w:hAnsi="Times New Roman" w:cs="Times New Roman"/>
        </w:rPr>
        <w:t xml:space="preserve">Surprisingly, this process generally worked in practice, unlike so many other schemes. </w:t>
      </w:r>
    </w:p>
    <w:p w14:paraId="1DD07BF3" w14:textId="703E4681" w:rsidR="00AC3290" w:rsidRDefault="00713175" w:rsidP="002D76C8">
      <w:pPr>
        <w:spacing w:line="360" w:lineRule="auto"/>
        <w:rPr>
          <w:rFonts w:ascii="Times New Roman" w:hAnsi="Times New Roman" w:cs="Times New Roman"/>
        </w:rPr>
      </w:pPr>
      <w:r>
        <w:rPr>
          <w:rFonts w:ascii="Times New Roman" w:hAnsi="Times New Roman" w:cs="Times New Roman"/>
        </w:rPr>
        <w:tab/>
        <w:t>There were, however, deep-seeded problems and choices inherent in the construction of railroads. The problem was complex; there were two basic railroad plans in competition, each representing a different idea of the future development of the colony. It was doubtful as to whether both railroad plans could be funded simultaneously, and therefore important choices had to be made.</w:t>
      </w:r>
      <w:r>
        <w:rPr>
          <w:rStyle w:val="FootnoteReference"/>
          <w:rFonts w:ascii="Times New Roman" w:hAnsi="Times New Roman" w:cs="Times New Roman"/>
        </w:rPr>
        <w:footnoteReference w:id="86"/>
      </w:r>
      <w:r>
        <w:rPr>
          <w:rFonts w:ascii="Times New Roman" w:hAnsi="Times New Roman" w:cs="Times New Roman"/>
        </w:rPr>
        <w:t xml:space="preserve"> On the one hand was the central line. This was to lead from the coast at Dar es Salaam deep into the interior of the colony, allowing for natives to be drawn into cash-crop production for export, and also in a sense civilizing them through the merits of capitalism. This was the idea trumpeted by the colonial governor Rechenberg as well as Dernburg. Working together, the two men were able to convince the Reichstag to allow the new loan scheme, and in this way pushed the railroad inland. The settlers in the colony, supported by the new right-wing majority in the Reichstag, had other plans. </w:t>
      </w:r>
      <w:r w:rsidR="00681ECB">
        <w:rPr>
          <w:rFonts w:ascii="Times New Roman" w:hAnsi="Times New Roman" w:cs="Times New Roman"/>
        </w:rPr>
        <w:t xml:space="preserve">They sought a northern line that would serve the area where their plantations were based. </w:t>
      </w:r>
      <w:r w:rsidR="00AC3290">
        <w:rPr>
          <w:rFonts w:ascii="Times New Roman" w:hAnsi="Times New Roman" w:cs="Times New Roman"/>
        </w:rPr>
        <w:t xml:space="preserve">While the first scheme was viable in that it would open up new areas to taxation and the export of </w:t>
      </w:r>
      <w:r w:rsidR="00AC3290">
        <w:rPr>
          <w:rFonts w:ascii="Times New Roman" w:hAnsi="Times New Roman" w:cs="Times New Roman"/>
        </w:rPr>
        <w:lastRenderedPageBreak/>
        <w:t xml:space="preserve">commodities in quantity, the second scheme was not. Rechenberg attempted to thwart the construction of this line, but was ultimately unsuccessful in his efforts. Dernburg, succumbing to the will of the Reichstag, went back on his own reform ideals, and supported the project in the end. The process will be elaborated further below, but it is important to recognize this as one of the major steps in the rise of the settler ascendency. For now, it should be noted that even though both projects were attempted simultaneously, they were both able to be financed by the government, and though not all railroads were profitable, this can be seen as a major instance of actual reform under Dernburg, and a vindication of some of his electoral campaign speeches. At the same time, however, the change in policy represented an ominous development that would ultimately doom any hope of the reform period coming to be. Ultimately then, this was certainly not a period of total economic transformation. The bright and optimistic speeches of Dernburg during 1907 largely came to naught as far as the economics of the colonies and their worth to the metropole were concerned. This is best shown </w:t>
      </w:r>
      <w:r w:rsidR="005918BE">
        <w:rPr>
          <w:rFonts w:ascii="Times New Roman" w:hAnsi="Times New Roman" w:cs="Times New Roman"/>
        </w:rPr>
        <w:t>by a last statistic; even by the First World War, despite exponential growth in some sectors, the combined worth of all of the exports and imports of all of the German colonies in Africa amounted to one half of one percent of the value of all German trade.</w:t>
      </w:r>
      <w:r w:rsidR="005918BE">
        <w:rPr>
          <w:rStyle w:val="FootnoteReference"/>
          <w:rFonts w:ascii="Times New Roman" w:hAnsi="Times New Roman" w:cs="Times New Roman"/>
        </w:rPr>
        <w:footnoteReference w:id="87"/>
      </w:r>
      <w:r w:rsidR="00B14954">
        <w:rPr>
          <w:rFonts w:ascii="Times New Roman" w:hAnsi="Times New Roman" w:cs="Times New Roman"/>
        </w:rPr>
        <w:t xml:space="preserve"> Clearly, despite the best efforts of a reform minded politician, the colonies remained economically irrelevant to the metropole. </w:t>
      </w:r>
    </w:p>
    <w:p w14:paraId="285D3FEE" w14:textId="77777777" w:rsidR="00A72C9C" w:rsidRDefault="00A72C9C" w:rsidP="002D76C8">
      <w:pPr>
        <w:spacing w:line="360" w:lineRule="auto"/>
        <w:rPr>
          <w:rFonts w:ascii="Times New Roman" w:hAnsi="Times New Roman" w:cs="Times New Roman"/>
        </w:rPr>
      </w:pPr>
    </w:p>
    <w:p w14:paraId="39E356B3" w14:textId="77777777" w:rsidR="004E22F3" w:rsidRDefault="004E22F3" w:rsidP="002D76C8">
      <w:pPr>
        <w:spacing w:line="360" w:lineRule="auto"/>
        <w:rPr>
          <w:rFonts w:ascii="Times New Roman" w:hAnsi="Times New Roman" w:cs="Times New Roman"/>
        </w:rPr>
      </w:pPr>
    </w:p>
    <w:p w14:paraId="6181D8E2" w14:textId="77777777" w:rsidR="004E22F3" w:rsidRDefault="004E22F3" w:rsidP="002D76C8">
      <w:pPr>
        <w:spacing w:line="360" w:lineRule="auto"/>
        <w:rPr>
          <w:rFonts w:ascii="Times New Roman" w:hAnsi="Times New Roman" w:cs="Times New Roman"/>
        </w:rPr>
      </w:pPr>
    </w:p>
    <w:p w14:paraId="4D6A375C" w14:textId="77777777" w:rsidR="004E22F3" w:rsidRDefault="004E22F3" w:rsidP="002D76C8">
      <w:pPr>
        <w:spacing w:line="360" w:lineRule="auto"/>
        <w:rPr>
          <w:rFonts w:ascii="Times New Roman" w:hAnsi="Times New Roman" w:cs="Times New Roman"/>
        </w:rPr>
      </w:pPr>
    </w:p>
    <w:p w14:paraId="7EDA956A" w14:textId="77777777" w:rsidR="004E22F3" w:rsidRDefault="004E22F3" w:rsidP="002D76C8">
      <w:pPr>
        <w:spacing w:line="360" w:lineRule="auto"/>
        <w:rPr>
          <w:rFonts w:ascii="Times New Roman" w:hAnsi="Times New Roman" w:cs="Times New Roman"/>
        </w:rPr>
      </w:pPr>
    </w:p>
    <w:p w14:paraId="22A31146" w14:textId="77777777" w:rsidR="004E22F3" w:rsidRDefault="004E22F3" w:rsidP="002D76C8">
      <w:pPr>
        <w:spacing w:line="360" w:lineRule="auto"/>
        <w:rPr>
          <w:rFonts w:ascii="Times New Roman" w:hAnsi="Times New Roman" w:cs="Times New Roman"/>
        </w:rPr>
      </w:pPr>
    </w:p>
    <w:p w14:paraId="64DA7761" w14:textId="77777777" w:rsidR="004E22F3" w:rsidRDefault="004E22F3" w:rsidP="002D76C8">
      <w:pPr>
        <w:spacing w:line="360" w:lineRule="auto"/>
        <w:rPr>
          <w:rFonts w:ascii="Times New Roman" w:hAnsi="Times New Roman" w:cs="Times New Roman"/>
        </w:rPr>
      </w:pPr>
    </w:p>
    <w:p w14:paraId="2C22B2FC" w14:textId="77777777" w:rsidR="004E22F3" w:rsidRDefault="004E22F3" w:rsidP="002D76C8">
      <w:pPr>
        <w:spacing w:line="360" w:lineRule="auto"/>
        <w:rPr>
          <w:rFonts w:ascii="Times New Roman" w:hAnsi="Times New Roman" w:cs="Times New Roman"/>
        </w:rPr>
      </w:pPr>
    </w:p>
    <w:p w14:paraId="4A3932DB" w14:textId="77777777" w:rsidR="004E22F3" w:rsidRDefault="004E22F3" w:rsidP="002D76C8">
      <w:pPr>
        <w:spacing w:line="360" w:lineRule="auto"/>
        <w:rPr>
          <w:rFonts w:ascii="Times New Roman" w:hAnsi="Times New Roman" w:cs="Times New Roman"/>
        </w:rPr>
      </w:pPr>
    </w:p>
    <w:p w14:paraId="0F60D613" w14:textId="77777777" w:rsidR="004E22F3" w:rsidRDefault="004E22F3" w:rsidP="002D76C8">
      <w:pPr>
        <w:spacing w:line="360" w:lineRule="auto"/>
        <w:rPr>
          <w:rFonts w:ascii="Times New Roman" w:hAnsi="Times New Roman" w:cs="Times New Roman"/>
        </w:rPr>
      </w:pPr>
    </w:p>
    <w:p w14:paraId="11015A91" w14:textId="77777777" w:rsidR="004E22F3" w:rsidRDefault="004E22F3" w:rsidP="002D76C8">
      <w:pPr>
        <w:spacing w:line="360" w:lineRule="auto"/>
        <w:rPr>
          <w:rFonts w:ascii="Times New Roman" w:hAnsi="Times New Roman" w:cs="Times New Roman"/>
        </w:rPr>
      </w:pPr>
    </w:p>
    <w:p w14:paraId="7BFC20F9" w14:textId="77777777" w:rsidR="004E22F3" w:rsidRDefault="004E22F3" w:rsidP="002D76C8">
      <w:pPr>
        <w:spacing w:line="360" w:lineRule="auto"/>
        <w:rPr>
          <w:rFonts w:ascii="Times New Roman" w:hAnsi="Times New Roman" w:cs="Times New Roman"/>
        </w:rPr>
      </w:pPr>
    </w:p>
    <w:p w14:paraId="1289E86C" w14:textId="77777777" w:rsidR="004E22F3" w:rsidRDefault="004E22F3" w:rsidP="002D76C8">
      <w:pPr>
        <w:spacing w:line="360" w:lineRule="auto"/>
        <w:rPr>
          <w:rFonts w:ascii="Times New Roman" w:hAnsi="Times New Roman" w:cs="Times New Roman"/>
        </w:rPr>
      </w:pPr>
    </w:p>
    <w:p w14:paraId="4FA6235E" w14:textId="77777777" w:rsidR="004E22F3" w:rsidRDefault="004E22F3" w:rsidP="002D76C8">
      <w:pPr>
        <w:spacing w:line="360" w:lineRule="auto"/>
        <w:rPr>
          <w:rFonts w:ascii="Times New Roman" w:hAnsi="Times New Roman" w:cs="Times New Roman"/>
        </w:rPr>
      </w:pPr>
    </w:p>
    <w:p w14:paraId="2F4E1AC9" w14:textId="62666D7B" w:rsidR="001238C8" w:rsidRPr="004E22F3" w:rsidRDefault="00A72C9C" w:rsidP="002D76C8">
      <w:pPr>
        <w:spacing w:line="360" w:lineRule="auto"/>
        <w:jc w:val="center"/>
        <w:rPr>
          <w:rFonts w:ascii="Times New Roman" w:hAnsi="Times New Roman" w:cs="Times New Roman"/>
          <w:b/>
          <w:sz w:val="28"/>
          <w:szCs w:val="28"/>
        </w:rPr>
      </w:pPr>
      <w:r w:rsidRPr="004E22F3">
        <w:rPr>
          <w:rFonts w:ascii="Times New Roman" w:hAnsi="Times New Roman" w:cs="Times New Roman"/>
          <w:b/>
          <w:sz w:val="28"/>
          <w:szCs w:val="28"/>
        </w:rPr>
        <w:lastRenderedPageBreak/>
        <w:t>Chapter IV: The Social Context</w:t>
      </w:r>
    </w:p>
    <w:p w14:paraId="0E82E712" w14:textId="77777777" w:rsidR="001238C8" w:rsidRDefault="001238C8" w:rsidP="002D76C8">
      <w:pPr>
        <w:spacing w:line="360" w:lineRule="auto"/>
        <w:jc w:val="center"/>
        <w:rPr>
          <w:rFonts w:ascii="Times New Roman" w:hAnsi="Times New Roman" w:cs="Times New Roman"/>
        </w:rPr>
      </w:pPr>
    </w:p>
    <w:p w14:paraId="747859A1" w14:textId="07B82415" w:rsidR="001238C8" w:rsidRDefault="001238C8" w:rsidP="002D76C8">
      <w:pPr>
        <w:widowControl w:val="0"/>
        <w:autoSpaceDE w:val="0"/>
        <w:autoSpaceDN w:val="0"/>
        <w:adjustRightInd w:val="0"/>
        <w:spacing w:line="360" w:lineRule="auto"/>
        <w:rPr>
          <w:rFonts w:ascii="Times New Roman" w:hAnsi="Times New Roman" w:cs="Times New Roman"/>
        </w:rPr>
      </w:pPr>
      <w:r>
        <w:rPr>
          <w:rFonts w:ascii="Times New Roman" w:hAnsi="Times New Roman" w:cs="Times New Roman"/>
        </w:rPr>
        <w:t>Whereas the first of the two chapters describing the effectiveness of the supposed reform period was largely quantitative, an analysis of the results of the social transformation that Dernburg envisioned in his speeches must necessarily be more qualitative, that is to say there is less hard numerical evidence to point to in this case in debunking the idea of the reform period. As has been mentioned earlier, Dernburg saw in the German occupation of its colonies a chance for colonization by means of preservation, rather than destruction.</w:t>
      </w:r>
      <w:r>
        <w:rPr>
          <w:rStyle w:val="FootnoteReference"/>
          <w:rFonts w:ascii="Times New Roman" w:hAnsi="Times New Roman" w:cs="Times New Roman"/>
        </w:rPr>
        <w:footnoteReference w:id="88"/>
      </w:r>
      <w:r>
        <w:rPr>
          <w:rFonts w:ascii="Times New Roman" w:hAnsi="Times New Roman" w:cs="Times New Roman"/>
        </w:rPr>
        <w:t xml:space="preserve"> This was elaborated into a system of raising the natives and civilizing them, and can be seen in the context of the international idea of the white man's burden. Like the idea of making the colonies more of an economical asset than a burden on the metropole, this was hardly a new idea, it was merely well and energetically articulated by Dernburg to a larger audience than had been previously the case in Germany. In order to get an idea of the efficacy of the social changes that Dernburg promised, it is again useful to break these changes into categories to show the successes and failures of each part of his policy in turn. Some of these themes come directly from Dernburg's speeches, while others are more peripheral, but certainly must be included in any discussion of the relative progress of the civilizing mission. As such, the social progress of the reform period will be discussed in terms of medical and educational advances, the decline of slave</w:t>
      </w:r>
      <w:r w:rsidR="000960BF">
        <w:rPr>
          <w:rFonts w:ascii="Times New Roman" w:hAnsi="Times New Roman" w:cs="Times New Roman"/>
        </w:rPr>
        <w:t>ry and its relation to labor recruitment</w:t>
      </w:r>
      <w:r>
        <w:rPr>
          <w:rFonts w:ascii="Times New Roman" w:hAnsi="Times New Roman" w:cs="Times New Roman"/>
        </w:rPr>
        <w:t xml:space="preserve">, and finally the treatment of non-native populations within German East Africa. Throughout this process, the focus, as was the case with economic analysis, will remain on the supposed reform period, and the changes that did or did not occur in that period in the context of larger scale changes with earlier beginnings in order to get a precise idea of the nature of that period. This will show, on the one hand, the many obvious failures, as well as successes that do not fit into the 1907-1910 periodization espoused by proponents of the reform period thesis. </w:t>
      </w:r>
    </w:p>
    <w:p w14:paraId="48136D99" w14:textId="77777777" w:rsidR="001238C8" w:rsidRPr="004E22F3" w:rsidRDefault="001238C8" w:rsidP="002D76C8">
      <w:pPr>
        <w:widowControl w:val="0"/>
        <w:autoSpaceDE w:val="0"/>
        <w:autoSpaceDN w:val="0"/>
        <w:adjustRightInd w:val="0"/>
        <w:spacing w:line="360" w:lineRule="auto"/>
        <w:rPr>
          <w:rFonts w:ascii="Times New Roman" w:hAnsi="Times New Roman" w:cs="Times New Roman"/>
          <w:b/>
        </w:rPr>
      </w:pPr>
    </w:p>
    <w:p w14:paraId="2C606704" w14:textId="77777777" w:rsidR="001238C8" w:rsidRPr="004E22F3" w:rsidRDefault="001238C8" w:rsidP="002D76C8">
      <w:pPr>
        <w:widowControl w:val="0"/>
        <w:autoSpaceDE w:val="0"/>
        <w:autoSpaceDN w:val="0"/>
        <w:adjustRightInd w:val="0"/>
        <w:spacing w:line="360" w:lineRule="auto"/>
        <w:jc w:val="center"/>
        <w:rPr>
          <w:rFonts w:ascii="Times New Roman" w:hAnsi="Times New Roman" w:cs="Times New Roman"/>
          <w:b/>
        </w:rPr>
      </w:pPr>
      <w:r w:rsidRPr="004E22F3">
        <w:rPr>
          <w:rFonts w:ascii="Times New Roman" w:hAnsi="Times New Roman" w:cs="Times New Roman"/>
          <w:b/>
        </w:rPr>
        <w:t>Disease Prevention</w:t>
      </w:r>
    </w:p>
    <w:p w14:paraId="4002BF3A" w14:textId="77777777" w:rsidR="001238C8" w:rsidRDefault="001238C8" w:rsidP="002D76C8">
      <w:pPr>
        <w:widowControl w:val="0"/>
        <w:autoSpaceDE w:val="0"/>
        <w:autoSpaceDN w:val="0"/>
        <w:adjustRightInd w:val="0"/>
        <w:spacing w:line="360" w:lineRule="auto"/>
        <w:jc w:val="center"/>
        <w:rPr>
          <w:rFonts w:ascii="Times New Roman" w:hAnsi="Times New Roman" w:cs="Times New Roman"/>
        </w:rPr>
      </w:pPr>
    </w:p>
    <w:p w14:paraId="4EE759C8" w14:textId="2E16DE34" w:rsidR="001238C8" w:rsidRDefault="001238C8" w:rsidP="002D76C8">
      <w:pPr>
        <w:spacing w:line="360" w:lineRule="auto"/>
        <w:rPr>
          <w:rFonts w:ascii="Times New Roman" w:hAnsi="Times New Roman" w:cs="Times New Roman"/>
        </w:rPr>
      </w:pPr>
      <w:r>
        <w:rPr>
          <w:rFonts w:ascii="Times New Roman" w:hAnsi="Times New Roman" w:cs="Times New Roman"/>
        </w:rPr>
        <w:tab/>
      </w:r>
      <w:r w:rsidR="00D841FE">
        <w:rPr>
          <w:rFonts w:ascii="Times New Roman" w:hAnsi="Times New Roman" w:cs="Times New Roman"/>
        </w:rPr>
        <w:t xml:space="preserve">One of Dernburg’s major points in regard to social progress in the colonies was disease prevention. While the ideas he espoused mainly covered human diseases, it also covered vaccinations against animal diseases, most notably rinderpest, although that was mostly relevant to German Southwest Africa, and therefore will not be discussed here. As for </w:t>
      </w:r>
      <w:r w:rsidR="00D841FE">
        <w:rPr>
          <w:rFonts w:ascii="Times New Roman" w:hAnsi="Times New Roman" w:cs="Times New Roman"/>
        </w:rPr>
        <w:lastRenderedPageBreak/>
        <w:t>human diseases, three were stringently fought by the German authorities in German East Africa; malaria, sleeping sickness, and smallpox. Of these, Dernburg highlighted malaria and sleeping sickness as major targets for eradication during his tenure in office.</w:t>
      </w:r>
      <w:r w:rsidR="00655A91">
        <w:rPr>
          <w:rFonts w:ascii="Times New Roman" w:hAnsi="Times New Roman" w:cs="Times New Roman"/>
        </w:rPr>
        <w:t xml:space="preserve"> These were explained by Dernburg as the, “most dangerous enemies,” of whites and blacks respectively.</w:t>
      </w:r>
      <w:r w:rsidR="00655A91">
        <w:rPr>
          <w:rStyle w:val="FootnoteReference"/>
          <w:rFonts w:ascii="Times New Roman" w:hAnsi="Times New Roman" w:cs="Times New Roman"/>
        </w:rPr>
        <w:footnoteReference w:id="89"/>
      </w:r>
      <w:r w:rsidR="00655A91">
        <w:rPr>
          <w:rFonts w:ascii="Times New Roman" w:hAnsi="Times New Roman" w:cs="Times New Roman"/>
        </w:rPr>
        <w:t xml:space="preserve"> </w:t>
      </w:r>
    </w:p>
    <w:p w14:paraId="3E5746C2" w14:textId="55DB6121" w:rsidR="00655A91" w:rsidRDefault="00655A91" w:rsidP="002D76C8">
      <w:pPr>
        <w:spacing w:line="360" w:lineRule="auto"/>
        <w:rPr>
          <w:rFonts w:ascii="Times New Roman" w:hAnsi="Times New Roman" w:cs="Times New Roman"/>
        </w:rPr>
      </w:pPr>
      <w:r>
        <w:rPr>
          <w:rFonts w:ascii="Times New Roman" w:hAnsi="Times New Roman" w:cs="Times New Roman"/>
        </w:rPr>
        <w:tab/>
        <w:t xml:space="preserve">The first of these two diseases, malaria, being a greater problem for whites, and therefore of greater relevance to his audience in Berlin, provides a good example of </w:t>
      </w:r>
      <w:r w:rsidR="003C77FA">
        <w:rPr>
          <w:rFonts w:ascii="Times New Roman" w:hAnsi="Times New Roman" w:cs="Times New Roman"/>
        </w:rPr>
        <w:t>German eradication efforts before, during, and after Denburg’s term in office. The disease represented one of the largest problems for colonial development in the tropics, and had been recognized as such essentially since European colonization began. Therefore, there were already known methods for combatting the disease, represented largely by quinine, which</w:t>
      </w:r>
      <w:r w:rsidR="0085053E">
        <w:rPr>
          <w:rFonts w:ascii="Times New Roman" w:hAnsi="Times New Roman" w:cs="Times New Roman"/>
        </w:rPr>
        <w:t>, though not in its pure form,</w:t>
      </w:r>
      <w:r w:rsidR="003C77FA">
        <w:rPr>
          <w:rFonts w:ascii="Times New Roman" w:hAnsi="Times New Roman" w:cs="Times New Roman"/>
        </w:rPr>
        <w:t xml:space="preserve"> had been known as effective against the disease since at least the seventeenth century</w:t>
      </w:r>
      <w:r w:rsidR="0085053E">
        <w:rPr>
          <w:rFonts w:ascii="Times New Roman" w:hAnsi="Times New Roman" w:cs="Times New Roman"/>
        </w:rPr>
        <w:t>. It is not clear if Dernburg meant quinine when he suggested that, “the German doctor has succeeded… in taming malaria,” but in any case this was simply not true.</w:t>
      </w:r>
      <w:r w:rsidR="0085053E">
        <w:rPr>
          <w:rStyle w:val="FootnoteReference"/>
          <w:rFonts w:ascii="Times New Roman" w:hAnsi="Times New Roman" w:cs="Times New Roman"/>
        </w:rPr>
        <w:footnoteReference w:id="90"/>
      </w:r>
      <w:r w:rsidR="0085053E">
        <w:rPr>
          <w:rFonts w:ascii="Times New Roman" w:hAnsi="Times New Roman" w:cs="Times New Roman"/>
        </w:rPr>
        <w:t xml:space="preserve"> German attempts to combat the disease began in earnest in 1901 with expeditions against malaria in Dar es Salaam and Tanga, with the goal of identifying all carriers of malaria and subjecting them to quinine treatment.</w:t>
      </w:r>
      <w:r w:rsidR="0085053E">
        <w:rPr>
          <w:rStyle w:val="FootnoteReference"/>
          <w:rFonts w:ascii="Times New Roman" w:hAnsi="Times New Roman" w:cs="Times New Roman"/>
        </w:rPr>
        <w:footnoteReference w:id="91"/>
      </w:r>
      <w:r w:rsidR="00AA0F9A">
        <w:rPr>
          <w:rFonts w:ascii="Times New Roman" w:hAnsi="Times New Roman" w:cs="Times New Roman"/>
        </w:rPr>
        <w:t xml:space="preserve"> This was largely unsuccessful among the African population, although with limited bright spots among the European population, with rates of malaria among white children falling, for example. In Tanga, however, seven years into the program no noticeable change had actually occurred.</w:t>
      </w:r>
      <w:r w:rsidR="00AA0F9A">
        <w:rPr>
          <w:rStyle w:val="FootnoteReference"/>
          <w:rFonts w:ascii="Times New Roman" w:hAnsi="Times New Roman" w:cs="Times New Roman"/>
        </w:rPr>
        <w:footnoteReference w:id="92"/>
      </w:r>
      <w:r w:rsidR="00AA0F9A">
        <w:rPr>
          <w:rFonts w:ascii="Times New Roman" w:hAnsi="Times New Roman" w:cs="Times New Roman"/>
        </w:rPr>
        <w:t xml:space="preserve"> Besides quinine, which though ineffective among the general population, had proven effective among soldiers, larval control of the mosquitos that carry the disease was also attempted. This process began just before Dernburg’s tenure as colonial secretary, in 1905, at which point it was becoming apparent that large-scale quinine prophylaxis was impracticable. While these efforts started with promising beginnings</w:t>
      </w:r>
      <w:r w:rsidR="00EE4192">
        <w:rPr>
          <w:rFonts w:ascii="Times New Roman" w:hAnsi="Times New Roman" w:cs="Times New Roman"/>
        </w:rPr>
        <w:t>, they were largely given up as too expensive while Dernburg was still in office. At least in regard to malaria then, Dernburg’s claims of social progress were not realized, and even afterwards real attempts at eradication were not restarted, because, as Koponen puts it, “after all, the German efforts were not undertaken for the health of the Africans, but for the exploitation of the colony.”</w:t>
      </w:r>
      <w:r w:rsidR="00EE4192">
        <w:rPr>
          <w:rStyle w:val="FootnoteReference"/>
          <w:rFonts w:ascii="Times New Roman" w:hAnsi="Times New Roman" w:cs="Times New Roman"/>
        </w:rPr>
        <w:footnoteReference w:id="93"/>
      </w:r>
      <w:r w:rsidR="00EE4192">
        <w:rPr>
          <w:rFonts w:ascii="Times New Roman" w:hAnsi="Times New Roman" w:cs="Times New Roman"/>
        </w:rPr>
        <w:t xml:space="preserve"> </w:t>
      </w:r>
    </w:p>
    <w:p w14:paraId="5C2A0F32" w14:textId="14D74DC2" w:rsidR="00EE4192" w:rsidRDefault="00EE4192" w:rsidP="002D76C8">
      <w:pPr>
        <w:spacing w:line="360" w:lineRule="auto"/>
        <w:rPr>
          <w:rFonts w:ascii="Times New Roman" w:hAnsi="Times New Roman" w:cs="Times New Roman"/>
        </w:rPr>
      </w:pPr>
      <w:r>
        <w:rPr>
          <w:rFonts w:ascii="Times New Roman" w:hAnsi="Times New Roman" w:cs="Times New Roman"/>
        </w:rPr>
        <w:lastRenderedPageBreak/>
        <w:tab/>
        <w:t xml:space="preserve">The second disease mentioned by Dernburg, sleeping sickness, was a much larger problem on the whole, and was much more of an issue of prevention among Africans as compared to whites; in some senses an opposite scenario to malaria. </w:t>
      </w:r>
      <w:r w:rsidR="00E22C66">
        <w:rPr>
          <w:rFonts w:ascii="Times New Roman" w:hAnsi="Times New Roman" w:cs="Times New Roman"/>
        </w:rPr>
        <w:t>The disease itself started to spread out of the Congo basin at the end of the century, leaving massive devastation in its wake, though Dernburg’s claim that it had killed 300,000 people in 1906 is a bit outlandish.</w:t>
      </w:r>
      <w:r w:rsidR="00E22C66">
        <w:rPr>
          <w:rStyle w:val="FootnoteReference"/>
          <w:rFonts w:ascii="Times New Roman" w:hAnsi="Times New Roman" w:cs="Times New Roman"/>
        </w:rPr>
        <w:footnoteReference w:id="94"/>
      </w:r>
      <w:r w:rsidR="00E22C66">
        <w:rPr>
          <w:rFonts w:ascii="Times New Roman" w:hAnsi="Times New Roman" w:cs="Times New Roman"/>
        </w:rPr>
        <w:t xml:space="preserve"> At any rate, the disease was a serious threat, spreading into German East Africa first along the coasts of Lake Victoria from Uganda. It was not, however, recognized as such at first in the German colony, but by 1905 the reports from field doctors became increasingly severe, with suggestions that many were going to die, and that immediate defense against the disease was necessary.</w:t>
      </w:r>
      <w:r w:rsidR="00E22C66">
        <w:rPr>
          <w:rStyle w:val="FootnoteReference"/>
          <w:rFonts w:ascii="Times New Roman" w:hAnsi="Times New Roman" w:cs="Times New Roman"/>
        </w:rPr>
        <w:footnoteReference w:id="95"/>
      </w:r>
      <w:r w:rsidR="00962ADB">
        <w:rPr>
          <w:rFonts w:ascii="Times New Roman" w:hAnsi="Times New Roman" w:cs="Times New Roman"/>
        </w:rPr>
        <w:t xml:space="preserve"> These efforts that were attempted against sleeping sickness came in two forms, one medical, and one more physical. Medical efforts included especially chemotherapy, but this was in any case quite ineffective, with suggestions that only twenty percent of patients were cured, while most endured serious pain, and blindness occurred in others.</w:t>
      </w:r>
      <w:r w:rsidR="00962ADB">
        <w:rPr>
          <w:rStyle w:val="FootnoteReference"/>
          <w:rFonts w:ascii="Times New Roman" w:hAnsi="Times New Roman" w:cs="Times New Roman"/>
        </w:rPr>
        <w:footnoteReference w:id="96"/>
      </w:r>
      <w:r w:rsidR="00962ADB">
        <w:rPr>
          <w:rFonts w:ascii="Times New Roman" w:hAnsi="Times New Roman" w:cs="Times New Roman"/>
        </w:rPr>
        <w:t xml:space="preserve"> As was the case with malaria, when curing the disease proved impractical, other methods were attempted. However, given the much greater seriousness of sleeping sickness as compared to malaria, the costs were actually born, and the countermeasures were quite intense. For example, in multiple cases the sick were rounded up and placed in concentration camps</w:t>
      </w:r>
      <w:r w:rsidR="00BA1199">
        <w:rPr>
          <w:rFonts w:ascii="Times New Roman" w:hAnsi="Times New Roman" w:cs="Times New Roman"/>
        </w:rPr>
        <w:t>, though it is very important not to confuse these with the later holocaust variety.</w:t>
      </w:r>
      <w:r w:rsidR="00BA1199">
        <w:rPr>
          <w:rStyle w:val="FootnoteReference"/>
          <w:rFonts w:ascii="Times New Roman" w:hAnsi="Times New Roman" w:cs="Times New Roman"/>
        </w:rPr>
        <w:footnoteReference w:id="97"/>
      </w:r>
      <w:r w:rsidR="00BA1199">
        <w:rPr>
          <w:rFonts w:ascii="Times New Roman" w:hAnsi="Times New Roman" w:cs="Times New Roman"/>
        </w:rPr>
        <w:t xml:space="preserve"> </w:t>
      </w:r>
      <w:r w:rsidR="00681ECB">
        <w:rPr>
          <w:rFonts w:ascii="Times New Roman" w:hAnsi="Times New Roman" w:cs="Times New Roman"/>
        </w:rPr>
        <w:t xml:space="preserve">This sort of draconian measure was naturally resisted by the natives, who attempted to run from the disease screening agents. </w:t>
      </w:r>
      <w:r w:rsidR="00BA1199">
        <w:rPr>
          <w:rFonts w:ascii="Times New Roman" w:hAnsi="Times New Roman" w:cs="Times New Roman"/>
        </w:rPr>
        <w:t>In one particular case in Bukoba, on Lake Victoria, two villages were entirely abandoned when they heard about the medical experts coming, fleeing with all of their possessions and their cattle across the British border into Uganda.</w:t>
      </w:r>
      <w:r w:rsidR="00BA1199">
        <w:rPr>
          <w:rStyle w:val="FootnoteReference"/>
          <w:rFonts w:ascii="Times New Roman" w:hAnsi="Times New Roman" w:cs="Times New Roman"/>
        </w:rPr>
        <w:footnoteReference w:id="98"/>
      </w:r>
      <w:r w:rsidR="00BA1199">
        <w:rPr>
          <w:rFonts w:ascii="Times New Roman" w:hAnsi="Times New Roman" w:cs="Times New Roman"/>
        </w:rPr>
        <w:t xml:space="preserve"> This acceleration in the campaign followed Dernburg’s promised, and indeed picked up during his tenure in office, the two cases above being from 1909. The draconian containment policies continued afterwards, by the time Dernburg left office in 1910, multiple villages were being forcibly depopulated and burned</w:t>
      </w:r>
      <w:r w:rsidR="00A018AA">
        <w:rPr>
          <w:rFonts w:ascii="Times New Roman" w:hAnsi="Times New Roman" w:cs="Times New Roman"/>
        </w:rPr>
        <w:t>.</w:t>
      </w:r>
      <w:r w:rsidR="00A018AA">
        <w:rPr>
          <w:rStyle w:val="FootnoteReference"/>
          <w:rFonts w:ascii="Times New Roman" w:hAnsi="Times New Roman" w:cs="Times New Roman"/>
        </w:rPr>
        <w:footnoteReference w:id="99"/>
      </w:r>
      <w:r w:rsidR="00A018AA">
        <w:rPr>
          <w:rFonts w:ascii="Times New Roman" w:hAnsi="Times New Roman" w:cs="Times New Roman"/>
        </w:rPr>
        <w:t xml:space="preserve"> Even afterwards, efforts to control the </w:t>
      </w:r>
      <w:r w:rsidR="00A018AA">
        <w:rPr>
          <w:rFonts w:ascii="Times New Roman" w:hAnsi="Times New Roman" w:cs="Times New Roman"/>
          <w:i/>
        </w:rPr>
        <w:t>Glossina palpalis</w:t>
      </w:r>
      <w:r w:rsidR="00A018AA">
        <w:rPr>
          <w:rFonts w:ascii="Times New Roman" w:hAnsi="Times New Roman" w:cs="Times New Roman"/>
        </w:rPr>
        <w:t xml:space="preserve"> variety of tsetse fly that was understood to spread the disease remained stringent, with reports of 10,000 natives working to clear forests along the shores of Lake Tanganyika that were known tsetse </w:t>
      </w:r>
      <w:r w:rsidR="00A018AA">
        <w:rPr>
          <w:rFonts w:ascii="Times New Roman" w:hAnsi="Times New Roman" w:cs="Times New Roman"/>
        </w:rPr>
        <w:lastRenderedPageBreak/>
        <w:t>breeding grounds.</w:t>
      </w:r>
      <w:r w:rsidR="00A018AA">
        <w:rPr>
          <w:rStyle w:val="FootnoteReference"/>
          <w:rFonts w:ascii="Times New Roman" w:hAnsi="Times New Roman" w:cs="Times New Roman"/>
        </w:rPr>
        <w:footnoteReference w:id="100"/>
      </w:r>
      <w:r w:rsidR="00A018AA">
        <w:rPr>
          <w:rFonts w:ascii="Times New Roman" w:hAnsi="Times New Roman" w:cs="Times New Roman"/>
        </w:rPr>
        <w:t xml:space="preserve"> </w:t>
      </w:r>
      <w:r w:rsidR="00A02421">
        <w:rPr>
          <w:rFonts w:ascii="Times New Roman" w:hAnsi="Times New Roman" w:cs="Times New Roman"/>
        </w:rPr>
        <w:t xml:space="preserve">All of these attempts to control the disease were only mildly successful. While the catastrophic accounts of Dernburg were certainly not realized, and in places where the most </w:t>
      </w:r>
      <w:r w:rsidR="00BC1DB8">
        <w:rPr>
          <w:rFonts w:ascii="Times New Roman" w:hAnsi="Times New Roman" w:cs="Times New Roman"/>
        </w:rPr>
        <w:t>strict, and in some cases inhumane methods were used to combat the disease, like Shirati and Bukoba, the incidence of sleeping sickness declined during Dernburg’s term in office by ninety-nine percent.</w:t>
      </w:r>
      <w:r w:rsidR="00BC1DB8">
        <w:rPr>
          <w:rStyle w:val="FootnoteReference"/>
          <w:rFonts w:ascii="Times New Roman" w:hAnsi="Times New Roman" w:cs="Times New Roman"/>
        </w:rPr>
        <w:footnoteReference w:id="101"/>
      </w:r>
      <w:r w:rsidR="00BC1DB8">
        <w:rPr>
          <w:rFonts w:ascii="Times New Roman" w:hAnsi="Times New Roman" w:cs="Times New Roman"/>
        </w:rPr>
        <w:t xml:space="preserve"> However, at the same time, cases along Lake Tanganyika actually doubled, and new outbreaks of the disease were being recorded in the south of the colony, along the Ruvuma River. So, while the disease was far from contained, it did not cause the horrible devastation that it was capable of in Uganda, for example, where between 1896 and 1908 it is estimated that 200,000 people died of sleeping sickness.</w:t>
      </w:r>
      <w:r w:rsidR="00BC1DB8">
        <w:rPr>
          <w:rStyle w:val="FootnoteReference"/>
          <w:rFonts w:ascii="Times New Roman" w:hAnsi="Times New Roman" w:cs="Times New Roman"/>
        </w:rPr>
        <w:footnoteReference w:id="102"/>
      </w:r>
      <w:r w:rsidR="00BC1DB8">
        <w:rPr>
          <w:rFonts w:ascii="Times New Roman" w:hAnsi="Times New Roman" w:cs="Times New Roman"/>
        </w:rPr>
        <w:t xml:space="preserve"> In that light, the fight against the disease under Dernburg can and has been considered a general success, unlike malaria. Indeed, as claimed, the </w:t>
      </w:r>
      <w:r w:rsidR="00D57C26">
        <w:rPr>
          <w:rFonts w:ascii="Times New Roman" w:hAnsi="Times New Roman" w:cs="Times New Roman"/>
        </w:rPr>
        <w:t xml:space="preserve">German doctor was coming to the rescue of the natives. </w:t>
      </w:r>
    </w:p>
    <w:p w14:paraId="0210F5AB" w14:textId="68F54FE0" w:rsidR="00D57C26" w:rsidRDefault="00D57C26" w:rsidP="002D76C8">
      <w:pPr>
        <w:spacing w:line="360" w:lineRule="auto"/>
        <w:rPr>
          <w:rFonts w:ascii="Times New Roman" w:hAnsi="Times New Roman" w:cs="Times New Roman"/>
        </w:rPr>
      </w:pPr>
      <w:r>
        <w:rPr>
          <w:rFonts w:ascii="Times New Roman" w:hAnsi="Times New Roman" w:cs="Times New Roman"/>
        </w:rPr>
        <w:tab/>
        <w:t xml:space="preserve">A third major disease that was combatted with serious resources in German East Africa during this time was smallpox, although it was not specifically mentioned as a target by Dernburg in his campaign speeches. </w:t>
      </w:r>
      <w:r w:rsidR="00A67B48">
        <w:rPr>
          <w:rFonts w:ascii="Times New Roman" w:hAnsi="Times New Roman" w:cs="Times New Roman"/>
        </w:rPr>
        <w:t>Like malaria and unlike sleeping sickness, smallpox had been a serious problem for centuries, and by one estimate, every second African had the telltale pock-marked complexion.</w:t>
      </w:r>
      <w:r w:rsidR="00A67B48">
        <w:rPr>
          <w:rStyle w:val="FootnoteReference"/>
          <w:rFonts w:ascii="Times New Roman" w:hAnsi="Times New Roman" w:cs="Times New Roman"/>
        </w:rPr>
        <w:footnoteReference w:id="103"/>
      </w:r>
      <w:r w:rsidR="00C97D68">
        <w:rPr>
          <w:rFonts w:ascii="Times New Roman" w:hAnsi="Times New Roman" w:cs="Times New Roman"/>
        </w:rPr>
        <w:t xml:space="preserve"> Large-scale campaigns to vaccinate natives began in 1898</w:t>
      </w:r>
      <w:r w:rsidR="009476E0">
        <w:rPr>
          <w:rFonts w:ascii="Times New Roman" w:hAnsi="Times New Roman" w:cs="Times New Roman"/>
        </w:rPr>
        <w:t>, with something like 200,000 vaccinations given by 1904. This process was scaled up massively during Dernburg’s time in office, with suggestions of nearly four million vaccinations between 1909 and 1914.</w:t>
      </w:r>
      <w:r w:rsidR="009476E0">
        <w:rPr>
          <w:rStyle w:val="FootnoteReference"/>
          <w:rFonts w:ascii="Times New Roman" w:hAnsi="Times New Roman" w:cs="Times New Roman"/>
        </w:rPr>
        <w:footnoteReference w:id="104"/>
      </w:r>
      <w:r w:rsidR="009476E0">
        <w:rPr>
          <w:rFonts w:ascii="Times New Roman" w:hAnsi="Times New Roman" w:cs="Times New Roman"/>
        </w:rPr>
        <w:t xml:space="preserve"> This would suggest that fully half of the population of German East Africa had been vaccinated by 1914. </w:t>
      </w:r>
      <w:r w:rsidR="009A4F05">
        <w:rPr>
          <w:rFonts w:ascii="Times New Roman" w:hAnsi="Times New Roman" w:cs="Times New Roman"/>
        </w:rPr>
        <w:t>These campaigns, as was seen with sleeping sickness, did not necessarily run smoothly, and often the natives would run from the doctors in fear or rise in revolt.</w:t>
      </w:r>
      <w:r w:rsidR="009A4F05">
        <w:rPr>
          <w:rStyle w:val="FootnoteReference"/>
          <w:rFonts w:ascii="Times New Roman" w:hAnsi="Times New Roman" w:cs="Times New Roman"/>
        </w:rPr>
        <w:footnoteReference w:id="105"/>
      </w:r>
      <w:r w:rsidR="009A4F05">
        <w:rPr>
          <w:rFonts w:ascii="Times New Roman" w:hAnsi="Times New Roman" w:cs="Times New Roman"/>
        </w:rPr>
        <w:t xml:space="preserve"> The</w:t>
      </w:r>
      <w:r w:rsidR="009476E0">
        <w:rPr>
          <w:rFonts w:ascii="Times New Roman" w:hAnsi="Times New Roman" w:cs="Times New Roman"/>
        </w:rPr>
        <w:t xml:space="preserve"> statistics</w:t>
      </w:r>
      <w:r w:rsidR="009A4F05">
        <w:rPr>
          <w:rFonts w:ascii="Times New Roman" w:hAnsi="Times New Roman" w:cs="Times New Roman"/>
        </w:rPr>
        <w:t>, however,</w:t>
      </w:r>
      <w:r w:rsidR="009476E0">
        <w:rPr>
          <w:rFonts w:ascii="Times New Roman" w:hAnsi="Times New Roman" w:cs="Times New Roman"/>
        </w:rPr>
        <w:t xml:space="preserve"> are impressive, to say the very least, and would certainly indicate the sort of authoritarian cleansing of the Augean stables that the colonial thesis on the Dernburg reform era suggests, were it not for a minor quirk. As was mentioned before, Dernburg did not actually suggest that he was going to seriously combat smallpox, and furthermore, the massive rise in vaccinations was not due to any sort of official intervention or pressure, as was certainly given in regard to sleeping sickness. </w:t>
      </w:r>
      <w:r w:rsidR="009476E0">
        <w:rPr>
          <w:rFonts w:ascii="Times New Roman" w:hAnsi="Times New Roman" w:cs="Times New Roman"/>
        </w:rPr>
        <w:lastRenderedPageBreak/>
        <w:t xml:space="preserve">Instead, it was a medical advance that occurred in 1909, during the supposed </w:t>
      </w:r>
      <w:r w:rsidR="00F25270">
        <w:rPr>
          <w:rFonts w:ascii="Times New Roman" w:hAnsi="Times New Roman" w:cs="Times New Roman"/>
        </w:rPr>
        <w:t xml:space="preserve">reform period, namely the ability to produce the lymph that was needed for the vaccine, which made total vaccination cheap and effective. In this way, disease prevention under Dernburg was somewhat of a mixed bag. While there were definite successes, and conditions for the natives in the colony did improve, it was not all the colonial secretary’s doing, and it would be wrong to see his term in office as any serious turning point in the fight against diseases in the colony generally. </w:t>
      </w:r>
      <w:r w:rsidR="001E5305">
        <w:rPr>
          <w:rFonts w:ascii="Times New Roman" w:hAnsi="Times New Roman" w:cs="Times New Roman"/>
        </w:rPr>
        <w:t>More importantly perhaps, is the reason that Dernburg needed to fight diseases in the first place. If the colonies were to be productive resource bases of the German Empire, the African labor that would make it so certainly could not be dying off. As will be seen in the rest of this chapter, all social improvement</w:t>
      </w:r>
      <w:r w:rsidR="00297249">
        <w:rPr>
          <w:rFonts w:ascii="Times New Roman" w:hAnsi="Times New Roman" w:cs="Times New Roman"/>
        </w:rPr>
        <w:t>s</w:t>
      </w:r>
      <w:r w:rsidR="001E5305">
        <w:rPr>
          <w:rFonts w:ascii="Times New Roman" w:hAnsi="Times New Roman" w:cs="Times New Roman"/>
        </w:rPr>
        <w:t xml:space="preserve"> were in one way or another linked to the larger goal of labor creation for what can be seen as Dernburg’s clearest aim, a primary resource producing colony. </w:t>
      </w:r>
      <w:r w:rsidR="00297249">
        <w:rPr>
          <w:rFonts w:ascii="Times New Roman" w:hAnsi="Times New Roman" w:cs="Times New Roman"/>
        </w:rPr>
        <w:t xml:space="preserve">This does not imply that this sort of change is not reform in the sense that Dernburg meant it, but it does run counter to the notion of raising the native. </w:t>
      </w:r>
    </w:p>
    <w:p w14:paraId="3125AD08" w14:textId="77777777" w:rsidR="000E01FB" w:rsidRDefault="000E01FB" w:rsidP="002D76C8">
      <w:pPr>
        <w:spacing w:line="360" w:lineRule="auto"/>
        <w:rPr>
          <w:rFonts w:ascii="Times New Roman" w:hAnsi="Times New Roman" w:cs="Times New Roman"/>
        </w:rPr>
      </w:pPr>
    </w:p>
    <w:p w14:paraId="0D6BCCB8" w14:textId="7B995F3E" w:rsidR="000E01FB" w:rsidRPr="004E22F3" w:rsidRDefault="000E01FB" w:rsidP="002D76C8">
      <w:pPr>
        <w:spacing w:line="360" w:lineRule="auto"/>
        <w:jc w:val="center"/>
        <w:rPr>
          <w:rFonts w:ascii="Times New Roman" w:hAnsi="Times New Roman" w:cs="Times New Roman"/>
          <w:b/>
        </w:rPr>
      </w:pPr>
      <w:r w:rsidRPr="004E22F3">
        <w:rPr>
          <w:rFonts w:ascii="Times New Roman" w:hAnsi="Times New Roman" w:cs="Times New Roman"/>
          <w:b/>
        </w:rPr>
        <w:t>Education</w:t>
      </w:r>
    </w:p>
    <w:p w14:paraId="45E7DAC3" w14:textId="77777777" w:rsidR="000E01FB" w:rsidRDefault="000E01FB" w:rsidP="002D76C8">
      <w:pPr>
        <w:spacing w:line="360" w:lineRule="auto"/>
        <w:jc w:val="center"/>
        <w:rPr>
          <w:rFonts w:ascii="Times New Roman" w:hAnsi="Times New Roman" w:cs="Times New Roman"/>
        </w:rPr>
      </w:pPr>
    </w:p>
    <w:p w14:paraId="6AC053D0" w14:textId="39C10EC9" w:rsidR="000E01FB" w:rsidRDefault="000E01FB" w:rsidP="002D76C8">
      <w:pPr>
        <w:spacing w:line="360" w:lineRule="auto"/>
        <w:rPr>
          <w:rFonts w:ascii="Times New Roman" w:hAnsi="Times New Roman" w:cs="Times New Roman"/>
        </w:rPr>
      </w:pPr>
      <w:r>
        <w:rPr>
          <w:rFonts w:ascii="Times New Roman" w:hAnsi="Times New Roman" w:cs="Times New Roman"/>
        </w:rPr>
        <w:tab/>
      </w:r>
      <w:r w:rsidR="005A4233">
        <w:rPr>
          <w:rFonts w:ascii="Times New Roman" w:hAnsi="Times New Roman" w:cs="Times New Roman"/>
        </w:rPr>
        <w:t>While Dernburg does not give any serious details about his intentions in regard to educating the natives, it was definitely an important part of German policy in their East African colony, not least because of the importance of missions and mission schools to the Zentrum</w:t>
      </w:r>
      <w:r w:rsidR="00F94BB2">
        <w:rPr>
          <w:rFonts w:ascii="Times New Roman" w:hAnsi="Times New Roman" w:cs="Times New Roman"/>
        </w:rPr>
        <w:t xml:space="preserve">. However, the importance of education under the supposed Dernburg reform period is its position in the historiography. Oftentimes, education is taken as one of the examples of the successes of the reform period, and especially a success that grew out of the definitive shift in policy after Dernburg came into office as colonial secretary. This is best illustrated in Iliffe’s work, </w:t>
      </w:r>
      <w:r w:rsidR="00F94BB2">
        <w:rPr>
          <w:rFonts w:ascii="Times New Roman" w:hAnsi="Times New Roman" w:cs="Times New Roman"/>
          <w:i/>
        </w:rPr>
        <w:t>Tanganyika under German Rule</w:t>
      </w:r>
      <w:r w:rsidR="00F94BB2">
        <w:rPr>
          <w:rFonts w:ascii="Times New Roman" w:hAnsi="Times New Roman" w:cs="Times New Roman"/>
        </w:rPr>
        <w:t xml:space="preserve">, in which he </w:t>
      </w:r>
      <w:r w:rsidR="00975E02">
        <w:rPr>
          <w:rFonts w:ascii="Times New Roman" w:hAnsi="Times New Roman" w:cs="Times New Roman"/>
        </w:rPr>
        <w:t>posits that in the “age of improvement” which followed Dernburg’s appointment, the most important form of improvement was western education.</w:t>
      </w:r>
      <w:r w:rsidR="00975E02">
        <w:rPr>
          <w:rStyle w:val="FootnoteReference"/>
          <w:rFonts w:ascii="Times New Roman" w:hAnsi="Times New Roman" w:cs="Times New Roman"/>
        </w:rPr>
        <w:footnoteReference w:id="106"/>
      </w:r>
      <w:r w:rsidR="00975E02">
        <w:rPr>
          <w:rFonts w:ascii="Times New Roman" w:hAnsi="Times New Roman" w:cs="Times New Roman"/>
        </w:rPr>
        <w:t xml:space="preserve"> </w:t>
      </w:r>
      <w:r w:rsidR="00DC3F4C">
        <w:rPr>
          <w:rFonts w:ascii="Times New Roman" w:hAnsi="Times New Roman" w:cs="Times New Roman"/>
        </w:rPr>
        <w:t>Iliffe’s argumentation runs that this provided social mobility to Africans</w:t>
      </w:r>
      <w:r w:rsidR="000B64E8">
        <w:rPr>
          <w:rFonts w:ascii="Times New Roman" w:hAnsi="Times New Roman" w:cs="Times New Roman"/>
        </w:rPr>
        <w:t>, but in practice all that seems to be shown are minor groups advancing to dominate others through education, largely as part of the German administration.</w:t>
      </w:r>
      <w:r w:rsidR="000B64E8">
        <w:rPr>
          <w:rStyle w:val="FootnoteReference"/>
          <w:rFonts w:ascii="Times New Roman" w:hAnsi="Times New Roman" w:cs="Times New Roman"/>
        </w:rPr>
        <w:footnoteReference w:id="107"/>
      </w:r>
      <w:r w:rsidR="000B64E8">
        <w:rPr>
          <w:rFonts w:ascii="Times New Roman" w:hAnsi="Times New Roman" w:cs="Times New Roman"/>
        </w:rPr>
        <w:t xml:space="preserve"> Given that he describes his age of improvement as one of Africans improving their societies, the exchange of one set of rulers for a new European-educated set can hardly be considered as a serious gain.</w:t>
      </w:r>
      <w:r w:rsidR="000B64E8">
        <w:rPr>
          <w:rStyle w:val="FootnoteReference"/>
          <w:rFonts w:ascii="Times New Roman" w:hAnsi="Times New Roman" w:cs="Times New Roman"/>
        </w:rPr>
        <w:footnoteReference w:id="108"/>
      </w:r>
      <w:r w:rsidR="000B64E8">
        <w:rPr>
          <w:rFonts w:ascii="Times New Roman" w:hAnsi="Times New Roman" w:cs="Times New Roman"/>
        </w:rPr>
        <w:t xml:space="preserve"> Grant</w:t>
      </w:r>
      <w:r w:rsidR="00747329">
        <w:rPr>
          <w:rFonts w:ascii="Times New Roman" w:hAnsi="Times New Roman" w:cs="Times New Roman"/>
        </w:rPr>
        <w:t>ed, there</w:t>
      </w:r>
      <w:r w:rsidR="000B64E8">
        <w:rPr>
          <w:rFonts w:ascii="Times New Roman" w:hAnsi="Times New Roman" w:cs="Times New Roman"/>
        </w:rPr>
        <w:t xml:space="preserve"> was a rise in education in the later part of German rule, as </w:t>
      </w:r>
      <w:r w:rsidR="000B64E8">
        <w:rPr>
          <w:rFonts w:ascii="Times New Roman" w:hAnsi="Times New Roman" w:cs="Times New Roman"/>
        </w:rPr>
        <w:lastRenderedPageBreak/>
        <w:t>evidenced in British reports on widespread literacy in the colony.</w:t>
      </w:r>
      <w:r w:rsidR="000B64E8">
        <w:rPr>
          <w:rStyle w:val="FootnoteReference"/>
          <w:rFonts w:ascii="Times New Roman" w:hAnsi="Times New Roman" w:cs="Times New Roman"/>
        </w:rPr>
        <w:footnoteReference w:id="109"/>
      </w:r>
      <w:r w:rsidR="00747329">
        <w:rPr>
          <w:rFonts w:ascii="Times New Roman" w:hAnsi="Times New Roman" w:cs="Times New Roman"/>
        </w:rPr>
        <w:t xml:space="preserve"> But this rise is more complicated than improvement during and after Dernburg’s time in office. Rather, improvements that did happen began earlier, and at any rate were not generally designed to particularly raise the African native.</w:t>
      </w:r>
    </w:p>
    <w:p w14:paraId="3E611561" w14:textId="1DD8ACD4" w:rsidR="00747329" w:rsidRDefault="00747329" w:rsidP="002D76C8">
      <w:pPr>
        <w:spacing w:line="360" w:lineRule="auto"/>
        <w:rPr>
          <w:rFonts w:ascii="Times New Roman" w:hAnsi="Times New Roman" w:cs="Times New Roman"/>
        </w:rPr>
      </w:pPr>
      <w:r>
        <w:rPr>
          <w:rFonts w:ascii="Times New Roman" w:hAnsi="Times New Roman" w:cs="Times New Roman"/>
        </w:rPr>
        <w:tab/>
      </w:r>
      <w:r w:rsidR="00B845AB">
        <w:rPr>
          <w:rFonts w:ascii="Times New Roman" w:hAnsi="Times New Roman" w:cs="Times New Roman"/>
        </w:rPr>
        <w:t xml:space="preserve">Education began early in German East Africa, but it was complicated in that it came from two sources that were working essentially at cross-purposes. On the one hand were the missions, whose goal was unsurprisingly maximum conversion, of which education was seen as an integral part, especially in learning and disseminating the word of god. On the other hand was the government, which due to its serious financial constraints, needed to train an adequate body of underlings within the colonial society that might be able to work and function for them. </w:t>
      </w:r>
      <w:r w:rsidR="00105BE0">
        <w:rPr>
          <w:rFonts w:ascii="Times New Roman" w:hAnsi="Times New Roman" w:cs="Times New Roman"/>
        </w:rPr>
        <w:t>As was the case in colonies across Africa with large Islamic populations, the administration and missions came into conflict over many aspects of policy, for while the administration was content to take the easiest route and rule through the Muslim elites, the missions were attempting to break down the societies they encountered in order to Christianize and civilize them.</w:t>
      </w:r>
      <w:r w:rsidR="00105BE0">
        <w:rPr>
          <w:rStyle w:val="FootnoteReference"/>
          <w:rFonts w:ascii="Times New Roman" w:hAnsi="Times New Roman" w:cs="Times New Roman"/>
        </w:rPr>
        <w:footnoteReference w:id="110"/>
      </w:r>
      <w:r w:rsidR="00105BE0">
        <w:rPr>
          <w:rFonts w:ascii="Times New Roman" w:hAnsi="Times New Roman" w:cs="Times New Roman"/>
        </w:rPr>
        <w:t xml:space="preserve"> </w:t>
      </w:r>
      <w:r w:rsidR="004D0030">
        <w:rPr>
          <w:rFonts w:ascii="Times New Roman" w:hAnsi="Times New Roman" w:cs="Times New Roman"/>
        </w:rPr>
        <w:t xml:space="preserve">The </w:t>
      </w:r>
      <w:r w:rsidR="00105BE0">
        <w:rPr>
          <w:rFonts w:ascii="Times New Roman" w:hAnsi="Times New Roman" w:cs="Times New Roman"/>
        </w:rPr>
        <w:t>animosity was clearly evident, for example</w:t>
      </w:r>
      <w:r w:rsidR="004D0030">
        <w:rPr>
          <w:rFonts w:ascii="Times New Roman" w:hAnsi="Times New Roman" w:cs="Times New Roman"/>
        </w:rPr>
        <w:t xml:space="preserve"> in the outcry caused by the placement of a Muslim teacher in the government school at Tanga by missionary groups, which eventually forced the government to remove the teacher in question.</w:t>
      </w:r>
      <w:r w:rsidR="004D0030">
        <w:rPr>
          <w:rStyle w:val="FootnoteReference"/>
          <w:rFonts w:ascii="Times New Roman" w:hAnsi="Times New Roman" w:cs="Times New Roman"/>
        </w:rPr>
        <w:footnoteReference w:id="111"/>
      </w:r>
      <w:r w:rsidR="004D0030">
        <w:rPr>
          <w:rFonts w:ascii="Times New Roman" w:hAnsi="Times New Roman" w:cs="Times New Roman"/>
        </w:rPr>
        <w:t xml:space="preserve"> Whereas the disconnect between the government and its missionaries caused problems in many colonies, that problem was solved by an extensive compromise between the government and the missions on the issue of education, known as the Benedictine agreement. </w:t>
      </w:r>
      <w:r w:rsidR="00D6175D">
        <w:rPr>
          <w:rFonts w:ascii="Times New Roman" w:hAnsi="Times New Roman" w:cs="Times New Roman"/>
        </w:rPr>
        <w:t xml:space="preserve">This informal agreement, which was reached between the government and certain mission groups in 1900, meant that they would collaborate rather than compete within the colony. </w:t>
      </w:r>
      <w:r w:rsidR="00502C24">
        <w:rPr>
          <w:rFonts w:ascii="Times New Roman" w:hAnsi="Times New Roman" w:cs="Times New Roman"/>
        </w:rPr>
        <w:t>The essence of the agreement was that missions would henceforth expand their curriculum in order to promote the creation of workable colonial officials, while cutting back on their activities along the mostly Islamic coastal areas, where their work often caused conflict. For its part, the government would not found schools in areas already occupied by missions, and would give financial support to schools which helped raise colonial officials.</w:t>
      </w:r>
      <w:r w:rsidR="00502C24">
        <w:rPr>
          <w:rStyle w:val="FootnoteReference"/>
          <w:rFonts w:ascii="Times New Roman" w:hAnsi="Times New Roman" w:cs="Times New Roman"/>
        </w:rPr>
        <w:footnoteReference w:id="112"/>
      </w:r>
      <w:r w:rsidR="00502C24">
        <w:rPr>
          <w:rFonts w:ascii="Times New Roman" w:hAnsi="Times New Roman" w:cs="Times New Roman"/>
        </w:rPr>
        <w:t xml:space="preserve"> This compromise situation was far from perfect, and some missionaries complained that should they follow the government’s suggestions on curriculum, there, “would be no more </w:t>
      </w:r>
      <w:r w:rsidR="00502C24">
        <w:rPr>
          <w:rFonts w:ascii="Times New Roman" w:hAnsi="Times New Roman" w:cs="Times New Roman"/>
        </w:rPr>
        <w:lastRenderedPageBreak/>
        <w:t>room in [their] lessons for the most important subject, religion.”</w:t>
      </w:r>
      <w:r w:rsidR="00502C24">
        <w:rPr>
          <w:rStyle w:val="FootnoteReference"/>
          <w:rFonts w:ascii="Times New Roman" w:hAnsi="Times New Roman" w:cs="Times New Roman"/>
        </w:rPr>
        <w:footnoteReference w:id="113"/>
      </w:r>
      <w:r w:rsidR="00502C24">
        <w:rPr>
          <w:rFonts w:ascii="Times New Roman" w:hAnsi="Times New Roman" w:cs="Times New Roman"/>
        </w:rPr>
        <w:t xml:space="preserve"> These problems could be overcome in with local compromises however, as in one case where Governor von Götzen offered fifty rupees for each suitable official that a missionary school produced.</w:t>
      </w:r>
      <w:r w:rsidR="00502C24">
        <w:rPr>
          <w:rStyle w:val="FootnoteReference"/>
          <w:rFonts w:ascii="Times New Roman" w:hAnsi="Times New Roman" w:cs="Times New Roman"/>
        </w:rPr>
        <w:footnoteReference w:id="114"/>
      </w:r>
      <w:r w:rsidR="00502C24">
        <w:rPr>
          <w:rFonts w:ascii="Times New Roman" w:hAnsi="Times New Roman" w:cs="Times New Roman"/>
        </w:rPr>
        <w:t xml:space="preserve"> This collaboration coincided with a rise of compulsion in education that the government no longer feared now that the missions were teaching a more useful curriculum. </w:t>
      </w:r>
      <w:r w:rsidR="00441BF4">
        <w:rPr>
          <w:rFonts w:ascii="Times New Roman" w:hAnsi="Times New Roman" w:cs="Times New Roman"/>
        </w:rPr>
        <w:t xml:space="preserve">Part of the reason for this cooperation was the growing need among all sectors to produce viable workers for the plantations that were growing in number to produce the raw materials needed by the metropole </w:t>
      </w:r>
      <w:r w:rsidR="00441BF4">
        <w:rPr>
          <w:rFonts w:ascii="Times New Roman" w:hAnsi="Times New Roman" w:cs="Times New Roman"/>
          <w:i/>
        </w:rPr>
        <w:t>before</w:t>
      </w:r>
      <w:r w:rsidR="00441BF4">
        <w:rPr>
          <w:rFonts w:ascii="Times New Roman" w:hAnsi="Times New Roman" w:cs="Times New Roman"/>
        </w:rPr>
        <w:t xml:space="preserve"> Dernburg came into office. As Koponen puts it, the Africans were to be “educated for work,” not educated for the sake of lifting the natives.</w:t>
      </w:r>
      <w:r w:rsidR="00441BF4">
        <w:rPr>
          <w:rStyle w:val="FootnoteReference"/>
          <w:rFonts w:ascii="Times New Roman" w:hAnsi="Times New Roman" w:cs="Times New Roman"/>
        </w:rPr>
        <w:footnoteReference w:id="115"/>
      </w:r>
      <w:r w:rsidR="00441BF4">
        <w:rPr>
          <w:rFonts w:ascii="Times New Roman" w:hAnsi="Times New Roman" w:cs="Times New Roman"/>
        </w:rPr>
        <w:t xml:space="preserve"> In fact, Dernburg implies in his speeches exactly that, or rather that the over-education of the Africans in America had been a serious policy mistake.</w:t>
      </w:r>
      <w:r w:rsidR="00441BF4">
        <w:rPr>
          <w:rStyle w:val="FootnoteReference"/>
          <w:rFonts w:ascii="Times New Roman" w:hAnsi="Times New Roman" w:cs="Times New Roman"/>
        </w:rPr>
        <w:footnoteReference w:id="116"/>
      </w:r>
      <w:r w:rsidR="00E9184A">
        <w:rPr>
          <w:rFonts w:ascii="Times New Roman" w:hAnsi="Times New Roman" w:cs="Times New Roman"/>
        </w:rPr>
        <w:t xml:space="preserve"> Now, this is not to say that the education program that occurred under German rule did not benefit the Africans to some degree. As has been noted, literacy did rise impressively, and by the end of German rule, Africans no longer needed compulsion to attend school, but in some cases demanded it after seeing the social benefits it bestowed on them within the colonial setting.</w:t>
      </w:r>
      <w:r w:rsidR="00E9184A">
        <w:rPr>
          <w:rStyle w:val="FootnoteReference"/>
          <w:rFonts w:ascii="Times New Roman" w:hAnsi="Times New Roman" w:cs="Times New Roman"/>
        </w:rPr>
        <w:footnoteReference w:id="117"/>
      </w:r>
      <w:r w:rsidR="00E9184A">
        <w:rPr>
          <w:rFonts w:ascii="Times New Roman" w:hAnsi="Times New Roman" w:cs="Times New Roman"/>
        </w:rPr>
        <w:t xml:space="preserve"> The point then is that the rise in the efficiency of the educational system in German East Africa began much earlier than the supposed reform period, and had very little to do with Dernburg himself. </w:t>
      </w:r>
    </w:p>
    <w:p w14:paraId="5EFDCE02" w14:textId="77777777" w:rsidR="00E9184A" w:rsidRDefault="00E9184A" w:rsidP="002D76C8">
      <w:pPr>
        <w:spacing w:line="360" w:lineRule="auto"/>
        <w:rPr>
          <w:rFonts w:ascii="Times New Roman" w:hAnsi="Times New Roman" w:cs="Times New Roman"/>
        </w:rPr>
      </w:pPr>
    </w:p>
    <w:p w14:paraId="0B4B7A28" w14:textId="77777777" w:rsidR="002A0174" w:rsidRPr="004E22F3" w:rsidRDefault="002A0174" w:rsidP="002D76C8">
      <w:pPr>
        <w:spacing w:line="360" w:lineRule="auto"/>
        <w:jc w:val="center"/>
        <w:rPr>
          <w:rFonts w:ascii="Times New Roman" w:hAnsi="Times New Roman" w:cs="Times New Roman"/>
          <w:b/>
        </w:rPr>
      </w:pPr>
      <w:r w:rsidRPr="004E22F3">
        <w:rPr>
          <w:rFonts w:ascii="Times New Roman" w:hAnsi="Times New Roman" w:cs="Times New Roman"/>
          <w:b/>
        </w:rPr>
        <w:t>Slavery</w:t>
      </w:r>
    </w:p>
    <w:p w14:paraId="699A056E" w14:textId="77777777" w:rsidR="002A0174" w:rsidRDefault="002A0174" w:rsidP="002D76C8">
      <w:pPr>
        <w:spacing w:line="360" w:lineRule="auto"/>
        <w:jc w:val="center"/>
        <w:rPr>
          <w:rFonts w:ascii="Times New Roman" w:hAnsi="Times New Roman" w:cs="Times New Roman"/>
        </w:rPr>
      </w:pPr>
    </w:p>
    <w:p w14:paraId="133DA7C8" w14:textId="142FC505" w:rsidR="00E9184A" w:rsidRDefault="002A0174" w:rsidP="002D76C8">
      <w:pPr>
        <w:spacing w:line="360" w:lineRule="auto"/>
        <w:rPr>
          <w:rFonts w:ascii="Times New Roman" w:hAnsi="Times New Roman" w:cs="Times New Roman"/>
        </w:rPr>
      </w:pPr>
      <w:r>
        <w:rPr>
          <w:rFonts w:ascii="Times New Roman" w:hAnsi="Times New Roman" w:cs="Times New Roman"/>
        </w:rPr>
        <w:tab/>
        <w:t>Another way in which to analyze the reform period, in terms of raising the condition of the natives, would naturally be the presence of slavery in German East Africa. Dernburg boasted in his speeches that, “slavery – God be praised – has been abolished.”</w:t>
      </w:r>
      <w:r>
        <w:rPr>
          <w:rStyle w:val="FootnoteReference"/>
          <w:rFonts w:ascii="Times New Roman" w:hAnsi="Times New Roman" w:cs="Times New Roman"/>
        </w:rPr>
        <w:footnoteReference w:id="118"/>
      </w:r>
      <w:r>
        <w:rPr>
          <w:rFonts w:ascii="Times New Roman" w:hAnsi="Times New Roman" w:cs="Times New Roman"/>
        </w:rPr>
        <w:t xml:space="preserve"> The fact that this statement was blatantly false opens up the reform period to a line of attack that has only been made recently possible by modern scholars</w:t>
      </w:r>
      <w:r w:rsidR="00444980">
        <w:rPr>
          <w:rFonts w:ascii="Times New Roman" w:hAnsi="Times New Roman" w:cs="Times New Roman"/>
        </w:rPr>
        <w:t>.</w:t>
      </w:r>
      <w:r w:rsidR="00C140CF">
        <w:rPr>
          <w:rFonts w:ascii="Times New Roman" w:hAnsi="Times New Roman" w:cs="Times New Roman"/>
        </w:rPr>
        <w:t xml:space="preserve"> The problem with previous works, and notably that of Iliffe, is that they are largely silent on the issue of slavery under German rule, seeing it as declining along with the general decline of the Arab slave trade in the area.</w:t>
      </w:r>
      <w:r w:rsidR="00C140CF">
        <w:rPr>
          <w:rStyle w:val="FootnoteReference"/>
          <w:rFonts w:ascii="Times New Roman" w:hAnsi="Times New Roman" w:cs="Times New Roman"/>
        </w:rPr>
        <w:footnoteReference w:id="119"/>
      </w:r>
      <w:r w:rsidR="00C140CF">
        <w:rPr>
          <w:rFonts w:ascii="Times New Roman" w:hAnsi="Times New Roman" w:cs="Times New Roman"/>
        </w:rPr>
        <w:t xml:space="preserve"> In some respects, this gap in early histories helps to show why the period might be seen as one </w:t>
      </w:r>
      <w:r w:rsidR="00C140CF">
        <w:rPr>
          <w:rFonts w:ascii="Times New Roman" w:hAnsi="Times New Roman" w:cs="Times New Roman"/>
        </w:rPr>
        <w:lastRenderedPageBreak/>
        <w:t xml:space="preserve">of reform. The fact is though, that unlike the British and the French, the Germans never actually </w:t>
      </w:r>
      <w:r w:rsidR="00F66177">
        <w:rPr>
          <w:rFonts w:ascii="Times New Roman" w:hAnsi="Times New Roman" w:cs="Times New Roman"/>
        </w:rPr>
        <w:t>abolished slavery in its entirety.</w:t>
      </w:r>
      <w:r w:rsidR="00F66177">
        <w:rPr>
          <w:rStyle w:val="FootnoteReference"/>
          <w:rFonts w:ascii="Times New Roman" w:hAnsi="Times New Roman" w:cs="Times New Roman"/>
        </w:rPr>
        <w:footnoteReference w:id="120"/>
      </w:r>
      <w:r w:rsidR="00C140CF">
        <w:rPr>
          <w:rFonts w:ascii="Times New Roman" w:hAnsi="Times New Roman" w:cs="Times New Roman"/>
        </w:rPr>
        <w:t xml:space="preserve"> To be fair, slavery did decline substantially under German rule in East Africa. According to some estimates, the institution comprised as many as 400,000 people in 1900 to 150,000 in 1914, representing a proportional drop in the population of slaves from ten to four percent of the total population of the German colony.</w:t>
      </w:r>
      <w:r w:rsidR="00C140CF">
        <w:rPr>
          <w:rStyle w:val="FootnoteReference"/>
          <w:rFonts w:ascii="Times New Roman" w:hAnsi="Times New Roman" w:cs="Times New Roman"/>
        </w:rPr>
        <w:footnoteReference w:id="121"/>
      </w:r>
      <w:r w:rsidR="00C140CF">
        <w:rPr>
          <w:rFonts w:ascii="Times New Roman" w:hAnsi="Times New Roman" w:cs="Times New Roman"/>
        </w:rPr>
        <w:t xml:space="preserve"> </w:t>
      </w:r>
      <w:r w:rsidR="00F66177">
        <w:rPr>
          <w:rFonts w:ascii="Times New Roman" w:hAnsi="Times New Roman" w:cs="Times New Roman"/>
        </w:rPr>
        <w:t xml:space="preserve">Furthermore, under German rule there were definitive steps taken against slavery. These came in the form of three particular ordinances. The first of these was set out in 1891. </w:t>
      </w:r>
      <w:r w:rsidR="000E100C">
        <w:rPr>
          <w:rFonts w:ascii="Times New Roman" w:hAnsi="Times New Roman" w:cs="Times New Roman"/>
        </w:rPr>
        <w:t>This ordinance stated that slaves could be ransomed free, but only with the right German government documents, and that those that did not have said documents would be returned to their masters. It also protected the rights of the slaves, to a certain degree, but in large part upheld the rights of the masters.</w:t>
      </w:r>
      <w:r w:rsidR="000E100C">
        <w:rPr>
          <w:rStyle w:val="FootnoteReference"/>
          <w:rFonts w:ascii="Times New Roman" w:hAnsi="Times New Roman" w:cs="Times New Roman"/>
        </w:rPr>
        <w:footnoteReference w:id="122"/>
      </w:r>
      <w:r w:rsidR="000E100C">
        <w:rPr>
          <w:rFonts w:ascii="Times New Roman" w:hAnsi="Times New Roman" w:cs="Times New Roman"/>
        </w:rPr>
        <w:t xml:space="preserve"> </w:t>
      </w:r>
      <w:r w:rsidR="00841E87">
        <w:rPr>
          <w:rFonts w:ascii="Times New Roman" w:hAnsi="Times New Roman" w:cs="Times New Roman"/>
        </w:rPr>
        <w:t xml:space="preserve">There are several reasons for this, as can especially be seen in the writings of the governors of the colony. </w:t>
      </w:r>
      <w:r w:rsidR="00CD7259">
        <w:rPr>
          <w:rFonts w:ascii="Times New Roman" w:hAnsi="Times New Roman" w:cs="Times New Roman"/>
        </w:rPr>
        <w:t>While an early governor, Schele, claimed abolition was impracticable due to the economic consequences it would have, Liebert, one of his successors, cited the political support that was needed from the slave-owners.</w:t>
      </w:r>
      <w:r w:rsidR="00CD7259">
        <w:rPr>
          <w:rStyle w:val="FootnoteReference"/>
          <w:rFonts w:ascii="Times New Roman" w:hAnsi="Times New Roman" w:cs="Times New Roman"/>
        </w:rPr>
        <w:footnoteReference w:id="123"/>
      </w:r>
      <w:r w:rsidR="00CD7259">
        <w:rPr>
          <w:rFonts w:ascii="Times New Roman" w:hAnsi="Times New Roman" w:cs="Times New Roman"/>
        </w:rPr>
        <w:t xml:space="preserve"> Even by the time of Götzen, just before Dernburg’s time as colonial secretary</w:t>
      </w:r>
      <w:r w:rsidR="00E815E1">
        <w:rPr>
          <w:rFonts w:ascii="Times New Roman" w:hAnsi="Times New Roman" w:cs="Times New Roman"/>
        </w:rPr>
        <w:t>, Götzen claimed that slavery could not be abolished until after the central railway had been built and the colony’s economy developed.</w:t>
      </w:r>
      <w:r w:rsidR="00E815E1">
        <w:rPr>
          <w:rStyle w:val="FootnoteReference"/>
          <w:rFonts w:ascii="Times New Roman" w:hAnsi="Times New Roman" w:cs="Times New Roman"/>
        </w:rPr>
        <w:footnoteReference w:id="124"/>
      </w:r>
      <w:r w:rsidR="00E815E1">
        <w:rPr>
          <w:rFonts w:ascii="Times New Roman" w:hAnsi="Times New Roman" w:cs="Times New Roman"/>
        </w:rPr>
        <w:t xml:space="preserve"> Instead, under Götzen, another ordinance was released in 1901. This new law stated that now all slaves had the right to apply for their own ransom that they might work off. This law was followed by another more important step in 1904, also under Götzen. This last ordinance on slavery essentially sta</w:t>
      </w:r>
      <w:r w:rsidR="007A4CDA">
        <w:rPr>
          <w:rFonts w:ascii="Times New Roman" w:hAnsi="Times New Roman" w:cs="Times New Roman"/>
        </w:rPr>
        <w:t>ted that all slaves born in 1905</w:t>
      </w:r>
      <w:r w:rsidR="00E815E1">
        <w:rPr>
          <w:rFonts w:ascii="Times New Roman" w:hAnsi="Times New Roman" w:cs="Times New Roman"/>
        </w:rPr>
        <w:t xml:space="preserve"> and beyond would be free.</w:t>
      </w:r>
      <w:r w:rsidR="007A4CDA">
        <w:rPr>
          <w:rStyle w:val="FootnoteReference"/>
          <w:rFonts w:ascii="Times New Roman" w:hAnsi="Times New Roman" w:cs="Times New Roman"/>
        </w:rPr>
        <w:footnoteReference w:id="125"/>
      </w:r>
      <w:r w:rsidR="00E815E1">
        <w:rPr>
          <w:rFonts w:ascii="Times New Roman" w:hAnsi="Times New Roman" w:cs="Times New Roman"/>
        </w:rPr>
        <w:t xml:space="preserve"> </w:t>
      </w:r>
      <w:r w:rsidR="007A4CDA">
        <w:rPr>
          <w:rFonts w:ascii="Times New Roman" w:hAnsi="Times New Roman" w:cs="Times New Roman"/>
        </w:rPr>
        <w:t>That is to say, the law stopped well short of abolishing slavery, although it was assumed that it would of course die off in time without an influx of new slaves. In fact, colonial policy-makers did not envisage total abolition as being possible until 1930 or 1940!</w:t>
      </w:r>
      <w:r w:rsidR="007A4CDA">
        <w:rPr>
          <w:rStyle w:val="FootnoteReference"/>
          <w:rFonts w:ascii="Times New Roman" w:hAnsi="Times New Roman" w:cs="Times New Roman"/>
        </w:rPr>
        <w:footnoteReference w:id="126"/>
      </w:r>
      <w:r w:rsidR="00733ADC">
        <w:rPr>
          <w:rFonts w:ascii="Times New Roman" w:hAnsi="Times New Roman" w:cs="Times New Roman"/>
        </w:rPr>
        <w:t xml:space="preserve"> </w:t>
      </w:r>
      <w:r w:rsidR="00C14D4F">
        <w:rPr>
          <w:rFonts w:ascii="Times New Roman" w:hAnsi="Times New Roman" w:cs="Times New Roman"/>
        </w:rPr>
        <w:t xml:space="preserve">Ransoming of slaves into freedom did occur during this period, </w:t>
      </w:r>
      <w:r w:rsidR="009D0FB5">
        <w:rPr>
          <w:rFonts w:ascii="Times New Roman" w:hAnsi="Times New Roman" w:cs="Times New Roman"/>
        </w:rPr>
        <w:t>but there was</w:t>
      </w:r>
      <w:r w:rsidR="00C14D4F">
        <w:rPr>
          <w:rFonts w:ascii="Times New Roman" w:hAnsi="Times New Roman" w:cs="Times New Roman"/>
        </w:rPr>
        <w:t xml:space="preserve"> no significant rise in this policy during the supposed reform period</w:t>
      </w:r>
      <w:r w:rsidR="00093C1E">
        <w:rPr>
          <w:rFonts w:ascii="Times New Roman" w:hAnsi="Times New Roman" w:cs="Times New Roman"/>
        </w:rPr>
        <w:t>; only a few thousand slaves were emancipated with German government documents each year</w:t>
      </w:r>
      <w:r w:rsidR="00C14D4F">
        <w:rPr>
          <w:rFonts w:ascii="Times New Roman" w:hAnsi="Times New Roman" w:cs="Times New Roman"/>
        </w:rPr>
        <w:t>.</w:t>
      </w:r>
      <w:r w:rsidR="00C14D4F">
        <w:rPr>
          <w:rStyle w:val="FootnoteReference"/>
          <w:rFonts w:ascii="Times New Roman" w:hAnsi="Times New Roman" w:cs="Times New Roman"/>
        </w:rPr>
        <w:footnoteReference w:id="127"/>
      </w:r>
      <w:r w:rsidR="00C14D4F">
        <w:rPr>
          <w:rFonts w:ascii="Times New Roman" w:hAnsi="Times New Roman" w:cs="Times New Roman"/>
        </w:rPr>
        <w:t xml:space="preserve"> </w:t>
      </w:r>
      <w:r w:rsidR="00093C1E">
        <w:rPr>
          <w:rFonts w:ascii="Times New Roman" w:hAnsi="Times New Roman" w:cs="Times New Roman"/>
        </w:rPr>
        <w:t xml:space="preserve">The total drop in the </w:t>
      </w:r>
      <w:r w:rsidR="00093C1E">
        <w:rPr>
          <w:rFonts w:ascii="Times New Roman" w:hAnsi="Times New Roman" w:cs="Times New Roman"/>
        </w:rPr>
        <w:lastRenderedPageBreak/>
        <w:t xml:space="preserve">slave population therefore has much more to do with slaves running away and manumissions than with government policy. </w:t>
      </w:r>
      <w:r w:rsidR="00733ADC">
        <w:rPr>
          <w:rFonts w:ascii="Times New Roman" w:hAnsi="Times New Roman" w:cs="Times New Roman"/>
        </w:rPr>
        <w:t>In this light, Dernburg’s claim that slavery had already been abolished seems downright preposterous, if not simply disingenuous. The fact was that the government’s policy on slavery went hand in hand wit</w:t>
      </w:r>
      <w:r w:rsidR="000960BF">
        <w:rPr>
          <w:rFonts w:ascii="Times New Roman" w:hAnsi="Times New Roman" w:cs="Times New Roman"/>
        </w:rPr>
        <w:t xml:space="preserve">h its policy on labor creation. </w:t>
      </w:r>
      <w:r w:rsidR="00B1634B">
        <w:rPr>
          <w:rFonts w:ascii="Times New Roman" w:hAnsi="Times New Roman" w:cs="Times New Roman"/>
        </w:rPr>
        <w:t>One of the overarching concerns of the colony was labor procurement, and keeping slavery around helped that process. This is because the reality of work on German plantations was quite brutal, and it was necessary to have an institution worse than plantation work around for Africans to sign up to that process.</w:t>
      </w:r>
      <w:r w:rsidR="00B1634B">
        <w:rPr>
          <w:rStyle w:val="FootnoteReference"/>
          <w:rFonts w:ascii="Times New Roman" w:hAnsi="Times New Roman" w:cs="Times New Roman"/>
        </w:rPr>
        <w:footnoteReference w:id="128"/>
      </w:r>
      <w:r w:rsidR="00B1634B">
        <w:rPr>
          <w:rFonts w:ascii="Times New Roman" w:hAnsi="Times New Roman" w:cs="Times New Roman"/>
        </w:rPr>
        <w:t xml:space="preserve"> As far as the German government in East Africa was concerned, the process of ransoming slaves out of slavery and into plantation work was necessary to keep up the labor supply. The fact that this usually only meant the trading of an African master for a European one was not a serious concern. In fact, this process can be seen to have continued to some degree even when the British came to Tanganyika, in that they released the slaves from bondage, but then simply forced them to continue working in the same place.</w:t>
      </w:r>
      <w:r w:rsidR="00B1634B">
        <w:rPr>
          <w:rStyle w:val="FootnoteReference"/>
          <w:rFonts w:ascii="Times New Roman" w:hAnsi="Times New Roman" w:cs="Times New Roman"/>
        </w:rPr>
        <w:footnoteReference w:id="129"/>
      </w:r>
      <w:r w:rsidR="00B1634B">
        <w:rPr>
          <w:rFonts w:ascii="Times New Roman" w:hAnsi="Times New Roman" w:cs="Times New Roman"/>
        </w:rPr>
        <w:t xml:space="preserve"> </w:t>
      </w:r>
      <w:r w:rsidR="00733ADC">
        <w:rPr>
          <w:rFonts w:ascii="Times New Roman" w:hAnsi="Times New Roman" w:cs="Times New Roman"/>
        </w:rPr>
        <w:t>For now though, Dernburg’s obliviousness to the fate of the slave population in his speeches, and the statistical evidence showing no great leap in slave emancipation during his tenure in office</w:t>
      </w:r>
      <w:r w:rsidR="00C14D4F">
        <w:rPr>
          <w:rFonts w:ascii="Times New Roman" w:hAnsi="Times New Roman" w:cs="Times New Roman"/>
        </w:rPr>
        <w:t xml:space="preserve"> is certainly damning to anyone seeking to raise the position of the natives in any substantial manner. </w:t>
      </w:r>
    </w:p>
    <w:p w14:paraId="5BE81136" w14:textId="77777777" w:rsidR="008F4D6C" w:rsidRDefault="008F4D6C" w:rsidP="002D76C8">
      <w:pPr>
        <w:spacing w:line="360" w:lineRule="auto"/>
        <w:rPr>
          <w:rFonts w:ascii="Times New Roman" w:hAnsi="Times New Roman" w:cs="Times New Roman"/>
        </w:rPr>
      </w:pPr>
    </w:p>
    <w:p w14:paraId="70E92C64" w14:textId="3C58E81F" w:rsidR="008F4D6C" w:rsidRPr="004E22F3" w:rsidRDefault="008F4D6C" w:rsidP="002D76C8">
      <w:pPr>
        <w:spacing w:line="360" w:lineRule="auto"/>
        <w:jc w:val="center"/>
        <w:rPr>
          <w:rFonts w:ascii="Times New Roman" w:hAnsi="Times New Roman" w:cs="Times New Roman"/>
          <w:b/>
        </w:rPr>
      </w:pPr>
      <w:r w:rsidRPr="004E22F3">
        <w:rPr>
          <w:rFonts w:ascii="Times New Roman" w:hAnsi="Times New Roman" w:cs="Times New Roman"/>
          <w:b/>
        </w:rPr>
        <w:t>Indians</w:t>
      </w:r>
    </w:p>
    <w:p w14:paraId="6BE3B9D9" w14:textId="77777777" w:rsidR="00CD2667" w:rsidRDefault="00CD2667" w:rsidP="002D76C8">
      <w:pPr>
        <w:spacing w:line="360" w:lineRule="auto"/>
        <w:jc w:val="center"/>
        <w:rPr>
          <w:rFonts w:ascii="Times New Roman" w:hAnsi="Times New Roman" w:cs="Times New Roman"/>
        </w:rPr>
      </w:pPr>
    </w:p>
    <w:p w14:paraId="1A5DAFEC" w14:textId="0792AA2D" w:rsidR="00CD2667" w:rsidRDefault="00CD2667" w:rsidP="002D76C8">
      <w:pPr>
        <w:spacing w:line="360" w:lineRule="auto"/>
        <w:rPr>
          <w:rFonts w:ascii="Times New Roman" w:hAnsi="Times New Roman" w:cs="Times New Roman"/>
        </w:rPr>
      </w:pPr>
      <w:r>
        <w:rPr>
          <w:rFonts w:ascii="Times New Roman" w:hAnsi="Times New Roman" w:cs="Times New Roman"/>
        </w:rPr>
        <w:tab/>
        <w:t>Also of note, when considering the raising of the natives, is the situation of the Indian population in German East Africa, though the Indians were not themselves specifically mentioned by Dernburg in his campaign speeches. This is because of a quirk of German law in the colony, which left Indians classified for official purposes as natives.</w:t>
      </w:r>
      <w:r>
        <w:rPr>
          <w:rStyle w:val="FootnoteReference"/>
          <w:rFonts w:ascii="Times New Roman" w:hAnsi="Times New Roman" w:cs="Times New Roman"/>
        </w:rPr>
        <w:footnoteReference w:id="130"/>
      </w:r>
      <w:r>
        <w:rPr>
          <w:rFonts w:ascii="Times New Roman" w:hAnsi="Times New Roman" w:cs="Times New Roman"/>
        </w:rPr>
        <w:t xml:space="preserve"> Indians had a long history of trade with East Africa, moving back and forth with the monsoon, but did not start to settle on the East African coast until the late nineteenth century</w:t>
      </w:r>
      <w:r w:rsidR="000641D0">
        <w:rPr>
          <w:rFonts w:ascii="Times New Roman" w:hAnsi="Times New Roman" w:cs="Times New Roman"/>
        </w:rPr>
        <w:t>, with the advent of European rule.</w:t>
      </w:r>
      <w:r w:rsidR="000641D0">
        <w:rPr>
          <w:rStyle w:val="FootnoteReference"/>
          <w:rFonts w:ascii="Times New Roman" w:hAnsi="Times New Roman" w:cs="Times New Roman"/>
        </w:rPr>
        <w:footnoteReference w:id="131"/>
      </w:r>
      <w:r w:rsidR="000641D0">
        <w:rPr>
          <w:rFonts w:ascii="Times New Roman" w:hAnsi="Times New Roman" w:cs="Times New Roman"/>
        </w:rPr>
        <w:t xml:space="preserve"> If Dernburg had indeed been the champion of the natives and reform generally, then the period should have seen a relaxing of restrictions on Indians and other natives. Instead, records show precisely the opposite took place. </w:t>
      </w:r>
      <w:r w:rsidR="00DD122B">
        <w:rPr>
          <w:rFonts w:ascii="Times New Roman" w:hAnsi="Times New Roman" w:cs="Times New Roman"/>
        </w:rPr>
        <w:t xml:space="preserve">Indians had never been </w:t>
      </w:r>
      <w:r w:rsidR="00DD122B">
        <w:rPr>
          <w:rFonts w:ascii="Times New Roman" w:hAnsi="Times New Roman" w:cs="Times New Roman"/>
        </w:rPr>
        <w:lastRenderedPageBreak/>
        <w:t>popular with the Germans, especially the settler population, who saw them as leeches feeding off business which should have been in European hands. However, the colonial governor, Rechenberg, saw the Indians differently</w:t>
      </w:r>
      <w:r w:rsidR="0063001D">
        <w:rPr>
          <w:rFonts w:ascii="Times New Roman" w:hAnsi="Times New Roman" w:cs="Times New Roman"/>
        </w:rPr>
        <w:t>, and recognized them as indispensable intermediaries between the European businesses and the African natives, which, to be fair, they were.</w:t>
      </w:r>
      <w:r w:rsidR="0063001D">
        <w:rPr>
          <w:rStyle w:val="FootnoteReference"/>
          <w:rFonts w:ascii="Times New Roman" w:hAnsi="Times New Roman" w:cs="Times New Roman"/>
        </w:rPr>
        <w:footnoteReference w:id="132"/>
      </w:r>
      <w:r w:rsidR="0063001D">
        <w:rPr>
          <w:rFonts w:ascii="Times New Roman" w:hAnsi="Times New Roman" w:cs="Times New Roman"/>
        </w:rPr>
        <w:t xml:space="preserve"> At the same time, he thought that a mixing of Europeans at the native level in business would be detrimental to the social hierarchy which was necessary in the colony. At first, these views prevailed on Dernburg, at the beginning of his tenure. For instance, a 1906 attempt by the colonial settlers to force Indians to do their bookkeeping in either German or Swahili was swatted down by Dernburg.</w:t>
      </w:r>
      <w:r w:rsidR="0063001D">
        <w:rPr>
          <w:rStyle w:val="FootnoteReference"/>
          <w:rFonts w:ascii="Times New Roman" w:hAnsi="Times New Roman" w:cs="Times New Roman"/>
        </w:rPr>
        <w:footnoteReference w:id="133"/>
      </w:r>
      <w:r w:rsidR="0063001D">
        <w:rPr>
          <w:rFonts w:ascii="Times New Roman" w:hAnsi="Times New Roman" w:cs="Times New Roman"/>
        </w:rPr>
        <w:t xml:space="preserve"> Over time though, Dernburg would vacillate on the issue. Pressured by colonial supporters in the right-wing dominated Reichstag, Dernburg devised a number of policies which would have </w:t>
      </w:r>
      <w:r w:rsidR="00D960F0">
        <w:rPr>
          <w:rFonts w:ascii="Times New Roman" w:hAnsi="Times New Roman" w:cs="Times New Roman"/>
        </w:rPr>
        <w:t>severely limited Indian migration to the colony by requiring migrants, for example, to be proficient in either Swahili or a European language.</w:t>
      </w:r>
      <w:r w:rsidR="00D960F0">
        <w:rPr>
          <w:rStyle w:val="FootnoteReference"/>
          <w:rFonts w:ascii="Times New Roman" w:hAnsi="Times New Roman" w:cs="Times New Roman"/>
        </w:rPr>
        <w:footnoteReference w:id="134"/>
      </w:r>
      <w:r w:rsidR="00D960F0">
        <w:rPr>
          <w:rFonts w:ascii="Times New Roman" w:hAnsi="Times New Roman" w:cs="Times New Roman"/>
        </w:rPr>
        <w:t xml:space="preserve"> Where Dernburg, had he been the colonial reformer championed by the reform thesis, should have been pressing for improved rights, we instead see him curtailing the rights of the natives with pressure from the settler community. In fact, it was Rechenberg, the colonial governor, who was responsible for stopping these policies from being enacted. Dernburg was on over by Rechenberg largely because the Indians were British subjects, and were the Germans to impede British subjects, they might just close themselves off from their trade in India, which at the time was worth fifteen times as much as German trade with East Africa.</w:t>
      </w:r>
      <w:r w:rsidR="00D960F0">
        <w:rPr>
          <w:rStyle w:val="FootnoteReference"/>
          <w:rFonts w:ascii="Times New Roman" w:hAnsi="Times New Roman" w:cs="Times New Roman"/>
        </w:rPr>
        <w:footnoteReference w:id="135"/>
      </w:r>
      <w:r w:rsidR="00D960F0">
        <w:rPr>
          <w:rFonts w:ascii="Times New Roman" w:hAnsi="Times New Roman" w:cs="Times New Roman"/>
        </w:rPr>
        <w:t xml:space="preserve"> </w:t>
      </w:r>
      <w:r w:rsidR="001967BF">
        <w:rPr>
          <w:rFonts w:ascii="Times New Roman" w:hAnsi="Times New Roman" w:cs="Times New Roman"/>
        </w:rPr>
        <w:t>It would not be until after Dernburg left office that the lot of the Indians in German East Africa would improve. It is important to note in this section the growing influence of the settler community on both Dernburg and the colony at large. As this study moves into its next segment, the issue of the rise of the settlers will be discussed in detail.</w:t>
      </w:r>
    </w:p>
    <w:p w14:paraId="5D047F37" w14:textId="77777777" w:rsidR="00C942F8" w:rsidRDefault="00C942F8" w:rsidP="002D76C8">
      <w:pPr>
        <w:spacing w:line="360" w:lineRule="auto"/>
        <w:rPr>
          <w:rFonts w:ascii="Times New Roman" w:hAnsi="Times New Roman" w:cs="Times New Roman"/>
        </w:rPr>
      </w:pPr>
    </w:p>
    <w:p w14:paraId="33A7A677" w14:textId="77777777" w:rsidR="004E22F3" w:rsidRDefault="004E22F3" w:rsidP="002D76C8">
      <w:pPr>
        <w:spacing w:line="360" w:lineRule="auto"/>
        <w:rPr>
          <w:rFonts w:ascii="Times New Roman" w:hAnsi="Times New Roman" w:cs="Times New Roman"/>
        </w:rPr>
      </w:pPr>
    </w:p>
    <w:p w14:paraId="41A9EA7D" w14:textId="77777777" w:rsidR="004E22F3" w:rsidRDefault="004E22F3" w:rsidP="002D76C8">
      <w:pPr>
        <w:spacing w:line="360" w:lineRule="auto"/>
        <w:rPr>
          <w:rFonts w:ascii="Times New Roman" w:hAnsi="Times New Roman" w:cs="Times New Roman"/>
        </w:rPr>
      </w:pPr>
    </w:p>
    <w:p w14:paraId="2E958D49" w14:textId="77777777" w:rsidR="004E22F3" w:rsidRDefault="004E22F3" w:rsidP="002D76C8">
      <w:pPr>
        <w:spacing w:line="360" w:lineRule="auto"/>
        <w:rPr>
          <w:rFonts w:ascii="Times New Roman" w:hAnsi="Times New Roman" w:cs="Times New Roman"/>
        </w:rPr>
      </w:pPr>
    </w:p>
    <w:p w14:paraId="3A59F51F" w14:textId="77777777" w:rsidR="004E22F3" w:rsidRDefault="004E22F3" w:rsidP="002D76C8">
      <w:pPr>
        <w:spacing w:line="360" w:lineRule="auto"/>
        <w:rPr>
          <w:rFonts w:ascii="Times New Roman" w:hAnsi="Times New Roman" w:cs="Times New Roman"/>
        </w:rPr>
      </w:pPr>
    </w:p>
    <w:p w14:paraId="281D8AAB" w14:textId="77777777" w:rsidR="004E22F3" w:rsidRDefault="004E22F3" w:rsidP="002D76C8">
      <w:pPr>
        <w:spacing w:line="360" w:lineRule="auto"/>
        <w:rPr>
          <w:rFonts w:ascii="Times New Roman" w:hAnsi="Times New Roman" w:cs="Times New Roman"/>
        </w:rPr>
      </w:pPr>
    </w:p>
    <w:p w14:paraId="109151AD" w14:textId="31F71485" w:rsidR="00C942F8" w:rsidRPr="004E22F3" w:rsidRDefault="00C942F8" w:rsidP="002D76C8">
      <w:pPr>
        <w:spacing w:line="360" w:lineRule="auto"/>
        <w:jc w:val="center"/>
        <w:rPr>
          <w:rFonts w:ascii="Times New Roman" w:hAnsi="Times New Roman" w:cs="Times New Roman"/>
          <w:b/>
          <w:sz w:val="28"/>
          <w:szCs w:val="28"/>
        </w:rPr>
      </w:pPr>
      <w:r w:rsidRPr="004E22F3">
        <w:rPr>
          <w:rFonts w:ascii="Times New Roman" w:hAnsi="Times New Roman" w:cs="Times New Roman"/>
          <w:b/>
          <w:sz w:val="28"/>
          <w:szCs w:val="28"/>
        </w:rPr>
        <w:lastRenderedPageBreak/>
        <w:t>Chapter V: The Rise of the Settlers</w:t>
      </w:r>
    </w:p>
    <w:p w14:paraId="6EDAEE68" w14:textId="77777777" w:rsidR="00C942F8" w:rsidRDefault="00C942F8" w:rsidP="002D76C8">
      <w:pPr>
        <w:spacing w:line="360" w:lineRule="auto"/>
        <w:jc w:val="center"/>
        <w:rPr>
          <w:rFonts w:ascii="Times New Roman" w:hAnsi="Times New Roman" w:cs="Times New Roman"/>
        </w:rPr>
      </w:pPr>
    </w:p>
    <w:p w14:paraId="5FF8FF8B" w14:textId="3CD2549A" w:rsidR="00C942F8" w:rsidRDefault="00C942F8" w:rsidP="002D76C8">
      <w:pPr>
        <w:spacing w:line="360" w:lineRule="auto"/>
        <w:rPr>
          <w:rFonts w:ascii="Times New Roman" w:hAnsi="Times New Roman" w:cs="Times New Roman"/>
        </w:rPr>
      </w:pPr>
      <w:r>
        <w:rPr>
          <w:rFonts w:ascii="Times New Roman" w:hAnsi="Times New Roman" w:cs="Times New Roman"/>
        </w:rPr>
        <w:tab/>
        <w:t xml:space="preserve">Whereas the reasons for economic colonization had long roots, as was especially seen in the case of cotton, there was a second serious impetus for colonial acquisition and development. This was the idea of </w:t>
      </w:r>
      <w:r>
        <w:rPr>
          <w:rFonts w:ascii="Times New Roman" w:hAnsi="Times New Roman" w:cs="Times New Roman"/>
          <w:i/>
        </w:rPr>
        <w:t>Siedlungskolonien</w:t>
      </w:r>
      <w:r>
        <w:rPr>
          <w:rFonts w:ascii="Times New Roman" w:hAnsi="Times New Roman" w:cs="Times New Roman"/>
        </w:rPr>
        <w:t xml:space="preserve">, or settler colonies, which had even deeper roots than the economic variety. The </w:t>
      </w:r>
      <w:r w:rsidR="00657F71">
        <w:rPr>
          <w:rFonts w:ascii="Times New Roman" w:hAnsi="Times New Roman" w:cs="Times New Roman"/>
        </w:rPr>
        <w:t xml:space="preserve">concept of the creation of colonies for German settlement can be traced all the way back to the liberal revolutions of 1848 and the Frankfurt Assembly which met that year in an attempt to foster liberalism and German unification. By that point, the problem of </w:t>
      </w:r>
      <w:r w:rsidR="00657F71">
        <w:rPr>
          <w:rFonts w:ascii="Times New Roman" w:hAnsi="Times New Roman" w:cs="Times New Roman"/>
          <w:i/>
        </w:rPr>
        <w:t>Auswanderung</w:t>
      </w:r>
      <w:r w:rsidR="00657F71">
        <w:rPr>
          <w:rFonts w:ascii="Times New Roman" w:hAnsi="Times New Roman" w:cs="Times New Roman"/>
        </w:rPr>
        <w:t>, or emigration, had become a serious issue. With the advent of industrialization in Germany, though the full effects were far from complete at this time, dislocation of earlier forms of production had created a large movement of people from the German states to new areas, more specifically the Americas. Though it was by no means a primary topic of debate, the issue of colonies was discussed for a new united Germany. These colonies would have been located in the Americas, among existing German settlements, and would ostensibly provide an outlet for Germans to emigrate to without losing their cultural distinctiveness. At the same time, the colonies would have provided a release valve that would prevent the rise of a truly revolutionary class.</w:t>
      </w:r>
      <w:r w:rsidR="00657F71">
        <w:rPr>
          <w:rStyle w:val="FootnoteReference"/>
          <w:rFonts w:ascii="Times New Roman" w:hAnsi="Times New Roman" w:cs="Times New Roman"/>
        </w:rPr>
        <w:footnoteReference w:id="136"/>
      </w:r>
      <w:r w:rsidR="00657F71">
        <w:rPr>
          <w:rFonts w:ascii="Times New Roman" w:hAnsi="Times New Roman" w:cs="Times New Roman"/>
        </w:rPr>
        <w:t xml:space="preserve"> This of course was a real threat in the aftermath of the 1848 revolutions across Europe. Though these talks came to nothing with the overall failure of the liberal revolution, they laid an important foundation for later thought on the issue of </w:t>
      </w:r>
      <w:r w:rsidR="00657F71">
        <w:rPr>
          <w:rFonts w:ascii="Times New Roman" w:hAnsi="Times New Roman" w:cs="Times New Roman"/>
          <w:i/>
        </w:rPr>
        <w:t>Auswanderung</w:t>
      </w:r>
      <w:r w:rsidR="00657F71">
        <w:rPr>
          <w:rFonts w:ascii="Times New Roman" w:hAnsi="Times New Roman" w:cs="Times New Roman"/>
        </w:rPr>
        <w:t xml:space="preserve"> and settler colonization. The issue of settler colonization lay largely dormant until the time of German unification, with a new wave of emigration and a coherent foreign policy among the various German states for the first time. </w:t>
      </w:r>
      <w:r w:rsidR="00273403">
        <w:rPr>
          <w:rFonts w:ascii="Times New Roman" w:hAnsi="Times New Roman" w:cs="Times New Roman"/>
        </w:rPr>
        <w:t>Now, however, settler arguments were combined with economic arguments in a politically viable package, best laid out by the missiona</w:t>
      </w:r>
      <w:r w:rsidR="00FB7D95">
        <w:rPr>
          <w:rFonts w:ascii="Times New Roman" w:hAnsi="Times New Roman" w:cs="Times New Roman"/>
        </w:rPr>
        <w:t>ry, Friedrich Fabri, in his paper</w:t>
      </w:r>
      <w:r w:rsidR="00273403">
        <w:rPr>
          <w:rFonts w:ascii="Times New Roman" w:hAnsi="Times New Roman" w:cs="Times New Roman"/>
        </w:rPr>
        <w:t xml:space="preserve">, </w:t>
      </w:r>
      <w:r w:rsidR="00FB7D95">
        <w:rPr>
          <w:rFonts w:ascii="Times New Roman" w:hAnsi="Times New Roman" w:cs="Times New Roman"/>
        </w:rPr>
        <w:t>“</w:t>
      </w:r>
      <w:r w:rsidR="00FB7D95" w:rsidRPr="00FB7D95">
        <w:rPr>
          <w:rFonts w:ascii="Times New Roman" w:hAnsi="Times New Roman" w:cs="Times New Roman"/>
        </w:rPr>
        <w:t>Does Germany Need Colonies</w:t>
      </w:r>
      <w:r w:rsidR="00FB7D95">
        <w:rPr>
          <w:rFonts w:ascii="Times New Roman" w:hAnsi="Times New Roman" w:cs="Times New Roman"/>
        </w:rPr>
        <w:t>?”</w:t>
      </w:r>
      <w:r w:rsidR="00273403">
        <w:rPr>
          <w:rFonts w:ascii="Times New Roman" w:hAnsi="Times New Roman" w:cs="Times New Roman"/>
          <w:i/>
        </w:rPr>
        <w:t xml:space="preserve"> </w:t>
      </w:r>
      <w:r w:rsidR="00273403">
        <w:rPr>
          <w:rFonts w:ascii="Times New Roman" w:hAnsi="Times New Roman" w:cs="Times New Roman"/>
        </w:rPr>
        <w:t>This included elements of the industrialist line of raw material security, but then went on to describe the benefits of the retention of German emigrants within a larger German Empire.</w:t>
      </w:r>
      <w:r w:rsidR="00273403">
        <w:rPr>
          <w:rStyle w:val="FootnoteReference"/>
          <w:rFonts w:ascii="Times New Roman" w:hAnsi="Times New Roman" w:cs="Times New Roman"/>
        </w:rPr>
        <w:footnoteReference w:id="137"/>
      </w:r>
      <w:r w:rsidR="00273403">
        <w:rPr>
          <w:rFonts w:ascii="Times New Roman" w:hAnsi="Times New Roman" w:cs="Times New Roman"/>
        </w:rPr>
        <w:t xml:space="preserve"> This convergence of interests, with lower and middle class support for settlement, as well as business support for economic colonialism allowed, or possibly convinced, Bismarck to embark upon his colonial venture in the mid 1880’s, such a potent political force was it. Dernburg, and through him Bülow, would later tap into this same dynamic patriotic force in their electoral success in the 1907 Reichstag elections. However, at the start, the </w:t>
      </w:r>
      <w:r w:rsidR="005444BF">
        <w:rPr>
          <w:rFonts w:ascii="Times New Roman" w:hAnsi="Times New Roman" w:cs="Times New Roman"/>
        </w:rPr>
        <w:t xml:space="preserve">economic, trading model defined the colonies almost entirely. It was only with </w:t>
      </w:r>
      <w:r w:rsidR="005444BF">
        <w:rPr>
          <w:rFonts w:ascii="Times New Roman" w:hAnsi="Times New Roman" w:cs="Times New Roman"/>
        </w:rPr>
        <w:lastRenderedPageBreak/>
        <w:t xml:space="preserve">the obvious failure of the </w:t>
      </w:r>
      <w:r w:rsidR="005444BF">
        <w:rPr>
          <w:rFonts w:ascii="Times New Roman" w:hAnsi="Times New Roman" w:cs="Times New Roman"/>
          <w:i/>
        </w:rPr>
        <w:t>Deutsch-Ostafrikanische Gesellschaft</w:t>
      </w:r>
      <w:r w:rsidR="005444BF">
        <w:rPr>
          <w:rFonts w:ascii="Times New Roman" w:hAnsi="Times New Roman" w:cs="Times New Roman"/>
        </w:rPr>
        <w:t xml:space="preserve"> (DOAG), or German East Africa Company, in 1890 that settlement could truly begin under the cover of more robust government intervention in the colony.</w:t>
      </w:r>
    </w:p>
    <w:p w14:paraId="7091EB22" w14:textId="77777777" w:rsidR="00F517B1" w:rsidRDefault="00F517B1" w:rsidP="002D76C8">
      <w:pPr>
        <w:spacing w:line="360" w:lineRule="auto"/>
        <w:rPr>
          <w:rFonts w:ascii="Times New Roman" w:hAnsi="Times New Roman" w:cs="Times New Roman"/>
        </w:rPr>
      </w:pPr>
    </w:p>
    <w:p w14:paraId="2BACA838" w14:textId="15BC61DC" w:rsidR="00F517B1" w:rsidRPr="004E22F3" w:rsidRDefault="00F517B1" w:rsidP="002D76C8">
      <w:pPr>
        <w:spacing w:line="360" w:lineRule="auto"/>
        <w:jc w:val="center"/>
        <w:rPr>
          <w:rFonts w:ascii="Times New Roman" w:hAnsi="Times New Roman" w:cs="Times New Roman"/>
          <w:b/>
        </w:rPr>
      </w:pPr>
      <w:r w:rsidRPr="004E22F3">
        <w:rPr>
          <w:rFonts w:ascii="Times New Roman" w:hAnsi="Times New Roman" w:cs="Times New Roman"/>
          <w:b/>
        </w:rPr>
        <w:t>Development of the Settler Community</w:t>
      </w:r>
    </w:p>
    <w:p w14:paraId="44BD0CAF" w14:textId="77777777" w:rsidR="00F517B1" w:rsidRDefault="00F517B1" w:rsidP="002D76C8">
      <w:pPr>
        <w:spacing w:line="360" w:lineRule="auto"/>
        <w:jc w:val="center"/>
        <w:rPr>
          <w:rFonts w:ascii="Times New Roman" w:hAnsi="Times New Roman" w:cs="Times New Roman"/>
        </w:rPr>
      </w:pPr>
    </w:p>
    <w:p w14:paraId="239C7975" w14:textId="6B10E568" w:rsidR="00F517B1" w:rsidRDefault="00F517B1" w:rsidP="002D76C8">
      <w:pPr>
        <w:spacing w:line="360" w:lineRule="auto"/>
        <w:rPr>
          <w:rFonts w:ascii="Times New Roman" w:hAnsi="Times New Roman" w:cs="Times New Roman"/>
        </w:rPr>
      </w:pPr>
      <w:r>
        <w:rPr>
          <w:rFonts w:ascii="Times New Roman" w:hAnsi="Times New Roman" w:cs="Times New Roman"/>
        </w:rPr>
        <w:tab/>
        <w:t>Even with the advent of direct government intervention in German East Africa, settler growth</w:t>
      </w:r>
      <w:r w:rsidR="00030199">
        <w:rPr>
          <w:rFonts w:ascii="Times New Roman" w:hAnsi="Times New Roman" w:cs="Times New Roman"/>
        </w:rPr>
        <w:t xml:space="preserve"> was decidedly slow. Before the governorship of Liebert began in 1896</w:t>
      </w:r>
      <w:r>
        <w:rPr>
          <w:rFonts w:ascii="Times New Roman" w:hAnsi="Times New Roman" w:cs="Times New Roman"/>
        </w:rPr>
        <w:t>, it had been limited to exactly two settlers, one of which was killed in the coastal rebellion which ended the DOAG’s authority, and a second who fled.</w:t>
      </w:r>
      <w:r>
        <w:rPr>
          <w:rStyle w:val="FootnoteReference"/>
          <w:rFonts w:ascii="Times New Roman" w:hAnsi="Times New Roman" w:cs="Times New Roman"/>
        </w:rPr>
        <w:footnoteReference w:id="138"/>
      </w:r>
      <w:r>
        <w:rPr>
          <w:rFonts w:ascii="Times New Roman" w:hAnsi="Times New Roman" w:cs="Times New Roman"/>
        </w:rPr>
        <w:t xml:space="preserve"> </w:t>
      </w:r>
      <w:r w:rsidR="00AB7742">
        <w:rPr>
          <w:rFonts w:ascii="Times New Roman" w:hAnsi="Times New Roman" w:cs="Times New Roman"/>
        </w:rPr>
        <w:t>As the colony had not been entirely secured under German domination, s</w:t>
      </w:r>
      <w:r w:rsidR="00690395">
        <w:rPr>
          <w:rFonts w:ascii="Times New Roman" w:hAnsi="Times New Roman" w:cs="Times New Roman"/>
        </w:rPr>
        <w:t>ettlement was not yet practical</w:t>
      </w:r>
      <w:r w:rsidR="0096292F">
        <w:rPr>
          <w:rFonts w:ascii="Times New Roman" w:hAnsi="Times New Roman" w:cs="Times New Roman"/>
        </w:rPr>
        <w:t>, reasonable, or safe for that matter</w:t>
      </w:r>
      <w:r w:rsidR="00690395">
        <w:rPr>
          <w:rFonts w:ascii="Times New Roman" w:hAnsi="Times New Roman" w:cs="Times New Roman"/>
        </w:rPr>
        <w:t>. E</w:t>
      </w:r>
      <w:r w:rsidR="00AB7742">
        <w:rPr>
          <w:rFonts w:ascii="Times New Roman" w:hAnsi="Times New Roman" w:cs="Times New Roman"/>
        </w:rPr>
        <w:t>ven under the enthusiastic Governor Schele, who saw the colony as ripe for German peasant settlement</w:t>
      </w:r>
      <w:r w:rsidR="00690395">
        <w:rPr>
          <w:rFonts w:ascii="Times New Roman" w:hAnsi="Times New Roman" w:cs="Times New Roman"/>
        </w:rPr>
        <w:t>, none actually arrived</w:t>
      </w:r>
      <w:r w:rsidR="00AB7742">
        <w:rPr>
          <w:rFonts w:ascii="Times New Roman" w:hAnsi="Times New Roman" w:cs="Times New Roman"/>
        </w:rPr>
        <w:t>. The early governors, were not, however, generally disposed towards settlement, with Soden and Wißmann in fact entirely opposing the idea, and blocking several efforts at settlement.</w:t>
      </w:r>
      <w:r w:rsidR="00AB7742">
        <w:rPr>
          <w:rStyle w:val="FootnoteReference"/>
          <w:rFonts w:ascii="Times New Roman" w:hAnsi="Times New Roman" w:cs="Times New Roman"/>
        </w:rPr>
        <w:footnoteReference w:id="139"/>
      </w:r>
      <w:r w:rsidR="00AB7742">
        <w:rPr>
          <w:rFonts w:ascii="Times New Roman" w:hAnsi="Times New Roman" w:cs="Times New Roman"/>
        </w:rPr>
        <w:t xml:space="preserve"> The effective blocking of colonial settlement in German East Africa was to end with the start of the governorship of Eduard von Liebert in 1896. Liebert, “a racist, radical conservative committed to white settlement</w:t>
      </w:r>
      <w:r w:rsidR="00690395">
        <w:rPr>
          <w:rFonts w:ascii="Times New Roman" w:hAnsi="Times New Roman" w:cs="Times New Roman"/>
        </w:rPr>
        <w:t>,” was to change colonial policy on settlement drastically.</w:t>
      </w:r>
      <w:r w:rsidR="00690395">
        <w:rPr>
          <w:rStyle w:val="FootnoteReference"/>
          <w:rFonts w:ascii="Times New Roman" w:hAnsi="Times New Roman" w:cs="Times New Roman"/>
        </w:rPr>
        <w:footnoteReference w:id="140"/>
      </w:r>
      <w:r w:rsidR="00690395">
        <w:rPr>
          <w:rFonts w:ascii="Times New Roman" w:hAnsi="Times New Roman" w:cs="Times New Roman"/>
        </w:rPr>
        <w:t xml:space="preserve"> From the very beginning of his rule, Liebert made numerous overtures to prospective settlers, suggesting they base themselves near the coast in West Usambara, by the old DOAG railhead. He even sweetened the deal, mandating that the district office in the area should provide each settler with something like ten tax-laborers each for work in their fields.</w:t>
      </w:r>
      <w:r w:rsidR="00690395">
        <w:rPr>
          <w:rStyle w:val="FootnoteReference"/>
          <w:rFonts w:ascii="Times New Roman" w:hAnsi="Times New Roman" w:cs="Times New Roman"/>
        </w:rPr>
        <w:footnoteReference w:id="141"/>
      </w:r>
      <w:r w:rsidR="00423464">
        <w:rPr>
          <w:rFonts w:ascii="Times New Roman" w:hAnsi="Times New Roman" w:cs="Times New Roman"/>
        </w:rPr>
        <w:t xml:space="preserve"> While evidence is scarce as to who exactly was coming into the colony as settlers in the period of Liebert’s rule, that they did is not in question. Given that settlement was virtually non-existent under the rule of the first three governors, the fact that there were 1078 Europeans</w:t>
      </w:r>
      <w:r w:rsidR="0096292F">
        <w:rPr>
          <w:rFonts w:ascii="Times New Roman" w:hAnsi="Times New Roman" w:cs="Times New Roman"/>
        </w:rPr>
        <w:t>, the vast majority of them Germans,</w:t>
      </w:r>
      <w:r w:rsidR="00423464">
        <w:rPr>
          <w:rFonts w:ascii="Times New Roman" w:hAnsi="Times New Roman" w:cs="Times New Roman"/>
        </w:rPr>
        <w:t xml:space="preserve"> living in German East Africa by 1900, towards the end of Liebert’s period in office, indicates a serious takeoff in the community around the turn of the century.</w:t>
      </w:r>
      <w:r w:rsidR="0096292F">
        <w:rPr>
          <w:rStyle w:val="FootnoteReference"/>
          <w:rFonts w:ascii="Times New Roman" w:hAnsi="Times New Roman" w:cs="Times New Roman"/>
        </w:rPr>
        <w:footnoteReference w:id="142"/>
      </w:r>
      <w:r w:rsidR="001862E7">
        <w:rPr>
          <w:rFonts w:ascii="Times New Roman" w:hAnsi="Times New Roman" w:cs="Times New Roman"/>
        </w:rPr>
        <w:t xml:space="preserve"> This development was to continue under the next governor of the colony, Götzen</w:t>
      </w:r>
      <w:r w:rsidR="00214FC2">
        <w:rPr>
          <w:rFonts w:ascii="Times New Roman" w:hAnsi="Times New Roman" w:cs="Times New Roman"/>
        </w:rPr>
        <w:t xml:space="preserve">. Like Liebert, Götzen was inclined to support </w:t>
      </w:r>
      <w:r w:rsidR="0096292F">
        <w:rPr>
          <w:rFonts w:ascii="Times New Roman" w:hAnsi="Times New Roman" w:cs="Times New Roman"/>
        </w:rPr>
        <w:t>Germanic</w:t>
      </w:r>
      <w:r w:rsidR="00214FC2">
        <w:rPr>
          <w:rFonts w:ascii="Times New Roman" w:hAnsi="Times New Roman" w:cs="Times New Roman"/>
        </w:rPr>
        <w:t xml:space="preserve"> </w:t>
      </w:r>
      <w:r w:rsidR="00214FC2">
        <w:rPr>
          <w:rFonts w:ascii="Times New Roman" w:hAnsi="Times New Roman" w:cs="Times New Roman"/>
        </w:rPr>
        <w:lastRenderedPageBreak/>
        <w:t>settlement of German East Africa, and by the end of his rule, and the start of the supposed reform period, the European population had more than doubled to 2,465.</w:t>
      </w:r>
      <w:r w:rsidR="00423464">
        <w:rPr>
          <w:rStyle w:val="FootnoteReference"/>
          <w:rFonts w:ascii="Times New Roman" w:hAnsi="Times New Roman" w:cs="Times New Roman"/>
        </w:rPr>
        <w:footnoteReference w:id="143"/>
      </w:r>
      <w:r w:rsidR="001862E7">
        <w:rPr>
          <w:rFonts w:ascii="Times New Roman" w:hAnsi="Times New Roman" w:cs="Times New Roman"/>
        </w:rPr>
        <w:t xml:space="preserve"> </w:t>
      </w:r>
      <w:r w:rsidR="00214FC2">
        <w:rPr>
          <w:rFonts w:ascii="Times New Roman" w:hAnsi="Times New Roman" w:cs="Times New Roman"/>
        </w:rPr>
        <w:t>Götzen did not however support simply any type of colonial development, but was clear that it would be a difficult venture that demanded considerable capital. Nevertheless, he did claim that, “a capable man will be able to establish a secure livelihood.”</w:t>
      </w:r>
      <w:r w:rsidR="00214FC2">
        <w:rPr>
          <w:rStyle w:val="FootnoteReference"/>
          <w:rFonts w:ascii="Times New Roman" w:hAnsi="Times New Roman" w:cs="Times New Roman"/>
        </w:rPr>
        <w:footnoteReference w:id="144"/>
      </w:r>
      <w:r w:rsidR="00214FC2">
        <w:rPr>
          <w:rFonts w:ascii="Times New Roman" w:hAnsi="Times New Roman" w:cs="Times New Roman"/>
        </w:rPr>
        <w:t xml:space="preserve"> </w:t>
      </w:r>
      <w:r w:rsidR="007D4FAA">
        <w:rPr>
          <w:rFonts w:ascii="Times New Roman" w:hAnsi="Times New Roman" w:cs="Times New Roman"/>
        </w:rPr>
        <w:t>At the same time, Götzen sponsored two rathe</w:t>
      </w:r>
      <w:r w:rsidR="00094EDA">
        <w:rPr>
          <w:rFonts w:ascii="Times New Roman" w:hAnsi="Times New Roman" w:cs="Times New Roman"/>
        </w:rPr>
        <w:t>r outlandish settlement schemes, including Boers escaping the conflict in South Africa, and Volga Germans from the Caucasus.</w:t>
      </w:r>
      <w:r w:rsidR="00094EDA">
        <w:rPr>
          <w:rStyle w:val="FootnoteReference"/>
          <w:rFonts w:ascii="Times New Roman" w:hAnsi="Times New Roman" w:cs="Times New Roman"/>
        </w:rPr>
        <w:footnoteReference w:id="145"/>
      </w:r>
      <w:r w:rsidR="00094EDA">
        <w:rPr>
          <w:rFonts w:ascii="Times New Roman" w:hAnsi="Times New Roman" w:cs="Times New Roman"/>
        </w:rPr>
        <w:t xml:space="preserve"> Both of these were largely failures, with many of the Boers moving on to Kenya, and the majority of the Volga Germans never arriving. Regardless, the growth of the settler community continued apace, and at this point was irreversible. Less obvious, however, by this point were the implications of the growth of the settler community. Under Götzen’s rule in German East Africa, the settler community was not only to grow in numbers, but also consequently in terms of political clout. That the settler community grew and organized substantially during this period has often been overlooked, or the importance undervalued, is at least partially responsible for the frequent division of the history of German East Africa in terms of the reform period.</w:t>
      </w:r>
      <w:r w:rsidR="000E7A4C">
        <w:rPr>
          <w:rStyle w:val="FootnoteReference"/>
          <w:rFonts w:ascii="Times New Roman" w:hAnsi="Times New Roman" w:cs="Times New Roman"/>
        </w:rPr>
        <w:footnoteReference w:id="146"/>
      </w:r>
      <w:r w:rsidR="00094EDA">
        <w:rPr>
          <w:rFonts w:ascii="Times New Roman" w:hAnsi="Times New Roman" w:cs="Times New Roman"/>
        </w:rPr>
        <w:t xml:space="preserve"> The issue of the growth of the strength of the settler community, and its ultimate reversal of any attempt at reform must now be discussed as a major proponent of a revised trajectory of German East African history. </w:t>
      </w:r>
    </w:p>
    <w:p w14:paraId="6B9109F3" w14:textId="77777777" w:rsidR="003661E7" w:rsidRDefault="003661E7" w:rsidP="002D76C8">
      <w:pPr>
        <w:spacing w:line="360" w:lineRule="auto"/>
        <w:rPr>
          <w:rFonts w:ascii="Times New Roman" w:hAnsi="Times New Roman" w:cs="Times New Roman"/>
        </w:rPr>
      </w:pPr>
    </w:p>
    <w:p w14:paraId="31E8A3C8" w14:textId="198B6505" w:rsidR="00FA280C" w:rsidRPr="004E22F3" w:rsidRDefault="002173D2" w:rsidP="002D76C8">
      <w:pPr>
        <w:spacing w:line="360" w:lineRule="auto"/>
        <w:jc w:val="center"/>
        <w:rPr>
          <w:rFonts w:ascii="Times New Roman" w:hAnsi="Times New Roman" w:cs="Times New Roman"/>
          <w:b/>
        </w:rPr>
      </w:pPr>
      <w:r w:rsidRPr="004E22F3">
        <w:rPr>
          <w:rFonts w:ascii="Times New Roman" w:hAnsi="Times New Roman" w:cs="Times New Roman"/>
          <w:b/>
        </w:rPr>
        <w:t>Rise of Settler Influence</w:t>
      </w:r>
    </w:p>
    <w:p w14:paraId="2AF3F687" w14:textId="77777777" w:rsidR="00971BDA" w:rsidRDefault="00971BDA" w:rsidP="002D76C8">
      <w:pPr>
        <w:spacing w:line="360" w:lineRule="auto"/>
        <w:rPr>
          <w:rFonts w:ascii="Times New Roman" w:hAnsi="Times New Roman" w:cs="Times New Roman"/>
        </w:rPr>
      </w:pPr>
    </w:p>
    <w:p w14:paraId="63D33A1E" w14:textId="0CA7ADF6" w:rsidR="007B6267" w:rsidRDefault="00692169" w:rsidP="002D76C8">
      <w:pPr>
        <w:spacing w:line="360" w:lineRule="auto"/>
        <w:rPr>
          <w:rFonts w:ascii="Times New Roman" w:hAnsi="Times New Roman" w:cs="Times New Roman"/>
        </w:rPr>
      </w:pPr>
      <w:r>
        <w:rPr>
          <w:rFonts w:ascii="Times New Roman" w:hAnsi="Times New Roman" w:cs="Times New Roman"/>
        </w:rPr>
        <w:tab/>
      </w:r>
      <w:r w:rsidR="001D228F">
        <w:rPr>
          <w:rFonts w:ascii="Times New Roman" w:hAnsi="Times New Roman" w:cs="Times New Roman"/>
        </w:rPr>
        <w:t>Running parallel to, and eventually superseding the growth of the settler population was a second factor, their growing</w:t>
      </w:r>
      <w:r w:rsidR="000E7A4C">
        <w:rPr>
          <w:rFonts w:ascii="Times New Roman" w:hAnsi="Times New Roman" w:cs="Times New Roman"/>
        </w:rPr>
        <w:t xml:space="preserve"> political</w:t>
      </w:r>
      <w:r w:rsidR="001D228F">
        <w:rPr>
          <w:rFonts w:ascii="Times New Roman" w:hAnsi="Times New Roman" w:cs="Times New Roman"/>
        </w:rPr>
        <w:t xml:space="preserve"> power and organization. This process, like the population growth, was set in motion well before Dernburg’s time in office.  Like the overall growth in population, the power and organization of the settlers began to coalesce under the welcoming rule of Governor Liebert with his particular interest in supporting </w:t>
      </w:r>
      <w:r w:rsidR="000E7A4C">
        <w:rPr>
          <w:rFonts w:ascii="Times New Roman" w:hAnsi="Times New Roman" w:cs="Times New Roman"/>
        </w:rPr>
        <w:t>German</w:t>
      </w:r>
      <w:r w:rsidR="001D228F">
        <w:rPr>
          <w:rFonts w:ascii="Times New Roman" w:hAnsi="Times New Roman" w:cs="Times New Roman"/>
        </w:rPr>
        <w:t xml:space="preserve"> settlement. While sweetening the proposition for would be settlers with offers of free tax labor, he also set in motion two major factors for later colonist organization and influence. In order to help the newly arrived settlers organize themselves in their dealings with the colonial </w:t>
      </w:r>
      <w:r w:rsidR="001D228F">
        <w:rPr>
          <w:rFonts w:ascii="Times New Roman" w:hAnsi="Times New Roman" w:cs="Times New Roman"/>
        </w:rPr>
        <w:lastRenderedPageBreak/>
        <w:t xml:space="preserve">state, the </w:t>
      </w:r>
      <w:r w:rsidR="001D228F">
        <w:rPr>
          <w:rFonts w:ascii="Times New Roman" w:hAnsi="Times New Roman" w:cs="Times New Roman"/>
          <w:i/>
        </w:rPr>
        <w:t>Pflanzer Verein Tanga</w:t>
      </w:r>
      <w:r w:rsidR="001D228F">
        <w:rPr>
          <w:rFonts w:ascii="Times New Roman" w:hAnsi="Times New Roman" w:cs="Times New Roman"/>
        </w:rPr>
        <w:t>, or Tanga Planters’ Union</w:t>
      </w:r>
      <w:r w:rsidR="00971BDA">
        <w:rPr>
          <w:rFonts w:ascii="Times New Roman" w:hAnsi="Times New Roman" w:cs="Times New Roman"/>
        </w:rPr>
        <w:t xml:space="preserve"> was established on the initiative of Governor Liebert in 1898.</w:t>
      </w:r>
      <w:r w:rsidR="00971BDA">
        <w:rPr>
          <w:rStyle w:val="FootnoteReference"/>
          <w:rFonts w:ascii="Times New Roman" w:hAnsi="Times New Roman" w:cs="Times New Roman"/>
        </w:rPr>
        <w:footnoteReference w:id="147"/>
      </w:r>
      <w:r w:rsidR="00971BDA">
        <w:rPr>
          <w:rFonts w:ascii="Times New Roman" w:hAnsi="Times New Roman" w:cs="Times New Roman"/>
        </w:rPr>
        <w:t xml:space="preserve"> While this move helped the settlers organize themselves, they were also given a large degree of control and influence under the </w:t>
      </w:r>
      <w:r w:rsidR="00971BDA">
        <w:rPr>
          <w:rFonts w:ascii="Times New Roman" w:hAnsi="Times New Roman" w:cs="Times New Roman"/>
          <w:i/>
        </w:rPr>
        <w:t>Kommunalverband</w:t>
      </w:r>
      <w:r w:rsidR="00971BDA">
        <w:rPr>
          <w:rFonts w:ascii="Times New Roman" w:hAnsi="Times New Roman" w:cs="Times New Roman"/>
        </w:rPr>
        <w:t>, or local commune system. These systems, established in 1899 under the guidance of Liebert, were designed as local executive organs of government.</w:t>
      </w:r>
      <w:r w:rsidR="00971BDA">
        <w:rPr>
          <w:rStyle w:val="FootnoteReference"/>
          <w:rFonts w:ascii="Times New Roman" w:hAnsi="Times New Roman" w:cs="Times New Roman"/>
        </w:rPr>
        <w:footnoteReference w:id="148"/>
      </w:r>
      <w:r w:rsidR="00971BDA">
        <w:rPr>
          <w:rFonts w:ascii="Times New Roman" w:hAnsi="Times New Roman" w:cs="Times New Roman"/>
        </w:rPr>
        <w:t xml:space="preserve"> They had the power to tax the locals, and to use fifty percent of the revenue for local projects. </w:t>
      </w:r>
      <w:r w:rsidR="0040002A">
        <w:rPr>
          <w:rFonts w:ascii="Times New Roman" w:hAnsi="Times New Roman" w:cs="Times New Roman"/>
        </w:rPr>
        <w:t>In this way, it was hoped that the central government in East Africa would be able to avoid local micromanagement, but the implications</w:t>
      </w:r>
      <w:r w:rsidR="000E7A4C">
        <w:rPr>
          <w:rFonts w:ascii="Times New Roman" w:hAnsi="Times New Roman" w:cs="Times New Roman"/>
        </w:rPr>
        <w:t xml:space="preserve"> and the amount of power that was being handed over to the colonists</w:t>
      </w:r>
      <w:r w:rsidR="0040002A">
        <w:rPr>
          <w:rFonts w:ascii="Times New Roman" w:hAnsi="Times New Roman" w:cs="Times New Roman"/>
        </w:rPr>
        <w:t xml:space="preserve"> were not yet </w:t>
      </w:r>
      <w:r w:rsidR="000E7A4C">
        <w:rPr>
          <w:rFonts w:ascii="Times New Roman" w:hAnsi="Times New Roman" w:cs="Times New Roman"/>
        </w:rPr>
        <w:t>obvious to the government</w:t>
      </w:r>
      <w:r w:rsidR="0040002A">
        <w:rPr>
          <w:rFonts w:ascii="Times New Roman" w:hAnsi="Times New Roman" w:cs="Times New Roman"/>
        </w:rPr>
        <w:t xml:space="preserve">, and these communes would later become the flashpoint of a clash between the central government and the colonists. </w:t>
      </w:r>
      <w:r w:rsidR="00C12830">
        <w:rPr>
          <w:rFonts w:ascii="Times New Roman" w:hAnsi="Times New Roman" w:cs="Times New Roman"/>
        </w:rPr>
        <w:t xml:space="preserve">As the settler population grew under the governorships of Liebert and Götzen, they became more assertive, and began asking for more rights, in the German tradition of </w:t>
      </w:r>
      <w:r w:rsidR="00C12830">
        <w:rPr>
          <w:rFonts w:ascii="Times New Roman" w:hAnsi="Times New Roman" w:cs="Times New Roman"/>
          <w:i/>
        </w:rPr>
        <w:t>Selbstverwaltung</w:t>
      </w:r>
      <w:r w:rsidR="00C12830">
        <w:rPr>
          <w:rFonts w:ascii="Times New Roman" w:hAnsi="Times New Roman" w:cs="Times New Roman"/>
        </w:rPr>
        <w:t xml:space="preserve">, or self-administration. Götzen would be the first governor to confront these demands, but he was more than willing to go along. Accordingly, in 1903, </w:t>
      </w:r>
      <w:r w:rsidR="003A27E6">
        <w:rPr>
          <w:rFonts w:ascii="Times New Roman" w:hAnsi="Times New Roman" w:cs="Times New Roman"/>
        </w:rPr>
        <w:t>Götzen created what was known as the Governor’s Council, in which a combined body of official</w:t>
      </w:r>
      <w:r w:rsidR="000E7A4C">
        <w:rPr>
          <w:rFonts w:ascii="Times New Roman" w:hAnsi="Times New Roman" w:cs="Times New Roman"/>
        </w:rPr>
        <w:t>, (meaning government-employed,)</w:t>
      </w:r>
      <w:r w:rsidR="003A27E6">
        <w:rPr>
          <w:rFonts w:ascii="Times New Roman" w:hAnsi="Times New Roman" w:cs="Times New Roman"/>
        </w:rPr>
        <w:t xml:space="preserve"> and unofficial</w:t>
      </w:r>
      <w:r w:rsidR="000E7A4C">
        <w:rPr>
          <w:rFonts w:ascii="Times New Roman" w:hAnsi="Times New Roman" w:cs="Times New Roman"/>
        </w:rPr>
        <w:t>, (which normally meant from the settler community,)</w:t>
      </w:r>
      <w:r w:rsidR="003A27E6">
        <w:rPr>
          <w:rFonts w:ascii="Times New Roman" w:hAnsi="Times New Roman" w:cs="Times New Roman"/>
        </w:rPr>
        <w:t xml:space="preserve"> Germans would be able to express their interests and demands, as well as advise the governor. On paper, this mere advisory power does not sound overly intimidating, but in practice going a against the council meant that the governor was putting his own neck o</w:t>
      </w:r>
      <w:r w:rsidR="00081FE8">
        <w:rPr>
          <w:rFonts w:ascii="Times New Roman" w:hAnsi="Times New Roman" w:cs="Times New Roman"/>
        </w:rPr>
        <w:t>n the line in regard to</w:t>
      </w:r>
      <w:r w:rsidR="000E7A4C">
        <w:rPr>
          <w:rFonts w:ascii="Times New Roman" w:hAnsi="Times New Roman" w:cs="Times New Roman"/>
        </w:rPr>
        <w:t xml:space="preserve"> whatever issue </w:t>
      </w:r>
      <w:r w:rsidR="00081FE8">
        <w:rPr>
          <w:rFonts w:ascii="Times New Roman" w:hAnsi="Times New Roman" w:cs="Times New Roman"/>
        </w:rPr>
        <w:t>the council had not supported</w:t>
      </w:r>
      <w:r w:rsidR="003A27E6">
        <w:rPr>
          <w:rFonts w:ascii="Times New Roman" w:hAnsi="Times New Roman" w:cs="Times New Roman"/>
        </w:rPr>
        <w:t xml:space="preserve">, and would be </w:t>
      </w:r>
      <w:r w:rsidR="00081FE8">
        <w:rPr>
          <w:rFonts w:ascii="Times New Roman" w:hAnsi="Times New Roman" w:cs="Times New Roman"/>
        </w:rPr>
        <w:t xml:space="preserve">held </w:t>
      </w:r>
      <w:r w:rsidR="003A27E6">
        <w:rPr>
          <w:rFonts w:ascii="Times New Roman" w:hAnsi="Times New Roman" w:cs="Times New Roman"/>
        </w:rPr>
        <w:t>personally responsible</w:t>
      </w:r>
      <w:r w:rsidR="00081FE8">
        <w:rPr>
          <w:rFonts w:ascii="Times New Roman" w:hAnsi="Times New Roman" w:cs="Times New Roman"/>
        </w:rPr>
        <w:t xml:space="preserve"> in Berlin</w:t>
      </w:r>
      <w:r w:rsidR="003A27E6">
        <w:rPr>
          <w:rFonts w:ascii="Times New Roman" w:hAnsi="Times New Roman" w:cs="Times New Roman"/>
        </w:rPr>
        <w:t>.</w:t>
      </w:r>
      <w:r w:rsidR="003A27E6">
        <w:rPr>
          <w:rStyle w:val="FootnoteReference"/>
          <w:rFonts w:ascii="Times New Roman" w:hAnsi="Times New Roman" w:cs="Times New Roman"/>
        </w:rPr>
        <w:footnoteReference w:id="149"/>
      </w:r>
      <w:r w:rsidR="003A27E6">
        <w:rPr>
          <w:rFonts w:ascii="Times New Roman" w:hAnsi="Times New Roman" w:cs="Times New Roman"/>
        </w:rPr>
        <w:t xml:space="preserve"> Therefore, </w:t>
      </w:r>
      <w:r w:rsidR="00081FE8">
        <w:rPr>
          <w:rFonts w:ascii="Times New Roman" w:hAnsi="Times New Roman" w:cs="Times New Roman"/>
        </w:rPr>
        <w:t>i</w:t>
      </w:r>
      <w:r w:rsidR="00BF45FA">
        <w:rPr>
          <w:rFonts w:ascii="Times New Roman" w:hAnsi="Times New Roman" w:cs="Times New Roman"/>
        </w:rPr>
        <w:t>t was not long before the council was able to begin forcing its demands on Götzen, starting wi</w:t>
      </w:r>
      <w:r w:rsidR="00081FE8">
        <w:rPr>
          <w:rFonts w:ascii="Times New Roman" w:hAnsi="Times New Roman" w:cs="Times New Roman"/>
        </w:rPr>
        <w:t>th the removal of all non-Germans</w:t>
      </w:r>
      <w:r w:rsidR="00BF45FA">
        <w:rPr>
          <w:rFonts w:ascii="Times New Roman" w:hAnsi="Times New Roman" w:cs="Times New Roman"/>
        </w:rPr>
        <w:t xml:space="preserve"> from the local communes, on the pretext that they would not be able to follow German conversations well enough.</w:t>
      </w:r>
      <w:r w:rsidR="00BF45FA">
        <w:rPr>
          <w:rStyle w:val="FootnoteReference"/>
          <w:rFonts w:ascii="Times New Roman" w:hAnsi="Times New Roman" w:cs="Times New Roman"/>
        </w:rPr>
        <w:footnoteReference w:id="150"/>
      </w:r>
      <w:r w:rsidR="00BF45FA">
        <w:rPr>
          <w:rFonts w:ascii="Times New Roman" w:hAnsi="Times New Roman" w:cs="Times New Roman"/>
        </w:rPr>
        <w:t xml:space="preserve"> This meant that the communes were now more specifically the main organ of settler control, in which they could use government revenue directly to support their own interests. </w:t>
      </w:r>
      <w:r w:rsidR="006667C2">
        <w:rPr>
          <w:rFonts w:ascii="Times New Roman" w:hAnsi="Times New Roman" w:cs="Times New Roman"/>
        </w:rPr>
        <w:t xml:space="preserve">At the same time, under Götzen, the settler community was beginning to organize even more than it had previously outside of the governmental structures. </w:t>
      </w:r>
      <w:r w:rsidR="002173D2">
        <w:rPr>
          <w:rFonts w:ascii="Times New Roman" w:hAnsi="Times New Roman" w:cs="Times New Roman"/>
        </w:rPr>
        <w:t>New groups of planters began making their own unions, which would later come together to form a very influential force in the German colony. All the while, the settler community continued to grow, not even seriously hindered by the massive Maji Maji rebellion, as the settlers never completely lost control of the situation.</w:t>
      </w:r>
      <w:r w:rsidR="00081FE8">
        <w:rPr>
          <w:rFonts w:ascii="Times New Roman" w:hAnsi="Times New Roman" w:cs="Times New Roman"/>
        </w:rPr>
        <w:t xml:space="preserve"> This point is reflected </w:t>
      </w:r>
      <w:r w:rsidR="00081FE8">
        <w:rPr>
          <w:rFonts w:ascii="Times New Roman" w:hAnsi="Times New Roman" w:cs="Times New Roman"/>
        </w:rPr>
        <w:lastRenderedPageBreak/>
        <w:t>in government statistics on population, which though our only source, do not seem to lend themselves to any sort of bias.</w:t>
      </w:r>
      <w:r w:rsidR="002173D2">
        <w:rPr>
          <w:rStyle w:val="FootnoteReference"/>
          <w:rFonts w:ascii="Times New Roman" w:hAnsi="Times New Roman" w:cs="Times New Roman"/>
        </w:rPr>
        <w:footnoteReference w:id="151"/>
      </w:r>
      <w:r w:rsidR="002173D2">
        <w:rPr>
          <w:rFonts w:ascii="Times New Roman" w:hAnsi="Times New Roman" w:cs="Times New Roman"/>
        </w:rPr>
        <w:t xml:space="preserve"> By the time the colony received a governor who was generally opposed to settlement by Europeans, the power of the settler community had become entrenched, and could not be reversed. Instead, in the clash to follow, it would be the governor’s own ideas that would suffer.</w:t>
      </w:r>
    </w:p>
    <w:p w14:paraId="0522B8E2" w14:textId="77777777" w:rsidR="003661E7" w:rsidRDefault="003661E7" w:rsidP="002D76C8">
      <w:pPr>
        <w:spacing w:line="360" w:lineRule="auto"/>
        <w:rPr>
          <w:rFonts w:ascii="Times New Roman" w:hAnsi="Times New Roman" w:cs="Times New Roman"/>
        </w:rPr>
      </w:pPr>
    </w:p>
    <w:p w14:paraId="73A7A0C4" w14:textId="00CF7824" w:rsidR="002173D2" w:rsidRPr="004E22F3" w:rsidRDefault="002173D2" w:rsidP="002D76C8">
      <w:pPr>
        <w:spacing w:line="360" w:lineRule="auto"/>
        <w:jc w:val="center"/>
        <w:rPr>
          <w:rFonts w:ascii="Times New Roman" w:hAnsi="Times New Roman" w:cs="Times New Roman"/>
          <w:b/>
        </w:rPr>
      </w:pPr>
      <w:r w:rsidRPr="004E22F3">
        <w:rPr>
          <w:rFonts w:ascii="Times New Roman" w:hAnsi="Times New Roman" w:cs="Times New Roman"/>
          <w:b/>
        </w:rPr>
        <w:t>The Settler Ascendancy</w:t>
      </w:r>
    </w:p>
    <w:p w14:paraId="3240B726" w14:textId="77777777" w:rsidR="002173D2" w:rsidRDefault="002173D2" w:rsidP="002D76C8">
      <w:pPr>
        <w:spacing w:line="360" w:lineRule="auto"/>
        <w:jc w:val="center"/>
        <w:rPr>
          <w:rFonts w:ascii="Times New Roman" w:hAnsi="Times New Roman" w:cs="Times New Roman"/>
        </w:rPr>
      </w:pPr>
    </w:p>
    <w:p w14:paraId="77BEFDE0" w14:textId="4E4D2FEF" w:rsidR="002173D2" w:rsidRDefault="002173D2" w:rsidP="002D76C8">
      <w:pPr>
        <w:spacing w:line="360" w:lineRule="auto"/>
        <w:rPr>
          <w:rFonts w:ascii="Times New Roman" w:hAnsi="Times New Roman" w:cs="Times New Roman"/>
        </w:rPr>
      </w:pPr>
      <w:r>
        <w:rPr>
          <w:rFonts w:ascii="Times New Roman" w:hAnsi="Times New Roman" w:cs="Times New Roman"/>
        </w:rPr>
        <w:tab/>
      </w:r>
      <w:r w:rsidR="00AC5129">
        <w:rPr>
          <w:rFonts w:ascii="Times New Roman" w:hAnsi="Times New Roman" w:cs="Times New Roman"/>
        </w:rPr>
        <w:t>From the beginning of their times in office, which began almost simultaneously at the end of the Maji Maji rebellion, both Dernburg and Rechenberg were opposed to the settler community in general terms</w:t>
      </w:r>
      <w:r w:rsidR="00081FE8">
        <w:rPr>
          <w:rFonts w:ascii="Times New Roman" w:hAnsi="Times New Roman" w:cs="Times New Roman"/>
        </w:rPr>
        <w:t>; a one hundred and eighty degree turn from the positions of Liebert and Götzen</w:t>
      </w:r>
      <w:r w:rsidR="00AC5129">
        <w:rPr>
          <w:rFonts w:ascii="Times New Roman" w:hAnsi="Times New Roman" w:cs="Times New Roman"/>
        </w:rPr>
        <w:t>. Both envisioned an African colony in which the natives would produce the raw materials needed in Germany of their own accord. Dernburg was generally silent on the issue of settlement in his election speeches, focusing more on the economics of the colonies. Had he spoken out, he might have endangered the national cause that the colonies had become, and the support that the parties of order garnered from the upsurge of popular support. Later however, he was much clearer, claiming, “I have become convinced</w:t>
      </w:r>
      <w:r w:rsidR="009E618D">
        <w:rPr>
          <w:rFonts w:ascii="Times New Roman" w:hAnsi="Times New Roman" w:cs="Times New Roman"/>
        </w:rPr>
        <w:t>, that the East African economy cannot depend on the work of settlers and plantations.”</w:t>
      </w:r>
      <w:r w:rsidR="009E618D">
        <w:rPr>
          <w:rStyle w:val="FootnoteReference"/>
          <w:rFonts w:ascii="Times New Roman" w:hAnsi="Times New Roman" w:cs="Times New Roman"/>
        </w:rPr>
        <w:footnoteReference w:id="152"/>
      </w:r>
      <w:r w:rsidR="009E618D">
        <w:rPr>
          <w:rFonts w:ascii="Times New Roman" w:hAnsi="Times New Roman" w:cs="Times New Roman"/>
        </w:rPr>
        <w:t xml:space="preserve"> Given that Rechenberg was even more clear in his opposition to settlement, it is surprising that the two men working in tandem proved unable to change the course that the colony was already moving on. The failure of Dernburg and Rechenberg was not, however, for lack of effort. Their time on office represents a long struggle between the settlers and the bureaucracy, which the settlers would ultimately win. </w:t>
      </w:r>
      <w:r w:rsidR="0046464A">
        <w:rPr>
          <w:rFonts w:ascii="Times New Roman" w:hAnsi="Times New Roman" w:cs="Times New Roman"/>
        </w:rPr>
        <w:t xml:space="preserve">The struggle began with Dernburg’s plans for railroads. If the colony </w:t>
      </w:r>
      <w:r w:rsidR="00681ECB">
        <w:rPr>
          <w:rFonts w:ascii="Times New Roman" w:hAnsi="Times New Roman" w:cs="Times New Roman"/>
        </w:rPr>
        <w:t>were</w:t>
      </w:r>
      <w:r w:rsidR="0046464A">
        <w:rPr>
          <w:rFonts w:ascii="Times New Roman" w:hAnsi="Times New Roman" w:cs="Times New Roman"/>
        </w:rPr>
        <w:t xml:space="preserve"> to become the African based economy that Rechenberg sought, then it would need railroads to penetrate the interior and stimulate the growth of capitalism. The scheme, however, was impossible without the destruction of the local communes, which would waste the money necessary for construction themselves, and furthermore prevent the government from recouping its investment through tax revenues. Sensing a threat against their interests, the settler unions that had previously existed joined together in 1907 to form the Northern League, which effectively represented all of the settler interests. It was from this league that the settlers made their first real attempt to thwart government policy. While </w:t>
      </w:r>
      <w:r w:rsidR="0046464A">
        <w:rPr>
          <w:rFonts w:ascii="Times New Roman" w:hAnsi="Times New Roman" w:cs="Times New Roman"/>
        </w:rPr>
        <w:lastRenderedPageBreak/>
        <w:t xml:space="preserve">Dernburg and Rechenberg were in </w:t>
      </w:r>
      <w:r w:rsidR="000053AA">
        <w:rPr>
          <w:rFonts w:ascii="Times New Roman" w:hAnsi="Times New Roman" w:cs="Times New Roman"/>
        </w:rPr>
        <w:t>Berlin, pushing their budget, including provisions for a central railroad line and the dissolution of the communes, through the Reichstag, a challenge arrived from East Africa in the form of a petition for the Northern League. It claimed that, “a native policy is to be pursued in German East Africa which considers only colored interests, and neglects German business as against them: a policy which will make German East Africa merely a negro and Indian trading colony, with European plantations a secondary consideration.”</w:t>
      </w:r>
      <w:r w:rsidR="000053AA">
        <w:rPr>
          <w:rStyle w:val="FootnoteReference"/>
          <w:rFonts w:ascii="Times New Roman" w:hAnsi="Times New Roman" w:cs="Times New Roman"/>
        </w:rPr>
        <w:footnoteReference w:id="153"/>
      </w:r>
      <w:r w:rsidR="000053AA">
        <w:rPr>
          <w:rFonts w:ascii="Times New Roman" w:hAnsi="Times New Roman" w:cs="Times New Roman"/>
        </w:rPr>
        <w:t xml:space="preserve"> This was of course, generally speaking what Rechenberg and Dernburg had planned for the colony, though they would not have admitted such publicly. The motion might have been halted, were it not for the fact that the petition devolved into a personal attack on the </w:t>
      </w:r>
      <w:r w:rsidR="00681ECB">
        <w:rPr>
          <w:rFonts w:ascii="Times New Roman" w:hAnsi="Times New Roman" w:cs="Times New Roman"/>
        </w:rPr>
        <w:t xml:space="preserve">Colonial Secretary </w:t>
      </w:r>
      <w:r w:rsidR="000053AA">
        <w:rPr>
          <w:rFonts w:ascii="Times New Roman" w:hAnsi="Times New Roman" w:cs="Times New Roman"/>
        </w:rPr>
        <w:t xml:space="preserve">and the governor. The attack was seen as having been in poor taste, and was largely ignored. The settlers, however, had shown that they were capable of over-reaching the colonial government. </w:t>
      </w:r>
      <w:r w:rsidR="00D073B2">
        <w:rPr>
          <w:rFonts w:ascii="Times New Roman" w:hAnsi="Times New Roman" w:cs="Times New Roman"/>
        </w:rPr>
        <w:t xml:space="preserve">After this point, the settlers changed tactics. Regrouping as the Territorial League, the settlers found new ways to have their demands heard, and became more and more effective in their efforts. </w:t>
      </w:r>
      <w:r w:rsidR="00CC1E7E">
        <w:rPr>
          <w:rFonts w:ascii="Times New Roman" w:hAnsi="Times New Roman" w:cs="Times New Roman"/>
        </w:rPr>
        <w:t xml:space="preserve">This effect can be seen in a number of different areas, some of which have already been elaborated to a certain degree above. </w:t>
      </w:r>
      <w:r w:rsidR="006672BE">
        <w:rPr>
          <w:rFonts w:ascii="Times New Roman" w:hAnsi="Times New Roman" w:cs="Times New Roman"/>
        </w:rPr>
        <w:t>The reason for the success of the settlers lay in their use of politics in Berlin to advance their own interests. As Dernburg was beholden to the right-wing coalition then in power in the Reichstag, he was forced to listen to the demands of the settlers when presented through members of his coalition. When, for instance, Rechenberg attempted to protect the interests of the Indians against the settlers, Dernburg instead first listened to the settlers, and attempted to block Indian immigration into the colony. Rechenberg ultimately thwarted him in this effort, but he had already shown his vacillating tendency. Later, when Rechenberg was advancing his plans for the central railroad, Dernburg again caved to settler demands presented to him in Berlin, and despite reasonable claims that it was not financially feasible, agreed that the colony would finance extensions to both the central and northern lines, the northern line being key to settler interests.</w:t>
      </w:r>
      <w:r w:rsidR="006672BE">
        <w:rPr>
          <w:rStyle w:val="FootnoteReference"/>
          <w:rFonts w:ascii="Times New Roman" w:hAnsi="Times New Roman" w:cs="Times New Roman"/>
        </w:rPr>
        <w:footnoteReference w:id="154"/>
      </w:r>
      <w:r w:rsidR="006672BE">
        <w:rPr>
          <w:rFonts w:ascii="Times New Roman" w:hAnsi="Times New Roman" w:cs="Times New Roman"/>
        </w:rPr>
        <w:t xml:space="preserve"> Dernburg furthermore took the settler’s position against Rechenberg in regard to labor laws, refusing to curb brutality within the system.</w:t>
      </w:r>
      <w:r w:rsidR="006672BE">
        <w:rPr>
          <w:rStyle w:val="FootnoteReference"/>
          <w:rFonts w:ascii="Times New Roman" w:hAnsi="Times New Roman" w:cs="Times New Roman"/>
        </w:rPr>
        <w:footnoteReference w:id="155"/>
      </w:r>
      <w:r w:rsidR="00DA6262">
        <w:rPr>
          <w:rFonts w:ascii="Times New Roman" w:hAnsi="Times New Roman" w:cs="Times New Roman"/>
        </w:rPr>
        <w:t xml:space="preserve"> This hardly supports Dernburg’s supposed goals of raising the position of the natives, and the tendency to compromise disqualifies any sort of reform agenda, not to mention any sense of a strong willed politician that would be necessary to reform a system. The best example, however, of the settlers’ effect on colonial policy was in regard to their own power in the </w:t>
      </w:r>
      <w:r w:rsidR="00DA6262">
        <w:rPr>
          <w:rFonts w:ascii="Times New Roman" w:hAnsi="Times New Roman" w:cs="Times New Roman"/>
        </w:rPr>
        <w:lastRenderedPageBreak/>
        <w:t xml:space="preserve">colony. Rechenberg, having already moved against the local communes, now sought to destroy the power base of the settlers in the governor’s council, which was becoming a thorn in his side. </w:t>
      </w:r>
      <w:r w:rsidR="00FA181C">
        <w:rPr>
          <w:rFonts w:ascii="Times New Roman" w:hAnsi="Times New Roman" w:cs="Times New Roman"/>
        </w:rPr>
        <w:t>He did so by packing the council with his own supporters, to defeat the unofficial element within that body. The Territorial League, however, immediately protested to its friends in the Reichstag. At the next meeting of the Reichstag, Dernburg was forced to make concessions to the settlers. The council would now have a majority of election non-officials. This meant that the settlers would have an effective check on the governor henceforth, and that Rechenberg’s efforts had not only failed, but backfired miserably.</w:t>
      </w:r>
      <w:r w:rsidR="00FA181C">
        <w:rPr>
          <w:rStyle w:val="FootnoteReference"/>
          <w:rFonts w:ascii="Times New Roman" w:hAnsi="Times New Roman" w:cs="Times New Roman"/>
        </w:rPr>
        <w:footnoteReference w:id="156"/>
      </w:r>
      <w:r w:rsidR="00FA181C">
        <w:rPr>
          <w:rFonts w:ascii="Times New Roman" w:hAnsi="Times New Roman" w:cs="Times New Roman"/>
        </w:rPr>
        <w:t xml:space="preserve"> Not only that, but where Rechenberg thought he had previously succeeded, his hopes were dashed. Dernburg was to compromise once again, this time on the issue of local taxation, the second major source of power of the settlers. While he agreed to end the local communes, he allowed new district councils, composed mostly of settlers, to take twenty-five percent of the tax revenues. This essentially defeated the point of removing the communes in the first place, much to Rechenberg’s chagrin. Eventually, though, Dernburg’s balancing act in the Reichstag proved untenable. In May 1910, he was forced to resign over a fight with another settler community, this time in German South-West Africa. His replacement, Lindequist, was entirely pro-settler, and it was obvious to all that the settlers had won the day. </w:t>
      </w:r>
    </w:p>
    <w:p w14:paraId="40642D50" w14:textId="77777777" w:rsidR="00FA181C" w:rsidRDefault="00FA181C" w:rsidP="002D76C8">
      <w:pPr>
        <w:spacing w:line="360" w:lineRule="auto"/>
        <w:rPr>
          <w:rFonts w:ascii="Times New Roman" w:hAnsi="Times New Roman" w:cs="Times New Roman"/>
        </w:rPr>
      </w:pPr>
    </w:p>
    <w:p w14:paraId="24C962A2" w14:textId="5CD9ADBA" w:rsidR="00FA181C" w:rsidRPr="004E22F3" w:rsidRDefault="00FA181C" w:rsidP="002D76C8">
      <w:pPr>
        <w:spacing w:line="360" w:lineRule="auto"/>
        <w:jc w:val="center"/>
        <w:rPr>
          <w:rFonts w:ascii="Times New Roman" w:hAnsi="Times New Roman" w:cs="Times New Roman"/>
          <w:b/>
        </w:rPr>
      </w:pPr>
      <w:r w:rsidRPr="004E22F3">
        <w:rPr>
          <w:rFonts w:ascii="Times New Roman" w:hAnsi="Times New Roman" w:cs="Times New Roman"/>
          <w:b/>
        </w:rPr>
        <w:t>Towards the South African Model</w:t>
      </w:r>
    </w:p>
    <w:p w14:paraId="25EAA059" w14:textId="77777777" w:rsidR="00FA181C" w:rsidRDefault="00FA181C" w:rsidP="002D76C8">
      <w:pPr>
        <w:spacing w:line="360" w:lineRule="auto"/>
        <w:jc w:val="center"/>
        <w:rPr>
          <w:rFonts w:ascii="Times New Roman" w:hAnsi="Times New Roman" w:cs="Times New Roman"/>
        </w:rPr>
      </w:pPr>
    </w:p>
    <w:p w14:paraId="35163FC3" w14:textId="17D5C8A9" w:rsidR="00FA181C" w:rsidRDefault="00FA181C" w:rsidP="002D76C8">
      <w:pPr>
        <w:spacing w:line="360" w:lineRule="auto"/>
        <w:rPr>
          <w:rFonts w:ascii="Times New Roman" w:hAnsi="Times New Roman" w:cs="Times New Roman"/>
        </w:rPr>
      </w:pPr>
      <w:r>
        <w:rPr>
          <w:rFonts w:ascii="Times New Roman" w:hAnsi="Times New Roman" w:cs="Times New Roman"/>
        </w:rPr>
        <w:tab/>
        <w:t>The distinction has already been made in this paper between the two different types of colony possible</w:t>
      </w:r>
      <w:r w:rsidR="00053EC4">
        <w:rPr>
          <w:rFonts w:ascii="Times New Roman" w:hAnsi="Times New Roman" w:cs="Times New Roman"/>
        </w:rPr>
        <w:t>:</w:t>
      </w:r>
      <w:r w:rsidR="0051683F">
        <w:rPr>
          <w:rFonts w:ascii="Times New Roman" w:hAnsi="Times New Roman" w:cs="Times New Roman"/>
        </w:rPr>
        <w:t xml:space="preserve"> a trading colony on the West African model, or a settlement colony of a South African design. </w:t>
      </w:r>
      <w:r w:rsidR="00FE02E3">
        <w:rPr>
          <w:rFonts w:ascii="Times New Roman" w:hAnsi="Times New Roman" w:cs="Times New Roman"/>
        </w:rPr>
        <w:t>In the period during and after Rechenberg and Dernburg, the colony moved substantially in the direction of the South African model, which can be seen as the new definition of the colony generally, had it not been for the First World War.</w:t>
      </w:r>
      <w:r w:rsidR="00FE02E3">
        <w:rPr>
          <w:rStyle w:val="FootnoteReference"/>
          <w:rFonts w:ascii="Times New Roman" w:hAnsi="Times New Roman" w:cs="Times New Roman"/>
        </w:rPr>
        <w:footnoteReference w:id="157"/>
      </w:r>
      <w:r w:rsidR="00FE02E3">
        <w:rPr>
          <w:rFonts w:ascii="Times New Roman" w:hAnsi="Times New Roman" w:cs="Times New Roman"/>
        </w:rPr>
        <w:t xml:space="preserve"> The process had become entrenched under the so called reform period of Dernburg</w:t>
      </w:r>
      <w:r w:rsidR="008131AF">
        <w:rPr>
          <w:rFonts w:ascii="Times New Roman" w:hAnsi="Times New Roman" w:cs="Times New Roman"/>
        </w:rPr>
        <w:t xml:space="preserve">, and continued after he resigned. In his wake, A distinctly pro-settler governor, Lindequist, was appointed, as well as an ambivalent governor, Schnee, who while attempting not o favor any one model over the other, ultimately did not try to hamper settler efforts in establishing their own rules and power. On all the major issues that Dernburg and Rechenberg had attempted to stand firm, the regime now definitively caved in to settler pressure. In regard to Indians, </w:t>
      </w:r>
      <w:r w:rsidR="008131AF">
        <w:rPr>
          <w:rFonts w:ascii="Times New Roman" w:hAnsi="Times New Roman" w:cs="Times New Roman"/>
        </w:rPr>
        <w:lastRenderedPageBreak/>
        <w:t>immigration was curtailed, and their rights to acquire land were restricted. The northern rail, which Rechenberg had attempted to block as uneconomic, was now continued deep into the hinterland as far as Mount Kilimanjaro. Labor laws, furthermore, did not change, but remained friendly towards settler interests. Perhaps most importantly, the power of the governor’s council, that main organ of settler control, was set to increase, with proposals on the table by the time of the First World War that would have given the council decisive power over European agriculture and labor laws.</w:t>
      </w:r>
      <w:r w:rsidR="008131AF">
        <w:rPr>
          <w:rStyle w:val="FootnoteReference"/>
          <w:rFonts w:ascii="Times New Roman" w:hAnsi="Times New Roman" w:cs="Times New Roman"/>
        </w:rPr>
        <w:footnoteReference w:id="158"/>
      </w:r>
      <w:r w:rsidR="008131AF">
        <w:rPr>
          <w:rFonts w:ascii="Times New Roman" w:hAnsi="Times New Roman" w:cs="Times New Roman"/>
        </w:rPr>
        <w:t xml:space="preserve"> This was the case in German South-West Africa, which had already become a co</w:t>
      </w:r>
      <w:r w:rsidR="002E61BE">
        <w:rPr>
          <w:rFonts w:ascii="Times New Roman" w:hAnsi="Times New Roman" w:cs="Times New Roman"/>
        </w:rPr>
        <w:t xml:space="preserve">lony on the South African model, dominated by settlers, rather than trading interests. The point then, here, is that German East Africa was, from the beginning of settlement, moving inexorably towards a settlement model. It was simply too difficult for a German administration to ignore the complaints of its own citizens in East Africa for the benefit of the natives, who did not have a voice. Instead, as the settler growth and influence in the Reichstag increased, concessions to settler demands became unavoidable. Therefore, rather than seeing the Dernburg period as one of reform, it is necessary to see it as a time of defensive moves, ultimately futile, against a growing settler tide. </w:t>
      </w:r>
    </w:p>
    <w:p w14:paraId="7E1B4511" w14:textId="77777777" w:rsidR="002E61BE" w:rsidRDefault="002E61BE" w:rsidP="002D76C8">
      <w:pPr>
        <w:spacing w:line="360" w:lineRule="auto"/>
        <w:rPr>
          <w:rFonts w:ascii="Times New Roman" w:hAnsi="Times New Roman" w:cs="Times New Roman"/>
        </w:rPr>
      </w:pPr>
    </w:p>
    <w:p w14:paraId="105D84E3" w14:textId="77777777" w:rsidR="004E22F3" w:rsidRDefault="004E22F3" w:rsidP="002D76C8">
      <w:pPr>
        <w:spacing w:line="360" w:lineRule="auto"/>
        <w:rPr>
          <w:rFonts w:ascii="Times New Roman" w:hAnsi="Times New Roman" w:cs="Times New Roman"/>
        </w:rPr>
      </w:pPr>
    </w:p>
    <w:p w14:paraId="6EBFA5DE" w14:textId="77777777" w:rsidR="004E22F3" w:rsidRDefault="004E22F3" w:rsidP="002D76C8">
      <w:pPr>
        <w:spacing w:line="360" w:lineRule="auto"/>
        <w:rPr>
          <w:rFonts w:ascii="Times New Roman" w:hAnsi="Times New Roman" w:cs="Times New Roman"/>
        </w:rPr>
      </w:pPr>
    </w:p>
    <w:p w14:paraId="494B38B3" w14:textId="77777777" w:rsidR="004E22F3" w:rsidRDefault="004E22F3" w:rsidP="002D76C8">
      <w:pPr>
        <w:spacing w:line="360" w:lineRule="auto"/>
        <w:rPr>
          <w:rFonts w:ascii="Times New Roman" w:hAnsi="Times New Roman" w:cs="Times New Roman"/>
        </w:rPr>
      </w:pPr>
    </w:p>
    <w:p w14:paraId="65CAF907" w14:textId="77777777" w:rsidR="004E22F3" w:rsidRDefault="004E22F3" w:rsidP="002D76C8">
      <w:pPr>
        <w:spacing w:line="360" w:lineRule="auto"/>
        <w:rPr>
          <w:rFonts w:ascii="Times New Roman" w:hAnsi="Times New Roman" w:cs="Times New Roman"/>
        </w:rPr>
      </w:pPr>
    </w:p>
    <w:p w14:paraId="36C05EC1" w14:textId="77777777" w:rsidR="004E22F3" w:rsidRDefault="004E22F3" w:rsidP="002D76C8">
      <w:pPr>
        <w:spacing w:line="360" w:lineRule="auto"/>
        <w:rPr>
          <w:rFonts w:ascii="Times New Roman" w:hAnsi="Times New Roman" w:cs="Times New Roman"/>
        </w:rPr>
      </w:pPr>
    </w:p>
    <w:p w14:paraId="0CFFEA75" w14:textId="77777777" w:rsidR="004E22F3" w:rsidRDefault="004E22F3" w:rsidP="002D76C8">
      <w:pPr>
        <w:spacing w:line="360" w:lineRule="auto"/>
        <w:rPr>
          <w:rFonts w:ascii="Times New Roman" w:hAnsi="Times New Roman" w:cs="Times New Roman"/>
        </w:rPr>
      </w:pPr>
    </w:p>
    <w:p w14:paraId="50D243E6" w14:textId="77777777" w:rsidR="004E22F3" w:rsidRDefault="004E22F3" w:rsidP="002D76C8">
      <w:pPr>
        <w:spacing w:line="360" w:lineRule="auto"/>
        <w:rPr>
          <w:rFonts w:ascii="Times New Roman" w:hAnsi="Times New Roman" w:cs="Times New Roman"/>
        </w:rPr>
      </w:pPr>
    </w:p>
    <w:p w14:paraId="2D83ADA4" w14:textId="77777777" w:rsidR="004E22F3" w:rsidRDefault="004E22F3" w:rsidP="002D76C8">
      <w:pPr>
        <w:spacing w:line="360" w:lineRule="auto"/>
        <w:rPr>
          <w:rFonts w:ascii="Times New Roman" w:hAnsi="Times New Roman" w:cs="Times New Roman"/>
        </w:rPr>
      </w:pPr>
    </w:p>
    <w:p w14:paraId="2FA93350" w14:textId="77777777" w:rsidR="004E22F3" w:rsidRDefault="004E22F3" w:rsidP="002D76C8">
      <w:pPr>
        <w:spacing w:line="360" w:lineRule="auto"/>
        <w:rPr>
          <w:rFonts w:ascii="Times New Roman" w:hAnsi="Times New Roman" w:cs="Times New Roman"/>
        </w:rPr>
      </w:pPr>
    </w:p>
    <w:p w14:paraId="09224986" w14:textId="77777777" w:rsidR="004E22F3" w:rsidRDefault="004E22F3" w:rsidP="002D76C8">
      <w:pPr>
        <w:spacing w:line="360" w:lineRule="auto"/>
        <w:rPr>
          <w:rFonts w:ascii="Times New Roman" w:hAnsi="Times New Roman" w:cs="Times New Roman"/>
        </w:rPr>
      </w:pPr>
    </w:p>
    <w:p w14:paraId="036B5BC5" w14:textId="77777777" w:rsidR="004E22F3" w:rsidRDefault="004E22F3" w:rsidP="002D76C8">
      <w:pPr>
        <w:spacing w:line="360" w:lineRule="auto"/>
        <w:rPr>
          <w:rFonts w:ascii="Times New Roman" w:hAnsi="Times New Roman" w:cs="Times New Roman"/>
        </w:rPr>
      </w:pPr>
    </w:p>
    <w:p w14:paraId="48AC4FFC" w14:textId="77777777" w:rsidR="004E22F3" w:rsidRDefault="004E22F3" w:rsidP="002D76C8">
      <w:pPr>
        <w:spacing w:line="360" w:lineRule="auto"/>
        <w:rPr>
          <w:rFonts w:ascii="Times New Roman" w:hAnsi="Times New Roman" w:cs="Times New Roman"/>
        </w:rPr>
      </w:pPr>
    </w:p>
    <w:p w14:paraId="158551F6" w14:textId="77777777" w:rsidR="004E22F3" w:rsidRDefault="004E22F3" w:rsidP="002D76C8">
      <w:pPr>
        <w:spacing w:line="360" w:lineRule="auto"/>
        <w:rPr>
          <w:rFonts w:ascii="Times New Roman" w:hAnsi="Times New Roman" w:cs="Times New Roman"/>
        </w:rPr>
      </w:pPr>
    </w:p>
    <w:p w14:paraId="36A614EC" w14:textId="77777777" w:rsidR="004E22F3" w:rsidRDefault="004E22F3" w:rsidP="002D76C8">
      <w:pPr>
        <w:spacing w:line="360" w:lineRule="auto"/>
        <w:rPr>
          <w:rFonts w:ascii="Times New Roman" w:hAnsi="Times New Roman" w:cs="Times New Roman"/>
        </w:rPr>
      </w:pPr>
    </w:p>
    <w:p w14:paraId="1C7D7150" w14:textId="77777777" w:rsidR="004E22F3" w:rsidRDefault="004E22F3" w:rsidP="002D76C8">
      <w:pPr>
        <w:spacing w:line="360" w:lineRule="auto"/>
        <w:rPr>
          <w:rFonts w:ascii="Times New Roman" w:hAnsi="Times New Roman" w:cs="Times New Roman"/>
        </w:rPr>
      </w:pPr>
    </w:p>
    <w:p w14:paraId="5C8D7EE2" w14:textId="3B4991B9" w:rsidR="002E61BE" w:rsidRPr="004E22F3" w:rsidRDefault="002E61BE" w:rsidP="002D76C8">
      <w:pPr>
        <w:spacing w:line="360" w:lineRule="auto"/>
        <w:jc w:val="center"/>
        <w:rPr>
          <w:rFonts w:ascii="Times New Roman" w:hAnsi="Times New Roman" w:cs="Times New Roman"/>
          <w:b/>
          <w:sz w:val="28"/>
          <w:szCs w:val="28"/>
        </w:rPr>
      </w:pPr>
      <w:r w:rsidRPr="004E22F3">
        <w:rPr>
          <w:rFonts w:ascii="Times New Roman" w:hAnsi="Times New Roman" w:cs="Times New Roman"/>
          <w:b/>
          <w:sz w:val="28"/>
          <w:szCs w:val="28"/>
        </w:rPr>
        <w:lastRenderedPageBreak/>
        <w:t>Chapter VI: Conclusion</w:t>
      </w:r>
    </w:p>
    <w:p w14:paraId="10683615" w14:textId="77777777" w:rsidR="002E61BE" w:rsidRDefault="002E61BE" w:rsidP="002D76C8">
      <w:pPr>
        <w:spacing w:line="360" w:lineRule="auto"/>
        <w:jc w:val="center"/>
        <w:rPr>
          <w:rFonts w:ascii="Times New Roman" w:hAnsi="Times New Roman" w:cs="Times New Roman"/>
        </w:rPr>
      </w:pPr>
    </w:p>
    <w:p w14:paraId="08EF8F3C" w14:textId="3A7A0A28" w:rsidR="002E61BE" w:rsidRDefault="002410D0" w:rsidP="002D76C8">
      <w:pPr>
        <w:spacing w:line="360" w:lineRule="auto"/>
        <w:rPr>
          <w:rFonts w:ascii="Times New Roman" w:hAnsi="Times New Roman" w:cs="Times New Roman"/>
        </w:rPr>
      </w:pPr>
      <w:r>
        <w:rPr>
          <w:rFonts w:ascii="Times New Roman" w:hAnsi="Times New Roman" w:cs="Times New Roman"/>
        </w:rPr>
        <w:tab/>
        <w:t xml:space="preserve">Over the course of this research paper, much has been clarified about </w:t>
      </w:r>
      <w:r w:rsidR="005E5454">
        <w:rPr>
          <w:rFonts w:ascii="Times New Roman" w:hAnsi="Times New Roman" w:cs="Times New Roman"/>
        </w:rPr>
        <w:t xml:space="preserve">the </w:t>
      </w:r>
      <w:r w:rsidR="000611D9">
        <w:rPr>
          <w:rFonts w:ascii="Times New Roman" w:hAnsi="Times New Roman" w:cs="Times New Roman"/>
        </w:rPr>
        <w:t>so-called</w:t>
      </w:r>
      <w:r>
        <w:rPr>
          <w:rFonts w:ascii="Times New Roman" w:hAnsi="Times New Roman" w:cs="Times New Roman"/>
        </w:rPr>
        <w:t xml:space="preserve"> Dernburg reform period</w:t>
      </w:r>
      <w:r w:rsidR="000611D9">
        <w:rPr>
          <w:rFonts w:ascii="Times New Roman" w:hAnsi="Times New Roman" w:cs="Times New Roman"/>
        </w:rPr>
        <w:t xml:space="preserve">. </w:t>
      </w:r>
      <w:r w:rsidR="00681ECB">
        <w:rPr>
          <w:rFonts w:ascii="Times New Roman" w:hAnsi="Times New Roman" w:cs="Times New Roman"/>
        </w:rPr>
        <w:t>Several historians have seen it</w:t>
      </w:r>
      <w:r w:rsidR="000611D9">
        <w:rPr>
          <w:rFonts w:ascii="Times New Roman" w:hAnsi="Times New Roman" w:cs="Times New Roman"/>
        </w:rPr>
        <w:t>, mostly in the past, but also significantly in modern popular literature, as just such a reform period under the authoritarian guidance of</w:t>
      </w:r>
      <w:r w:rsidR="000C29E7">
        <w:rPr>
          <w:rFonts w:ascii="Times New Roman" w:hAnsi="Times New Roman" w:cs="Times New Roman"/>
        </w:rPr>
        <w:t xml:space="preserve"> a visionary colonial secretary.</w:t>
      </w:r>
      <w:r w:rsidR="000C29E7" w:rsidRPr="000C29E7">
        <w:rPr>
          <w:rStyle w:val="FootnoteReference"/>
          <w:rFonts w:ascii="Times New Roman" w:hAnsi="Times New Roman" w:cs="Times New Roman"/>
        </w:rPr>
        <w:t xml:space="preserve"> </w:t>
      </w:r>
      <w:r w:rsidR="000C29E7">
        <w:rPr>
          <w:rStyle w:val="FootnoteReference"/>
          <w:rFonts w:ascii="Times New Roman" w:hAnsi="Times New Roman" w:cs="Times New Roman"/>
        </w:rPr>
        <w:footnoteReference w:id="159"/>
      </w:r>
      <w:r w:rsidR="000611D9">
        <w:rPr>
          <w:rFonts w:ascii="Times New Roman" w:hAnsi="Times New Roman" w:cs="Times New Roman"/>
        </w:rPr>
        <w:t xml:space="preserve"> </w:t>
      </w:r>
      <w:r w:rsidR="000C29E7">
        <w:rPr>
          <w:rFonts w:ascii="Times New Roman" w:hAnsi="Times New Roman" w:cs="Times New Roman"/>
        </w:rPr>
        <w:t xml:space="preserve">This paper has sought to clarify what that reform period actually was, and how the idea of it came about. </w:t>
      </w:r>
      <w:r w:rsidR="000611D9">
        <w:rPr>
          <w:rFonts w:ascii="Times New Roman" w:hAnsi="Times New Roman" w:cs="Times New Roman"/>
        </w:rPr>
        <w:t>As such, it was first explained that the idea of the Dernburg reform period was born out of the Reichstag elections of 1907. Dernburg made a great many claims about how East Africa, and the German colonies in general would become vital resource production areas, and at the same time the natives would be lifted from their squalor through the wonders of the German civilizing mission. These claims, articulated largely to gain support for the right-wing coalition that Bülow was building in the Rei</w:t>
      </w:r>
      <w:r w:rsidR="000C29E7">
        <w:rPr>
          <w:rFonts w:ascii="Times New Roman" w:hAnsi="Times New Roman" w:cs="Times New Roman"/>
        </w:rPr>
        <w:t>chstag, did not reflect reality. Despite that</w:t>
      </w:r>
      <w:r w:rsidR="000611D9">
        <w:rPr>
          <w:rFonts w:ascii="Times New Roman" w:hAnsi="Times New Roman" w:cs="Times New Roman"/>
        </w:rPr>
        <w:t>, they have managed to confuse a number of historians.</w:t>
      </w:r>
      <w:r w:rsidR="000C29E7">
        <w:rPr>
          <w:rStyle w:val="FootnoteReference"/>
          <w:rFonts w:ascii="Times New Roman" w:hAnsi="Times New Roman" w:cs="Times New Roman"/>
        </w:rPr>
        <w:footnoteReference w:id="160"/>
      </w:r>
      <w:r w:rsidR="000611D9">
        <w:rPr>
          <w:rFonts w:ascii="Times New Roman" w:hAnsi="Times New Roman" w:cs="Times New Roman"/>
        </w:rPr>
        <w:t xml:space="preserve"> The election, and Dernburg’s term in office, did not represent a serious shift in the dynamics of the colony, but rather a revived interest in the colony generally, as befit an issue of supposed national importance. The facts on the ground help to support this case. This has been seen, on the one hand, in terms of economic growth and change in the colony. Whereas Dernburg made grand claims about the value of the colony and its possible exports to Germany, with the exception of sisal, these claims failed to materialize. The planting of these crops had begun under governor Götzen, and merely continued and attracted more investment under Dernburg’s watch. Furthermore, the increases that did occur, (this paper does not deny that there was exponential growth in cash crop production,) were from an extremely low base level, and never came close to meetin</w:t>
      </w:r>
      <w:r w:rsidR="0016617B">
        <w:rPr>
          <w:rFonts w:ascii="Times New Roman" w:hAnsi="Times New Roman" w:cs="Times New Roman"/>
        </w:rPr>
        <w:t xml:space="preserve">g the needs of German industry. Rather, the entire trade value of the colony only ever managed to become one half of one percent of Germany’s total trade; far less than Germany’s trade with other nations’ colonies. Where the colony did seriously improve in economic terms was in its value as a whole, with the growth of railroads. However, efforts to make these railroads economic failed in large part over the necessity to meet the settlers’ demands and also build an unprofitable northern line. While the colony did not become the economic powerhouse that Dernburg envisioned, it also failed to move forward substantially in social terms. While </w:t>
      </w:r>
      <w:r w:rsidR="0016617B">
        <w:rPr>
          <w:rFonts w:ascii="Times New Roman" w:hAnsi="Times New Roman" w:cs="Times New Roman"/>
        </w:rPr>
        <w:lastRenderedPageBreak/>
        <w:t>certain diseases</w:t>
      </w:r>
      <w:r w:rsidR="0065145C">
        <w:rPr>
          <w:rFonts w:ascii="Times New Roman" w:hAnsi="Times New Roman" w:cs="Times New Roman"/>
        </w:rPr>
        <w:t>, like smallpox,</w:t>
      </w:r>
      <w:r w:rsidR="0016617B">
        <w:rPr>
          <w:rFonts w:ascii="Times New Roman" w:hAnsi="Times New Roman" w:cs="Times New Roman"/>
        </w:rPr>
        <w:t xml:space="preserve"> were certainly rooted out to a large degree, this represented a lone </w:t>
      </w:r>
      <w:r w:rsidR="0065145C">
        <w:rPr>
          <w:rFonts w:ascii="Times New Roman" w:hAnsi="Times New Roman" w:cs="Times New Roman"/>
        </w:rPr>
        <w:t>area of serious progress, despite failures in curbing malaria, and merely the ability to check the spread of sleeping sickness.</w:t>
      </w:r>
      <w:r w:rsidR="0016617B">
        <w:rPr>
          <w:rFonts w:ascii="Times New Roman" w:hAnsi="Times New Roman" w:cs="Times New Roman"/>
        </w:rPr>
        <w:t xml:space="preserve"> Education, </w:t>
      </w:r>
      <w:r w:rsidR="00BF38B5">
        <w:rPr>
          <w:rFonts w:ascii="Times New Roman" w:hAnsi="Times New Roman" w:cs="Times New Roman"/>
        </w:rPr>
        <w:t>though increasingly prevalent</w:t>
      </w:r>
      <w:r w:rsidR="0016617B">
        <w:rPr>
          <w:rFonts w:ascii="Times New Roman" w:hAnsi="Times New Roman" w:cs="Times New Roman"/>
        </w:rPr>
        <w:t>, did not seriously improve the lot of the natives, but rather was intended to Christianize them, and prepare intermediaries for work in the German administrati</w:t>
      </w:r>
      <w:r w:rsidR="000C29E7">
        <w:rPr>
          <w:rFonts w:ascii="Times New Roman" w:hAnsi="Times New Roman" w:cs="Times New Roman"/>
        </w:rPr>
        <w:t>on. Statistics that might show a general rise in literacy are non-existent, as this was not a major policy concern.</w:t>
      </w:r>
      <w:r w:rsidR="0016617B">
        <w:rPr>
          <w:rFonts w:ascii="Times New Roman" w:hAnsi="Times New Roman" w:cs="Times New Roman"/>
        </w:rPr>
        <w:t xml:space="preserve"> Slavery continued in the colony in this period, despite Dernburg’s claims that it had already been </w:t>
      </w:r>
      <w:r w:rsidR="00924D40">
        <w:rPr>
          <w:rFonts w:ascii="Times New Roman" w:hAnsi="Times New Roman" w:cs="Times New Roman"/>
        </w:rPr>
        <w:t>abolished by his time in office, and in spite of his suggestion that it was morally reprehensible.</w:t>
      </w:r>
      <w:r w:rsidR="0016617B">
        <w:rPr>
          <w:rFonts w:ascii="Times New Roman" w:hAnsi="Times New Roman" w:cs="Times New Roman"/>
        </w:rPr>
        <w:t xml:space="preserve"> At the same time, labor laws against the natives were not substantially altered, and a certain brutality continued to tinge German occupation as compared with British rule in Kenya to the north. Lastly, persecution of Indians began during this supposed reform period, and was codified in the aftermath thereof. </w:t>
      </w:r>
      <w:r w:rsidR="003C7310">
        <w:rPr>
          <w:rFonts w:ascii="Times New Roman" w:hAnsi="Times New Roman" w:cs="Times New Roman"/>
        </w:rPr>
        <w:t xml:space="preserve">What the failure of the colony in economic terms, and the failure of the colony in terms of social advancement have in common is their root cause, what can be seen as the primary historical development during German rule in East Africa: the rise of the settlers. </w:t>
      </w:r>
      <w:r w:rsidR="00B17EEF">
        <w:rPr>
          <w:rFonts w:ascii="Times New Roman" w:hAnsi="Times New Roman" w:cs="Times New Roman"/>
        </w:rPr>
        <w:t>Between 1899 and 1914, the population of settlers increased dramatically, from essentially none to over five thousand Europeans. As their population grew, so did their authority and influence on colonial affairs. They prevented the ideas that Dernburg and Rechenberg held for the colony, as one of African freedom and production for the benefit of the German Empire, from coming into being. They did this largely through their supporters in the Reichstag, and in the process they managed to divert the resources of the colony into the promotion of European settler plantations using African labor, rather than Africans working of their own accord. They diverted railroads to advance their own interests, and effectively blocked any worthwhile social reforms, except for perhaps disease prevention, which also of course was to their benefit. By the end of German rule in East Africa, the settlers were coming to dominate the affairs of the colony in more obvious ways, and this trend seems unlike</w:t>
      </w:r>
      <w:r w:rsidR="000420A9">
        <w:rPr>
          <w:rFonts w:ascii="Times New Roman" w:hAnsi="Times New Roman" w:cs="Times New Roman"/>
        </w:rPr>
        <w:t>ly</w:t>
      </w:r>
      <w:r w:rsidR="00B17EEF">
        <w:rPr>
          <w:rFonts w:ascii="Times New Roman" w:hAnsi="Times New Roman" w:cs="Times New Roman"/>
        </w:rPr>
        <w:t xml:space="preserve"> to have changed were it not for the First World War.</w:t>
      </w:r>
    </w:p>
    <w:p w14:paraId="65A08464" w14:textId="64C77EFA" w:rsidR="007679DD" w:rsidRDefault="007679DD" w:rsidP="002D76C8">
      <w:pPr>
        <w:spacing w:line="360" w:lineRule="auto"/>
        <w:rPr>
          <w:rFonts w:ascii="Times New Roman" w:hAnsi="Times New Roman" w:cs="Times New Roman"/>
        </w:rPr>
      </w:pPr>
      <w:r>
        <w:rPr>
          <w:rFonts w:ascii="Times New Roman" w:hAnsi="Times New Roman" w:cs="Times New Roman"/>
        </w:rPr>
        <w:tab/>
        <w:t xml:space="preserve">This paper argues then, that the period between 1907 and 1910, when Dernburg was in office, should not be taken as a period of reform, or for that matter as the defining watershed in </w:t>
      </w:r>
      <w:r w:rsidR="00A819A5">
        <w:rPr>
          <w:rFonts w:ascii="Times New Roman" w:hAnsi="Times New Roman" w:cs="Times New Roman"/>
        </w:rPr>
        <w:t>German East African history. While most modern scholars have moved away from explaining the period as one of reform, in the line of John Iliffe, they remain beholden to the old colonial periodization of that history. As such they use the Maji Maji rebellion, and the subsequent colonial crisis which was followed by Dernburg’s appointment, as the major brea</w:t>
      </w:r>
      <w:r w:rsidR="00924D40">
        <w:rPr>
          <w:rFonts w:ascii="Times New Roman" w:hAnsi="Times New Roman" w:cs="Times New Roman"/>
        </w:rPr>
        <w:t xml:space="preserve">k in the history of the colony. </w:t>
      </w:r>
      <w:r w:rsidR="00A819A5">
        <w:rPr>
          <w:rFonts w:ascii="Times New Roman" w:hAnsi="Times New Roman" w:cs="Times New Roman"/>
        </w:rPr>
        <w:t xml:space="preserve">However, having seen that the colony did not seriously reform during Dernburg’s time in office, nor develop as a worthwhile economic factor in </w:t>
      </w:r>
      <w:r w:rsidR="00A819A5">
        <w:rPr>
          <w:rFonts w:ascii="Times New Roman" w:hAnsi="Times New Roman" w:cs="Times New Roman"/>
        </w:rPr>
        <w:lastRenderedPageBreak/>
        <w:t>German industry or trade, this periodization seems misguided. While there is an increased interest in the colony after the Maji Maji rebellion from Imperial Germany, the situation there did not change enough to warrant a dramatic historical break. Rather, this paper argues, the time that Dernburg was in office should be seen in a larger context. There was certainly an attempt in some ways at reform, if not in social terms, there was a definite attempt to make the colony profitable to the empire. But this attempt at reform only represents a minor period of backlash against the rising settler tide. Instead of breaking the history in the middle of the period of settler growth, the entire twentieth century portion of German rule should be seen as a coherent entity. As the colony developed during this period, it moved further and further towards a distinctly South African model; a colony designed to benefit the settler community there. Given the power of colonial and patriotic societies in Germany, and the support that the colonists received from the right wing of the political spectrum</w:t>
      </w:r>
      <w:r w:rsidR="000168B8">
        <w:rPr>
          <w:rFonts w:ascii="Times New Roman" w:hAnsi="Times New Roman" w:cs="Times New Roman"/>
        </w:rPr>
        <w:t xml:space="preserve">, this was unavoidable. In both of the German colonies with substantial European populations, that is to say German East Africa, and German South-West Africa, </w:t>
      </w:r>
      <w:r w:rsidR="00751C53">
        <w:rPr>
          <w:rFonts w:ascii="Times New Roman" w:hAnsi="Times New Roman" w:cs="Times New Roman"/>
        </w:rPr>
        <w:t>the settlers came to dominate, whereas the others remained trading colonies. In the context of this new periodization with the dominant historical thread begin the rise and eventual dominance of the settler community, stretching from 1899 to 1914, the period between 1907 and 1910 is therefore not seen as a period of reform, but rather as an attempt to push the colony back</w:t>
      </w:r>
      <w:r w:rsidR="00BF38B5">
        <w:rPr>
          <w:rFonts w:ascii="Times New Roman" w:hAnsi="Times New Roman" w:cs="Times New Roman"/>
        </w:rPr>
        <w:t xml:space="preserve"> onto a trading model</w:t>
      </w:r>
      <w:r w:rsidR="00751C53">
        <w:rPr>
          <w:rFonts w:ascii="Times New Roman" w:hAnsi="Times New Roman" w:cs="Times New Roman"/>
        </w:rPr>
        <w:t xml:space="preserve"> trajectory. It is precisely because the primary historical trend of settlement colonization began several years prior to this effort, that the attempt to reform the colony failed. The precedence of German settlers over African natives was not a situation that could be altered within the German Empire, and therefore the presence of settlers in large numbers ultimately determined the historical trajectory of the colony. </w:t>
      </w:r>
    </w:p>
    <w:p w14:paraId="3633B454" w14:textId="77777777" w:rsidR="007F0D3D" w:rsidRDefault="007F0D3D" w:rsidP="002D76C8">
      <w:pPr>
        <w:spacing w:line="480" w:lineRule="auto"/>
        <w:rPr>
          <w:rFonts w:ascii="Times New Roman" w:hAnsi="Times New Roman" w:cs="Times New Roman"/>
        </w:rPr>
      </w:pPr>
    </w:p>
    <w:p w14:paraId="7899BB1A" w14:textId="77777777" w:rsidR="007F0D3D" w:rsidRDefault="007F0D3D" w:rsidP="002D76C8">
      <w:pPr>
        <w:spacing w:line="480" w:lineRule="auto"/>
        <w:rPr>
          <w:rFonts w:ascii="Times New Roman" w:hAnsi="Times New Roman" w:cs="Times New Roman"/>
        </w:rPr>
      </w:pPr>
    </w:p>
    <w:p w14:paraId="3CABC450" w14:textId="77777777" w:rsidR="007F0D3D" w:rsidRDefault="007F0D3D" w:rsidP="002D76C8">
      <w:pPr>
        <w:spacing w:line="480" w:lineRule="auto"/>
        <w:rPr>
          <w:rFonts w:ascii="Times New Roman" w:hAnsi="Times New Roman" w:cs="Times New Roman"/>
        </w:rPr>
      </w:pPr>
    </w:p>
    <w:p w14:paraId="5438B3A8" w14:textId="77777777" w:rsidR="007F0D3D" w:rsidRDefault="007F0D3D" w:rsidP="002D76C8">
      <w:pPr>
        <w:spacing w:line="480" w:lineRule="auto"/>
        <w:rPr>
          <w:rFonts w:ascii="Times New Roman" w:hAnsi="Times New Roman" w:cs="Times New Roman"/>
        </w:rPr>
      </w:pPr>
    </w:p>
    <w:p w14:paraId="497F4A79" w14:textId="77777777" w:rsidR="002D76C8" w:rsidRDefault="002D76C8" w:rsidP="002D76C8">
      <w:pPr>
        <w:spacing w:line="480" w:lineRule="auto"/>
        <w:rPr>
          <w:rFonts w:ascii="Times New Roman" w:hAnsi="Times New Roman" w:cs="Times New Roman"/>
        </w:rPr>
      </w:pPr>
    </w:p>
    <w:p w14:paraId="545F22F2" w14:textId="77777777" w:rsidR="00BF38B5" w:rsidRDefault="00BF38B5" w:rsidP="002D76C8">
      <w:pPr>
        <w:spacing w:line="480" w:lineRule="auto"/>
        <w:rPr>
          <w:rFonts w:ascii="Times New Roman" w:hAnsi="Times New Roman" w:cs="Times New Roman"/>
        </w:rPr>
      </w:pPr>
    </w:p>
    <w:p w14:paraId="60CC8DDB" w14:textId="77777777" w:rsidR="00BF38B5" w:rsidRDefault="00BF38B5" w:rsidP="002D76C8">
      <w:pPr>
        <w:spacing w:line="480" w:lineRule="auto"/>
        <w:rPr>
          <w:rFonts w:ascii="Times New Roman" w:hAnsi="Times New Roman" w:cs="Times New Roman"/>
        </w:rPr>
      </w:pPr>
    </w:p>
    <w:p w14:paraId="31037E43" w14:textId="77777777" w:rsidR="001B5504" w:rsidRDefault="001B5504" w:rsidP="002D76C8">
      <w:pPr>
        <w:spacing w:line="480" w:lineRule="auto"/>
        <w:rPr>
          <w:rFonts w:ascii="Times New Roman" w:hAnsi="Times New Roman" w:cs="Times New Roman"/>
        </w:rPr>
      </w:pPr>
    </w:p>
    <w:p w14:paraId="5432EA08" w14:textId="19FD8A63" w:rsidR="007F0D3D" w:rsidRPr="004E22F3" w:rsidRDefault="00BE362F" w:rsidP="002D76C8">
      <w:pPr>
        <w:spacing w:line="480" w:lineRule="auto"/>
        <w:jc w:val="center"/>
        <w:rPr>
          <w:rFonts w:ascii="Times New Roman" w:hAnsi="Times New Roman" w:cs="Times New Roman"/>
          <w:b/>
          <w:sz w:val="28"/>
          <w:szCs w:val="28"/>
        </w:rPr>
      </w:pPr>
      <w:r w:rsidRPr="004E22F3">
        <w:rPr>
          <w:rFonts w:ascii="Times New Roman" w:hAnsi="Times New Roman" w:cs="Times New Roman"/>
          <w:b/>
          <w:sz w:val="28"/>
          <w:szCs w:val="28"/>
        </w:rPr>
        <w:lastRenderedPageBreak/>
        <w:t>Bibliography</w:t>
      </w:r>
    </w:p>
    <w:p w14:paraId="18E51B14" w14:textId="64DE5B20" w:rsidR="007F0D3D" w:rsidRPr="004E22F3" w:rsidRDefault="007F0D3D" w:rsidP="002D76C8">
      <w:pPr>
        <w:jc w:val="center"/>
        <w:rPr>
          <w:rFonts w:ascii="Times New Roman" w:hAnsi="Times New Roman" w:cs="Times New Roman"/>
          <w:b/>
          <w:color w:val="000000"/>
          <w:lang w:bidi="en-US"/>
        </w:rPr>
      </w:pPr>
      <w:r w:rsidRPr="004E22F3">
        <w:rPr>
          <w:rFonts w:ascii="Times New Roman" w:hAnsi="Times New Roman" w:cs="Times New Roman"/>
          <w:b/>
          <w:color w:val="000000"/>
          <w:lang w:bidi="en-US"/>
        </w:rPr>
        <w:t>Primary Sources</w:t>
      </w:r>
    </w:p>
    <w:p w14:paraId="415AC027" w14:textId="77777777" w:rsidR="007F0D3D" w:rsidRDefault="007F0D3D" w:rsidP="002D76C8">
      <w:pPr>
        <w:jc w:val="center"/>
        <w:rPr>
          <w:rFonts w:cs="Times-Roman"/>
          <w:color w:val="000000"/>
          <w:lang w:bidi="en-US"/>
        </w:rPr>
      </w:pPr>
    </w:p>
    <w:p w14:paraId="790F3093" w14:textId="130D5FFC" w:rsidR="007F0D3D" w:rsidRPr="002A77E0" w:rsidRDefault="007F0D3D" w:rsidP="002D76C8">
      <w:r>
        <w:t>Bundesarchiv</w:t>
      </w:r>
      <w:r w:rsidRPr="002A77E0">
        <w:t xml:space="preserve"> Berlin</w:t>
      </w:r>
      <w:r>
        <w:t xml:space="preserve"> Lichterfelde</w:t>
      </w:r>
      <w:r w:rsidRPr="002A77E0">
        <w:t xml:space="preserve">. </w:t>
      </w:r>
      <w:r w:rsidR="00A21FDE">
        <w:t xml:space="preserve">Reichskolonialamt. </w:t>
      </w:r>
    </w:p>
    <w:p w14:paraId="56C7701C" w14:textId="77777777" w:rsidR="007F0D3D" w:rsidRPr="002A77E0" w:rsidRDefault="007F0D3D" w:rsidP="002D76C8"/>
    <w:p w14:paraId="3C24D3FD" w14:textId="77777777" w:rsidR="007F0D3D" w:rsidRPr="002A77E0" w:rsidRDefault="007F0D3D" w:rsidP="002D76C8">
      <w:r w:rsidRPr="00B42755">
        <w:rPr>
          <w:lang w:bidi="en-US"/>
        </w:rPr>
        <w:t xml:space="preserve">Dernburg, Bernhard. </w:t>
      </w:r>
      <w:r w:rsidRPr="00B42755">
        <w:rPr>
          <w:i/>
          <w:iCs/>
          <w:lang w:bidi="en-US"/>
        </w:rPr>
        <w:t>Zielpunkte des deutschen Kolonialwesens</w:t>
      </w:r>
      <w:r w:rsidRPr="00B42755">
        <w:rPr>
          <w:lang w:bidi="en-US"/>
        </w:rPr>
        <w:t>. Berlin. 1907.</w:t>
      </w:r>
    </w:p>
    <w:p w14:paraId="518A76BA" w14:textId="77777777" w:rsidR="007F0D3D" w:rsidRDefault="007F0D3D" w:rsidP="002D76C8">
      <w:pPr>
        <w:rPr>
          <w:rFonts w:cs="Times-Roman"/>
          <w:color w:val="000000"/>
          <w:lang w:bidi="en-US"/>
        </w:rPr>
      </w:pPr>
    </w:p>
    <w:p w14:paraId="35D6370B" w14:textId="0791AC54" w:rsidR="00A21FDE" w:rsidRDefault="00A21FDE" w:rsidP="002D76C8">
      <w:pPr>
        <w:rPr>
          <w:rFonts w:cs="Times-Roman"/>
          <w:color w:val="000000"/>
          <w:lang w:bidi="en-US"/>
        </w:rPr>
      </w:pPr>
      <w:r>
        <w:rPr>
          <w:rFonts w:cs="Times-Roman"/>
          <w:color w:val="000000"/>
          <w:lang w:bidi="en-US"/>
        </w:rPr>
        <w:t>Fabri, Friedrich. “Does Germany Need Colonies?” 3</w:t>
      </w:r>
      <w:r w:rsidRPr="00A21FDE">
        <w:rPr>
          <w:rFonts w:cs="Times-Roman"/>
          <w:color w:val="000000"/>
          <w:vertAlign w:val="superscript"/>
          <w:lang w:bidi="en-US"/>
        </w:rPr>
        <w:t>rd</w:t>
      </w:r>
      <w:r>
        <w:rPr>
          <w:rFonts w:cs="Times-Roman"/>
          <w:color w:val="000000"/>
          <w:lang w:bidi="en-US"/>
        </w:rPr>
        <w:t xml:space="preserve"> ed. 1883. </w:t>
      </w:r>
      <w:r w:rsidR="00FC4D11">
        <w:t>German History Documents. 5 July, 2012.</w:t>
      </w:r>
    </w:p>
    <w:p w14:paraId="6BE56760" w14:textId="77777777" w:rsidR="007F0D3D" w:rsidRPr="007F0D3D" w:rsidRDefault="007F0D3D" w:rsidP="002D76C8">
      <w:pPr>
        <w:rPr>
          <w:rFonts w:cs="Times-Roman"/>
          <w:color w:val="000000"/>
          <w:lang w:bidi="en-US"/>
        </w:rPr>
      </w:pPr>
    </w:p>
    <w:p w14:paraId="284C99B8" w14:textId="6FA4809E" w:rsidR="007F0D3D" w:rsidRPr="004E22F3" w:rsidRDefault="007F0D3D" w:rsidP="002D76C8">
      <w:pPr>
        <w:jc w:val="center"/>
        <w:rPr>
          <w:rFonts w:ascii="Times New Roman" w:hAnsi="Times New Roman" w:cs="Times New Roman"/>
          <w:b/>
          <w:color w:val="000000"/>
          <w:lang w:bidi="en-US"/>
        </w:rPr>
      </w:pPr>
      <w:r w:rsidRPr="004E22F3">
        <w:rPr>
          <w:rFonts w:ascii="Times New Roman" w:hAnsi="Times New Roman" w:cs="Times New Roman"/>
          <w:b/>
          <w:color w:val="000000"/>
          <w:lang w:bidi="en-US"/>
        </w:rPr>
        <w:t>Secondary Sources</w:t>
      </w:r>
    </w:p>
    <w:p w14:paraId="5ABBBF3D" w14:textId="77777777" w:rsidR="007F0D3D" w:rsidRDefault="007F0D3D" w:rsidP="002D76C8">
      <w:pPr>
        <w:rPr>
          <w:rFonts w:cs="Times-Roman"/>
          <w:color w:val="000000"/>
          <w:szCs w:val="19"/>
          <w:lang w:bidi="en-US"/>
        </w:rPr>
      </w:pPr>
    </w:p>
    <w:p w14:paraId="1DB1FE50" w14:textId="77777777" w:rsidR="007F0D3D" w:rsidRDefault="007F0D3D" w:rsidP="002D76C8">
      <w:pPr>
        <w:rPr>
          <w:rFonts w:cs="Times-Roman"/>
          <w:color w:val="000000"/>
          <w:szCs w:val="19"/>
          <w:lang w:bidi="en-US"/>
        </w:rPr>
      </w:pPr>
    </w:p>
    <w:p w14:paraId="28A0DCCE" w14:textId="77777777" w:rsidR="007F0D3D" w:rsidRPr="00B42755" w:rsidRDefault="007F0D3D" w:rsidP="002D76C8">
      <w:pPr>
        <w:rPr>
          <w:rFonts w:cs="Times-Roman"/>
          <w:color w:val="000000"/>
          <w:szCs w:val="19"/>
          <w:lang w:bidi="en-US"/>
        </w:rPr>
      </w:pPr>
      <w:r w:rsidRPr="00B42755">
        <w:rPr>
          <w:rFonts w:cs="Times-Roman"/>
          <w:color w:val="000000"/>
          <w:szCs w:val="19"/>
          <w:lang w:bidi="en-US"/>
        </w:rPr>
        <w:t xml:space="preserve">Bald, Detlef. </w:t>
      </w:r>
      <w:r w:rsidRPr="00B42755">
        <w:rPr>
          <w:rFonts w:cs="Times-Roman"/>
          <w:bCs/>
          <w:i/>
          <w:color w:val="000000"/>
          <w:szCs w:val="18"/>
          <w:lang w:bidi="en-US"/>
        </w:rPr>
        <w:t xml:space="preserve">Deutsch-Ostafrika </w:t>
      </w:r>
      <w:r w:rsidRPr="00B42755">
        <w:rPr>
          <w:rFonts w:cs="Times-Roman"/>
          <w:bCs/>
          <w:i/>
          <w:color w:val="000000"/>
          <w:szCs w:val="12"/>
          <w:lang w:bidi="en-US"/>
        </w:rPr>
        <w:t xml:space="preserve">1900-1914: </w:t>
      </w:r>
      <w:r w:rsidRPr="00B42755">
        <w:rPr>
          <w:rFonts w:cs="Times-Roman"/>
          <w:bCs/>
          <w:i/>
          <w:color w:val="000000"/>
          <w:szCs w:val="18"/>
          <w:lang w:bidi="en-US"/>
        </w:rPr>
        <w:t>Studie über Verwaltung, Interessengruppen und wirtschaftliche Erschliessung.</w:t>
      </w:r>
      <w:r w:rsidRPr="00B42755">
        <w:rPr>
          <w:rFonts w:cs="Times-Roman"/>
          <w:bCs/>
          <w:color w:val="000000"/>
          <w:szCs w:val="18"/>
          <w:lang w:bidi="en-US"/>
        </w:rPr>
        <w:t xml:space="preserve"> Munich: </w:t>
      </w:r>
      <w:r w:rsidRPr="00B42755">
        <w:rPr>
          <w:rFonts w:cs="Times-Roman"/>
          <w:bCs/>
          <w:color w:val="000000"/>
          <w:szCs w:val="16"/>
          <w:lang w:bidi="en-US"/>
        </w:rPr>
        <w:t xml:space="preserve">Weltforum Verlag. </w:t>
      </w:r>
      <w:r w:rsidRPr="00B42755">
        <w:rPr>
          <w:rFonts w:cs="Times-Roman"/>
          <w:bCs/>
          <w:color w:val="000000"/>
          <w:szCs w:val="14"/>
          <w:lang w:bidi="en-US"/>
        </w:rPr>
        <w:t>1970.</w:t>
      </w:r>
    </w:p>
    <w:p w14:paraId="3E438E32" w14:textId="77777777" w:rsidR="007F0D3D" w:rsidRPr="00B42755" w:rsidRDefault="007F0D3D" w:rsidP="002D76C8">
      <w:pPr>
        <w:rPr>
          <w:rFonts w:cs="Times-Roman"/>
          <w:color w:val="000000"/>
          <w:szCs w:val="19"/>
          <w:lang w:bidi="en-US"/>
        </w:rPr>
      </w:pPr>
    </w:p>
    <w:p w14:paraId="40B2F951" w14:textId="77777777" w:rsidR="007F0D3D" w:rsidRPr="00C879BD" w:rsidRDefault="007F0D3D" w:rsidP="002D76C8">
      <w:pPr>
        <w:rPr>
          <w:rFonts w:cs="Times-Roman"/>
          <w:color w:val="000000"/>
          <w:szCs w:val="19"/>
          <w:lang w:bidi="en-US"/>
        </w:rPr>
      </w:pPr>
      <w:r w:rsidRPr="00B42755">
        <w:rPr>
          <w:rFonts w:cs="Times-Roman"/>
          <w:color w:val="000000"/>
          <w:szCs w:val="19"/>
          <w:lang w:bidi="en-US"/>
        </w:rPr>
        <w:t xml:space="preserve">Crothers, George Dunlap. </w:t>
      </w:r>
      <w:r w:rsidRPr="00B42755">
        <w:rPr>
          <w:rFonts w:cs="Times-Roman"/>
          <w:i/>
          <w:color w:val="000000"/>
          <w:szCs w:val="19"/>
          <w:lang w:bidi="en-US"/>
        </w:rPr>
        <w:t xml:space="preserve">The German Elections of 1907. </w:t>
      </w:r>
      <w:r w:rsidRPr="00B42755">
        <w:rPr>
          <w:rFonts w:cs="Times-Roman"/>
          <w:color w:val="000000"/>
          <w:szCs w:val="19"/>
          <w:lang w:bidi="en-US"/>
        </w:rPr>
        <w:t>New York. 1941.</w:t>
      </w:r>
    </w:p>
    <w:p w14:paraId="2D137A82" w14:textId="77777777" w:rsidR="007F0D3D" w:rsidRPr="00B42755" w:rsidRDefault="007F0D3D" w:rsidP="002D76C8">
      <w:pPr>
        <w:rPr>
          <w:rFonts w:cs="Times-Roman"/>
          <w:color w:val="000000"/>
          <w:szCs w:val="19"/>
          <w:lang w:bidi="en-US"/>
        </w:rPr>
      </w:pPr>
    </w:p>
    <w:p w14:paraId="5F4F9E26" w14:textId="77777777" w:rsidR="007F0D3D" w:rsidRPr="00B42755" w:rsidRDefault="007F0D3D" w:rsidP="002D76C8">
      <w:pPr>
        <w:rPr>
          <w:rFonts w:cs="Times-Roman"/>
          <w:color w:val="000000"/>
          <w:szCs w:val="19"/>
          <w:lang w:bidi="en-US"/>
        </w:rPr>
      </w:pPr>
      <w:r w:rsidRPr="00B42755">
        <w:rPr>
          <w:rFonts w:cs="Times-Roman"/>
          <w:color w:val="000000"/>
          <w:szCs w:val="19"/>
          <w:lang w:bidi="en-US"/>
        </w:rPr>
        <w:t xml:space="preserve">Deutsch, Jan-Georg. </w:t>
      </w:r>
      <w:r w:rsidRPr="00B42755">
        <w:rPr>
          <w:rFonts w:cs="Times-Roman"/>
          <w:i/>
          <w:color w:val="000000"/>
          <w:szCs w:val="19"/>
          <w:lang w:bidi="en-US"/>
        </w:rPr>
        <w:t>Emancipation without Abolition in German East Africa c. 1884–1914.</w:t>
      </w:r>
      <w:r w:rsidRPr="00B42755">
        <w:rPr>
          <w:rFonts w:cs="Times-Roman"/>
          <w:color w:val="000000"/>
          <w:szCs w:val="19"/>
          <w:lang w:bidi="en-US"/>
        </w:rPr>
        <w:t xml:space="preserve"> Oxford. 2006.</w:t>
      </w:r>
    </w:p>
    <w:p w14:paraId="0C72F83E" w14:textId="77777777" w:rsidR="007F0D3D" w:rsidRPr="00B42755" w:rsidRDefault="007F0D3D" w:rsidP="002D76C8"/>
    <w:p w14:paraId="31AA0D3C" w14:textId="77777777" w:rsidR="007F0D3D" w:rsidRDefault="007F0D3D" w:rsidP="002D76C8">
      <w:pPr>
        <w:rPr>
          <w:rFonts w:cs="Times-Roman"/>
          <w:color w:val="000000"/>
          <w:szCs w:val="19"/>
          <w:lang w:bidi="en-US"/>
        </w:rPr>
      </w:pPr>
      <w:r w:rsidRPr="00B42755">
        <w:rPr>
          <w:rFonts w:cs="Times-Roman"/>
          <w:color w:val="000000"/>
          <w:szCs w:val="19"/>
          <w:lang w:bidi="en-US"/>
        </w:rPr>
        <w:t xml:space="preserve">Engdahl, Torbjörn. </w:t>
      </w:r>
      <w:r w:rsidRPr="00B42755">
        <w:rPr>
          <w:rFonts w:cs="Times-Roman"/>
          <w:i/>
          <w:color w:val="000000"/>
          <w:szCs w:val="19"/>
          <w:lang w:bidi="en-US"/>
        </w:rPr>
        <w:t xml:space="preserve">The Exchange of Cotton: Ugandan Peasants, Colonial Market Regulations and the Organization of the International Cotton Trade, 1904-1918. </w:t>
      </w:r>
      <w:r w:rsidRPr="00B42755">
        <w:rPr>
          <w:rFonts w:cs="Times-Roman"/>
          <w:color w:val="000000"/>
          <w:szCs w:val="19"/>
          <w:lang w:bidi="en-US"/>
        </w:rPr>
        <w:t>Uppsala University. 1999.</w:t>
      </w:r>
    </w:p>
    <w:p w14:paraId="63CA7ECD" w14:textId="77777777" w:rsidR="007F0D3D" w:rsidRDefault="007F0D3D" w:rsidP="002D76C8">
      <w:pPr>
        <w:rPr>
          <w:rFonts w:cs="Times-Roman"/>
          <w:color w:val="000000"/>
          <w:szCs w:val="19"/>
          <w:lang w:bidi="en-US"/>
        </w:rPr>
      </w:pPr>
    </w:p>
    <w:p w14:paraId="6A6F6DAA" w14:textId="77777777" w:rsidR="007F0D3D" w:rsidRPr="0035722E" w:rsidRDefault="007F0D3D" w:rsidP="002D76C8">
      <w:pPr>
        <w:rPr>
          <w:rFonts w:cs="Times-Roman"/>
          <w:color w:val="000000"/>
          <w:szCs w:val="19"/>
          <w:lang w:bidi="en-US"/>
        </w:rPr>
      </w:pPr>
      <w:r>
        <w:rPr>
          <w:rFonts w:cs="Times-Roman"/>
          <w:color w:val="000000"/>
          <w:szCs w:val="19"/>
          <w:lang w:bidi="en-US"/>
        </w:rPr>
        <w:t xml:space="preserve">Gann, L. H. &amp; Duignan, Peter. </w:t>
      </w:r>
      <w:r>
        <w:rPr>
          <w:rFonts w:cs="Times-Roman"/>
          <w:i/>
          <w:color w:val="000000"/>
          <w:szCs w:val="19"/>
          <w:lang w:bidi="en-US"/>
        </w:rPr>
        <w:t xml:space="preserve">The Rulers of German Africa, 1884 – 1914. </w:t>
      </w:r>
      <w:r>
        <w:rPr>
          <w:rFonts w:cs="Times-Roman"/>
          <w:color w:val="000000"/>
          <w:szCs w:val="19"/>
          <w:lang w:bidi="en-US"/>
        </w:rPr>
        <w:t>Stanford University Press. Stanford. 1977.</w:t>
      </w:r>
    </w:p>
    <w:p w14:paraId="4FCF01E0" w14:textId="77777777" w:rsidR="007F0D3D" w:rsidRDefault="007F0D3D" w:rsidP="002D76C8">
      <w:pPr>
        <w:rPr>
          <w:rFonts w:cs="Times-Roman"/>
          <w:color w:val="000000"/>
          <w:szCs w:val="19"/>
          <w:lang w:bidi="en-US"/>
        </w:rPr>
      </w:pPr>
    </w:p>
    <w:p w14:paraId="5387D686" w14:textId="77777777" w:rsidR="007F0D3D" w:rsidRPr="004E22F3" w:rsidRDefault="007F0D3D" w:rsidP="002D76C8">
      <w:pPr>
        <w:rPr>
          <w:rFonts w:cs="Times-Roman"/>
          <w:color w:val="000000"/>
          <w:lang w:bidi="en-US"/>
        </w:rPr>
      </w:pPr>
      <w:r>
        <w:rPr>
          <w:rFonts w:cs="Times-Roman"/>
          <w:color w:val="000000"/>
          <w:szCs w:val="19"/>
          <w:lang w:bidi="en-US"/>
        </w:rPr>
        <w:t xml:space="preserve">Gregory, Robert G. </w:t>
      </w:r>
      <w:r>
        <w:rPr>
          <w:rFonts w:cs="Times-Roman"/>
          <w:i/>
          <w:color w:val="000000"/>
          <w:szCs w:val="19"/>
          <w:lang w:bidi="en-US"/>
        </w:rPr>
        <w:t xml:space="preserve">India and East Africa: A History of Race Relations within the British </w:t>
      </w:r>
      <w:r w:rsidRPr="004E22F3">
        <w:rPr>
          <w:rFonts w:cs="Times-Roman"/>
          <w:i/>
          <w:color w:val="000000"/>
          <w:lang w:bidi="en-US"/>
        </w:rPr>
        <w:t>Empire, 1890 – 1939.</w:t>
      </w:r>
      <w:r w:rsidRPr="004E22F3">
        <w:rPr>
          <w:rFonts w:cs="Times-Roman"/>
          <w:color w:val="000000"/>
          <w:lang w:bidi="en-US"/>
        </w:rPr>
        <w:t xml:space="preserve"> Clarendon Press. Oxford. 1971. </w:t>
      </w:r>
    </w:p>
    <w:p w14:paraId="1B83F368" w14:textId="77777777" w:rsidR="007F0D3D" w:rsidRPr="004E22F3" w:rsidRDefault="007F0D3D" w:rsidP="002D76C8"/>
    <w:p w14:paraId="55E91F51" w14:textId="3FF52042" w:rsidR="004E22F3" w:rsidRPr="004E22F3" w:rsidRDefault="004E22F3" w:rsidP="002D76C8">
      <w:r w:rsidRPr="004E22F3">
        <w:t xml:space="preserve">Hochschild, Adam. </w:t>
      </w:r>
      <w:r w:rsidRPr="004E22F3">
        <w:rPr>
          <w:i/>
        </w:rPr>
        <w:t xml:space="preserve">King Leopold’s Ghost: A Story of Greed, Terror, and Heroism in Colonial Africa. </w:t>
      </w:r>
      <w:r w:rsidRPr="004E22F3">
        <w:t>New York. 1999.</w:t>
      </w:r>
    </w:p>
    <w:p w14:paraId="6B633818" w14:textId="77777777" w:rsidR="004E22F3" w:rsidRPr="0049327A" w:rsidRDefault="004E22F3" w:rsidP="002D76C8"/>
    <w:p w14:paraId="301D9414" w14:textId="77777777" w:rsidR="007F0D3D" w:rsidRPr="00C879BD" w:rsidRDefault="007F0D3D" w:rsidP="002D76C8">
      <w:pPr>
        <w:rPr>
          <w:i/>
        </w:rPr>
      </w:pPr>
      <w:r w:rsidRPr="0049327A">
        <w:t xml:space="preserve">Hyden, Goran. </w:t>
      </w:r>
      <w:r w:rsidRPr="0049327A">
        <w:rPr>
          <w:i/>
        </w:rPr>
        <w:t xml:space="preserve">Beyond Ujamaa in Tanzania: Underdevelopment and an Uncaptured Peasantry. </w:t>
      </w:r>
      <w:r w:rsidRPr="0049327A">
        <w:t>University of California. 1980.</w:t>
      </w:r>
      <w:r w:rsidRPr="0049327A">
        <w:rPr>
          <w:i/>
        </w:rPr>
        <w:t xml:space="preserve"> </w:t>
      </w:r>
    </w:p>
    <w:p w14:paraId="1B02CFC3" w14:textId="77777777" w:rsidR="004E22F3" w:rsidRPr="00A21FDE" w:rsidRDefault="004E22F3" w:rsidP="002D76C8"/>
    <w:p w14:paraId="53D0A31E" w14:textId="77777777" w:rsidR="007F0D3D" w:rsidRPr="00A21FDE" w:rsidRDefault="007F0D3D" w:rsidP="002D76C8">
      <w:r w:rsidRPr="00A21FDE">
        <w:t xml:space="preserve">Iliffe, John. </w:t>
      </w:r>
      <w:r w:rsidRPr="00A21FDE">
        <w:rPr>
          <w:i/>
        </w:rPr>
        <w:t>A Modern History of Tanganyika.</w:t>
      </w:r>
      <w:r w:rsidRPr="00A21FDE">
        <w:t xml:space="preserve"> Cambridge. Cambridge University Press. 1979.</w:t>
      </w:r>
    </w:p>
    <w:p w14:paraId="060E973C" w14:textId="77777777" w:rsidR="007F0D3D" w:rsidRPr="00A21FDE" w:rsidRDefault="007F0D3D" w:rsidP="002D76C8"/>
    <w:p w14:paraId="78CC8A65" w14:textId="77777777" w:rsidR="007F0D3D" w:rsidRPr="00A21FDE" w:rsidRDefault="007F0D3D" w:rsidP="002D76C8">
      <w:r w:rsidRPr="00A21FDE">
        <w:t xml:space="preserve">Iliffe, John. </w:t>
      </w:r>
      <w:r w:rsidRPr="00A21FDE">
        <w:rPr>
          <w:i/>
        </w:rPr>
        <w:t>Tanganyika under German Rule 1905 – 1912</w:t>
      </w:r>
      <w:r w:rsidRPr="00A21FDE">
        <w:t>. London. 1969.</w:t>
      </w:r>
    </w:p>
    <w:p w14:paraId="59E64E55" w14:textId="77777777" w:rsidR="007F0D3D" w:rsidRPr="00A21FDE" w:rsidRDefault="007F0D3D" w:rsidP="002D76C8"/>
    <w:p w14:paraId="735806A4" w14:textId="77777777" w:rsidR="007F0D3D" w:rsidRPr="00A21FDE" w:rsidRDefault="007F0D3D" w:rsidP="002D76C8">
      <w:r w:rsidRPr="00A21FDE">
        <w:t xml:space="preserve">Koponen, Juhani. </w:t>
      </w:r>
      <w:r w:rsidRPr="00A21FDE">
        <w:rPr>
          <w:i/>
        </w:rPr>
        <w:t xml:space="preserve">Development for Exploitation: German Colonial Policies in Mainland Tanzania, 1884 – 1914. </w:t>
      </w:r>
      <w:r w:rsidRPr="00A21FDE">
        <w:t xml:space="preserve">Helsinki. 1995. </w:t>
      </w:r>
    </w:p>
    <w:p w14:paraId="78A10159" w14:textId="77777777" w:rsidR="007F0D3D" w:rsidRPr="00A21FDE" w:rsidRDefault="007F0D3D" w:rsidP="002D76C8"/>
    <w:p w14:paraId="648FC79A" w14:textId="338088E6" w:rsidR="00A21FDE" w:rsidRPr="00A21FDE" w:rsidRDefault="00A21FDE" w:rsidP="002D76C8">
      <w:r w:rsidRPr="00A21FDE">
        <w:t>Oonk</w:t>
      </w:r>
      <w:r>
        <w:t>, Gijsbert</w:t>
      </w:r>
      <w:r w:rsidRPr="00A21FDE">
        <w:t xml:space="preserve">. “South Asians in East Africa (1880 – 1920) with a Particular Focus on Zanzibar: Toward a Historical Explanation of Economic Success of a Middlemen Minority.” </w:t>
      </w:r>
      <w:r w:rsidRPr="00A21FDE">
        <w:rPr>
          <w:i/>
        </w:rPr>
        <w:t>African and Asian Studies</w:t>
      </w:r>
      <w:r>
        <w:t>. Volume 5, no. 1. 2006.</w:t>
      </w:r>
    </w:p>
    <w:p w14:paraId="7AE94478" w14:textId="77777777" w:rsidR="00A21FDE" w:rsidRPr="00A21FDE" w:rsidRDefault="00A21FDE" w:rsidP="002D76C8"/>
    <w:p w14:paraId="53BDAE97" w14:textId="77777777" w:rsidR="007F0D3D" w:rsidRPr="00A21FDE" w:rsidRDefault="007F0D3D" w:rsidP="002D76C8">
      <w:r w:rsidRPr="00A21FDE">
        <w:t xml:space="preserve">Pakenham, Thomas. </w:t>
      </w:r>
      <w:r w:rsidRPr="00A21FDE">
        <w:rPr>
          <w:i/>
        </w:rPr>
        <w:t>The Scramble for Africa: White Man’s Conquest of the Dark Continent from 1876 to 1912.</w:t>
      </w:r>
      <w:r w:rsidRPr="00A21FDE">
        <w:t xml:space="preserve"> HarperCollins Publishers Inc. New York. 1991.</w:t>
      </w:r>
    </w:p>
    <w:p w14:paraId="2EDFA90E" w14:textId="77777777" w:rsidR="007F0D3D" w:rsidRDefault="007F0D3D" w:rsidP="002D76C8"/>
    <w:p w14:paraId="55653B87" w14:textId="77777777" w:rsidR="007F0D3D" w:rsidRPr="00F263A4" w:rsidRDefault="007F0D3D" w:rsidP="002D76C8">
      <w:r w:rsidRPr="00F263A4">
        <w:t xml:space="preserve">Porter, Andrew, ed. </w:t>
      </w:r>
      <w:r w:rsidRPr="00F263A4">
        <w:rPr>
          <w:i/>
          <w:iCs/>
        </w:rPr>
        <w:t>The Oxford History of the British Empire. Vol. 3: The Nineteenth Century.</w:t>
      </w:r>
      <w:r>
        <w:t xml:space="preserve"> Oxford.</w:t>
      </w:r>
      <w:r w:rsidRPr="00F263A4">
        <w:t xml:space="preserve"> 2001.</w:t>
      </w:r>
    </w:p>
    <w:p w14:paraId="60355E61" w14:textId="77777777" w:rsidR="007F0D3D" w:rsidRPr="00B42755" w:rsidRDefault="007F0D3D" w:rsidP="002D76C8"/>
    <w:p w14:paraId="7A729955" w14:textId="77777777" w:rsidR="007F0D3D" w:rsidRPr="00A21FDE" w:rsidRDefault="007F0D3D" w:rsidP="002D76C8">
      <w:r w:rsidRPr="0049327A">
        <w:t xml:space="preserve">Smith, Woodruff. </w:t>
      </w:r>
      <w:r w:rsidRPr="0049327A">
        <w:rPr>
          <w:i/>
        </w:rPr>
        <w:t>German Colonial Empire</w:t>
      </w:r>
      <w:r w:rsidRPr="0049327A">
        <w:t xml:space="preserve">. Chapel Hill. University of North </w:t>
      </w:r>
      <w:r w:rsidRPr="00A21FDE">
        <w:t>Carolina Press. 1978.</w:t>
      </w:r>
    </w:p>
    <w:p w14:paraId="197159E0" w14:textId="77777777" w:rsidR="007F0D3D" w:rsidRPr="00A21FDE" w:rsidRDefault="007F0D3D" w:rsidP="002D76C8"/>
    <w:p w14:paraId="2C91B3ED" w14:textId="77777777" w:rsidR="007F0D3D" w:rsidRPr="00A21FDE" w:rsidRDefault="007F0D3D" w:rsidP="002D76C8">
      <w:r w:rsidRPr="00A21FDE">
        <w:t xml:space="preserve">Steinmetz, George. </w:t>
      </w:r>
      <w:r w:rsidRPr="00A21FDE">
        <w:rPr>
          <w:i/>
        </w:rPr>
        <w:t>The Devil’s Handwriting: Precoloniality and the German Colonial State</w:t>
      </w:r>
      <w:r w:rsidRPr="00A21FDE">
        <w:t>. The University of Chicago Press. Chicago. 2007.</w:t>
      </w:r>
    </w:p>
    <w:p w14:paraId="6CB064DC" w14:textId="77777777" w:rsidR="007F0D3D" w:rsidRPr="00A21FDE" w:rsidRDefault="007F0D3D" w:rsidP="002D76C8"/>
    <w:p w14:paraId="461A3CFD" w14:textId="77777777" w:rsidR="007F0D3D" w:rsidRPr="00A21FDE" w:rsidRDefault="007F0D3D" w:rsidP="002D76C8">
      <w:r w:rsidRPr="00A21FDE">
        <w:t xml:space="preserve">Sunseri, Thaddeus. </w:t>
      </w:r>
      <w:r w:rsidRPr="00A21FDE">
        <w:rPr>
          <w:i/>
        </w:rPr>
        <w:t xml:space="preserve">A Social History of Cotton Production in German East Africa, 1884-1915. </w:t>
      </w:r>
      <w:r w:rsidRPr="00A21FDE">
        <w:t>University of Minnesota. 1993.</w:t>
      </w:r>
    </w:p>
    <w:p w14:paraId="77A2937E" w14:textId="77777777" w:rsidR="007F0D3D" w:rsidRPr="00A21FDE" w:rsidRDefault="007F0D3D" w:rsidP="002D76C8"/>
    <w:p w14:paraId="330143F5" w14:textId="77777777" w:rsidR="007F0D3D" w:rsidRPr="00A21FDE" w:rsidRDefault="007F0D3D" w:rsidP="002D76C8">
      <w:r w:rsidRPr="00A21FDE">
        <w:t xml:space="preserve">Sunseri, Thaddeus. </w:t>
      </w:r>
      <w:r w:rsidRPr="00A21FDE">
        <w:rPr>
          <w:rFonts w:cs="ArialUnicodeMS"/>
          <w:i/>
          <w:lang w:bidi="en-US"/>
        </w:rPr>
        <w:t>The Baumwollfrage: Cotton Colonialism in German East Africa</w:t>
      </w:r>
      <w:r w:rsidRPr="00A21FDE">
        <w:rPr>
          <w:rFonts w:cs="ArialUnicodeMS"/>
          <w:lang w:bidi="en-US"/>
        </w:rPr>
        <w:t xml:space="preserve">. Cambridge University Press. 2001. </w:t>
      </w:r>
    </w:p>
    <w:p w14:paraId="5298D928" w14:textId="77777777" w:rsidR="007F0D3D" w:rsidRPr="00A21FDE" w:rsidRDefault="007F0D3D" w:rsidP="002D76C8"/>
    <w:p w14:paraId="4CCFB47D" w14:textId="03280D36" w:rsidR="007F0D3D" w:rsidRPr="00A21FDE" w:rsidRDefault="007F0D3D" w:rsidP="002D76C8">
      <w:pPr>
        <w:rPr>
          <w:rFonts w:cs="Times New Roman"/>
          <w:color w:val="000000"/>
          <w:lang w:bidi="en-US"/>
        </w:rPr>
      </w:pPr>
      <w:r w:rsidRPr="00A21FDE">
        <w:rPr>
          <w:rFonts w:cs="Times-Roman"/>
          <w:color w:val="000000"/>
          <w:lang w:bidi="en-US"/>
        </w:rPr>
        <w:t xml:space="preserve">Tetzlaff, Rainer. </w:t>
      </w:r>
      <w:r w:rsidRPr="00A21FDE">
        <w:rPr>
          <w:rFonts w:cs="Times-Roman"/>
          <w:i/>
          <w:iCs/>
          <w:color w:val="000000"/>
          <w:lang w:bidi="en-US"/>
        </w:rPr>
        <w:t xml:space="preserve">Koloniale Entwicklung und Ausbeutung. Wirtschafts- und Sozialgeschichte Deutsch-Ostafrikas 1883-1914. </w:t>
      </w:r>
      <w:r w:rsidRPr="00A21FDE">
        <w:rPr>
          <w:rFonts w:cs="Times-Roman"/>
          <w:color w:val="000000"/>
          <w:lang w:bidi="en-US"/>
        </w:rPr>
        <w:t xml:space="preserve">Schriften zur Wirtschafts- </w:t>
      </w:r>
      <w:r w:rsidRPr="00A21FDE">
        <w:rPr>
          <w:rFonts w:cs="Times New Roman"/>
          <w:color w:val="000000"/>
          <w:lang w:bidi="en-US"/>
        </w:rPr>
        <w:t>und Sozialgeschichte, Vol. 17. Berlin: Duncker und Humbolt. 1970.</w:t>
      </w:r>
    </w:p>
    <w:p w14:paraId="4F7F5345" w14:textId="77777777" w:rsidR="007F0D3D" w:rsidRPr="00A21FDE" w:rsidRDefault="007F0D3D" w:rsidP="002D76C8">
      <w:pPr>
        <w:rPr>
          <w:rFonts w:cs="Times New Roman"/>
        </w:rPr>
      </w:pPr>
    </w:p>
    <w:p w14:paraId="39354C1E" w14:textId="42CFDA53" w:rsidR="00A21FDE" w:rsidRPr="00A21FDE" w:rsidRDefault="00A21FDE" w:rsidP="002D76C8">
      <w:pPr>
        <w:rPr>
          <w:rFonts w:cs="Times New Roman"/>
        </w:rPr>
      </w:pPr>
      <w:r w:rsidRPr="00A21FDE">
        <w:rPr>
          <w:rFonts w:cs="Times New Roman"/>
        </w:rPr>
        <w:t>Townsend, Mary Evelyn</w:t>
      </w:r>
      <w:r>
        <w:rPr>
          <w:rFonts w:cs="Times New Roman"/>
        </w:rPr>
        <w:t>.</w:t>
      </w:r>
      <w:r w:rsidRPr="00A21FDE">
        <w:rPr>
          <w:rFonts w:cs="Times New Roman"/>
        </w:rPr>
        <w:t xml:space="preserve"> </w:t>
      </w:r>
      <w:r w:rsidRPr="00A21FDE">
        <w:rPr>
          <w:rFonts w:cs="Times New Roman"/>
          <w:i/>
        </w:rPr>
        <w:t>The Rise and Fall of Germany’s Colonial Empire 1884 – 1918.</w:t>
      </w:r>
      <w:r w:rsidRPr="00A21FDE">
        <w:rPr>
          <w:rFonts w:cs="Times New Roman"/>
        </w:rPr>
        <w:t xml:space="preserve"> New Yo</w:t>
      </w:r>
      <w:r>
        <w:rPr>
          <w:rFonts w:cs="Times New Roman"/>
        </w:rPr>
        <w:t>rk. 1930.</w:t>
      </w:r>
    </w:p>
    <w:sectPr w:rsidR="00A21FDE" w:rsidRPr="00A21FDE" w:rsidSect="004E22F3">
      <w:headerReference w:type="even" r:id="rId9"/>
      <w:headerReference w:type="default" r:id="rId10"/>
      <w:pgSz w:w="11900" w:h="16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5756350" w14:textId="77777777" w:rsidR="00BF38B5" w:rsidRDefault="00BF38B5" w:rsidP="00B034BF">
      <w:r>
        <w:separator/>
      </w:r>
    </w:p>
  </w:endnote>
  <w:endnote w:type="continuationSeparator" w:id="0">
    <w:p w14:paraId="68179097" w14:textId="77777777" w:rsidR="00BF38B5" w:rsidRDefault="00BF38B5" w:rsidP="00B034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Roman">
    <w:altName w:val="Times"/>
    <w:panose1 w:val="00000000000000000000"/>
    <w:charset w:val="00"/>
    <w:family w:val="roman"/>
    <w:notTrueType/>
    <w:pitch w:val="default"/>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ArialUnicodeMS">
    <w:altName w:val="Arial Unicode MS"/>
    <w:panose1 w:val="00000000000000000000"/>
    <w:charset w:val="00"/>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DFC7F2B" w14:textId="77777777" w:rsidR="00BF38B5" w:rsidRDefault="00BF38B5" w:rsidP="00B034BF">
      <w:r>
        <w:separator/>
      </w:r>
    </w:p>
  </w:footnote>
  <w:footnote w:type="continuationSeparator" w:id="0">
    <w:p w14:paraId="71939593" w14:textId="77777777" w:rsidR="00BF38B5" w:rsidRDefault="00BF38B5" w:rsidP="00B034BF">
      <w:r>
        <w:continuationSeparator/>
      </w:r>
    </w:p>
  </w:footnote>
  <w:footnote w:id="1">
    <w:p w14:paraId="6D7A8997" w14:textId="06545586" w:rsidR="00BF38B5" w:rsidRPr="000E7A4C" w:rsidRDefault="00BF38B5" w:rsidP="000E7A4C">
      <w:pPr>
        <w:rPr>
          <w:rFonts w:cs="Times-Roman"/>
          <w:color w:val="000000"/>
          <w:sz w:val="20"/>
          <w:szCs w:val="20"/>
          <w:lang w:bidi="en-US"/>
        </w:rPr>
      </w:pPr>
      <w:r w:rsidRPr="002D097B">
        <w:rPr>
          <w:rStyle w:val="FootnoteReference"/>
          <w:sz w:val="20"/>
          <w:szCs w:val="20"/>
        </w:rPr>
        <w:footnoteRef/>
      </w:r>
      <w:r w:rsidRPr="002D097B">
        <w:rPr>
          <w:sz w:val="20"/>
          <w:szCs w:val="20"/>
        </w:rPr>
        <w:t xml:space="preserve"> John Iliffe. </w:t>
      </w:r>
      <w:r w:rsidRPr="002D097B">
        <w:rPr>
          <w:i/>
          <w:sz w:val="20"/>
          <w:szCs w:val="20"/>
        </w:rPr>
        <w:t xml:space="preserve">Tanganyika under German Rule 1905 – 1912. </w:t>
      </w:r>
      <w:r w:rsidRPr="002D097B">
        <w:rPr>
          <w:sz w:val="20"/>
          <w:szCs w:val="20"/>
        </w:rPr>
        <w:t xml:space="preserve">Cambridge. 1969.  Juhani Koponen. </w:t>
      </w:r>
      <w:r w:rsidRPr="002D097B">
        <w:rPr>
          <w:i/>
          <w:sz w:val="20"/>
          <w:szCs w:val="20"/>
        </w:rPr>
        <w:t xml:space="preserve">Development for Exploitation: German colonial policies in Mainland Tanzania, 1884 – 1914. </w:t>
      </w:r>
      <w:r w:rsidRPr="002D097B">
        <w:rPr>
          <w:sz w:val="20"/>
          <w:szCs w:val="20"/>
        </w:rPr>
        <w:t xml:space="preserve">Helsinki. 1995. Jan-Georg Deutsch. </w:t>
      </w:r>
      <w:r w:rsidRPr="002D097B">
        <w:rPr>
          <w:rFonts w:cs="Times-Roman"/>
          <w:i/>
          <w:color w:val="000000"/>
          <w:sz w:val="20"/>
          <w:szCs w:val="20"/>
        </w:rPr>
        <w:t>Emancipation without Abolition in German East Africa c. 1884–1914.</w:t>
      </w:r>
      <w:r w:rsidRPr="002D097B">
        <w:rPr>
          <w:rFonts w:cs="Times-Roman"/>
          <w:color w:val="000000"/>
          <w:sz w:val="20"/>
          <w:szCs w:val="20"/>
        </w:rPr>
        <w:t xml:space="preserve"> Oxford. 2006.  </w:t>
      </w:r>
      <w:r w:rsidRPr="002D097B">
        <w:rPr>
          <w:rFonts w:cs="Times-Roman"/>
          <w:color w:val="000000"/>
          <w:sz w:val="20"/>
          <w:szCs w:val="20"/>
          <w:lang w:bidi="en-US"/>
        </w:rPr>
        <w:t xml:space="preserve">Tetzlaff, Rainer. </w:t>
      </w:r>
      <w:r w:rsidRPr="002D097B">
        <w:rPr>
          <w:rFonts w:cs="Times-Roman"/>
          <w:i/>
          <w:iCs/>
          <w:color w:val="000000"/>
          <w:sz w:val="20"/>
          <w:szCs w:val="20"/>
          <w:lang w:bidi="en-US"/>
        </w:rPr>
        <w:t xml:space="preserve">Koloniale Entwicklung und Ausbeutung. Wirtschafts- und Sozialgeschichte Deutsch-Ostafrikas 1883-1914. </w:t>
      </w:r>
      <w:r w:rsidRPr="002D097B">
        <w:rPr>
          <w:rFonts w:cs="Times-Roman"/>
          <w:color w:val="000000"/>
          <w:sz w:val="20"/>
          <w:szCs w:val="20"/>
          <w:lang w:bidi="en-US"/>
        </w:rPr>
        <w:t>Schriften zur Wirtschafts- und Sozialgeschichte, Vol. 17. Berlin: Duncker und Humbolt. 1970.</w:t>
      </w:r>
      <w:r>
        <w:rPr>
          <w:rFonts w:cs="Times-Roman"/>
          <w:color w:val="000000"/>
          <w:sz w:val="20"/>
          <w:szCs w:val="20"/>
          <w:lang w:bidi="en-US"/>
        </w:rPr>
        <w:t xml:space="preserve"> </w:t>
      </w:r>
    </w:p>
  </w:footnote>
  <w:footnote w:id="2">
    <w:p w14:paraId="4B844918" w14:textId="446B69BF" w:rsidR="00BF38B5" w:rsidRPr="00D51EC5" w:rsidRDefault="00BF38B5">
      <w:pPr>
        <w:pStyle w:val="FootnoteText"/>
        <w:rPr>
          <w:sz w:val="20"/>
          <w:szCs w:val="20"/>
        </w:rPr>
      </w:pPr>
      <w:r w:rsidRPr="00D51EC5">
        <w:rPr>
          <w:rStyle w:val="FootnoteReference"/>
          <w:sz w:val="20"/>
          <w:szCs w:val="20"/>
        </w:rPr>
        <w:footnoteRef/>
      </w:r>
      <w:r w:rsidRPr="00D51EC5">
        <w:rPr>
          <w:sz w:val="20"/>
          <w:szCs w:val="20"/>
        </w:rPr>
        <w:t xml:space="preserve">Mary Evelyn Townsend, </w:t>
      </w:r>
      <w:r w:rsidRPr="00D51EC5">
        <w:rPr>
          <w:i/>
          <w:sz w:val="20"/>
          <w:szCs w:val="20"/>
        </w:rPr>
        <w:t>The Rise and Fall of Germany’s Colonial Empire 1884 – 1918.</w:t>
      </w:r>
      <w:r>
        <w:rPr>
          <w:sz w:val="20"/>
          <w:szCs w:val="20"/>
        </w:rPr>
        <w:t xml:space="preserve"> New York. 1930.,</w:t>
      </w:r>
      <w:r w:rsidRPr="00D51EC5">
        <w:rPr>
          <w:sz w:val="20"/>
          <w:szCs w:val="20"/>
        </w:rPr>
        <w:t xml:space="preserve"> W.O. Henderson. </w:t>
      </w:r>
      <w:r w:rsidRPr="00D51EC5">
        <w:rPr>
          <w:i/>
          <w:sz w:val="20"/>
          <w:szCs w:val="20"/>
        </w:rPr>
        <w:t>German East Africa 1884 – 1918.</w:t>
      </w:r>
      <w:r w:rsidRPr="00D51EC5">
        <w:rPr>
          <w:sz w:val="20"/>
          <w:szCs w:val="20"/>
        </w:rPr>
        <w:t xml:space="preserve"> </w:t>
      </w:r>
    </w:p>
  </w:footnote>
  <w:footnote w:id="3">
    <w:p w14:paraId="7B4AC7D7" w14:textId="5333E71A" w:rsidR="00BF38B5" w:rsidRPr="000F4B71" w:rsidRDefault="00BF38B5">
      <w:pPr>
        <w:pStyle w:val="FootnoteText"/>
        <w:rPr>
          <w:sz w:val="20"/>
          <w:szCs w:val="20"/>
        </w:rPr>
      </w:pPr>
      <w:r w:rsidRPr="00D51EC5">
        <w:rPr>
          <w:rStyle w:val="FootnoteReference"/>
          <w:sz w:val="20"/>
          <w:szCs w:val="20"/>
        </w:rPr>
        <w:footnoteRef/>
      </w:r>
      <w:r w:rsidRPr="00D51EC5">
        <w:rPr>
          <w:sz w:val="20"/>
          <w:szCs w:val="20"/>
        </w:rPr>
        <w:t xml:space="preserve"> </w:t>
      </w:r>
      <w:r>
        <w:rPr>
          <w:sz w:val="20"/>
          <w:szCs w:val="20"/>
        </w:rPr>
        <w:t xml:space="preserve">Townsend. </w:t>
      </w:r>
      <w:r w:rsidRPr="000F4B71">
        <w:rPr>
          <w:i/>
          <w:sz w:val="20"/>
          <w:szCs w:val="20"/>
        </w:rPr>
        <w:t>Rise and Fall of Germany’s Colonial Empire 1884 – 1918</w:t>
      </w:r>
      <w:r>
        <w:rPr>
          <w:i/>
          <w:sz w:val="20"/>
          <w:szCs w:val="20"/>
        </w:rPr>
        <w:t xml:space="preserve">. </w:t>
      </w:r>
    </w:p>
  </w:footnote>
  <w:footnote w:id="4">
    <w:p w14:paraId="521AC1EF" w14:textId="7D812F15" w:rsidR="00BF38B5" w:rsidRPr="000F4B71" w:rsidRDefault="00BF38B5">
      <w:pPr>
        <w:pStyle w:val="FootnoteText"/>
        <w:rPr>
          <w:sz w:val="20"/>
          <w:szCs w:val="20"/>
        </w:rPr>
      </w:pPr>
      <w:r w:rsidRPr="005229B1">
        <w:rPr>
          <w:rStyle w:val="FootnoteReference"/>
          <w:sz w:val="20"/>
          <w:szCs w:val="20"/>
        </w:rPr>
        <w:footnoteRef/>
      </w:r>
      <w:r w:rsidRPr="005229B1">
        <w:rPr>
          <w:sz w:val="20"/>
          <w:szCs w:val="20"/>
        </w:rPr>
        <w:t xml:space="preserve"> John Iliffe. </w:t>
      </w:r>
      <w:r w:rsidRPr="005229B1">
        <w:rPr>
          <w:i/>
          <w:sz w:val="20"/>
          <w:szCs w:val="20"/>
        </w:rPr>
        <w:t>Tanganyika under German Rule</w:t>
      </w:r>
      <w:r>
        <w:rPr>
          <w:i/>
          <w:sz w:val="20"/>
          <w:szCs w:val="20"/>
        </w:rPr>
        <w:t>.</w:t>
      </w:r>
    </w:p>
  </w:footnote>
  <w:footnote w:id="5">
    <w:p w14:paraId="38862272" w14:textId="1BB9B03F" w:rsidR="00BF38B5" w:rsidRPr="005229B1" w:rsidRDefault="00BF38B5">
      <w:pPr>
        <w:pStyle w:val="FootnoteText"/>
        <w:rPr>
          <w:sz w:val="20"/>
          <w:szCs w:val="20"/>
        </w:rPr>
      </w:pPr>
      <w:r w:rsidRPr="005229B1">
        <w:rPr>
          <w:rStyle w:val="FootnoteReference"/>
          <w:sz w:val="20"/>
          <w:szCs w:val="20"/>
        </w:rPr>
        <w:footnoteRef/>
      </w:r>
      <w:r>
        <w:rPr>
          <w:sz w:val="20"/>
          <w:szCs w:val="20"/>
        </w:rPr>
        <w:t xml:space="preserve"> Ibid. </w:t>
      </w:r>
      <w:r w:rsidRPr="005229B1">
        <w:rPr>
          <w:sz w:val="20"/>
          <w:szCs w:val="20"/>
        </w:rPr>
        <w:t>7.</w:t>
      </w:r>
    </w:p>
  </w:footnote>
  <w:footnote w:id="6">
    <w:p w14:paraId="4416E103" w14:textId="7030B844" w:rsidR="00BF38B5" w:rsidRDefault="00BF38B5">
      <w:pPr>
        <w:pStyle w:val="FootnoteText"/>
      </w:pPr>
      <w:r w:rsidRPr="005229B1">
        <w:rPr>
          <w:rStyle w:val="FootnoteReference"/>
          <w:sz w:val="20"/>
          <w:szCs w:val="20"/>
        </w:rPr>
        <w:footnoteRef/>
      </w:r>
      <w:r>
        <w:rPr>
          <w:sz w:val="20"/>
          <w:szCs w:val="20"/>
        </w:rPr>
        <w:t xml:space="preserve"> Iliffe</w:t>
      </w:r>
      <w:r w:rsidRPr="005229B1">
        <w:rPr>
          <w:sz w:val="20"/>
          <w:szCs w:val="20"/>
        </w:rPr>
        <w:t>.</w:t>
      </w:r>
      <w:r>
        <w:rPr>
          <w:sz w:val="20"/>
          <w:szCs w:val="20"/>
        </w:rPr>
        <w:t xml:space="preserve"> </w:t>
      </w:r>
      <w:r>
        <w:rPr>
          <w:i/>
          <w:sz w:val="20"/>
          <w:szCs w:val="20"/>
        </w:rPr>
        <w:t>Tanganyika under German Rule</w:t>
      </w:r>
      <w:r>
        <w:rPr>
          <w:sz w:val="20"/>
          <w:szCs w:val="20"/>
        </w:rPr>
        <w:t>.</w:t>
      </w:r>
      <w:r w:rsidRPr="005229B1">
        <w:rPr>
          <w:sz w:val="20"/>
          <w:szCs w:val="20"/>
        </w:rPr>
        <w:t xml:space="preserve"> 8.</w:t>
      </w:r>
    </w:p>
  </w:footnote>
  <w:footnote w:id="7">
    <w:p w14:paraId="20795108" w14:textId="6887F306" w:rsidR="00BF38B5" w:rsidRPr="001F5D02" w:rsidRDefault="00BF38B5" w:rsidP="001F5D02">
      <w:pPr>
        <w:pStyle w:val="FootnoteText"/>
        <w:ind w:left="142" w:hanging="142"/>
      </w:pPr>
      <w:r>
        <w:rPr>
          <w:rStyle w:val="FootnoteReference"/>
        </w:rPr>
        <w:footnoteRef/>
      </w:r>
      <w:r>
        <w:t xml:space="preserve"> </w:t>
      </w:r>
      <w:r w:rsidRPr="00441E8E">
        <w:rPr>
          <w:sz w:val="20"/>
          <w:szCs w:val="20"/>
        </w:rPr>
        <w:t xml:space="preserve">Tetzlaff. </w:t>
      </w:r>
      <w:r w:rsidRPr="00441E8E">
        <w:rPr>
          <w:i/>
          <w:sz w:val="20"/>
          <w:szCs w:val="20"/>
        </w:rPr>
        <w:t>Koloniale Entwicklungund Ausbeutung.</w:t>
      </w:r>
      <w:r>
        <w:rPr>
          <w:sz w:val="20"/>
          <w:szCs w:val="20"/>
        </w:rPr>
        <w:t xml:space="preserve"> Koponen. </w:t>
      </w:r>
      <w:r>
        <w:rPr>
          <w:i/>
          <w:sz w:val="20"/>
          <w:szCs w:val="20"/>
        </w:rPr>
        <w:t>Development for Exploitation.</w:t>
      </w:r>
      <w:r>
        <w:rPr>
          <w:sz w:val="20"/>
          <w:szCs w:val="20"/>
        </w:rPr>
        <w:t xml:space="preserve"> Sunseri. </w:t>
      </w:r>
      <w:r w:rsidRPr="009254E1">
        <w:rPr>
          <w:i/>
          <w:sz w:val="20"/>
          <w:szCs w:val="20"/>
        </w:rPr>
        <w:t>A Social History of Cotton Production in German East Africa, 1884-1915.</w:t>
      </w:r>
    </w:p>
  </w:footnote>
  <w:footnote w:id="8">
    <w:p w14:paraId="5C88DC71" w14:textId="71BF636C" w:rsidR="00BF38B5" w:rsidRPr="000C1089" w:rsidRDefault="00BF38B5">
      <w:pPr>
        <w:pStyle w:val="FootnoteText"/>
        <w:rPr>
          <w:sz w:val="20"/>
          <w:szCs w:val="20"/>
        </w:rPr>
      </w:pPr>
      <w:r w:rsidRPr="000C1089">
        <w:rPr>
          <w:rStyle w:val="FootnoteReference"/>
          <w:sz w:val="20"/>
          <w:szCs w:val="20"/>
        </w:rPr>
        <w:footnoteRef/>
      </w:r>
      <w:r w:rsidRPr="000C1089">
        <w:rPr>
          <w:sz w:val="20"/>
          <w:szCs w:val="20"/>
        </w:rPr>
        <w:t xml:space="preserve"> Juhani Koponen. </w:t>
      </w:r>
      <w:r w:rsidRPr="000C1089">
        <w:rPr>
          <w:i/>
          <w:sz w:val="20"/>
          <w:szCs w:val="20"/>
        </w:rPr>
        <w:t xml:space="preserve">Development for Exploitation: German colonial policies in Mainland Tanzania, 1884 – 1914. </w:t>
      </w:r>
      <w:r w:rsidRPr="000C1089">
        <w:rPr>
          <w:sz w:val="20"/>
          <w:szCs w:val="20"/>
        </w:rPr>
        <w:t>Helsinki. 1995.</w:t>
      </w:r>
    </w:p>
  </w:footnote>
  <w:footnote w:id="9">
    <w:p w14:paraId="52DCFBBD" w14:textId="1C1EE6C6" w:rsidR="00BF38B5" w:rsidRPr="000C1089" w:rsidRDefault="00BF38B5">
      <w:pPr>
        <w:pStyle w:val="FootnoteText"/>
        <w:rPr>
          <w:sz w:val="20"/>
          <w:szCs w:val="20"/>
        </w:rPr>
      </w:pPr>
      <w:r w:rsidRPr="000C1089">
        <w:rPr>
          <w:rStyle w:val="FootnoteReference"/>
          <w:sz w:val="20"/>
          <w:szCs w:val="20"/>
        </w:rPr>
        <w:footnoteRef/>
      </w:r>
      <w:r w:rsidRPr="000C1089">
        <w:rPr>
          <w:sz w:val="20"/>
          <w:szCs w:val="20"/>
        </w:rPr>
        <w:t xml:space="preserve"> Jan-Georg Deutsch. </w:t>
      </w:r>
      <w:r w:rsidRPr="000C1089">
        <w:rPr>
          <w:rFonts w:cs="Times-Roman"/>
          <w:i/>
          <w:color w:val="000000"/>
          <w:sz w:val="20"/>
          <w:szCs w:val="20"/>
          <w:lang w:bidi="en-US"/>
        </w:rPr>
        <w:t>Emancipation without Abolition in German East Africa c. 1884–1914.</w:t>
      </w:r>
      <w:r w:rsidRPr="000C1089">
        <w:rPr>
          <w:rFonts w:cs="Times-Roman"/>
          <w:color w:val="000000"/>
          <w:sz w:val="20"/>
          <w:szCs w:val="20"/>
          <w:lang w:bidi="en-US"/>
        </w:rPr>
        <w:t xml:space="preserve"> Oxford. 2006.</w:t>
      </w:r>
      <w:r>
        <w:rPr>
          <w:rFonts w:cs="Times-Roman"/>
          <w:color w:val="000000"/>
          <w:sz w:val="20"/>
          <w:szCs w:val="20"/>
          <w:lang w:bidi="en-US"/>
        </w:rPr>
        <w:t xml:space="preserve"> </w:t>
      </w:r>
    </w:p>
  </w:footnote>
  <w:footnote w:id="10">
    <w:p w14:paraId="413D471F" w14:textId="286DEF5C" w:rsidR="00BF38B5" w:rsidRDefault="00BF38B5">
      <w:pPr>
        <w:pStyle w:val="FootnoteText"/>
      </w:pPr>
      <w:r w:rsidRPr="000C1089">
        <w:rPr>
          <w:rStyle w:val="FootnoteReference"/>
          <w:sz w:val="20"/>
          <w:szCs w:val="20"/>
        </w:rPr>
        <w:footnoteRef/>
      </w:r>
      <w:r>
        <w:rPr>
          <w:sz w:val="20"/>
          <w:szCs w:val="20"/>
        </w:rPr>
        <w:t xml:space="preserve"> Ibid. 168.</w:t>
      </w:r>
    </w:p>
  </w:footnote>
  <w:footnote w:id="11">
    <w:p w14:paraId="7C6FAA93" w14:textId="77F62A90" w:rsidR="00BF38B5" w:rsidRPr="002F7834" w:rsidRDefault="00BF38B5">
      <w:pPr>
        <w:pStyle w:val="FootnoteText"/>
        <w:rPr>
          <w:sz w:val="20"/>
          <w:szCs w:val="20"/>
        </w:rPr>
      </w:pPr>
      <w:r w:rsidRPr="002F7834">
        <w:rPr>
          <w:rStyle w:val="FootnoteReference"/>
          <w:sz w:val="20"/>
          <w:szCs w:val="20"/>
        </w:rPr>
        <w:footnoteRef/>
      </w:r>
      <w:r w:rsidRPr="002F7834">
        <w:rPr>
          <w:sz w:val="20"/>
          <w:szCs w:val="20"/>
        </w:rPr>
        <w:t xml:space="preserve"> George Dunlap Crothers. </w:t>
      </w:r>
      <w:r w:rsidRPr="002F7834">
        <w:rPr>
          <w:rFonts w:cs="Times-Roman"/>
          <w:i/>
          <w:color w:val="000000"/>
          <w:sz w:val="20"/>
          <w:szCs w:val="20"/>
          <w:lang w:bidi="en-US"/>
        </w:rPr>
        <w:t xml:space="preserve">The German Elections of 1907. </w:t>
      </w:r>
      <w:r w:rsidRPr="002F7834">
        <w:rPr>
          <w:rFonts w:cs="Times-Roman"/>
          <w:color w:val="000000"/>
          <w:sz w:val="20"/>
          <w:szCs w:val="20"/>
          <w:lang w:bidi="en-US"/>
        </w:rPr>
        <w:t>New York. 1941.</w:t>
      </w:r>
    </w:p>
  </w:footnote>
  <w:footnote w:id="12">
    <w:p w14:paraId="60120DC0" w14:textId="4620A806" w:rsidR="00BF38B5" w:rsidRPr="00CE203B" w:rsidRDefault="00BF38B5">
      <w:pPr>
        <w:pStyle w:val="FootnoteText"/>
        <w:rPr>
          <w:sz w:val="20"/>
          <w:szCs w:val="20"/>
        </w:rPr>
      </w:pPr>
      <w:r w:rsidRPr="00CE203B">
        <w:rPr>
          <w:rStyle w:val="FootnoteReference"/>
          <w:sz w:val="20"/>
          <w:szCs w:val="20"/>
        </w:rPr>
        <w:footnoteRef/>
      </w:r>
      <w:r w:rsidRPr="00CE203B">
        <w:rPr>
          <w:sz w:val="20"/>
          <w:szCs w:val="20"/>
        </w:rPr>
        <w:t xml:space="preserve"> Crothers. </w:t>
      </w:r>
      <w:r w:rsidRPr="00CE203B">
        <w:rPr>
          <w:i/>
          <w:sz w:val="20"/>
          <w:szCs w:val="20"/>
        </w:rPr>
        <w:t>The German Elections of 1907.</w:t>
      </w:r>
      <w:r w:rsidRPr="00CE203B">
        <w:rPr>
          <w:sz w:val="20"/>
          <w:szCs w:val="20"/>
        </w:rPr>
        <w:t xml:space="preserve"> 75. </w:t>
      </w:r>
    </w:p>
  </w:footnote>
  <w:footnote w:id="13">
    <w:p w14:paraId="62ABBFBD" w14:textId="0D332D2F" w:rsidR="00BF38B5" w:rsidRPr="00CE203B" w:rsidRDefault="00BF38B5">
      <w:pPr>
        <w:pStyle w:val="FootnoteText"/>
        <w:rPr>
          <w:sz w:val="20"/>
          <w:szCs w:val="20"/>
        </w:rPr>
      </w:pPr>
      <w:r w:rsidRPr="00CE203B">
        <w:rPr>
          <w:rStyle w:val="FootnoteReference"/>
          <w:sz w:val="20"/>
          <w:szCs w:val="20"/>
        </w:rPr>
        <w:footnoteRef/>
      </w:r>
      <w:r w:rsidRPr="00CE203B">
        <w:rPr>
          <w:sz w:val="20"/>
          <w:szCs w:val="20"/>
        </w:rPr>
        <w:t xml:space="preserve"> Ibid. 11 – 12. </w:t>
      </w:r>
    </w:p>
  </w:footnote>
  <w:footnote w:id="14">
    <w:p w14:paraId="3A736C75" w14:textId="51586B1E" w:rsidR="00BF38B5" w:rsidRDefault="00BF38B5">
      <w:pPr>
        <w:pStyle w:val="FootnoteText"/>
      </w:pPr>
      <w:r w:rsidRPr="00CE203B">
        <w:rPr>
          <w:rStyle w:val="FootnoteReference"/>
          <w:sz w:val="20"/>
          <w:szCs w:val="20"/>
        </w:rPr>
        <w:footnoteRef/>
      </w:r>
      <w:r w:rsidRPr="00CE203B">
        <w:rPr>
          <w:sz w:val="20"/>
          <w:szCs w:val="20"/>
        </w:rPr>
        <w:t xml:space="preserve"> Woodruff D. Smith. </w:t>
      </w:r>
      <w:r w:rsidRPr="00CE203B">
        <w:rPr>
          <w:i/>
          <w:sz w:val="20"/>
          <w:szCs w:val="20"/>
        </w:rPr>
        <w:t>German Colonial Empire</w:t>
      </w:r>
      <w:r w:rsidRPr="00CE203B">
        <w:rPr>
          <w:sz w:val="20"/>
          <w:szCs w:val="20"/>
        </w:rPr>
        <w:t>. Chapel Hill. 1978.</w:t>
      </w:r>
    </w:p>
  </w:footnote>
  <w:footnote w:id="15">
    <w:p w14:paraId="4566C1A1" w14:textId="41EE6C12" w:rsidR="00BF38B5" w:rsidRPr="0071653C" w:rsidRDefault="00BF38B5">
      <w:pPr>
        <w:pStyle w:val="FootnoteText"/>
        <w:rPr>
          <w:sz w:val="20"/>
          <w:szCs w:val="20"/>
        </w:rPr>
      </w:pPr>
      <w:r w:rsidRPr="0071653C">
        <w:rPr>
          <w:rStyle w:val="FootnoteReference"/>
          <w:sz w:val="20"/>
          <w:szCs w:val="20"/>
        </w:rPr>
        <w:footnoteRef/>
      </w:r>
      <w:r w:rsidRPr="0071653C">
        <w:rPr>
          <w:sz w:val="20"/>
          <w:szCs w:val="20"/>
        </w:rPr>
        <w:t xml:space="preserve"> Iliffe. </w:t>
      </w:r>
      <w:r w:rsidRPr="0071653C">
        <w:rPr>
          <w:i/>
          <w:sz w:val="20"/>
          <w:szCs w:val="20"/>
        </w:rPr>
        <w:t xml:space="preserve">Tanganyika under German Rule 1905 – 1912. </w:t>
      </w:r>
      <w:r w:rsidRPr="0071653C">
        <w:rPr>
          <w:sz w:val="20"/>
          <w:szCs w:val="20"/>
        </w:rPr>
        <w:t>30 – 49.</w:t>
      </w:r>
    </w:p>
  </w:footnote>
  <w:footnote w:id="16">
    <w:p w14:paraId="3BBECF67" w14:textId="56AFA255" w:rsidR="00BF38B5" w:rsidRPr="0071653C" w:rsidRDefault="00BF38B5">
      <w:pPr>
        <w:pStyle w:val="FootnoteText"/>
        <w:rPr>
          <w:sz w:val="20"/>
          <w:szCs w:val="20"/>
        </w:rPr>
      </w:pPr>
      <w:r w:rsidRPr="0071653C">
        <w:rPr>
          <w:rStyle w:val="FootnoteReference"/>
          <w:sz w:val="20"/>
          <w:szCs w:val="20"/>
        </w:rPr>
        <w:footnoteRef/>
      </w:r>
      <w:r w:rsidRPr="0071653C">
        <w:rPr>
          <w:sz w:val="20"/>
          <w:szCs w:val="20"/>
        </w:rPr>
        <w:t xml:space="preserve"> Ibid. 40. </w:t>
      </w:r>
    </w:p>
  </w:footnote>
  <w:footnote w:id="17">
    <w:p w14:paraId="65A87D94" w14:textId="55AB400E" w:rsidR="00BF38B5" w:rsidRDefault="00BF38B5">
      <w:pPr>
        <w:pStyle w:val="FootnoteText"/>
      </w:pPr>
      <w:r w:rsidRPr="0071653C">
        <w:rPr>
          <w:rStyle w:val="FootnoteReference"/>
          <w:sz w:val="20"/>
          <w:szCs w:val="20"/>
        </w:rPr>
        <w:footnoteRef/>
      </w:r>
      <w:r>
        <w:rPr>
          <w:sz w:val="20"/>
          <w:szCs w:val="20"/>
        </w:rPr>
        <w:t xml:space="preserve"> Ibid.</w:t>
      </w:r>
      <w:r w:rsidRPr="0071653C">
        <w:rPr>
          <w:sz w:val="20"/>
          <w:szCs w:val="20"/>
        </w:rPr>
        <w:t xml:space="preserve"> 49.</w:t>
      </w:r>
    </w:p>
  </w:footnote>
  <w:footnote w:id="18">
    <w:p w14:paraId="6CDAD4A7" w14:textId="31030D29" w:rsidR="00BF38B5" w:rsidRPr="008D33FE" w:rsidRDefault="00BF38B5">
      <w:pPr>
        <w:pStyle w:val="FootnoteText"/>
        <w:rPr>
          <w:sz w:val="20"/>
          <w:szCs w:val="20"/>
        </w:rPr>
      </w:pPr>
      <w:r w:rsidRPr="008D33FE">
        <w:rPr>
          <w:rStyle w:val="FootnoteReference"/>
          <w:sz w:val="20"/>
          <w:szCs w:val="20"/>
        </w:rPr>
        <w:footnoteRef/>
      </w:r>
      <w:r w:rsidRPr="008D33FE">
        <w:rPr>
          <w:sz w:val="20"/>
          <w:szCs w:val="20"/>
        </w:rPr>
        <w:t xml:space="preserve"> Iliffe. </w:t>
      </w:r>
      <w:r w:rsidRPr="008D33FE">
        <w:rPr>
          <w:i/>
          <w:sz w:val="20"/>
          <w:szCs w:val="20"/>
        </w:rPr>
        <w:t>Tanganyika under German Rule.</w:t>
      </w:r>
      <w:r w:rsidRPr="008D33FE">
        <w:rPr>
          <w:sz w:val="20"/>
          <w:szCs w:val="20"/>
        </w:rPr>
        <w:t xml:space="preserve"> 49. </w:t>
      </w:r>
    </w:p>
  </w:footnote>
  <w:footnote w:id="19">
    <w:p w14:paraId="0BC6E9E8" w14:textId="60091D1C" w:rsidR="00BF38B5" w:rsidRPr="008C60AD" w:rsidRDefault="00BF38B5" w:rsidP="008C60AD">
      <w:pPr>
        <w:pStyle w:val="FootnoteText"/>
        <w:ind w:left="142" w:hanging="142"/>
        <w:rPr>
          <w:sz w:val="20"/>
          <w:szCs w:val="20"/>
        </w:rPr>
      </w:pPr>
      <w:r w:rsidRPr="008C60AD">
        <w:rPr>
          <w:rStyle w:val="FootnoteReference"/>
          <w:sz w:val="20"/>
          <w:szCs w:val="20"/>
        </w:rPr>
        <w:footnoteRef/>
      </w:r>
      <w:r w:rsidRPr="008C60AD">
        <w:rPr>
          <w:sz w:val="20"/>
          <w:szCs w:val="20"/>
        </w:rPr>
        <w:t xml:space="preserve"> Thomas Sunseri, Review of </w:t>
      </w:r>
      <w:r w:rsidRPr="008C60AD">
        <w:rPr>
          <w:rFonts w:ascii="Times New Roman" w:hAnsi="Times New Roman" w:cs="Times New Roman"/>
          <w:i/>
          <w:sz w:val="20"/>
          <w:szCs w:val="20"/>
        </w:rPr>
        <w:t>Development for Exploitation: German Colonial Policies in Mainland Tanzania, 1884 – 1914</w:t>
      </w:r>
      <w:r w:rsidRPr="008C60AD">
        <w:rPr>
          <w:rFonts w:ascii="Times New Roman" w:hAnsi="Times New Roman" w:cs="Times New Roman"/>
          <w:sz w:val="20"/>
          <w:szCs w:val="20"/>
        </w:rPr>
        <w:t xml:space="preserve">. By Juhani Koponen. </w:t>
      </w:r>
      <w:r w:rsidRPr="008C60AD">
        <w:rPr>
          <w:rFonts w:ascii="Times" w:hAnsi="Times" w:cs="Times"/>
          <w:i/>
          <w:sz w:val="20"/>
          <w:szCs w:val="20"/>
        </w:rPr>
        <w:t>African Affairs</w:t>
      </w:r>
      <w:r w:rsidRPr="008C60AD">
        <w:rPr>
          <w:rFonts w:ascii="Times" w:hAnsi="Times" w:cs="Times"/>
          <w:sz w:val="20"/>
          <w:szCs w:val="20"/>
        </w:rPr>
        <w:t>, Vol. 96, No. 382 (Jan., 1997), pp. 145-147.</w:t>
      </w:r>
    </w:p>
  </w:footnote>
  <w:footnote w:id="20">
    <w:p w14:paraId="29B6C023" w14:textId="77777777" w:rsidR="00BF38B5" w:rsidRPr="008B7595" w:rsidRDefault="00BF38B5" w:rsidP="006040A9">
      <w:pPr>
        <w:pStyle w:val="FootnoteText"/>
        <w:rPr>
          <w:sz w:val="20"/>
          <w:szCs w:val="20"/>
        </w:rPr>
      </w:pPr>
      <w:r w:rsidRPr="008B7595">
        <w:rPr>
          <w:rStyle w:val="FootnoteReference"/>
          <w:sz w:val="20"/>
          <w:szCs w:val="20"/>
        </w:rPr>
        <w:footnoteRef/>
      </w:r>
      <w:r w:rsidRPr="008B7595">
        <w:rPr>
          <w:sz w:val="20"/>
          <w:szCs w:val="20"/>
        </w:rPr>
        <w:t xml:space="preserve"> Iliffe. </w:t>
      </w:r>
      <w:r w:rsidRPr="008B7595">
        <w:rPr>
          <w:i/>
          <w:sz w:val="20"/>
          <w:szCs w:val="20"/>
        </w:rPr>
        <w:t xml:space="preserve">Tanganyika under German Rule 1905 – 1912. </w:t>
      </w:r>
    </w:p>
  </w:footnote>
  <w:footnote w:id="21">
    <w:p w14:paraId="62F5C871" w14:textId="77777777" w:rsidR="00BF38B5" w:rsidRPr="00A13A3E" w:rsidRDefault="00BF38B5" w:rsidP="006040A9">
      <w:pPr>
        <w:pStyle w:val="FootnoteText"/>
        <w:rPr>
          <w:sz w:val="20"/>
          <w:szCs w:val="20"/>
        </w:rPr>
      </w:pPr>
      <w:r w:rsidRPr="00A13A3E">
        <w:rPr>
          <w:rStyle w:val="FootnoteReference"/>
          <w:sz w:val="20"/>
          <w:szCs w:val="20"/>
        </w:rPr>
        <w:footnoteRef/>
      </w:r>
      <w:r w:rsidRPr="00A13A3E">
        <w:rPr>
          <w:sz w:val="20"/>
          <w:szCs w:val="20"/>
        </w:rPr>
        <w:t xml:space="preserve"> Iliffe. </w:t>
      </w:r>
      <w:r w:rsidRPr="00A13A3E">
        <w:rPr>
          <w:i/>
          <w:sz w:val="20"/>
          <w:szCs w:val="20"/>
        </w:rPr>
        <w:t xml:space="preserve">Tanganyika under German Rule 1905 – 1912. </w:t>
      </w:r>
      <w:r w:rsidRPr="00A13A3E">
        <w:rPr>
          <w:sz w:val="20"/>
          <w:szCs w:val="20"/>
        </w:rPr>
        <w:t>37.</w:t>
      </w:r>
    </w:p>
  </w:footnote>
  <w:footnote w:id="22">
    <w:p w14:paraId="0A178D11" w14:textId="77777777" w:rsidR="00BF38B5" w:rsidRPr="00E268DB" w:rsidRDefault="00BF38B5" w:rsidP="006040A9">
      <w:pPr>
        <w:pStyle w:val="FootnoteText"/>
        <w:rPr>
          <w:sz w:val="20"/>
          <w:szCs w:val="20"/>
        </w:rPr>
      </w:pPr>
      <w:r w:rsidRPr="00E268DB">
        <w:rPr>
          <w:rStyle w:val="FootnoteReference"/>
          <w:sz w:val="20"/>
          <w:szCs w:val="20"/>
        </w:rPr>
        <w:footnoteRef/>
      </w:r>
      <w:r w:rsidRPr="00E268DB">
        <w:rPr>
          <w:sz w:val="20"/>
          <w:szCs w:val="20"/>
        </w:rPr>
        <w:t xml:space="preserve"> Crothers. </w:t>
      </w:r>
      <w:r w:rsidRPr="00E268DB">
        <w:rPr>
          <w:i/>
          <w:sz w:val="20"/>
          <w:szCs w:val="20"/>
        </w:rPr>
        <w:t>The German Elections of 1907.</w:t>
      </w:r>
      <w:r w:rsidRPr="00E268DB">
        <w:rPr>
          <w:sz w:val="20"/>
          <w:szCs w:val="20"/>
        </w:rPr>
        <w:t xml:space="preserve"> 55.</w:t>
      </w:r>
    </w:p>
  </w:footnote>
  <w:footnote w:id="23">
    <w:p w14:paraId="448B7BE0" w14:textId="77777777" w:rsidR="00BF38B5" w:rsidRPr="00951600" w:rsidRDefault="00BF38B5" w:rsidP="006040A9">
      <w:pPr>
        <w:pStyle w:val="FootnoteText"/>
        <w:rPr>
          <w:sz w:val="20"/>
          <w:szCs w:val="20"/>
        </w:rPr>
      </w:pPr>
      <w:r w:rsidRPr="00951600">
        <w:rPr>
          <w:rStyle w:val="FootnoteReference"/>
          <w:sz w:val="20"/>
          <w:szCs w:val="20"/>
        </w:rPr>
        <w:footnoteRef/>
      </w:r>
      <w:r w:rsidRPr="00951600">
        <w:rPr>
          <w:sz w:val="20"/>
          <w:szCs w:val="20"/>
        </w:rPr>
        <w:t xml:space="preserve"> With the important exception of the 1904 colonial bill for the suppression of the Southwest African revolt.</w:t>
      </w:r>
    </w:p>
  </w:footnote>
  <w:footnote w:id="24">
    <w:p w14:paraId="361C0AC8" w14:textId="77777777" w:rsidR="00BF38B5" w:rsidRPr="008E24AC" w:rsidRDefault="00BF38B5" w:rsidP="006040A9">
      <w:pPr>
        <w:pStyle w:val="FootnoteText"/>
        <w:rPr>
          <w:sz w:val="20"/>
          <w:szCs w:val="20"/>
        </w:rPr>
      </w:pPr>
      <w:r w:rsidRPr="008E24AC">
        <w:rPr>
          <w:rStyle w:val="FootnoteReference"/>
          <w:sz w:val="20"/>
          <w:szCs w:val="20"/>
        </w:rPr>
        <w:footnoteRef/>
      </w:r>
      <w:r w:rsidRPr="008E24AC">
        <w:rPr>
          <w:sz w:val="20"/>
          <w:szCs w:val="20"/>
        </w:rPr>
        <w:t xml:space="preserve"> Prince Bernhard von Bülow, ‘Memoirs’ 2:292-3, in Smith. </w:t>
      </w:r>
      <w:r w:rsidRPr="008E24AC">
        <w:rPr>
          <w:i/>
          <w:sz w:val="20"/>
          <w:szCs w:val="20"/>
        </w:rPr>
        <w:t>The German Colonial Empire.</w:t>
      </w:r>
      <w:r w:rsidRPr="008E24AC">
        <w:rPr>
          <w:sz w:val="20"/>
          <w:szCs w:val="20"/>
        </w:rPr>
        <w:t xml:space="preserve"> 186.</w:t>
      </w:r>
    </w:p>
  </w:footnote>
  <w:footnote w:id="25">
    <w:p w14:paraId="6CD65C4B" w14:textId="77777777" w:rsidR="00BF38B5" w:rsidRPr="008E24AC" w:rsidRDefault="00BF38B5" w:rsidP="006040A9">
      <w:pPr>
        <w:pStyle w:val="FootnoteText"/>
        <w:rPr>
          <w:sz w:val="20"/>
          <w:szCs w:val="20"/>
        </w:rPr>
      </w:pPr>
      <w:r w:rsidRPr="008E24AC">
        <w:rPr>
          <w:rStyle w:val="FootnoteReference"/>
          <w:sz w:val="20"/>
          <w:szCs w:val="20"/>
        </w:rPr>
        <w:footnoteRef/>
      </w:r>
      <w:r w:rsidRPr="008E24AC">
        <w:rPr>
          <w:sz w:val="20"/>
          <w:szCs w:val="20"/>
        </w:rPr>
        <w:t xml:space="preserve"> Iliffe. </w:t>
      </w:r>
      <w:r w:rsidRPr="008E24AC">
        <w:rPr>
          <w:i/>
          <w:sz w:val="20"/>
          <w:szCs w:val="20"/>
        </w:rPr>
        <w:t>Tanganyika under German Rule 1905 – 1912.</w:t>
      </w:r>
      <w:r w:rsidRPr="008E24AC">
        <w:rPr>
          <w:sz w:val="20"/>
          <w:szCs w:val="20"/>
        </w:rPr>
        <w:t xml:space="preserve"> 40.</w:t>
      </w:r>
    </w:p>
  </w:footnote>
  <w:footnote w:id="26">
    <w:p w14:paraId="769F8794" w14:textId="77777777" w:rsidR="00BF38B5" w:rsidRPr="008E24AC" w:rsidRDefault="00BF38B5" w:rsidP="006040A9">
      <w:pPr>
        <w:pStyle w:val="FootnoteText"/>
      </w:pPr>
      <w:r w:rsidRPr="008E24AC">
        <w:rPr>
          <w:rStyle w:val="FootnoteReference"/>
          <w:sz w:val="20"/>
          <w:szCs w:val="20"/>
        </w:rPr>
        <w:footnoteRef/>
      </w:r>
      <w:r w:rsidRPr="008E24AC">
        <w:rPr>
          <w:sz w:val="20"/>
          <w:szCs w:val="20"/>
        </w:rPr>
        <w:t xml:space="preserve"> Crothers. </w:t>
      </w:r>
      <w:r w:rsidRPr="008E24AC">
        <w:rPr>
          <w:i/>
          <w:sz w:val="20"/>
          <w:szCs w:val="20"/>
        </w:rPr>
        <w:t>The German Elections of 1907.</w:t>
      </w:r>
      <w:r w:rsidRPr="008E24AC">
        <w:rPr>
          <w:sz w:val="20"/>
          <w:szCs w:val="20"/>
        </w:rPr>
        <w:t xml:space="preserve"> 67.</w:t>
      </w:r>
    </w:p>
  </w:footnote>
  <w:footnote w:id="27">
    <w:p w14:paraId="61212CFA" w14:textId="77777777" w:rsidR="00BF38B5" w:rsidRPr="003F5AC5" w:rsidRDefault="00BF38B5" w:rsidP="006040A9">
      <w:pPr>
        <w:pStyle w:val="FootnoteText"/>
        <w:rPr>
          <w:sz w:val="20"/>
          <w:szCs w:val="20"/>
        </w:rPr>
      </w:pPr>
      <w:r w:rsidRPr="003F5AC5">
        <w:rPr>
          <w:rStyle w:val="FootnoteReference"/>
          <w:sz w:val="20"/>
          <w:szCs w:val="20"/>
        </w:rPr>
        <w:footnoteRef/>
      </w:r>
      <w:r w:rsidRPr="003F5AC5">
        <w:rPr>
          <w:sz w:val="20"/>
          <w:szCs w:val="20"/>
        </w:rPr>
        <w:t xml:space="preserve"> Hansgeorg Fernis, ‘Die Flottennovellen im Reichstag, 1906 – 1912’ in Crothers. </w:t>
      </w:r>
      <w:r w:rsidRPr="003F5AC5">
        <w:rPr>
          <w:i/>
          <w:sz w:val="20"/>
          <w:szCs w:val="20"/>
        </w:rPr>
        <w:t>The German Election of 1907.</w:t>
      </w:r>
      <w:r w:rsidRPr="003F5AC5">
        <w:rPr>
          <w:sz w:val="20"/>
          <w:szCs w:val="20"/>
        </w:rPr>
        <w:t xml:space="preserve"> 28. </w:t>
      </w:r>
    </w:p>
  </w:footnote>
  <w:footnote w:id="28">
    <w:p w14:paraId="50C76888" w14:textId="77777777" w:rsidR="00BF38B5" w:rsidRPr="008D4407" w:rsidRDefault="00BF38B5" w:rsidP="006040A9">
      <w:pPr>
        <w:pStyle w:val="FootnoteText"/>
        <w:rPr>
          <w:sz w:val="20"/>
          <w:szCs w:val="20"/>
        </w:rPr>
      </w:pPr>
      <w:r w:rsidRPr="008D4407">
        <w:rPr>
          <w:rStyle w:val="FootnoteReference"/>
          <w:sz w:val="20"/>
          <w:szCs w:val="20"/>
        </w:rPr>
        <w:footnoteRef/>
      </w:r>
      <w:r w:rsidRPr="008D4407">
        <w:rPr>
          <w:sz w:val="20"/>
          <w:szCs w:val="20"/>
        </w:rPr>
        <w:t xml:space="preserve"> The youngest member of the Reichstag in 1906, Erzberger eventually would be the man to sign the armistice ending the First World War, for which he was assassinated as a traitor by a right-wing group in 1921.</w:t>
      </w:r>
    </w:p>
  </w:footnote>
  <w:footnote w:id="29">
    <w:p w14:paraId="32386CB9" w14:textId="612A399C" w:rsidR="00BF38B5" w:rsidRPr="00624967" w:rsidRDefault="00BF38B5">
      <w:pPr>
        <w:pStyle w:val="FootnoteText"/>
        <w:rPr>
          <w:sz w:val="20"/>
          <w:szCs w:val="20"/>
        </w:rPr>
      </w:pPr>
      <w:r w:rsidRPr="00624967">
        <w:rPr>
          <w:rStyle w:val="FootnoteReference"/>
          <w:sz w:val="20"/>
          <w:szCs w:val="20"/>
        </w:rPr>
        <w:footnoteRef/>
      </w:r>
      <w:r w:rsidRPr="00624967">
        <w:rPr>
          <w:sz w:val="20"/>
          <w:szCs w:val="20"/>
        </w:rPr>
        <w:t xml:space="preserve"> Smith. </w:t>
      </w:r>
      <w:r w:rsidRPr="00624967">
        <w:rPr>
          <w:i/>
          <w:sz w:val="20"/>
          <w:szCs w:val="20"/>
        </w:rPr>
        <w:t>German Colonial Empire.</w:t>
      </w:r>
      <w:r w:rsidRPr="00624967">
        <w:rPr>
          <w:sz w:val="20"/>
          <w:szCs w:val="20"/>
        </w:rPr>
        <w:t xml:space="preserve"> 127.</w:t>
      </w:r>
    </w:p>
  </w:footnote>
  <w:footnote w:id="30">
    <w:p w14:paraId="0D0210F6" w14:textId="77777777" w:rsidR="00BF38B5" w:rsidRPr="00D25373" w:rsidRDefault="00BF38B5" w:rsidP="006040A9">
      <w:pPr>
        <w:pStyle w:val="FootnoteText"/>
        <w:rPr>
          <w:sz w:val="20"/>
          <w:szCs w:val="20"/>
        </w:rPr>
      </w:pPr>
      <w:r w:rsidRPr="00624967">
        <w:rPr>
          <w:rStyle w:val="FootnoteReference"/>
          <w:sz w:val="20"/>
          <w:szCs w:val="20"/>
        </w:rPr>
        <w:footnoteRef/>
      </w:r>
      <w:r w:rsidRPr="00624967">
        <w:rPr>
          <w:sz w:val="20"/>
          <w:szCs w:val="20"/>
        </w:rPr>
        <w:t xml:space="preserve"> Crothers. </w:t>
      </w:r>
      <w:r w:rsidRPr="00624967">
        <w:rPr>
          <w:i/>
          <w:sz w:val="20"/>
          <w:szCs w:val="20"/>
        </w:rPr>
        <w:t>The German Elections of 1907.</w:t>
      </w:r>
      <w:r w:rsidRPr="00624967">
        <w:rPr>
          <w:sz w:val="20"/>
          <w:szCs w:val="20"/>
        </w:rPr>
        <w:t xml:space="preserve"> 35.</w:t>
      </w:r>
      <w:r w:rsidRPr="00D25373">
        <w:rPr>
          <w:sz w:val="20"/>
          <w:szCs w:val="20"/>
        </w:rPr>
        <w:t xml:space="preserve"> </w:t>
      </w:r>
    </w:p>
  </w:footnote>
  <w:footnote w:id="31">
    <w:p w14:paraId="235161E5" w14:textId="77777777" w:rsidR="00BF38B5" w:rsidRDefault="00BF38B5" w:rsidP="006040A9">
      <w:pPr>
        <w:pStyle w:val="FootnoteText"/>
      </w:pPr>
      <w:r w:rsidRPr="00D25373">
        <w:rPr>
          <w:rStyle w:val="FootnoteReference"/>
          <w:sz w:val="20"/>
          <w:szCs w:val="20"/>
        </w:rPr>
        <w:footnoteRef/>
      </w:r>
      <w:r w:rsidRPr="00D25373">
        <w:rPr>
          <w:sz w:val="20"/>
          <w:szCs w:val="20"/>
        </w:rPr>
        <w:t xml:space="preserve"> Ibid. 73.</w:t>
      </w:r>
      <w:r>
        <w:t xml:space="preserve"> </w:t>
      </w:r>
    </w:p>
  </w:footnote>
  <w:footnote w:id="32">
    <w:p w14:paraId="04254E56" w14:textId="77777777" w:rsidR="00BF38B5" w:rsidRPr="00212915" w:rsidRDefault="00BF38B5" w:rsidP="006040A9">
      <w:pPr>
        <w:pStyle w:val="FootnoteText"/>
        <w:rPr>
          <w:sz w:val="20"/>
          <w:szCs w:val="20"/>
        </w:rPr>
      </w:pPr>
      <w:r w:rsidRPr="00212915">
        <w:rPr>
          <w:rStyle w:val="FootnoteReference"/>
          <w:sz w:val="20"/>
          <w:szCs w:val="20"/>
        </w:rPr>
        <w:footnoteRef/>
      </w:r>
      <w:r w:rsidRPr="00212915">
        <w:rPr>
          <w:sz w:val="20"/>
          <w:szCs w:val="20"/>
        </w:rPr>
        <w:t xml:space="preserve"> Smith. </w:t>
      </w:r>
      <w:r w:rsidRPr="00212915">
        <w:rPr>
          <w:i/>
          <w:sz w:val="20"/>
          <w:szCs w:val="20"/>
        </w:rPr>
        <w:t>The German Colonial Empire</w:t>
      </w:r>
      <w:r w:rsidRPr="00212915">
        <w:rPr>
          <w:sz w:val="20"/>
          <w:szCs w:val="20"/>
        </w:rPr>
        <w:t>. 186.</w:t>
      </w:r>
    </w:p>
  </w:footnote>
  <w:footnote w:id="33">
    <w:p w14:paraId="263AD8F0" w14:textId="77777777" w:rsidR="00BF38B5" w:rsidRPr="00EC37CA" w:rsidRDefault="00BF38B5" w:rsidP="006040A9">
      <w:pPr>
        <w:pStyle w:val="FootnoteText"/>
        <w:rPr>
          <w:sz w:val="20"/>
          <w:szCs w:val="20"/>
        </w:rPr>
      </w:pPr>
      <w:r w:rsidRPr="00EC37CA">
        <w:rPr>
          <w:rStyle w:val="FootnoteReference"/>
          <w:sz w:val="20"/>
          <w:szCs w:val="20"/>
        </w:rPr>
        <w:footnoteRef/>
      </w:r>
      <w:r w:rsidRPr="00EC37CA">
        <w:rPr>
          <w:sz w:val="20"/>
          <w:szCs w:val="20"/>
        </w:rPr>
        <w:t xml:space="preserve"> </w:t>
      </w:r>
      <w:r w:rsidRPr="00EC37CA">
        <w:rPr>
          <w:i/>
          <w:sz w:val="20"/>
          <w:szCs w:val="20"/>
        </w:rPr>
        <w:t xml:space="preserve">Reichstag Debates, </w:t>
      </w:r>
      <w:r w:rsidRPr="00EC37CA">
        <w:rPr>
          <w:sz w:val="20"/>
          <w:szCs w:val="20"/>
        </w:rPr>
        <w:t xml:space="preserve">CCXVIII, 4094. In Crothers. </w:t>
      </w:r>
      <w:r w:rsidRPr="00EC37CA">
        <w:rPr>
          <w:i/>
          <w:sz w:val="20"/>
          <w:szCs w:val="20"/>
        </w:rPr>
        <w:t>The German Elections of 1907.</w:t>
      </w:r>
      <w:r w:rsidRPr="00EC37CA">
        <w:rPr>
          <w:sz w:val="20"/>
          <w:szCs w:val="20"/>
        </w:rPr>
        <w:t xml:space="preserve"> 79.</w:t>
      </w:r>
    </w:p>
  </w:footnote>
  <w:footnote w:id="34">
    <w:p w14:paraId="3AA142A9" w14:textId="77777777" w:rsidR="00BF38B5" w:rsidRPr="00EC37CA" w:rsidRDefault="00BF38B5" w:rsidP="006040A9">
      <w:pPr>
        <w:pStyle w:val="FootnoteText"/>
      </w:pPr>
      <w:r w:rsidRPr="00EC37CA">
        <w:rPr>
          <w:rStyle w:val="FootnoteReference"/>
          <w:sz w:val="20"/>
          <w:szCs w:val="20"/>
        </w:rPr>
        <w:footnoteRef/>
      </w:r>
      <w:r w:rsidRPr="00EC37CA">
        <w:rPr>
          <w:sz w:val="20"/>
          <w:szCs w:val="20"/>
        </w:rPr>
        <w:t xml:space="preserve"> </w:t>
      </w:r>
      <w:r>
        <w:rPr>
          <w:i/>
          <w:sz w:val="20"/>
          <w:szCs w:val="20"/>
        </w:rPr>
        <w:t>Freisinnige Zeitung</w:t>
      </w:r>
      <w:r>
        <w:rPr>
          <w:sz w:val="20"/>
          <w:szCs w:val="20"/>
        </w:rPr>
        <w:t xml:space="preserve">, (No. 436, Dec. 6, 1906) in </w:t>
      </w:r>
      <w:r w:rsidRPr="00EC37CA">
        <w:rPr>
          <w:sz w:val="20"/>
          <w:szCs w:val="20"/>
        </w:rPr>
        <w:t xml:space="preserve">Crothers. </w:t>
      </w:r>
      <w:r w:rsidRPr="00EC37CA">
        <w:rPr>
          <w:i/>
          <w:sz w:val="20"/>
          <w:szCs w:val="20"/>
        </w:rPr>
        <w:t>The German Elections of 1907.</w:t>
      </w:r>
      <w:r w:rsidRPr="00EC37CA">
        <w:rPr>
          <w:sz w:val="20"/>
          <w:szCs w:val="20"/>
        </w:rPr>
        <w:t xml:space="preserve"> 80.</w:t>
      </w:r>
    </w:p>
  </w:footnote>
  <w:footnote w:id="35">
    <w:p w14:paraId="57870E35" w14:textId="77777777" w:rsidR="00BF38B5" w:rsidRPr="004D15A1" w:rsidRDefault="00BF38B5" w:rsidP="006040A9">
      <w:pPr>
        <w:pStyle w:val="FootnoteText"/>
        <w:ind w:left="142" w:hanging="142"/>
        <w:rPr>
          <w:sz w:val="20"/>
          <w:szCs w:val="20"/>
        </w:rPr>
      </w:pPr>
      <w:r w:rsidRPr="004D15A1">
        <w:rPr>
          <w:rStyle w:val="FootnoteReference"/>
          <w:sz w:val="20"/>
          <w:szCs w:val="20"/>
        </w:rPr>
        <w:footnoteRef/>
      </w:r>
      <w:r w:rsidRPr="004D15A1">
        <w:rPr>
          <w:sz w:val="20"/>
          <w:szCs w:val="20"/>
        </w:rPr>
        <w:t xml:space="preserve"> Though it seems foolish to condense any man’s ambitions and motives into two goals, all of my secondary sources, and the memoirs they are in turn based on, agree with this conclusion. See especially </w:t>
      </w:r>
      <w:r>
        <w:rPr>
          <w:sz w:val="20"/>
          <w:szCs w:val="20"/>
        </w:rPr>
        <w:t xml:space="preserve">Koponen, </w:t>
      </w:r>
      <w:r w:rsidRPr="004D15A1">
        <w:rPr>
          <w:sz w:val="20"/>
          <w:szCs w:val="20"/>
        </w:rPr>
        <w:t xml:space="preserve">Iliffe, Smith, and Crothers. </w:t>
      </w:r>
    </w:p>
  </w:footnote>
  <w:footnote w:id="36">
    <w:p w14:paraId="7338E5A9" w14:textId="77777777" w:rsidR="00BF38B5" w:rsidRPr="004D15A1" w:rsidRDefault="00BF38B5" w:rsidP="006040A9">
      <w:pPr>
        <w:pStyle w:val="FootnoteText"/>
      </w:pPr>
      <w:r w:rsidRPr="004D15A1">
        <w:rPr>
          <w:rStyle w:val="FootnoteReference"/>
          <w:sz w:val="20"/>
          <w:szCs w:val="20"/>
        </w:rPr>
        <w:footnoteRef/>
      </w:r>
      <w:r w:rsidRPr="004D15A1">
        <w:rPr>
          <w:sz w:val="20"/>
          <w:szCs w:val="20"/>
        </w:rPr>
        <w:t xml:space="preserve"> Crothers. </w:t>
      </w:r>
      <w:r w:rsidRPr="004D15A1">
        <w:rPr>
          <w:i/>
          <w:sz w:val="20"/>
          <w:szCs w:val="20"/>
        </w:rPr>
        <w:t>The German Elections of 1907.</w:t>
      </w:r>
      <w:r w:rsidRPr="004D15A1">
        <w:rPr>
          <w:sz w:val="20"/>
          <w:szCs w:val="20"/>
        </w:rPr>
        <w:t xml:space="preserve"> 88.</w:t>
      </w:r>
      <w:r>
        <w:t xml:space="preserve"> </w:t>
      </w:r>
    </w:p>
  </w:footnote>
  <w:footnote w:id="37">
    <w:p w14:paraId="68CF7F80" w14:textId="77777777" w:rsidR="00BF38B5" w:rsidRPr="005E4ECB" w:rsidRDefault="00BF38B5" w:rsidP="006040A9">
      <w:pPr>
        <w:pStyle w:val="FootnoteText"/>
        <w:rPr>
          <w:sz w:val="20"/>
          <w:szCs w:val="20"/>
        </w:rPr>
      </w:pPr>
      <w:r w:rsidRPr="005E4ECB">
        <w:rPr>
          <w:rStyle w:val="FootnoteReference"/>
          <w:sz w:val="20"/>
          <w:szCs w:val="20"/>
        </w:rPr>
        <w:footnoteRef/>
      </w:r>
      <w:r w:rsidRPr="005E4ECB">
        <w:rPr>
          <w:sz w:val="20"/>
          <w:szCs w:val="20"/>
        </w:rPr>
        <w:t xml:space="preserve"> Iliffe. </w:t>
      </w:r>
      <w:r w:rsidRPr="005E4ECB">
        <w:rPr>
          <w:i/>
          <w:sz w:val="20"/>
          <w:szCs w:val="20"/>
        </w:rPr>
        <w:t>Tanganyika under German Rule 1905 –</w:t>
      </w:r>
      <w:r>
        <w:rPr>
          <w:i/>
          <w:sz w:val="20"/>
          <w:szCs w:val="20"/>
        </w:rPr>
        <w:t xml:space="preserve"> 1912</w:t>
      </w:r>
      <w:r w:rsidRPr="005E4ECB">
        <w:rPr>
          <w:i/>
          <w:sz w:val="20"/>
          <w:szCs w:val="20"/>
        </w:rPr>
        <w:t>.</w:t>
      </w:r>
      <w:r w:rsidRPr="005E4ECB">
        <w:rPr>
          <w:sz w:val="20"/>
          <w:szCs w:val="20"/>
        </w:rPr>
        <w:t xml:space="preserve"> 4. </w:t>
      </w:r>
    </w:p>
  </w:footnote>
  <w:footnote w:id="38">
    <w:p w14:paraId="7B5B3C1F" w14:textId="77777777" w:rsidR="00BF38B5" w:rsidRPr="008700D1" w:rsidRDefault="00BF38B5" w:rsidP="006040A9">
      <w:pPr>
        <w:pStyle w:val="FootnoteText"/>
        <w:ind w:left="142" w:hanging="142"/>
        <w:rPr>
          <w:sz w:val="20"/>
          <w:szCs w:val="20"/>
        </w:rPr>
      </w:pPr>
      <w:r w:rsidRPr="00ED2409">
        <w:rPr>
          <w:rStyle w:val="FootnoteReference"/>
          <w:sz w:val="20"/>
          <w:szCs w:val="20"/>
        </w:rPr>
        <w:footnoteRef/>
      </w:r>
      <w:r w:rsidRPr="00ED2409">
        <w:rPr>
          <w:sz w:val="20"/>
          <w:szCs w:val="20"/>
        </w:rPr>
        <w:t xml:space="preserve"> The change from </w:t>
      </w:r>
      <w:r w:rsidRPr="008700D1">
        <w:rPr>
          <w:sz w:val="20"/>
          <w:szCs w:val="20"/>
        </w:rPr>
        <w:t xml:space="preserve">Colonial Director to Colonial Secretary reflects a reshuffle in the German administration, by which the colonies were given their own department, separate from the Foreign Office. In practice, however, there was not much difference between the positions, aside from simple terminology. Certain proponents of Dernburg as an authoritarian force of change, such as Mary Townsend, of the older colonial interpretation, do not share this view however. </w:t>
      </w:r>
    </w:p>
  </w:footnote>
  <w:footnote w:id="39">
    <w:p w14:paraId="761E5D4E" w14:textId="77777777" w:rsidR="00BF38B5" w:rsidRPr="008700D1" w:rsidRDefault="00BF38B5" w:rsidP="006040A9">
      <w:pPr>
        <w:pStyle w:val="FootnoteText"/>
      </w:pPr>
      <w:r w:rsidRPr="008700D1">
        <w:rPr>
          <w:rStyle w:val="FootnoteReference"/>
          <w:sz w:val="20"/>
          <w:szCs w:val="20"/>
        </w:rPr>
        <w:footnoteRef/>
      </w:r>
      <w:r w:rsidRPr="008700D1">
        <w:rPr>
          <w:sz w:val="20"/>
          <w:szCs w:val="20"/>
        </w:rPr>
        <w:t xml:space="preserve"> Iliffe. </w:t>
      </w:r>
      <w:r w:rsidRPr="008700D1">
        <w:rPr>
          <w:i/>
          <w:sz w:val="20"/>
          <w:szCs w:val="20"/>
        </w:rPr>
        <w:t xml:space="preserve">Tanganyika under German Rule 1905 – 1912. </w:t>
      </w:r>
      <w:r w:rsidRPr="008700D1">
        <w:rPr>
          <w:sz w:val="20"/>
          <w:szCs w:val="20"/>
        </w:rPr>
        <w:t>4.</w:t>
      </w:r>
    </w:p>
  </w:footnote>
  <w:footnote w:id="40">
    <w:p w14:paraId="05EE76D8" w14:textId="77777777" w:rsidR="00BF38B5" w:rsidRPr="00B030BD" w:rsidRDefault="00BF38B5" w:rsidP="006040A9">
      <w:pPr>
        <w:pStyle w:val="FootnoteText"/>
        <w:rPr>
          <w:sz w:val="20"/>
          <w:szCs w:val="20"/>
        </w:rPr>
      </w:pPr>
      <w:r w:rsidRPr="00B030BD">
        <w:rPr>
          <w:rStyle w:val="FootnoteReference"/>
          <w:sz w:val="20"/>
          <w:szCs w:val="20"/>
        </w:rPr>
        <w:footnoteRef/>
      </w:r>
      <w:r w:rsidRPr="00B030BD">
        <w:rPr>
          <w:sz w:val="20"/>
          <w:szCs w:val="20"/>
        </w:rPr>
        <w:t xml:space="preserve"> Smith. </w:t>
      </w:r>
      <w:r w:rsidRPr="00B030BD">
        <w:rPr>
          <w:i/>
          <w:sz w:val="20"/>
          <w:szCs w:val="20"/>
        </w:rPr>
        <w:t>The German Colonial Empire.</w:t>
      </w:r>
      <w:r w:rsidRPr="00B030BD">
        <w:rPr>
          <w:sz w:val="20"/>
          <w:szCs w:val="20"/>
        </w:rPr>
        <w:t xml:space="preserve"> 183. </w:t>
      </w:r>
    </w:p>
  </w:footnote>
  <w:footnote w:id="41">
    <w:p w14:paraId="2851F989" w14:textId="77777777" w:rsidR="00BF38B5" w:rsidRPr="00B030BD" w:rsidRDefault="00BF38B5" w:rsidP="006040A9">
      <w:pPr>
        <w:pStyle w:val="FootnoteText"/>
        <w:rPr>
          <w:sz w:val="20"/>
          <w:szCs w:val="20"/>
        </w:rPr>
      </w:pPr>
      <w:r w:rsidRPr="00B030BD">
        <w:rPr>
          <w:rStyle w:val="FootnoteReference"/>
          <w:sz w:val="20"/>
          <w:szCs w:val="20"/>
        </w:rPr>
        <w:footnoteRef/>
      </w:r>
      <w:r w:rsidRPr="00B030BD">
        <w:rPr>
          <w:sz w:val="20"/>
          <w:szCs w:val="20"/>
        </w:rPr>
        <w:t xml:space="preserve"> Koponen. </w:t>
      </w:r>
      <w:r w:rsidRPr="00B030BD">
        <w:rPr>
          <w:i/>
          <w:sz w:val="20"/>
          <w:szCs w:val="20"/>
        </w:rPr>
        <w:t>Development for Exploitation.</w:t>
      </w:r>
      <w:r w:rsidRPr="00B030BD">
        <w:rPr>
          <w:sz w:val="20"/>
          <w:szCs w:val="20"/>
        </w:rPr>
        <w:t xml:space="preserve"> 265.</w:t>
      </w:r>
    </w:p>
  </w:footnote>
  <w:footnote w:id="42">
    <w:p w14:paraId="6BDED808" w14:textId="77777777" w:rsidR="00BF38B5" w:rsidRPr="00B030BD" w:rsidRDefault="00BF38B5" w:rsidP="006040A9">
      <w:pPr>
        <w:pStyle w:val="FootnoteText"/>
      </w:pPr>
      <w:r w:rsidRPr="00B030BD">
        <w:rPr>
          <w:rStyle w:val="FootnoteReference"/>
          <w:sz w:val="20"/>
          <w:szCs w:val="20"/>
        </w:rPr>
        <w:footnoteRef/>
      </w:r>
      <w:r w:rsidRPr="00B030BD">
        <w:rPr>
          <w:sz w:val="20"/>
          <w:szCs w:val="20"/>
        </w:rPr>
        <w:t xml:space="preserve"> </w:t>
      </w:r>
      <w:r w:rsidRPr="00B030BD">
        <w:rPr>
          <w:rFonts w:cs="Times New Roman"/>
          <w:i/>
          <w:sz w:val="20"/>
          <w:szCs w:val="20"/>
        </w:rPr>
        <w:t>Norddeutsche Allgemeine Zeitung</w:t>
      </w:r>
      <w:r w:rsidRPr="00B030BD">
        <w:rPr>
          <w:rFonts w:cs="Times New Roman"/>
          <w:sz w:val="20"/>
          <w:szCs w:val="20"/>
        </w:rPr>
        <w:t>, December 13, 1906.</w:t>
      </w:r>
      <w:r>
        <w:rPr>
          <w:rFonts w:ascii="Times New Roman" w:hAnsi="Times New Roman" w:cs="Times New Roman"/>
        </w:rPr>
        <w:t xml:space="preserve"> </w:t>
      </w:r>
    </w:p>
  </w:footnote>
  <w:footnote w:id="43">
    <w:p w14:paraId="5F128DE3" w14:textId="77777777" w:rsidR="00BF38B5" w:rsidRPr="009254E1" w:rsidRDefault="00BF38B5" w:rsidP="006040A9">
      <w:pPr>
        <w:pStyle w:val="FootnoteText"/>
        <w:rPr>
          <w:sz w:val="20"/>
          <w:szCs w:val="20"/>
        </w:rPr>
      </w:pPr>
      <w:r w:rsidRPr="009254E1">
        <w:rPr>
          <w:rStyle w:val="FootnoteReference"/>
          <w:sz w:val="20"/>
          <w:szCs w:val="20"/>
        </w:rPr>
        <w:footnoteRef/>
      </w:r>
      <w:r w:rsidRPr="009254E1">
        <w:rPr>
          <w:sz w:val="20"/>
          <w:szCs w:val="20"/>
        </w:rPr>
        <w:t xml:space="preserve"> Dernburg. </w:t>
      </w:r>
      <w:r w:rsidRPr="009254E1">
        <w:rPr>
          <w:i/>
          <w:sz w:val="20"/>
          <w:szCs w:val="20"/>
        </w:rPr>
        <w:t>Zielpunkte des Deutschen Kolonialwesens.</w:t>
      </w:r>
      <w:r w:rsidRPr="009254E1">
        <w:rPr>
          <w:sz w:val="20"/>
          <w:szCs w:val="20"/>
        </w:rPr>
        <w:t xml:space="preserve"> Berlin. 1907. 6.</w:t>
      </w:r>
    </w:p>
  </w:footnote>
  <w:footnote w:id="44">
    <w:p w14:paraId="65DA155B" w14:textId="77777777" w:rsidR="00BF38B5" w:rsidRPr="00624967" w:rsidRDefault="00BF38B5" w:rsidP="006040A9">
      <w:pPr>
        <w:pStyle w:val="FootnoteText"/>
        <w:rPr>
          <w:sz w:val="20"/>
          <w:szCs w:val="20"/>
        </w:rPr>
      </w:pPr>
      <w:r w:rsidRPr="009254E1">
        <w:rPr>
          <w:rStyle w:val="FootnoteReference"/>
          <w:sz w:val="20"/>
          <w:szCs w:val="20"/>
        </w:rPr>
        <w:footnoteRef/>
      </w:r>
      <w:r w:rsidRPr="009254E1">
        <w:rPr>
          <w:sz w:val="20"/>
          <w:szCs w:val="20"/>
        </w:rPr>
        <w:t xml:space="preserve"> Ibid. 9. </w:t>
      </w:r>
    </w:p>
  </w:footnote>
  <w:footnote w:id="45">
    <w:p w14:paraId="7A72205E" w14:textId="734C3F73" w:rsidR="00BF38B5" w:rsidRPr="00624967" w:rsidRDefault="00BF38B5" w:rsidP="006040A9">
      <w:pPr>
        <w:pStyle w:val="FootnoteText"/>
      </w:pPr>
      <w:r w:rsidRPr="00624967">
        <w:rPr>
          <w:rStyle w:val="FootnoteReference"/>
          <w:sz w:val="20"/>
          <w:szCs w:val="20"/>
        </w:rPr>
        <w:footnoteRef/>
      </w:r>
      <w:r w:rsidRPr="00624967">
        <w:rPr>
          <w:sz w:val="20"/>
          <w:szCs w:val="20"/>
        </w:rPr>
        <w:t xml:space="preserve"> Mary Townsend. </w:t>
      </w:r>
      <w:r w:rsidRPr="00624967">
        <w:rPr>
          <w:rFonts w:cs="Times New Roman"/>
          <w:i/>
          <w:sz w:val="20"/>
          <w:szCs w:val="20"/>
        </w:rPr>
        <w:t>The Rise and Fall of Germany’s Colonial Empire 1884 – 1918.</w:t>
      </w:r>
    </w:p>
  </w:footnote>
  <w:footnote w:id="46">
    <w:p w14:paraId="0750ADF6" w14:textId="77777777" w:rsidR="00BF38B5" w:rsidRPr="002E417B" w:rsidRDefault="00BF38B5" w:rsidP="006040A9">
      <w:pPr>
        <w:pStyle w:val="FootnoteText"/>
        <w:rPr>
          <w:sz w:val="20"/>
          <w:szCs w:val="20"/>
        </w:rPr>
      </w:pPr>
      <w:r w:rsidRPr="002E417B">
        <w:rPr>
          <w:rStyle w:val="FootnoteReference"/>
          <w:sz w:val="20"/>
          <w:szCs w:val="20"/>
        </w:rPr>
        <w:footnoteRef/>
      </w:r>
      <w:r w:rsidRPr="002E417B">
        <w:rPr>
          <w:sz w:val="20"/>
          <w:szCs w:val="20"/>
        </w:rPr>
        <w:t xml:space="preserve"> Dernburg. </w:t>
      </w:r>
      <w:r w:rsidRPr="002E417B">
        <w:rPr>
          <w:i/>
          <w:sz w:val="20"/>
          <w:szCs w:val="20"/>
        </w:rPr>
        <w:t>Zielpunkte des Deutschen Kolonialwesens.</w:t>
      </w:r>
      <w:r w:rsidRPr="002E417B">
        <w:rPr>
          <w:sz w:val="20"/>
          <w:szCs w:val="20"/>
        </w:rPr>
        <w:t xml:space="preserve"> 36 – 40.</w:t>
      </w:r>
    </w:p>
  </w:footnote>
  <w:footnote w:id="47">
    <w:p w14:paraId="3D2E7AED" w14:textId="77777777" w:rsidR="00BF38B5" w:rsidRDefault="00BF38B5" w:rsidP="006040A9">
      <w:pPr>
        <w:pStyle w:val="FootnoteText"/>
      </w:pPr>
      <w:r w:rsidRPr="002E417B">
        <w:rPr>
          <w:rStyle w:val="FootnoteReference"/>
          <w:sz w:val="20"/>
          <w:szCs w:val="20"/>
        </w:rPr>
        <w:footnoteRef/>
      </w:r>
      <w:r w:rsidRPr="002E417B">
        <w:rPr>
          <w:sz w:val="20"/>
          <w:szCs w:val="20"/>
        </w:rPr>
        <w:t xml:space="preserve"> Ibid. 49 – 50.</w:t>
      </w:r>
    </w:p>
  </w:footnote>
  <w:footnote w:id="48">
    <w:p w14:paraId="3B2EB7A8" w14:textId="40F730D5" w:rsidR="00BF38B5" w:rsidRPr="002E417B" w:rsidRDefault="00BF38B5" w:rsidP="006040A9">
      <w:pPr>
        <w:pStyle w:val="FootnoteText"/>
        <w:rPr>
          <w:sz w:val="20"/>
          <w:szCs w:val="20"/>
        </w:rPr>
      </w:pPr>
      <w:r w:rsidRPr="002E417B">
        <w:rPr>
          <w:rStyle w:val="FootnoteReference"/>
          <w:sz w:val="20"/>
          <w:szCs w:val="20"/>
        </w:rPr>
        <w:footnoteRef/>
      </w:r>
      <w:r w:rsidRPr="002E417B">
        <w:rPr>
          <w:sz w:val="20"/>
          <w:szCs w:val="20"/>
        </w:rPr>
        <w:t xml:space="preserve"> </w:t>
      </w:r>
      <w:r>
        <w:rPr>
          <w:sz w:val="20"/>
          <w:szCs w:val="20"/>
        </w:rPr>
        <w:t>Ibid.</w:t>
      </w:r>
      <w:r w:rsidRPr="002E417B">
        <w:rPr>
          <w:sz w:val="20"/>
          <w:szCs w:val="20"/>
        </w:rPr>
        <w:t xml:space="preserve"> 51.</w:t>
      </w:r>
    </w:p>
  </w:footnote>
  <w:footnote w:id="49">
    <w:p w14:paraId="57BD7D0C" w14:textId="3ECC993D" w:rsidR="00BF38B5" w:rsidRPr="009254E1" w:rsidRDefault="00BF38B5" w:rsidP="009254E1">
      <w:pPr>
        <w:pStyle w:val="FootnoteText"/>
        <w:ind w:left="142" w:hanging="142"/>
        <w:rPr>
          <w:sz w:val="20"/>
          <w:szCs w:val="20"/>
        </w:rPr>
      </w:pPr>
      <w:r w:rsidRPr="009254E1">
        <w:rPr>
          <w:rStyle w:val="FootnoteReference"/>
          <w:sz w:val="20"/>
          <w:szCs w:val="20"/>
        </w:rPr>
        <w:footnoteRef/>
      </w:r>
      <w:r w:rsidRPr="009254E1">
        <w:rPr>
          <w:sz w:val="20"/>
          <w:szCs w:val="20"/>
        </w:rPr>
        <w:t xml:space="preserve"> </w:t>
      </w:r>
      <w:r w:rsidRPr="009254E1">
        <w:rPr>
          <w:i/>
          <w:sz w:val="20"/>
          <w:szCs w:val="20"/>
        </w:rPr>
        <w:t xml:space="preserve">Stenographische Berichte, </w:t>
      </w:r>
      <w:r w:rsidRPr="009254E1">
        <w:rPr>
          <w:sz w:val="20"/>
          <w:szCs w:val="20"/>
        </w:rPr>
        <w:t xml:space="preserve">vol. 66, 13 March 1884, 1798. In Thaddeus Sunseri. </w:t>
      </w:r>
      <w:r w:rsidRPr="009254E1">
        <w:rPr>
          <w:i/>
          <w:sz w:val="20"/>
          <w:szCs w:val="20"/>
        </w:rPr>
        <w:t xml:space="preserve">A Social History of Cotton Production in German East Africa, 1884-1915. </w:t>
      </w:r>
      <w:r w:rsidRPr="009254E1">
        <w:rPr>
          <w:sz w:val="20"/>
          <w:szCs w:val="20"/>
        </w:rPr>
        <w:t>University of Minnesota. 1993.</w:t>
      </w:r>
      <w:r>
        <w:rPr>
          <w:sz w:val="20"/>
          <w:szCs w:val="20"/>
        </w:rPr>
        <w:t xml:space="preserve"> 47.</w:t>
      </w:r>
    </w:p>
  </w:footnote>
  <w:footnote w:id="50">
    <w:p w14:paraId="29F4FE06" w14:textId="0A5F9077" w:rsidR="00BF38B5" w:rsidRPr="005C0D22" w:rsidRDefault="00BF38B5">
      <w:pPr>
        <w:pStyle w:val="FootnoteText"/>
        <w:rPr>
          <w:sz w:val="20"/>
          <w:szCs w:val="20"/>
        </w:rPr>
      </w:pPr>
      <w:r w:rsidRPr="005C0D22">
        <w:rPr>
          <w:rStyle w:val="FootnoteReference"/>
          <w:sz w:val="20"/>
          <w:szCs w:val="20"/>
        </w:rPr>
        <w:footnoteRef/>
      </w:r>
      <w:r w:rsidRPr="005C0D22">
        <w:rPr>
          <w:sz w:val="20"/>
          <w:szCs w:val="20"/>
        </w:rPr>
        <w:t xml:space="preserve"> Sunseri. </w:t>
      </w:r>
      <w:r w:rsidRPr="005C0D22">
        <w:rPr>
          <w:i/>
          <w:sz w:val="20"/>
          <w:szCs w:val="20"/>
        </w:rPr>
        <w:t>A Social History of Cotton Production</w:t>
      </w:r>
      <w:r w:rsidRPr="005C0D22">
        <w:rPr>
          <w:sz w:val="20"/>
          <w:szCs w:val="20"/>
        </w:rPr>
        <w:t xml:space="preserve">. 40. </w:t>
      </w:r>
    </w:p>
  </w:footnote>
  <w:footnote w:id="51">
    <w:p w14:paraId="2E6FDDDD" w14:textId="0BB40B33" w:rsidR="00BF38B5" w:rsidRPr="007A160D" w:rsidRDefault="00BF38B5" w:rsidP="007A160D">
      <w:pPr>
        <w:pStyle w:val="FootnoteText"/>
        <w:ind w:left="142" w:hanging="142"/>
        <w:rPr>
          <w:sz w:val="20"/>
          <w:szCs w:val="20"/>
        </w:rPr>
      </w:pPr>
      <w:r w:rsidRPr="007A160D">
        <w:rPr>
          <w:rStyle w:val="FootnoteReference"/>
          <w:sz w:val="20"/>
          <w:szCs w:val="20"/>
        </w:rPr>
        <w:footnoteRef/>
      </w:r>
      <w:r w:rsidRPr="007A160D">
        <w:rPr>
          <w:sz w:val="20"/>
          <w:szCs w:val="20"/>
        </w:rPr>
        <w:t xml:space="preserve"> Dernburg. </w:t>
      </w:r>
      <w:r w:rsidRPr="007A160D">
        <w:rPr>
          <w:i/>
          <w:sz w:val="20"/>
          <w:szCs w:val="20"/>
        </w:rPr>
        <w:t>Zielpunkte.</w:t>
      </w:r>
      <w:r w:rsidRPr="007A160D">
        <w:rPr>
          <w:sz w:val="20"/>
          <w:szCs w:val="20"/>
        </w:rPr>
        <w:t xml:space="preserve"> 40 – 41.</w:t>
      </w:r>
    </w:p>
  </w:footnote>
  <w:footnote w:id="52">
    <w:p w14:paraId="0E1D2287" w14:textId="73084C06" w:rsidR="00BF38B5" w:rsidRPr="007A160D" w:rsidRDefault="00BF38B5" w:rsidP="007A160D">
      <w:pPr>
        <w:pStyle w:val="FootnoteText"/>
        <w:ind w:left="142" w:hanging="142"/>
      </w:pPr>
      <w:r w:rsidRPr="007A160D">
        <w:rPr>
          <w:rStyle w:val="FootnoteReference"/>
          <w:sz w:val="20"/>
          <w:szCs w:val="20"/>
        </w:rPr>
        <w:footnoteRef/>
      </w:r>
      <w:r w:rsidRPr="007A160D">
        <w:rPr>
          <w:sz w:val="20"/>
          <w:szCs w:val="20"/>
        </w:rPr>
        <w:t xml:space="preserve"> </w:t>
      </w:r>
      <w:r w:rsidRPr="007A160D">
        <w:rPr>
          <w:i/>
          <w:sz w:val="20"/>
          <w:szCs w:val="20"/>
        </w:rPr>
        <w:t>Stenographische Berichte.</w:t>
      </w:r>
      <w:r w:rsidRPr="007A160D">
        <w:rPr>
          <w:sz w:val="20"/>
          <w:szCs w:val="20"/>
        </w:rPr>
        <w:t xml:space="preserve"> Session 27, 1889. 622. In Sunseri. </w:t>
      </w:r>
      <w:r w:rsidRPr="007A160D">
        <w:rPr>
          <w:i/>
          <w:sz w:val="20"/>
          <w:szCs w:val="20"/>
        </w:rPr>
        <w:t>A Social History of Cotton Production.</w:t>
      </w:r>
      <w:r w:rsidRPr="007A160D">
        <w:rPr>
          <w:sz w:val="20"/>
          <w:szCs w:val="20"/>
        </w:rPr>
        <w:t xml:space="preserve"> 48.</w:t>
      </w:r>
    </w:p>
  </w:footnote>
  <w:footnote w:id="53">
    <w:p w14:paraId="634AE060" w14:textId="05D25741" w:rsidR="00BF38B5" w:rsidRPr="00441E8E" w:rsidRDefault="00BF38B5">
      <w:pPr>
        <w:pStyle w:val="FootnoteText"/>
        <w:rPr>
          <w:sz w:val="20"/>
          <w:szCs w:val="20"/>
        </w:rPr>
      </w:pPr>
      <w:r w:rsidRPr="00441E8E">
        <w:rPr>
          <w:rStyle w:val="FootnoteReference"/>
          <w:sz w:val="20"/>
          <w:szCs w:val="20"/>
        </w:rPr>
        <w:footnoteRef/>
      </w:r>
      <w:r w:rsidRPr="00441E8E">
        <w:rPr>
          <w:sz w:val="20"/>
          <w:szCs w:val="20"/>
        </w:rPr>
        <w:t xml:space="preserve"> Dernburg. </w:t>
      </w:r>
      <w:r w:rsidRPr="00441E8E">
        <w:rPr>
          <w:i/>
          <w:sz w:val="20"/>
          <w:szCs w:val="20"/>
        </w:rPr>
        <w:t>Zielpunkte.</w:t>
      </w:r>
      <w:r w:rsidRPr="00441E8E">
        <w:rPr>
          <w:sz w:val="20"/>
          <w:szCs w:val="20"/>
        </w:rPr>
        <w:t xml:space="preserve"> 44.</w:t>
      </w:r>
    </w:p>
  </w:footnote>
  <w:footnote w:id="54">
    <w:p w14:paraId="721C0093" w14:textId="42ED0F8F" w:rsidR="00BF38B5" w:rsidRPr="00441E8E" w:rsidRDefault="00BF38B5">
      <w:pPr>
        <w:pStyle w:val="FootnoteText"/>
        <w:rPr>
          <w:sz w:val="20"/>
          <w:szCs w:val="20"/>
        </w:rPr>
      </w:pPr>
      <w:r w:rsidRPr="00441E8E">
        <w:rPr>
          <w:rStyle w:val="FootnoteReference"/>
          <w:sz w:val="20"/>
          <w:szCs w:val="20"/>
        </w:rPr>
        <w:footnoteRef/>
      </w:r>
      <w:r w:rsidRPr="00441E8E">
        <w:rPr>
          <w:sz w:val="20"/>
          <w:szCs w:val="20"/>
        </w:rPr>
        <w:t xml:space="preserve"> Tetzlaff. </w:t>
      </w:r>
      <w:r w:rsidRPr="00441E8E">
        <w:rPr>
          <w:i/>
          <w:sz w:val="20"/>
          <w:szCs w:val="20"/>
        </w:rPr>
        <w:t>Koloniale Entwicklungund Ausbeutung.</w:t>
      </w:r>
      <w:r w:rsidRPr="00441E8E">
        <w:rPr>
          <w:sz w:val="20"/>
          <w:szCs w:val="20"/>
        </w:rPr>
        <w:t xml:space="preserve"> 118.</w:t>
      </w:r>
    </w:p>
  </w:footnote>
  <w:footnote w:id="55">
    <w:p w14:paraId="4F2D8F0D" w14:textId="26EF5791" w:rsidR="00BF38B5" w:rsidRPr="00441E8E" w:rsidRDefault="00BF38B5">
      <w:pPr>
        <w:pStyle w:val="FootnoteText"/>
      </w:pPr>
      <w:r w:rsidRPr="00441E8E">
        <w:rPr>
          <w:rStyle w:val="FootnoteReference"/>
          <w:sz w:val="20"/>
          <w:szCs w:val="20"/>
        </w:rPr>
        <w:footnoteRef/>
      </w:r>
      <w:r w:rsidRPr="00441E8E">
        <w:rPr>
          <w:sz w:val="20"/>
          <w:szCs w:val="20"/>
        </w:rPr>
        <w:t xml:space="preserve"> Dernburg. </w:t>
      </w:r>
      <w:r w:rsidRPr="00441E8E">
        <w:rPr>
          <w:i/>
          <w:sz w:val="20"/>
          <w:szCs w:val="20"/>
        </w:rPr>
        <w:t>Zielpunkte.</w:t>
      </w:r>
      <w:r w:rsidRPr="00441E8E">
        <w:rPr>
          <w:sz w:val="20"/>
          <w:szCs w:val="20"/>
        </w:rPr>
        <w:t xml:space="preserve"> 44 – 45.</w:t>
      </w:r>
    </w:p>
  </w:footnote>
  <w:footnote w:id="56">
    <w:p w14:paraId="6F86717B" w14:textId="135A7CCC" w:rsidR="00BF38B5" w:rsidRPr="00A16B65" w:rsidRDefault="00BF38B5">
      <w:pPr>
        <w:pStyle w:val="FootnoteText"/>
        <w:rPr>
          <w:sz w:val="20"/>
          <w:szCs w:val="20"/>
        </w:rPr>
      </w:pPr>
      <w:r w:rsidRPr="00A16B65">
        <w:rPr>
          <w:rStyle w:val="FootnoteReference"/>
          <w:sz w:val="20"/>
          <w:szCs w:val="20"/>
        </w:rPr>
        <w:footnoteRef/>
      </w:r>
      <w:r w:rsidRPr="00A16B65">
        <w:rPr>
          <w:sz w:val="20"/>
          <w:szCs w:val="20"/>
        </w:rPr>
        <w:t xml:space="preserve"> Koponen. </w:t>
      </w:r>
      <w:r w:rsidRPr="00A16B65">
        <w:rPr>
          <w:i/>
          <w:sz w:val="20"/>
          <w:szCs w:val="20"/>
        </w:rPr>
        <w:t xml:space="preserve">Development for Exploitation. </w:t>
      </w:r>
      <w:r w:rsidRPr="00A16B65">
        <w:rPr>
          <w:sz w:val="20"/>
          <w:szCs w:val="20"/>
        </w:rPr>
        <w:t>550.</w:t>
      </w:r>
    </w:p>
  </w:footnote>
  <w:footnote w:id="57">
    <w:p w14:paraId="445BAE9E" w14:textId="7E551F46" w:rsidR="00BF38B5" w:rsidRPr="00A16B65" w:rsidRDefault="00BF38B5">
      <w:pPr>
        <w:pStyle w:val="FootnoteText"/>
        <w:rPr>
          <w:sz w:val="20"/>
          <w:szCs w:val="20"/>
        </w:rPr>
      </w:pPr>
      <w:r w:rsidRPr="00A16B65">
        <w:rPr>
          <w:rStyle w:val="FootnoteReference"/>
          <w:sz w:val="20"/>
          <w:szCs w:val="20"/>
        </w:rPr>
        <w:footnoteRef/>
      </w:r>
      <w:r w:rsidRPr="00A16B65">
        <w:rPr>
          <w:sz w:val="20"/>
          <w:szCs w:val="20"/>
        </w:rPr>
        <w:t xml:space="preserve"> Tetzlaff. </w:t>
      </w:r>
      <w:r w:rsidRPr="00A16B65">
        <w:rPr>
          <w:i/>
          <w:sz w:val="20"/>
          <w:szCs w:val="20"/>
        </w:rPr>
        <w:t>Koloniale Entwicklung und Ausbeutung.</w:t>
      </w:r>
      <w:r w:rsidRPr="00A16B65">
        <w:rPr>
          <w:sz w:val="20"/>
          <w:szCs w:val="20"/>
        </w:rPr>
        <w:t xml:space="preserve"> 122.</w:t>
      </w:r>
    </w:p>
  </w:footnote>
  <w:footnote w:id="58">
    <w:p w14:paraId="573BADA1" w14:textId="25C7DF86" w:rsidR="00BF38B5" w:rsidRDefault="00BF38B5">
      <w:pPr>
        <w:pStyle w:val="FootnoteText"/>
      </w:pPr>
      <w:r w:rsidRPr="00A16B65">
        <w:rPr>
          <w:rStyle w:val="FootnoteReference"/>
          <w:sz w:val="20"/>
          <w:szCs w:val="20"/>
        </w:rPr>
        <w:footnoteRef/>
      </w:r>
      <w:r w:rsidRPr="00A16B65">
        <w:rPr>
          <w:sz w:val="20"/>
          <w:szCs w:val="20"/>
        </w:rPr>
        <w:t xml:space="preserve"> Ibid. 118.</w:t>
      </w:r>
    </w:p>
  </w:footnote>
  <w:footnote w:id="59">
    <w:p w14:paraId="544A5221" w14:textId="69BD74FB" w:rsidR="00BF38B5" w:rsidRPr="00B12DA3" w:rsidRDefault="00BF38B5" w:rsidP="00B12DA3">
      <w:pPr>
        <w:ind w:left="142" w:hanging="142"/>
        <w:rPr>
          <w:rFonts w:cs="Times-Roman"/>
          <w:color w:val="000000"/>
          <w:sz w:val="20"/>
          <w:szCs w:val="20"/>
          <w:lang w:bidi="en-US"/>
        </w:rPr>
      </w:pPr>
      <w:r w:rsidRPr="00B12DA3">
        <w:rPr>
          <w:rStyle w:val="FootnoteReference"/>
          <w:sz w:val="20"/>
          <w:szCs w:val="20"/>
        </w:rPr>
        <w:footnoteRef/>
      </w:r>
      <w:r w:rsidRPr="00B12DA3">
        <w:rPr>
          <w:sz w:val="20"/>
          <w:szCs w:val="20"/>
        </w:rPr>
        <w:t xml:space="preserve"> Heinrich Schnee. ed. </w:t>
      </w:r>
      <w:r w:rsidRPr="00B12DA3">
        <w:rPr>
          <w:i/>
          <w:sz w:val="20"/>
          <w:szCs w:val="20"/>
        </w:rPr>
        <w:t xml:space="preserve">Das Buch der deutschen Kolonien. </w:t>
      </w:r>
      <w:r w:rsidRPr="00B12DA3">
        <w:rPr>
          <w:sz w:val="20"/>
          <w:szCs w:val="20"/>
        </w:rPr>
        <w:t>Leipzig. 1937.</w:t>
      </w:r>
      <w:r w:rsidRPr="00B12DA3">
        <w:rPr>
          <w:i/>
          <w:sz w:val="20"/>
          <w:szCs w:val="20"/>
        </w:rPr>
        <w:t xml:space="preserve"> </w:t>
      </w:r>
      <w:r w:rsidRPr="00B12DA3">
        <w:rPr>
          <w:sz w:val="20"/>
          <w:szCs w:val="20"/>
        </w:rPr>
        <w:t xml:space="preserve">426 – 428. In </w:t>
      </w:r>
      <w:r w:rsidRPr="00B12DA3">
        <w:rPr>
          <w:rFonts w:cs="Times-Roman"/>
          <w:color w:val="000000"/>
          <w:sz w:val="20"/>
          <w:szCs w:val="20"/>
          <w:lang w:bidi="en-US"/>
        </w:rPr>
        <w:t xml:space="preserve">L. H. Gann &amp; Peter Duignan. </w:t>
      </w:r>
      <w:r w:rsidRPr="00B12DA3">
        <w:rPr>
          <w:rFonts w:cs="Times-Roman"/>
          <w:i/>
          <w:color w:val="000000"/>
          <w:sz w:val="20"/>
          <w:szCs w:val="20"/>
          <w:lang w:bidi="en-US"/>
        </w:rPr>
        <w:t xml:space="preserve">The Rulers of German Africa, 1884 – 1914. </w:t>
      </w:r>
      <w:r w:rsidRPr="00B12DA3">
        <w:rPr>
          <w:rFonts w:cs="Times-Roman"/>
          <w:color w:val="000000"/>
          <w:sz w:val="20"/>
          <w:szCs w:val="20"/>
          <w:lang w:bidi="en-US"/>
        </w:rPr>
        <w:t>Stanford University Press. Stanford. 1977. 261.</w:t>
      </w:r>
    </w:p>
  </w:footnote>
  <w:footnote w:id="60">
    <w:p w14:paraId="34BA3492" w14:textId="7ECA5824" w:rsidR="00BF38B5" w:rsidRPr="00B12DA3" w:rsidRDefault="00BF38B5" w:rsidP="00B12DA3">
      <w:pPr>
        <w:pStyle w:val="FootnoteText"/>
        <w:ind w:left="142" w:hanging="142"/>
        <w:rPr>
          <w:sz w:val="20"/>
          <w:szCs w:val="20"/>
        </w:rPr>
      </w:pPr>
      <w:r w:rsidRPr="00B12DA3">
        <w:rPr>
          <w:rStyle w:val="FootnoteReference"/>
          <w:sz w:val="20"/>
          <w:szCs w:val="20"/>
        </w:rPr>
        <w:footnoteRef/>
      </w:r>
      <w:r w:rsidRPr="00B12DA3">
        <w:rPr>
          <w:sz w:val="20"/>
          <w:szCs w:val="20"/>
        </w:rPr>
        <w:t xml:space="preserve"> Dernburg. </w:t>
      </w:r>
      <w:r w:rsidRPr="00B12DA3">
        <w:rPr>
          <w:i/>
          <w:sz w:val="20"/>
          <w:szCs w:val="20"/>
        </w:rPr>
        <w:t>Zielpunkte.</w:t>
      </w:r>
      <w:r w:rsidRPr="00B12DA3">
        <w:rPr>
          <w:sz w:val="20"/>
          <w:szCs w:val="20"/>
        </w:rPr>
        <w:t xml:space="preserve"> 9.</w:t>
      </w:r>
    </w:p>
  </w:footnote>
  <w:footnote w:id="61">
    <w:p w14:paraId="5D96F008" w14:textId="1EC66BA5" w:rsidR="00BF38B5" w:rsidRPr="00DD2359" w:rsidRDefault="00BF38B5" w:rsidP="00DD2359">
      <w:pPr>
        <w:pStyle w:val="FootnoteText"/>
        <w:ind w:left="142" w:hanging="142"/>
        <w:rPr>
          <w:sz w:val="20"/>
          <w:szCs w:val="20"/>
        </w:rPr>
      </w:pPr>
      <w:r w:rsidRPr="00DD2359">
        <w:rPr>
          <w:rStyle w:val="FootnoteReference"/>
          <w:sz w:val="20"/>
          <w:szCs w:val="20"/>
        </w:rPr>
        <w:footnoteRef/>
      </w:r>
      <w:r w:rsidRPr="00DD2359">
        <w:rPr>
          <w:sz w:val="20"/>
          <w:szCs w:val="20"/>
        </w:rPr>
        <w:t xml:space="preserve"> See, for instance, Adam Hochschild. </w:t>
      </w:r>
      <w:r w:rsidRPr="00DD2359">
        <w:rPr>
          <w:i/>
          <w:sz w:val="20"/>
          <w:szCs w:val="20"/>
        </w:rPr>
        <w:t xml:space="preserve">King Leopold’s Ghost: A Story of Greed, Terror, and Heroism in Colonial Africa. </w:t>
      </w:r>
      <w:r w:rsidRPr="00DD2359">
        <w:rPr>
          <w:sz w:val="20"/>
          <w:szCs w:val="20"/>
        </w:rPr>
        <w:t>New York. 1999.</w:t>
      </w:r>
    </w:p>
  </w:footnote>
  <w:footnote w:id="62">
    <w:p w14:paraId="445641AC" w14:textId="0132FDCB" w:rsidR="00BF38B5" w:rsidRPr="00DD2359" w:rsidRDefault="00BF38B5" w:rsidP="00DD2359">
      <w:pPr>
        <w:pStyle w:val="FootnoteText"/>
        <w:ind w:left="142" w:hanging="142"/>
      </w:pPr>
      <w:r w:rsidRPr="00DD2359">
        <w:rPr>
          <w:rStyle w:val="FootnoteReference"/>
          <w:sz w:val="20"/>
          <w:szCs w:val="20"/>
        </w:rPr>
        <w:footnoteRef/>
      </w:r>
      <w:r w:rsidRPr="00DD2359">
        <w:rPr>
          <w:sz w:val="20"/>
          <w:szCs w:val="20"/>
        </w:rPr>
        <w:t xml:space="preserve"> Wirtschaftlicher Verein vom Meru to Government, 11 October 1913, Tanzanian National Archive. G8/176, 21 ff. In Koponen. </w:t>
      </w:r>
      <w:r w:rsidRPr="00DD2359">
        <w:rPr>
          <w:i/>
          <w:sz w:val="20"/>
          <w:szCs w:val="20"/>
        </w:rPr>
        <w:t>Development for Exploitation.</w:t>
      </w:r>
      <w:r w:rsidRPr="00DD2359">
        <w:rPr>
          <w:sz w:val="20"/>
          <w:szCs w:val="20"/>
        </w:rPr>
        <w:t xml:space="preserve"> 433.</w:t>
      </w:r>
    </w:p>
  </w:footnote>
  <w:footnote w:id="63">
    <w:p w14:paraId="208D0B7B" w14:textId="68678993" w:rsidR="00BF38B5" w:rsidRPr="00B468B9" w:rsidRDefault="00BF38B5">
      <w:pPr>
        <w:pStyle w:val="FootnoteText"/>
        <w:rPr>
          <w:sz w:val="20"/>
          <w:szCs w:val="20"/>
        </w:rPr>
      </w:pPr>
      <w:r w:rsidRPr="00B468B9">
        <w:rPr>
          <w:rStyle w:val="FootnoteReference"/>
          <w:sz w:val="20"/>
          <w:szCs w:val="20"/>
        </w:rPr>
        <w:footnoteRef/>
      </w:r>
      <w:r w:rsidRPr="00B468B9">
        <w:rPr>
          <w:sz w:val="20"/>
          <w:szCs w:val="20"/>
        </w:rPr>
        <w:t xml:space="preserve"> Iliffe. </w:t>
      </w:r>
      <w:r w:rsidRPr="00B468B9">
        <w:rPr>
          <w:i/>
          <w:sz w:val="20"/>
          <w:szCs w:val="20"/>
        </w:rPr>
        <w:t>Tanganyika under German Rule.</w:t>
      </w:r>
      <w:r w:rsidRPr="00B468B9">
        <w:rPr>
          <w:sz w:val="20"/>
          <w:szCs w:val="20"/>
        </w:rPr>
        <w:t xml:space="preserve"> 140.</w:t>
      </w:r>
    </w:p>
  </w:footnote>
  <w:footnote w:id="64">
    <w:p w14:paraId="441562D1" w14:textId="3356E144" w:rsidR="00BF38B5" w:rsidRPr="00D54CDD" w:rsidRDefault="00BF38B5">
      <w:pPr>
        <w:pStyle w:val="FootnoteText"/>
        <w:rPr>
          <w:sz w:val="20"/>
          <w:szCs w:val="20"/>
        </w:rPr>
      </w:pPr>
      <w:r w:rsidRPr="00D54CDD">
        <w:rPr>
          <w:rStyle w:val="FootnoteReference"/>
          <w:sz w:val="20"/>
          <w:szCs w:val="20"/>
        </w:rPr>
        <w:footnoteRef/>
      </w:r>
      <w:r w:rsidRPr="00D54CDD">
        <w:rPr>
          <w:sz w:val="20"/>
          <w:szCs w:val="20"/>
        </w:rPr>
        <w:t xml:space="preserve"> Tetzlaff. </w:t>
      </w:r>
      <w:r w:rsidRPr="00D54CDD">
        <w:rPr>
          <w:i/>
          <w:sz w:val="20"/>
          <w:szCs w:val="20"/>
        </w:rPr>
        <w:t>Koloniale Entwicklung und Ausbeutung.</w:t>
      </w:r>
      <w:r w:rsidRPr="00D54CDD">
        <w:rPr>
          <w:sz w:val="20"/>
          <w:szCs w:val="20"/>
        </w:rPr>
        <w:t xml:space="preserve"> 130. </w:t>
      </w:r>
    </w:p>
  </w:footnote>
  <w:footnote w:id="65">
    <w:p w14:paraId="4D03FDF1" w14:textId="5E7E3F3A" w:rsidR="00BF38B5" w:rsidRPr="00D54CDD" w:rsidRDefault="00BF38B5">
      <w:pPr>
        <w:pStyle w:val="FootnoteText"/>
        <w:rPr>
          <w:sz w:val="20"/>
          <w:szCs w:val="20"/>
        </w:rPr>
      </w:pPr>
      <w:r w:rsidRPr="00D54CDD">
        <w:rPr>
          <w:rStyle w:val="FootnoteReference"/>
          <w:sz w:val="20"/>
          <w:szCs w:val="20"/>
        </w:rPr>
        <w:footnoteRef/>
      </w:r>
      <w:r w:rsidRPr="00D54CDD">
        <w:rPr>
          <w:sz w:val="20"/>
          <w:szCs w:val="20"/>
        </w:rPr>
        <w:t xml:space="preserve"> Dernburg. </w:t>
      </w:r>
      <w:r w:rsidRPr="00D54CDD">
        <w:rPr>
          <w:i/>
          <w:sz w:val="20"/>
          <w:szCs w:val="20"/>
        </w:rPr>
        <w:t>Zielpunkte.</w:t>
      </w:r>
      <w:r w:rsidRPr="00D54CDD">
        <w:rPr>
          <w:sz w:val="20"/>
          <w:szCs w:val="20"/>
        </w:rPr>
        <w:t xml:space="preserve"> 45.</w:t>
      </w:r>
    </w:p>
  </w:footnote>
  <w:footnote w:id="66">
    <w:p w14:paraId="315D47F6" w14:textId="66063C58" w:rsidR="00BF38B5" w:rsidRPr="00D54CDD" w:rsidRDefault="00BF38B5">
      <w:pPr>
        <w:pStyle w:val="FootnoteText"/>
        <w:rPr>
          <w:sz w:val="20"/>
          <w:szCs w:val="20"/>
        </w:rPr>
      </w:pPr>
      <w:r w:rsidRPr="00D54CDD">
        <w:rPr>
          <w:rStyle w:val="FootnoteReference"/>
          <w:sz w:val="20"/>
          <w:szCs w:val="20"/>
        </w:rPr>
        <w:footnoteRef/>
      </w:r>
      <w:r w:rsidRPr="00D54CDD">
        <w:rPr>
          <w:sz w:val="20"/>
          <w:szCs w:val="20"/>
        </w:rPr>
        <w:t xml:space="preserve"> Tetzlaff. </w:t>
      </w:r>
      <w:r w:rsidRPr="00D54CDD">
        <w:rPr>
          <w:i/>
          <w:sz w:val="20"/>
          <w:szCs w:val="20"/>
        </w:rPr>
        <w:t>Koloniale Entwicklung und Ausbeutung</w:t>
      </w:r>
      <w:r w:rsidRPr="00D54CDD">
        <w:rPr>
          <w:sz w:val="20"/>
          <w:szCs w:val="20"/>
        </w:rPr>
        <w:t>. 132.</w:t>
      </w:r>
    </w:p>
  </w:footnote>
  <w:footnote w:id="67">
    <w:p w14:paraId="5C307F73" w14:textId="67958D49" w:rsidR="00BF38B5" w:rsidRPr="00D54CDD" w:rsidRDefault="00BF38B5">
      <w:pPr>
        <w:pStyle w:val="FootnoteText"/>
      </w:pPr>
      <w:r w:rsidRPr="00D54CDD">
        <w:rPr>
          <w:rStyle w:val="FootnoteReference"/>
          <w:sz w:val="20"/>
          <w:szCs w:val="20"/>
        </w:rPr>
        <w:footnoteRef/>
      </w:r>
      <w:r w:rsidRPr="00D54CDD">
        <w:rPr>
          <w:sz w:val="20"/>
          <w:szCs w:val="20"/>
        </w:rPr>
        <w:t xml:space="preserve"> Iliffe. </w:t>
      </w:r>
      <w:r w:rsidRPr="00D54CDD">
        <w:rPr>
          <w:i/>
          <w:sz w:val="20"/>
          <w:szCs w:val="20"/>
        </w:rPr>
        <w:t xml:space="preserve">Tanganyika under German Rule. </w:t>
      </w:r>
      <w:r w:rsidRPr="00D54CDD">
        <w:rPr>
          <w:sz w:val="20"/>
          <w:szCs w:val="20"/>
        </w:rPr>
        <w:t>69.</w:t>
      </w:r>
    </w:p>
  </w:footnote>
  <w:footnote w:id="68">
    <w:p w14:paraId="40A2DB7B" w14:textId="2B67BA9B" w:rsidR="00BF38B5" w:rsidRPr="004C6610" w:rsidRDefault="00BF38B5">
      <w:pPr>
        <w:pStyle w:val="FootnoteText"/>
        <w:rPr>
          <w:sz w:val="20"/>
          <w:szCs w:val="20"/>
        </w:rPr>
      </w:pPr>
      <w:r w:rsidRPr="004C6610">
        <w:rPr>
          <w:rStyle w:val="FootnoteReference"/>
          <w:sz w:val="20"/>
          <w:szCs w:val="20"/>
        </w:rPr>
        <w:footnoteRef/>
      </w:r>
      <w:r w:rsidRPr="004C6610">
        <w:rPr>
          <w:sz w:val="20"/>
          <w:szCs w:val="20"/>
        </w:rPr>
        <w:t xml:space="preserve"> </w:t>
      </w:r>
      <w:r>
        <w:rPr>
          <w:sz w:val="20"/>
          <w:szCs w:val="20"/>
        </w:rPr>
        <w:t>Ibid.</w:t>
      </w:r>
      <w:r w:rsidRPr="004C6610">
        <w:rPr>
          <w:sz w:val="20"/>
          <w:szCs w:val="20"/>
        </w:rPr>
        <w:t xml:space="preserve"> 68.</w:t>
      </w:r>
    </w:p>
  </w:footnote>
  <w:footnote w:id="69">
    <w:p w14:paraId="5C13A114" w14:textId="296F139F" w:rsidR="00BF38B5" w:rsidRPr="004C6610" w:rsidRDefault="00BF38B5">
      <w:pPr>
        <w:pStyle w:val="FootnoteText"/>
      </w:pPr>
      <w:r w:rsidRPr="004C6610">
        <w:rPr>
          <w:rStyle w:val="FootnoteReference"/>
          <w:sz w:val="20"/>
          <w:szCs w:val="20"/>
        </w:rPr>
        <w:footnoteRef/>
      </w:r>
      <w:r w:rsidRPr="004C6610">
        <w:rPr>
          <w:sz w:val="20"/>
          <w:szCs w:val="20"/>
        </w:rPr>
        <w:t xml:space="preserve"> Koponen. </w:t>
      </w:r>
      <w:r w:rsidRPr="004C6610">
        <w:rPr>
          <w:i/>
          <w:sz w:val="20"/>
          <w:szCs w:val="20"/>
        </w:rPr>
        <w:t>Development for Exploitation</w:t>
      </w:r>
      <w:r w:rsidRPr="004C6610">
        <w:rPr>
          <w:sz w:val="20"/>
          <w:szCs w:val="20"/>
        </w:rPr>
        <w:t>. 436.</w:t>
      </w:r>
    </w:p>
  </w:footnote>
  <w:footnote w:id="70">
    <w:p w14:paraId="6E4D19BE" w14:textId="77777777" w:rsidR="00BF38B5" w:rsidRPr="009819E3" w:rsidRDefault="00BF38B5" w:rsidP="001C05BF">
      <w:pPr>
        <w:pStyle w:val="FootnoteText"/>
      </w:pPr>
      <w:r w:rsidRPr="009819E3">
        <w:rPr>
          <w:rStyle w:val="FootnoteReference"/>
          <w:sz w:val="20"/>
          <w:szCs w:val="20"/>
        </w:rPr>
        <w:footnoteRef/>
      </w:r>
      <w:r w:rsidRPr="009819E3">
        <w:rPr>
          <w:sz w:val="20"/>
          <w:szCs w:val="20"/>
        </w:rPr>
        <w:t xml:space="preserve"> Iliffe. </w:t>
      </w:r>
      <w:r w:rsidRPr="009819E3">
        <w:rPr>
          <w:i/>
          <w:sz w:val="20"/>
          <w:szCs w:val="20"/>
        </w:rPr>
        <w:t>Tanganyika under German Rule.</w:t>
      </w:r>
      <w:r w:rsidRPr="009819E3">
        <w:rPr>
          <w:sz w:val="20"/>
          <w:szCs w:val="20"/>
        </w:rPr>
        <w:t xml:space="preserve"> 170.</w:t>
      </w:r>
    </w:p>
  </w:footnote>
  <w:footnote w:id="71">
    <w:p w14:paraId="1EE17EDE" w14:textId="77777777" w:rsidR="00BF38B5" w:rsidRPr="00D12E4B" w:rsidRDefault="00BF38B5" w:rsidP="001C05BF">
      <w:pPr>
        <w:pStyle w:val="FootnoteText"/>
        <w:ind w:left="142" w:hanging="142"/>
        <w:rPr>
          <w:sz w:val="20"/>
          <w:szCs w:val="20"/>
        </w:rPr>
      </w:pPr>
      <w:r w:rsidRPr="00D12E4B">
        <w:rPr>
          <w:rStyle w:val="FootnoteReference"/>
          <w:sz w:val="20"/>
          <w:szCs w:val="20"/>
        </w:rPr>
        <w:footnoteRef/>
      </w:r>
      <w:r w:rsidRPr="00D12E4B">
        <w:rPr>
          <w:sz w:val="20"/>
          <w:szCs w:val="20"/>
        </w:rPr>
        <w:t xml:space="preserve"> Heinrich Schnee. ed. </w:t>
      </w:r>
      <w:r w:rsidRPr="00D12E4B">
        <w:rPr>
          <w:i/>
          <w:sz w:val="20"/>
          <w:szCs w:val="20"/>
        </w:rPr>
        <w:t xml:space="preserve">Das Buch der deutschen Kolonien. </w:t>
      </w:r>
      <w:r w:rsidRPr="00D12E4B">
        <w:rPr>
          <w:sz w:val="20"/>
          <w:szCs w:val="20"/>
        </w:rPr>
        <w:t>Leipzig. 1937.</w:t>
      </w:r>
      <w:r w:rsidRPr="00D12E4B">
        <w:rPr>
          <w:i/>
          <w:sz w:val="20"/>
          <w:szCs w:val="20"/>
        </w:rPr>
        <w:t xml:space="preserve"> </w:t>
      </w:r>
      <w:r w:rsidRPr="00D12E4B">
        <w:rPr>
          <w:sz w:val="20"/>
          <w:szCs w:val="20"/>
        </w:rPr>
        <w:t xml:space="preserve">426 – 428. In </w:t>
      </w:r>
      <w:r w:rsidRPr="00D12E4B">
        <w:rPr>
          <w:rFonts w:cs="Times-Roman"/>
          <w:color w:val="000000"/>
          <w:sz w:val="20"/>
          <w:szCs w:val="20"/>
          <w:lang w:bidi="en-US"/>
        </w:rPr>
        <w:t xml:space="preserve">L. H. Gann &amp; Peter Duignan. </w:t>
      </w:r>
      <w:r w:rsidRPr="00D12E4B">
        <w:rPr>
          <w:rFonts w:cs="Times-Roman"/>
          <w:i/>
          <w:color w:val="000000"/>
          <w:sz w:val="20"/>
          <w:szCs w:val="20"/>
          <w:lang w:bidi="en-US"/>
        </w:rPr>
        <w:t xml:space="preserve">The Rulers of German Africa, 1884 – 1914. </w:t>
      </w:r>
      <w:r w:rsidRPr="00D12E4B">
        <w:rPr>
          <w:rFonts w:cs="Times-Roman"/>
          <w:color w:val="000000"/>
          <w:sz w:val="20"/>
          <w:szCs w:val="20"/>
          <w:lang w:bidi="en-US"/>
        </w:rPr>
        <w:t>Stanford University Press. Stanford. 1977. 261.</w:t>
      </w:r>
    </w:p>
  </w:footnote>
  <w:footnote w:id="72">
    <w:p w14:paraId="463EAB04" w14:textId="02B8A06E" w:rsidR="00BF38B5" w:rsidRPr="00914021" w:rsidRDefault="00BF38B5" w:rsidP="00244507">
      <w:pPr>
        <w:pStyle w:val="FootnoteText"/>
        <w:ind w:left="142" w:hanging="142"/>
        <w:rPr>
          <w:sz w:val="20"/>
          <w:szCs w:val="20"/>
        </w:rPr>
      </w:pPr>
      <w:r w:rsidRPr="00244507">
        <w:rPr>
          <w:rStyle w:val="FootnoteReference"/>
          <w:sz w:val="20"/>
          <w:szCs w:val="20"/>
        </w:rPr>
        <w:footnoteRef/>
      </w:r>
      <w:r w:rsidRPr="00244507">
        <w:rPr>
          <w:sz w:val="20"/>
          <w:szCs w:val="20"/>
        </w:rPr>
        <w:t xml:space="preserve"> </w:t>
      </w:r>
      <w:r w:rsidRPr="00914021">
        <w:rPr>
          <w:sz w:val="20"/>
          <w:szCs w:val="20"/>
        </w:rPr>
        <w:t xml:space="preserve">Supf. </w:t>
      </w:r>
      <w:r w:rsidRPr="00914021">
        <w:rPr>
          <w:i/>
          <w:sz w:val="20"/>
          <w:szCs w:val="20"/>
        </w:rPr>
        <w:t>Koloniale-Baumwolle.</w:t>
      </w:r>
      <w:r w:rsidRPr="00914021">
        <w:rPr>
          <w:sz w:val="20"/>
          <w:szCs w:val="20"/>
        </w:rPr>
        <w:t xml:space="preserve"> Bericht II. 6 – 7. In Koponen. </w:t>
      </w:r>
      <w:r w:rsidRPr="00914021">
        <w:rPr>
          <w:i/>
          <w:sz w:val="20"/>
          <w:szCs w:val="20"/>
        </w:rPr>
        <w:t>Development through Exploitation.</w:t>
      </w:r>
      <w:r w:rsidRPr="00914021">
        <w:rPr>
          <w:sz w:val="20"/>
          <w:szCs w:val="20"/>
        </w:rPr>
        <w:t xml:space="preserve"> 226.</w:t>
      </w:r>
    </w:p>
  </w:footnote>
  <w:footnote w:id="73">
    <w:p w14:paraId="3F0FEB03" w14:textId="1A32C351" w:rsidR="00BF38B5" w:rsidRPr="00914021" w:rsidRDefault="00BF38B5">
      <w:pPr>
        <w:pStyle w:val="FootnoteText"/>
        <w:rPr>
          <w:sz w:val="20"/>
          <w:szCs w:val="20"/>
        </w:rPr>
      </w:pPr>
      <w:r w:rsidRPr="00914021">
        <w:rPr>
          <w:rStyle w:val="FootnoteReference"/>
          <w:sz w:val="20"/>
          <w:szCs w:val="20"/>
        </w:rPr>
        <w:footnoteRef/>
      </w:r>
      <w:r w:rsidRPr="00914021">
        <w:rPr>
          <w:sz w:val="20"/>
          <w:szCs w:val="20"/>
        </w:rPr>
        <w:t xml:space="preserve"> Tetzlaff. </w:t>
      </w:r>
      <w:r w:rsidRPr="00914021">
        <w:rPr>
          <w:i/>
          <w:sz w:val="20"/>
          <w:szCs w:val="20"/>
        </w:rPr>
        <w:t xml:space="preserve">Kolonial Entwicklung und Ausbeutung. </w:t>
      </w:r>
      <w:r w:rsidRPr="00914021">
        <w:rPr>
          <w:sz w:val="20"/>
          <w:szCs w:val="20"/>
        </w:rPr>
        <w:t>137.</w:t>
      </w:r>
    </w:p>
  </w:footnote>
  <w:footnote w:id="74">
    <w:p w14:paraId="397F2EF7" w14:textId="2259D3C2" w:rsidR="00BF38B5" w:rsidRPr="00914021" w:rsidRDefault="00BF38B5">
      <w:pPr>
        <w:pStyle w:val="FootnoteText"/>
      </w:pPr>
      <w:r w:rsidRPr="00914021">
        <w:rPr>
          <w:rStyle w:val="FootnoteReference"/>
          <w:sz w:val="20"/>
          <w:szCs w:val="20"/>
        </w:rPr>
        <w:footnoteRef/>
      </w:r>
      <w:r w:rsidRPr="00914021">
        <w:rPr>
          <w:sz w:val="20"/>
          <w:szCs w:val="20"/>
        </w:rPr>
        <w:t xml:space="preserve"> Iliffe. </w:t>
      </w:r>
      <w:r w:rsidRPr="00914021">
        <w:rPr>
          <w:i/>
          <w:sz w:val="20"/>
          <w:szCs w:val="20"/>
        </w:rPr>
        <w:t>Tanganyika under German Rule.</w:t>
      </w:r>
      <w:r w:rsidRPr="00914021">
        <w:rPr>
          <w:sz w:val="20"/>
          <w:szCs w:val="20"/>
        </w:rPr>
        <w:t xml:space="preserve"> 23.</w:t>
      </w:r>
    </w:p>
  </w:footnote>
  <w:footnote w:id="75">
    <w:p w14:paraId="74411AD3" w14:textId="5CDE6C75" w:rsidR="00BF38B5" w:rsidRPr="00BD12A8" w:rsidRDefault="00BF38B5">
      <w:pPr>
        <w:pStyle w:val="FootnoteText"/>
        <w:rPr>
          <w:sz w:val="20"/>
          <w:szCs w:val="20"/>
        </w:rPr>
      </w:pPr>
      <w:r w:rsidRPr="00BD12A8">
        <w:rPr>
          <w:rStyle w:val="FootnoteReference"/>
          <w:sz w:val="20"/>
          <w:szCs w:val="20"/>
        </w:rPr>
        <w:footnoteRef/>
      </w:r>
      <w:r>
        <w:rPr>
          <w:sz w:val="20"/>
          <w:szCs w:val="20"/>
        </w:rPr>
        <w:t xml:space="preserve"> Ibid. </w:t>
      </w:r>
      <w:r w:rsidRPr="00BD12A8">
        <w:rPr>
          <w:sz w:val="20"/>
          <w:szCs w:val="20"/>
        </w:rPr>
        <w:t>99 -100.</w:t>
      </w:r>
    </w:p>
  </w:footnote>
  <w:footnote w:id="76">
    <w:p w14:paraId="505B95D6" w14:textId="76DCD89A" w:rsidR="00BF38B5" w:rsidRPr="00BD12A8" w:rsidRDefault="00BF38B5">
      <w:pPr>
        <w:pStyle w:val="FootnoteText"/>
        <w:rPr>
          <w:sz w:val="20"/>
          <w:szCs w:val="20"/>
        </w:rPr>
      </w:pPr>
      <w:r w:rsidRPr="00BD12A8">
        <w:rPr>
          <w:rStyle w:val="FootnoteReference"/>
          <w:sz w:val="20"/>
          <w:szCs w:val="20"/>
        </w:rPr>
        <w:footnoteRef/>
      </w:r>
      <w:r w:rsidRPr="00BD12A8">
        <w:rPr>
          <w:sz w:val="20"/>
          <w:szCs w:val="20"/>
        </w:rPr>
        <w:t xml:space="preserve"> Tetzlaff. </w:t>
      </w:r>
      <w:r w:rsidRPr="00BD12A8">
        <w:rPr>
          <w:i/>
          <w:sz w:val="20"/>
          <w:szCs w:val="20"/>
        </w:rPr>
        <w:t>Koloniale Entwicklung und Ausbeutung.</w:t>
      </w:r>
      <w:r w:rsidRPr="00BD12A8">
        <w:rPr>
          <w:sz w:val="20"/>
          <w:szCs w:val="20"/>
        </w:rPr>
        <w:t xml:space="preserve"> 149.</w:t>
      </w:r>
    </w:p>
  </w:footnote>
  <w:footnote w:id="77">
    <w:p w14:paraId="6CA18DA2" w14:textId="2F0F1BCB" w:rsidR="00BF38B5" w:rsidRPr="00BD12A8" w:rsidRDefault="00BF38B5">
      <w:pPr>
        <w:pStyle w:val="FootnoteText"/>
        <w:rPr>
          <w:sz w:val="20"/>
          <w:szCs w:val="20"/>
        </w:rPr>
      </w:pPr>
      <w:r w:rsidRPr="00BD12A8">
        <w:rPr>
          <w:rStyle w:val="FootnoteReference"/>
          <w:sz w:val="20"/>
          <w:szCs w:val="20"/>
        </w:rPr>
        <w:footnoteRef/>
      </w:r>
      <w:r w:rsidRPr="00BD12A8">
        <w:rPr>
          <w:sz w:val="20"/>
          <w:szCs w:val="20"/>
        </w:rPr>
        <w:t xml:space="preserve"> Rechenberg to Reichskolonialamt. 15 July 1907. Reichskolonialamt 1056 48 – 56.</w:t>
      </w:r>
    </w:p>
  </w:footnote>
  <w:footnote w:id="78">
    <w:p w14:paraId="5A0FDEC1" w14:textId="36ABE201" w:rsidR="00BF38B5" w:rsidRPr="00BD12A8" w:rsidRDefault="00BF38B5">
      <w:pPr>
        <w:pStyle w:val="FootnoteText"/>
      </w:pPr>
      <w:r w:rsidRPr="00BD12A8">
        <w:rPr>
          <w:rStyle w:val="FootnoteReference"/>
          <w:sz w:val="20"/>
          <w:szCs w:val="20"/>
        </w:rPr>
        <w:footnoteRef/>
      </w:r>
      <w:r w:rsidRPr="00BD12A8">
        <w:rPr>
          <w:sz w:val="20"/>
          <w:szCs w:val="20"/>
        </w:rPr>
        <w:t xml:space="preserve"> Reichskolonialamt. </w:t>
      </w:r>
      <w:r w:rsidRPr="00BD12A8">
        <w:rPr>
          <w:i/>
          <w:sz w:val="20"/>
          <w:szCs w:val="20"/>
        </w:rPr>
        <w:t>Baumwollbau.</w:t>
      </w:r>
      <w:r w:rsidRPr="00BD12A8">
        <w:rPr>
          <w:sz w:val="20"/>
          <w:szCs w:val="20"/>
        </w:rPr>
        <w:t xml:space="preserve"> 36 – 37. 103 -111.</w:t>
      </w:r>
    </w:p>
  </w:footnote>
  <w:footnote w:id="79">
    <w:p w14:paraId="474BF68D" w14:textId="74D8DFD4" w:rsidR="00BF38B5" w:rsidRPr="004C1DCE" w:rsidRDefault="00BF38B5">
      <w:pPr>
        <w:pStyle w:val="FootnoteText"/>
        <w:rPr>
          <w:sz w:val="20"/>
          <w:szCs w:val="20"/>
        </w:rPr>
      </w:pPr>
      <w:r w:rsidRPr="004C1DCE">
        <w:rPr>
          <w:rStyle w:val="FootnoteReference"/>
          <w:sz w:val="20"/>
          <w:szCs w:val="20"/>
        </w:rPr>
        <w:footnoteRef/>
      </w:r>
      <w:r w:rsidRPr="004C1DCE">
        <w:rPr>
          <w:sz w:val="20"/>
          <w:szCs w:val="20"/>
        </w:rPr>
        <w:t xml:space="preserve"> Koponen. </w:t>
      </w:r>
      <w:r w:rsidRPr="004C1DCE">
        <w:rPr>
          <w:i/>
          <w:sz w:val="20"/>
          <w:szCs w:val="20"/>
        </w:rPr>
        <w:t>Development for Exploitation</w:t>
      </w:r>
      <w:r w:rsidRPr="004C1DCE">
        <w:rPr>
          <w:sz w:val="20"/>
          <w:szCs w:val="20"/>
        </w:rPr>
        <w:t>. 430.</w:t>
      </w:r>
    </w:p>
  </w:footnote>
  <w:footnote w:id="80">
    <w:p w14:paraId="2664C5F3" w14:textId="13D37E58" w:rsidR="00BF38B5" w:rsidRPr="004C1DCE" w:rsidRDefault="00BF38B5">
      <w:pPr>
        <w:pStyle w:val="FootnoteText"/>
        <w:rPr>
          <w:sz w:val="20"/>
          <w:szCs w:val="20"/>
        </w:rPr>
      </w:pPr>
      <w:r w:rsidRPr="004C1DCE">
        <w:rPr>
          <w:rStyle w:val="FootnoteReference"/>
          <w:sz w:val="20"/>
          <w:szCs w:val="20"/>
        </w:rPr>
        <w:footnoteRef/>
      </w:r>
      <w:r w:rsidRPr="004C1DCE">
        <w:rPr>
          <w:sz w:val="20"/>
          <w:szCs w:val="20"/>
        </w:rPr>
        <w:t xml:space="preserve"> </w:t>
      </w:r>
      <w:r>
        <w:rPr>
          <w:sz w:val="20"/>
          <w:szCs w:val="20"/>
        </w:rPr>
        <w:t>Koponen</w:t>
      </w:r>
      <w:r w:rsidRPr="004C1DCE">
        <w:rPr>
          <w:sz w:val="20"/>
          <w:szCs w:val="20"/>
        </w:rPr>
        <w:t>.</w:t>
      </w:r>
      <w:r>
        <w:rPr>
          <w:sz w:val="20"/>
          <w:szCs w:val="20"/>
        </w:rPr>
        <w:t xml:space="preserve"> </w:t>
      </w:r>
      <w:r>
        <w:rPr>
          <w:i/>
          <w:sz w:val="20"/>
          <w:szCs w:val="20"/>
        </w:rPr>
        <w:t>Development for Exploitation.</w:t>
      </w:r>
      <w:r w:rsidRPr="004C1DCE">
        <w:rPr>
          <w:sz w:val="20"/>
          <w:szCs w:val="20"/>
        </w:rPr>
        <w:t xml:space="preserve"> 431.</w:t>
      </w:r>
    </w:p>
  </w:footnote>
  <w:footnote w:id="81">
    <w:p w14:paraId="336CC927" w14:textId="734B5723" w:rsidR="00BF38B5" w:rsidRPr="004C1DCE" w:rsidRDefault="00BF38B5">
      <w:pPr>
        <w:pStyle w:val="FootnoteText"/>
      </w:pPr>
      <w:r w:rsidRPr="004C1DCE">
        <w:rPr>
          <w:rStyle w:val="FootnoteReference"/>
          <w:sz w:val="20"/>
          <w:szCs w:val="20"/>
        </w:rPr>
        <w:footnoteRef/>
      </w:r>
      <w:r w:rsidRPr="004C1DCE">
        <w:rPr>
          <w:sz w:val="20"/>
          <w:szCs w:val="20"/>
        </w:rPr>
        <w:t xml:space="preserve"> Teztlaff. </w:t>
      </w:r>
      <w:r w:rsidRPr="004C1DCE">
        <w:rPr>
          <w:i/>
          <w:sz w:val="20"/>
          <w:szCs w:val="20"/>
        </w:rPr>
        <w:t>Koloniale Entwicklung und Ausbeutung</w:t>
      </w:r>
      <w:r w:rsidRPr="004C1DCE">
        <w:rPr>
          <w:sz w:val="20"/>
          <w:szCs w:val="20"/>
        </w:rPr>
        <w:t>. 152.</w:t>
      </w:r>
    </w:p>
  </w:footnote>
  <w:footnote w:id="82">
    <w:p w14:paraId="1B1A9D22" w14:textId="2DB08A70" w:rsidR="00BF38B5" w:rsidRPr="0085681B" w:rsidRDefault="00BF38B5">
      <w:pPr>
        <w:pStyle w:val="FootnoteText"/>
        <w:rPr>
          <w:sz w:val="20"/>
          <w:szCs w:val="20"/>
        </w:rPr>
      </w:pPr>
      <w:r w:rsidRPr="0085681B">
        <w:rPr>
          <w:rStyle w:val="FootnoteReference"/>
          <w:sz w:val="20"/>
          <w:szCs w:val="20"/>
        </w:rPr>
        <w:footnoteRef/>
      </w:r>
      <w:r w:rsidRPr="0085681B">
        <w:rPr>
          <w:sz w:val="20"/>
          <w:szCs w:val="20"/>
        </w:rPr>
        <w:t xml:space="preserve"> Theodor Gunzert. “Baumwolle in Muansabezirk 1910/11.” </w:t>
      </w:r>
      <w:r w:rsidRPr="0085681B">
        <w:rPr>
          <w:i/>
          <w:sz w:val="20"/>
          <w:szCs w:val="20"/>
        </w:rPr>
        <w:t>Der Pflanzer</w:t>
      </w:r>
      <w:r w:rsidRPr="0085681B">
        <w:rPr>
          <w:sz w:val="20"/>
          <w:szCs w:val="20"/>
        </w:rPr>
        <w:t xml:space="preserve">. 1911. 539. </w:t>
      </w:r>
    </w:p>
  </w:footnote>
  <w:footnote w:id="83">
    <w:p w14:paraId="3E57DD05" w14:textId="20EBACCF" w:rsidR="00BF38B5" w:rsidRPr="0085681B" w:rsidRDefault="00BF38B5">
      <w:pPr>
        <w:pStyle w:val="FootnoteText"/>
        <w:rPr>
          <w:sz w:val="20"/>
          <w:szCs w:val="20"/>
        </w:rPr>
      </w:pPr>
      <w:r w:rsidRPr="0085681B">
        <w:rPr>
          <w:rStyle w:val="FootnoteReference"/>
          <w:sz w:val="20"/>
          <w:szCs w:val="20"/>
        </w:rPr>
        <w:footnoteRef/>
      </w:r>
      <w:r w:rsidRPr="0085681B">
        <w:rPr>
          <w:sz w:val="20"/>
          <w:szCs w:val="20"/>
        </w:rPr>
        <w:t xml:space="preserve"> Tetzlaff. </w:t>
      </w:r>
      <w:r w:rsidRPr="0085681B">
        <w:rPr>
          <w:i/>
          <w:sz w:val="20"/>
          <w:szCs w:val="20"/>
        </w:rPr>
        <w:t>Koloniale Entwicklung und Ausbeutung.</w:t>
      </w:r>
      <w:r w:rsidRPr="0085681B">
        <w:rPr>
          <w:sz w:val="20"/>
          <w:szCs w:val="20"/>
        </w:rPr>
        <w:t xml:space="preserve"> 154.</w:t>
      </w:r>
    </w:p>
  </w:footnote>
  <w:footnote w:id="84">
    <w:p w14:paraId="304298D7" w14:textId="575264C1" w:rsidR="00BF38B5" w:rsidRPr="0085681B" w:rsidRDefault="00BF38B5">
      <w:pPr>
        <w:pStyle w:val="FootnoteText"/>
      </w:pPr>
      <w:r w:rsidRPr="0085681B">
        <w:rPr>
          <w:rStyle w:val="FootnoteReference"/>
          <w:sz w:val="20"/>
          <w:szCs w:val="20"/>
        </w:rPr>
        <w:footnoteRef/>
      </w:r>
      <w:r w:rsidRPr="0085681B">
        <w:rPr>
          <w:sz w:val="20"/>
          <w:szCs w:val="20"/>
        </w:rPr>
        <w:t xml:space="preserve"> Barth. In Koponen. </w:t>
      </w:r>
      <w:r w:rsidRPr="0085681B">
        <w:rPr>
          <w:i/>
          <w:sz w:val="20"/>
          <w:szCs w:val="20"/>
        </w:rPr>
        <w:t>Development for Exploitation.</w:t>
      </w:r>
      <w:r w:rsidRPr="0085681B">
        <w:rPr>
          <w:sz w:val="20"/>
          <w:szCs w:val="20"/>
        </w:rPr>
        <w:t xml:space="preserve"> 303.</w:t>
      </w:r>
      <w:r>
        <w:t xml:space="preserve"> </w:t>
      </w:r>
    </w:p>
  </w:footnote>
  <w:footnote w:id="85">
    <w:p w14:paraId="2471A917" w14:textId="7A06BB94" w:rsidR="00BF38B5" w:rsidRPr="00713175" w:rsidRDefault="00BF38B5">
      <w:pPr>
        <w:pStyle w:val="FootnoteText"/>
        <w:rPr>
          <w:sz w:val="20"/>
          <w:szCs w:val="20"/>
        </w:rPr>
      </w:pPr>
      <w:r w:rsidRPr="00713175">
        <w:rPr>
          <w:rStyle w:val="FootnoteReference"/>
          <w:sz w:val="20"/>
          <w:szCs w:val="20"/>
        </w:rPr>
        <w:footnoteRef/>
      </w:r>
      <w:r w:rsidRPr="00713175">
        <w:rPr>
          <w:sz w:val="20"/>
          <w:szCs w:val="20"/>
        </w:rPr>
        <w:t xml:space="preserve"> Koponen. </w:t>
      </w:r>
      <w:r w:rsidRPr="00713175">
        <w:rPr>
          <w:i/>
          <w:sz w:val="20"/>
          <w:szCs w:val="20"/>
        </w:rPr>
        <w:t>Development for Exploitation.</w:t>
      </w:r>
      <w:r w:rsidRPr="00713175">
        <w:rPr>
          <w:sz w:val="20"/>
          <w:szCs w:val="20"/>
        </w:rPr>
        <w:t xml:space="preserve"> 305.</w:t>
      </w:r>
    </w:p>
  </w:footnote>
  <w:footnote w:id="86">
    <w:p w14:paraId="418EC909" w14:textId="2C4930F3" w:rsidR="00BF38B5" w:rsidRPr="00713175" w:rsidRDefault="00BF38B5">
      <w:pPr>
        <w:pStyle w:val="FootnoteText"/>
      </w:pPr>
      <w:r w:rsidRPr="00713175">
        <w:rPr>
          <w:rStyle w:val="FootnoteReference"/>
          <w:sz w:val="20"/>
          <w:szCs w:val="20"/>
        </w:rPr>
        <w:footnoteRef/>
      </w:r>
      <w:r w:rsidRPr="00713175">
        <w:rPr>
          <w:sz w:val="20"/>
          <w:szCs w:val="20"/>
        </w:rPr>
        <w:t xml:space="preserve"> Iliffe. </w:t>
      </w:r>
      <w:r w:rsidRPr="00713175">
        <w:rPr>
          <w:i/>
          <w:sz w:val="20"/>
          <w:szCs w:val="20"/>
        </w:rPr>
        <w:t>Tanganyika under German Rule</w:t>
      </w:r>
      <w:r w:rsidRPr="00713175">
        <w:rPr>
          <w:sz w:val="20"/>
          <w:szCs w:val="20"/>
        </w:rPr>
        <w:t>. 75.</w:t>
      </w:r>
    </w:p>
  </w:footnote>
  <w:footnote w:id="87">
    <w:p w14:paraId="30D72BE4" w14:textId="13A0C56B" w:rsidR="00BF38B5" w:rsidRPr="00B14954" w:rsidRDefault="00BF38B5">
      <w:pPr>
        <w:pStyle w:val="FootnoteText"/>
        <w:rPr>
          <w:sz w:val="20"/>
          <w:szCs w:val="20"/>
        </w:rPr>
      </w:pPr>
      <w:r w:rsidRPr="00B14954">
        <w:rPr>
          <w:rStyle w:val="FootnoteReference"/>
          <w:sz w:val="20"/>
          <w:szCs w:val="20"/>
        </w:rPr>
        <w:footnoteRef/>
      </w:r>
      <w:r w:rsidRPr="00B14954">
        <w:rPr>
          <w:sz w:val="20"/>
          <w:szCs w:val="20"/>
        </w:rPr>
        <w:t xml:space="preserve"> </w:t>
      </w:r>
      <w:r w:rsidRPr="00B14954">
        <w:rPr>
          <w:i/>
          <w:sz w:val="20"/>
          <w:szCs w:val="20"/>
        </w:rPr>
        <w:t>Statistisches Jahrbuch für das Deutsche Reich.</w:t>
      </w:r>
      <w:r w:rsidRPr="00B14954">
        <w:rPr>
          <w:sz w:val="20"/>
          <w:szCs w:val="20"/>
        </w:rPr>
        <w:t xml:space="preserve"> In Gann &amp; Duignan. </w:t>
      </w:r>
      <w:r w:rsidRPr="00B14954">
        <w:rPr>
          <w:i/>
          <w:sz w:val="20"/>
          <w:szCs w:val="20"/>
        </w:rPr>
        <w:t>The Rulers of German Africa.</w:t>
      </w:r>
      <w:r w:rsidRPr="00B14954">
        <w:rPr>
          <w:sz w:val="20"/>
          <w:szCs w:val="20"/>
        </w:rPr>
        <w:t xml:space="preserve"> 259.</w:t>
      </w:r>
    </w:p>
  </w:footnote>
  <w:footnote w:id="88">
    <w:p w14:paraId="679FD33F" w14:textId="346C6982" w:rsidR="00BF38B5" w:rsidRPr="001238C8" w:rsidRDefault="00BF38B5">
      <w:pPr>
        <w:pStyle w:val="FootnoteText"/>
        <w:rPr>
          <w:sz w:val="20"/>
          <w:szCs w:val="20"/>
        </w:rPr>
      </w:pPr>
      <w:r w:rsidRPr="001238C8">
        <w:rPr>
          <w:rStyle w:val="FootnoteReference"/>
          <w:sz w:val="20"/>
          <w:szCs w:val="20"/>
        </w:rPr>
        <w:footnoteRef/>
      </w:r>
      <w:r w:rsidRPr="001238C8">
        <w:rPr>
          <w:sz w:val="20"/>
          <w:szCs w:val="20"/>
        </w:rPr>
        <w:t xml:space="preserve"> Dernburg. </w:t>
      </w:r>
      <w:r w:rsidRPr="001238C8">
        <w:rPr>
          <w:i/>
          <w:sz w:val="20"/>
          <w:szCs w:val="20"/>
        </w:rPr>
        <w:t>Zielpunkte</w:t>
      </w:r>
      <w:r w:rsidRPr="001238C8">
        <w:rPr>
          <w:sz w:val="20"/>
          <w:szCs w:val="20"/>
        </w:rPr>
        <w:t>. 9.</w:t>
      </w:r>
    </w:p>
  </w:footnote>
  <w:footnote w:id="89">
    <w:p w14:paraId="7D5A4CE0" w14:textId="77777777" w:rsidR="00BF38B5" w:rsidRPr="00D841FE" w:rsidRDefault="00BF38B5" w:rsidP="00655A91">
      <w:pPr>
        <w:pStyle w:val="FootnoteText"/>
        <w:rPr>
          <w:sz w:val="20"/>
          <w:szCs w:val="20"/>
        </w:rPr>
      </w:pPr>
      <w:r w:rsidRPr="00D841FE">
        <w:rPr>
          <w:rStyle w:val="FootnoteReference"/>
          <w:sz w:val="20"/>
          <w:szCs w:val="20"/>
        </w:rPr>
        <w:footnoteRef/>
      </w:r>
      <w:r w:rsidRPr="00D841FE">
        <w:rPr>
          <w:sz w:val="20"/>
          <w:szCs w:val="20"/>
        </w:rPr>
        <w:t xml:space="preserve"> Dernburg. </w:t>
      </w:r>
      <w:r w:rsidRPr="00D841FE">
        <w:rPr>
          <w:i/>
          <w:sz w:val="20"/>
          <w:szCs w:val="20"/>
        </w:rPr>
        <w:t>Zielpunkte.</w:t>
      </w:r>
      <w:r w:rsidRPr="00D841FE">
        <w:rPr>
          <w:sz w:val="20"/>
          <w:szCs w:val="20"/>
        </w:rPr>
        <w:t xml:space="preserve"> 9 – 10. </w:t>
      </w:r>
    </w:p>
  </w:footnote>
  <w:footnote w:id="90">
    <w:p w14:paraId="5CF3977E" w14:textId="77A1BD9F" w:rsidR="00BF38B5" w:rsidRPr="00EE4192" w:rsidRDefault="00BF38B5" w:rsidP="00AA0F9A">
      <w:pPr>
        <w:pStyle w:val="FootnoteText"/>
        <w:ind w:left="142" w:hanging="142"/>
        <w:rPr>
          <w:sz w:val="20"/>
          <w:szCs w:val="20"/>
        </w:rPr>
      </w:pPr>
      <w:r w:rsidRPr="00EE4192">
        <w:rPr>
          <w:rStyle w:val="FootnoteReference"/>
          <w:sz w:val="20"/>
          <w:szCs w:val="20"/>
        </w:rPr>
        <w:footnoteRef/>
      </w:r>
      <w:r w:rsidRPr="00EE4192">
        <w:rPr>
          <w:sz w:val="20"/>
          <w:szCs w:val="20"/>
        </w:rPr>
        <w:t xml:space="preserve"> </w:t>
      </w:r>
      <w:r>
        <w:rPr>
          <w:sz w:val="20"/>
          <w:szCs w:val="20"/>
        </w:rPr>
        <w:t>Ibid.</w:t>
      </w:r>
      <w:r w:rsidRPr="00EE4192">
        <w:rPr>
          <w:sz w:val="20"/>
          <w:szCs w:val="20"/>
        </w:rPr>
        <w:t xml:space="preserve"> 9. </w:t>
      </w:r>
    </w:p>
  </w:footnote>
  <w:footnote w:id="91">
    <w:p w14:paraId="7460EEF5" w14:textId="070F5C8B" w:rsidR="00BF38B5" w:rsidRPr="00EE4192" w:rsidRDefault="00BF38B5" w:rsidP="00AA0F9A">
      <w:pPr>
        <w:pStyle w:val="FootnoteText"/>
        <w:ind w:left="142" w:hanging="142"/>
        <w:rPr>
          <w:sz w:val="20"/>
          <w:szCs w:val="20"/>
        </w:rPr>
      </w:pPr>
      <w:r w:rsidRPr="00EE4192">
        <w:rPr>
          <w:rStyle w:val="FootnoteReference"/>
          <w:sz w:val="20"/>
          <w:szCs w:val="20"/>
        </w:rPr>
        <w:footnoteRef/>
      </w:r>
      <w:r w:rsidRPr="00EE4192">
        <w:rPr>
          <w:sz w:val="20"/>
          <w:szCs w:val="20"/>
        </w:rPr>
        <w:t xml:space="preserve"> Meixner. “Gesundheitsverhältnisse in Deutsch-Ostafrika im Jahre 1902/03”. Arbeiten aus dem Kaiserlichen Gesundheitsamte. 21 (1904). 569 – 572. In Koponen. </w:t>
      </w:r>
      <w:r w:rsidRPr="00EE4192">
        <w:rPr>
          <w:i/>
          <w:sz w:val="20"/>
          <w:szCs w:val="20"/>
        </w:rPr>
        <w:t>Development for Exploitation.</w:t>
      </w:r>
      <w:r w:rsidRPr="00EE4192">
        <w:rPr>
          <w:sz w:val="20"/>
          <w:szCs w:val="20"/>
        </w:rPr>
        <w:t xml:space="preserve"> 487.</w:t>
      </w:r>
    </w:p>
  </w:footnote>
  <w:footnote w:id="92">
    <w:p w14:paraId="1E850211" w14:textId="4DE05E58" w:rsidR="00BF38B5" w:rsidRPr="00EE4192" w:rsidRDefault="00BF38B5">
      <w:pPr>
        <w:pStyle w:val="FootnoteText"/>
        <w:rPr>
          <w:sz w:val="20"/>
          <w:szCs w:val="20"/>
        </w:rPr>
      </w:pPr>
      <w:r w:rsidRPr="00EE4192">
        <w:rPr>
          <w:rStyle w:val="FootnoteReference"/>
          <w:sz w:val="20"/>
          <w:szCs w:val="20"/>
        </w:rPr>
        <w:footnoteRef/>
      </w:r>
      <w:r w:rsidRPr="00EE4192">
        <w:rPr>
          <w:sz w:val="20"/>
          <w:szCs w:val="20"/>
        </w:rPr>
        <w:t xml:space="preserve"> Koponen. </w:t>
      </w:r>
      <w:r w:rsidRPr="00EE4192">
        <w:rPr>
          <w:i/>
          <w:sz w:val="20"/>
          <w:szCs w:val="20"/>
        </w:rPr>
        <w:t>Development for Exploitation.</w:t>
      </w:r>
      <w:r w:rsidRPr="00EE4192">
        <w:rPr>
          <w:sz w:val="20"/>
          <w:szCs w:val="20"/>
        </w:rPr>
        <w:t xml:space="preserve"> 488.</w:t>
      </w:r>
    </w:p>
  </w:footnote>
  <w:footnote w:id="93">
    <w:p w14:paraId="71AA48A5" w14:textId="478AAB91" w:rsidR="00BF38B5" w:rsidRDefault="00BF38B5">
      <w:pPr>
        <w:pStyle w:val="FootnoteText"/>
      </w:pPr>
      <w:r w:rsidRPr="00EE4192">
        <w:rPr>
          <w:rStyle w:val="FootnoteReference"/>
          <w:sz w:val="20"/>
          <w:szCs w:val="20"/>
        </w:rPr>
        <w:footnoteRef/>
      </w:r>
      <w:r w:rsidRPr="00EE4192">
        <w:rPr>
          <w:sz w:val="20"/>
          <w:szCs w:val="20"/>
        </w:rPr>
        <w:t xml:space="preserve"> </w:t>
      </w:r>
      <w:r>
        <w:rPr>
          <w:sz w:val="20"/>
          <w:szCs w:val="20"/>
        </w:rPr>
        <w:t>Ibid.</w:t>
      </w:r>
      <w:r w:rsidRPr="00EE4192">
        <w:rPr>
          <w:sz w:val="20"/>
          <w:szCs w:val="20"/>
        </w:rPr>
        <w:t xml:space="preserve"> 489.</w:t>
      </w:r>
    </w:p>
  </w:footnote>
  <w:footnote w:id="94">
    <w:p w14:paraId="00374844" w14:textId="756207E0" w:rsidR="00BF38B5" w:rsidRPr="00BA1199" w:rsidRDefault="00BF38B5" w:rsidP="00962ADB">
      <w:pPr>
        <w:pStyle w:val="FootnoteText"/>
        <w:ind w:left="142" w:hanging="142"/>
        <w:rPr>
          <w:sz w:val="20"/>
          <w:szCs w:val="20"/>
        </w:rPr>
      </w:pPr>
      <w:r w:rsidRPr="00BA1199">
        <w:rPr>
          <w:rStyle w:val="FootnoteReference"/>
          <w:sz w:val="20"/>
          <w:szCs w:val="20"/>
        </w:rPr>
        <w:footnoteRef/>
      </w:r>
      <w:r w:rsidRPr="00BA1199">
        <w:rPr>
          <w:sz w:val="20"/>
          <w:szCs w:val="20"/>
        </w:rPr>
        <w:t xml:space="preserve"> Dernburg. </w:t>
      </w:r>
      <w:r w:rsidRPr="00BA1199">
        <w:rPr>
          <w:i/>
          <w:sz w:val="20"/>
          <w:szCs w:val="20"/>
        </w:rPr>
        <w:t>Zielpunkte</w:t>
      </w:r>
      <w:r w:rsidRPr="00BA1199">
        <w:rPr>
          <w:sz w:val="20"/>
          <w:szCs w:val="20"/>
        </w:rPr>
        <w:t>. 9.</w:t>
      </w:r>
    </w:p>
  </w:footnote>
  <w:footnote w:id="95">
    <w:p w14:paraId="65358E21" w14:textId="51AFF61F" w:rsidR="00BF38B5" w:rsidRPr="00BA1199" w:rsidRDefault="00BF38B5" w:rsidP="00962ADB">
      <w:pPr>
        <w:pStyle w:val="FootnoteText"/>
        <w:ind w:left="142" w:hanging="142"/>
        <w:rPr>
          <w:sz w:val="20"/>
          <w:szCs w:val="20"/>
        </w:rPr>
      </w:pPr>
      <w:r w:rsidRPr="00BA1199">
        <w:rPr>
          <w:rStyle w:val="FootnoteReference"/>
          <w:sz w:val="20"/>
          <w:szCs w:val="20"/>
        </w:rPr>
        <w:footnoteRef/>
      </w:r>
      <w:r w:rsidRPr="00BA1199">
        <w:rPr>
          <w:sz w:val="20"/>
          <w:szCs w:val="20"/>
        </w:rPr>
        <w:t xml:space="preserve"> Feldmann to Götzen. September 26 1905. Bundesarchiv Berlin Lichterfelde. Reichskolonialamt 5895 93 – 95.</w:t>
      </w:r>
    </w:p>
  </w:footnote>
  <w:footnote w:id="96">
    <w:p w14:paraId="24B73297" w14:textId="0889C67D" w:rsidR="00BF38B5" w:rsidRPr="00BA1199" w:rsidRDefault="00BF38B5" w:rsidP="00BA1199">
      <w:pPr>
        <w:pStyle w:val="FootnoteText"/>
        <w:ind w:left="142" w:hanging="142"/>
        <w:rPr>
          <w:sz w:val="20"/>
          <w:szCs w:val="20"/>
        </w:rPr>
      </w:pPr>
      <w:r w:rsidRPr="00BA1199">
        <w:rPr>
          <w:rStyle w:val="FootnoteReference"/>
          <w:sz w:val="20"/>
          <w:szCs w:val="20"/>
        </w:rPr>
        <w:footnoteRef/>
      </w:r>
      <w:r w:rsidRPr="00BA1199">
        <w:rPr>
          <w:sz w:val="20"/>
          <w:szCs w:val="20"/>
        </w:rPr>
        <w:t xml:space="preserve"> Koponen. </w:t>
      </w:r>
      <w:r w:rsidRPr="00BA1199">
        <w:rPr>
          <w:i/>
          <w:sz w:val="20"/>
          <w:szCs w:val="20"/>
        </w:rPr>
        <w:t>Development for Exploitation.</w:t>
      </w:r>
      <w:r w:rsidRPr="00BA1199">
        <w:rPr>
          <w:sz w:val="20"/>
          <w:szCs w:val="20"/>
        </w:rPr>
        <w:t xml:space="preserve"> 480.</w:t>
      </w:r>
    </w:p>
  </w:footnote>
  <w:footnote w:id="97">
    <w:p w14:paraId="59D8079C" w14:textId="6EED5DEC" w:rsidR="00BF38B5" w:rsidRPr="00BA1199" w:rsidRDefault="00BF38B5" w:rsidP="00BA1199">
      <w:pPr>
        <w:pStyle w:val="FootnoteText"/>
        <w:ind w:left="142" w:hanging="142"/>
        <w:rPr>
          <w:sz w:val="20"/>
          <w:szCs w:val="20"/>
        </w:rPr>
      </w:pPr>
      <w:r w:rsidRPr="00BA1199">
        <w:rPr>
          <w:rStyle w:val="FootnoteReference"/>
          <w:sz w:val="20"/>
          <w:szCs w:val="20"/>
        </w:rPr>
        <w:footnoteRef/>
      </w:r>
      <w:r w:rsidRPr="00BA1199">
        <w:rPr>
          <w:sz w:val="20"/>
          <w:szCs w:val="20"/>
        </w:rPr>
        <w:t xml:space="preserve"> Kleine to the Government. February 15 1909. Bundesarchiv Berlin Lichterfelde. Reichskolonialamt 5900 17.</w:t>
      </w:r>
    </w:p>
  </w:footnote>
  <w:footnote w:id="98">
    <w:p w14:paraId="631423FF" w14:textId="1C74CDEC" w:rsidR="00BF38B5" w:rsidRDefault="00BF38B5">
      <w:pPr>
        <w:pStyle w:val="FootnoteText"/>
      </w:pPr>
      <w:r w:rsidRPr="00BA1199">
        <w:rPr>
          <w:rStyle w:val="FootnoteReference"/>
          <w:sz w:val="20"/>
          <w:szCs w:val="20"/>
        </w:rPr>
        <w:footnoteRef/>
      </w:r>
      <w:r w:rsidRPr="00BA1199">
        <w:rPr>
          <w:sz w:val="20"/>
          <w:szCs w:val="20"/>
        </w:rPr>
        <w:t xml:space="preserve"> Ibid. 17.</w:t>
      </w:r>
    </w:p>
  </w:footnote>
  <w:footnote w:id="99">
    <w:p w14:paraId="52908F0A" w14:textId="66A3399B" w:rsidR="00BF38B5" w:rsidRPr="00A67B48" w:rsidRDefault="00BF38B5" w:rsidP="00A018AA">
      <w:pPr>
        <w:pStyle w:val="FootnoteText"/>
        <w:ind w:left="142" w:hanging="142"/>
        <w:rPr>
          <w:sz w:val="20"/>
          <w:szCs w:val="20"/>
        </w:rPr>
      </w:pPr>
      <w:r w:rsidRPr="00A67B48">
        <w:rPr>
          <w:rStyle w:val="FootnoteReference"/>
          <w:sz w:val="20"/>
          <w:szCs w:val="20"/>
        </w:rPr>
        <w:footnoteRef/>
      </w:r>
      <w:r w:rsidRPr="00A67B48">
        <w:rPr>
          <w:sz w:val="20"/>
          <w:szCs w:val="20"/>
        </w:rPr>
        <w:t xml:space="preserve"> Wach to the Government. July 3 1910. Bundesarchiv Berlin Lichterfelde. Reichskolonialamt 5905 59.</w:t>
      </w:r>
    </w:p>
  </w:footnote>
  <w:footnote w:id="100">
    <w:p w14:paraId="0D3AF33A" w14:textId="2EBA21F7" w:rsidR="00BF38B5" w:rsidRPr="00A67B48" w:rsidRDefault="00BF38B5" w:rsidP="00A018AA">
      <w:pPr>
        <w:pStyle w:val="FootnoteText"/>
        <w:ind w:left="142" w:hanging="142"/>
        <w:rPr>
          <w:sz w:val="20"/>
          <w:szCs w:val="20"/>
        </w:rPr>
      </w:pPr>
      <w:r w:rsidRPr="00A67B48">
        <w:rPr>
          <w:rStyle w:val="FootnoteReference"/>
          <w:sz w:val="20"/>
          <w:szCs w:val="20"/>
        </w:rPr>
        <w:footnoteRef/>
      </w:r>
      <w:r w:rsidRPr="00A67B48">
        <w:rPr>
          <w:sz w:val="20"/>
          <w:szCs w:val="20"/>
        </w:rPr>
        <w:t xml:space="preserve"> Kleine to Governor Schnee. 24 June 1912. Bundesarchiv Berlin Lichterfelde. Reichskolonialamt 5892 134.</w:t>
      </w:r>
    </w:p>
  </w:footnote>
  <w:footnote w:id="101">
    <w:p w14:paraId="24CB77B1" w14:textId="301F6A9F" w:rsidR="00BF38B5" w:rsidRPr="00A67B48" w:rsidRDefault="00BF38B5">
      <w:pPr>
        <w:pStyle w:val="FootnoteText"/>
        <w:rPr>
          <w:sz w:val="20"/>
          <w:szCs w:val="20"/>
        </w:rPr>
      </w:pPr>
      <w:r w:rsidRPr="00A67B48">
        <w:rPr>
          <w:rStyle w:val="FootnoteReference"/>
          <w:sz w:val="20"/>
          <w:szCs w:val="20"/>
        </w:rPr>
        <w:footnoteRef/>
      </w:r>
      <w:r w:rsidRPr="00A67B48">
        <w:rPr>
          <w:sz w:val="20"/>
          <w:szCs w:val="20"/>
        </w:rPr>
        <w:t xml:space="preserve"> Koponen. </w:t>
      </w:r>
      <w:r w:rsidRPr="00A67B48">
        <w:rPr>
          <w:i/>
          <w:sz w:val="20"/>
          <w:szCs w:val="20"/>
        </w:rPr>
        <w:t>Development for Exploitation.</w:t>
      </w:r>
      <w:r w:rsidRPr="00A67B48">
        <w:rPr>
          <w:sz w:val="20"/>
          <w:szCs w:val="20"/>
        </w:rPr>
        <w:t xml:space="preserve"> 482.</w:t>
      </w:r>
    </w:p>
  </w:footnote>
  <w:footnote w:id="102">
    <w:p w14:paraId="1D80058F" w14:textId="2C5E9750" w:rsidR="00BF38B5" w:rsidRPr="00A67B48" w:rsidRDefault="00BF38B5">
      <w:pPr>
        <w:pStyle w:val="FootnoteText"/>
        <w:rPr>
          <w:sz w:val="20"/>
          <w:szCs w:val="20"/>
        </w:rPr>
      </w:pPr>
      <w:r w:rsidRPr="00A67B48">
        <w:rPr>
          <w:rStyle w:val="FootnoteReference"/>
          <w:sz w:val="20"/>
          <w:szCs w:val="20"/>
        </w:rPr>
        <w:footnoteRef/>
      </w:r>
      <w:r w:rsidRPr="00A67B48">
        <w:rPr>
          <w:sz w:val="20"/>
          <w:szCs w:val="20"/>
        </w:rPr>
        <w:t xml:space="preserve"> </w:t>
      </w:r>
      <w:r>
        <w:rPr>
          <w:sz w:val="20"/>
          <w:szCs w:val="20"/>
        </w:rPr>
        <w:t xml:space="preserve">Ibid. </w:t>
      </w:r>
      <w:r w:rsidRPr="00A67B48">
        <w:rPr>
          <w:sz w:val="20"/>
          <w:szCs w:val="20"/>
        </w:rPr>
        <w:t>475.</w:t>
      </w:r>
    </w:p>
  </w:footnote>
  <w:footnote w:id="103">
    <w:p w14:paraId="35FC556C" w14:textId="37FEA810" w:rsidR="00BF38B5" w:rsidRPr="00A67B48" w:rsidRDefault="00BF38B5" w:rsidP="00A67B48">
      <w:pPr>
        <w:pStyle w:val="FootnoteText"/>
        <w:ind w:left="142" w:hanging="142"/>
      </w:pPr>
      <w:r w:rsidRPr="00A67B48">
        <w:rPr>
          <w:rStyle w:val="FootnoteReference"/>
          <w:sz w:val="20"/>
          <w:szCs w:val="20"/>
        </w:rPr>
        <w:footnoteRef/>
      </w:r>
      <w:r w:rsidRPr="00A67B48">
        <w:rPr>
          <w:sz w:val="20"/>
          <w:szCs w:val="20"/>
        </w:rPr>
        <w:t xml:space="preserve"> Becker in Arbeiten aus dem Kaiserlichen Gesundheitsamte. 1897. 19. In Koponen. </w:t>
      </w:r>
      <w:r w:rsidRPr="00A67B48">
        <w:rPr>
          <w:i/>
          <w:sz w:val="20"/>
          <w:szCs w:val="20"/>
        </w:rPr>
        <w:t>Development for Exploitation.</w:t>
      </w:r>
      <w:r w:rsidRPr="00A67B48">
        <w:rPr>
          <w:sz w:val="20"/>
          <w:szCs w:val="20"/>
        </w:rPr>
        <w:t xml:space="preserve"> 471.</w:t>
      </w:r>
    </w:p>
  </w:footnote>
  <w:footnote w:id="104">
    <w:p w14:paraId="062BDD86" w14:textId="4735CC4F" w:rsidR="00BF38B5" w:rsidRPr="00B74EA0" w:rsidRDefault="00BF38B5" w:rsidP="00B74EA0">
      <w:pPr>
        <w:pStyle w:val="FootnoteText"/>
        <w:ind w:left="142" w:hanging="142"/>
        <w:rPr>
          <w:sz w:val="20"/>
          <w:szCs w:val="20"/>
        </w:rPr>
      </w:pPr>
      <w:r w:rsidRPr="00B74EA0">
        <w:rPr>
          <w:rStyle w:val="FootnoteReference"/>
          <w:sz w:val="20"/>
          <w:szCs w:val="20"/>
        </w:rPr>
        <w:footnoteRef/>
      </w:r>
      <w:r w:rsidRPr="00B74EA0">
        <w:rPr>
          <w:sz w:val="20"/>
          <w:szCs w:val="20"/>
        </w:rPr>
        <w:t xml:space="preserve"> Koponen. </w:t>
      </w:r>
      <w:r w:rsidRPr="00B74EA0">
        <w:rPr>
          <w:i/>
          <w:sz w:val="20"/>
          <w:szCs w:val="20"/>
        </w:rPr>
        <w:t>Development for Exploitation.</w:t>
      </w:r>
      <w:r w:rsidRPr="00B74EA0">
        <w:rPr>
          <w:sz w:val="20"/>
          <w:szCs w:val="20"/>
        </w:rPr>
        <w:t xml:space="preserve"> 473.</w:t>
      </w:r>
    </w:p>
  </w:footnote>
  <w:footnote w:id="105">
    <w:p w14:paraId="36EB66FE" w14:textId="060D87CA" w:rsidR="00BF38B5" w:rsidRDefault="00BF38B5" w:rsidP="00B74EA0">
      <w:pPr>
        <w:pStyle w:val="FootnoteText"/>
        <w:ind w:left="142" w:hanging="142"/>
      </w:pPr>
      <w:r w:rsidRPr="00B74EA0">
        <w:rPr>
          <w:rStyle w:val="FootnoteReference"/>
          <w:sz w:val="20"/>
          <w:szCs w:val="20"/>
        </w:rPr>
        <w:footnoteRef/>
      </w:r>
      <w:r w:rsidRPr="00B74EA0">
        <w:rPr>
          <w:sz w:val="20"/>
          <w:szCs w:val="20"/>
        </w:rPr>
        <w:t xml:space="preserve"> Dempwolff. “Kampf gegen die Pocken.” Bundesarchiv Berlin Lichterfelde. Reichskolonialamt 5830 6.</w:t>
      </w:r>
    </w:p>
  </w:footnote>
  <w:footnote w:id="106">
    <w:p w14:paraId="12BB02AF" w14:textId="48E1B0CE" w:rsidR="00BF38B5" w:rsidRPr="000B64E8" w:rsidRDefault="00BF38B5">
      <w:pPr>
        <w:pStyle w:val="FootnoteText"/>
        <w:rPr>
          <w:sz w:val="20"/>
          <w:szCs w:val="20"/>
        </w:rPr>
      </w:pPr>
      <w:r w:rsidRPr="000B64E8">
        <w:rPr>
          <w:rStyle w:val="FootnoteReference"/>
          <w:sz w:val="20"/>
          <w:szCs w:val="20"/>
        </w:rPr>
        <w:footnoteRef/>
      </w:r>
      <w:r w:rsidRPr="000B64E8">
        <w:rPr>
          <w:sz w:val="20"/>
          <w:szCs w:val="20"/>
        </w:rPr>
        <w:t xml:space="preserve"> Iliffe. </w:t>
      </w:r>
      <w:r w:rsidRPr="000B64E8">
        <w:rPr>
          <w:i/>
          <w:sz w:val="20"/>
          <w:szCs w:val="20"/>
        </w:rPr>
        <w:t>Tanganyika under German Rule.</w:t>
      </w:r>
      <w:r w:rsidRPr="000B64E8">
        <w:rPr>
          <w:sz w:val="20"/>
          <w:szCs w:val="20"/>
        </w:rPr>
        <w:t xml:space="preserve"> 171.</w:t>
      </w:r>
    </w:p>
  </w:footnote>
  <w:footnote w:id="107">
    <w:p w14:paraId="1C3FB683" w14:textId="51DFD9B7" w:rsidR="00BF38B5" w:rsidRPr="000B64E8" w:rsidRDefault="00BF38B5">
      <w:pPr>
        <w:pStyle w:val="FootnoteText"/>
        <w:rPr>
          <w:sz w:val="20"/>
          <w:szCs w:val="20"/>
        </w:rPr>
      </w:pPr>
      <w:r w:rsidRPr="000B64E8">
        <w:rPr>
          <w:rStyle w:val="FootnoteReference"/>
          <w:sz w:val="20"/>
          <w:szCs w:val="20"/>
        </w:rPr>
        <w:footnoteRef/>
      </w:r>
      <w:r w:rsidRPr="000B64E8">
        <w:rPr>
          <w:sz w:val="20"/>
          <w:szCs w:val="20"/>
        </w:rPr>
        <w:t xml:space="preserve"> Ibid. 187.</w:t>
      </w:r>
    </w:p>
  </w:footnote>
  <w:footnote w:id="108">
    <w:p w14:paraId="690E5258" w14:textId="5E510A69" w:rsidR="00BF38B5" w:rsidRDefault="00BF38B5">
      <w:pPr>
        <w:pStyle w:val="FootnoteText"/>
      </w:pPr>
      <w:r w:rsidRPr="000B64E8">
        <w:rPr>
          <w:rStyle w:val="FootnoteReference"/>
          <w:sz w:val="20"/>
          <w:szCs w:val="20"/>
        </w:rPr>
        <w:footnoteRef/>
      </w:r>
      <w:r w:rsidRPr="000B64E8">
        <w:rPr>
          <w:sz w:val="20"/>
          <w:szCs w:val="20"/>
        </w:rPr>
        <w:t xml:space="preserve"> Ibid. 166.</w:t>
      </w:r>
    </w:p>
  </w:footnote>
  <w:footnote w:id="109">
    <w:p w14:paraId="6B5C299E" w14:textId="72979788" w:rsidR="00BF38B5" w:rsidRPr="004D0030" w:rsidRDefault="00BF38B5" w:rsidP="004D0030">
      <w:pPr>
        <w:pStyle w:val="FootnoteText"/>
        <w:ind w:left="142" w:hanging="142"/>
        <w:rPr>
          <w:sz w:val="20"/>
          <w:szCs w:val="20"/>
        </w:rPr>
      </w:pPr>
      <w:r w:rsidRPr="004D0030">
        <w:rPr>
          <w:rStyle w:val="FootnoteReference"/>
          <w:sz w:val="20"/>
          <w:szCs w:val="20"/>
        </w:rPr>
        <w:footnoteRef/>
      </w:r>
      <w:r w:rsidRPr="004D0030">
        <w:rPr>
          <w:sz w:val="20"/>
          <w:szCs w:val="20"/>
        </w:rPr>
        <w:t xml:space="preserve"> Gann &amp; Duignan. </w:t>
      </w:r>
      <w:r w:rsidRPr="004D0030">
        <w:rPr>
          <w:i/>
          <w:sz w:val="20"/>
          <w:szCs w:val="20"/>
        </w:rPr>
        <w:t xml:space="preserve">The Rulers of German Africa. </w:t>
      </w:r>
      <w:r w:rsidRPr="004D0030">
        <w:rPr>
          <w:sz w:val="20"/>
          <w:szCs w:val="20"/>
        </w:rPr>
        <w:t>213.</w:t>
      </w:r>
    </w:p>
  </w:footnote>
  <w:footnote w:id="110">
    <w:p w14:paraId="23788AFF" w14:textId="7025EE11" w:rsidR="00BF38B5" w:rsidRPr="004D0030" w:rsidRDefault="00BF38B5" w:rsidP="003661E7">
      <w:pPr>
        <w:pStyle w:val="FootnoteText"/>
        <w:ind w:left="142" w:hanging="142"/>
        <w:rPr>
          <w:sz w:val="20"/>
          <w:szCs w:val="20"/>
        </w:rPr>
      </w:pPr>
      <w:r w:rsidRPr="004D0030">
        <w:rPr>
          <w:rStyle w:val="FootnoteReference"/>
          <w:sz w:val="20"/>
          <w:szCs w:val="20"/>
        </w:rPr>
        <w:footnoteRef/>
      </w:r>
      <w:r w:rsidRPr="004D0030">
        <w:rPr>
          <w:sz w:val="20"/>
          <w:szCs w:val="20"/>
        </w:rPr>
        <w:t xml:space="preserve"> Koponen. </w:t>
      </w:r>
      <w:r w:rsidRPr="004D0030">
        <w:rPr>
          <w:i/>
          <w:sz w:val="20"/>
          <w:szCs w:val="20"/>
        </w:rPr>
        <w:t xml:space="preserve">Development for Exploitation. </w:t>
      </w:r>
      <w:r w:rsidRPr="004D0030">
        <w:rPr>
          <w:sz w:val="20"/>
          <w:szCs w:val="20"/>
        </w:rPr>
        <w:t>500.</w:t>
      </w:r>
    </w:p>
  </w:footnote>
  <w:footnote w:id="111">
    <w:p w14:paraId="183716C1" w14:textId="256B03A9" w:rsidR="00BF38B5" w:rsidRPr="004D0030" w:rsidRDefault="00BF38B5" w:rsidP="003661E7">
      <w:pPr>
        <w:pStyle w:val="FootnoteText"/>
        <w:ind w:left="142" w:hanging="142"/>
      </w:pPr>
      <w:r w:rsidRPr="004D0030">
        <w:rPr>
          <w:rStyle w:val="FootnoteReference"/>
          <w:sz w:val="20"/>
          <w:szCs w:val="20"/>
        </w:rPr>
        <w:footnoteRef/>
      </w:r>
      <w:r w:rsidRPr="004D0030">
        <w:rPr>
          <w:sz w:val="20"/>
          <w:szCs w:val="20"/>
        </w:rPr>
        <w:t xml:space="preserve"> “Praktische Negererziehung.” </w:t>
      </w:r>
      <w:r w:rsidRPr="004D0030">
        <w:rPr>
          <w:i/>
          <w:sz w:val="20"/>
          <w:szCs w:val="20"/>
        </w:rPr>
        <w:t xml:space="preserve">Kölnische Zeitung. </w:t>
      </w:r>
      <w:r w:rsidRPr="004D0030">
        <w:rPr>
          <w:sz w:val="20"/>
          <w:szCs w:val="20"/>
        </w:rPr>
        <w:t xml:space="preserve"> November 19 1903. Bundesarchiv Berlin Lichterfelde. Reichskolonialamt 990 111 – 112.</w:t>
      </w:r>
    </w:p>
  </w:footnote>
  <w:footnote w:id="112">
    <w:p w14:paraId="2947C12F" w14:textId="6ABE1AD9" w:rsidR="00BF38B5" w:rsidRPr="00441BF4" w:rsidRDefault="00BF38B5" w:rsidP="003661E7">
      <w:pPr>
        <w:pStyle w:val="FootnoteText"/>
        <w:ind w:left="142" w:hanging="142"/>
        <w:rPr>
          <w:sz w:val="20"/>
          <w:szCs w:val="20"/>
        </w:rPr>
      </w:pPr>
      <w:r w:rsidRPr="00441BF4">
        <w:rPr>
          <w:rStyle w:val="FootnoteReference"/>
          <w:sz w:val="20"/>
          <w:szCs w:val="20"/>
        </w:rPr>
        <w:footnoteRef/>
      </w:r>
      <w:r w:rsidRPr="00441BF4">
        <w:rPr>
          <w:sz w:val="20"/>
          <w:szCs w:val="20"/>
        </w:rPr>
        <w:t xml:space="preserve"> Niesel. Kolonialverwaltung. 169 – 172. In Koponen. </w:t>
      </w:r>
      <w:r w:rsidRPr="00441BF4">
        <w:rPr>
          <w:i/>
          <w:sz w:val="20"/>
          <w:szCs w:val="20"/>
        </w:rPr>
        <w:t>Development for Exploitation.</w:t>
      </w:r>
      <w:r w:rsidRPr="00441BF4">
        <w:rPr>
          <w:sz w:val="20"/>
          <w:szCs w:val="20"/>
        </w:rPr>
        <w:t xml:space="preserve"> 509.</w:t>
      </w:r>
    </w:p>
  </w:footnote>
  <w:footnote w:id="113">
    <w:p w14:paraId="2E6738F2" w14:textId="66ECBAE8" w:rsidR="00BF38B5" w:rsidRPr="00441BF4" w:rsidRDefault="00BF38B5" w:rsidP="003661E7">
      <w:pPr>
        <w:pStyle w:val="FootnoteText"/>
        <w:ind w:left="142" w:hanging="142"/>
        <w:rPr>
          <w:sz w:val="20"/>
          <w:szCs w:val="20"/>
        </w:rPr>
      </w:pPr>
      <w:r w:rsidRPr="00441BF4">
        <w:rPr>
          <w:rStyle w:val="FootnoteReference"/>
          <w:sz w:val="20"/>
          <w:szCs w:val="20"/>
        </w:rPr>
        <w:footnoteRef/>
      </w:r>
      <w:r w:rsidRPr="00441BF4">
        <w:rPr>
          <w:sz w:val="20"/>
          <w:szCs w:val="20"/>
        </w:rPr>
        <w:t xml:space="preserve"> Karl Nauhaus to the government. July 30 1901. Bundesarchiv Berlin Lichterfelde. Reichskolonialamt 990 83.</w:t>
      </w:r>
    </w:p>
  </w:footnote>
  <w:footnote w:id="114">
    <w:p w14:paraId="408C8DC8" w14:textId="7B25AF42" w:rsidR="00BF38B5" w:rsidRPr="00441BF4" w:rsidRDefault="00BF38B5" w:rsidP="00502C24">
      <w:pPr>
        <w:pStyle w:val="FootnoteText"/>
        <w:ind w:left="142" w:hanging="142"/>
        <w:rPr>
          <w:sz w:val="20"/>
          <w:szCs w:val="20"/>
        </w:rPr>
      </w:pPr>
      <w:r w:rsidRPr="00441BF4">
        <w:rPr>
          <w:rStyle w:val="FootnoteReference"/>
          <w:sz w:val="20"/>
          <w:szCs w:val="20"/>
        </w:rPr>
        <w:footnoteRef/>
      </w:r>
      <w:r w:rsidRPr="00441BF4">
        <w:rPr>
          <w:sz w:val="20"/>
          <w:szCs w:val="20"/>
        </w:rPr>
        <w:t xml:space="preserve"> Götzen to Auswärtiges Amt, Kolonial-Abteilung. June 13 1901. Bundesarchiv Berlin Lichterfelde. Reichskolonialamt 990 45.</w:t>
      </w:r>
    </w:p>
  </w:footnote>
  <w:footnote w:id="115">
    <w:p w14:paraId="06FB8AA8" w14:textId="564DE5DA" w:rsidR="00BF38B5" w:rsidRPr="00441BF4" w:rsidRDefault="00BF38B5">
      <w:pPr>
        <w:pStyle w:val="FootnoteText"/>
        <w:rPr>
          <w:sz w:val="20"/>
          <w:szCs w:val="20"/>
        </w:rPr>
      </w:pPr>
      <w:r w:rsidRPr="00441BF4">
        <w:rPr>
          <w:rStyle w:val="FootnoteReference"/>
          <w:sz w:val="20"/>
          <w:szCs w:val="20"/>
        </w:rPr>
        <w:footnoteRef/>
      </w:r>
      <w:r w:rsidRPr="00441BF4">
        <w:rPr>
          <w:sz w:val="20"/>
          <w:szCs w:val="20"/>
        </w:rPr>
        <w:t xml:space="preserve"> Koponen. </w:t>
      </w:r>
      <w:r w:rsidRPr="00441BF4">
        <w:rPr>
          <w:i/>
          <w:sz w:val="20"/>
          <w:szCs w:val="20"/>
        </w:rPr>
        <w:t>Development for Exploitation.</w:t>
      </w:r>
      <w:r w:rsidRPr="00441BF4">
        <w:rPr>
          <w:sz w:val="20"/>
          <w:szCs w:val="20"/>
        </w:rPr>
        <w:t xml:space="preserve"> 500. </w:t>
      </w:r>
    </w:p>
  </w:footnote>
  <w:footnote w:id="116">
    <w:p w14:paraId="55B92F07" w14:textId="024ED910" w:rsidR="00BF38B5" w:rsidRPr="00F66177" w:rsidRDefault="00BF38B5">
      <w:pPr>
        <w:pStyle w:val="FootnoteText"/>
        <w:rPr>
          <w:sz w:val="20"/>
          <w:szCs w:val="20"/>
        </w:rPr>
      </w:pPr>
      <w:r w:rsidRPr="00F66177">
        <w:rPr>
          <w:rStyle w:val="FootnoteReference"/>
          <w:sz w:val="20"/>
          <w:szCs w:val="20"/>
        </w:rPr>
        <w:footnoteRef/>
      </w:r>
      <w:r w:rsidRPr="00F66177">
        <w:rPr>
          <w:sz w:val="20"/>
          <w:szCs w:val="20"/>
        </w:rPr>
        <w:t xml:space="preserve"> Dernburg. </w:t>
      </w:r>
      <w:r w:rsidRPr="00F66177">
        <w:rPr>
          <w:i/>
          <w:sz w:val="20"/>
          <w:szCs w:val="20"/>
        </w:rPr>
        <w:t>Zielpunkte.</w:t>
      </w:r>
      <w:r w:rsidRPr="00F66177">
        <w:rPr>
          <w:sz w:val="20"/>
          <w:szCs w:val="20"/>
        </w:rPr>
        <w:t xml:space="preserve"> 8.</w:t>
      </w:r>
    </w:p>
  </w:footnote>
  <w:footnote w:id="117">
    <w:p w14:paraId="10F12CBA" w14:textId="21FDF3F8" w:rsidR="00BF38B5" w:rsidRPr="00F66177" w:rsidRDefault="00BF38B5">
      <w:pPr>
        <w:pStyle w:val="FootnoteText"/>
        <w:rPr>
          <w:sz w:val="20"/>
          <w:szCs w:val="20"/>
        </w:rPr>
      </w:pPr>
      <w:r w:rsidRPr="00F66177">
        <w:rPr>
          <w:rStyle w:val="FootnoteReference"/>
          <w:sz w:val="20"/>
          <w:szCs w:val="20"/>
        </w:rPr>
        <w:footnoteRef/>
      </w:r>
      <w:r w:rsidRPr="00F66177">
        <w:rPr>
          <w:sz w:val="20"/>
          <w:szCs w:val="20"/>
        </w:rPr>
        <w:t xml:space="preserve"> Koponen. </w:t>
      </w:r>
      <w:r w:rsidRPr="00F66177">
        <w:rPr>
          <w:i/>
          <w:sz w:val="20"/>
          <w:szCs w:val="20"/>
        </w:rPr>
        <w:t xml:space="preserve">Development for Exploitation. </w:t>
      </w:r>
      <w:r w:rsidRPr="00F66177">
        <w:rPr>
          <w:sz w:val="20"/>
          <w:szCs w:val="20"/>
        </w:rPr>
        <w:t>501.</w:t>
      </w:r>
    </w:p>
  </w:footnote>
  <w:footnote w:id="118">
    <w:p w14:paraId="2B6F085E" w14:textId="77777777" w:rsidR="00BF38B5" w:rsidRPr="00F66177" w:rsidRDefault="00BF38B5" w:rsidP="002A0174">
      <w:pPr>
        <w:pStyle w:val="FootnoteText"/>
        <w:rPr>
          <w:sz w:val="20"/>
          <w:szCs w:val="20"/>
        </w:rPr>
      </w:pPr>
      <w:r w:rsidRPr="00F66177">
        <w:rPr>
          <w:rStyle w:val="FootnoteReference"/>
          <w:sz w:val="20"/>
          <w:szCs w:val="20"/>
        </w:rPr>
        <w:footnoteRef/>
      </w:r>
      <w:r w:rsidRPr="00F66177">
        <w:rPr>
          <w:sz w:val="20"/>
          <w:szCs w:val="20"/>
        </w:rPr>
        <w:t xml:space="preserve"> Dernburg. </w:t>
      </w:r>
      <w:r w:rsidRPr="00F66177">
        <w:rPr>
          <w:i/>
          <w:sz w:val="20"/>
          <w:szCs w:val="20"/>
        </w:rPr>
        <w:t>Zielpunkte.</w:t>
      </w:r>
      <w:r w:rsidRPr="00F66177">
        <w:rPr>
          <w:sz w:val="20"/>
          <w:szCs w:val="20"/>
        </w:rPr>
        <w:t xml:space="preserve"> 6.</w:t>
      </w:r>
    </w:p>
  </w:footnote>
  <w:footnote w:id="119">
    <w:p w14:paraId="704721D8" w14:textId="2F1C4016" w:rsidR="00BF38B5" w:rsidRPr="00F66177" w:rsidRDefault="00BF38B5">
      <w:pPr>
        <w:pStyle w:val="FootnoteText"/>
        <w:rPr>
          <w:sz w:val="20"/>
          <w:szCs w:val="20"/>
        </w:rPr>
      </w:pPr>
      <w:r w:rsidRPr="00F66177">
        <w:rPr>
          <w:rStyle w:val="FootnoteReference"/>
          <w:sz w:val="20"/>
          <w:szCs w:val="20"/>
        </w:rPr>
        <w:footnoteRef/>
      </w:r>
      <w:r w:rsidRPr="00F66177">
        <w:rPr>
          <w:sz w:val="20"/>
          <w:szCs w:val="20"/>
        </w:rPr>
        <w:t xml:space="preserve"> Iliffe. </w:t>
      </w:r>
      <w:r w:rsidRPr="00F66177">
        <w:rPr>
          <w:i/>
          <w:sz w:val="20"/>
          <w:szCs w:val="20"/>
        </w:rPr>
        <w:t>A Modern History of Tanganyika.</w:t>
      </w:r>
      <w:r w:rsidRPr="00F66177">
        <w:rPr>
          <w:sz w:val="20"/>
          <w:szCs w:val="20"/>
        </w:rPr>
        <w:t xml:space="preserve"> Cambridge. 1989. 131-132.</w:t>
      </w:r>
    </w:p>
  </w:footnote>
  <w:footnote w:id="120">
    <w:p w14:paraId="5C115908" w14:textId="3AB629D8" w:rsidR="00BF38B5" w:rsidRDefault="00BF38B5">
      <w:pPr>
        <w:pStyle w:val="FootnoteText"/>
      </w:pPr>
      <w:r w:rsidRPr="00F66177">
        <w:rPr>
          <w:rStyle w:val="FootnoteReference"/>
          <w:sz w:val="20"/>
          <w:szCs w:val="20"/>
        </w:rPr>
        <w:footnoteRef/>
      </w:r>
      <w:r w:rsidRPr="00F66177">
        <w:rPr>
          <w:sz w:val="20"/>
          <w:szCs w:val="20"/>
        </w:rPr>
        <w:t xml:space="preserve"> Sunseri. </w:t>
      </w:r>
      <w:r w:rsidRPr="00F66177">
        <w:rPr>
          <w:i/>
          <w:sz w:val="20"/>
          <w:szCs w:val="20"/>
        </w:rPr>
        <w:t>A Social History of Cotton Production</w:t>
      </w:r>
      <w:r w:rsidRPr="00F66177">
        <w:rPr>
          <w:sz w:val="20"/>
          <w:szCs w:val="20"/>
        </w:rPr>
        <w:t>. 91-92.</w:t>
      </w:r>
    </w:p>
  </w:footnote>
  <w:footnote w:id="121">
    <w:p w14:paraId="1A2079F4" w14:textId="6A6140B1" w:rsidR="00BF38B5" w:rsidRPr="007A4CDA" w:rsidRDefault="00BF38B5" w:rsidP="00E815E1">
      <w:pPr>
        <w:pStyle w:val="FootnoteText"/>
        <w:ind w:left="142" w:hanging="142"/>
        <w:rPr>
          <w:sz w:val="20"/>
          <w:szCs w:val="20"/>
        </w:rPr>
      </w:pPr>
      <w:r w:rsidRPr="007A4CDA">
        <w:rPr>
          <w:rStyle w:val="FootnoteReference"/>
          <w:sz w:val="20"/>
          <w:szCs w:val="20"/>
        </w:rPr>
        <w:footnoteRef/>
      </w:r>
      <w:r w:rsidRPr="007A4CDA">
        <w:rPr>
          <w:sz w:val="20"/>
          <w:szCs w:val="20"/>
        </w:rPr>
        <w:t xml:space="preserve"> Deutsch. </w:t>
      </w:r>
      <w:r w:rsidRPr="007A4CDA">
        <w:rPr>
          <w:i/>
          <w:sz w:val="20"/>
          <w:szCs w:val="20"/>
        </w:rPr>
        <w:t>Emancipation without Abolition.</w:t>
      </w:r>
      <w:r w:rsidRPr="007A4CDA">
        <w:rPr>
          <w:sz w:val="20"/>
          <w:szCs w:val="20"/>
        </w:rPr>
        <w:t xml:space="preserve"> 165.</w:t>
      </w:r>
    </w:p>
  </w:footnote>
  <w:footnote w:id="122">
    <w:p w14:paraId="0BFB4E73" w14:textId="194733B3" w:rsidR="00BF38B5" w:rsidRPr="007A4CDA" w:rsidRDefault="00BF38B5" w:rsidP="00E815E1">
      <w:pPr>
        <w:pStyle w:val="FootnoteText"/>
        <w:ind w:left="142" w:hanging="142"/>
        <w:rPr>
          <w:sz w:val="20"/>
          <w:szCs w:val="20"/>
        </w:rPr>
      </w:pPr>
      <w:r w:rsidRPr="007A4CDA">
        <w:rPr>
          <w:rStyle w:val="FootnoteReference"/>
          <w:sz w:val="20"/>
          <w:szCs w:val="20"/>
        </w:rPr>
        <w:footnoteRef/>
      </w:r>
      <w:r w:rsidRPr="007A4CDA">
        <w:rPr>
          <w:sz w:val="20"/>
          <w:szCs w:val="20"/>
        </w:rPr>
        <w:t xml:space="preserve"> </w:t>
      </w:r>
      <w:r w:rsidRPr="007A4CDA">
        <w:rPr>
          <w:i/>
          <w:sz w:val="20"/>
          <w:szCs w:val="20"/>
        </w:rPr>
        <w:t>Landesgesetzgebung</w:t>
      </w:r>
      <w:r w:rsidRPr="007A4CDA">
        <w:rPr>
          <w:sz w:val="20"/>
          <w:szCs w:val="20"/>
        </w:rPr>
        <w:t xml:space="preserve">. Ordinance Concerning the Ransom of Slaves. September 4, 1891. No. 111a. 329-331. In Sunseri. </w:t>
      </w:r>
      <w:r w:rsidRPr="007A4CDA">
        <w:rPr>
          <w:i/>
          <w:sz w:val="20"/>
          <w:szCs w:val="20"/>
        </w:rPr>
        <w:t>A Social History of Cotton Production</w:t>
      </w:r>
      <w:r w:rsidRPr="007A4CDA">
        <w:rPr>
          <w:sz w:val="20"/>
          <w:szCs w:val="20"/>
        </w:rPr>
        <w:t>. 92.</w:t>
      </w:r>
    </w:p>
  </w:footnote>
  <w:footnote w:id="123">
    <w:p w14:paraId="6EB379D0" w14:textId="46E708D2" w:rsidR="00BF38B5" w:rsidRPr="007A4CDA" w:rsidRDefault="00BF38B5" w:rsidP="00E815E1">
      <w:pPr>
        <w:pStyle w:val="FootnoteText"/>
        <w:ind w:left="142" w:hanging="142"/>
        <w:rPr>
          <w:sz w:val="20"/>
          <w:szCs w:val="20"/>
        </w:rPr>
      </w:pPr>
      <w:r w:rsidRPr="007A4CDA">
        <w:rPr>
          <w:rStyle w:val="FootnoteReference"/>
          <w:sz w:val="20"/>
          <w:szCs w:val="20"/>
        </w:rPr>
        <w:footnoteRef/>
      </w:r>
      <w:r w:rsidRPr="007A4CDA">
        <w:rPr>
          <w:sz w:val="20"/>
          <w:szCs w:val="20"/>
        </w:rPr>
        <w:t xml:space="preserve"> Schele to Auswärtiges Amt, Kolonial-Abteilung. October 30, 1893. Bundesarchiv Berlin Lichterfelde. Reichskolonialamt 1003 168.</w:t>
      </w:r>
    </w:p>
  </w:footnote>
  <w:footnote w:id="124">
    <w:p w14:paraId="2800F9E8" w14:textId="458AEB3B" w:rsidR="00BF38B5" w:rsidRPr="007A4CDA" w:rsidRDefault="00BF38B5" w:rsidP="00E815E1">
      <w:pPr>
        <w:pStyle w:val="FootnoteText"/>
        <w:ind w:left="142" w:hanging="142"/>
        <w:rPr>
          <w:sz w:val="20"/>
          <w:szCs w:val="20"/>
        </w:rPr>
      </w:pPr>
      <w:r w:rsidRPr="007A4CDA">
        <w:rPr>
          <w:rStyle w:val="FootnoteReference"/>
          <w:sz w:val="20"/>
          <w:szCs w:val="20"/>
        </w:rPr>
        <w:footnoteRef/>
      </w:r>
      <w:r w:rsidRPr="007A4CDA">
        <w:rPr>
          <w:sz w:val="20"/>
          <w:szCs w:val="20"/>
        </w:rPr>
        <w:t xml:space="preserve"> Götzen to Auswärtiges Amt, Kolonial-Abteilung. Bundesarchiv Berlin Lichterfelde. Reichskolonialamt 1006 69.</w:t>
      </w:r>
    </w:p>
  </w:footnote>
  <w:footnote w:id="125">
    <w:p w14:paraId="5F5EC706" w14:textId="4D219A48" w:rsidR="00BF38B5" w:rsidRPr="007A4CDA" w:rsidRDefault="00BF38B5">
      <w:pPr>
        <w:pStyle w:val="FootnoteText"/>
      </w:pPr>
      <w:r w:rsidRPr="007A4CDA">
        <w:rPr>
          <w:rStyle w:val="FootnoteReference"/>
          <w:sz w:val="20"/>
          <w:szCs w:val="20"/>
        </w:rPr>
        <w:footnoteRef/>
      </w:r>
      <w:r w:rsidRPr="007A4CDA">
        <w:rPr>
          <w:sz w:val="20"/>
          <w:szCs w:val="20"/>
        </w:rPr>
        <w:t xml:space="preserve"> Gann &amp; Duignan. </w:t>
      </w:r>
      <w:r w:rsidRPr="007A4CDA">
        <w:rPr>
          <w:i/>
          <w:sz w:val="20"/>
          <w:szCs w:val="20"/>
        </w:rPr>
        <w:t>The Rulers of German Africa 1884 – 1914.</w:t>
      </w:r>
      <w:r>
        <w:rPr>
          <w:sz w:val="20"/>
          <w:szCs w:val="20"/>
        </w:rPr>
        <w:t xml:space="preserve"> 202.</w:t>
      </w:r>
    </w:p>
  </w:footnote>
  <w:footnote w:id="126">
    <w:p w14:paraId="0BAD0107" w14:textId="018D993E" w:rsidR="00BF38B5" w:rsidRPr="00B1634B" w:rsidRDefault="00BF38B5" w:rsidP="00C14D4F">
      <w:pPr>
        <w:pStyle w:val="FootnoteText"/>
        <w:ind w:left="142" w:hanging="142"/>
        <w:rPr>
          <w:sz w:val="20"/>
          <w:szCs w:val="20"/>
        </w:rPr>
      </w:pPr>
      <w:r w:rsidRPr="00B1634B">
        <w:rPr>
          <w:rStyle w:val="FootnoteReference"/>
          <w:sz w:val="20"/>
          <w:szCs w:val="20"/>
        </w:rPr>
        <w:footnoteRef/>
      </w:r>
      <w:r w:rsidRPr="00B1634B">
        <w:rPr>
          <w:sz w:val="20"/>
          <w:szCs w:val="20"/>
        </w:rPr>
        <w:t xml:space="preserve"> Sunseri. </w:t>
      </w:r>
      <w:r w:rsidRPr="00B1634B">
        <w:rPr>
          <w:i/>
          <w:sz w:val="20"/>
          <w:szCs w:val="20"/>
        </w:rPr>
        <w:t>A Social History of Cotton Production</w:t>
      </w:r>
      <w:r w:rsidRPr="00B1634B">
        <w:rPr>
          <w:sz w:val="20"/>
          <w:szCs w:val="20"/>
        </w:rPr>
        <w:t>. 81.</w:t>
      </w:r>
    </w:p>
  </w:footnote>
  <w:footnote w:id="127">
    <w:p w14:paraId="0C00D773" w14:textId="75464E29" w:rsidR="00BF38B5" w:rsidRPr="00B1634B" w:rsidRDefault="00BF38B5" w:rsidP="00C14D4F">
      <w:pPr>
        <w:pStyle w:val="FootnoteText"/>
        <w:ind w:left="142" w:hanging="142"/>
        <w:rPr>
          <w:sz w:val="20"/>
          <w:szCs w:val="20"/>
        </w:rPr>
      </w:pPr>
      <w:r w:rsidRPr="00B1634B">
        <w:rPr>
          <w:rStyle w:val="FootnoteReference"/>
          <w:sz w:val="20"/>
          <w:szCs w:val="20"/>
        </w:rPr>
        <w:footnoteRef/>
      </w:r>
      <w:r w:rsidRPr="00B1634B">
        <w:rPr>
          <w:sz w:val="20"/>
          <w:szCs w:val="20"/>
        </w:rPr>
        <w:t xml:space="preserve"> Wiedner op cit p. 138; Reichstag Memorandum no. 1395, 1912/14, p. 12. In Sunseri. </w:t>
      </w:r>
      <w:r w:rsidRPr="00B1634B">
        <w:rPr>
          <w:i/>
          <w:sz w:val="20"/>
          <w:szCs w:val="20"/>
        </w:rPr>
        <w:t>A Social History of Cotton Production.</w:t>
      </w:r>
      <w:r w:rsidRPr="00B1634B">
        <w:rPr>
          <w:sz w:val="20"/>
          <w:szCs w:val="20"/>
        </w:rPr>
        <w:t xml:space="preserve"> 97.</w:t>
      </w:r>
    </w:p>
  </w:footnote>
  <w:footnote w:id="128">
    <w:p w14:paraId="65274405" w14:textId="37B4A7D8" w:rsidR="00BF38B5" w:rsidRPr="00B1634B" w:rsidRDefault="00BF38B5">
      <w:pPr>
        <w:pStyle w:val="FootnoteText"/>
        <w:rPr>
          <w:sz w:val="20"/>
          <w:szCs w:val="20"/>
        </w:rPr>
      </w:pPr>
      <w:r w:rsidRPr="00B1634B">
        <w:rPr>
          <w:rStyle w:val="FootnoteReference"/>
          <w:sz w:val="20"/>
          <w:szCs w:val="20"/>
        </w:rPr>
        <w:footnoteRef/>
      </w:r>
      <w:r w:rsidRPr="00B1634B">
        <w:rPr>
          <w:sz w:val="20"/>
          <w:szCs w:val="20"/>
        </w:rPr>
        <w:t xml:space="preserve"> Sunseri.</w:t>
      </w:r>
      <w:r w:rsidRPr="00B1634B">
        <w:rPr>
          <w:i/>
          <w:sz w:val="20"/>
          <w:szCs w:val="20"/>
        </w:rPr>
        <w:t xml:space="preserve"> A Social History of Cotton Production. </w:t>
      </w:r>
      <w:r w:rsidRPr="00B1634B">
        <w:rPr>
          <w:sz w:val="20"/>
          <w:szCs w:val="20"/>
        </w:rPr>
        <w:t>130.</w:t>
      </w:r>
    </w:p>
  </w:footnote>
  <w:footnote w:id="129">
    <w:p w14:paraId="07A6086B" w14:textId="0AA2389F" w:rsidR="00BF38B5" w:rsidRDefault="00BF38B5">
      <w:pPr>
        <w:pStyle w:val="FootnoteText"/>
      </w:pPr>
      <w:r w:rsidRPr="00B1634B">
        <w:rPr>
          <w:rStyle w:val="FootnoteReference"/>
          <w:sz w:val="20"/>
          <w:szCs w:val="20"/>
        </w:rPr>
        <w:footnoteRef/>
      </w:r>
      <w:r w:rsidRPr="00B1634B">
        <w:rPr>
          <w:sz w:val="20"/>
          <w:szCs w:val="20"/>
        </w:rPr>
        <w:t xml:space="preserve"> </w:t>
      </w:r>
      <w:r>
        <w:rPr>
          <w:sz w:val="20"/>
          <w:szCs w:val="20"/>
        </w:rPr>
        <w:t>Ibid</w:t>
      </w:r>
      <w:r w:rsidRPr="00B1634B">
        <w:rPr>
          <w:sz w:val="20"/>
          <w:szCs w:val="20"/>
        </w:rPr>
        <w:t>. 132.</w:t>
      </w:r>
    </w:p>
  </w:footnote>
  <w:footnote w:id="130">
    <w:p w14:paraId="715E9744" w14:textId="1AC24FAA" w:rsidR="00BF38B5" w:rsidRPr="0063001D" w:rsidRDefault="00BF38B5" w:rsidP="0063001D">
      <w:pPr>
        <w:pStyle w:val="FootnoteText"/>
        <w:ind w:left="142" w:hanging="142"/>
        <w:rPr>
          <w:sz w:val="20"/>
          <w:szCs w:val="20"/>
        </w:rPr>
      </w:pPr>
      <w:r w:rsidRPr="0063001D">
        <w:rPr>
          <w:rStyle w:val="FootnoteReference"/>
          <w:sz w:val="20"/>
          <w:szCs w:val="20"/>
        </w:rPr>
        <w:footnoteRef/>
      </w:r>
      <w:r w:rsidRPr="0063001D">
        <w:rPr>
          <w:sz w:val="20"/>
          <w:szCs w:val="20"/>
        </w:rPr>
        <w:t xml:space="preserve"> Robert Gregory. </w:t>
      </w:r>
      <w:r w:rsidRPr="0063001D">
        <w:rPr>
          <w:i/>
          <w:sz w:val="20"/>
          <w:szCs w:val="20"/>
        </w:rPr>
        <w:t xml:space="preserve">India and East Africa: A History of Race Relations within the British Empire 1890 – 1939. </w:t>
      </w:r>
      <w:r w:rsidRPr="0063001D">
        <w:rPr>
          <w:sz w:val="20"/>
          <w:szCs w:val="20"/>
        </w:rPr>
        <w:t>Clarendon Press. Oxford. 1971. 100.</w:t>
      </w:r>
    </w:p>
  </w:footnote>
  <w:footnote w:id="131">
    <w:p w14:paraId="368D980D" w14:textId="390CFCB4" w:rsidR="00BF38B5" w:rsidRPr="0063001D" w:rsidRDefault="00BF38B5" w:rsidP="0063001D">
      <w:pPr>
        <w:pStyle w:val="FootnoteText"/>
        <w:ind w:left="142" w:hanging="142"/>
        <w:rPr>
          <w:sz w:val="20"/>
          <w:szCs w:val="20"/>
        </w:rPr>
      </w:pPr>
      <w:r w:rsidRPr="0063001D">
        <w:rPr>
          <w:rStyle w:val="FootnoteReference"/>
          <w:sz w:val="20"/>
          <w:szCs w:val="20"/>
        </w:rPr>
        <w:footnoteRef/>
      </w:r>
      <w:r w:rsidRPr="0063001D">
        <w:rPr>
          <w:sz w:val="20"/>
          <w:szCs w:val="20"/>
        </w:rPr>
        <w:t xml:space="preserve"> Gijsbert Oonk. “South Asians in East Africa (1880 – 1920) with a Particular Focus on Zanzibar: Toward a Historical Explanation of Economic Success of a Middlemen Minority.” </w:t>
      </w:r>
      <w:r w:rsidRPr="0063001D">
        <w:rPr>
          <w:i/>
          <w:sz w:val="20"/>
          <w:szCs w:val="20"/>
        </w:rPr>
        <w:t>African and Asian Studies</w:t>
      </w:r>
      <w:r w:rsidRPr="0063001D">
        <w:rPr>
          <w:sz w:val="20"/>
          <w:szCs w:val="20"/>
        </w:rPr>
        <w:t>. Volume 5, no. 1. 2006. 9.</w:t>
      </w:r>
    </w:p>
  </w:footnote>
  <w:footnote w:id="132">
    <w:p w14:paraId="66633620" w14:textId="40E81FCB" w:rsidR="00BF38B5" w:rsidRPr="0063001D" w:rsidRDefault="00BF38B5" w:rsidP="0063001D">
      <w:pPr>
        <w:pStyle w:val="FootnoteText"/>
        <w:ind w:left="142" w:hanging="142"/>
        <w:rPr>
          <w:sz w:val="20"/>
          <w:szCs w:val="20"/>
        </w:rPr>
      </w:pPr>
      <w:r w:rsidRPr="0063001D">
        <w:rPr>
          <w:rStyle w:val="FootnoteReference"/>
          <w:sz w:val="20"/>
          <w:szCs w:val="20"/>
        </w:rPr>
        <w:footnoteRef/>
      </w:r>
      <w:r w:rsidRPr="0063001D">
        <w:rPr>
          <w:sz w:val="20"/>
          <w:szCs w:val="20"/>
        </w:rPr>
        <w:t xml:space="preserve"> Rechenberg to Reichskolonialamt. September 14, 1908. Bundesarchiv Berlin Lichterfelde. Reichskolonialamt 28. 121 – 126. In Koponen.</w:t>
      </w:r>
      <w:r w:rsidRPr="0063001D">
        <w:rPr>
          <w:i/>
          <w:sz w:val="20"/>
          <w:szCs w:val="20"/>
        </w:rPr>
        <w:t xml:space="preserve"> Development for Exploitation.</w:t>
      </w:r>
      <w:r w:rsidRPr="0063001D">
        <w:rPr>
          <w:sz w:val="20"/>
          <w:szCs w:val="20"/>
        </w:rPr>
        <w:t xml:space="preserve"> 295.</w:t>
      </w:r>
    </w:p>
  </w:footnote>
  <w:footnote w:id="133">
    <w:p w14:paraId="293DF6E5" w14:textId="29C1959B" w:rsidR="00BF38B5" w:rsidRPr="0063001D" w:rsidRDefault="00BF38B5">
      <w:pPr>
        <w:pStyle w:val="FootnoteText"/>
        <w:rPr>
          <w:i/>
        </w:rPr>
      </w:pPr>
      <w:r w:rsidRPr="0063001D">
        <w:rPr>
          <w:rStyle w:val="FootnoteReference"/>
          <w:sz w:val="20"/>
          <w:szCs w:val="20"/>
        </w:rPr>
        <w:footnoteRef/>
      </w:r>
      <w:r w:rsidRPr="0063001D">
        <w:rPr>
          <w:sz w:val="20"/>
          <w:szCs w:val="20"/>
        </w:rPr>
        <w:t xml:space="preserve"> Ibid. 295.</w:t>
      </w:r>
    </w:p>
  </w:footnote>
  <w:footnote w:id="134">
    <w:p w14:paraId="7F6BDBA5" w14:textId="23598E1D" w:rsidR="00BF38B5" w:rsidRPr="00D960F0" w:rsidRDefault="00BF38B5" w:rsidP="00D960F0">
      <w:pPr>
        <w:pStyle w:val="FootnoteText"/>
        <w:ind w:left="142" w:hanging="142"/>
        <w:rPr>
          <w:sz w:val="20"/>
          <w:szCs w:val="20"/>
        </w:rPr>
      </w:pPr>
      <w:r w:rsidRPr="00D960F0">
        <w:rPr>
          <w:rStyle w:val="FootnoteReference"/>
          <w:sz w:val="20"/>
          <w:szCs w:val="20"/>
        </w:rPr>
        <w:footnoteRef/>
      </w:r>
      <w:r w:rsidRPr="00D960F0">
        <w:rPr>
          <w:sz w:val="20"/>
          <w:szCs w:val="20"/>
        </w:rPr>
        <w:t xml:space="preserve"> Gregory. </w:t>
      </w:r>
      <w:r w:rsidRPr="00D960F0">
        <w:rPr>
          <w:i/>
          <w:sz w:val="20"/>
          <w:szCs w:val="20"/>
        </w:rPr>
        <w:t>India and East Africa.</w:t>
      </w:r>
      <w:r w:rsidRPr="00D960F0">
        <w:rPr>
          <w:sz w:val="20"/>
          <w:szCs w:val="20"/>
        </w:rPr>
        <w:t xml:space="preserve"> 101.</w:t>
      </w:r>
    </w:p>
  </w:footnote>
  <w:footnote w:id="135">
    <w:p w14:paraId="2173ACF5" w14:textId="1FBD1172" w:rsidR="00BF38B5" w:rsidRPr="00D960F0" w:rsidRDefault="00BF38B5" w:rsidP="00D960F0">
      <w:pPr>
        <w:pStyle w:val="FootnoteText"/>
        <w:ind w:left="142" w:hanging="142"/>
      </w:pPr>
      <w:r w:rsidRPr="00D960F0">
        <w:rPr>
          <w:rStyle w:val="FootnoteReference"/>
          <w:sz w:val="20"/>
          <w:szCs w:val="20"/>
        </w:rPr>
        <w:footnoteRef/>
      </w:r>
      <w:r w:rsidRPr="00D960F0">
        <w:rPr>
          <w:sz w:val="20"/>
          <w:szCs w:val="20"/>
        </w:rPr>
        <w:t xml:space="preserve"> Dernburg. February 26, 1909. Bundesarchiv Berlin Lichterfelde. Reichskolonialamt 28. 154 – 155. In Koponen. </w:t>
      </w:r>
      <w:r w:rsidRPr="00D960F0">
        <w:rPr>
          <w:i/>
          <w:sz w:val="20"/>
          <w:szCs w:val="20"/>
        </w:rPr>
        <w:t>Development for Exploitation.</w:t>
      </w:r>
      <w:r w:rsidRPr="00D960F0">
        <w:rPr>
          <w:sz w:val="20"/>
          <w:szCs w:val="20"/>
        </w:rPr>
        <w:t xml:space="preserve"> 297.</w:t>
      </w:r>
    </w:p>
  </w:footnote>
  <w:footnote w:id="136">
    <w:p w14:paraId="19B91DE5" w14:textId="34E28BA8" w:rsidR="00BF38B5" w:rsidRPr="00273403" w:rsidRDefault="00BF38B5">
      <w:pPr>
        <w:pStyle w:val="FootnoteText"/>
        <w:rPr>
          <w:sz w:val="20"/>
          <w:szCs w:val="20"/>
        </w:rPr>
      </w:pPr>
      <w:r w:rsidRPr="00273403">
        <w:rPr>
          <w:rStyle w:val="FootnoteReference"/>
          <w:sz w:val="20"/>
          <w:szCs w:val="20"/>
        </w:rPr>
        <w:footnoteRef/>
      </w:r>
      <w:r w:rsidRPr="00273403">
        <w:rPr>
          <w:sz w:val="20"/>
          <w:szCs w:val="20"/>
        </w:rPr>
        <w:t xml:space="preserve"> Smith. </w:t>
      </w:r>
      <w:r w:rsidRPr="00273403">
        <w:rPr>
          <w:i/>
          <w:sz w:val="20"/>
          <w:szCs w:val="20"/>
        </w:rPr>
        <w:t>German Colonial Empire.</w:t>
      </w:r>
      <w:r w:rsidRPr="00273403">
        <w:rPr>
          <w:sz w:val="20"/>
          <w:szCs w:val="20"/>
        </w:rPr>
        <w:t xml:space="preserve"> 3 – 4.</w:t>
      </w:r>
    </w:p>
  </w:footnote>
  <w:footnote w:id="137">
    <w:p w14:paraId="4B3F8B7F" w14:textId="25EE9066" w:rsidR="00BF38B5" w:rsidRPr="00030199" w:rsidRDefault="00BF38B5">
      <w:pPr>
        <w:pStyle w:val="FootnoteText"/>
      </w:pPr>
      <w:r w:rsidRPr="00273403">
        <w:rPr>
          <w:rStyle w:val="FootnoteReference"/>
          <w:sz w:val="20"/>
          <w:szCs w:val="20"/>
        </w:rPr>
        <w:footnoteRef/>
      </w:r>
      <w:r w:rsidRPr="00273403">
        <w:rPr>
          <w:sz w:val="20"/>
          <w:szCs w:val="20"/>
        </w:rPr>
        <w:t xml:space="preserve"> </w:t>
      </w:r>
      <w:r>
        <w:rPr>
          <w:sz w:val="20"/>
          <w:szCs w:val="20"/>
        </w:rPr>
        <w:t>Friedrich Fabri. “Does Germany Need Colonies?” 3</w:t>
      </w:r>
      <w:r w:rsidRPr="00030199">
        <w:rPr>
          <w:sz w:val="20"/>
          <w:szCs w:val="20"/>
          <w:vertAlign w:val="superscript"/>
        </w:rPr>
        <w:t>rd</w:t>
      </w:r>
      <w:r>
        <w:rPr>
          <w:sz w:val="20"/>
          <w:szCs w:val="20"/>
        </w:rPr>
        <w:t xml:space="preserve"> ed. 1883. 1-6. </w:t>
      </w:r>
    </w:p>
  </w:footnote>
  <w:footnote w:id="138">
    <w:p w14:paraId="2BC2B324" w14:textId="77DA0A96" w:rsidR="00BF38B5" w:rsidRPr="00690395" w:rsidRDefault="00BF38B5" w:rsidP="00AB7742">
      <w:pPr>
        <w:pStyle w:val="FootnoteText"/>
        <w:ind w:left="142" w:hanging="142"/>
        <w:rPr>
          <w:sz w:val="20"/>
          <w:szCs w:val="20"/>
        </w:rPr>
      </w:pPr>
      <w:r w:rsidRPr="00690395">
        <w:rPr>
          <w:rStyle w:val="FootnoteReference"/>
          <w:sz w:val="20"/>
          <w:szCs w:val="20"/>
        </w:rPr>
        <w:footnoteRef/>
      </w:r>
      <w:r w:rsidRPr="00690395">
        <w:rPr>
          <w:sz w:val="20"/>
          <w:szCs w:val="20"/>
        </w:rPr>
        <w:t xml:space="preserve"> Kurtze. </w:t>
      </w:r>
      <w:r w:rsidRPr="00690395">
        <w:rPr>
          <w:i/>
          <w:sz w:val="20"/>
          <w:szCs w:val="20"/>
        </w:rPr>
        <w:t>DOAG</w:t>
      </w:r>
      <w:r w:rsidRPr="00690395">
        <w:rPr>
          <w:sz w:val="20"/>
          <w:szCs w:val="20"/>
        </w:rPr>
        <w:t xml:space="preserve">. 152. In Koponen. </w:t>
      </w:r>
      <w:r w:rsidRPr="00690395">
        <w:rPr>
          <w:i/>
          <w:sz w:val="20"/>
          <w:szCs w:val="20"/>
        </w:rPr>
        <w:t>Development for Exploitation</w:t>
      </w:r>
      <w:r w:rsidRPr="00690395">
        <w:rPr>
          <w:sz w:val="20"/>
          <w:szCs w:val="20"/>
        </w:rPr>
        <w:t>. 157.</w:t>
      </w:r>
    </w:p>
  </w:footnote>
  <w:footnote w:id="139">
    <w:p w14:paraId="68FB16FC" w14:textId="4113F849" w:rsidR="00BF38B5" w:rsidRPr="00690395" w:rsidRDefault="00BF38B5" w:rsidP="00AB7742">
      <w:pPr>
        <w:pStyle w:val="FootnoteText"/>
        <w:ind w:left="142" w:hanging="142"/>
        <w:rPr>
          <w:sz w:val="20"/>
          <w:szCs w:val="20"/>
        </w:rPr>
      </w:pPr>
      <w:r w:rsidRPr="00690395">
        <w:rPr>
          <w:rStyle w:val="FootnoteReference"/>
          <w:sz w:val="20"/>
          <w:szCs w:val="20"/>
        </w:rPr>
        <w:footnoteRef/>
      </w:r>
      <w:r w:rsidRPr="00690395">
        <w:rPr>
          <w:sz w:val="20"/>
          <w:szCs w:val="20"/>
        </w:rPr>
        <w:t xml:space="preserve"> Kayser to DOAG. November 26, 1892. Bundesarchiv Berlin Lichterfelde. Deutsch-Ostafrikanische Gesellschaft Berlin. 14, 160. In Koponen. </w:t>
      </w:r>
      <w:r w:rsidRPr="00690395">
        <w:rPr>
          <w:i/>
          <w:sz w:val="20"/>
          <w:szCs w:val="20"/>
        </w:rPr>
        <w:t>Development for Exploitation.</w:t>
      </w:r>
      <w:r w:rsidRPr="00690395">
        <w:rPr>
          <w:sz w:val="20"/>
          <w:szCs w:val="20"/>
        </w:rPr>
        <w:t xml:space="preserve"> 156.</w:t>
      </w:r>
    </w:p>
  </w:footnote>
  <w:footnote w:id="140">
    <w:p w14:paraId="3C463860" w14:textId="34A3C0DB" w:rsidR="00BF38B5" w:rsidRPr="00690395" w:rsidRDefault="00BF38B5">
      <w:pPr>
        <w:pStyle w:val="FootnoteText"/>
      </w:pPr>
      <w:r w:rsidRPr="00690395">
        <w:rPr>
          <w:rStyle w:val="FootnoteReference"/>
          <w:sz w:val="20"/>
          <w:szCs w:val="20"/>
        </w:rPr>
        <w:footnoteRef/>
      </w:r>
      <w:r w:rsidRPr="00690395">
        <w:rPr>
          <w:sz w:val="20"/>
          <w:szCs w:val="20"/>
        </w:rPr>
        <w:t xml:space="preserve"> Smith. </w:t>
      </w:r>
      <w:r w:rsidRPr="00690395">
        <w:rPr>
          <w:i/>
          <w:sz w:val="20"/>
          <w:szCs w:val="20"/>
        </w:rPr>
        <w:t>German Colonial Empire.</w:t>
      </w:r>
      <w:r w:rsidRPr="00690395">
        <w:rPr>
          <w:sz w:val="20"/>
          <w:szCs w:val="20"/>
        </w:rPr>
        <w:t xml:space="preserve"> 104.</w:t>
      </w:r>
    </w:p>
  </w:footnote>
  <w:footnote w:id="141">
    <w:p w14:paraId="4A0ACDAA" w14:textId="79B14327" w:rsidR="00BF38B5" w:rsidRPr="0096292F" w:rsidRDefault="00BF38B5" w:rsidP="0096292F">
      <w:pPr>
        <w:pStyle w:val="FootnoteText"/>
        <w:ind w:left="142" w:hanging="142"/>
        <w:rPr>
          <w:sz w:val="20"/>
          <w:szCs w:val="20"/>
        </w:rPr>
      </w:pPr>
      <w:r w:rsidRPr="0096292F">
        <w:rPr>
          <w:rStyle w:val="FootnoteReference"/>
          <w:sz w:val="20"/>
          <w:szCs w:val="20"/>
        </w:rPr>
        <w:footnoteRef/>
      </w:r>
      <w:r w:rsidRPr="0096292F">
        <w:rPr>
          <w:sz w:val="20"/>
          <w:szCs w:val="20"/>
        </w:rPr>
        <w:t xml:space="preserve"> Liebert to Hohenlohe. April 12, 1897. Bundesarchiv Berlin Lich</w:t>
      </w:r>
      <w:r>
        <w:rPr>
          <w:sz w:val="20"/>
          <w:szCs w:val="20"/>
        </w:rPr>
        <w:t xml:space="preserve">terfelde. Reichskolonialamt 78. 44. </w:t>
      </w:r>
      <w:r w:rsidRPr="0096292F">
        <w:rPr>
          <w:sz w:val="20"/>
          <w:szCs w:val="20"/>
        </w:rPr>
        <w:t xml:space="preserve">In Koponen. </w:t>
      </w:r>
      <w:r w:rsidRPr="0096292F">
        <w:rPr>
          <w:i/>
          <w:sz w:val="20"/>
          <w:szCs w:val="20"/>
        </w:rPr>
        <w:t>Development for Exploitation.</w:t>
      </w:r>
      <w:r w:rsidRPr="0096292F">
        <w:rPr>
          <w:sz w:val="20"/>
          <w:szCs w:val="20"/>
        </w:rPr>
        <w:t xml:space="preserve"> 156.</w:t>
      </w:r>
    </w:p>
  </w:footnote>
  <w:footnote w:id="142">
    <w:p w14:paraId="1424C88C" w14:textId="6919761B" w:rsidR="00BF38B5" w:rsidRPr="0096292F" w:rsidRDefault="00BF38B5" w:rsidP="0096292F">
      <w:pPr>
        <w:pStyle w:val="FootnoteText"/>
        <w:ind w:left="142" w:hanging="142"/>
        <w:rPr>
          <w:sz w:val="20"/>
          <w:szCs w:val="20"/>
        </w:rPr>
      </w:pPr>
      <w:r w:rsidRPr="0096292F">
        <w:rPr>
          <w:rStyle w:val="FootnoteReference"/>
          <w:sz w:val="20"/>
          <w:szCs w:val="20"/>
        </w:rPr>
        <w:footnoteRef/>
      </w:r>
      <w:r w:rsidRPr="0096292F">
        <w:rPr>
          <w:sz w:val="20"/>
          <w:szCs w:val="20"/>
        </w:rPr>
        <w:t xml:space="preserve"> Amtliche Jahresberichte über die Entwicklung der deutschen Schutzgebiete in Afrika under der Südsee. In Tetzlaff. </w:t>
      </w:r>
      <w:r w:rsidRPr="0096292F">
        <w:rPr>
          <w:i/>
          <w:sz w:val="20"/>
          <w:szCs w:val="20"/>
        </w:rPr>
        <w:t>Koloniale Entwicklung und Ausbeutung.</w:t>
      </w:r>
      <w:r w:rsidRPr="0096292F">
        <w:rPr>
          <w:sz w:val="20"/>
          <w:szCs w:val="20"/>
        </w:rPr>
        <w:t xml:space="preserve"> 106.</w:t>
      </w:r>
    </w:p>
  </w:footnote>
  <w:footnote w:id="143">
    <w:p w14:paraId="6C8236D9" w14:textId="043814F9" w:rsidR="00BF38B5" w:rsidRPr="000E7A4C" w:rsidRDefault="00BF38B5" w:rsidP="000E7A4C">
      <w:pPr>
        <w:pStyle w:val="FootnoteText"/>
        <w:ind w:left="142" w:hanging="142"/>
        <w:rPr>
          <w:sz w:val="20"/>
          <w:szCs w:val="20"/>
        </w:rPr>
      </w:pPr>
      <w:r w:rsidRPr="000E7A4C">
        <w:rPr>
          <w:rStyle w:val="FootnoteReference"/>
          <w:sz w:val="20"/>
          <w:szCs w:val="20"/>
        </w:rPr>
        <w:footnoteRef/>
      </w:r>
      <w:r w:rsidRPr="000E7A4C">
        <w:rPr>
          <w:sz w:val="20"/>
          <w:szCs w:val="20"/>
        </w:rPr>
        <w:t xml:space="preserve"> </w:t>
      </w:r>
      <w:r w:rsidRPr="0096292F">
        <w:rPr>
          <w:sz w:val="20"/>
          <w:szCs w:val="20"/>
        </w:rPr>
        <w:t xml:space="preserve">Amtliche Jahresberichte über die Entwicklung der deutschen Schutzgebiete in Afrika under der Südsee. In Tetzlaff. </w:t>
      </w:r>
      <w:r w:rsidRPr="0096292F">
        <w:rPr>
          <w:i/>
          <w:sz w:val="20"/>
          <w:szCs w:val="20"/>
        </w:rPr>
        <w:t>Koloniale Entwicklung und Ausbeutung.</w:t>
      </w:r>
      <w:r w:rsidRPr="0096292F">
        <w:rPr>
          <w:sz w:val="20"/>
          <w:szCs w:val="20"/>
        </w:rPr>
        <w:t xml:space="preserve"> 106.</w:t>
      </w:r>
    </w:p>
  </w:footnote>
  <w:footnote w:id="144">
    <w:p w14:paraId="1371D45E" w14:textId="47D5C460" w:rsidR="00BF38B5" w:rsidRPr="000E7A4C" w:rsidRDefault="00BF38B5" w:rsidP="000E7A4C">
      <w:pPr>
        <w:pStyle w:val="FootnoteText"/>
        <w:ind w:left="142" w:hanging="142"/>
        <w:rPr>
          <w:sz w:val="20"/>
          <w:szCs w:val="20"/>
        </w:rPr>
      </w:pPr>
      <w:r w:rsidRPr="000E7A4C">
        <w:rPr>
          <w:rStyle w:val="FootnoteReference"/>
          <w:sz w:val="20"/>
          <w:szCs w:val="20"/>
        </w:rPr>
        <w:footnoteRef/>
      </w:r>
      <w:r w:rsidRPr="000E7A4C">
        <w:rPr>
          <w:sz w:val="20"/>
          <w:szCs w:val="20"/>
        </w:rPr>
        <w:t xml:space="preserve"> “Auskunft für Ansiedler in Usambara und anderen Gebieten von Deutsch-Ostafrika.” January 1902. Bundesarchiv Berlin Lichterfelde. Reichskolonialamt 11. 31. </w:t>
      </w:r>
    </w:p>
  </w:footnote>
  <w:footnote w:id="145">
    <w:p w14:paraId="0A52FB2C" w14:textId="04CAB93A" w:rsidR="00BF38B5" w:rsidRPr="000E7A4C" w:rsidRDefault="00BF38B5" w:rsidP="000E7A4C">
      <w:pPr>
        <w:pStyle w:val="FootnoteText"/>
        <w:ind w:left="142" w:hanging="142"/>
        <w:rPr>
          <w:sz w:val="20"/>
          <w:szCs w:val="20"/>
        </w:rPr>
      </w:pPr>
      <w:r w:rsidRPr="000E7A4C">
        <w:rPr>
          <w:rStyle w:val="FootnoteReference"/>
          <w:sz w:val="20"/>
          <w:szCs w:val="20"/>
        </w:rPr>
        <w:footnoteRef/>
      </w:r>
      <w:r w:rsidRPr="000E7A4C">
        <w:rPr>
          <w:sz w:val="20"/>
          <w:szCs w:val="20"/>
        </w:rPr>
        <w:t xml:space="preserve"> Iliffe. </w:t>
      </w:r>
      <w:r w:rsidRPr="000E7A4C">
        <w:rPr>
          <w:i/>
          <w:sz w:val="20"/>
          <w:szCs w:val="20"/>
        </w:rPr>
        <w:t>Tanganyika under German Rule.</w:t>
      </w:r>
      <w:r w:rsidRPr="000E7A4C">
        <w:rPr>
          <w:sz w:val="20"/>
          <w:szCs w:val="20"/>
        </w:rPr>
        <w:t xml:space="preserve"> 60 – 61. </w:t>
      </w:r>
    </w:p>
  </w:footnote>
  <w:footnote w:id="146">
    <w:p w14:paraId="023DAB90" w14:textId="50720D5A" w:rsidR="00BF38B5" w:rsidRPr="000E7A4C" w:rsidRDefault="00BF38B5" w:rsidP="000E7A4C">
      <w:pPr>
        <w:pStyle w:val="FootnoteText"/>
        <w:ind w:left="142" w:hanging="142"/>
        <w:rPr>
          <w:i/>
        </w:rPr>
      </w:pPr>
      <w:r w:rsidRPr="000E7A4C">
        <w:rPr>
          <w:rStyle w:val="FootnoteReference"/>
          <w:sz w:val="20"/>
          <w:szCs w:val="20"/>
        </w:rPr>
        <w:footnoteRef/>
      </w:r>
      <w:r w:rsidRPr="000E7A4C">
        <w:rPr>
          <w:sz w:val="20"/>
          <w:szCs w:val="20"/>
        </w:rPr>
        <w:t xml:space="preserve"> The de-emphasis of the settler issue can be seen in Sunseri </w:t>
      </w:r>
      <w:r w:rsidRPr="000E7A4C">
        <w:rPr>
          <w:i/>
          <w:sz w:val="20"/>
          <w:szCs w:val="20"/>
        </w:rPr>
        <w:t xml:space="preserve">A Social History of Cotton Production in German East Africa, 1884-1915. </w:t>
      </w:r>
      <w:r w:rsidRPr="000E7A4C">
        <w:rPr>
          <w:sz w:val="20"/>
          <w:szCs w:val="20"/>
        </w:rPr>
        <w:t xml:space="preserve"> And Deutsch. </w:t>
      </w:r>
      <w:r w:rsidRPr="000E7A4C">
        <w:rPr>
          <w:i/>
          <w:sz w:val="20"/>
          <w:szCs w:val="20"/>
        </w:rPr>
        <w:t>Emancipation without Abolition.</w:t>
      </w:r>
    </w:p>
  </w:footnote>
  <w:footnote w:id="147">
    <w:p w14:paraId="31379DAB" w14:textId="5DAA318C" w:rsidR="00BF38B5" w:rsidRPr="00BF45FA" w:rsidRDefault="00BF38B5" w:rsidP="00971BDA">
      <w:pPr>
        <w:pStyle w:val="FootnoteText"/>
        <w:ind w:left="142" w:hanging="142"/>
        <w:rPr>
          <w:sz w:val="20"/>
          <w:szCs w:val="20"/>
        </w:rPr>
      </w:pPr>
      <w:r w:rsidRPr="00BF45FA">
        <w:rPr>
          <w:rStyle w:val="FootnoteReference"/>
          <w:sz w:val="20"/>
          <w:szCs w:val="20"/>
        </w:rPr>
        <w:footnoteRef/>
      </w:r>
      <w:r w:rsidRPr="00BF45FA">
        <w:rPr>
          <w:sz w:val="20"/>
          <w:szCs w:val="20"/>
        </w:rPr>
        <w:t xml:space="preserve"> Liebert to Tanga. November 12, 1897. Tanzanian National Archive VIII/J/19/I. In Iliffe. </w:t>
      </w:r>
      <w:r w:rsidRPr="00BF45FA">
        <w:rPr>
          <w:i/>
          <w:sz w:val="20"/>
          <w:szCs w:val="20"/>
        </w:rPr>
        <w:t>Tanganyika under German Rule.</w:t>
      </w:r>
      <w:r w:rsidRPr="00BF45FA">
        <w:rPr>
          <w:sz w:val="20"/>
          <w:szCs w:val="20"/>
        </w:rPr>
        <w:t xml:space="preserve"> 84.</w:t>
      </w:r>
    </w:p>
  </w:footnote>
  <w:footnote w:id="148">
    <w:p w14:paraId="3B271B5D" w14:textId="76273BD7" w:rsidR="00BF38B5" w:rsidRPr="00BF45FA" w:rsidRDefault="00BF38B5">
      <w:pPr>
        <w:pStyle w:val="FootnoteText"/>
        <w:rPr>
          <w:sz w:val="20"/>
          <w:szCs w:val="20"/>
        </w:rPr>
      </w:pPr>
      <w:r w:rsidRPr="00BF45FA">
        <w:rPr>
          <w:rStyle w:val="FootnoteReference"/>
          <w:sz w:val="20"/>
          <w:szCs w:val="20"/>
        </w:rPr>
        <w:footnoteRef/>
      </w:r>
      <w:r w:rsidRPr="00BF45FA">
        <w:rPr>
          <w:sz w:val="20"/>
          <w:szCs w:val="20"/>
        </w:rPr>
        <w:t xml:space="preserve"> Koponen. </w:t>
      </w:r>
      <w:r w:rsidRPr="00BF45FA">
        <w:rPr>
          <w:i/>
          <w:sz w:val="20"/>
          <w:szCs w:val="20"/>
        </w:rPr>
        <w:t>Development for Exploitation.</w:t>
      </w:r>
      <w:r w:rsidRPr="00BF45FA">
        <w:rPr>
          <w:sz w:val="20"/>
          <w:szCs w:val="20"/>
        </w:rPr>
        <w:t xml:space="preserve"> 220 – 221.</w:t>
      </w:r>
    </w:p>
  </w:footnote>
  <w:footnote w:id="149">
    <w:p w14:paraId="3738223F" w14:textId="1F0CE936" w:rsidR="00BF38B5" w:rsidRPr="00BF45FA" w:rsidRDefault="00BF38B5">
      <w:pPr>
        <w:pStyle w:val="FootnoteText"/>
        <w:rPr>
          <w:sz w:val="20"/>
          <w:szCs w:val="20"/>
        </w:rPr>
      </w:pPr>
      <w:r w:rsidRPr="00BF45FA">
        <w:rPr>
          <w:rStyle w:val="FootnoteReference"/>
          <w:sz w:val="20"/>
          <w:szCs w:val="20"/>
        </w:rPr>
        <w:footnoteRef/>
      </w:r>
      <w:r w:rsidRPr="00BF45FA">
        <w:rPr>
          <w:sz w:val="20"/>
          <w:szCs w:val="20"/>
        </w:rPr>
        <w:t xml:space="preserve"> </w:t>
      </w:r>
      <w:r>
        <w:rPr>
          <w:sz w:val="20"/>
          <w:szCs w:val="20"/>
        </w:rPr>
        <w:t>Ibid.</w:t>
      </w:r>
      <w:r w:rsidRPr="00BF45FA">
        <w:rPr>
          <w:sz w:val="20"/>
          <w:szCs w:val="20"/>
        </w:rPr>
        <w:t xml:space="preserve"> 257.</w:t>
      </w:r>
    </w:p>
  </w:footnote>
  <w:footnote w:id="150">
    <w:p w14:paraId="5B89C68B" w14:textId="64DE1F44" w:rsidR="00BF38B5" w:rsidRDefault="00BF38B5">
      <w:pPr>
        <w:pStyle w:val="FootnoteText"/>
      </w:pPr>
      <w:r w:rsidRPr="00BF45FA">
        <w:rPr>
          <w:rStyle w:val="FootnoteReference"/>
          <w:sz w:val="20"/>
          <w:szCs w:val="20"/>
        </w:rPr>
        <w:footnoteRef/>
      </w:r>
      <w:r w:rsidRPr="00BF45FA">
        <w:rPr>
          <w:sz w:val="20"/>
          <w:szCs w:val="20"/>
        </w:rPr>
        <w:t xml:space="preserve"> Ibid. 258.</w:t>
      </w:r>
    </w:p>
  </w:footnote>
  <w:footnote w:id="151">
    <w:p w14:paraId="59BFF0D3" w14:textId="3F4A788B" w:rsidR="00BF38B5" w:rsidRPr="009E618D" w:rsidRDefault="00BF38B5" w:rsidP="009E618D">
      <w:pPr>
        <w:pStyle w:val="FootnoteText"/>
        <w:ind w:left="142" w:hanging="142"/>
        <w:rPr>
          <w:sz w:val="20"/>
          <w:szCs w:val="20"/>
        </w:rPr>
      </w:pPr>
      <w:r w:rsidRPr="009E618D">
        <w:rPr>
          <w:rStyle w:val="FootnoteReference"/>
          <w:sz w:val="20"/>
          <w:szCs w:val="20"/>
        </w:rPr>
        <w:footnoteRef/>
      </w:r>
      <w:r w:rsidRPr="009E618D">
        <w:rPr>
          <w:sz w:val="20"/>
          <w:szCs w:val="20"/>
        </w:rPr>
        <w:t xml:space="preserve"> Amtliche Jahresberichte über die Entwicklung der deutschen Schutzgebiete in Afrika under der Südsee. In Tetzlaff. </w:t>
      </w:r>
      <w:r w:rsidRPr="009E618D">
        <w:rPr>
          <w:i/>
          <w:sz w:val="20"/>
          <w:szCs w:val="20"/>
        </w:rPr>
        <w:t>Koloniale Entwicklung und Ausbeutung.</w:t>
      </w:r>
      <w:r w:rsidRPr="009E618D">
        <w:rPr>
          <w:sz w:val="20"/>
          <w:szCs w:val="20"/>
        </w:rPr>
        <w:t xml:space="preserve"> 106.</w:t>
      </w:r>
    </w:p>
  </w:footnote>
  <w:footnote w:id="152">
    <w:p w14:paraId="426243E3" w14:textId="2166AD3C" w:rsidR="00BF38B5" w:rsidRDefault="00BF38B5" w:rsidP="009E618D">
      <w:pPr>
        <w:pStyle w:val="FootnoteText"/>
        <w:ind w:left="142" w:hanging="142"/>
      </w:pPr>
      <w:r w:rsidRPr="009E618D">
        <w:rPr>
          <w:rStyle w:val="FootnoteReference"/>
          <w:sz w:val="20"/>
          <w:szCs w:val="20"/>
        </w:rPr>
        <w:footnoteRef/>
      </w:r>
      <w:r w:rsidRPr="009E618D">
        <w:rPr>
          <w:sz w:val="20"/>
          <w:szCs w:val="20"/>
        </w:rPr>
        <w:t xml:space="preserve"> Dernburg to Paul Voith. December 31, 1907. Bundesarchiv Berlin Lichterfelde. Reichskolonialamt 120. 15.</w:t>
      </w:r>
    </w:p>
  </w:footnote>
  <w:footnote w:id="153">
    <w:p w14:paraId="197AD8C3" w14:textId="21F50D23" w:rsidR="00BF38B5" w:rsidRPr="000053AA" w:rsidRDefault="00BF38B5">
      <w:pPr>
        <w:pStyle w:val="FootnoteText"/>
        <w:rPr>
          <w:sz w:val="20"/>
          <w:szCs w:val="20"/>
        </w:rPr>
      </w:pPr>
      <w:r w:rsidRPr="000053AA">
        <w:rPr>
          <w:rStyle w:val="FootnoteReference"/>
          <w:sz w:val="20"/>
          <w:szCs w:val="20"/>
        </w:rPr>
        <w:footnoteRef/>
      </w:r>
      <w:r w:rsidRPr="000053AA">
        <w:rPr>
          <w:sz w:val="20"/>
          <w:szCs w:val="20"/>
        </w:rPr>
        <w:t xml:space="preserve"> Petition to Reichstag. Bundesarchiv Berlin Lichterfelde. Reichskolonialamt 120. 119.</w:t>
      </w:r>
    </w:p>
  </w:footnote>
  <w:footnote w:id="154">
    <w:p w14:paraId="4FD1CE8E" w14:textId="04273269" w:rsidR="00BF38B5" w:rsidRPr="00DA6262" w:rsidRDefault="00BF38B5">
      <w:pPr>
        <w:pStyle w:val="FootnoteText"/>
        <w:rPr>
          <w:sz w:val="20"/>
          <w:szCs w:val="20"/>
        </w:rPr>
      </w:pPr>
      <w:r w:rsidRPr="00DA6262">
        <w:rPr>
          <w:rStyle w:val="FootnoteReference"/>
          <w:sz w:val="20"/>
          <w:szCs w:val="20"/>
        </w:rPr>
        <w:footnoteRef/>
      </w:r>
      <w:r w:rsidRPr="00DA6262">
        <w:rPr>
          <w:sz w:val="20"/>
          <w:szCs w:val="20"/>
        </w:rPr>
        <w:t xml:space="preserve"> Iliffe. </w:t>
      </w:r>
      <w:r w:rsidRPr="00DA6262">
        <w:rPr>
          <w:i/>
          <w:sz w:val="20"/>
          <w:szCs w:val="20"/>
        </w:rPr>
        <w:t>Tanganyika under German Rule.</w:t>
      </w:r>
      <w:r w:rsidRPr="00DA6262">
        <w:rPr>
          <w:sz w:val="20"/>
          <w:szCs w:val="20"/>
        </w:rPr>
        <w:t xml:space="preserve"> 103. </w:t>
      </w:r>
    </w:p>
  </w:footnote>
  <w:footnote w:id="155">
    <w:p w14:paraId="0F66F46A" w14:textId="1003E7F8" w:rsidR="00BF38B5" w:rsidRDefault="00BF38B5">
      <w:pPr>
        <w:pStyle w:val="FootnoteText"/>
      </w:pPr>
      <w:r w:rsidRPr="00DA6262">
        <w:rPr>
          <w:rStyle w:val="FootnoteReference"/>
          <w:sz w:val="20"/>
          <w:szCs w:val="20"/>
        </w:rPr>
        <w:footnoteRef/>
      </w:r>
      <w:r w:rsidRPr="00DA6262">
        <w:rPr>
          <w:sz w:val="20"/>
          <w:szCs w:val="20"/>
        </w:rPr>
        <w:t xml:space="preserve"> Ibid. 106.</w:t>
      </w:r>
    </w:p>
  </w:footnote>
  <w:footnote w:id="156">
    <w:p w14:paraId="62707CB7" w14:textId="657CAAC4" w:rsidR="00BF38B5" w:rsidRPr="00FA181C" w:rsidRDefault="00BF38B5">
      <w:pPr>
        <w:pStyle w:val="FootnoteText"/>
        <w:rPr>
          <w:sz w:val="20"/>
          <w:szCs w:val="20"/>
        </w:rPr>
      </w:pPr>
      <w:r w:rsidRPr="00FA181C">
        <w:rPr>
          <w:rStyle w:val="FootnoteReference"/>
          <w:sz w:val="20"/>
          <w:szCs w:val="20"/>
        </w:rPr>
        <w:footnoteRef/>
      </w:r>
      <w:r w:rsidRPr="00FA181C">
        <w:rPr>
          <w:sz w:val="20"/>
          <w:szCs w:val="20"/>
        </w:rPr>
        <w:t xml:space="preserve"> Iliffe. </w:t>
      </w:r>
      <w:r w:rsidRPr="00FA181C">
        <w:rPr>
          <w:i/>
          <w:sz w:val="20"/>
          <w:szCs w:val="20"/>
        </w:rPr>
        <w:t>Tanganyika under German Rule.</w:t>
      </w:r>
      <w:r w:rsidRPr="00FA181C">
        <w:rPr>
          <w:sz w:val="20"/>
          <w:szCs w:val="20"/>
        </w:rPr>
        <w:t xml:space="preserve"> 112. </w:t>
      </w:r>
    </w:p>
  </w:footnote>
  <w:footnote w:id="157">
    <w:p w14:paraId="43A84C78" w14:textId="161398D1" w:rsidR="00BF38B5" w:rsidRPr="008131AF" w:rsidRDefault="00BF38B5" w:rsidP="0065145C">
      <w:pPr>
        <w:pStyle w:val="FootnoteText"/>
        <w:ind w:left="142" w:hanging="142"/>
        <w:rPr>
          <w:sz w:val="20"/>
          <w:szCs w:val="20"/>
        </w:rPr>
      </w:pPr>
      <w:r w:rsidRPr="008131AF">
        <w:rPr>
          <w:rStyle w:val="FootnoteReference"/>
          <w:sz w:val="20"/>
          <w:szCs w:val="20"/>
        </w:rPr>
        <w:footnoteRef/>
      </w:r>
      <w:r w:rsidRPr="008131AF">
        <w:rPr>
          <w:sz w:val="20"/>
          <w:szCs w:val="20"/>
        </w:rPr>
        <w:t xml:space="preserve"> Iliffe. </w:t>
      </w:r>
      <w:r w:rsidRPr="008131AF">
        <w:rPr>
          <w:i/>
          <w:sz w:val="20"/>
          <w:szCs w:val="20"/>
        </w:rPr>
        <w:t>Tanganyika under German Rule.</w:t>
      </w:r>
      <w:r w:rsidRPr="008131AF">
        <w:rPr>
          <w:sz w:val="20"/>
          <w:szCs w:val="20"/>
        </w:rPr>
        <w:t xml:space="preserve"> 201.</w:t>
      </w:r>
      <w:r>
        <w:rPr>
          <w:sz w:val="20"/>
          <w:szCs w:val="20"/>
        </w:rPr>
        <w:t xml:space="preserve"> </w:t>
      </w:r>
      <w:r w:rsidRPr="008131AF">
        <w:rPr>
          <w:sz w:val="20"/>
          <w:szCs w:val="20"/>
        </w:rPr>
        <w:t xml:space="preserve">Koponen. </w:t>
      </w:r>
      <w:r w:rsidRPr="008131AF">
        <w:rPr>
          <w:i/>
          <w:sz w:val="20"/>
          <w:szCs w:val="20"/>
        </w:rPr>
        <w:t>Development for Exploitation.</w:t>
      </w:r>
      <w:r w:rsidRPr="008131AF">
        <w:rPr>
          <w:sz w:val="20"/>
          <w:szCs w:val="20"/>
        </w:rPr>
        <w:t xml:space="preserve"> 250.</w:t>
      </w:r>
      <w:r>
        <w:rPr>
          <w:sz w:val="20"/>
          <w:szCs w:val="20"/>
        </w:rPr>
        <w:t xml:space="preserve"> </w:t>
      </w:r>
      <w:r w:rsidRPr="008131AF">
        <w:rPr>
          <w:sz w:val="20"/>
          <w:szCs w:val="20"/>
        </w:rPr>
        <w:t xml:space="preserve">Tetzlaff. </w:t>
      </w:r>
      <w:r w:rsidRPr="008131AF">
        <w:rPr>
          <w:i/>
          <w:sz w:val="20"/>
          <w:szCs w:val="20"/>
        </w:rPr>
        <w:t>Koloniale Entwicklung und Ausbeutung.</w:t>
      </w:r>
      <w:r w:rsidRPr="008131AF">
        <w:rPr>
          <w:sz w:val="20"/>
          <w:szCs w:val="20"/>
        </w:rPr>
        <w:t xml:space="preserve"> 289.</w:t>
      </w:r>
    </w:p>
  </w:footnote>
  <w:footnote w:id="158">
    <w:p w14:paraId="4AA849BC" w14:textId="45D20B3A" w:rsidR="00BF38B5" w:rsidRPr="008131AF" w:rsidRDefault="00BF38B5">
      <w:pPr>
        <w:pStyle w:val="FootnoteText"/>
      </w:pPr>
      <w:r w:rsidRPr="008131AF">
        <w:rPr>
          <w:rStyle w:val="FootnoteReference"/>
          <w:sz w:val="20"/>
          <w:szCs w:val="20"/>
        </w:rPr>
        <w:footnoteRef/>
      </w:r>
      <w:r w:rsidRPr="008131AF">
        <w:rPr>
          <w:sz w:val="20"/>
          <w:szCs w:val="20"/>
        </w:rPr>
        <w:t xml:space="preserve"> Iliffe. </w:t>
      </w:r>
      <w:r w:rsidRPr="008131AF">
        <w:rPr>
          <w:i/>
          <w:sz w:val="20"/>
          <w:szCs w:val="20"/>
        </w:rPr>
        <w:t>Tanganyika under German Rule.</w:t>
      </w:r>
      <w:r w:rsidRPr="008131AF">
        <w:rPr>
          <w:sz w:val="20"/>
          <w:szCs w:val="20"/>
        </w:rPr>
        <w:t xml:space="preserve"> 204.</w:t>
      </w:r>
    </w:p>
  </w:footnote>
  <w:footnote w:id="159">
    <w:p w14:paraId="34D6B528" w14:textId="12FFECF7" w:rsidR="00BF38B5" w:rsidRPr="0065145C" w:rsidRDefault="00BF38B5" w:rsidP="000C29E7">
      <w:pPr>
        <w:pStyle w:val="FootnoteText"/>
      </w:pPr>
      <w:r>
        <w:rPr>
          <w:rStyle w:val="FootnoteReference"/>
        </w:rPr>
        <w:footnoteRef/>
      </w:r>
      <w:r>
        <w:t xml:space="preserve"> Earlier academic historians include Townsend, Iliffe, and Bald, and more recently Gann &amp; Duignan, while a good modern day example can be seen in Thomas Pakenham’s </w:t>
      </w:r>
      <w:r>
        <w:rPr>
          <w:i/>
        </w:rPr>
        <w:t>the Scramble for Africa.</w:t>
      </w:r>
      <w:r>
        <w:t xml:space="preserve"> </w:t>
      </w:r>
    </w:p>
  </w:footnote>
  <w:footnote w:id="160">
    <w:p w14:paraId="7C8FA690" w14:textId="6EEB3CB2" w:rsidR="00BF38B5" w:rsidRDefault="00BF38B5">
      <w:pPr>
        <w:pStyle w:val="FootnoteText"/>
      </w:pPr>
      <w:r>
        <w:rPr>
          <w:rStyle w:val="FootnoteReference"/>
        </w:rPr>
        <w:footnoteRef/>
      </w:r>
      <w:r>
        <w:t xml:space="preserve"> See above works for examples.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B160E9" w14:textId="77777777" w:rsidR="00BF38B5" w:rsidRDefault="00BF38B5" w:rsidP="00B034BF">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8DFA024" w14:textId="77777777" w:rsidR="00BF38B5" w:rsidRDefault="00BF38B5" w:rsidP="00B034BF">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6C4093" w14:textId="77777777" w:rsidR="00BF38B5" w:rsidRDefault="00BF38B5" w:rsidP="00B034BF">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44F74">
      <w:rPr>
        <w:rStyle w:val="PageNumber"/>
        <w:noProof/>
      </w:rPr>
      <w:t>61</w:t>
    </w:r>
    <w:r>
      <w:rPr>
        <w:rStyle w:val="PageNumber"/>
      </w:rPr>
      <w:fldChar w:fldCharType="end"/>
    </w:r>
  </w:p>
  <w:p w14:paraId="7DF62642" w14:textId="77777777" w:rsidR="00BF38B5" w:rsidRDefault="00BF38B5" w:rsidP="00B034BF">
    <w:pPr>
      <w:pStyle w:val="Header"/>
      <w:ind w:right="360"/>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434C10"/>
    <w:multiLevelType w:val="hybridMultilevel"/>
    <w:tmpl w:val="555C01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2472"/>
    <w:rsid w:val="000053AA"/>
    <w:rsid w:val="000167F8"/>
    <w:rsid w:val="000168B8"/>
    <w:rsid w:val="00016FBD"/>
    <w:rsid w:val="000205FD"/>
    <w:rsid w:val="00025E75"/>
    <w:rsid w:val="00026518"/>
    <w:rsid w:val="00030199"/>
    <w:rsid w:val="000420A9"/>
    <w:rsid w:val="00053EC4"/>
    <w:rsid w:val="000554EF"/>
    <w:rsid w:val="00056126"/>
    <w:rsid w:val="000611D9"/>
    <w:rsid w:val="000612AB"/>
    <w:rsid w:val="00061306"/>
    <w:rsid w:val="000641D0"/>
    <w:rsid w:val="00066C93"/>
    <w:rsid w:val="00072C89"/>
    <w:rsid w:val="00081FE8"/>
    <w:rsid w:val="00093C1E"/>
    <w:rsid w:val="00094EDA"/>
    <w:rsid w:val="000960BF"/>
    <w:rsid w:val="000A3121"/>
    <w:rsid w:val="000A7D12"/>
    <w:rsid w:val="000B64E8"/>
    <w:rsid w:val="000C1089"/>
    <w:rsid w:val="000C29E7"/>
    <w:rsid w:val="000C30A0"/>
    <w:rsid w:val="000C5509"/>
    <w:rsid w:val="000E01FB"/>
    <w:rsid w:val="000E100C"/>
    <w:rsid w:val="000E4972"/>
    <w:rsid w:val="000E7A4C"/>
    <w:rsid w:val="000F40B3"/>
    <w:rsid w:val="000F4B71"/>
    <w:rsid w:val="00101585"/>
    <w:rsid w:val="00105BE0"/>
    <w:rsid w:val="001155E3"/>
    <w:rsid w:val="00117482"/>
    <w:rsid w:val="001238C8"/>
    <w:rsid w:val="001451DC"/>
    <w:rsid w:val="0015057F"/>
    <w:rsid w:val="00153678"/>
    <w:rsid w:val="00154A54"/>
    <w:rsid w:val="0015557E"/>
    <w:rsid w:val="0016617B"/>
    <w:rsid w:val="001862E7"/>
    <w:rsid w:val="0019053D"/>
    <w:rsid w:val="001967BF"/>
    <w:rsid w:val="001B305D"/>
    <w:rsid w:val="001B5504"/>
    <w:rsid w:val="001C05BF"/>
    <w:rsid w:val="001D228F"/>
    <w:rsid w:val="001E5305"/>
    <w:rsid w:val="001F5C06"/>
    <w:rsid w:val="001F5D02"/>
    <w:rsid w:val="00214FC2"/>
    <w:rsid w:val="00217300"/>
    <w:rsid w:val="002173D2"/>
    <w:rsid w:val="0022222B"/>
    <w:rsid w:val="002410D0"/>
    <w:rsid w:val="00244507"/>
    <w:rsid w:val="002513EF"/>
    <w:rsid w:val="00273403"/>
    <w:rsid w:val="002777DF"/>
    <w:rsid w:val="002864BA"/>
    <w:rsid w:val="00292368"/>
    <w:rsid w:val="00297249"/>
    <w:rsid w:val="002A0174"/>
    <w:rsid w:val="002A3EB6"/>
    <w:rsid w:val="002D097B"/>
    <w:rsid w:val="002D5623"/>
    <w:rsid w:val="002D5DCF"/>
    <w:rsid w:val="002D76C8"/>
    <w:rsid w:val="002E61BE"/>
    <w:rsid w:val="002F1210"/>
    <w:rsid w:val="002F7834"/>
    <w:rsid w:val="0031118F"/>
    <w:rsid w:val="00314F61"/>
    <w:rsid w:val="00322272"/>
    <w:rsid w:val="00333E3B"/>
    <w:rsid w:val="003661E7"/>
    <w:rsid w:val="00367D0B"/>
    <w:rsid w:val="00383612"/>
    <w:rsid w:val="00392AC7"/>
    <w:rsid w:val="00394184"/>
    <w:rsid w:val="003955D5"/>
    <w:rsid w:val="003A27E6"/>
    <w:rsid w:val="003B1F00"/>
    <w:rsid w:val="003C7310"/>
    <w:rsid w:val="003C77FA"/>
    <w:rsid w:val="003D19C7"/>
    <w:rsid w:val="003D5DA3"/>
    <w:rsid w:val="003E3A10"/>
    <w:rsid w:val="0040002A"/>
    <w:rsid w:val="00406FBF"/>
    <w:rsid w:val="00423464"/>
    <w:rsid w:val="00441BF4"/>
    <w:rsid w:val="00441E8E"/>
    <w:rsid w:val="00444980"/>
    <w:rsid w:val="00447564"/>
    <w:rsid w:val="0046464A"/>
    <w:rsid w:val="004762CC"/>
    <w:rsid w:val="0048722F"/>
    <w:rsid w:val="00490DD5"/>
    <w:rsid w:val="004914C5"/>
    <w:rsid w:val="00491E0D"/>
    <w:rsid w:val="004A154F"/>
    <w:rsid w:val="004A7676"/>
    <w:rsid w:val="004C1353"/>
    <w:rsid w:val="004C1DCE"/>
    <w:rsid w:val="004C25AF"/>
    <w:rsid w:val="004C4CC7"/>
    <w:rsid w:val="004C6610"/>
    <w:rsid w:val="004D0030"/>
    <w:rsid w:val="004E22F3"/>
    <w:rsid w:val="004E56BC"/>
    <w:rsid w:val="004F1E93"/>
    <w:rsid w:val="0050009F"/>
    <w:rsid w:val="00502C24"/>
    <w:rsid w:val="00512458"/>
    <w:rsid w:val="0051683F"/>
    <w:rsid w:val="00516ADF"/>
    <w:rsid w:val="00521E75"/>
    <w:rsid w:val="005229B1"/>
    <w:rsid w:val="005309AE"/>
    <w:rsid w:val="00536BCF"/>
    <w:rsid w:val="005444BF"/>
    <w:rsid w:val="00544F74"/>
    <w:rsid w:val="005454DF"/>
    <w:rsid w:val="00567A5A"/>
    <w:rsid w:val="00572331"/>
    <w:rsid w:val="00573DDD"/>
    <w:rsid w:val="00581E48"/>
    <w:rsid w:val="00590154"/>
    <w:rsid w:val="005918BE"/>
    <w:rsid w:val="0059236D"/>
    <w:rsid w:val="005A4233"/>
    <w:rsid w:val="005B47D3"/>
    <w:rsid w:val="005C0D22"/>
    <w:rsid w:val="005C4B76"/>
    <w:rsid w:val="005C64D5"/>
    <w:rsid w:val="005D709A"/>
    <w:rsid w:val="005E3D73"/>
    <w:rsid w:val="005E5454"/>
    <w:rsid w:val="005F6DF0"/>
    <w:rsid w:val="006040A9"/>
    <w:rsid w:val="00620695"/>
    <w:rsid w:val="0062366D"/>
    <w:rsid w:val="00624967"/>
    <w:rsid w:val="00626D6A"/>
    <w:rsid w:val="0063001D"/>
    <w:rsid w:val="00631126"/>
    <w:rsid w:val="00631A10"/>
    <w:rsid w:val="006375A8"/>
    <w:rsid w:val="006466F6"/>
    <w:rsid w:val="0065145C"/>
    <w:rsid w:val="00655A91"/>
    <w:rsid w:val="00657F71"/>
    <w:rsid w:val="0066024B"/>
    <w:rsid w:val="006630A5"/>
    <w:rsid w:val="006667C2"/>
    <w:rsid w:val="006672BE"/>
    <w:rsid w:val="0067769F"/>
    <w:rsid w:val="00677FF6"/>
    <w:rsid w:val="00681ECB"/>
    <w:rsid w:val="00683639"/>
    <w:rsid w:val="00690395"/>
    <w:rsid w:val="00692169"/>
    <w:rsid w:val="00692F73"/>
    <w:rsid w:val="006A3C91"/>
    <w:rsid w:val="006B1381"/>
    <w:rsid w:val="006D3852"/>
    <w:rsid w:val="006D796B"/>
    <w:rsid w:val="00703BE1"/>
    <w:rsid w:val="0071203C"/>
    <w:rsid w:val="00713175"/>
    <w:rsid w:val="0071653C"/>
    <w:rsid w:val="0073071D"/>
    <w:rsid w:val="00732261"/>
    <w:rsid w:val="00733ADC"/>
    <w:rsid w:val="00747329"/>
    <w:rsid w:val="00751C53"/>
    <w:rsid w:val="0075725E"/>
    <w:rsid w:val="007679DD"/>
    <w:rsid w:val="00793A3D"/>
    <w:rsid w:val="007A160D"/>
    <w:rsid w:val="007A4CDA"/>
    <w:rsid w:val="007B01FC"/>
    <w:rsid w:val="007B6267"/>
    <w:rsid w:val="007D4FAA"/>
    <w:rsid w:val="007D7459"/>
    <w:rsid w:val="007E422C"/>
    <w:rsid w:val="007F0D3D"/>
    <w:rsid w:val="00805BEB"/>
    <w:rsid w:val="0081166D"/>
    <w:rsid w:val="008131AF"/>
    <w:rsid w:val="008133D0"/>
    <w:rsid w:val="008173A1"/>
    <w:rsid w:val="00841E87"/>
    <w:rsid w:val="0085053E"/>
    <w:rsid w:val="0085681B"/>
    <w:rsid w:val="00871BDC"/>
    <w:rsid w:val="00872429"/>
    <w:rsid w:val="008B3D1F"/>
    <w:rsid w:val="008B57CB"/>
    <w:rsid w:val="008C60AD"/>
    <w:rsid w:val="008D33FE"/>
    <w:rsid w:val="008E1906"/>
    <w:rsid w:val="008F4D6C"/>
    <w:rsid w:val="00914021"/>
    <w:rsid w:val="00924D40"/>
    <w:rsid w:val="009254E1"/>
    <w:rsid w:val="0092726F"/>
    <w:rsid w:val="0093776E"/>
    <w:rsid w:val="009476E0"/>
    <w:rsid w:val="0095128B"/>
    <w:rsid w:val="00953D76"/>
    <w:rsid w:val="0096292F"/>
    <w:rsid w:val="00962ADB"/>
    <w:rsid w:val="00971BDA"/>
    <w:rsid w:val="00975E02"/>
    <w:rsid w:val="009A4F05"/>
    <w:rsid w:val="009B012D"/>
    <w:rsid w:val="009C6049"/>
    <w:rsid w:val="009D0FB5"/>
    <w:rsid w:val="009E618D"/>
    <w:rsid w:val="00A018AA"/>
    <w:rsid w:val="00A01FE3"/>
    <w:rsid w:val="00A02421"/>
    <w:rsid w:val="00A04F3B"/>
    <w:rsid w:val="00A16B65"/>
    <w:rsid w:val="00A2150A"/>
    <w:rsid w:val="00A21FDE"/>
    <w:rsid w:val="00A231AA"/>
    <w:rsid w:val="00A32723"/>
    <w:rsid w:val="00A3747F"/>
    <w:rsid w:val="00A43A38"/>
    <w:rsid w:val="00A6682C"/>
    <w:rsid w:val="00A67B48"/>
    <w:rsid w:val="00A71F6F"/>
    <w:rsid w:val="00A72C9C"/>
    <w:rsid w:val="00A819A5"/>
    <w:rsid w:val="00A90262"/>
    <w:rsid w:val="00A93791"/>
    <w:rsid w:val="00AA0F9A"/>
    <w:rsid w:val="00AA69F6"/>
    <w:rsid w:val="00AB1FF4"/>
    <w:rsid w:val="00AB7742"/>
    <w:rsid w:val="00AC3290"/>
    <w:rsid w:val="00AC5129"/>
    <w:rsid w:val="00AF1A3B"/>
    <w:rsid w:val="00B02A03"/>
    <w:rsid w:val="00B034BF"/>
    <w:rsid w:val="00B03F2A"/>
    <w:rsid w:val="00B04E86"/>
    <w:rsid w:val="00B11A54"/>
    <w:rsid w:val="00B12472"/>
    <w:rsid w:val="00B12BF4"/>
    <w:rsid w:val="00B12DA3"/>
    <w:rsid w:val="00B14954"/>
    <w:rsid w:val="00B15DBF"/>
    <w:rsid w:val="00B1634B"/>
    <w:rsid w:val="00B17EEF"/>
    <w:rsid w:val="00B468B9"/>
    <w:rsid w:val="00B74EA0"/>
    <w:rsid w:val="00B845AB"/>
    <w:rsid w:val="00BA1199"/>
    <w:rsid w:val="00BB76D4"/>
    <w:rsid w:val="00BC1DB8"/>
    <w:rsid w:val="00BD12A8"/>
    <w:rsid w:val="00BD16B6"/>
    <w:rsid w:val="00BE362F"/>
    <w:rsid w:val="00BF38B5"/>
    <w:rsid w:val="00BF45FA"/>
    <w:rsid w:val="00C0675B"/>
    <w:rsid w:val="00C11A06"/>
    <w:rsid w:val="00C12830"/>
    <w:rsid w:val="00C1370B"/>
    <w:rsid w:val="00C140CF"/>
    <w:rsid w:val="00C14D4F"/>
    <w:rsid w:val="00C4407E"/>
    <w:rsid w:val="00C60557"/>
    <w:rsid w:val="00C6384E"/>
    <w:rsid w:val="00C72E46"/>
    <w:rsid w:val="00C87B36"/>
    <w:rsid w:val="00C92F04"/>
    <w:rsid w:val="00C942F8"/>
    <w:rsid w:val="00C97D68"/>
    <w:rsid w:val="00CB18FD"/>
    <w:rsid w:val="00CB7F5B"/>
    <w:rsid w:val="00CC1E7E"/>
    <w:rsid w:val="00CD2667"/>
    <w:rsid w:val="00CD7259"/>
    <w:rsid w:val="00CE1AAE"/>
    <w:rsid w:val="00CE203B"/>
    <w:rsid w:val="00D073B2"/>
    <w:rsid w:val="00D3423C"/>
    <w:rsid w:val="00D51EC5"/>
    <w:rsid w:val="00D54CDD"/>
    <w:rsid w:val="00D57C26"/>
    <w:rsid w:val="00D6175D"/>
    <w:rsid w:val="00D61C07"/>
    <w:rsid w:val="00D64204"/>
    <w:rsid w:val="00D73A2B"/>
    <w:rsid w:val="00D82C2F"/>
    <w:rsid w:val="00D841FE"/>
    <w:rsid w:val="00D960F0"/>
    <w:rsid w:val="00DA6262"/>
    <w:rsid w:val="00DB48DC"/>
    <w:rsid w:val="00DC3F4C"/>
    <w:rsid w:val="00DC53F7"/>
    <w:rsid w:val="00DD122B"/>
    <w:rsid w:val="00DD2359"/>
    <w:rsid w:val="00DE715E"/>
    <w:rsid w:val="00DE72CA"/>
    <w:rsid w:val="00DF1BB0"/>
    <w:rsid w:val="00E22C66"/>
    <w:rsid w:val="00E255DD"/>
    <w:rsid w:val="00E316FC"/>
    <w:rsid w:val="00E33DD4"/>
    <w:rsid w:val="00E53FB7"/>
    <w:rsid w:val="00E815E1"/>
    <w:rsid w:val="00E9184A"/>
    <w:rsid w:val="00EA491E"/>
    <w:rsid w:val="00EB22F4"/>
    <w:rsid w:val="00EE4192"/>
    <w:rsid w:val="00EF455B"/>
    <w:rsid w:val="00F00CFB"/>
    <w:rsid w:val="00F01D50"/>
    <w:rsid w:val="00F03547"/>
    <w:rsid w:val="00F0629E"/>
    <w:rsid w:val="00F107CD"/>
    <w:rsid w:val="00F122F0"/>
    <w:rsid w:val="00F25270"/>
    <w:rsid w:val="00F34E4C"/>
    <w:rsid w:val="00F517B1"/>
    <w:rsid w:val="00F66177"/>
    <w:rsid w:val="00F71806"/>
    <w:rsid w:val="00F83544"/>
    <w:rsid w:val="00F94BB2"/>
    <w:rsid w:val="00FA181C"/>
    <w:rsid w:val="00FA280C"/>
    <w:rsid w:val="00FA51F8"/>
    <w:rsid w:val="00FA7C8B"/>
    <w:rsid w:val="00FB09FA"/>
    <w:rsid w:val="00FB7D95"/>
    <w:rsid w:val="00FC4D11"/>
    <w:rsid w:val="00FE02E3"/>
    <w:rsid w:val="00FE295F"/>
    <w:rsid w:val="00FF585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EC42BE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12472"/>
    <w:pPr>
      <w:ind w:left="720"/>
      <w:contextualSpacing/>
    </w:pPr>
  </w:style>
  <w:style w:type="paragraph" w:styleId="Header">
    <w:name w:val="header"/>
    <w:basedOn w:val="Normal"/>
    <w:link w:val="HeaderChar"/>
    <w:uiPriority w:val="99"/>
    <w:unhideWhenUsed/>
    <w:rsid w:val="00B034BF"/>
    <w:pPr>
      <w:tabs>
        <w:tab w:val="center" w:pos="4320"/>
        <w:tab w:val="right" w:pos="8640"/>
      </w:tabs>
    </w:pPr>
  </w:style>
  <w:style w:type="character" w:customStyle="1" w:styleId="HeaderChar">
    <w:name w:val="Header Char"/>
    <w:basedOn w:val="DefaultParagraphFont"/>
    <w:link w:val="Header"/>
    <w:uiPriority w:val="99"/>
    <w:rsid w:val="00B034BF"/>
  </w:style>
  <w:style w:type="paragraph" w:styleId="Footer">
    <w:name w:val="footer"/>
    <w:basedOn w:val="Normal"/>
    <w:link w:val="FooterChar"/>
    <w:uiPriority w:val="99"/>
    <w:unhideWhenUsed/>
    <w:rsid w:val="00B034BF"/>
    <w:pPr>
      <w:tabs>
        <w:tab w:val="center" w:pos="4320"/>
        <w:tab w:val="right" w:pos="8640"/>
      </w:tabs>
    </w:pPr>
  </w:style>
  <w:style w:type="character" w:customStyle="1" w:styleId="FooterChar">
    <w:name w:val="Footer Char"/>
    <w:basedOn w:val="DefaultParagraphFont"/>
    <w:link w:val="Footer"/>
    <w:uiPriority w:val="99"/>
    <w:rsid w:val="00B034BF"/>
  </w:style>
  <w:style w:type="character" w:styleId="PageNumber">
    <w:name w:val="page number"/>
    <w:basedOn w:val="DefaultParagraphFont"/>
    <w:uiPriority w:val="99"/>
    <w:semiHidden/>
    <w:unhideWhenUsed/>
    <w:rsid w:val="00B034BF"/>
  </w:style>
  <w:style w:type="paragraph" w:styleId="FootnoteText">
    <w:name w:val="footnote text"/>
    <w:basedOn w:val="Normal"/>
    <w:link w:val="FootnoteTextChar"/>
    <w:uiPriority w:val="99"/>
    <w:unhideWhenUsed/>
    <w:rsid w:val="00E33DD4"/>
  </w:style>
  <w:style w:type="character" w:customStyle="1" w:styleId="FootnoteTextChar">
    <w:name w:val="Footnote Text Char"/>
    <w:basedOn w:val="DefaultParagraphFont"/>
    <w:link w:val="FootnoteText"/>
    <w:uiPriority w:val="99"/>
    <w:rsid w:val="00E33DD4"/>
  </w:style>
  <w:style w:type="character" w:styleId="FootnoteReference">
    <w:name w:val="footnote reference"/>
    <w:basedOn w:val="DefaultParagraphFont"/>
    <w:uiPriority w:val="99"/>
    <w:unhideWhenUsed/>
    <w:rsid w:val="00E33DD4"/>
    <w:rPr>
      <w:vertAlign w:val="superscript"/>
    </w:rPr>
  </w:style>
  <w:style w:type="character" w:styleId="Hyperlink">
    <w:name w:val="Hyperlink"/>
    <w:basedOn w:val="DefaultParagraphFont"/>
    <w:uiPriority w:val="99"/>
    <w:unhideWhenUsed/>
    <w:rsid w:val="00A21FDE"/>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12472"/>
    <w:pPr>
      <w:ind w:left="720"/>
      <w:contextualSpacing/>
    </w:pPr>
  </w:style>
  <w:style w:type="paragraph" w:styleId="Header">
    <w:name w:val="header"/>
    <w:basedOn w:val="Normal"/>
    <w:link w:val="HeaderChar"/>
    <w:uiPriority w:val="99"/>
    <w:unhideWhenUsed/>
    <w:rsid w:val="00B034BF"/>
    <w:pPr>
      <w:tabs>
        <w:tab w:val="center" w:pos="4320"/>
        <w:tab w:val="right" w:pos="8640"/>
      </w:tabs>
    </w:pPr>
  </w:style>
  <w:style w:type="character" w:customStyle="1" w:styleId="HeaderChar">
    <w:name w:val="Header Char"/>
    <w:basedOn w:val="DefaultParagraphFont"/>
    <w:link w:val="Header"/>
    <w:uiPriority w:val="99"/>
    <w:rsid w:val="00B034BF"/>
  </w:style>
  <w:style w:type="paragraph" w:styleId="Footer">
    <w:name w:val="footer"/>
    <w:basedOn w:val="Normal"/>
    <w:link w:val="FooterChar"/>
    <w:uiPriority w:val="99"/>
    <w:unhideWhenUsed/>
    <w:rsid w:val="00B034BF"/>
    <w:pPr>
      <w:tabs>
        <w:tab w:val="center" w:pos="4320"/>
        <w:tab w:val="right" w:pos="8640"/>
      </w:tabs>
    </w:pPr>
  </w:style>
  <w:style w:type="character" w:customStyle="1" w:styleId="FooterChar">
    <w:name w:val="Footer Char"/>
    <w:basedOn w:val="DefaultParagraphFont"/>
    <w:link w:val="Footer"/>
    <w:uiPriority w:val="99"/>
    <w:rsid w:val="00B034BF"/>
  </w:style>
  <w:style w:type="character" w:styleId="PageNumber">
    <w:name w:val="page number"/>
    <w:basedOn w:val="DefaultParagraphFont"/>
    <w:uiPriority w:val="99"/>
    <w:semiHidden/>
    <w:unhideWhenUsed/>
    <w:rsid w:val="00B034BF"/>
  </w:style>
  <w:style w:type="paragraph" w:styleId="FootnoteText">
    <w:name w:val="footnote text"/>
    <w:basedOn w:val="Normal"/>
    <w:link w:val="FootnoteTextChar"/>
    <w:uiPriority w:val="99"/>
    <w:unhideWhenUsed/>
    <w:rsid w:val="00E33DD4"/>
  </w:style>
  <w:style w:type="character" w:customStyle="1" w:styleId="FootnoteTextChar">
    <w:name w:val="Footnote Text Char"/>
    <w:basedOn w:val="DefaultParagraphFont"/>
    <w:link w:val="FootnoteText"/>
    <w:uiPriority w:val="99"/>
    <w:rsid w:val="00E33DD4"/>
  </w:style>
  <w:style w:type="character" w:styleId="FootnoteReference">
    <w:name w:val="footnote reference"/>
    <w:basedOn w:val="DefaultParagraphFont"/>
    <w:uiPriority w:val="99"/>
    <w:unhideWhenUsed/>
    <w:rsid w:val="00E33DD4"/>
    <w:rPr>
      <w:vertAlign w:val="superscript"/>
    </w:rPr>
  </w:style>
  <w:style w:type="character" w:styleId="Hyperlink">
    <w:name w:val="Hyperlink"/>
    <w:basedOn w:val="DefaultParagraphFont"/>
    <w:uiPriority w:val="99"/>
    <w:unhideWhenUsed/>
    <w:rsid w:val="00A21FD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aylor.Baljon@Gmail.com"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61</Pages>
  <Words>22608</Words>
  <Characters>124350</Characters>
  <Application>Microsoft Office Word</Application>
  <DocSecurity>4</DocSecurity>
  <Lines>1036</Lines>
  <Paragraphs>293</Paragraphs>
  <ScaleCrop>false</ScaleCrop>
  <HeadingPairs>
    <vt:vector size="2" baseType="variant">
      <vt:variant>
        <vt:lpstr>Title</vt:lpstr>
      </vt:variant>
      <vt:variant>
        <vt:i4>1</vt:i4>
      </vt:variant>
    </vt:vector>
  </HeadingPairs>
  <TitlesOfParts>
    <vt:vector size="1" baseType="lpstr">
      <vt:lpstr/>
    </vt:vector>
  </TitlesOfParts>
  <Company>Erasmus Universiteit</Company>
  <LinksUpToDate>false</LinksUpToDate>
  <CharactersWithSpaces>146665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Taylor  Baljon</dc:creator>
  <cp:lastModifiedBy>Marian Lefeber</cp:lastModifiedBy>
  <cp:revision>2</cp:revision>
  <dcterms:created xsi:type="dcterms:W3CDTF">2012-10-19T14:03:00Z</dcterms:created>
  <dcterms:modified xsi:type="dcterms:W3CDTF">2012-10-19T14:03:00Z</dcterms:modified>
</cp:coreProperties>
</file>