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275" w:rsidRDefault="00194275" w:rsidP="001C01AE">
      <w:pPr>
        <w:pStyle w:val="Heading1"/>
        <w:jc w:val="both"/>
        <w:rPr>
          <w:lang w:val="en-US"/>
        </w:rPr>
      </w:pPr>
      <w:bookmarkStart w:id="0" w:name="_GoBack"/>
      <w:bookmarkEnd w:id="0"/>
    </w:p>
    <w:p w:rsidR="00194275" w:rsidRPr="00F538F2" w:rsidRDefault="00194275" w:rsidP="00681F6F">
      <w:pPr>
        <w:jc w:val="both"/>
        <w:rPr>
          <w:rFonts w:ascii="Times" w:hAnsi="Times" w:cs="Times"/>
          <w:sz w:val="46"/>
          <w:szCs w:val="46"/>
          <w:lang w:val="en-GB"/>
        </w:rPr>
      </w:pPr>
      <w:r w:rsidRPr="00F538F2">
        <w:rPr>
          <w:rFonts w:ascii="Times" w:hAnsi="Times" w:cs="Times"/>
          <w:sz w:val="46"/>
          <w:szCs w:val="46"/>
          <w:lang w:val="en-GB"/>
        </w:rPr>
        <w:t>Do announcements by credit rating agencies affect the sentiment of individual investors?</w:t>
      </w:r>
    </w:p>
    <w:p w:rsidR="00194275" w:rsidRDefault="00194275" w:rsidP="001C01AE">
      <w:pPr>
        <w:jc w:val="both"/>
        <w:rPr>
          <w:rFonts w:asciiTheme="majorHAnsi" w:hAnsiTheme="majorHAnsi"/>
          <w:b/>
          <w:caps/>
          <w:lang w:val="en-US"/>
        </w:rPr>
      </w:pPr>
    </w:p>
    <w:p w:rsidR="00194275" w:rsidRDefault="00AE7507" w:rsidP="001C01AE">
      <w:pPr>
        <w:jc w:val="both"/>
        <w:rPr>
          <w:bCs/>
          <w:caps/>
          <w:lang w:val="en-US"/>
        </w:rPr>
      </w:pPr>
      <w:r>
        <w:rPr>
          <w:bCs/>
          <w:caps/>
          <w:lang w:val="en-US"/>
        </w:rPr>
        <w:t xml:space="preserve"> </w:t>
      </w: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p>
    <w:p w:rsidR="00194275" w:rsidRDefault="00194275" w:rsidP="001C01AE">
      <w:pPr>
        <w:jc w:val="both"/>
        <w:rPr>
          <w:bCs/>
          <w:caps/>
          <w:lang w:val="en-US"/>
        </w:rPr>
      </w:pPr>
      <w:r>
        <w:rPr>
          <w:bCs/>
          <w:caps/>
          <w:lang w:val="en-US"/>
        </w:rPr>
        <w:t>erasmus university rotterdam</w:t>
      </w:r>
    </w:p>
    <w:p w:rsidR="00194275" w:rsidRDefault="00194275" w:rsidP="001C01AE">
      <w:pPr>
        <w:jc w:val="both"/>
        <w:rPr>
          <w:rFonts w:asciiTheme="majorHAnsi" w:hAnsiTheme="majorHAnsi"/>
          <w:b/>
          <w:bCs/>
          <w:lang w:val="en-US"/>
        </w:rPr>
      </w:pPr>
      <w:r>
        <w:rPr>
          <w:rFonts w:asciiTheme="majorHAnsi" w:hAnsiTheme="majorHAnsi"/>
          <w:b/>
          <w:bCs/>
          <w:lang w:val="en-US"/>
        </w:rPr>
        <w:t>Faculty:</w:t>
      </w:r>
      <w:r>
        <w:rPr>
          <w:rFonts w:asciiTheme="majorHAnsi" w:hAnsiTheme="majorHAnsi"/>
          <w:b/>
          <w:bCs/>
          <w:lang w:val="en-US"/>
        </w:rPr>
        <w:tab/>
        <w:t xml:space="preserve">Behavioral Economics </w:t>
      </w:r>
    </w:p>
    <w:p w:rsidR="00194275" w:rsidRDefault="00194275" w:rsidP="001C01AE">
      <w:pPr>
        <w:jc w:val="both"/>
        <w:rPr>
          <w:rFonts w:asciiTheme="majorHAnsi" w:hAnsiTheme="majorHAnsi"/>
          <w:b/>
          <w:bCs/>
          <w:lang w:val="en-US"/>
        </w:rPr>
      </w:pPr>
      <w:r>
        <w:rPr>
          <w:rFonts w:asciiTheme="majorHAnsi" w:hAnsiTheme="majorHAnsi"/>
          <w:b/>
          <w:bCs/>
          <w:lang w:val="en-US"/>
        </w:rPr>
        <w:t>Master:</w:t>
      </w:r>
      <w:r>
        <w:rPr>
          <w:rFonts w:asciiTheme="majorHAnsi" w:hAnsiTheme="majorHAnsi"/>
          <w:b/>
          <w:bCs/>
          <w:lang w:val="en-US"/>
        </w:rPr>
        <w:tab/>
        <w:t>Financial Economics</w:t>
      </w:r>
    </w:p>
    <w:p w:rsidR="00194275" w:rsidRDefault="00194275" w:rsidP="001C01AE">
      <w:pPr>
        <w:jc w:val="both"/>
        <w:rPr>
          <w:rFonts w:asciiTheme="majorHAnsi" w:hAnsiTheme="majorHAnsi"/>
          <w:b/>
          <w:bCs/>
          <w:lang w:val="en-US"/>
        </w:rPr>
      </w:pPr>
      <w:r>
        <w:rPr>
          <w:rFonts w:asciiTheme="majorHAnsi" w:hAnsiTheme="majorHAnsi"/>
          <w:b/>
          <w:bCs/>
          <w:lang w:val="en-US"/>
        </w:rPr>
        <w:t xml:space="preserve">Author: </w:t>
      </w:r>
      <w:r>
        <w:rPr>
          <w:rFonts w:asciiTheme="majorHAnsi" w:hAnsiTheme="majorHAnsi"/>
          <w:b/>
          <w:bCs/>
          <w:lang w:val="en-US"/>
        </w:rPr>
        <w:tab/>
        <w:t>Ewoud van Leeuwen</w:t>
      </w:r>
    </w:p>
    <w:p w:rsidR="00194275" w:rsidRDefault="00194275" w:rsidP="001C01AE">
      <w:pPr>
        <w:jc w:val="both"/>
        <w:rPr>
          <w:rFonts w:asciiTheme="majorHAnsi" w:hAnsiTheme="majorHAnsi"/>
          <w:b/>
          <w:bCs/>
          <w:lang w:val="en-US"/>
        </w:rPr>
      </w:pPr>
      <w:r>
        <w:rPr>
          <w:rFonts w:asciiTheme="majorHAnsi" w:hAnsiTheme="majorHAnsi"/>
          <w:b/>
          <w:bCs/>
          <w:lang w:val="en-US"/>
        </w:rPr>
        <w:t xml:space="preserve">Supervisor: </w:t>
      </w:r>
      <w:r>
        <w:rPr>
          <w:rFonts w:asciiTheme="majorHAnsi" w:hAnsiTheme="majorHAnsi"/>
          <w:b/>
          <w:bCs/>
          <w:lang w:val="en-US"/>
        </w:rPr>
        <w:tab/>
        <w:t>Saskia ter Ellen</w:t>
      </w:r>
    </w:p>
    <w:p w:rsidR="00194275" w:rsidRDefault="00194275" w:rsidP="001C01AE">
      <w:pPr>
        <w:jc w:val="both"/>
        <w:rPr>
          <w:rFonts w:asciiTheme="majorHAnsi" w:hAnsiTheme="majorHAnsi"/>
          <w:b/>
          <w:bCs/>
          <w:lang w:val="en-US"/>
        </w:rPr>
      </w:pPr>
      <w:r>
        <w:rPr>
          <w:rFonts w:asciiTheme="majorHAnsi" w:hAnsiTheme="majorHAnsi"/>
          <w:b/>
          <w:bCs/>
          <w:lang w:val="en-US"/>
        </w:rPr>
        <w:t xml:space="preserve">Student nr: </w:t>
      </w:r>
      <w:r>
        <w:rPr>
          <w:rFonts w:asciiTheme="majorHAnsi" w:hAnsiTheme="majorHAnsi"/>
          <w:b/>
          <w:bCs/>
          <w:lang w:val="en-US"/>
        </w:rPr>
        <w:tab/>
        <w:t>305092</w:t>
      </w:r>
    </w:p>
    <w:p w:rsidR="00194275" w:rsidRDefault="00194275" w:rsidP="001C01AE">
      <w:pPr>
        <w:jc w:val="both"/>
        <w:rPr>
          <w:rFonts w:asciiTheme="majorHAnsi" w:hAnsiTheme="majorHAnsi"/>
          <w:b/>
          <w:bCs/>
          <w:lang w:val="en-US"/>
        </w:rPr>
      </w:pPr>
    </w:p>
    <w:p w:rsidR="00194275" w:rsidRDefault="00194275" w:rsidP="001C01AE">
      <w:pPr>
        <w:jc w:val="both"/>
        <w:rPr>
          <w:rFonts w:asciiTheme="majorHAnsi" w:hAnsiTheme="majorHAnsi"/>
          <w:b/>
          <w:bCs/>
          <w:lang w:val="en-US"/>
        </w:rPr>
      </w:pPr>
    </w:p>
    <w:p w:rsidR="00194275" w:rsidRDefault="00194275" w:rsidP="00227553">
      <w:pPr>
        <w:rPr>
          <w:rFonts w:asciiTheme="majorHAnsi" w:hAnsiTheme="majorHAnsi"/>
          <w:b/>
          <w:lang w:val="en-US"/>
        </w:rPr>
      </w:pPr>
      <w:r w:rsidRPr="00194275">
        <w:rPr>
          <w:lang w:val="en-US"/>
        </w:rPr>
        <w:t xml:space="preserve">Key words: </w:t>
      </w:r>
      <w:r w:rsidR="00227553">
        <w:rPr>
          <w:lang w:val="en-US"/>
        </w:rPr>
        <w:t>investor sentiment, credit rating agencies</w:t>
      </w:r>
      <w:r w:rsidR="005D4B98">
        <w:rPr>
          <w:lang w:val="en-US"/>
        </w:rPr>
        <w:t>, event study</w:t>
      </w:r>
      <w:r w:rsidR="00227553">
        <w:rPr>
          <w:lang w:val="en-US"/>
        </w:rPr>
        <w:t xml:space="preserve"> and financial crisis. </w:t>
      </w:r>
      <w:r>
        <w:rPr>
          <w:rFonts w:asciiTheme="majorHAnsi" w:hAnsiTheme="majorHAnsi"/>
          <w:b/>
          <w:lang w:val="en-US"/>
        </w:rPr>
        <w:br w:type="page"/>
      </w:r>
    </w:p>
    <w:p w:rsidR="00194275" w:rsidRDefault="00194275" w:rsidP="001C01AE">
      <w:pPr>
        <w:pStyle w:val="TOC1"/>
        <w:tabs>
          <w:tab w:val="right" w:pos="8290"/>
        </w:tabs>
        <w:jc w:val="both"/>
        <w:rPr>
          <w:bCs/>
          <w:caps w:val="0"/>
          <w:lang w:val="en-US"/>
        </w:rPr>
      </w:pPr>
      <w:r>
        <w:rPr>
          <w:bCs/>
          <w:caps w:val="0"/>
          <w:lang w:val="en-US"/>
        </w:rPr>
        <w:lastRenderedPageBreak/>
        <w:t>Abstract:</w:t>
      </w:r>
    </w:p>
    <w:p w:rsidR="006D6551" w:rsidRDefault="006D6551" w:rsidP="001C01AE">
      <w:pPr>
        <w:jc w:val="both"/>
      </w:pPr>
    </w:p>
    <w:p w:rsidR="007B0E25" w:rsidRPr="007B0E25" w:rsidRDefault="008D7D09" w:rsidP="007B0E25">
      <w:pPr>
        <w:spacing w:line="360" w:lineRule="auto"/>
        <w:jc w:val="both"/>
      </w:pPr>
      <w:r>
        <w:t>This</w:t>
      </w:r>
      <w:r w:rsidR="005C74DE">
        <w:t xml:space="preserve"> paper investigates a</w:t>
      </w:r>
      <w:r>
        <w:t xml:space="preserve"> relationship between credit rating agencies and investor sentiment. This paper researches whether investor sentiment changes upon an announcement by a credit rating agency on the sovereign credit worthiness. </w:t>
      </w:r>
      <w:r w:rsidR="005C74DE">
        <w:t xml:space="preserve">We make use of a dataset that was provided by one of the major Dutch banks, which gives us insight on the sentiment of preferred investors. Maximum – minimum spread, skewness and </w:t>
      </w:r>
      <w:r w:rsidR="00C366E8">
        <w:t>cross sectional dispersion</w:t>
      </w:r>
      <w:r w:rsidR="005C74DE">
        <w:t xml:space="preserve"> in the expectations on the AEX are used as proxies for investor sentiment. The data of the three major credit rating agencies are used: Fitch, Moody’s and Standard&amp;Poors. </w:t>
      </w:r>
      <w:r w:rsidR="007B0E25">
        <w:t>The results indicate that announcements by credit rating agencies on the sovereign credit rating affect the average sentiment of investors participating in our survey group.</w:t>
      </w:r>
    </w:p>
    <w:p w:rsidR="00227553" w:rsidRDefault="00227553" w:rsidP="007B0E25">
      <w:pPr>
        <w:spacing w:line="360" w:lineRule="auto"/>
        <w:jc w:val="both"/>
        <w:rPr>
          <w:bCs/>
          <w:caps/>
          <w:lang w:val="en-US"/>
        </w:rPr>
      </w:pPr>
    </w:p>
    <w:p w:rsidR="00194275" w:rsidRPr="006D6551" w:rsidRDefault="00194275" w:rsidP="007B0E25">
      <w:pPr>
        <w:widowControl w:val="0"/>
        <w:autoSpaceDE w:val="0"/>
        <w:autoSpaceDN w:val="0"/>
        <w:adjustRightInd w:val="0"/>
        <w:spacing w:line="360" w:lineRule="auto"/>
        <w:jc w:val="both"/>
        <w:rPr>
          <w:rFonts w:eastAsiaTheme="minorEastAsia" w:cs="Times New Roman"/>
          <w:sz w:val="19"/>
          <w:szCs w:val="19"/>
          <w:lang w:val="en-US" w:eastAsia="en-US" w:bidi="ar-SA"/>
        </w:rPr>
      </w:pPr>
      <w:r>
        <w:rPr>
          <w:bCs/>
          <w:caps/>
          <w:lang w:val="en-US"/>
        </w:rPr>
        <w:br w:type="page"/>
      </w:r>
    </w:p>
    <w:p w:rsidR="00DC0D3F" w:rsidRDefault="00715CF9">
      <w:pPr>
        <w:pStyle w:val="TOC1"/>
        <w:tabs>
          <w:tab w:val="right" w:leader="dot" w:pos="8290"/>
        </w:tabs>
        <w:rPr>
          <w:rFonts w:asciiTheme="minorHAnsi" w:eastAsiaTheme="minorEastAsia" w:hAnsiTheme="minorHAnsi" w:cstheme="minorBidi"/>
          <w:b w:val="0"/>
          <w:caps w:val="0"/>
          <w:noProof/>
          <w:lang w:val="en-GB" w:eastAsia="ja-JP" w:bidi="ar-SA"/>
        </w:rPr>
      </w:pPr>
      <w:r w:rsidRPr="00715CF9">
        <w:rPr>
          <w:lang w:val="en-US"/>
        </w:rPr>
        <w:lastRenderedPageBreak/>
        <w:fldChar w:fldCharType="begin"/>
      </w:r>
      <w:r w:rsidR="00DC0D3F">
        <w:rPr>
          <w:lang w:val="en-US"/>
        </w:rPr>
        <w:instrText xml:space="preserve"> TOC \o "1-3" </w:instrText>
      </w:r>
      <w:r w:rsidRPr="00715CF9">
        <w:rPr>
          <w:lang w:val="en-US"/>
        </w:rPr>
        <w:fldChar w:fldCharType="separate"/>
      </w:r>
      <w:r w:rsidR="00DC0D3F" w:rsidRPr="00314463">
        <w:rPr>
          <w:noProof/>
          <w:lang w:val="en-US"/>
        </w:rPr>
        <w:t>1. Introduction</w:t>
      </w:r>
      <w:r w:rsidR="00DC0D3F">
        <w:rPr>
          <w:noProof/>
        </w:rPr>
        <w:tab/>
      </w:r>
      <w:r>
        <w:rPr>
          <w:noProof/>
        </w:rPr>
        <w:fldChar w:fldCharType="begin"/>
      </w:r>
      <w:r w:rsidR="00DC0D3F">
        <w:rPr>
          <w:noProof/>
        </w:rPr>
        <w:instrText xml:space="preserve"> PAGEREF _Toc204880061 \h </w:instrText>
      </w:r>
      <w:r>
        <w:rPr>
          <w:noProof/>
        </w:rPr>
      </w:r>
      <w:r>
        <w:rPr>
          <w:noProof/>
        </w:rPr>
        <w:fldChar w:fldCharType="separate"/>
      </w:r>
      <w:r w:rsidR="00DC0D3F">
        <w:rPr>
          <w:noProof/>
        </w:rPr>
        <w:t>4</w:t>
      </w:r>
      <w:r>
        <w:rPr>
          <w:noProof/>
        </w:rPr>
        <w:fldChar w:fldCharType="end"/>
      </w:r>
    </w:p>
    <w:p w:rsidR="00DC0D3F" w:rsidRDefault="00DC0D3F">
      <w:pPr>
        <w:pStyle w:val="TOC1"/>
        <w:tabs>
          <w:tab w:val="right" w:leader="dot" w:pos="8290"/>
        </w:tabs>
        <w:rPr>
          <w:rFonts w:asciiTheme="minorHAnsi" w:eastAsiaTheme="minorEastAsia" w:hAnsiTheme="minorHAnsi" w:cstheme="minorBidi"/>
          <w:b w:val="0"/>
          <w:caps w:val="0"/>
          <w:noProof/>
          <w:lang w:val="en-GB" w:eastAsia="ja-JP" w:bidi="ar-SA"/>
        </w:rPr>
      </w:pPr>
      <w:r w:rsidRPr="00314463">
        <w:rPr>
          <w:noProof/>
          <w:lang w:val="en-US"/>
        </w:rPr>
        <w:t>2. Theoretical evidence and institutional background</w:t>
      </w:r>
      <w:r>
        <w:rPr>
          <w:noProof/>
        </w:rPr>
        <w:tab/>
      </w:r>
      <w:r w:rsidR="00715CF9">
        <w:rPr>
          <w:noProof/>
        </w:rPr>
        <w:fldChar w:fldCharType="begin"/>
      </w:r>
      <w:r>
        <w:rPr>
          <w:noProof/>
        </w:rPr>
        <w:instrText xml:space="preserve"> PAGEREF _Toc204880062 \h </w:instrText>
      </w:r>
      <w:r w:rsidR="00715CF9">
        <w:rPr>
          <w:noProof/>
        </w:rPr>
      </w:r>
      <w:r w:rsidR="00715CF9">
        <w:rPr>
          <w:noProof/>
        </w:rPr>
        <w:fldChar w:fldCharType="separate"/>
      </w:r>
      <w:r>
        <w:rPr>
          <w:noProof/>
        </w:rPr>
        <w:t>8</w:t>
      </w:r>
      <w:r w:rsidR="00715CF9">
        <w:rPr>
          <w:noProof/>
        </w:rPr>
        <w:fldChar w:fldCharType="end"/>
      </w:r>
    </w:p>
    <w:p w:rsidR="00DC0D3F" w:rsidRDefault="00DC0D3F">
      <w:pPr>
        <w:pStyle w:val="TOC1"/>
        <w:tabs>
          <w:tab w:val="right" w:leader="dot" w:pos="8290"/>
        </w:tabs>
        <w:rPr>
          <w:rFonts w:asciiTheme="minorHAnsi" w:eastAsiaTheme="minorEastAsia" w:hAnsiTheme="minorHAnsi" w:cstheme="minorBidi"/>
          <w:b w:val="0"/>
          <w:caps w:val="0"/>
          <w:noProof/>
          <w:lang w:val="en-GB" w:eastAsia="ja-JP" w:bidi="ar-SA"/>
        </w:rPr>
      </w:pPr>
      <w:r w:rsidRPr="00314463">
        <w:rPr>
          <w:noProof/>
          <w:lang w:val="en-US"/>
        </w:rPr>
        <w:t>3. Methodology</w:t>
      </w:r>
      <w:r>
        <w:rPr>
          <w:noProof/>
        </w:rPr>
        <w:tab/>
      </w:r>
      <w:r w:rsidR="00715CF9">
        <w:rPr>
          <w:noProof/>
        </w:rPr>
        <w:fldChar w:fldCharType="begin"/>
      </w:r>
      <w:r>
        <w:rPr>
          <w:noProof/>
        </w:rPr>
        <w:instrText xml:space="preserve"> PAGEREF _Toc204880063 \h </w:instrText>
      </w:r>
      <w:r w:rsidR="00715CF9">
        <w:rPr>
          <w:noProof/>
        </w:rPr>
      </w:r>
      <w:r w:rsidR="00715CF9">
        <w:rPr>
          <w:noProof/>
        </w:rPr>
        <w:fldChar w:fldCharType="separate"/>
      </w:r>
      <w:r>
        <w:rPr>
          <w:noProof/>
        </w:rPr>
        <w:t>12</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Event study methodology</w:t>
      </w:r>
      <w:r>
        <w:rPr>
          <w:noProof/>
        </w:rPr>
        <w:tab/>
      </w:r>
      <w:r w:rsidR="00715CF9">
        <w:rPr>
          <w:noProof/>
        </w:rPr>
        <w:fldChar w:fldCharType="begin"/>
      </w:r>
      <w:r>
        <w:rPr>
          <w:noProof/>
        </w:rPr>
        <w:instrText xml:space="preserve"> PAGEREF _Toc204880064 \h </w:instrText>
      </w:r>
      <w:r w:rsidR="00715CF9">
        <w:rPr>
          <w:noProof/>
        </w:rPr>
      </w:r>
      <w:r w:rsidR="00715CF9">
        <w:rPr>
          <w:noProof/>
        </w:rPr>
        <w:fldChar w:fldCharType="separate"/>
      </w:r>
      <w:r>
        <w:rPr>
          <w:noProof/>
        </w:rPr>
        <w:t>12</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Testing Maximum – Minimum spread</w:t>
      </w:r>
      <w:r>
        <w:rPr>
          <w:noProof/>
        </w:rPr>
        <w:tab/>
      </w:r>
      <w:r w:rsidR="00715CF9">
        <w:rPr>
          <w:noProof/>
        </w:rPr>
        <w:fldChar w:fldCharType="begin"/>
      </w:r>
      <w:r>
        <w:rPr>
          <w:noProof/>
        </w:rPr>
        <w:instrText xml:space="preserve"> PAGEREF _Toc204880065 \h </w:instrText>
      </w:r>
      <w:r w:rsidR="00715CF9">
        <w:rPr>
          <w:noProof/>
        </w:rPr>
      </w:r>
      <w:r w:rsidR="00715CF9">
        <w:rPr>
          <w:noProof/>
        </w:rPr>
        <w:fldChar w:fldCharType="separate"/>
      </w:r>
      <w:r>
        <w:rPr>
          <w:noProof/>
        </w:rPr>
        <w:t>14</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Testing cross sectional dispersion</w:t>
      </w:r>
      <w:r>
        <w:rPr>
          <w:noProof/>
        </w:rPr>
        <w:tab/>
      </w:r>
      <w:r w:rsidR="00715CF9">
        <w:rPr>
          <w:noProof/>
        </w:rPr>
        <w:fldChar w:fldCharType="begin"/>
      </w:r>
      <w:r>
        <w:rPr>
          <w:noProof/>
        </w:rPr>
        <w:instrText xml:space="preserve"> PAGEREF _Toc204880066 \h </w:instrText>
      </w:r>
      <w:r w:rsidR="00715CF9">
        <w:rPr>
          <w:noProof/>
        </w:rPr>
      </w:r>
      <w:r w:rsidR="00715CF9">
        <w:rPr>
          <w:noProof/>
        </w:rPr>
        <w:fldChar w:fldCharType="separate"/>
      </w:r>
      <w:r>
        <w:rPr>
          <w:noProof/>
        </w:rPr>
        <w:t>15</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Testing kurtosis and skewness</w:t>
      </w:r>
      <w:r>
        <w:rPr>
          <w:noProof/>
        </w:rPr>
        <w:tab/>
      </w:r>
      <w:r w:rsidR="00715CF9">
        <w:rPr>
          <w:noProof/>
        </w:rPr>
        <w:fldChar w:fldCharType="begin"/>
      </w:r>
      <w:r>
        <w:rPr>
          <w:noProof/>
        </w:rPr>
        <w:instrText xml:space="preserve"> PAGEREF _Toc204880067 \h </w:instrText>
      </w:r>
      <w:r w:rsidR="00715CF9">
        <w:rPr>
          <w:noProof/>
        </w:rPr>
      </w:r>
      <w:r w:rsidR="00715CF9">
        <w:rPr>
          <w:noProof/>
        </w:rPr>
        <w:fldChar w:fldCharType="separate"/>
      </w:r>
      <w:r>
        <w:rPr>
          <w:noProof/>
        </w:rPr>
        <w:t>15</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Collecting credit rating announcement data</w:t>
      </w:r>
      <w:r>
        <w:rPr>
          <w:noProof/>
        </w:rPr>
        <w:tab/>
      </w:r>
      <w:r w:rsidR="00715CF9">
        <w:rPr>
          <w:noProof/>
        </w:rPr>
        <w:fldChar w:fldCharType="begin"/>
      </w:r>
      <w:r>
        <w:rPr>
          <w:noProof/>
        </w:rPr>
        <w:instrText xml:space="preserve"> PAGEREF _Toc204880068 \h </w:instrText>
      </w:r>
      <w:r w:rsidR="00715CF9">
        <w:rPr>
          <w:noProof/>
        </w:rPr>
      </w:r>
      <w:r w:rsidR="00715CF9">
        <w:rPr>
          <w:noProof/>
        </w:rPr>
        <w:fldChar w:fldCharType="separate"/>
      </w:r>
      <w:r>
        <w:rPr>
          <w:noProof/>
        </w:rPr>
        <w:t>16</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Testing investor sentiment proxy by means of statistical event study</w:t>
      </w:r>
      <w:r>
        <w:rPr>
          <w:noProof/>
        </w:rPr>
        <w:tab/>
      </w:r>
      <w:r w:rsidR="00715CF9">
        <w:rPr>
          <w:noProof/>
        </w:rPr>
        <w:fldChar w:fldCharType="begin"/>
      </w:r>
      <w:r>
        <w:rPr>
          <w:noProof/>
        </w:rPr>
        <w:instrText xml:space="preserve"> PAGEREF _Toc204880069 \h </w:instrText>
      </w:r>
      <w:r w:rsidR="00715CF9">
        <w:rPr>
          <w:noProof/>
        </w:rPr>
      </w:r>
      <w:r w:rsidR="00715CF9">
        <w:rPr>
          <w:noProof/>
        </w:rPr>
        <w:fldChar w:fldCharType="separate"/>
      </w:r>
      <w:r>
        <w:rPr>
          <w:noProof/>
        </w:rPr>
        <w:t>16</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Testing the investor sentiment proxy by OLS regression on VIX</w:t>
      </w:r>
      <w:r>
        <w:rPr>
          <w:noProof/>
        </w:rPr>
        <w:tab/>
      </w:r>
      <w:r w:rsidR="00715CF9">
        <w:rPr>
          <w:noProof/>
        </w:rPr>
        <w:fldChar w:fldCharType="begin"/>
      </w:r>
      <w:r>
        <w:rPr>
          <w:noProof/>
        </w:rPr>
        <w:instrText xml:space="preserve"> PAGEREF _Toc204880070 \h </w:instrText>
      </w:r>
      <w:r w:rsidR="00715CF9">
        <w:rPr>
          <w:noProof/>
        </w:rPr>
      </w:r>
      <w:r w:rsidR="00715CF9">
        <w:rPr>
          <w:noProof/>
        </w:rPr>
        <w:fldChar w:fldCharType="separate"/>
      </w:r>
      <w:r>
        <w:rPr>
          <w:noProof/>
        </w:rPr>
        <w:t>17</w:t>
      </w:r>
      <w:r w:rsidR="00715CF9">
        <w:rPr>
          <w:noProof/>
        </w:rPr>
        <w:fldChar w:fldCharType="end"/>
      </w:r>
    </w:p>
    <w:p w:rsidR="00DC0D3F" w:rsidRDefault="00DC0D3F">
      <w:pPr>
        <w:pStyle w:val="TOC1"/>
        <w:tabs>
          <w:tab w:val="right" w:leader="dot" w:pos="8290"/>
        </w:tabs>
        <w:rPr>
          <w:rFonts w:asciiTheme="minorHAnsi" w:eastAsiaTheme="minorEastAsia" w:hAnsiTheme="minorHAnsi" w:cstheme="minorBidi"/>
          <w:b w:val="0"/>
          <w:caps w:val="0"/>
          <w:noProof/>
          <w:lang w:val="en-GB" w:eastAsia="ja-JP" w:bidi="ar-SA"/>
        </w:rPr>
      </w:pPr>
      <w:r w:rsidRPr="00314463">
        <w:rPr>
          <w:noProof/>
          <w:lang w:val="en-US"/>
        </w:rPr>
        <w:t>4. Results</w:t>
      </w:r>
      <w:r>
        <w:rPr>
          <w:noProof/>
        </w:rPr>
        <w:tab/>
      </w:r>
      <w:r w:rsidR="00715CF9">
        <w:rPr>
          <w:noProof/>
        </w:rPr>
        <w:fldChar w:fldCharType="begin"/>
      </w:r>
      <w:r>
        <w:rPr>
          <w:noProof/>
        </w:rPr>
        <w:instrText xml:space="preserve"> PAGEREF _Toc204880071 \h </w:instrText>
      </w:r>
      <w:r w:rsidR="00715CF9">
        <w:rPr>
          <w:noProof/>
        </w:rPr>
      </w:r>
      <w:r w:rsidR="00715CF9">
        <w:rPr>
          <w:noProof/>
        </w:rPr>
        <w:fldChar w:fldCharType="separate"/>
      </w:r>
      <w:r>
        <w:rPr>
          <w:noProof/>
        </w:rPr>
        <w:t>19</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Identifying the Events</w:t>
      </w:r>
      <w:r>
        <w:rPr>
          <w:noProof/>
        </w:rPr>
        <w:tab/>
      </w:r>
      <w:r w:rsidR="00715CF9">
        <w:rPr>
          <w:noProof/>
        </w:rPr>
        <w:fldChar w:fldCharType="begin"/>
      </w:r>
      <w:r>
        <w:rPr>
          <w:noProof/>
        </w:rPr>
        <w:instrText xml:space="preserve"> PAGEREF _Toc204880072 \h </w:instrText>
      </w:r>
      <w:r w:rsidR="00715CF9">
        <w:rPr>
          <w:noProof/>
        </w:rPr>
      </w:r>
      <w:r w:rsidR="00715CF9">
        <w:rPr>
          <w:noProof/>
        </w:rPr>
        <w:fldChar w:fldCharType="separate"/>
      </w:r>
      <w:r>
        <w:rPr>
          <w:noProof/>
        </w:rPr>
        <w:t>19</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Testing maximum – minimum spread</w:t>
      </w:r>
      <w:r>
        <w:rPr>
          <w:noProof/>
        </w:rPr>
        <w:tab/>
      </w:r>
      <w:r w:rsidR="00715CF9">
        <w:rPr>
          <w:noProof/>
        </w:rPr>
        <w:fldChar w:fldCharType="begin"/>
      </w:r>
      <w:r>
        <w:rPr>
          <w:noProof/>
        </w:rPr>
        <w:instrText xml:space="preserve"> PAGEREF _Toc204880073 \h </w:instrText>
      </w:r>
      <w:r w:rsidR="00715CF9">
        <w:rPr>
          <w:noProof/>
        </w:rPr>
      </w:r>
      <w:r w:rsidR="00715CF9">
        <w:rPr>
          <w:noProof/>
        </w:rPr>
        <w:fldChar w:fldCharType="separate"/>
      </w:r>
      <w:r>
        <w:rPr>
          <w:noProof/>
        </w:rPr>
        <w:t>20</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Testing cross sectional dispersion</w:t>
      </w:r>
      <w:r>
        <w:rPr>
          <w:noProof/>
        </w:rPr>
        <w:tab/>
      </w:r>
      <w:r w:rsidR="00715CF9">
        <w:rPr>
          <w:noProof/>
        </w:rPr>
        <w:fldChar w:fldCharType="begin"/>
      </w:r>
      <w:r>
        <w:rPr>
          <w:noProof/>
        </w:rPr>
        <w:instrText xml:space="preserve"> PAGEREF _Toc204880074 \h </w:instrText>
      </w:r>
      <w:r w:rsidR="00715CF9">
        <w:rPr>
          <w:noProof/>
        </w:rPr>
      </w:r>
      <w:r w:rsidR="00715CF9">
        <w:rPr>
          <w:noProof/>
        </w:rPr>
        <w:fldChar w:fldCharType="separate"/>
      </w:r>
      <w:r>
        <w:rPr>
          <w:noProof/>
        </w:rPr>
        <w:t>23</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Testing kurtosis and skewness</w:t>
      </w:r>
      <w:r>
        <w:rPr>
          <w:noProof/>
        </w:rPr>
        <w:tab/>
      </w:r>
      <w:r w:rsidR="00715CF9">
        <w:rPr>
          <w:noProof/>
        </w:rPr>
        <w:fldChar w:fldCharType="begin"/>
      </w:r>
      <w:r>
        <w:rPr>
          <w:noProof/>
        </w:rPr>
        <w:instrText xml:space="preserve"> PAGEREF _Toc204880075 \h </w:instrText>
      </w:r>
      <w:r w:rsidR="00715CF9">
        <w:rPr>
          <w:noProof/>
        </w:rPr>
      </w:r>
      <w:r w:rsidR="00715CF9">
        <w:rPr>
          <w:noProof/>
        </w:rPr>
        <w:fldChar w:fldCharType="separate"/>
      </w:r>
      <w:r>
        <w:rPr>
          <w:noProof/>
        </w:rPr>
        <w:t>23</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Testing proxy of investor sentiment by means of statistical event study</w:t>
      </w:r>
      <w:r>
        <w:rPr>
          <w:noProof/>
        </w:rPr>
        <w:tab/>
      </w:r>
      <w:r w:rsidR="00715CF9">
        <w:rPr>
          <w:noProof/>
        </w:rPr>
        <w:fldChar w:fldCharType="begin"/>
      </w:r>
      <w:r>
        <w:rPr>
          <w:noProof/>
        </w:rPr>
        <w:instrText xml:space="preserve"> PAGEREF _Toc204880076 \h </w:instrText>
      </w:r>
      <w:r w:rsidR="00715CF9">
        <w:rPr>
          <w:noProof/>
        </w:rPr>
      </w:r>
      <w:r w:rsidR="00715CF9">
        <w:rPr>
          <w:noProof/>
        </w:rPr>
        <w:fldChar w:fldCharType="separate"/>
      </w:r>
      <w:r>
        <w:rPr>
          <w:noProof/>
        </w:rPr>
        <w:t>26</w:t>
      </w:r>
      <w:r w:rsidR="00715CF9">
        <w:rPr>
          <w:noProof/>
        </w:rPr>
        <w:fldChar w:fldCharType="end"/>
      </w:r>
    </w:p>
    <w:p w:rsidR="00DC0D3F" w:rsidRDefault="00DC0D3F">
      <w:pPr>
        <w:pStyle w:val="TOC2"/>
        <w:tabs>
          <w:tab w:val="right" w:leader="dot" w:pos="8290"/>
        </w:tabs>
        <w:rPr>
          <w:rFonts w:eastAsiaTheme="minorEastAsia" w:cstheme="minorBidi"/>
          <w:b w:val="0"/>
          <w:noProof/>
          <w:sz w:val="24"/>
          <w:szCs w:val="24"/>
          <w:lang w:val="en-GB" w:eastAsia="ja-JP" w:bidi="ar-SA"/>
        </w:rPr>
      </w:pPr>
      <w:r>
        <w:rPr>
          <w:noProof/>
        </w:rPr>
        <w:t>Testing investor sentiment proxy by OLS regression on VIX</w:t>
      </w:r>
      <w:r>
        <w:rPr>
          <w:noProof/>
        </w:rPr>
        <w:tab/>
      </w:r>
      <w:r w:rsidR="00715CF9">
        <w:rPr>
          <w:noProof/>
        </w:rPr>
        <w:fldChar w:fldCharType="begin"/>
      </w:r>
      <w:r>
        <w:rPr>
          <w:noProof/>
        </w:rPr>
        <w:instrText xml:space="preserve"> PAGEREF _Toc204880077 \h </w:instrText>
      </w:r>
      <w:r w:rsidR="00715CF9">
        <w:rPr>
          <w:noProof/>
        </w:rPr>
      </w:r>
      <w:r w:rsidR="00715CF9">
        <w:rPr>
          <w:noProof/>
        </w:rPr>
        <w:fldChar w:fldCharType="separate"/>
      </w:r>
      <w:r>
        <w:rPr>
          <w:noProof/>
        </w:rPr>
        <w:t>29</w:t>
      </w:r>
      <w:r w:rsidR="00715CF9">
        <w:rPr>
          <w:noProof/>
        </w:rPr>
        <w:fldChar w:fldCharType="end"/>
      </w:r>
    </w:p>
    <w:p w:rsidR="00DC0D3F" w:rsidRDefault="00DC0D3F">
      <w:pPr>
        <w:pStyle w:val="TOC1"/>
        <w:tabs>
          <w:tab w:val="right" w:leader="dot" w:pos="8290"/>
        </w:tabs>
        <w:rPr>
          <w:rFonts w:asciiTheme="minorHAnsi" w:eastAsiaTheme="minorEastAsia" w:hAnsiTheme="minorHAnsi" w:cstheme="minorBidi"/>
          <w:b w:val="0"/>
          <w:caps w:val="0"/>
          <w:noProof/>
          <w:lang w:val="en-GB" w:eastAsia="ja-JP" w:bidi="ar-SA"/>
        </w:rPr>
      </w:pPr>
      <w:r w:rsidRPr="00314463">
        <w:rPr>
          <w:noProof/>
          <w:lang w:val="en-US"/>
        </w:rPr>
        <w:t>5. Discussion and Conclusions</w:t>
      </w:r>
      <w:r>
        <w:rPr>
          <w:noProof/>
        </w:rPr>
        <w:tab/>
      </w:r>
      <w:r w:rsidR="00715CF9">
        <w:rPr>
          <w:noProof/>
        </w:rPr>
        <w:fldChar w:fldCharType="begin"/>
      </w:r>
      <w:r>
        <w:rPr>
          <w:noProof/>
        </w:rPr>
        <w:instrText xml:space="preserve"> PAGEREF _Toc204880078 \h </w:instrText>
      </w:r>
      <w:r w:rsidR="00715CF9">
        <w:rPr>
          <w:noProof/>
        </w:rPr>
      </w:r>
      <w:r w:rsidR="00715CF9">
        <w:rPr>
          <w:noProof/>
        </w:rPr>
        <w:fldChar w:fldCharType="separate"/>
      </w:r>
      <w:r>
        <w:rPr>
          <w:noProof/>
        </w:rPr>
        <w:t>31</w:t>
      </w:r>
      <w:r w:rsidR="00715CF9">
        <w:rPr>
          <w:noProof/>
        </w:rPr>
        <w:fldChar w:fldCharType="end"/>
      </w:r>
    </w:p>
    <w:p w:rsidR="00DC0D3F" w:rsidRDefault="00DC0D3F">
      <w:pPr>
        <w:pStyle w:val="TOC1"/>
        <w:tabs>
          <w:tab w:val="right" w:leader="dot" w:pos="8290"/>
        </w:tabs>
        <w:rPr>
          <w:rFonts w:asciiTheme="minorHAnsi" w:eastAsiaTheme="minorEastAsia" w:hAnsiTheme="minorHAnsi" w:cstheme="minorBidi"/>
          <w:b w:val="0"/>
          <w:caps w:val="0"/>
          <w:noProof/>
          <w:lang w:val="en-GB" w:eastAsia="ja-JP" w:bidi="ar-SA"/>
        </w:rPr>
      </w:pPr>
      <w:r w:rsidRPr="00314463">
        <w:rPr>
          <w:noProof/>
          <w:lang w:val="en-US"/>
        </w:rPr>
        <w:t>Appendix</w:t>
      </w:r>
      <w:r>
        <w:rPr>
          <w:noProof/>
        </w:rPr>
        <w:tab/>
      </w:r>
      <w:r w:rsidR="00715CF9">
        <w:rPr>
          <w:noProof/>
        </w:rPr>
        <w:fldChar w:fldCharType="begin"/>
      </w:r>
      <w:r>
        <w:rPr>
          <w:noProof/>
        </w:rPr>
        <w:instrText xml:space="preserve"> PAGEREF _Toc204880079 \h </w:instrText>
      </w:r>
      <w:r w:rsidR="00715CF9">
        <w:rPr>
          <w:noProof/>
        </w:rPr>
      </w:r>
      <w:r w:rsidR="00715CF9">
        <w:rPr>
          <w:noProof/>
        </w:rPr>
        <w:fldChar w:fldCharType="separate"/>
      </w:r>
      <w:r>
        <w:rPr>
          <w:noProof/>
        </w:rPr>
        <w:t>33</w:t>
      </w:r>
      <w:r w:rsidR="00715CF9">
        <w:rPr>
          <w:noProof/>
        </w:rPr>
        <w:fldChar w:fldCharType="end"/>
      </w:r>
    </w:p>
    <w:p w:rsidR="00DC0D3F" w:rsidRDefault="00DC0D3F">
      <w:pPr>
        <w:pStyle w:val="TOC1"/>
        <w:tabs>
          <w:tab w:val="right" w:leader="dot" w:pos="8290"/>
        </w:tabs>
        <w:rPr>
          <w:rFonts w:asciiTheme="minorHAnsi" w:eastAsiaTheme="minorEastAsia" w:hAnsiTheme="minorHAnsi" w:cstheme="minorBidi"/>
          <w:b w:val="0"/>
          <w:caps w:val="0"/>
          <w:noProof/>
          <w:lang w:val="en-GB" w:eastAsia="ja-JP" w:bidi="ar-SA"/>
        </w:rPr>
      </w:pPr>
      <w:r w:rsidRPr="00314463">
        <w:rPr>
          <w:noProof/>
          <w:lang w:val="en-US"/>
        </w:rPr>
        <w:t>Bibliography</w:t>
      </w:r>
      <w:r>
        <w:rPr>
          <w:noProof/>
        </w:rPr>
        <w:tab/>
      </w:r>
      <w:r w:rsidR="00715CF9">
        <w:rPr>
          <w:noProof/>
        </w:rPr>
        <w:fldChar w:fldCharType="begin"/>
      </w:r>
      <w:r>
        <w:rPr>
          <w:noProof/>
        </w:rPr>
        <w:instrText xml:space="preserve"> PAGEREF _Toc204880080 \h </w:instrText>
      </w:r>
      <w:r w:rsidR="00715CF9">
        <w:rPr>
          <w:noProof/>
        </w:rPr>
      </w:r>
      <w:r w:rsidR="00715CF9">
        <w:rPr>
          <w:noProof/>
        </w:rPr>
        <w:fldChar w:fldCharType="separate"/>
      </w:r>
      <w:r>
        <w:rPr>
          <w:noProof/>
        </w:rPr>
        <w:t>39</w:t>
      </w:r>
      <w:r w:rsidR="00715CF9">
        <w:rPr>
          <w:noProof/>
        </w:rPr>
        <w:fldChar w:fldCharType="end"/>
      </w:r>
    </w:p>
    <w:p w:rsidR="00194275" w:rsidRDefault="00715CF9" w:rsidP="001C01AE">
      <w:pPr>
        <w:pStyle w:val="Heading1"/>
        <w:jc w:val="both"/>
        <w:rPr>
          <w:lang w:val="en-US"/>
        </w:rPr>
      </w:pPr>
      <w:r>
        <w:rPr>
          <w:rFonts w:eastAsia="Times New Roman" w:cs="Angsana New"/>
          <w:color w:val="auto"/>
          <w:sz w:val="24"/>
          <w:szCs w:val="24"/>
          <w:lang w:val="en-US"/>
        </w:rPr>
        <w:fldChar w:fldCharType="end"/>
      </w:r>
    </w:p>
    <w:p w:rsidR="00194275" w:rsidRDefault="00194275" w:rsidP="001C01AE">
      <w:pPr>
        <w:jc w:val="both"/>
        <w:rPr>
          <w:rFonts w:asciiTheme="majorHAnsi" w:eastAsiaTheme="majorEastAsia" w:hAnsiTheme="majorHAnsi" w:cstheme="majorBidi"/>
          <w:color w:val="345A8A" w:themeColor="accent1" w:themeShade="B5"/>
          <w:sz w:val="32"/>
          <w:szCs w:val="32"/>
          <w:lang w:val="en-US"/>
        </w:rPr>
      </w:pPr>
      <w:r>
        <w:rPr>
          <w:lang w:val="en-US"/>
        </w:rPr>
        <w:br w:type="page"/>
      </w:r>
    </w:p>
    <w:p w:rsidR="00194275" w:rsidRDefault="000A54C6" w:rsidP="001C01AE">
      <w:pPr>
        <w:pStyle w:val="Heading1"/>
        <w:jc w:val="both"/>
        <w:rPr>
          <w:lang w:val="en-US"/>
        </w:rPr>
      </w:pPr>
      <w:bookmarkStart w:id="1" w:name="_Toc204880061"/>
      <w:r>
        <w:rPr>
          <w:lang w:val="en-US"/>
        </w:rPr>
        <w:lastRenderedPageBreak/>
        <w:t xml:space="preserve">1. </w:t>
      </w:r>
      <w:r w:rsidR="00194275" w:rsidRPr="00C553E4">
        <w:rPr>
          <w:lang w:val="en-US"/>
        </w:rPr>
        <w:t>Introduction</w:t>
      </w:r>
      <w:bookmarkEnd w:id="1"/>
    </w:p>
    <w:p w:rsidR="00D3584B" w:rsidRDefault="00D3584B" w:rsidP="009704FD">
      <w:pPr>
        <w:spacing w:line="360" w:lineRule="auto"/>
        <w:jc w:val="both"/>
      </w:pPr>
    </w:p>
    <w:p w:rsidR="00F538F2" w:rsidRDefault="00D3584B" w:rsidP="009704FD">
      <w:pPr>
        <w:spacing w:line="360" w:lineRule="auto"/>
        <w:jc w:val="both"/>
        <w:rPr>
          <w:lang w:val="en-GB"/>
        </w:rPr>
      </w:pPr>
      <w:r>
        <w:rPr>
          <w:lang w:val="en-GB"/>
        </w:rPr>
        <w:t xml:space="preserve">This </w:t>
      </w:r>
      <w:r w:rsidR="009704FD" w:rsidRPr="004D08F2">
        <w:rPr>
          <w:lang w:val="en-GB"/>
        </w:rPr>
        <w:t>paper is primarily motivated by the question</w:t>
      </w:r>
      <w:r w:rsidR="009704FD">
        <w:rPr>
          <w:lang w:val="en-GB"/>
        </w:rPr>
        <w:t xml:space="preserve"> to what extent the sentiment of AEX investors is influenced by (negative) adjustments of </w:t>
      </w:r>
      <w:r>
        <w:rPr>
          <w:lang w:val="en-GB"/>
        </w:rPr>
        <w:t>credit rating agencies (hereafter CRAs)</w:t>
      </w:r>
      <w:r w:rsidR="009704FD">
        <w:rPr>
          <w:lang w:val="en-GB"/>
        </w:rPr>
        <w:t xml:space="preserve"> on the solvency of countries. In addressing this question, w</w:t>
      </w:r>
      <w:r w:rsidR="009704FD" w:rsidRPr="003439EA">
        <w:rPr>
          <w:lang w:val="en-GB"/>
        </w:rPr>
        <w:t xml:space="preserve">e present a </w:t>
      </w:r>
      <w:r w:rsidR="009704FD">
        <w:rPr>
          <w:lang w:val="en-GB"/>
        </w:rPr>
        <w:t>study of investor sentiment. The study</w:t>
      </w:r>
      <w:r w:rsidR="009704FD" w:rsidRPr="003439EA">
        <w:rPr>
          <w:lang w:val="en-GB"/>
        </w:rPr>
        <w:t xml:space="preserve"> is </w:t>
      </w:r>
      <w:r w:rsidR="009704FD">
        <w:rPr>
          <w:lang w:val="en-GB"/>
        </w:rPr>
        <w:t xml:space="preserve">based on investor predictions of </w:t>
      </w:r>
      <w:r w:rsidR="009704FD" w:rsidRPr="003439EA">
        <w:rPr>
          <w:lang w:val="en-GB"/>
        </w:rPr>
        <w:t xml:space="preserve">the </w:t>
      </w:r>
      <w:r w:rsidR="009704FD">
        <w:rPr>
          <w:lang w:val="en-GB"/>
        </w:rPr>
        <w:t>Amsterdam Stock Exchange (</w:t>
      </w:r>
      <w:r w:rsidR="009704FD" w:rsidRPr="003439EA">
        <w:rPr>
          <w:lang w:val="en-GB"/>
        </w:rPr>
        <w:t>AEX index</w:t>
      </w:r>
      <w:r w:rsidR="009704FD">
        <w:rPr>
          <w:lang w:val="en-GB"/>
        </w:rPr>
        <w:t>). In our research we investigate whether the predictions by the investors on the AEX index were affected by cre</w:t>
      </w:r>
      <w:r w:rsidR="00D56826">
        <w:rPr>
          <w:lang w:val="en-GB"/>
        </w:rPr>
        <w:t>dit worthiness of sovereign credit rating</w:t>
      </w:r>
      <w:r w:rsidR="009704FD">
        <w:rPr>
          <w:lang w:val="en-GB"/>
        </w:rPr>
        <w:t xml:space="preserve"> news facts coming to the market by three major CRAs, namely </w:t>
      </w:r>
      <w:proofErr w:type="spellStart"/>
      <w:r w:rsidR="009704FD">
        <w:rPr>
          <w:lang w:val="en-GB"/>
        </w:rPr>
        <w:t>Moodys</w:t>
      </w:r>
      <w:proofErr w:type="spellEnd"/>
      <w:r w:rsidR="009704FD">
        <w:rPr>
          <w:lang w:val="en-GB"/>
        </w:rPr>
        <w:t xml:space="preserve">, </w:t>
      </w:r>
      <w:proofErr w:type="spellStart"/>
      <w:r w:rsidR="009704FD">
        <w:rPr>
          <w:lang w:val="en-GB"/>
        </w:rPr>
        <w:t>Standard&amp;Poors</w:t>
      </w:r>
      <w:proofErr w:type="spellEnd"/>
      <w:r w:rsidR="009704FD">
        <w:rPr>
          <w:lang w:val="en-GB"/>
        </w:rPr>
        <w:t xml:space="preserve"> and Fitch.</w:t>
      </w:r>
      <w:r>
        <w:rPr>
          <w:lang w:val="en-GB"/>
        </w:rPr>
        <w:t xml:space="preserve"> </w:t>
      </w:r>
      <w:r>
        <w:t xml:space="preserve">Hence, this paper examines the importance and significance of CRAs as source of information for investors forecasting. </w:t>
      </w:r>
    </w:p>
    <w:p w:rsidR="00943AC9" w:rsidRPr="009704FD" w:rsidRDefault="00943AC9" w:rsidP="009704FD">
      <w:pPr>
        <w:spacing w:line="360" w:lineRule="auto"/>
        <w:jc w:val="both"/>
        <w:rPr>
          <w:lang w:val="en-GB"/>
        </w:rPr>
      </w:pPr>
    </w:p>
    <w:p w:rsidR="00870AEC" w:rsidRDefault="00F538F2" w:rsidP="00E50101">
      <w:pPr>
        <w:widowControl w:val="0"/>
        <w:autoSpaceDE w:val="0"/>
        <w:autoSpaceDN w:val="0"/>
        <w:adjustRightInd w:val="0"/>
        <w:spacing w:line="360" w:lineRule="auto"/>
        <w:jc w:val="both"/>
        <w:rPr>
          <w:lang w:val="en-GB"/>
        </w:rPr>
      </w:pPr>
      <w:r w:rsidRPr="009704FD">
        <w:rPr>
          <w:lang w:val="en-GB"/>
        </w:rPr>
        <w:t>CRAs have considerable acc</w:t>
      </w:r>
      <w:r w:rsidR="00870AEC" w:rsidRPr="009704FD">
        <w:rPr>
          <w:lang w:val="en-GB"/>
        </w:rPr>
        <w:t xml:space="preserve">ess to </w:t>
      </w:r>
      <w:r w:rsidR="007433A6" w:rsidRPr="009704FD">
        <w:rPr>
          <w:lang w:val="en-GB"/>
        </w:rPr>
        <w:t>sovereign data</w:t>
      </w:r>
      <w:r w:rsidR="00870AEC" w:rsidRPr="009704FD">
        <w:rPr>
          <w:lang w:val="en-GB"/>
        </w:rPr>
        <w:t xml:space="preserve"> and are therefore an important source of information for capital market participants (</w:t>
      </w:r>
      <w:r w:rsidR="00943AC9">
        <w:rPr>
          <w:lang w:val="en-GB"/>
        </w:rPr>
        <w:t xml:space="preserve">Duff and </w:t>
      </w:r>
      <w:proofErr w:type="spellStart"/>
      <w:r w:rsidR="00943AC9">
        <w:rPr>
          <w:lang w:val="en-GB"/>
        </w:rPr>
        <w:t>Einig</w:t>
      </w:r>
      <w:proofErr w:type="spellEnd"/>
      <w:r w:rsidR="00943AC9">
        <w:rPr>
          <w:lang w:val="en-GB"/>
        </w:rPr>
        <w:t>, 2009</w:t>
      </w:r>
      <w:r w:rsidR="00870AEC" w:rsidRPr="009704FD">
        <w:rPr>
          <w:lang w:val="en-GB"/>
        </w:rPr>
        <w:t xml:space="preserve">). </w:t>
      </w:r>
      <w:r w:rsidR="00EB575B">
        <w:rPr>
          <w:lang w:val="en-GB"/>
        </w:rPr>
        <w:t xml:space="preserve">The influence of CRAs in the market becomes increasingly interesting. </w:t>
      </w:r>
      <w:r w:rsidRPr="009704FD">
        <w:rPr>
          <w:lang w:val="en-GB"/>
        </w:rPr>
        <w:t xml:space="preserve">Because CRAs are concerned with the overall credit quality of </w:t>
      </w:r>
      <w:r w:rsidR="00870AEC" w:rsidRPr="009704FD">
        <w:rPr>
          <w:lang w:val="en-GB"/>
        </w:rPr>
        <w:t>sovereign</w:t>
      </w:r>
      <w:r w:rsidRPr="009704FD">
        <w:rPr>
          <w:lang w:val="en-GB"/>
        </w:rPr>
        <w:t xml:space="preserve"> bond</w:t>
      </w:r>
      <w:r w:rsidR="00870AEC" w:rsidRPr="009704FD">
        <w:rPr>
          <w:lang w:val="en-GB"/>
        </w:rPr>
        <w:t xml:space="preserve"> </w:t>
      </w:r>
      <w:r w:rsidRPr="009704FD">
        <w:rPr>
          <w:lang w:val="en-GB"/>
        </w:rPr>
        <w:t xml:space="preserve">issues and issuers, they focus not just on earnings </w:t>
      </w:r>
      <w:r w:rsidR="00870AEC" w:rsidRPr="009704FD">
        <w:rPr>
          <w:lang w:val="en-GB"/>
        </w:rPr>
        <w:t>performance</w:t>
      </w:r>
      <w:r w:rsidR="009704FD" w:rsidRPr="009704FD">
        <w:rPr>
          <w:lang w:val="en-GB"/>
        </w:rPr>
        <w:t>.</w:t>
      </w:r>
      <w:r w:rsidRPr="009704FD">
        <w:rPr>
          <w:lang w:val="en-GB"/>
        </w:rPr>
        <w:t xml:space="preserve"> </w:t>
      </w:r>
      <w:r w:rsidR="009704FD" w:rsidRPr="009704FD">
        <w:rPr>
          <w:lang w:val="en-GB"/>
        </w:rPr>
        <w:t>Moreover,</w:t>
      </w:r>
      <w:r w:rsidR="00667802" w:rsidRPr="009704FD">
        <w:rPr>
          <w:lang w:val="en-GB"/>
        </w:rPr>
        <w:t xml:space="preserve"> </w:t>
      </w:r>
      <w:r w:rsidR="00D56826">
        <w:rPr>
          <w:lang w:val="en-GB"/>
        </w:rPr>
        <w:t>credit</w:t>
      </w:r>
      <w:r w:rsidR="00667802" w:rsidRPr="009704FD">
        <w:rPr>
          <w:lang w:val="en-GB"/>
        </w:rPr>
        <w:t xml:space="preserve"> ratings attempt to measure the probability of default; a continuous variable that changes as new i</w:t>
      </w:r>
      <w:r w:rsidR="00943AC9">
        <w:rPr>
          <w:lang w:val="en-GB"/>
        </w:rPr>
        <w:t xml:space="preserve">nformation arrives according to </w:t>
      </w:r>
      <w:proofErr w:type="spellStart"/>
      <w:r w:rsidR="00667802" w:rsidRPr="009704FD">
        <w:rPr>
          <w:lang w:val="en-GB"/>
        </w:rPr>
        <w:t>Holthausen</w:t>
      </w:r>
      <w:proofErr w:type="spellEnd"/>
      <w:r w:rsidR="00667802" w:rsidRPr="009704FD">
        <w:rPr>
          <w:lang w:val="en-GB"/>
        </w:rPr>
        <w:t xml:space="preserve"> and </w:t>
      </w:r>
      <w:proofErr w:type="spellStart"/>
      <w:r w:rsidR="00667802" w:rsidRPr="009704FD">
        <w:rPr>
          <w:lang w:val="en-GB"/>
        </w:rPr>
        <w:t>Leftwich</w:t>
      </w:r>
      <w:proofErr w:type="spellEnd"/>
      <w:r w:rsidR="00667802" w:rsidRPr="009704FD">
        <w:rPr>
          <w:lang w:val="en-GB"/>
        </w:rPr>
        <w:t xml:space="preserve"> (1986).</w:t>
      </w:r>
      <w:r w:rsidR="009704FD" w:rsidRPr="009704FD">
        <w:rPr>
          <w:lang w:val="en-GB"/>
        </w:rPr>
        <w:t xml:space="preserve"> </w:t>
      </w:r>
      <w:r w:rsidR="00870AEC" w:rsidRPr="009704FD">
        <w:rPr>
          <w:lang w:val="en-GB"/>
        </w:rPr>
        <w:t>The question that</w:t>
      </w:r>
      <w:r w:rsidR="00917860" w:rsidRPr="009704FD">
        <w:rPr>
          <w:lang w:val="en-GB"/>
        </w:rPr>
        <w:t xml:space="preserve"> arises is whether investors</w:t>
      </w:r>
      <w:r w:rsidR="00870AEC" w:rsidRPr="009704FD">
        <w:rPr>
          <w:lang w:val="en-GB"/>
        </w:rPr>
        <w:t xml:space="preserve"> extract earnings related information from rating changes</w:t>
      </w:r>
      <w:r w:rsidR="00917860" w:rsidRPr="009704FD">
        <w:rPr>
          <w:lang w:val="en-GB"/>
        </w:rPr>
        <w:t xml:space="preserve"> and adjust accordingly</w:t>
      </w:r>
      <w:r w:rsidR="00870AEC" w:rsidRPr="009704FD">
        <w:rPr>
          <w:lang w:val="en-GB"/>
        </w:rPr>
        <w:t xml:space="preserve">. </w:t>
      </w:r>
    </w:p>
    <w:p w:rsidR="007433A6" w:rsidRDefault="007433A6" w:rsidP="00516E84">
      <w:pPr>
        <w:spacing w:line="360" w:lineRule="auto"/>
        <w:jc w:val="both"/>
        <w:rPr>
          <w:rFonts w:eastAsiaTheme="minorEastAsia" w:cs="Times New Roman"/>
          <w:lang w:val="en-US" w:eastAsia="en-US" w:bidi="ar-SA"/>
        </w:rPr>
      </w:pPr>
    </w:p>
    <w:p w:rsidR="00870AEC" w:rsidRPr="00E66902" w:rsidRDefault="00EB575B" w:rsidP="00516E84">
      <w:pPr>
        <w:spacing w:line="360" w:lineRule="auto"/>
        <w:jc w:val="both"/>
      </w:pPr>
      <w:r>
        <w:t xml:space="preserve">Moreover, in the present economic crisis it is interesting to investigate the roll of CRAs and hence the importance to investors on credit news </w:t>
      </w:r>
      <w:r w:rsidR="00D93435">
        <w:t>that</w:t>
      </w:r>
      <w:r>
        <w:t xml:space="preserve"> they bring to </w:t>
      </w:r>
      <w:r w:rsidR="007433A6" w:rsidRPr="00E66902">
        <w:t>t</w:t>
      </w:r>
      <w:r>
        <w:t>he market. The flow of news facts on credit solvency is</w:t>
      </w:r>
      <w:r w:rsidR="007433A6" w:rsidRPr="00E66902">
        <w:t xml:space="preserve"> crucial in markets where investor conﬁdence is not particularly s</w:t>
      </w:r>
      <w:r w:rsidR="00D93435">
        <w:t>trong (e.g. crisis) (</w:t>
      </w:r>
      <w:proofErr w:type="spellStart"/>
      <w:r w:rsidR="00D93435">
        <w:t>Kräussl</w:t>
      </w:r>
      <w:proofErr w:type="spellEnd"/>
      <w:r w:rsidR="00D93435">
        <w:t>, 2</w:t>
      </w:r>
      <w:r w:rsidR="007433A6" w:rsidRPr="00E66902">
        <w:t xml:space="preserve">005). Investors’ behaviour is more volatile and hence influenced by market information. </w:t>
      </w:r>
      <w:r w:rsidR="00E66902" w:rsidRPr="00E66902">
        <w:t xml:space="preserve"> </w:t>
      </w:r>
      <w:r w:rsidR="00870AEC" w:rsidRPr="00E66902">
        <w:t>Even if rating agencies do not behave pro-cyclically, their announcements may still trigger market jitters because many (institutional) investors (can) hold only investment-grade instruments</w:t>
      </w:r>
      <w:r w:rsidR="00D93435">
        <w:t xml:space="preserve"> (</w:t>
      </w:r>
      <w:proofErr w:type="spellStart"/>
      <w:r w:rsidR="00D93435">
        <w:t>Kaminsky</w:t>
      </w:r>
      <w:proofErr w:type="spellEnd"/>
      <w:r w:rsidR="00D93435">
        <w:t xml:space="preserve"> &amp; </w:t>
      </w:r>
      <w:proofErr w:type="spellStart"/>
      <w:r w:rsidR="00D93435">
        <w:t>Schmukler</w:t>
      </w:r>
      <w:proofErr w:type="spellEnd"/>
      <w:r w:rsidR="00D93435">
        <w:t xml:space="preserve">, </w:t>
      </w:r>
      <w:r w:rsidR="00E66902" w:rsidRPr="00E66902">
        <w:t>2002)</w:t>
      </w:r>
      <w:r w:rsidR="00870AEC" w:rsidRPr="00E66902">
        <w:t xml:space="preserve">. </w:t>
      </w:r>
    </w:p>
    <w:p w:rsidR="00870AEC" w:rsidRDefault="00870AEC" w:rsidP="00516E84">
      <w:pPr>
        <w:spacing w:line="360" w:lineRule="auto"/>
        <w:jc w:val="both"/>
        <w:rPr>
          <w:lang w:val="en-GB"/>
        </w:rPr>
      </w:pPr>
    </w:p>
    <w:p w:rsidR="00E66902" w:rsidRDefault="00870AEC" w:rsidP="00516E84">
      <w:pPr>
        <w:spacing w:line="360" w:lineRule="auto"/>
        <w:jc w:val="both"/>
      </w:pPr>
      <w:r w:rsidRPr="00E66902">
        <w:lastRenderedPageBreak/>
        <w:t xml:space="preserve">Downgrading (or upgrading) sovereign debt below (or above) investment grade may have a drastic impact on prices because these rating changes can affect the pool of investments. The question is whether </w:t>
      </w:r>
      <w:r w:rsidR="00E66902" w:rsidRPr="00E66902">
        <w:t>investors</w:t>
      </w:r>
      <w:r w:rsidRPr="00E66902">
        <w:t xml:space="preserve"> are aware of this phenomenon and hence adju</w:t>
      </w:r>
      <w:r w:rsidR="001C01AE">
        <w:t>st their expectation</w:t>
      </w:r>
      <w:r w:rsidR="004B4F04">
        <w:t>s</w:t>
      </w:r>
      <w:r w:rsidR="001C01AE">
        <w:t xml:space="preserve"> on the AEX.</w:t>
      </w:r>
      <w:r w:rsidR="0053317A">
        <w:t xml:space="preserve"> </w:t>
      </w:r>
      <w:r w:rsidR="00E50101">
        <w:t xml:space="preserve">Our </w:t>
      </w:r>
      <w:r w:rsidR="0053317A">
        <w:t>hypothesis</w:t>
      </w:r>
      <w:r w:rsidR="00E50101">
        <w:t xml:space="preserve"> is to test</w:t>
      </w:r>
      <w:r w:rsidR="00EB575B">
        <w:t xml:space="preserve"> whether</w:t>
      </w:r>
      <w:r w:rsidR="0053317A">
        <w:t xml:space="preserve"> </w:t>
      </w:r>
      <w:r w:rsidR="00980666">
        <w:t>investors’ sentiment is</w:t>
      </w:r>
      <w:r w:rsidR="0053317A">
        <w:t xml:space="preserve"> affected by news announcements </w:t>
      </w:r>
      <w:r w:rsidR="00503878">
        <w:t xml:space="preserve">by CRAs on sovereign </w:t>
      </w:r>
      <w:r w:rsidR="00D56826">
        <w:t>credit ratings</w:t>
      </w:r>
      <w:r w:rsidR="00980666">
        <w:t xml:space="preserve">. </w:t>
      </w:r>
    </w:p>
    <w:p w:rsidR="00D93435" w:rsidRDefault="00D93435" w:rsidP="00516E84">
      <w:pPr>
        <w:spacing w:line="360" w:lineRule="auto"/>
        <w:jc w:val="both"/>
        <w:rPr>
          <w:lang w:val="en-GB"/>
        </w:rPr>
      </w:pPr>
    </w:p>
    <w:p w:rsidR="00D93435" w:rsidRPr="00D93435" w:rsidRDefault="00D93435" w:rsidP="00D93435">
      <w:pPr>
        <w:spacing w:line="360" w:lineRule="auto"/>
        <w:jc w:val="both"/>
        <w:rPr>
          <w:lang w:val="en-GB"/>
        </w:rPr>
      </w:pPr>
      <w:r>
        <w:rPr>
          <w:lang w:val="en-GB"/>
        </w:rPr>
        <w:t>Both intuitive reasons and previous research help explain why the sentiment of investors is affected by the news announcements by CRAs. Primarily once we look at previous research, the role of CRAs</w:t>
      </w:r>
      <w:r w:rsidR="00870AEC" w:rsidRPr="001C01AE">
        <w:t xml:space="preserve"> can be interpreted as </w:t>
      </w:r>
      <w:r>
        <w:t>pro-cyclical behaviour</w:t>
      </w:r>
      <w:r w:rsidR="00870AEC" w:rsidRPr="001C01AE">
        <w:t>. Rating agencies decide to downgrade (upgrade) a country when the prices of its financial instruments go down (up). Alternatively, the behaviour of prices in the days preceding rating and outlook changes could also reflect an anticipation effect. Market participants anticipate</w:t>
      </w:r>
      <w:r w:rsidR="00F864F8">
        <w:t xml:space="preserve"> to</w:t>
      </w:r>
      <w:r w:rsidR="00870AEC" w:rsidRPr="001C01AE">
        <w:t xml:space="preserve"> the behaviour of rating and outlook changes, so markets discount those events. Hence, the investors may anticipate on these outlook changes announced by </w:t>
      </w:r>
      <w:r w:rsidR="00F864F8">
        <w:t>CRAs</w:t>
      </w:r>
      <w:r w:rsidR="00870AEC" w:rsidRPr="001C01AE">
        <w:t>.</w:t>
      </w:r>
      <w:r w:rsidR="00503878">
        <w:t xml:space="preserve"> </w:t>
      </w:r>
      <w:r w:rsidR="006146B5">
        <w:t>Another study by</w:t>
      </w:r>
      <w:r>
        <w:t xml:space="preserve"> </w:t>
      </w:r>
      <w:proofErr w:type="spellStart"/>
      <w:r w:rsidR="005A01E8">
        <w:t>Stambaugh</w:t>
      </w:r>
      <w:proofErr w:type="spellEnd"/>
      <w:r w:rsidR="005A01E8">
        <w:t xml:space="preserve"> (2011), </w:t>
      </w:r>
      <w:r w:rsidR="006146B5">
        <w:t>has</w:t>
      </w:r>
      <w:r w:rsidR="00730948">
        <w:t xml:space="preserve"> investigated the relation between the government debt issues and </w:t>
      </w:r>
      <w:r w:rsidR="00B709A5">
        <w:t>whether</w:t>
      </w:r>
      <w:r w:rsidR="00730948">
        <w:t xml:space="preserve"> this weighted negatively on the investor sentiment</w:t>
      </w:r>
      <w:r w:rsidR="005A01E8">
        <w:t xml:space="preserve">. </w:t>
      </w:r>
      <w:r w:rsidR="00B709A5">
        <w:t>In</w:t>
      </w:r>
      <w:r w:rsidR="00730948">
        <w:t xml:space="preserve"> our study</w:t>
      </w:r>
      <w:r w:rsidR="00B709A5">
        <w:t xml:space="preserve"> we focus most </w:t>
      </w:r>
      <w:r>
        <w:t>on the US and Europe that</w:t>
      </w:r>
      <w:r w:rsidR="00730948">
        <w:t xml:space="preserve"> both depicted a period of extreme high volatility in </w:t>
      </w:r>
      <w:r>
        <w:t xml:space="preserve">the </w:t>
      </w:r>
      <w:r w:rsidR="00730948">
        <w:t xml:space="preserve">equity markets. </w:t>
      </w:r>
    </w:p>
    <w:p w:rsidR="00BB444F" w:rsidRDefault="00541C3C" w:rsidP="00BB444F">
      <w:pPr>
        <w:widowControl w:val="0"/>
        <w:autoSpaceDE w:val="0"/>
        <w:autoSpaceDN w:val="0"/>
        <w:adjustRightInd w:val="0"/>
        <w:spacing w:after="240" w:line="360" w:lineRule="auto"/>
        <w:jc w:val="both"/>
      </w:pPr>
      <w:r>
        <w:t xml:space="preserve">Multiple intuitive </w:t>
      </w:r>
      <w:r w:rsidR="00124B19">
        <w:t>arguments assert a relationship between what CRAs aggravate and the reaction on investor sentiment. Firstly</w:t>
      </w:r>
      <w:r w:rsidR="00B709A5">
        <w:t>,</w:t>
      </w:r>
      <w:r w:rsidR="00124B19">
        <w:t xml:space="preserve"> u</w:t>
      </w:r>
      <w:r w:rsidR="00730948">
        <w:t xml:space="preserve">pon a downgrade or negative outlook by the major CRAs on sovereign </w:t>
      </w:r>
      <w:r w:rsidR="00D56826">
        <w:t>credit ratings</w:t>
      </w:r>
      <w:r w:rsidR="00730948">
        <w:t>, high volatility in the equity market can be observed; share prices fall, which in turn will have a negative impact on investor sentiment</w:t>
      </w:r>
      <w:r w:rsidR="009C4760">
        <w:t xml:space="preserve"> (</w:t>
      </w:r>
      <w:proofErr w:type="spellStart"/>
      <w:r w:rsidR="009C4760">
        <w:t>Kaminsky</w:t>
      </w:r>
      <w:proofErr w:type="spellEnd"/>
      <w:r w:rsidR="009C4760">
        <w:t xml:space="preserve"> </w:t>
      </w:r>
      <w:r w:rsidR="00943AC9">
        <w:t>et al,</w:t>
      </w:r>
      <w:r w:rsidR="009C4760">
        <w:t xml:space="preserve"> 2002</w:t>
      </w:r>
      <w:r w:rsidR="00342E8E">
        <w:t xml:space="preserve">). </w:t>
      </w:r>
      <w:r w:rsidR="00730948">
        <w:t xml:space="preserve">Moreover, lacking or negative growth outlooks by CRAs </w:t>
      </w:r>
      <w:r>
        <w:t xml:space="preserve">have negative </w:t>
      </w:r>
      <w:r w:rsidR="00A16A63">
        <w:t>e</w:t>
      </w:r>
      <w:r>
        <w:t>ffect on investor sentiment</w:t>
      </w:r>
      <w:r w:rsidR="00124B19">
        <w:t xml:space="preserve"> due to </w:t>
      </w:r>
      <w:r w:rsidR="00A16A63">
        <w:t>worsening market conditions such as consumer confidence</w:t>
      </w:r>
      <w:r>
        <w:t xml:space="preserve">. </w:t>
      </w:r>
      <w:r w:rsidR="00730948">
        <w:t xml:space="preserve"> </w:t>
      </w:r>
      <w:r w:rsidR="00A16A63">
        <w:t xml:space="preserve">Another intuitive argument to support the relation between CRAs outlook changes and investor </w:t>
      </w:r>
      <w:r w:rsidR="007957FB">
        <w:t xml:space="preserve">sentiment could be explained by a change in the </w:t>
      </w:r>
      <w:r w:rsidR="00A16A63">
        <w:t>liquidity in the market.</w:t>
      </w:r>
      <w:r w:rsidR="007957FB">
        <w:t xml:space="preserve"> In other words, once a CRA has downg</w:t>
      </w:r>
      <w:r w:rsidR="00B709A5">
        <w:t>raded the outlook of a country’s</w:t>
      </w:r>
      <w:r w:rsidR="007957FB">
        <w:t xml:space="preserve"> credit rating, interest payments will rise and hence the liquidity in the market will deteriorate. This will have a negative impact on the inves</w:t>
      </w:r>
      <w:r w:rsidR="00B709A5">
        <w:t>tor sentiment. These</w:t>
      </w:r>
      <w:r w:rsidR="007957FB">
        <w:t xml:space="preserve"> arguments</w:t>
      </w:r>
      <w:r w:rsidR="00B709A5">
        <w:t xml:space="preserve"> are</w:t>
      </w:r>
      <w:r w:rsidR="007957FB">
        <w:t xml:space="preserve"> most important to investors in subsequent countries to which CR</w:t>
      </w:r>
      <w:r w:rsidR="00B709A5">
        <w:t>As change the credit worthiness. H</w:t>
      </w:r>
      <w:r w:rsidR="007957FB">
        <w:t xml:space="preserve">owever, </w:t>
      </w:r>
      <w:r w:rsidR="00B709A5">
        <w:t>the AEX is</w:t>
      </w:r>
      <w:r w:rsidR="007957FB">
        <w:t xml:space="preserve"> well </w:t>
      </w:r>
      <w:r w:rsidR="00B709A5">
        <w:t xml:space="preserve">intertwined </w:t>
      </w:r>
      <w:r w:rsidR="00B709A5">
        <w:lastRenderedPageBreak/>
        <w:t xml:space="preserve">globally, most importantly Europe and the United States. </w:t>
      </w:r>
      <w:r w:rsidR="00CF36BD">
        <w:t xml:space="preserve">Evidence by </w:t>
      </w:r>
      <w:r w:rsidR="00D93435">
        <w:t xml:space="preserve">Ferreira and </w:t>
      </w:r>
      <w:r w:rsidR="00CF36BD">
        <w:t xml:space="preserve">Gama (2007) </w:t>
      </w:r>
      <w:r w:rsidR="00D55530">
        <w:t>indicates that sovereign debt rating and credit outlook changes of one country</w:t>
      </w:r>
      <w:r w:rsidR="00CF36BD">
        <w:t xml:space="preserve"> </w:t>
      </w:r>
      <w:r w:rsidR="00D55530">
        <w:t>have an asymmetr</w:t>
      </w:r>
      <w:r w:rsidR="00CF36BD">
        <w:t>ic and economically signiﬁcant eff</w:t>
      </w:r>
      <w:r w:rsidR="00D55530">
        <w:t>ect on the stock market returns of other countries</w:t>
      </w:r>
      <w:r w:rsidR="00CF36BD">
        <w:t xml:space="preserve"> </w:t>
      </w:r>
      <w:r w:rsidR="00D55530">
        <w:t xml:space="preserve">over 1989–2003. </w:t>
      </w:r>
      <w:r w:rsidR="00B709A5">
        <w:t>Hence</w:t>
      </w:r>
      <w:r w:rsidR="003555CC">
        <w:t>,</w:t>
      </w:r>
      <w:r w:rsidR="00B709A5">
        <w:t xml:space="preserve"> CRA outlooks in foreign markets may have an effect on businesses traded on the AEX. Therefore, it is </w:t>
      </w:r>
      <w:r w:rsidR="00FC6491">
        <w:t>important</w:t>
      </w:r>
      <w:r w:rsidR="00B709A5">
        <w:t xml:space="preserve"> to investigate whether the investors are aware of this risk and hence anticipate.</w:t>
      </w:r>
      <w:r w:rsidR="0053317A">
        <w:t xml:space="preserve"> </w:t>
      </w:r>
    </w:p>
    <w:p w:rsidR="00D57209" w:rsidRDefault="002D5F3E" w:rsidP="000E30DA">
      <w:pPr>
        <w:widowControl w:val="0"/>
        <w:autoSpaceDE w:val="0"/>
        <w:autoSpaceDN w:val="0"/>
        <w:adjustRightInd w:val="0"/>
        <w:spacing w:after="240" w:line="360" w:lineRule="auto"/>
        <w:jc w:val="both"/>
        <w:rPr>
          <w:lang w:val="en-GB"/>
        </w:rPr>
      </w:pPr>
      <w:r>
        <w:t xml:space="preserve">In answering the question to </w:t>
      </w:r>
      <w:r>
        <w:rPr>
          <w:lang w:val="en-GB"/>
        </w:rPr>
        <w:t xml:space="preserve">what extent the sentiment of AEX investors is influenced by (negative) adjustments of CRAs </w:t>
      </w:r>
      <w:r w:rsidR="007717C0">
        <w:rPr>
          <w:lang w:val="en-GB"/>
        </w:rPr>
        <w:t>on credit outlook and rating adjustments of countries</w:t>
      </w:r>
      <w:r>
        <w:rPr>
          <w:lang w:val="en-GB"/>
        </w:rPr>
        <w:t xml:space="preserve">, we use a dataset that is provided to us by one of the major banks in the Netherlands. </w:t>
      </w:r>
      <w:r w:rsidR="00E8638A">
        <w:rPr>
          <w:lang w:val="en-GB"/>
        </w:rPr>
        <w:t xml:space="preserve">This dataset was constructed by a survey conducted under preferred investors. These investors all have a minimum of </w:t>
      </w:r>
      <w:r w:rsidR="00D93435">
        <w:rPr>
          <w:lang w:val="en-GB"/>
        </w:rPr>
        <w:t xml:space="preserve">one </w:t>
      </w:r>
      <w:r w:rsidR="00E8638A">
        <w:rPr>
          <w:lang w:val="en-GB"/>
        </w:rPr>
        <w:t xml:space="preserve">hundred thousand euro invested in the market. The survey reveals the expected </w:t>
      </w:r>
      <w:r w:rsidR="00554BF3">
        <w:rPr>
          <w:lang w:val="en-GB"/>
        </w:rPr>
        <w:t xml:space="preserve">minimum and maximum closing price </w:t>
      </w:r>
      <w:r w:rsidR="00E8638A">
        <w:rPr>
          <w:lang w:val="en-GB"/>
        </w:rPr>
        <w:t xml:space="preserve">of the AEX in two weeks (sequence of the surveys) for each survey participant. </w:t>
      </w:r>
      <w:r w:rsidR="00554BF3">
        <w:rPr>
          <w:lang w:val="en-GB"/>
        </w:rPr>
        <w:t>Hence, the</w:t>
      </w:r>
      <w:r w:rsidR="00E8638A">
        <w:rPr>
          <w:lang w:val="en-GB"/>
        </w:rPr>
        <w:t xml:space="preserve"> dataset provides</w:t>
      </w:r>
      <w:r w:rsidR="006B4EA2">
        <w:rPr>
          <w:lang w:val="en-GB"/>
        </w:rPr>
        <w:t xml:space="preserve"> </w:t>
      </w:r>
      <w:r w:rsidR="00554BF3">
        <w:rPr>
          <w:lang w:val="en-GB"/>
        </w:rPr>
        <w:t xml:space="preserve">us </w:t>
      </w:r>
      <w:r w:rsidR="006B4EA2">
        <w:rPr>
          <w:lang w:val="en-GB"/>
        </w:rPr>
        <w:t>with a minimum – maximum spread o</w:t>
      </w:r>
      <w:r w:rsidR="00554BF3">
        <w:rPr>
          <w:lang w:val="en-GB"/>
        </w:rPr>
        <w:t xml:space="preserve">n the expectations of investors. </w:t>
      </w:r>
      <w:r w:rsidR="006B4EA2">
        <w:rPr>
          <w:lang w:val="en-GB"/>
        </w:rPr>
        <w:t xml:space="preserve">This spread can be used as a </w:t>
      </w:r>
      <w:r w:rsidR="00554BF3">
        <w:rPr>
          <w:lang w:val="en-GB"/>
        </w:rPr>
        <w:t>proxy on</w:t>
      </w:r>
      <w:r w:rsidR="00E8638A">
        <w:rPr>
          <w:lang w:val="en-GB"/>
        </w:rPr>
        <w:t xml:space="preserve"> the investor sentiment. </w:t>
      </w:r>
      <w:r w:rsidR="00D57209">
        <w:rPr>
          <w:lang w:val="en-GB"/>
        </w:rPr>
        <w:t>The minimum – maximum spread is expected to become larger in high volatile periods. Moreover, the distribution is expected to be non-normal</w:t>
      </w:r>
      <w:r w:rsidR="0095598D">
        <w:rPr>
          <w:lang w:val="en-GB"/>
        </w:rPr>
        <w:t>,</w:t>
      </w:r>
      <w:r w:rsidR="00D57209">
        <w:rPr>
          <w:lang w:val="en-GB"/>
        </w:rPr>
        <w:t xml:space="preserve"> skewed to the minimum in comparison to the mean.</w:t>
      </w:r>
      <w:r w:rsidR="00D93435">
        <w:rPr>
          <w:lang w:val="en-GB"/>
        </w:rPr>
        <w:t xml:space="preserve"> Moreover, we look into other proxies of investor sentiment such as cross sectional dispersion within the point forecast and the skewness of the distribution around the </w:t>
      </w:r>
      <w:r w:rsidR="000A54C6">
        <w:rPr>
          <w:lang w:val="en-GB"/>
        </w:rPr>
        <w:t>CRA announcements.</w:t>
      </w:r>
    </w:p>
    <w:p w:rsidR="001218D1" w:rsidRDefault="00554BF3" w:rsidP="000E30DA">
      <w:pPr>
        <w:widowControl w:val="0"/>
        <w:autoSpaceDE w:val="0"/>
        <w:autoSpaceDN w:val="0"/>
        <w:adjustRightInd w:val="0"/>
        <w:spacing w:after="240" w:line="360" w:lineRule="auto"/>
        <w:jc w:val="both"/>
        <w:rPr>
          <w:lang w:val="en-GB"/>
        </w:rPr>
      </w:pPr>
      <w:r>
        <w:rPr>
          <w:lang w:val="en-GB"/>
        </w:rPr>
        <w:t xml:space="preserve">In turn we make use of the credit solvency data </w:t>
      </w:r>
      <w:r w:rsidR="007717C0">
        <w:rPr>
          <w:lang w:val="en-GB"/>
        </w:rPr>
        <w:t xml:space="preserve">of countries </w:t>
      </w:r>
      <w:r>
        <w:rPr>
          <w:lang w:val="en-GB"/>
        </w:rPr>
        <w:t>that is provided</w:t>
      </w:r>
      <w:r w:rsidR="007717C0">
        <w:rPr>
          <w:lang w:val="en-GB"/>
        </w:rPr>
        <w:t xml:space="preserve"> to us</w:t>
      </w:r>
      <w:r>
        <w:rPr>
          <w:lang w:val="en-GB"/>
        </w:rPr>
        <w:t xml:space="preserve"> by the CRAs </w:t>
      </w:r>
      <w:proofErr w:type="spellStart"/>
      <w:r>
        <w:rPr>
          <w:lang w:val="en-GB"/>
        </w:rPr>
        <w:t>Moodys</w:t>
      </w:r>
      <w:proofErr w:type="spellEnd"/>
      <w:r>
        <w:rPr>
          <w:lang w:val="en-GB"/>
        </w:rPr>
        <w:t xml:space="preserve">, </w:t>
      </w:r>
      <w:proofErr w:type="spellStart"/>
      <w:r>
        <w:rPr>
          <w:lang w:val="en-GB"/>
        </w:rPr>
        <w:t>Standard&amp;Poors</w:t>
      </w:r>
      <w:proofErr w:type="spellEnd"/>
      <w:r>
        <w:rPr>
          <w:lang w:val="en-GB"/>
        </w:rPr>
        <w:t xml:space="preserve"> and Fitch. These CRAs </w:t>
      </w:r>
      <w:r w:rsidR="001218D1">
        <w:rPr>
          <w:lang w:val="en-GB"/>
        </w:rPr>
        <w:t>all have their own grading scales based on down and upgrades just like their positive and nega</w:t>
      </w:r>
      <w:r w:rsidR="00C15AD9">
        <w:rPr>
          <w:lang w:val="en-GB"/>
        </w:rPr>
        <w:t xml:space="preserve">tive outlook changes. We have </w:t>
      </w:r>
      <w:r w:rsidR="00295C19">
        <w:rPr>
          <w:lang w:val="en-GB"/>
        </w:rPr>
        <w:t xml:space="preserve">categorized the down – </w:t>
      </w:r>
      <w:r w:rsidR="00D57209">
        <w:rPr>
          <w:lang w:val="en-GB"/>
        </w:rPr>
        <w:t>and upgrade</w:t>
      </w:r>
      <w:r w:rsidR="00C15AD9">
        <w:rPr>
          <w:lang w:val="en-GB"/>
        </w:rPr>
        <w:t xml:space="preserve"> events</w:t>
      </w:r>
      <w:r w:rsidR="00D57209">
        <w:rPr>
          <w:lang w:val="en-GB"/>
        </w:rPr>
        <w:t xml:space="preserve"> for each CRA for the period December 2008 until February 2012.</w:t>
      </w:r>
      <w:r w:rsidR="00C15AD9">
        <w:rPr>
          <w:lang w:val="en-GB"/>
        </w:rPr>
        <w:t xml:space="preserve"> </w:t>
      </w:r>
      <w:r w:rsidR="00D57209">
        <w:rPr>
          <w:lang w:val="en-GB"/>
        </w:rPr>
        <w:t xml:space="preserve">Moreover we have looked into the outlook changes by the CRAs for the same </w:t>
      </w:r>
      <w:r w:rsidR="001218D1">
        <w:rPr>
          <w:lang w:val="en-GB"/>
        </w:rPr>
        <w:t>time horizon</w:t>
      </w:r>
      <w:r w:rsidR="00D57209">
        <w:rPr>
          <w:lang w:val="en-GB"/>
        </w:rPr>
        <w:t xml:space="preserve">. We have a control group of 14 surveys (2 week periods) in which no announcements were made by the CRAs. In total there are </w:t>
      </w:r>
      <w:r w:rsidR="00C366E8">
        <w:rPr>
          <w:lang w:val="en-GB"/>
        </w:rPr>
        <w:t>59 downgrades and 3 upgrades, 78 negative outlooks and 15</w:t>
      </w:r>
      <w:r w:rsidR="00D57209">
        <w:rPr>
          <w:lang w:val="en-GB"/>
        </w:rPr>
        <w:t xml:space="preserve"> positive outlooks in our</w:t>
      </w:r>
      <w:r w:rsidR="00C366E8">
        <w:rPr>
          <w:lang w:val="en-GB"/>
        </w:rPr>
        <w:t xml:space="preserve"> research horizon</w:t>
      </w:r>
      <w:r w:rsidR="00D57209">
        <w:rPr>
          <w:lang w:val="en-GB"/>
        </w:rPr>
        <w:t>.</w:t>
      </w:r>
      <w:r w:rsidR="001218D1">
        <w:rPr>
          <w:lang w:val="en-GB"/>
        </w:rPr>
        <w:t xml:space="preserve"> These solvency changes are investigated for multiple countries that are directly or indirectly related to the AEX.</w:t>
      </w:r>
    </w:p>
    <w:p w:rsidR="00381E1E" w:rsidRPr="00AD4C4B" w:rsidRDefault="00AD4C4B" w:rsidP="000E30DA">
      <w:pPr>
        <w:spacing w:line="360" w:lineRule="auto"/>
        <w:jc w:val="both"/>
      </w:pPr>
      <w:r>
        <w:lastRenderedPageBreak/>
        <w:t xml:space="preserve">The </w:t>
      </w:r>
      <w:r w:rsidR="000E30DA" w:rsidRPr="00C553E4">
        <w:rPr>
          <w:lang w:val="en-US"/>
        </w:rPr>
        <w:t>theoretical</w:t>
      </w:r>
      <w:r w:rsidR="000A54C6" w:rsidRPr="00C553E4">
        <w:rPr>
          <w:lang w:val="en-US"/>
        </w:rPr>
        <w:t xml:space="preserve"> </w:t>
      </w:r>
      <w:r w:rsidR="000A54C6">
        <w:rPr>
          <w:lang w:val="en-US"/>
        </w:rPr>
        <w:t xml:space="preserve">evidence and institutional background of CRAs </w:t>
      </w:r>
      <w:r w:rsidR="00BB444F" w:rsidRPr="00BB444F">
        <w:t>are</w:t>
      </w:r>
      <w:r w:rsidR="00BB444F">
        <w:t xml:space="preserve"> </w:t>
      </w:r>
      <w:r>
        <w:t>described in section 2</w:t>
      </w:r>
      <w:r w:rsidR="00BB444F" w:rsidRPr="00BB444F">
        <w:t>. The methodology concerning the</w:t>
      </w:r>
      <w:r w:rsidR="00BB444F">
        <w:t xml:space="preserve"> </w:t>
      </w:r>
      <w:r w:rsidR="000A54C6">
        <w:t xml:space="preserve">maximum – </w:t>
      </w:r>
      <w:r w:rsidR="00BB444F">
        <w:t>m</w:t>
      </w:r>
      <w:r w:rsidR="000A54C6">
        <w:t>inimum</w:t>
      </w:r>
      <w:r w:rsidR="00BB444F">
        <w:t xml:space="preserve"> spread</w:t>
      </w:r>
      <w:r w:rsidR="000A54C6">
        <w:t>, cross-sectional dispersion, skewness and kurtosis</w:t>
      </w:r>
      <w:r w:rsidR="00BB444F">
        <w:t xml:space="preserve"> as </w:t>
      </w:r>
      <w:r w:rsidR="000A54C6">
        <w:t>proxies</w:t>
      </w:r>
      <w:r w:rsidR="00BB444F">
        <w:t xml:space="preserve"> for investor sentiment reacting on the </w:t>
      </w:r>
      <w:r w:rsidR="00BB444F" w:rsidRPr="00BB444F">
        <w:t xml:space="preserve">rating changes </w:t>
      </w:r>
      <w:r w:rsidR="00BB444F">
        <w:t xml:space="preserve">of sovereign </w:t>
      </w:r>
      <w:r w:rsidR="00D56826">
        <w:t>credit ratings</w:t>
      </w:r>
      <w:r w:rsidR="00BB444F">
        <w:t xml:space="preserve"> </w:t>
      </w:r>
      <w:r w:rsidR="00BB444F" w:rsidRPr="00BB444F">
        <w:t>are reported in section</w:t>
      </w:r>
      <w:r>
        <w:t xml:space="preserve"> 3</w:t>
      </w:r>
      <w:r w:rsidR="00445AB2">
        <w:t>. Moreover, the methodology for the event study based on statistical tests is described in this section</w:t>
      </w:r>
      <w:r>
        <w:t>. Section 4</w:t>
      </w:r>
      <w:r w:rsidR="00BB444F" w:rsidRPr="00BB444F">
        <w:t xml:space="preserve"> describes the </w:t>
      </w:r>
      <w:r w:rsidR="00445AB2">
        <w:t>results of the relationship between the</w:t>
      </w:r>
      <w:r w:rsidR="000A54C6">
        <w:t xml:space="preserve"> proxies and CRA announcements</w:t>
      </w:r>
      <w:r w:rsidR="00445AB2">
        <w:t xml:space="preserve">. </w:t>
      </w:r>
      <w:r>
        <w:t xml:space="preserve">The discussion on the research and results are described in section </w:t>
      </w:r>
      <w:r w:rsidR="00286919">
        <w:t xml:space="preserve">5, which also contains the conclusion. </w:t>
      </w:r>
      <w:r w:rsidR="00BB444F" w:rsidRPr="00BB444F">
        <w:t>An appendix describes the methodology tests in more detail.</w:t>
      </w:r>
      <w:r w:rsidR="00BB444F">
        <w:t xml:space="preserve"> </w:t>
      </w:r>
    </w:p>
    <w:p w:rsidR="00381E1E" w:rsidRDefault="00381E1E" w:rsidP="000E30DA">
      <w:pPr>
        <w:spacing w:line="360" w:lineRule="auto"/>
        <w:jc w:val="both"/>
      </w:pPr>
    </w:p>
    <w:p w:rsidR="00194275" w:rsidRPr="001C01AE" w:rsidRDefault="00194275" w:rsidP="000E30DA">
      <w:pPr>
        <w:widowControl w:val="0"/>
        <w:autoSpaceDE w:val="0"/>
        <w:autoSpaceDN w:val="0"/>
        <w:adjustRightInd w:val="0"/>
        <w:spacing w:line="360" w:lineRule="auto"/>
        <w:jc w:val="both"/>
      </w:pPr>
      <w:r>
        <w:br w:type="page"/>
      </w:r>
    </w:p>
    <w:p w:rsidR="00194275" w:rsidRDefault="000A54C6" w:rsidP="001C01AE">
      <w:pPr>
        <w:pStyle w:val="Heading1"/>
        <w:jc w:val="both"/>
        <w:rPr>
          <w:lang w:val="en-US"/>
        </w:rPr>
      </w:pPr>
      <w:bookmarkStart w:id="2" w:name="_Toc204880062"/>
      <w:r>
        <w:rPr>
          <w:lang w:val="en-US"/>
        </w:rPr>
        <w:lastRenderedPageBreak/>
        <w:t xml:space="preserve">2. </w:t>
      </w:r>
      <w:r w:rsidR="00194275" w:rsidRPr="00C553E4">
        <w:rPr>
          <w:lang w:val="en-US"/>
        </w:rPr>
        <w:t xml:space="preserve">Theoretical </w:t>
      </w:r>
      <w:r w:rsidR="001218D1">
        <w:rPr>
          <w:lang w:val="en-US"/>
        </w:rPr>
        <w:t>evidence and institutional background</w:t>
      </w:r>
      <w:bookmarkEnd w:id="2"/>
    </w:p>
    <w:p w:rsidR="001218D1" w:rsidRDefault="001218D1" w:rsidP="00A25C46">
      <w:pPr>
        <w:widowControl w:val="0"/>
        <w:autoSpaceDE w:val="0"/>
        <w:autoSpaceDN w:val="0"/>
        <w:adjustRightInd w:val="0"/>
        <w:spacing w:after="240" w:line="360" w:lineRule="auto"/>
        <w:jc w:val="both"/>
      </w:pPr>
    </w:p>
    <w:p w:rsidR="00381E1E" w:rsidRDefault="00D56826" w:rsidP="002E66BB">
      <w:pPr>
        <w:spacing w:line="360" w:lineRule="auto"/>
        <w:jc w:val="both"/>
      </w:pPr>
      <w:r>
        <w:t>We look into detail on the sovereign credit</w:t>
      </w:r>
      <w:r w:rsidR="00381E1E">
        <w:t xml:space="preserve"> ratings of a specific sample of countr</w:t>
      </w:r>
      <w:r>
        <w:t xml:space="preserve">ies. CRAs assess sovereign credit ratings and assign a credit </w:t>
      </w:r>
      <w:r w:rsidR="00381E1E">
        <w:t xml:space="preserve">rating that is </w:t>
      </w:r>
      <w:r w:rsidR="00381E1E" w:rsidRPr="004D08F2">
        <w:t xml:space="preserve">designed to measure </w:t>
      </w:r>
      <w:r w:rsidR="00381E1E">
        <w:t xml:space="preserve">the </w:t>
      </w:r>
      <w:r w:rsidR="00381E1E" w:rsidRPr="004D08F2">
        <w:t>default risk only, not the risk of</w:t>
      </w:r>
      <w:r w:rsidR="00381E1E">
        <w:t xml:space="preserve"> </w:t>
      </w:r>
      <w:r w:rsidR="00381E1E" w:rsidRPr="004D08F2">
        <w:t>interest rate changes due, for example, to shifts in expectations of inflation.</w:t>
      </w:r>
      <w:r w:rsidR="00381E1E">
        <w:t xml:space="preserve"> There are two important alternative views of how CRAs obtain information on the default risk of countries. </w:t>
      </w:r>
      <w:r w:rsidR="00381E1E" w:rsidRPr="004D08F2">
        <w:t>One view is that the rating agencies have access to only</w:t>
      </w:r>
      <w:r w:rsidR="00381E1E">
        <w:t xml:space="preserve"> </w:t>
      </w:r>
      <w:r w:rsidR="00381E1E" w:rsidRPr="004D08F2">
        <w:t>publicly available information, and the agencies generally lag the market in</w:t>
      </w:r>
      <w:r w:rsidR="00381E1E">
        <w:t xml:space="preserve"> processing that information. </w:t>
      </w:r>
      <w:r w:rsidR="00381E1E" w:rsidRPr="004D08F2">
        <w:t xml:space="preserve">According to this view, </w:t>
      </w:r>
      <w:r w:rsidR="00142D24">
        <w:t xml:space="preserve">if rating agencies base </w:t>
      </w:r>
      <w:r w:rsidR="007C123A">
        <w:t>the</w:t>
      </w:r>
      <w:r w:rsidR="00142D24">
        <w:t xml:space="preserve"> rating changes on publicly available information, the efficient market hypothesis (EMH) predicts that stock prices will not adjust in response</w:t>
      </w:r>
      <w:r w:rsidR="000A54C6">
        <w:t xml:space="preserve"> to the ratings change event (</w:t>
      </w:r>
      <w:r w:rsidR="002378EC">
        <w:t>Brooks, 2004</w:t>
      </w:r>
      <w:r w:rsidR="00142D24">
        <w:t xml:space="preserve">). </w:t>
      </w:r>
      <w:r w:rsidR="00C07A4B">
        <w:t>Moreover, if this information is publically available</w:t>
      </w:r>
      <w:r w:rsidR="00DA47C3">
        <w:t>,</w:t>
      </w:r>
      <w:r w:rsidR="00C07A4B">
        <w:t xml:space="preserve"> </w:t>
      </w:r>
      <w:r w:rsidR="00DA47C3">
        <w:t>the</w:t>
      </w:r>
      <w:r w:rsidR="00C07A4B">
        <w:t xml:space="preserve"> CRA has </w:t>
      </w:r>
      <w:r w:rsidR="00DA47C3">
        <w:t xml:space="preserve">the sole role </w:t>
      </w:r>
      <w:r w:rsidR="00C07A4B">
        <w:t>to bundl</w:t>
      </w:r>
      <w:r w:rsidR="00DA47C3">
        <w:t>e the information and bring this</w:t>
      </w:r>
      <w:r w:rsidR="00C07A4B">
        <w:t xml:space="preserve"> through their </w:t>
      </w:r>
      <w:r w:rsidR="00DA47C3">
        <w:t xml:space="preserve">existing </w:t>
      </w:r>
      <w:r w:rsidR="00C07A4B">
        <w:t>channel</w:t>
      </w:r>
      <w:r w:rsidR="00DA47C3">
        <w:t>s</w:t>
      </w:r>
      <w:r w:rsidR="00C07A4B">
        <w:t xml:space="preserve"> into the market. </w:t>
      </w:r>
    </w:p>
    <w:p w:rsidR="00C07A4B" w:rsidRDefault="00C07A4B" w:rsidP="002E66BB">
      <w:pPr>
        <w:spacing w:line="360" w:lineRule="auto"/>
        <w:jc w:val="both"/>
      </w:pPr>
    </w:p>
    <w:p w:rsidR="00C07A4B" w:rsidRDefault="002E66BB" w:rsidP="002E66BB">
      <w:pPr>
        <w:spacing w:line="360" w:lineRule="auto"/>
        <w:jc w:val="both"/>
      </w:pPr>
      <w:r>
        <w:t>An alternative</w:t>
      </w:r>
      <w:r w:rsidR="00C07A4B">
        <w:t xml:space="preserve"> view is that CRAs are information specialists, which retrieve their information from multiple </w:t>
      </w:r>
      <w:r w:rsidR="00F152D0">
        <w:t>sources. These sources are not publically available</w:t>
      </w:r>
      <w:r w:rsidR="00C07A4B">
        <w:t xml:space="preserve"> and hence are very costly to retrieve. The selected CRAs have access to these channels and are hence the lowest cost providers of this information. Consequently, new information on the </w:t>
      </w:r>
      <w:r w:rsidR="007717C0">
        <w:t>credit outlook</w:t>
      </w:r>
      <w:r w:rsidR="00C07A4B">
        <w:t xml:space="preserve"> of countries, assigned ratings, presented by the CRAs will have an effect on the attitude of investors that will anticipate to this</w:t>
      </w:r>
      <w:r w:rsidR="00DA47C3">
        <w:t xml:space="preserve"> (new)</w:t>
      </w:r>
      <w:r w:rsidR="00C07A4B">
        <w:t xml:space="preserve"> information. </w:t>
      </w:r>
      <w:r w:rsidR="00F152D0">
        <w:t xml:space="preserve">Hence, once there is an extent to which stock prices react to sovereign ratings implies either evidence against the semi-strong form EMH, or, the presence of some private information available only to ratings agencies that has, as a consequence, </w:t>
      </w:r>
      <w:r w:rsidR="000A54C6">
        <w:t>come into the public domain (</w:t>
      </w:r>
      <w:r w:rsidR="00F152D0">
        <w:t>Brooks, 2002).</w:t>
      </w:r>
    </w:p>
    <w:p w:rsidR="00C07A4B" w:rsidRDefault="00C07A4B" w:rsidP="002E66BB">
      <w:pPr>
        <w:spacing w:line="360" w:lineRule="auto"/>
        <w:jc w:val="both"/>
      </w:pPr>
    </w:p>
    <w:p w:rsidR="003F5ECB" w:rsidRPr="003F5ECB" w:rsidRDefault="00C07A4B" w:rsidP="00A25C46">
      <w:pPr>
        <w:widowControl w:val="0"/>
        <w:autoSpaceDE w:val="0"/>
        <w:autoSpaceDN w:val="0"/>
        <w:adjustRightInd w:val="0"/>
        <w:spacing w:after="240" w:line="360" w:lineRule="auto"/>
        <w:jc w:val="both"/>
      </w:pPr>
      <w:r>
        <w:t xml:space="preserve">Kaplan and </w:t>
      </w:r>
      <w:proofErr w:type="spellStart"/>
      <w:r>
        <w:t>Urwitz</w:t>
      </w:r>
      <w:proofErr w:type="spellEnd"/>
      <w:r>
        <w:t xml:space="preserve"> </w:t>
      </w:r>
      <w:r w:rsidR="002E66BB">
        <w:t>argue that the simple discriminant models based on publically available data to</w:t>
      </w:r>
      <w:r w:rsidR="00AD33A1">
        <w:t>o</w:t>
      </w:r>
      <w:r w:rsidR="002E66BB">
        <w:t xml:space="preserve"> closely mimic the ratings of CRAs. This supports the claim that CRAs react on information that is already publically available. Moreover, a</w:t>
      </w:r>
      <w:r w:rsidR="002E66BB" w:rsidRPr="001C01AE">
        <w:t xml:space="preserve">necdotal evidence </w:t>
      </w:r>
      <w:r w:rsidR="000A54C6">
        <w:t xml:space="preserve">according to </w:t>
      </w:r>
      <w:proofErr w:type="spellStart"/>
      <w:r w:rsidR="000A54C6">
        <w:t>Kaminsky</w:t>
      </w:r>
      <w:proofErr w:type="spellEnd"/>
      <w:r w:rsidR="000A54C6">
        <w:t xml:space="preserve"> </w:t>
      </w:r>
      <w:r w:rsidR="002378EC">
        <w:t>et al,</w:t>
      </w:r>
      <w:r w:rsidR="002E66BB">
        <w:t xml:space="preserve"> </w:t>
      </w:r>
      <w:r w:rsidR="002E66BB" w:rsidRPr="001C01AE">
        <w:t xml:space="preserve">suggests that market participants do not try to anticipate to the actions of </w:t>
      </w:r>
      <w:r w:rsidR="002E66BB">
        <w:t>CRAs, but these agencies</w:t>
      </w:r>
      <w:r w:rsidR="002E66BB" w:rsidRPr="001C01AE">
        <w:t xml:space="preserve"> closely</w:t>
      </w:r>
      <w:r w:rsidR="002E66BB">
        <w:t xml:space="preserve"> follow</w:t>
      </w:r>
      <w:r w:rsidR="002E66BB" w:rsidRPr="001C01AE">
        <w:t xml:space="preserve"> the market sentiment. </w:t>
      </w:r>
      <w:r w:rsidR="00A02260">
        <w:t>Even though, a</w:t>
      </w:r>
      <w:r w:rsidR="00A54261">
        <w:t xml:space="preserve">ccording to the CRAs publications, the agencies claim that </w:t>
      </w:r>
      <w:r w:rsidR="00A54261">
        <w:lastRenderedPageBreak/>
        <w:t xml:space="preserve">they have access to non-public information. Both Moody’s and Standard and Poor’s indicate that the rating review includes thorough investigations that are </w:t>
      </w:r>
      <w:r w:rsidR="00A02260">
        <w:t xml:space="preserve">“probably” </w:t>
      </w:r>
      <w:r w:rsidR="00A54261">
        <w:t xml:space="preserve">not publically accessible. </w:t>
      </w:r>
    </w:p>
    <w:p w:rsidR="00A25C46" w:rsidRPr="001C01AE" w:rsidRDefault="00A02260" w:rsidP="00A25C46">
      <w:pPr>
        <w:widowControl w:val="0"/>
        <w:autoSpaceDE w:val="0"/>
        <w:autoSpaceDN w:val="0"/>
        <w:adjustRightInd w:val="0"/>
        <w:spacing w:after="240" w:line="360" w:lineRule="auto"/>
        <w:jc w:val="both"/>
      </w:pPr>
      <w:r>
        <w:t>However</w:t>
      </w:r>
      <w:r w:rsidR="000A54C6">
        <w:t xml:space="preserve">, the results of </w:t>
      </w:r>
      <w:proofErr w:type="spellStart"/>
      <w:r w:rsidR="000A54C6">
        <w:t>Kaminsky</w:t>
      </w:r>
      <w:proofErr w:type="spellEnd"/>
      <w:r w:rsidR="000A54C6">
        <w:t xml:space="preserve"> </w:t>
      </w:r>
      <w:r w:rsidR="002378EC">
        <w:t xml:space="preserve">et al </w:t>
      </w:r>
      <w:r w:rsidR="00A25C46" w:rsidRPr="001C01AE">
        <w:t xml:space="preserve">are consistent with the findings in Reinhart (2001), who examines whether </w:t>
      </w:r>
      <w:r w:rsidR="00A25C46">
        <w:t>CRAs</w:t>
      </w:r>
      <w:r w:rsidR="00A25C46" w:rsidRPr="001C01AE">
        <w:t xml:space="preserve"> actions anticipated the crises of the 1990s. With a large sample of countries and crises, the author concludes that rating changes </w:t>
      </w:r>
      <w:r w:rsidR="00645B9E">
        <w:t xml:space="preserve">are </w:t>
      </w:r>
      <w:r w:rsidR="00A25C46" w:rsidRPr="001C01AE">
        <w:t>far from being leading indicators of crises</w:t>
      </w:r>
      <w:r w:rsidR="00645B9E">
        <w:t xml:space="preserve"> and</w:t>
      </w:r>
      <w:r w:rsidR="00A25C46" w:rsidRPr="001C01AE">
        <w:t xml:space="preserve"> have turned out to be lagging indicators of financial collapses. In contrast, the aftermath of rating changes is uneventful, with sovereign bond yield spreads and stock spreads mostly unchanged after the announcements and with both spreads maintaining the gains or losses observed in the days preceding the rating changes</w:t>
      </w:r>
      <w:r w:rsidR="000A54C6">
        <w:t xml:space="preserve"> (</w:t>
      </w:r>
      <w:proofErr w:type="spellStart"/>
      <w:r w:rsidR="00427588">
        <w:t>Kaminsky</w:t>
      </w:r>
      <w:proofErr w:type="spellEnd"/>
      <w:r w:rsidR="002378EC">
        <w:t xml:space="preserve"> et al, </w:t>
      </w:r>
      <w:r w:rsidR="00427588" w:rsidRPr="00427588">
        <w:t>2002)</w:t>
      </w:r>
      <w:r w:rsidR="00A25C46" w:rsidRPr="001C01AE">
        <w:t>.</w:t>
      </w:r>
    </w:p>
    <w:p w:rsidR="00445A2E" w:rsidRPr="00347CF3" w:rsidRDefault="00445A2E" w:rsidP="00445A2E">
      <w:pPr>
        <w:widowControl w:val="0"/>
        <w:autoSpaceDE w:val="0"/>
        <w:autoSpaceDN w:val="0"/>
        <w:adjustRightInd w:val="0"/>
        <w:spacing w:after="240" w:line="360" w:lineRule="auto"/>
        <w:jc w:val="both"/>
      </w:pPr>
      <w:r w:rsidRPr="00347CF3">
        <w:t>Since the beginning of the crisis, CRAs have frequently been accused of timing their downgrades badly and of precipitating sudden negative shifts in investor consensus (</w:t>
      </w:r>
      <w:proofErr w:type="spellStart"/>
      <w:r w:rsidRPr="00347CF3">
        <w:t>Veron</w:t>
      </w:r>
      <w:proofErr w:type="spellEnd"/>
      <w:r w:rsidRPr="00347CF3">
        <w:t>, 2011).</w:t>
      </w:r>
      <w:r w:rsidR="000A54C6">
        <w:t xml:space="preserve"> However, according to </w:t>
      </w:r>
      <w:proofErr w:type="spellStart"/>
      <w:r w:rsidR="000A54C6">
        <w:t>V</w:t>
      </w:r>
      <w:r w:rsidRPr="00347CF3">
        <w:t>eron</w:t>
      </w:r>
      <w:proofErr w:type="spellEnd"/>
      <w:r w:rsidRPr="00347CF3">
        <w:t>, it is infrequent that rating downgrades surprise markets – generally they follow degradations of market sentiment rather than precede it. According to previous research, once CRAs do anticipate, investors often do not give much attention. However, the investor sentiment has never been thoroughly investigated anticipating to such events.</w:t>
      </w:r>
    </w:p>
    <w:p w:rsidR="00445A2E" w:rsidRDefault="00645B9E" w:rsidP="00445A2E">
      <w:pPr>
        <w:widowControl w:val="0"/>
        <w:autoSpaceDE w:val="0"/>
        <w:autoSpaceDN w:val="0"/>
        <w:adjustRightInd w:val="0"/>
        <w:spacing w:after="240" w:line="360" w:lineRule="auto"/>
        <w:jc w:val="both"/>
      </w:pPr>
      <w:r>
        <w:t>Ever since the Euro-</w:t>
      </w:r>
      <w:r w:rsidR="00445A2E" w:rsidRPr="00347CF3">
        <w:t xml:space="preserve">area has become volatile and the sovereign yields have come under pressure, </w:t>
      </w:r>
      <w:proofErr w:type="spellStart"/>
      <w:r w:rsidR="00445A2E" w:rsidRPr="00347CF3">
        <w:t>Veron</w:t>
      </w:r>
      <w:proofErr w:type="spellEnd"/>
      <w:r w:rsidR="00445A2E" w:rsidRPr="00347CF3">
        <w:t xml:space="preserve"> research suggests that ‘the biggest and most sudden shifts in investor sentiment have been triggered by new information from the policy sphere</w:t>
      </w:r>
      <w:r w:rsidR="002378EC">
        <w:t xml:space="preserve"> </w:t>
      </w:r>
      <w:r w:rsidR="00445A2E" w:rsidRPr="00347CF3">
        <w:t xml:space="preserve">—such as, among others, the announcement by Greece of worse deficits than previously disclosed, the French-German Deauville declaration of October 18, 2010, or the </w:t>
      </w:r>
      <w:proofErr w:type="spellStart"/>
      <w:r w:rsidR="00445A2E" w:rsidRPr="00347CF3">
        <w:t>Eurogroup</w:t>
      </w:r>
      <w:proofErr w:type="spellEnd"/>
      <w:r w:rsidR="00445A2E" w:rsidRPr="00347CF3">
        <w:t xml:space="preserve"> President’s suggestion of a “re-profiling” on May 16, 2011’. In </w:t>
      </w:r>
      <w:r w:rsidR="006F5B4A" w:rsidRPr="00347CF3">
        <w:t xml:space="preserve">the research by </w:t>
      </w:r>
      <w:proofErr w:type="spellStart"/>
      <w:r w:rsidR="006F5B4A" w:rsidRPr="00347CF3">
        <w:t>Veron</w:t>
      </w:r>
      <w:proofErr w:type="spellEnd"/>
      <w:r w:rsidR="006F5B4A" w:rsidRPr="00347CF3">
        <w:t xml:space="preserve"> (2011) the author</w:t>
      </w:r>
      <w:r w:rsidR="00445A2E" w:rsidRPr="00347CF3">
        <w:t xml:space="preserve"> do</w:t>
      </w:r>
      <w:r>
        <w:t>ubts whether CRA downgrades of Euro-</w:t>
      </w:r>
      <w:r w:rsidR="00445A2E" w:rsidRPr="00347CF3">
        <w:t>area countries have had any impact on the sentiment of investors. The dataset that we are provided with, allows us to test these doubts.</w:t>
      </w:r>
      <w:r w:rsidR="006F5B4A" w:rsidRPr="00347CF3">
        <w:t xml:space="preserve"> Clearly, we can agree that the policy signals have had demonstrable impact on risk perceptions of investors as was also </w:t>
      </w:r>
      <w:r w:rsidR="00D655DF" w:rsidRPr="00347CF3">
        <w:t>proved</w:t>
      </w:r>
      <w:r w:rsidR="006F5B4A" w:rsidRPr="00347CF3">
        <w:t xml:space="preserve"> by the BIS Quarterly review, 2010. </w:t>
      </w:r>
    </w:p>
    <w:p w:rsidR="00AD33A1" w:rsidRPr="00347CF3" w:rsidRDefault="00AD33A1" w:rsidP="00445A2E">
      <w:pPr>
        <w:widowControl w:val="0"/>
        <w:autoSpaceDE w:val="0"/>
        <w:autoSpaceDN w:val="0"/>
        <w:adjustRightInd w:val="0"/>
        <w:spacing w:after="240" w:line="360" w:lineRule="auto"/>
        <w:jc w:val="both"/>
      </w:pPr>
    </w:p>
    <w:p w:rsidR="00C126DC" w:rsidRPr="00347CF3" w:rsidRDefault="00C126DC" w:rsidP="00445A2E">
      <w:pPr>
        <w:widowControl w:val="0"/>
        <w:autoSpaceDE w:val="0"/>
        <w:autoSpaceDN w:val="0"/>
        <w:adjustRightInd w:val="0"/>
        <w:spacing w:after="240" w:line="360" w:lineRule="auto"/>
        <w:jc w:val="both"/>
      </w:pPr>
      <w:r w:rsidRPr="00347CF3">
        <w:lastRenderedPageBreak/>
        <w:t>According to Moody’s in 2009, credit ratings are affected by the economic cycles. However, these credit ratings are</w:t>
      </w:r>
      <w:r w:rsidR="00593093" w:rsidRPr="00347CF3">
        <w:t>,</w:t>
      </w:r>
      <w:r w:rsidRPr="00347CF3">
        <w:t xml:space="preserve"> according to </w:t>
      </w:r>
      <w:r w:rsidR="0027021E" w:rsidRPr="00347CF3">
        <w:t>Moody’s</w:t>
      </w:r>
      <w:r w:rsidR="00593093" w:rsidRPr="00347CF3">
        <w:t>,</w:t>
      </w:r>
      <w:r w:rsidRPr="00347CF3">
        <w:t xml:space="preserve"> more stable and effective than market based indicators of credit worthiness. According to this CRA, replacing the</w:t>
      </w:r>
      <w:r w:rsidR="0027021E" w:rsidRPr="00347CF3">
        <w:t>se</w:t>
      </w:r>
      <w:r w:rsidRPr="00347CF3">
        <w:t xml:space="preserve"> credit rating</w:t>
      </w:r>
      <w:r w:rsidR="0027021E" w:rsidRPr="00347CF3">
        <w:t>s by market-based measures, the pro-cyclicality would be reinforced and hence worsening the financial market overall due to increased volatility.</w:t>
      </w:r>
    </w:p>
    <w:p w:rsidR="002D1306" w:rsidRPr="00347CF3" w:rsidRDefault="0041352F" w:rsidP="003F5ECB">
      <w:pPr>
        <w:widowControl w:val="0"/>
        <w:autoSpaceDE w:val="0"/>
        <w:autoSpaceDN w:val="0"/>
        <w:adjustRightInd w:val="0"/>
        <w:spacing w:after="240" w:line="360" w:lineRule="auto"/>
        <w:jc w:val="both"/>
      </w:pPr>
      <w:r w:rsidRPr="00347CF3">
        <w:t>Many</w:t>
      </w:r>
      <w:r w:rsidR="002D1306" w:rsidRPr="00347CF3">
        <w:t xml:space="preserve"> opposi</w:t>
      </w:r>
      <w:r w:rsidR="001D3F8D" w:rsidRPr="00347CF3">
        <w:t>ng</w:t>
      </w:r>
      <w:r w:rsidRPr="00347CF3">
        <w:t xml:space="preserve"> opinions</w:t>
      </w:r>
      <w:r w:rsidR="002D1306" w:rsidRPr="00347CF3">
        <w:t xml:space="preserve"> and results</w:t>
      </w:r>
      <w:r w:rsidRPr="00347CF3">
        <w:t xml:space="preserve"> become apparent once we look into the influence of CRAs on investor sentiment.</w:t>
      </w:r>
      <w:r w:rsidR="002D1306" w:rsidRPr="00347CF3">
        <w:t xml:space="preserve"> There are clearly two sides to be taken, namely, either the CRAs have significant impact on the market and cause market jitters or CRAs are far behind the market and investors disregard the (new) information that the agencies provide. </w:t>
      </w:r>
      <w:r w:rsidR="00593093" w:rsidRPr="00347CF3">
        <w:t>Nevertheless</w:t>
      </w:r>
      <w:r w:rsidR="002D1306" w:rsidRPr="00347CF3">
        <w:t xml:space="preserve"> the two camps, this makes the</w:t>
      </w:r>
      <w:r w:rsidR="00593093" w:rsidRPr="00347CF3">
        <w:t xml:space="preserve"> </w:t>
      </w:r>
      <w:r w:rsidR="0027021E" w:rsidRPr="00347CF3">
        <w:t xml:space="preserve">research on the influence of CRAs on investor sentiment </w:t>
      </w:r>
      <w:r w:rsidR="00FF73CD" w:rsidRPr="00347CF3">
        <w:t xml:space="preserve">even more </w:t>
      </w:r>
      <w:r w:rsidR="0027021E" w:rsidRPr="00347CF3">
        <w:t xml:space="preserve">interesting and </w:t>
      </w:r>
      <w:r w:rsidR="002D1306" w:rsidRPr="00347CF3">
        <w:t>contemporary</w:t>
      </w:r>
      <w:r w:rsidR="0027021E" w:rsidRPr="00347CF3">
        <w:t xml:space="preserve">. </w:t>
      </w:r>
    </w:p>
    <w:p w:rsidR="006F1CDA" w:rsidRDefault="002D1306" w:rsidP="003F5ECB">
      <w:pPr>
        <w:widowControl w:val="0"/>
        <w:autoSpaceDE w:val="0"/>
        <w:autoSpaceDN w:val="0"/>
        <w:adjustRightInd w:val="0"/>
        <w:spacing w:after="240" w:line="360" w:lineRule="auto"/>
        <w:jc w:val="both"/>
      </w:pPr>
      <w:r w:rsidRPr="00347CF3">
        <w:t xml:space="preserve">Multiple </w:t>
      </w:r>
      <w:r w:rsidR="006A3ABB" w:rsidRPr="00347CF3">
        <w:t xml:space="preserve">intuitive </w:t>
      </w:r>
      <w:r w:rsidR="000E6136">
        <w:t>relations</w:t>
      </w:r>
      <w:r w:rsidR="006A3ABB" w:rsidRPr="00347CF3">
        <w:t xml:space="preserve"> can be discussed between CRA activities on sovereign ratings and investor sentiment. Primarily, </w:t>
      </w:r>
      <w:proofErr w:type="spellStart"/>
      <w:r w:rsidR="00142D24" w:rsidRPr="00347CF3">
        <w:t>Reisen</w:t>
      </w:r>
      <w:proofErr w:type="spellEnd"/>
      <w:r w:rsidR="00142D24" w:rsidRPr="00347CF3">
        <w:t xml:space="preserve"> and </w:t>
      </w:r>
      <w:proofErr w:type="spellStart"/>
      <w:r w:rsidR="00142D24" w:rsidRPr="00347CF3">
        <w:t>Maltzan</w:t>
      </w:r>
      <w:proofErr w:type="spellEnd"/>
      <w:r w:rsidR="00BD43AB">
        <w:t xml:space="preserve"> (1998)</w:t>
      </w:r>
      <w:r w:rsidR="006A3ABB" w:rsidRPr="00347CF3">
        <w:t xml:space="preserve"> observe high</w:t>
      </w:r>
      <w:r w:rsidR="00F13AD0" w:rsidRPr="00347CF3">
        <w:t>er</w:t>
      </w:r>
      <w:r w:rsidR="006A3ABB" w:rsidRPr="00347CF3">
        <w:t xml:space="preserve"> volatility in the equity market</w:t>
      </w:r>
      <w:r w:rsidR="00F13AD0" w:rsidRPr="00347CF3">
        <w:t>s</w:t>
      </w:r>
      <w:r w:rsidR="006A3ABB" w:rsidRPr="00347CF3">
        <w:t xml:space="preserve"> after a credit rating event</w:t>
      </w:r>
      <w:r w:rsidR="00F13AD0" w:rsidRPr="00347CF3">
        <w:t xml:space="preserve"> on a </w:t>
      </w:r>
      <w:r w:rsidR="00593093" w:rsidRPr="00347CF3">
        <w:t>30-day</w:t>
      </w:r>
      <w:r w:rsidR="00F13AD0" w:rsidRPr="00347CF3">
        <w:t xml:space="preserve"> horizon</w:t>
      </w:r>
      <w:r w:rsidR="006A3ABB" w:rsidRPr="00347CF3">
        <w:t xml:space="preserve">. This increased volatility </w:t>
      </w:r>
      <w:r w:rsidR="00197A9F" w:rsidRPr="00347CF3">
        <w:t xml:space="preserve">drives down share prices and triggers investor sentiment. </w:t>
      </w:r>
    </w:p>
    <w:p w:rsidR="006F1CDA" w:rsidRDefault="00BD43AB" w:rsidP="006F1CDA">
      <w:pPr>
        <w:widowControl w:val="0"/>
        <w:autoSpaceDE w:val="0"/>
        <w:autoSpaceDN w:val="0"/>
        <w:adjustRightInd w:val="0"/>
        <w:spacing w:after="240" w:line="360" w:lineRule="auto"/>
        <w:jc w:val="both"/>
      </w:pPr>
      <w:r>
        <w:t xml:space="preserve">Brooks, Faff, Hillier and </w:t>
      </w:r>
      <w:r w:rsidR="006F1CDA">
        <w:t xml:space="preserve">Hillier </w:t>
      </w:r>
      <w:r w:rsidR="00142D24">
        <w:t xml:space="preserve">also </w:t>
      </w:r>
      <w:r w:rsidR="006F1CDA">
        <w:t>report in 2002 that rating downgrades have a negative wealth impact on market retur</w:t>
      </w:r>
      <w:r w:rsidR="00F60830">
        <w:t>ns. They fou</w:t>
      </w:r>
      <w:r w:rsidR="006F1CDA">
        <w:t>nd that a sovereign downgrade has a negative impact on both the domestic stock market and the dollar value of the country’s currency. Moreover, they have investigated the four major CRAs and</w:t>
      </w:r>
      <w:r>
        <w:t xml:space="preserve"> concluded that only Standard&amp;</w:t>
      </w:r>
      <w:r w:rsidR="006F1CDA">
        <w:t xml:space="preserve">Poors and Fitch rating downgrades result in significant market falls. </w:t>
      </w:r>
      <w:r w:rsidR="00F60830">
        <w:t>Finally, they proved that markets react more severely to multiple rating changes close after each other, interesting to our research since we have a dataset with a high density of rating announcements and downgrades.</w:t>
      </w:r>
    </w:p>
    <w:p w:rsidR="00F13AD0" w:rsidRPr="00347CF3" w:rsidRDefault="009A6A80" w:rsidP="003F5ECB">
      <w:pPr>
        <w:widowControl w:val="0"/>
        <w:autoSpaceDE w:val="0"/>
        <w:autoSpaceDN w:val="0"/>
        <w:adjustRightInd w:val="0"/>
        <w:spacing w:after="240" w:line="360" w:lineRule="auto"/>
        <w:jc w:val="both"/>
      </w:pPr>
      <w:r w:rsidRPr="00347CF3">
        <w:t xml:space="preserve">Reisen </w:t>
      </w:r>
      <w:r w:rsidR="00142D24">
        <w:t>et al</w:t>
      </w:r>
      <w:r w:rsidR="00DB0BDA" w:rsidRPr="00347CF3">
        <w:t xml:space="preserve"> investigated</w:t>
      </w:r>
      <w:r w:rsidR="00327FDC" w:rsidRPr="00347CF3">
        <w:t xml:space="preserve"> </w:t>
      </w:r>
      <w:r w:rsidR="00DB0BDA" w:rsidRPr="00347CF3">
        <w:t xml:space="preserve">in 1998 the market volatility after </w:t>
      </w:r>
      <w:r w:rsidR="001D3F8D" w:rsidRPr="00347CF3">
        <w:t>a</w:t>
      </w:r>
      <w:r w:rsidR="00DB0BDA" w:rsidRPr="00347CF3">
        <w:t xml:space="preserve"> negative announcement on sovereign ratings by the two leading CRAs</w:t>
      </w:r>
      <w:r w:rsidR="006F1CDA">
        <w:t xml:space="preserve"> (Moody’s and Standard&amp;Poor)</w:t>
      </w:r>
      <w:r w:rsidR="00DB0BDA" w:rsidRPr="00347CF3">
        <w:t>. They found a significant raise in stock market volatility in the co</w:t>
      </w:r>
      <w:r w:rsidR="00327FDC" w:rsidRPr="00347CF3">
        <w:t>untries concerned with a</w:t>
      </w:r>
      <w:r w:rsidR="00DB0BDA" w:rsidRPr="00347CF3">
        <w:t xml:space="preserve"> negative announcement</w:t>
      </w:r>
      <w:r w:rsidR="00327FDC" w:rsidRPr="00347CF3">
        <w:t xml:space="preserve"> on their sovereign rating. They have attributed the significant impact of these sovereign ratings to investor herd behaviour and prudential regulation imposed on institutional investors</w:t>
      </w:r>
      <w:r w:rsidR="001D3F8D" w:rsidRPr="00347CF3">
        <w:t xml:space="preserve"> (</w:t>
      </w:r>
      <w:r w:rsidR="00BD43AB">
        <w:t>Reisen et al.</w:t>
      </w:r>
      <w:r w:rsidR="001D3F8D" w:rsidRPr="00347CF3">
        <w:t>, 1998)</w:t>
      </w:r>
      <w:r w:rsidR="00327FDC" w:rsidRPr="00347CF3">
        <w:t xml:space="preserve">. </w:t>
      </w:r>
      <w:r w:rsidR="001D3F8D" w:rsidRPr="00347CF3">
        <w:t xml:space="preserve">These researchers indeed suggest that the CRAs </w:t>
      </w:r>
      <w:r w:rsidR="00BF052B">
        <w:t>described</w:t>
      </w:r>
      <w:r w:rsidR="001D3F8D" w:rsidRPr="00347CF3">
        <w:t xml:space="preserve"> in their research have significant impact on the </w:t>
      </w:r>
      <w:r w:rsidR="001D3F8D" w:rsidRPr="00347CF3">
        <w:lastRenderedPageBreak/>
        <w:t xml:space="preserve">volatility in the market after downgrading the sovereign </w:t>
      </w:r>
      <w:r w:rsidR="005976DB" w:rsidRPr="00347CF3">
        <w:t xml:space="preserve">rating. They also suggest that the sovereign ratings system, as it is now, is a late warning system.  Hence, the sovereign ratings system should be changed to an early warning system </w:t>
      </w:r>
      <w:r w:rsidR="00347CF3" w:rsidRPr="00347CF3">
        <w:t xml:space="preserve">since the </w:t>
      </w:r>
      <w:r w:rsidR="005976DB" w:rsidRPr="00347CF3">
        <w:t>rating</w:t>
      </w:r>
      <w:r w:rsidR="00347CF3" w:rsidRPr="00347CF3">
        <w:t>s</w:t>
      </w:r>
      <w:r w:rsidR="00BF052B">
        <w:t>,</w:t>
      </w:r>
      <w:r w:rsidR="00347CF3" w:rsidRPr="00347CF3">
        <w:t xml:space="preserve"> as it is now</w:t>
      </w:r>
      <w:r w:rsidR="00BF052B">
        <w:t>,</w:t>
      </w:r>
      <w:r w:rsidR="005976DB" w:rsidRPr="00347CF3">
        <w:t xml:space="preserve"> contribute to a destabilizing international capital flow and </w:t>
      </w:r>
      <w:r w:rsidR="00347CF3" w:rsidRPr="00347CF3">
        <w:t>reduce</w:t>
      </w:r>
      <w:r w:rsidR="005976DB" w:rsidRPr="00347CF3">
        <w:t xml:space="preserve"> the benefit especially in </w:t>
      </w:r>
      <w:r w:rsidR="00347CF3" w:rsidRPr="00347CF3">
        <w:t>the context of e</w:t>
      </w:r>
      <w:r w:rsidR="00BD43AB">
        <w:t xml:space="preserve">merging markets according to </w:t>
      </w:r>
      <w:r w:rsidR="00347CF3" w:rsidRPr="00347CF3">
        <w:t>Reisen et al.</w:t>
      </w:r>
    </w:p>
    <w:p w:rsidR="000E6136" w:rsidRPr="00817E0D" w:rsidRDefault="000E6136" w:rsidP="003F5ECB">
      <w:pPr>
        <w:widowControl w:val="0"/>
        <w:autoSpaceDE w:val="0"/>
        <w:autoSpaceDN w:val="0"/>
        <w:adjustRightInd w:val="0"/>
        <w:spacing w:after="240" w:line="360" w:lineRule="auto"/>
        <w:jc w:val="both"/>
      </w:pPr>
      <w:r w:rsidRPr="00817E0D">
        <w:t xml:space="preserve">Another relation between the CRA actions on sovereign </w:t>
      </w:r>
      <w:r w:rsidR="00D56826">
        <w:t>credit ratings</w:t>
      </w:r>
      <w:r w:rsidRPr="00817E0D">
        <w:t xml:space="preserve"> and investor sentiment is consumer confidence. The consumer confidence is affected once a CRA changes the sovereign credit outlook or rating. </w:t>
      </w:r>
      <w:r w:rsidR="00AA6E59" w:rsidRPr="00817E0D">
        <w:t xml:space="preserve">Hence, the negative growth outlooks and downgrades on sovereign </w:t>
      </w:r>
      <w:r w:rsidR="00D56826">
        <w:t>credit rating</w:t>
      </w:r>
      <w:r w:rsidR="00AA6E59" w:rsidRPr="00817E0D">
        <w:t>s trigger consumer confidence</w:t>
      </w:r>
      <w:r w:rsidRPr="00817E0D">
        <w:t xml:space="preserve">. </w:t>
      </w:r>
      <w:r w:rsidR="00AA6E59" w:rsidRPr="00817E0D">
        <w:t>Moreover,</w:t>
      </w:r>
      <w:r w:rsidR="00A04ACA" w:rsidRPr="00817E0D">
        <w:t xml:space="preserve"> during the financial crisis,</w:t>
      </w:r>
      <w:r w:rsidR="00AA6E59" w:rsidRPr="00817E0D">
        <w:t xml:space="preserve"> the volatility in the </w:t>
      </w:r>
      <w:r w:rsidR="00A04ACA" w:rsidRPr="00817E0D">
        <w:t xml:space="preserve">western </w:t>
      </w:r>
      <w:r w:rsidR="00AA6E59" w:rsidRPr="00817E0D">
        <w:t xml:space="preserve">financial markets </w:t>
      </w:r>
      <w:r w:rsidR="00A04ACA" w:rsidRPr="00817E0D">
        <w:t>has</w:t>
      </w:r>
      <w:r w:rsidR="00AA6E59" w:rsidRPr="00817E0D">
        <w:t xml:space="preserve"> contributed to a sharp decline in busin</w:t>
      </w:r>
      <w:r w:rsidR="00BD43AB">
        <w:t>ess and consumer confidence (</w:t>
      </w:r>
      <w:proofErr w:type="spellStart"/>
      <w:r w:rsidR="00AA6E59" w:rsidRPr="00817E0D">
        <w:t>Plosser</w:t>
      </w:r>
      <w:proofErr w:type="spellEnd"/>
      <w:r w:rsidR="00AA6E59" w:rsidRPr="00817E0D">
        <w:t xml:space="preserve">, 2011). </w:t>
      </w:r>
      <w:r w:rsidR="00A04ACA" w:rsidRPr="00817E0D">
        <w:t>CRAs contribute to</w:t>
      </w:r>
      <w:r w:rsidR="0080119E" w:rsidRPr="00817E0D">
        <w:t xml:space="preserve"> the</w:t>
      </w:r>
      <w:r w:rsidR="00A04ACA" w:rsidRPr="00817E0D">
        <w:t xml:space="preserve"> panic among investors during crisis once downgrading, causing capital outflows and even</w:t>
      </w:r>
      <w:r w:rsidR="00BD43AB">
        <w:t xml:space="preserve"> higher spreads according to </w:t>
      </w:r>
      <w:r w:rsidR="00A04ACA" w:rsidRPr="00817E0D">
        <w:t>Reisen (2002). The sovereign ratings lag rather than lead and hence create additional consumer and inve</w:t>
      </w:r>
      <w:r w:rsidR="00A20E18" w:rsidRPr="00817E0D">
        <w:t xml:space="preserve">stor unrest in the market. </w:t>
      </w:r>
    </w:p>
    <w:p w:rsidR="00A20E18" w:rsidRDefault="0080119E" w:rsidP="003F5ECB">
      <w:pPr>
        <w:widowControl w:val="0"/>
        <w:autoSpaceDE w:val="0"/>
        <w:autoSpaceDN w:val="0"/>
        <w:adjustRightInd w:val="0"/>
        <w:spacing w:after="240" w:line="360" w:lineRule="auto"/>
        <w:jc w:val="both"/>
      </w:pPr>
      <w:r w:rsidRPr="00817E0D">
        <w:t xml:space="preserve">Moody’s addresses the uncertainty of institutional reform and weak macro economic outlook as </w:t>
      </w:r>
      <w:r w:rsidR="00A20E18" w:rsidRPr="00817E0D">
        <w:t xml:space="preserve">the key-drivers that get most weight on the </w:t>
      </w:r>
      <w:r w:rsidR="007B7670">
        <w:t xml:space="preserve">sovereign </w:t>
      </w:r>
      <w:r w:rsidR="00A20E18" w:rsidRPr="00817E0D">
        <w:t xml:space="preserve">outlook </w:t>
      </w:r>
      <w:r w:rsidRPr="00817E0D">
        <w:t>evaluation</w:t>
      </w:r>
      <w:r w:rsidR="00A20E18" w:rsidRPr="00817E0D">
        <w:t xml:space="preserve">. However, </w:t>
      </w:r>
      <w:r w:rsidRPr="00817E0D">
        <w:t xml:space="preserve">once changing the sovereign rating or outlook, they contribute to this already </w:t>
      </w:r>
      <w:r w:rsidR="00A20E18" w:rsidRPr="00817E0D">
        <w:t xml:space="preserve">fragile market </w:t>
      </w:r>
      <w:r w:rsidRPr="00817E0D">
        <w:t xml:space="preserve">and weak confidence, creating a cycle of distrust and decreasing sentiment. This affects the investors, consumer sentiment and </w:t>
      </w:r>
      <w:r w:rsidR="007B7670">
        <w:t xml:space="preserve">hence the market deteriorates further. </w:t>
      </w:r>
    </w:p>
    <w:p w:rsidR="001B0B1C" w:rsidRDefault="000549FE" w:rsidP="000C593C">
      <w:pPr>
        <w:spacing w:line="360" w:lineRule="auto"/>
        <w:jc w:val="both"/>
      </w:pPr>
      <w:r w:rsidRPr="000549FE">
        <w:t>A</w:t>
      </w:r>
      <w:r w:rsidR="00BD43AB">
        <w:t xml:space="preserve">ccording to </w:t>
      </w:r>
      <w:proofErr w:type="spellStart"/>
      <w:r w:rsidR="007B7670" w:rsidRPr="000549FE">
        <w:t>Afonso</w:t>
      </w:r>
      <w:proofErr w:type="spellEnd"/>
      <w:r w:rsidR="00F02498">
        <w:t xml:space="preserve"> in 2003</w:t>
      </w:r>
      <w:r>
        <w:t xml:space="preserve">, </w:t>
      </w:r>
      <w:r w:rsidRPr="000549FE">
        <w:t xml:space="preserve">the inflation rate </w:t>
      </w:r>
      <w:r w:rsidR="007B7670" w:rsidRPr="000549FE">
        <w:t>appear</w:t>
      </w:r>
      <w:r>
        <w:t>s</w:t>
      </w:r>
      <w:r w:rsidR="001955BC">
        <w:t xml:space="preserve"> to be</w:t>
      </w:r>
      <w:r w:rsidR="007B7670" w:rsidRPr="000549FE">
        <w:t xml:space="preserve"> most relevant to dete</w:t>
      </w:r>
      <w:r w:rsidRPr="000549FE">
        <w:t>rm</w:t>
      </w:r>
      <w:r>
        <w:t>ine a country's credit rating</w:t>
      </w:r>
      <w:r w:rsidRPr="000549FE">
        <w:t xml:space="preserve">. The inflation rate has two opposite effects on the existing government debt. Firstly, increasing inflation improves the public debt dynamics by reducing </w:t>
      </w:r>
      <w:r w:rsidRPr="000549FE">
        <w:rPr>
          <w:lang w:val="en-US"/>
        </w:rPr>
        <w:t>the re</w:t>
      </w:r>
      <w:r w:rsidR="00BD43AB">
        <w:rPr>
          <w:lang w:val="en-US"/>
        </w:rPr>
        <w:t>al value of government debt (</w:t>
      </w:r>
      <w:proofErr w:type="spellStart"/>
      <w:r w:rsidR="00F02498">
        <w:rPr>
          <w:lang w:val="en-US"/>
        </w:rPr>
        <w:t>Afonso</w:t>
      </w:r>
      <w:proofErr w:type="spellEnd"/>
      <w:r w:rsidR="00F02498">
        <w:rPr>
          <w:lang w:val="en-US"/>
        </w:rPr>
        <w:t>, 2003</w:t>
      </w:r>
      <w:r w:rsidRPr="000549FE">
        <w:rPr>
          <w:lang w:val="en-US"/>
        </w:rPr>
        <w:t xml:space="preserve">). Secondly, a rising inflation, which can be triggered by CRAs actions on sovereign ratings, </w:t>
      </w:r>
      <w:r>
        <w:rPr>
          <w:lang w:val="en-US"/>
        </w:rPr>
        <w:t>c</w:t>
      </w:r>
      <w:r w:rsidRPr="000549FE">
        <w:rPr>
          <w:lang w:val="en-US"/>
        </w:rPr>
        <w:t>ontribute</w:t>
      </w:r>
      <w:r>
        <w:rPr>
          <w:lang w:val="en-US"/>
        </w:rPr>
        <w:t>s</w:t>
      </w:r>
      <w:r w:rsidRPr="000549FE">
        <w:rPr>
          <w:lang w:val="en-US"/>
        </w:rPr>
        <w:t xml:space="preserve"> negatively to the debt dynamics because it makes it necessary for the government to pay higher nomi</w:t>
      </w:r>
      <w:r w:rsidR="00F02498">
        <w:rPr>
          <w:lang w:val="en-US"/>
        </w:rPr>
        <w:t>nal interest rates (</w:t>
      </w:r>
      <w:proofErr w:type="spellStart"/>
      <w:r w:rsidR="00F02498">
        <w:rPr>
          <w:lang w:val="en-US"/>
        </w:rPr>
        <w:t>Afonso</w:t>
      </w:r>
      <w:proofErr w:type="spellEnd"/>
      <w:r w:rsidR="00F02498">
        <w:rPr>
          <w:lang w:val="en-US"/>
        </w:rPr>
        <w:t>, 2003</w:t>
      </w:r>
      <w:r w:rsidRPr="000549FE">
        <w:rPr>
          <w:lang w:val="en-US"/>
        </w:rPr>
        <w:t>).</w:t>
      </w:r>
      <w:r w:rsidR="00537218">
        <w:rPr>
          <w:lang w:val="en-US"/>
        </w:rPr>
        <w:t xml:space="preserve"> </w:t>
      </w:r>
      <w:r w:rsidR="00537218">
        <w:t>The</w:t>
      </w:r>
      <w:r w:rsidR="00B407A0">
        <w:t xml:space="preserve"> increase in nominal interest rates on the government debt can have significant impact on the sentiment of investors, </w:t>
      </w:r>
      <w:r w:rsidR="00537218">
        <w:t>determining the growth outlook of a country.</w:t>
      </w:r>
      <w:r w:rsidR="00B407A0">
        <w:t xml:space="preserve"> </w:t>
      </w:r>
    </w:p>
    <w:p w:rsidR="001955BC" w:rsidRDefault="001955BC" w:rsidP="000C593C">
      <w:pPr>
        <w:spacing w:line="360" w:lineRule="auto"/>
        <w:jc w:val="both"/>
      </w:pPr>
    </w:p>
    <w:p w:rsidR="00194275" w:rsidRDefault="000A54C6" w:rsidP="001C01AE">
      <w:pPr>
        <w:pStyle w:val="Heading1"/>
        <w:jc w:val="both"/>
        <w:rPr>
          <w:lang w:val="en-US"/>
        </w:rPr>
      </w:pPr>
      <w:bookmarkStart w:id="3" w:name="_Toc204880063"/>
      <w:r>
        <w:rPr>
          <w:lang w:val="en-US"/>
        </w:rPr>
        <w:lastRenderedPageBreak/>
        <w:t xml:space="preserve">3. </w:t>
      </w:r>
      <w:r w:rsidR="00194275" w:rsidRPr="00C553E4">
        <w:rPr>
          <w:lang w:val="en-US"/>
        </w:rPr>
        <w:t>Methodology</w:t>
      </w:r>
      <w:bookmarkEnd w:id="3"/>
    </w:p>
    <w:p w:rsidR="00194275" w:rsidRDefault="00194275" w:rsidP="001C01AE">
      <w:pPr>
        <w:pStyle w:val="Heading2"/>
      </w:pPr>
      <w:bookmarkStart w:id="4" w:name="_Toc204880064"/>
      <w:r w:rsidRPr="009D5F2C">
        <w:t>Event study methodology</w:t>
      </w:r>
      <w:bookmarkEnd w:id="4"/>
    </w:p>
    <w:p w:rsidR="000546BC" w:rsidRDefault="000546BC" w:rsidP="009D1A34">
      <w:pPr>
        <w:spacing w:line="360" w:lineRule="auto"/>
        <w:jc w:val="both"/>
        <w:rPr>
          <w:lang w:val="en-GB"/>
        </w:rPr>
      </w:pPr>
    </w:p>
    <w:p w:rsidR="000546BC" w:rsidRPr="000546BC" w:rsidRDefault="000546BC" w:rsidP="009D1A34">
      <w:pPr>
        <w:spacing w:line="360" w:lineRule="auto"/>
        <w:jc w:val="both"/>
      </w:pPr>
      <w:r w:rsidRPr="000546BC">
        <w:t xml:space="preserve">In our model we attempt to test whether the spread in the sentiment index has </w:t>
      </w:r>
      <w:r w:rsidR="003555CC">
        <w:t>changed</w:t>
      </w:r>
      <w:r w:rsidRPr="000546BC">
        <w:t xml:space="preserve"> significantly due to CRAs credit announcements. </w:t>
      </w:r>
      <w:r w:rsidR="00DD417C">
        <w:t xml:space="preserve">The data that was provided with us by </w:t>
      </w:r>
      <w:r w:rsidR="00C06EF9">
        <w:t>a major Dutch bank</w:t>
      </w:r>
      <w:r w:rsidR="00DD417C">
        <w:t xml:space="preserve">, allows us to construct a sentiment index based on </w:t>
      </w:r>
      <w:r w:rsidR="00635EB6">
        <w:t xml:space="preserve">a survey group of roughly </w:t>
      </w:r>
      <w:r w:rsidR="00DD417C">
        <w:t xml:space="preserve">five thousand investors. </w:t>
      </w:r>
      <w:r w:rsidR="009D1A34">
        <w:t xml:space="preserve">The investor has about one week to answer the survey. In total four questions relate to our research. </w:t>
      </w:r>
      <w:r w:rsidR="009D1A34" w:rsidRPr="009D1A34">
        <w:t>Questions in our survey include an expectation of the AEX index in two weeks, an estimate on the maximum and minimum of the AEX index and what the investor beliefs the average of all respondents will be.</w:t>
      </w:r>
    </w:p>
    <w:p w:rsidR="00F35297" w:rsidRDefault="00F35297" w:rsidP="003555CC">
      <w:pPr>
        <w:spacing w:line="360" w:lineRule="auto"/>
      </w:pPr>
    </w:p>
    <w:p w:rsidR="00FE5656" w:rsidRDefault="00F35297" w:rsidP="00F35297">
      <w:pPr>
        <w:spacing w:line="360" w:lineRule="auto"/>
        <w:jc w:val="both"/>
        <w:rPr>
          <w:lang w:val="en-GB"/>
        </w:rPr>
      </w:pPr>
      <w:r w:rsidRPr="007C3A14">
        <w:t xml:space="preserve">To analyse how the investor sentiment responds to sovereign credit ratings and to credit outlook announcements we apply a standard event study methodology. </w:t>
      </w:r>
      <w:r w:rsidR="00FE5656">
        <w:rPr>
          <w:lang w:val="en-GB"/>
        </w:rPr>
        <w:t>We investigate the significance of responses</w:t>
      </w:r>
      <w:r w:rsidR="00FE5656" w:rsidRPr="005633FE">
        <w:rPr>
          <w:lang w:val="en-GB"/>
        </w:rPr>
        <w:t xml:space="preserve"> </w:t>
      </w:r>
      <w:r w:rsidR="00FE5656">
        <w:rPr>
          <w:lang w:val="en-GB"/>
        </w:rPr>
        <w:t>to the AEX index (sentiment) changes due</w:t>
      </w:r>
      <w:r w:rsidR="00FE5656" w:rsidRPr="005633FE">
        <w:rPr>
          <w:lang w:val="en-GB"/>
        </w:rPr>
        <w:t xml:space="preserve"> to changes in rating notations and outlook, particularly in the </w:t>
      </w:r>
      <w:r w:rsidR="00FE5656">
        <w:rPr>
          <w:lang w:val="en-GB"/>
        </w:rPr>
        <w:t xml:space="preserve">case of negative announcements. </w:t>
      </w:r>
    </w:p>
    <w:p w:rsidR="00FE5656" w:rsidRDefault="00FE5656" w:rsidP="00FE5656">
      <w:pPr>
        <w:spacing w:line="360" w:lineRule="auto"/>
        <w:jc w:val="both"/>
        <w:rPr>
          <w:lang w:val="en-GB"/>
        </w:rPr>
      </w:pPr>
    </w:p>
    <w:p w:rsidR="00336844" w:rsidRDefault="00811599" w:rsidP="00FE5656">
      <w:pPr>
        <w:spacing w:line="360" w:lineRule="auto"/>
        <w:jc w:val="both"/>
        <w:rPr>
          <w:lang w:val="en-GB"/>
        </w:rPr>
      </w:pPr>
      <w:r>
        <w:rPr>
          <w:lang w:val="en-GB"/>
        </w:rPr>
        <w:t>Our research includes in total</w:t>
      </w:r>
      <w:r w:rsidR="00841159">
        <w:rPr>
          <w:lang w:val="en-GB"/>
        </w:rPr>
        <w:t xml:space="preserve"> fifty-seven</w:t>
      </w:r>
      <w:r w:rsidR="00FE5656">
        <w:rPr>
          <w:lang w:val="en-GB"/>
        </w:rPr>
        <w:t xml:space="preserve"> surveys in which the </w:t>
      </w:r>
      <w:r>
        <w:rPr>
          <w:lang w:val="en-GB"/>
        </w:rPr>
        <w:t xml:space="preserve">preferred </w:t>
      </w:r>
      <w:r w:rsidR="00FE5656">
        <w:rPr>
          <w:lang w:val="en-GB"/>
        </w:rPr>
        <w:t xml:space="preserve">investors participate. </w:t>
      </w:r>
      <w:r>
        <w:rPr>
          <w:lang w:val="en-GB"/>
        </w:rPr>
        <w:t>The participants of this survey</w:t>
      </w:r>
      <w:r w:rsidR="00FE5656">
        <w:rPr>
          <w:lang w:val="en-GB"/>
        </w:rPr>
        <w:t xml:space="preserve"> are investors that have a signi</w:t>
      </w:r>
      <w:r w:rsidR="00841159">
        <w:rPr>
          <w:lang w:val="en-GB"/>
        </w:rPr>
        <w:t>ficant amount of money invested; hence we could suggest them to be rational.</w:t>
      </w:r>
      <w:r w:rsidR="00336844">
        <w:rPr>
          <w:lang w:val="en-GB"/>
        </w:rPr>
        <w:t xml:space="preserve"> We investigate the minimum – maximum spread </w:t>
      </w:r>
      <w:r w:rsidR="00841159">
        <w:rPr>
          <w:lang w:val="en-GB"/>
        </w:rPr>
        <w:t>based on the mean and median of t</w:t>
      </w:r>
      <w:r w:rsidR="00336844">
        <w:rPr>
          <w:lang w:val="en-GB"/>
        </w:rPr>
        <w:t xml:space="preserve">heir expectations </w:t>
      </w:r>
      <w:r w:rsidR="00841159">
        <w:rPr>
          <w:lang w:val="en-GB"/>
        </w:rPr>
        <w:t xml:space="preserve">per survey </w:t>
      </w:r>
      <w:r w:rsidR="00336844">
        <w:rPr>
          <w:lang w:val="en-GB"/>
        </w:rPr>
        <w:t xml:space="preserve">of the AEX index. We use this spread as a proxy for the investors’ sentiment. After evaluating the spread, we will reference the outcomes to the categorized sample of rating and outlook activities by the CRAs. </w:t>
      </w:r>
      <w:r w:rsidR="002E55C7">
        <w:rPr>
          <w:lang w:val="en-GB"/>
        </w:rPr>
        <w:t>Refer to table 1 in the appendix for the descriptive statistics.</w:t>
      </w:r>
    </w:p>
    <w:p w:rsidR="006A2182" w:rsidRDefault="006A2182" w:rsidP="00FE5656">
      <w:pPr>
        <w:spacing w:line="360" w:lineRule="auto"/>
        <w:jc w:val="both"/>
        <w:rPr>
          <w:lang w:val="en-GB"/>
        </w:rPr>
      </w:pPr>
    </w:p>
    <w:p w:rsidR="006A2182" w:rsidRDefault="006A2182" w:rsidP="006A2182">
      <w:pPr>
        <w:spacing w:line="360" w:lineRule="auto"/>
        <w:jc w:val="both"/>
      </w:pPr>
      <w:r>
        <w:rPr>
          <w:lang w:val="en-GB"/>
        </w:rPr>
        <w:t xml:space="preserve">The maximum – minimum spread as a proxy for the investor sentiment is a reliable source to test our hypothesis.  </w:t>
      </w:r>
      <w:r w:rsidRPr="002D1DAA">
        <w:t>The results on the mean</w:t>
      </w:r>
      <w:r w:rsidR="00841159">
        <w:t xml:space="preserve"> and median of the</w:t>
      </w:r>
      <w:r w:rsidRPr="002D1DAA">
        <w:t xml:space="preserve"> maximum and minimum scores in our research have explaining power on the average of the set of expectations by the investors that participated in our research. Moreover, we look at the maximum and minimum score within each sample. Once we consider the </w:t>
      </w:r>
      <w:r w:rsidRPr="002D1DAA">
        <w:lastRenderedPageBreak/>
        <w:t>kurtosis, a measur</w:t>
      </w:r>
      <w:r>
        <w:t>e of variance in the sample, the</w:t>
      </w:r>
      <w:r w:rsidRPr="002D1DAA">
        <w:t xml:space="preserve"> higher kurtosis means more of the variance </w:t>
      </w:r>
      <w:r>
        <w:t>is caused by</w:t>
      </w:r>
      <w:r w:rsidRPr="002D1DAA">
        <w:t xml:space="preserve"> uncommon extreme deviations, in contrast to frequent modestly sized deviations. Hence, once we look at the standard deviation in our results it portrays how much variation there is from the mean. It is generally known that a low standard deviation indicates that the sample points are closely distributed around the mean whereas a high standard deviation indicates that the data are spread out over a large range of values (Healey and </w:t>
      </w:r>
      <w:proofErr w:type="spellStart"/>
      <w:r w:rsidRPr="002D1DAA">
        <w:t>Prus</w:t>
      </w:r>
      <w:proofErr w:type="spellEnd"/>
      <w:r w:rsidR="00F35297">
        <w:t>, 2009</w:t>
      </w:r>
      <w:r w:rsidRPr="002D1DAA">
        <w:t>)</w:t>
      </w:r>
      <w:r w:rsidR="00841159">
        <w:t>.</w:t>
      </w:r>
    </w:p>
    <w:p w:rsidR="00841159" w:rsidRDefault="00841159" w:rsidP="006A2182">
      <w:pPr>
        <w:spacing w:line="360" w:lineRule="auto"/>
        <w:jc w:val="both"/>
      </w:pPr>
    </w:p>
    <w:p w:rsidR="00BF2512" w:rsidRDefault="00841159" w:rsidP="00BF2512">
      <w:pPr>
        <w:spacing w:line="360" w:lineRule="auto"/>
        <w:jc w:val="both"/>
      </w:pPr>
      <w:r>
        <w:t>Moreover, we look into th</w:t>
      </w:r>
      <w:r w:rsidR="00BF2512">
        <w:t xml:space="preserve">e skewness of the expectations. This variable has been examined by previous literature as a proxy for market sentiment or trading pressure. According to </w:t>
      </w:r>
      <w:r w:rsidR="00BF2512" w:rsidRPr="00BF2512">
        <w:t xml:space="preserve">Taylor, </w:t>
      </w:r>
      <w:proofErr w:type="spellStart"/>
      <w:r w:rsidR="00BF2512" w:rsidRPr="00BF2512">
        <w:t>Yadav</w:t>
      </w:r>
      <w:proofErr w:type="spellEnd"/>
      <w:r w:rsidR="00BF2512" w:rsidRPr="00BF2512">
        <w:t>, and Zhang</w:t>
      </w:r>
      <w:r w:rsidR="00BF2512">
        <w:t xml:space="preserve"> (2008), when the market is pessimistic, people might expect the stock price</w:t>
      </w:r>
      <w:r w:rsidR="00DA1820">
        <w:t xml:space="preserve"> or the index</w:t>
      </w:r>
      <w:r w:rsidR="00BF2512">
        <w:t xml:space="preserve"> to decline and thus the shape of the future return distribution will appear to be left skewed. Henceforth, this proxy would be a good estimator on investor sentiment. Once the market becomes mo</w:t>
      </w:r>
      <w:r w:rsidR="004D413C">
        <w:t>re pessimistic, which might intrinsically</w:t>
      </w:r>
      <w:r w:rsidR="00BF2512">
        <w:t xml:space="preserve"> be driven by CRA announcements, the skewness might be driven to the left. </w:t>
      </w:r>
    </w:p>
    <w:p w:rsidR="00BF2512" w:rsidRDefault="00BF2512" w:rsidP="00BF2512">
      <w:pPr>
        <w:spacing w:line="360" w:lineRule="auto"/>
        <w:jc w:val="both"/>
      </w:pPr>
    </w:p>
    <w:p w:rsidR="006A2182" w:rsidRPr="00227553" w:rsidRDefault="006A2182" w:rsidP="007C3A14">
      <w:pPr>
        <w:spacing w:line="360" w:lineRule="auto"/>
        <w:jc w:val="both"/>
        <w:rPr>
          <w:rFonts w:eastAsia="华文宋体" w:cs="Times New Roman"/>
        </w:rPr>
      </w:pPr>
      <w:r w:rsidRPr="00227553">
        <w:rPr>
          <w:rFonts w:eastAsia="华文宋体" w:cs="Times New Roman"/>
        </w:rPr>
        <w:t>In order to reference our observ</w:t>
      </w:r>
      <w:r w:rsidR="00F35297" w:rsidRPr="00227553">
        <w:rPr>
          <w:rFonts w:eastAsia="华文宋体" w:cs="Times New Roman"/>
        </w:rPr>
        <w:t>ations towards the CRA activity and study whether these spreads increase during CRA activity,</w:t>
      </w:r>
      <w:r w:rsidRPr="00227553">
        <w:rPr>
          <w:rFonts w:eastAsia="华文宋体" w:cs="Times New Roman"/>
        </w:rPr>
        <w:t xml:space="preserve"> we analyse twenty</w:t>
      </w:r>
      <w:r w:rsidR="007C3A14" w:rsidRPr="00227553">
        <w:rPr>
          <w:rFonts w:eastAsia="华文宋体" w:cs="Times New Roman"/>
        </w:rPr>
        <w:t xml:space="preserve">-one countries: Austria, Belgium, Denmark, Finland, France, Germany, Greece, Iceland, Ireland, Italy, Luxembourg, Netherlands, Norway, Poland, Portugal, Spain, Sweden, Switzerland, Turkey, United Kingdom and the Unites States of America. </w:t>
      </w:r>
      <w:r w:rsidRPr="00227553">
        <w:rPr>
          <w:rFonts w:eastAsia="华文宋体" w:cs="Times New Roman"/>
        </w:rPr>
        <w:t xml:space="preserve">We have selected these countries, since these economies are strongly intertwined with the AEX index. Moreover, the United States of America and United Kingdom have a dominating role in the western economies and hence are included since they </w:t>
      </w:r>
      <w:r w:rsidR="004D413C" w:rsidRPr="00227553">
        <w:rPr>
          <w:rFonts w:eastAsia="华文宋体" w:cs="Times New Roman"/>
        </w:rPr>
        <w:t xml:space="preserve">could </w:t>
      </w:r>
      <w:r w:rsidRPr="00227553">
        <w:rPr>
          <w:rFonts w:eastAsia="华文宋体" w:cs="Times New Roman"/>
        </w:rPr>
        <w:t>have significant influence on world sentiment a</w:t>
      </w:r>
      <w:r w:rsidR="00FC3599">
        <w:rPr>
          <w:rFonts w:eastAsia="华文宋体" w:cs="Times New Roman"/>
        </w:rPr>
        <w:t>ccording to previous researches.</w:t>
      </w:r>
    </w:p>
    <w:p w:rsidR="00F35297" w:rsidRDefault="00F35297" w:rsidP="007C3A14">
      <w:pPr>
        <w:spacing w:line="360" w:lineRule="auto"/>
        <w:jc w:val="both"/>
      </w:pPr>
    </w:p>
    <w:p w:rsidR="006C50CC" w:rsidRDefault="007C3A14" w:rsidP="005807A4">
      <w:pPr>
        <w:spacing w:line="360" w:lineRule="auto"/>
        <w:jc w:val="both"/>
      </w:pPr>
      <w:r w:rsidRPr="007C3A14">
        <w:t>The daily dataset</w:t>
      </w:r>
      <w:r w:rsidR="006A2182">
        <w:t xml:space="preserve"> starts as early as December 18</w:t>
      </w:r>
      <w:r w:rsidR="006A2182" w:rsidRPr="006A2182">
        <w:rPr>
          <w:vertAlign w:val="superscript"/>
        </w:rPr>
        <w:t>th</w:t>
      </w:r>
      <w:r w:rsidRPr="007C3A14">
        <w:t xml:space="preserve"> 2009 for some cou</w:t>
      </w:r>
      <w:r w:rsidR="00F35297">
        <w:t>ntries and ends on February 29</w:t>
      </w:r>
      <w:r w:rsidR="00F35297" w:rsidRPr="00F35297">
        <w:rPr>
          <w:vertAlign w:val="superscript"/>
        </w:rPr>
        <w:t>th</w:t>
      </w:r>
      <w:r w:rsidRPr="007C3A14">
        <w:t xml:space="preserve"> 2012.  The data for the sovereign rating announcements and rating outlook changes are provided by the three leading rating agencies: Standard and Poor’s, Moody’s and Fitch</w:t>
      </w:r>
      <w:r w:rsidR="005807A4">
        <w:t>.</w:t>
      </w:r>
    </w:p>
    <w:p w:rsidR="00FC3599" w:rsidRDefault="00FC3599" w:rsidP="005807A4">
      <w:pPr>
        <w:spacing w:line="360" w:lineRule="auto"/>
        <w:jc w:val="both"/>
      </w:pPr>
    </w:p>
    <w:p w:rsidR="00194275" w:rsidRDefault="00194275" w:rsidP="002E55C7">
      <w:pPr>
        <w:pStyle w:val="Heading2"/>
      </w:pPr>
      <w:bookmarkStart w:id="5" w:name="_Toc204880065"/>
      <w:r w:rsidRPr="009D5F2C">
        <w:lastRenderedPageBreak/>
        <w:t>Testing Maximum – Minimum spread</w:t>
      </w:r>
      <w:bookmarkEnd w:id="5"/>
    </w:p>
    <w:p w:rsidR="002E55C7" w:rsidRPr="002E55C7" w:rsidRDefault="002E55C7" w:rsidP="002E55C7"/>
    <w:p w:rsidR="00CB43F1" w:rsidRDefault="00CB43F1" w:rsidP="00551C2A">
      <w:pPr>
        <w:spacing w:line="360" w:lineRule="auto"/>
        <w:jc w:val="both"/>
        <w:rPr>
          <w:lang w:val="en-US"/>
        </w:rPr>
      </w:pPr>
      <w:r>
        <w:rPr>
          <w:lang w:val="en-US"/>
        </w:rPr>
        <w:t>In our research, we use the minimum – maximum</w:t>
      </w:r>
      <w:r w:rsidR="002E55C7">
        <w:rPr>
          <w:lang w:val="en-US"/>
        </w:rPr>
        <w:t xml:space="preserve"> (MM)</w:t>
      </w:r>
      <w:r>
        <w:rPr>
          <w:lang w:val="en-US"/>
        </w:rPr>
        <w:t xml:space="preserve"> spread as a proxy for the average sentiment of the investors. We have </w:t>
      </w:r>
      <w:r w:rsidR="00A0392A">
        <w:rPr>
          <w:lang w:val="en-US"/>
        </w:rPr>
        <w:t>the MM</w:t>
      </w:r>
      <w:r>
        <w:rPr>
          <w:lang w:val="en-US"/>
        </w:rPr>
        <w:t xml:space="preserve"> </w:t>
      </w:r>
      <w:r w:rsidR="00323D9D">
        <w:rPr>
          <w:lang w:val="en-US"/>
        </w:rPr>
        <w:t xml:space="preserve">spread for all the survey data categorized in fifty-seven individual surveys. </w:t>
      </w:r>
      <w:r w:rsidR="002F6A66">
        <w:rPr>
          <w:lang w:val="en-US"/>
        </w:rPr>
        <w:t xml:space="preserve">Investing each survey interval by means of </w:t>
      </w:r>
      <w:r w:rsidR="00A0392A">
        <w:rPr>
          <w:lang w:val="en-US"/>
        </w:rPr>
        <w:t xml:space="preserve">MM </w:t>
      </w:r>
      <w:r w:rsidR="002F6A66">
        <w:rPr>
          <w:lang w:val="en-US"/>
        </w:rPr>
        <w:t xml:space="preserve">mean spread, </w:t>
      </w:r>
      <w:r w:rsidR="00A0392A">
        <w:rPr>
          <w:lang w:val="en-US"/>
        </w:rPr>
        <w:t xml:space="preserve">MM </w:t>
      </w:r>
      <w:r w:rsidR="002F6A66">
        <w:rPr>
          <w:lang w:val="en-US"/>
        </w:rPr>
        <w:t xml:space="preserve">median spread, kurtosis and skewness and standard deviation gives us insight on the sentiment of the investor. </w:t>
      </w:r>
    </w:p>
    <w:p w:rsidR="002F6A66" w:rsidRDefault="002F6A66" w:rsidP="00551C2A">
      <w:pPr>
        <w:spacing w:line="360" w:lineRule="auto"/>
        <w:jc w:val="both"/>
        <w:rPr>
          <w:lang w:val="en-US"/>
        </w:rPr>
      </w:pPr>
    </w:p>
    <w:p w:rsidR="000E30DA" w:rsidRDefault="002F6A66" w:rsidP="00FC3599">
      <w:pPr>
        <w:spacing w:line="360" w:lineRule="auto"/>
        <w:jc w:val="both"/>
        <w:rPr>
          <w:lang w:val="en-US"/>
        </w:rPr>
      </w:pPr>
      <w:r>
        <w:rPr>
          <w:lang w:val="en-US"/>
        </w:rPr>
        <w:t xml:space="preserve">We have investigated the mean </w:t>
      </w:r>
      <w:r w:rsidR="00A0392A">
        <w:rPr>
          <w:lang w:val="en-US"/>
        </w:rPr>
        <w:t>MM</w:t>
      </w:r>
      <w:r>
        <w:rPr>
          <w:lang w:val="en-US"/>
        </w:rPr>
        <w:t xml:space="preserve"> spread of </w:t>
      </w:r>
      <w:r w:rsidR="00736AA5">
        <w:rPr>
          <w:lang w:val="en-US"/>
        </w:rPr>
        <w:t xml:space="preserve">the expectations on the AEX for </w:t>
      </w:r>
      <w:r>
        <w:rPr>
          <w:lang w:val="en-US"/>
        </w:rPr>
        <w:t xml:space="preserve">each individual survey. </w:t>
      </w:r>
      <w:r w:rsidR="00736AA5">
        <w:rPr>
          <w:lang w:val="en-US"/>
        </w:rPr>
        <w:t>We conducted this test by taking the</w:t>
      </w:r>
      <w:r>
        <w:rPr>
          <w:lang w:val="en-US"/>
        </w:rPr>
        <w:t xml:space="preserve"> average of the minimum and maximum expectations</w:t>
      </w:r>
      <w:r w:rsidR="00736AA5">
        <w:rPr>
          <w:lang w:val="en-US"/>
        </w:rPr>
        <w:t xml:space="preserve"> in each survey</w:t>
      </w:r>
      <w:r>
        <w:rPr>
          <w:lang w:val="en-US"/>
        </w:rPr>
        <w:t xml:space="preserve">. Moreover, we have investigated the median </w:t>
      </w:r>
      <w:r w:rsidR="00736AA5">
        <w:rPr>
          <w:lang w:val="en-US"/>
        </w:rPr>
        <w:t xml:space="preserve">spread </w:t>
      </w:r>
      <w:r>
        <w:rPr>
          <w:lang w:val="en-US"/>
        </w:rPr>
        <w:t xml:space="preserve">of the minimum and maximum expectations. We could see that these two proxies’ behave similarly and portray a similar trend.  </w:t>
      </w:r>
      <w:r w:rsidR="00551C2A">
        <w:rPr>
          <w:lang w:val="en-US"/>
        </w:rPr>
        <w:t xml:space="preserve">Both the mean and median spread are measures of central </w:t>
      </w:r>
      <w:r w:rsidR="00066866">
        <w:rPr>
          <w:lang w:val="en-US"/>
        </w:rPr>
        <w:t>tendency</w:t>
      </w:r>
      <w:r w:rsidR="00551C2A">
        <w:rPr>
          <w:lang w:val="en-US"/>
        </w:rPr>
        <w:t xml:space="preserve">. They give us an indication of the average value in our distribution. </w:t>
      </w:r>
      <w:r w:rsidR="00066866">
        <w:rPr>
          <w:lang w:val="en-US"/>
        </w:rPr>
        <w:t xml:space="preserve">The mean is the arithmetic average of the group’s minimum – maximum expectations. The mean is sensitive to extreme values once the sample is small. The median is the middle score in our sample of minimum – maximum expectations. This measure is the point at which half of the expectations are above and half of the scores are below. The median measure is less sensitive to extreme scores and probably a better indicator especially in smaller samples. In our research this could give an indication on whether the mean and median on the minimum – maximum spread oscillate simultaneously. Once higher deviations between mean and median around this trend are observed, conclusions on the spread can be drawn.  Once the median spread is lower than the </w:t>
      </w:r>
      <w:r w:rsidR="00434567">
        <w:rPr>
          <w:lang w:val="en-US"/>
        </w:rPr>
        <w:t>mean spread, further research should be</w:t>
      </w:r>
      <w:r w:rsidR="00066866">
        <w:rPr>
          <w:lang w:val="en-US"/>
        </w:rPr>
        <w:t xml:space="preserve"> given on the distribution by use of a boxplot to investigate the distrib</w:t>
      </w:r>
      <w:r w:rsidR="00496BB8">
        <w:rPr>
          <w:lang w:val="en-US"/>
        </w:rPr>
        <w:t>ution</w:t>
      </w:r>
      <w:r w:rsidR="004A5F25">
        <w:rPr>
          <w:lang w:val="en-US"/>
        </w:rPr>
        <w:t xml:space="preserve"> and dispersion of the observations in the</w:t>
      </w:r>
      <w:r w:rsidR="00066866">
        <w:rPr>
          <w:lang w:val="en-US"/>
        </w:rPr>
        <w:t xml:space="preserve"> particular survey. </w:t>
      </w:r>
      <w:r w:rsidR="00EB2E62">
        <w:rPr>
          <w:lang w:val="en-US"/>
        </w:rPr>
        <w:t>However, this is not the case in our study.</w:t>
      </w:r>
    </w:p>
    <w:p w:rsidR="00EB2E62" w:rsidRDefault="00EB2E62" w:rsidP="00FC3599">
      <w:pPr>
        <w:spacing w:line="360" w:lineRule="auto"/>
        <w:jc w:val="both"/>
        <w:rPr>
          <w:lang w:val="en-US"/>
        </w:rPr>
      </w:pPr>
    </w:p>
    <w:p w:rsidR="00EB2E62" w:rsidRPr="00FC3599" w:rsidRDefault="00EB2E62" w:rsidP="00FC3599">
      <w:pPr>
        <w:spacing w:line="360" w:lineRule="auto"/>
        <w:jc w:val="both"/>
        <w:rPr>
          <w:lang w:val="en-US"/>
        </w:rPr>
      </w:pPr>
      <w:r>
        <w:rPr>
          <w:lang w:val="en-US"/>
        </w:rPr>
        <w:t>The MM spread is our leading investor sentiment proxy. The MM spread gives a thorough insight on the expectations of the investors that have p</w:t>
      </w:r>
      <w:r w:rsidR="008119DC">
        <w:rPr>
          <w:lang w:val="en-US"/>
        </w:rPr>
        <w:t>articipated in the surveys. The</w:t>
      </w:r>
      <w:r>
        <w:rPr>
          <w:lang w:val="en-US"/>
        </w:rPr>
        <w:t xml:space="preserve"> spread between maximum – minimum id</w:t>
      </w:r>
      <w:r w:rsidR="008119DC">
        <w:rPr>
          <w:lang w:val="en-US"/>
        </w:rPr>
        <w:t>entifies the (un) certainty on the forecasts made by the investors. Moreover, the MM proxy covers the dispersion proxy, which is expected to move in line.</w:t>
      </w:r>
    </w:p>
    <w:p w:rsidR="005C63DF" w:rsidRPr="005C63DF" w:rsidRDefault="005C63DF" w:rsidP="005C63DF"/>
    <w:p w:rsidR="00D3241C" w:rsidRDefault="00D76DBC" w:rsidP="000C593C">
      <w:pPr>
        <w:pStyle w:val="Heading2"/>
      </w:pPr>
      <w:bookmarkStart w:id="6" w:name="_Toc204880066"/>
      <w:r>
        <w:lastRenderedPageBreak/>
        <w:t>Testing c</w:t>
      </w:r>
      <w:r w:rsidR="00D3241C">
        <w:t>ross sectional dispersion</w:t>
      </w:r>
      <w:bookmarkEnd w:id="6"/>
    </w:p>
    <w:p w:rsidR="000C593C" w:rsidRPr="000C593C" w:rsidRDefault="000C593C" w:rsidP="000C593C"/>
    <w:p w:rsidR="00F920A7" w:rsidRPr="00616244" w:rsidRDefault="00D3241C" w:rsidP="00DD4252">
      <w:pPr>
        <w:spacing w:line="360" w:lineRule="auto"/>
        <w:jc w:val="both"/>
        <w:rPr>
          <w:rFonts w:ascii="Lucida Grande" w:hAnsi="Lucida Grande" w:cs="Lucida Grande"/>
          <w:color w:val="000000"/>
        </w:rPr>
      </w:pPr>
      <w:r>
        <w:rPr>
          <w:lang w:val="en-US"/>
        </w:rPr>
        <w:t xml:space="preserve">In order to enhance our research we include </w:t>
      </w:r>
      <w:r w:rsidR="00F920A7">
        <w:rPr>
          <w:lang w:val="en-US"/>
        </w:rPr>
        <w:t>calculating</w:t>
      </w:r>
      <w:r w:rsidR="00F920A7" w:rsidRPr="00F920A7">
        <w:rPr>
          <w:lang w:val="en-US"/>
        </w:rPr>
        <w:t xml:space="preserve">, for each </w:t>
      </w:r>
      <w:r w:rsidR="00F920A7">
        <w:rPr>
          <w:lang w:val="en-US"/>
        </w:rPr>
        <w:t>survey</w:t>
      </w:r>
      <w:r w:rsidR="00F920A7" w:rsidRPr="00F920A7">
        <w:rPr>
          <w:lang w:val="en-US"/>
        </w:rPr>
        <w:t xml:space="preserve">, the cross-sectional dispersion of </w:t>
      </w:r>
      <w:r w:rsidR="00DD4252">
        <w:rPr>
          <w:lang w:val="en-US"/>
        </w:rPr>
        <w:t>the point expectations by investors in two weeks</w:t>
      </w:r>
      <w:r w:rsidR="00FD51E2">
        <w:rPr>
          <w:lang w:val="en-US"/>
        </w:rPr>
        <w:t xml:space="preserve"> </w:t>
      </w:r>
      <w:r w:rsidR="00616244" w:rsidRPr="00BD43AB">
        <w:rPr>
          <w:i/>
          <w:lang w:val="en-US"/>
        </w:rPr>
        <w:t>E(</w:t>
      </w:r>
      <w:proofErr w:type="gramStart"/>
      <w:r w:rsidR="00616244" w:rsidRPr="00BD43AB">
        <w:rPr>
          <w:i/>
          <w:lang w:val="en-US"/>
        </w:rPr>
        <w:t>s(</w:t>
      </w:r>
      <w:proofErr w:type="gramEnd"/>
      <w:r w:rsidR="00616244" w:rsidRPr="00BD43AB">
        <w:rPr>
          <w:i/>
          <w:lang w:val="en-US"/>
        </w:rPr>
        <w:t>t+1))</w:t>
      </w:r>
      <w:r w:rsidR="00A0392A">
        <w:rPr>
          <w:lang w:val="en-US"/>
        </w:rPr>
        <w:t xml:space="preserve"> (appendix table 1). W</w:t>
      </w:r>
      <w:r w:rsidR="00DD4252">
        <w:rPr>
          <w:lang w:val="en-US"/>
        </w:rPr>
        <w:t xml:space="preserve">e measure this by the standard deviation of the expectations. </w:t>
      </w:r>
      <w:r w:rsidR="00F920A7">
        <w:rPr>
          <w:lang w:val="en-US"/>
        </w:rPr>
        <w:t xml:space="preserve"> </w:t>
      </w:r>
      <w:r w:rsidR="00D76DBC">
        <w:rPr>
          <w:lang w:val="en-US"/>
        </w:rPr>
        <w:t>The standard deviation indicates the level of dispersion in the expectati</w:t>
      </w:r>
      <w:r w:rsidR="00A6086F">
        <w:rPr>
          <w:lang w:val="en-US"/>
        </w:rPr>
        <w:t>ons of individual investors. Hence the</w:t>
      </w:r>
      <w:r w:rsidR="00D76DBC">
        <w:rPr>
          <w:lang w:val="en-US"/>
        </w:rPr>
        <w:t xml:space="preserve"> </w:t>
      </w:r>
      <w:r w:rsidR="00A6086F">
        <w:rPr>
          <w:lang w:val="en-US"/>
        </w:rPr>
        <w:t xml:space="preserve">standard deviation of the point forecast is a </w:t>
      </w:r>
      <w:r w:rsidR="00D76DBC">
        <w:rPr>
          <w:lang w:val="en-US"/>
        </w:rPr>
        <w:t xml:space="preserve">good proxy for the sentiment of the investor, as the standard deviation indicates how much variation, dispersion is present from the mean. Once the standard deviation increases, more dispersion around the mean </w:t>
      </w:r>
      <w:r w:rsidR="001E7C21">
        <w:rPr>
          <w:lang w:val="en-US"/>
        </w:rPr>
        <w:t xml:space="preserve">is present </w:t>
      </w:r>
      <w:r w:rsidR="00D76DBC">
        <w:rPr>
          <w:lang w:val="en-US"/>
        </w:rPr>
        <w:t>and hence</w:t>
      </w:r>
      <w:r w:rsidR="001E7C21">
        <w:rPr>
          <w:lang w:val="en-US"/>
        </w:rPr>
        <w:t xml:space="preserve"> the investors are less confide</w:t>
      </w:r>
      <w:r w:rsidR="00635EB6">
        <w:rPr>
          <w:lang w:val="en-US"/>
        </w:rPr>
        <w:t xml:space="preserve">nt </w:t>
      </w:r>
      <w:r w:rsidR="00635EB6" w:rsidRPr="008119DC">
        <w:rPr>
          <w:i/>
          <w:lang w:val="en-US"/>
        </w:rPr>
        <w:t>on average</w:t>
      </w:r>
      <w:r w:rsidR="00635EB6">
        <w:rPr>
          <w:lang w:val="en-US"/>
        </w:rPr>
        <w:t>,</w:t>
      </w:r>
      <w:r w:rsidR="00D76DBC">
        <w:rPr>
          <w:lang w:val="en-US"/>
        </w:rPr>
        <w:t xml:space="preserve"> or </w:t>
      </w:r>
      <w:r w:rsidR="00635EB6" w:rsidRPr="008119DC">
        <w:rPr>
          <w:i/>
          <w:lang w:val="en-US"/>
        </w:rPr>
        <w:t>on average</w:t>
      </w:r>
      <w:r w:rsidR="00635EB6">
        <w:rPr>
          <w:lang w:val="en-US"/>
        </w:rPr>
        <w:t xml:space="preserve"> </w:t>
      </w:r>
      <w:r w:rsidR="00D76DBC">
        <w:rPr>
          <w:lang w:val="en-US"/>
        </w:rPr>
        <w:t xml:space="preserve">collective in the outlook of the future AEX index level. </w:t>
      </w:r>
    </w:p>
    <w:p w:rsidR="00D3241C" w:rsidRDefault="00D3241C" w:rsidP="00F920A7">
      <w:pPr>
        <w:jc w:val="both"/>
        <w:rPr>
          <w:lang w:val="en-US"/>
        </w:rPr>
      </w:pPr>
    </w:p>
    <w:p w:rsidR="00D3241C" w:rsidRDefault="00D76DBC" w:rsidP="00D3241C">
      <w:pPr>
        <w:pStyle w:val="Heading2"/>
      </w:pPr>
      <w:bookmarkStart w:id="7" w:name="_Toc204880067"/>
      <w:r>
        <w:t>Testing k</w:t>
      </w:r>
      <w:r w:rsidR="00FD51E2">
        <w:t>urtosis and s</w:t>
      </w:r>
      <w:r w:rsidR="00D3241C">
        <w:t>kewness</w:t>
      </w:r>
      <w:bookmarkEnd w:id="7"/>
    </w:p>
    <w:p w:rsidR="00D3241C" w:rsidRDefault="00D3241C" w:rsidP="00F920A7">
      <w:pPr>
        <w:jc w:val="both"/>
        <w:rPr>
          <w:lang w:val="en-US"/>
        </w:rPr>
      </w:pPr>
    </w:p>
    <w:p w:rsidR="00FD51E2" w:rsidRPr="00616244" w:rsidRDefault="001E7C21" w:rsidP="00FD51E2">
      <w:pPr>
        <w:spacing w:line="360" w:lineRule="auto"/>
        <w:jc w:val="both"/>
        <w:rPr>
          <w:rFonts w:ascii="Lucida Grande" w:hAnsi="Lucida Grande" w:cs="Lucida Grande"/>
          <w:color w:val="000000"/>
        </w:rPr>
      </w:pPr>
      <w:r>
        <w:rPr>
          <w:lang w:val="en-US"/>
        </w:rPr>
        <w:t>Kurtosis and sk</w:t>
      </w:r>
      <w:r w:rsidR="00B61892">
        <w:rPr>
          <w:lang w:val="en-US"/>
        </w:rPr>
        <w:t>ewness enhances our analysis to obtain an insight on the investor sentiment. Hence, kurtosis and skewness can be used as proxies. We test these proxies on t</w:t>
      </w:r>
      <w:r w:rsidR="00FD51E2">
        <w:rPr>
          <w:lang w:val="en-US"/>
        </w:rPr>
        <w:t>he point expectations by investors in two we</w:t>
      </w:r>
      <w:r w:rsidR="00616244">
        <w:rPr>
          <w:lang w:val="en-US"/>
        </w:rPr>
        <w:t xml:space="preserve">eks, </w:t>
      </w:r>
      <w:r w:rsidR="00616244" w:rsidRPr="00BD43AB">
        <w:rPr>
          <w:i/>
          <w:lang w:val="en-US"/>
        </w:rPr>
        <w:t>E(</w:t>
      </w:r>
      <w:proofErr w:type="gramStart"/>
      <w:r w:rsidR="00616244" w:rsidRPr="00BD43AB">
        <w:rPr>
          <w:i/>
          <w:lang w:val="en-US"/>
        </w:rPr>
        <w:t>s(</w:t>
      </w:r>
      <w:proofErr w:type="gramEnd"/>
      <w:r w:rsidR="00616244" w:rsidRPr="00BD43AB">
        <w:rPr>
          <w:i/>
          <w:lang w:val="en-US"/>
        </w:rPr>
        <w:t>t+1))</w:t>
      </w:r>
      <w:r w:rsidR="00FD51E2">
        <w:rPr>
          <w:lang w:val="en-US"/>
        </w:rPr>
        <w:t>. Both kurtosis and skewness give us an insight on the distribution of the expectations and allows us to analyze these measures over time. Kurtosis is a measure of whether the data is peaked or flat relative to a normal distribution (</w:t>
      </w:r>
      <w:r w:rsidR="00A0392A">
        <w:rPr>
          <w:lang w:val="en-US"/>
        </w:rPr>
        <w:t>Moore</w:t>
      </w:r>
      <w:r w:rsidR="00A0392A" w:rsidRPr="00A0392A">
        <w:rPr>
          <w:lang w:val="en-US"/>
        </w:rPr>
        <w:t>, 2003</w:t>
      </w:r>
      <w:r w:rsidR="00B523BC">
        <w:rPr>
          <w:lang w:val="en-US"/>
        </w:rPr>
        <w:t xml:space="preserve">). A </w:t>
      </w:r>
      <w:r w:rsidR="00CF28C7">
        <w:rPr>
          <w:lang w:val="en-US"/>
        </w:rPr>
        <w:t xml:space="preserve">higher kurtosis implicates that more of the variance is caused by uncommon extreme deviations. This observation is in contrast to frequent modestly sized deviations. Once we observe higher kurtosis in our sample of investor expectations, this could be caused by outliers or by extreme deviations around the mean and hence increased uncertainty in the expectations of the future AEX index. </w:t>
      </w:r>
    </w:p>
    <w:p w:rsidR="00CB43F1" w:rsidRDefault="00CF28C7" w:rsidP="00F07F18">
      <w:pPr>
        <w:spacing w:line="360" w:lineRule="auto"/>
        <w:jc w:val="both"/>
        <w:rPr>
          <w:lang w:val="en-US"/>
        </w:rPr>
      </w:pPr>
      <w:r>
        <w:rPr>
          <w:lang w:val="en-US"/>
        </w:rPr>
        <w:t>Moreover, the skewness is a measure of the asymmetry in the distribut</w:t>
      </w:r>
      <w:r w:rsidR="00A0392A">
        <w:rPr>
          <w:lang w:val="en-US"/>
        </w:rPr>
        <w:t>ion (Moore, 2003</w:t>
      </w:r>
      <w:r>
        <w:rPr>
          <w:lang w:val="en-US"/>
        </w:rPr>
        <w:t>). Once</w:t>
      </w:r>
      <w:r w:rsidR="004C5C79">
        <w:rPr>
          <w:lang w:val="en-US"/>
        </w:rPr>
        <w:t xml:space="preserve"> there is negative skewness, the left tail of the distribution is more pronounced. </w:t>
      </w:r>
      <w:r w:rsidR="00616244">
        <w:rPr>
          <w:lang w:val="en-US"/>
        </w:rPr>
        <w:t xml:space="preserve">We examine the skewness of the point forecast, </w:t>
      </w:r>
      <w:r w:rsidR="00317BCC">
        <w:rPr>
          <w:i/>
          <w:lang w:val="en-US"/>
        </w:rPr>
        <w:t>E(</w:t>
      </w:r>
      <w:proofErr w:type="gramStart"/>
      <w:r w:rsidR="00317BCC">
        <w:rPr>
          <w:i/>
          <w:lang w:val="en-US"/>
        </w:rPr>
        <w:t>s</w:t>
      </w:r>
      <w:r w:rsidR="00616244" w:rsidRPr="00BD43AB">
        <w:rPr>
          <w:i/>
          <w:lang w:val="en-US"/>
        </w:rPr>
        <w:t>(</w:t>
      </w:r>
      <w:proofErr w:type="gramEnd"/>
      <w:r w:rsidR="00616244" w:rsidRPr="00BD43AB">
        <w:rPr>
          <w:i/>
          <w:lang w:val="en-US"/>
        </w:rPr>
        <w:t>t+1))</w:t>
      </w:r>
      <w:r w:rsidR="00616244" w:rsidRPr="00616244">
        <w:rPr>
          <w:lang w:val="en-US"/>
        </w:rPr>
        <w:t xml:space="preserve">, and the minimum forecast, </w:t>
      </w:r>
      <w:r w:rsidR="00616244" w:rsidRPr="00BD43AB">
        <w:rPr>
          <w:i/>
          <w:lang w:val="en-US"/>
        </w:rPr>
        <w:t>E(min(t+1))</w:t>
      </w:r>
      <w:r w:rsidR="00616244" w:rsidRPr="00616244">
        <w:rPr>
          <w:lang w:val="en-US"/>
        </w:rPr>
        <w:t xml:space="preserve">. </w:t>
      </w:r>
      <w:r w:rsidR="00F07F18">
        <w:rPr>
          <w:lang w:val="en-US"/>
        </w:rPr>
        <w:t>We investigate</w:t>
      </w:r>
      <w:r w:rsidR="00616244">
        <w:rPr>
          <w:lang w:val="en-US"/>
        </w:rPr>
        <w:t xml:space="preserve"> whether the skewness is affected after a CRA announcement and hence how the investors become more positive</w:t>
      </w:r>
      <w:r w:rsidR="00F07F18">
        <w:rPr>
          <w:lang w:val="en-US"/>
        </w:rPr>
        <w:t>ly</w:t>
      </w:r>
      <w:r w:rsidR="00616244">
        <w:rPr>
          <w:lang w:val="en-US"/>
        </w:rPr>
        <w:t xml:space="preserve"> or negatively skewed. We expect the distribution to become more negatively skewed once there is a negative announcement on either the outlook or investment grade. The lower expectations pull the mean to the left of the tail and hence negative skewness is </w:t>
      </w:r>
      <w:r w:rsidR="00616244">
        <w:rPr>
          <w:lang w:val="en-US"/>
        </w:rPr>
        <w:lastRenderedPageBreak/>
        <w:t>observed. The left side of the tail becomes more pronounced bec</w:t>
      </w:r>
      <w:r w:rsidR="0004410D">
        <w:rPr>
          <w:lang w:val="en-US"/>
        </w:rPr>
        <w:t>ause negative sentiment becomes dominant.</w:t>
      </w:r>
      <w:r w:rsidR="00616244">
        <w:rPr>
          <w:lang w:val="en-US"/>
        </w:rPr>
        <w:t xml:space="preserve"> Moreover, in periods of ‘less negative’ announcements </w:t>
      </w:r>
      <w:r w:rsidR="00681F6F">
        <w:rPr>
          <w:lang w:val="en-US"/>
        </w:rPr>
        <w:t xml:space="preserve">on outlooks and investment grade </w:t>
      </w:r>
      <w:r w:rsidR="00616244">
        <w:rPr>
          <w:lang w:val="en-US"/>
        </w:rPr>
        <w:t xml:space="preserve">by CRAs, the skewness is expected to move back to zero and the distribution </w:t>
      </w:r>
      <w:r w:rsidR="00681F6F">
        <w:rPr>
          <w:lang w:val="en-US"/>
        </w:rPr>
        <w:t>becomes more evenly distributed, implicating a neutral sentiment of the investors in our survey.</w:t>
      </w:r>
    </w:p>
    <w:p w:rsidR="00CB43F1" w:rsidRDefault="00D76DBC" w:rsidP="002F6A66">
      <w:pPr>
        <w:pStyle w:val="Heading2"/>
      </w:pPr>
      <w:bookmarkStart w:id="8" w:name="_Toc204880068"/>
      <w:r>
        <w:t>Collecting c</w:t>
      </w:r>
      <w:r w:rsidR="002F6A66">
        <w:t>redit rating announcement data</w:t>
      </w:r>
      <w:bookmarkEnd w:id="8"/>
    </w:p>
    <w:p w:rsidR="00315109" w:rsidRDefault="00315109" w:rsidP="001C01AE">
      <w:pPr>
        <w:jc w:val="both"/>
        <w:rPr>
          <w:lang w:val="en-US"/>
        </w:rPr>
      </w:pPr>
    </w:p>
    <w:p w:rsidR="00365777" w:rsidRPr="00A63876" w:rsidRDefault="002C5132" w:rsidP="000A54C6">
      <w:pPr>
        <w:widowControl w:val="0"/>
        <w:autoSpaceDE w:val="0"/>
        <w:autoSpaceDN w:val="0"/>
        <w:adjustRightInd w:val="0"/>
        <w:spacing w:after="240" w:line="360" w:lineRule="auto"/>
        <w:jc w:val="both"/>
        <w:rPr>
          <w:lang w:val="en-GB"/>
        </w:rPr>
      </w:pPr>
      <w:r w:rsidRPr="00A63876">
        <w:rPr>
          <w:lang w:val="en-GB"/>
        </w:rPr>
        <w:t>We make use</w:t>
      </w:r>
      <w:r w:rsidR="000A54C6" w:rsidRPr="00A63876">
        <w:rPr>
          <w:lang w:val="en-GB"/>
        </w:rPr>
        <w:t xml:space="preserve"> of the credit solvency data </w:t>
      </w:r>
      <w:r w:rsidRPr="00A63876">
        <w:rPr>
          <w:lang w:val="en-GB"/>
        </w:rPr>
        <w:t xml:space="preserve">of </w:t>
      </w:r>
      <w:r w:rsidR="00315109" w:rsidRPr="00A63876">
        <w:rPr>
          <w:lang w:val="en-GB"/>
        </w:rPr>
        <w:t xml:space="preserve">the </w:t>
      </w:r>
      <w:r w:rsidR="00A0392A">
        <w:rPr>
          <w:lang w:val="en-GB"/>
        </w:rPr>
        <w:t>pre-</w:t>
      </w:r>
      <w:r w:rsidRPr="00A63876">
        <w:rPr>
          <w:lang w:val="en-GB"/>
        </w:rPr>
        <w:t>specified countrie</w:t>
      </w:r>
      <w:r w:rsidR="00315109" w:rsidRPr="00A63876">
        <w:rPr>
          <w:lang w:val="en-GB"/>
        </w:rPr>
        <w:t>s, which are</w:t>
      </w:r>
      <w:r w:rsidR="000A54C6" w:rsidRPr="00A63876">
        <w:rPr>
          <w:lang w:val="en-GB"/>
        </w:rPr>
        <w:t xml:space="preserve"> provided to us by the CRAs </w:t>
      </w:r>
      <w:r w:rsidR="000C593C" w:rsidRPr="00A63876">
        <w:rPr>
          <w:lang w:val="en-GB"/>
        </w:rPr>
        <w:t>Moody’s</w:t>
      </w:r>
      <w:r w:rsidR="000A54C6" w:rsidRPr="00A63876">
        <w:rPr>
          <w:lang w:val="en-GB"/>
        </w:rPr>
        <w:t>, Standard&amp;Poors and Fitch. These CRAs all have their own grading scales based on down and upgrades just like their positive and negative outlook changes.</w:t>
      </w:r>
      <w:r w:rsidR="00315109" w:rsidRPr="00A63876">
        <w:rPr>
          <w:lang w:val="en-GB"/>
        </w:rPr>
        <w:t xml:space="preserve"> The grades</w:t>
      </w:r>
      <w:r w:rsidR="00315109" w:rsidRPr="00A63876">
        <w:rPr>
          <w:lang w:val="en-US"/>
        </w:rPr>
        <w:t xml:space="preserve"> have been standardized on a ran</w:t>
      </w:r>
      <w:r w:rsidR="00D30EE5">
        <w:rPr>
          <w:lang w:val="en-US"/>
        </w:rPr>
        <w:t xml:space="preserve">ge between 1-17 (see appendix </w:t>
      </w:r>
      <w:r w:rsidR="00A0392A">
        <w:rPr>
          <w:lang w:val="en-US"/>
        </w:rPr>
        <w:t xml:space="preserve">table </w:t>
      </w:r>
      <w:r w:rsidR="00D30EE5">
        <w:rPr>
          <w:lang w:val="en-US"/>
        </w:rPr>
        <w:t>1.1</w:t>
      </w:r>
      <w:r w:rsidR="00315109" w:rsidRPr="00A63876">
        <w:rPr>
          <w:lang w:val="en-US"/>
        </w:rPr>
        <w:t xml:space="preserve">). </w:t>
      </w:r>
      <w:r w:rsidR="00315109" w:rsidRPr="00A63876">
        <w:rPr>
          <w:lang w:val="en-GB"/>
        </w:rPr>
        <w:t>Hereafter, we have</w:t>
      </w:r>
      <w:r w:rsidR="000A54C6" w:rsidRPr="00A63876">
        <w:rPr>
          <w:lang w:val="en-GB"/>
        </w:rPr>
        <w:t xml:space="preserve"> categorized the</w:t>
      </w:r>
      <w:r w:rsidR="00315109" w:rsidRPr="00A63876">
        <w:rPr>
          <w:lang w:val="en-GB"/>
        </w:rPr>
        <w:t>m by</w:t>
      </w:r>
      <w:r w:rsidR="000A54C6" w:rsidRPr="00A63876">
        <w:rPr>
          <w:lang w:val="en-GB"/>
        </w:rPr>
        <w:t xml:space="preserve"> down – and upgrade events for each CRA for the period December 2008 until February 2012. Moreover we have looked into the outlook changes by the CRAs for the same time horizon. We have a control group of 14 surveys (2 week periods) in which no announcements were made by the CRAs.</w:t>
      </w:r>
      <w:r w:rsidR="00315109" w:rsidRPr="00A63876">
        <w:rPr>
          <w:lang w:val="en-GB"/>
        </w:rPr>
        <w:t xml:space="preserve"> Surveys 3, 4, 5, 13, 17, 18, 19, 21, 23, 27, 30, 35, 43, 44 include no activity of CRA announcements. </w:t>
      </w:r>
      <w:r w:rsidR="00AD33A1">
        <w:rPr>
          <w:lang w:val="en-GB"/>
        </w:rPr>
        <w:t>The</w:t>
      </w:r>
      <w:r w:rsidR="00315109" w:rsidRPr="00A63876">
        <w:rPr>
          <w:lang w:val="en-GB"/>
        </w:rPr>
        <w:t xml:space="preserve"> other surveys and corresponding dates include in</w:t>
      </w:r>
      <w:r w:rsidR="000A54C6" w:rsidRPr="00A63876">
        <w:rPr>
          <w:lang w:val="en-GB"/>
        </w:rPr>
        <w:t xml:space="preserve"> total </w:t>
      </w:r>
      <w:r w:rsidR="00536746">
        <w:rPr>
          <w:lang w:val="en-GB"/>
        </w:rPr>
        <w:t>59 downgrades and 3</w:t>
      </w:r>
      <w:r w:rsidR="000A54C6" w:rsidRPr="00A63876">
        <w:rPr>
          <w:lang w:val="en-GB"/>
        </w:rPr>
        <w:t xml:space="preserve"> upgrades, </w:t>
      </w:r>
      <w:r w:rsidR="00536746">
        <w:rPr>
          <w:lang w:val="en-GB"/>
        </w:rPr>
        <w:t>78</w:t>
      </w:r>
      <w:r w:rsidR="000A54C6" w:rsidRPr="00A63876">
        <w:rPr>
          <w:lang w:val="en-GB"/>
        </w:rPr>
        <w:t xml:space="preserve"> negative o</w:t>
      </w:r>
      <w:r w:rsidR="00315109" w:rsidRPr="00A63876">
        <w:rPr>
          <w:lang w:val="en-GB"/>
        </w:rPr>
        <w:t xml:space="preserve">utlooks and </w:t>
      </w:r>
      <w:r w:rsidR="00536746">
        <w:rPr>
          <w:lang w:val="en-GB"/>
        </w:rPr>
        <w:t>15</w:t>
      </w:r>
      <w:r w:rsidR="00315109" w:rsidRPr="00A63876">
        <w:rPr>
          <w:lang w:val="en-GB"/>
        </w:rPr>
        <w:t xml:space="preserve"> positive outlooks</w:t>
      </w:r>
      <w:r w:rsidR="000A54C6" w:rsidRPr="00A63876">
        <w:rPr>
          <w:lang w:val="en-GB"/>
        </w:rPr>
        <w:t>. The</w:t>
      </w:r>
      <w:r w:rsidR="00365777" w:rsidRPr="00A63876">
        <w:rPr>
          <w:lang w:val="en-GB"/>
        </w:rPr>
        <w:t xml:space="preserve"> relation between the pre specified proxies and </w:t>
      </w:r>
      <w:r w:rsidR="000A54C6" w:rsidRPr="00A63876">
        <w:rPr>
          <w:lang w:val="en-GB"/>
        </w:rPr>
        <w:t>solven</w:t>
      </w:r>
      <w:r w:rsidR="00365777" w:rsidRPr="00A63876">
        <w:rPr>
          <w:lang w:val="en-GB"/>
        </w:rPr>
        <w:t>cy changes are investigated. Our hypothesis whether the CRA announcements on sovereign changes have influence on investor sentiment can hereby be answered.</w:t>
      </w:r>
    </w:p>
    <w:p w:rsidR="00FC3599" w:rsidRDefault="00FC3599" w:rsidP="00FC3599">
      <w:pPr>
        <w:pStyle w:val="Heading2"/>
      </w:pPr>
      <w:bookmarkStart w:id="9" w:name="_Toc204880069"/>
      <w:r>
        <w:t xml:space="preserve">Testing </w:t>
      </w:r>
      <w:r w:rsidR="00277A9E">
        <w:t xml:space="preserve">investor sentiment proxy </w:t>
      </w:r>
      <w:r>
        <w:t xml:space="preserve">by </w:t>
      </w:r>
      <w:r w:rsidR="00277A9E">
        <w:t xml:space="preserve">means of </w:t>
      </w:r>
      <w:r>
        <w:t>statistical event study</w:t>
      </w:r>
      <w:bookmarkEnd w:id="9"/>
      <w:r>
        <w:t xml:space="preserve"> </w:t>
      </w:r>
    </w:p>
    <w:p w:rsidR="00FC3599" w:rsidRPr="00C11669" w:rsidRDefault="00FC3599" w:rsidP="00FC3599"/>
    <w:p w:rsidR="00661833" w:rsidRDefault="00661833" w:rsidP="00A14648">
      <w:pPr>
        <w:spacing w:line="360" w:lineRule="auto"/>
        <w:jc w:val="both"/>
        <w:rPr>
          <w:lang w:val="en-US"/>
        </w:rPr>
      </w:pPr>
    </w:p>
    <w:p w:rsidR="00A14648" w:rsidRDefault="00661833" w:rsidP="00A14648">
      <w:pPr>
        <w:spacing w:line="360" w:lineRule="auto"/>
        <w:jc w:val="both"/>
        <w:rPr>
          <w:lang w:val="en-US"/>
        </w:rPr>
      </w:pPr>
      <w:r>
        <w:rPr>
          <w:lang w:val="en-US"/>
        </w:rPr>
        <w:t xml:space="preserve">We look into the data of the CRAs and identify the surveys in which many credit announcements are made. The events are identified by means of identifying the downgrades, upgrades and outlook changes in the different survey slots. </w:t>
      </w:r>
      <w:r w:rsidR="00FC3599">
        <w:rPr>
          <w:lang w:val="en-US"/>
        </w:rPr>
        <w:t>Hereafter</w:t>
      </w:r>
      <w:r>
        <w:rPr>
          <w:lang w:val="en-US"/>
        </w:rPr>
        <w:t>, we</w:t>
      </w:r>
      <w:r w:rsidR="00FC3599">
        <w:rPr>
          <w:lang w:val="en-US"/>
        </w:rPr>
        <w:t xml:space="preserve"> test these events according</w:t>
      </w:r>
      <w:r w:rsidR="00A14648">
        <w:rPr>
          <w:lang w:val="en-US"/>
        </w:rPr>
        <w:t xml:space="preserve"> to the event s</w:t>
      </w:r>
      <w:r>
        <w:rPr>
          <w:lang w:val="en-US"/>
        </w:rPr>
        <w:t>tudy methodology by using</w:t>
      </w:r>
      <w:r w:rsidR="00A14648">
        <w:rPr>
          <w:lang w:val="en-US"/>
        </w:rPr>
        <w:t xml:space="preserve"> the one-way ANOVA and </w:t>
      </w:r>
      <w:proofErr w:type="spellStart"/>
      <w:r w:rsidR="00A14648">
        <w:rPr>
          <w:lang w:val="en-US"/>
        </w:rPr>
        <w:t>Tuk</w:t>
      </w:r>
      <w:r w:rsidR="00D21127">
        <w:rPr>
          <w:lang w:val="en-US"/>
        </w:rPr>
        <w:t>e</w:t>
      </w:r>
      <w:r w:rsidR="00A14648">
        <w:rPr>
          <w:lang w:val="en-US"/>
        </w:rPr>
        <w:t>y</w:t>
      </w:r>
      <w:proofErr w:type="spellEnd"/>
      <w:r w:rsidR="00A14648">
        <w:rPr>
          <w:lang w:val="en-US"/>
        </w:rPr>
        <w:t xml:space="preserve"> test in order to test the significant difference between groups before and after the CRA announcement. </w:t>
      </w:r>
      <w:r w:rsidR="00FC3599">
        <w:rPr>
          <w:lang w:val="en-US"/>
        </w:rPr>
        <w:t xml:space="preserve"> </w:t>
      </w:r>
    </w:p>
    <w:p w:rsidR="00FC3599" w:rsidRDefault="00FC3599" w:rsidP="00A14648">
      <w:pPr>
        <w:spacing w:line="360" w:lineRule="auto"/>
        <w:jc w:val="both"/>
        <w:rPr>
          <w:lang w:val="en-US"/>
        </w:rPr>
      </w:pPr>
      <w:r>
        <w:rPr>
          <w:lang w:val="en-US"/>
        </w:rPr>
        <w:t xml:space="preserve">The events </w:t>
      </w:r>
      <w:r w:rsidR="00661833">
        <w:rPr>
          <w:lang w:val="en-US"/>
        </w:rPr>
        <w:t>are</w:t>
      </w:r>
      <w:r>
        <w:rPr>
          <w:lang w:val="en-US"/>
        </w:rPr>
        <w:t xml:space="preserve"> identified in the first part of the result</w:t>
      </w:r>
      <w:r w:rsidR="00A14648">
        <w:rPr>
          <w:lang w:val="en-US"/>
        </w:rPr>
        <w:t>s</w:t>
      </w:r>
      <w:r w:rsidR="00661833">
        <w:rPr>
          <w:lang w:val="en-US"/>
        </w:rPr>
        <w:t>, based on the activity of CRA announcements. Henceforth, we describe the</w:t>
      </w:r>
      <w:r w:rsidR="00FF6248">
        <w:rPr>
          <w:lang w:val="en-US"/>
        </w:rPr>
        <w:t xml:space="preserve"> reactions of the CRA activities</w:t>
      </w:r>
      <w:r w:rsidR="00661833">
        <w:rPr>
          <w:lang w:val="en-US"/>
        </w:rPr>
        <w:t xml:space="preserve"> on our </w:t>
      </w:r>
      <w:r w:rsidR="00661833">
        <w:rPr>
          <w:lang w:val="en-US"/>
        </w:rPr>
        <w:lastRenderedPageBreak/>
        <w:t>different proxies</w:t>
      </w:r>
      <w:r w:rsidR="00D21127">
        <w:rPr>
          <w:lang w:val="en-US"/>
        </w:rPr>
        <w:t xml:space="preserve">. </w:t>
      </w:r>
      <w:r>
        <w:rPr>
          <w:lang w:val="en-US"/>
        </w:rPr>
        <w:t>Hereafter, we will test the statistical significance of these events on the sentiment of the investors</w:t>
      </w:r>
      <w:r w:rsidR="00D21127">
        <w:rPr>
          <w:lang w:val="en-US"/>
        </w:rPr>
        <w:t>, by comparing the surveys before and after the event</w:t>
      </w:r>
      <w:r>
        <w:rPr>
          <w:lang w:val="en-US"/>
        </w:rPr>
        <w:t>. Important issues to clarify in this case are:</w:t>
      </w:r>
    </w:p>
    <w:p w:rsidR="00661833" w:rsidRPr="00661833" w:rsidRDefault="00661833" w:rsidP="00661833">
      <w:pPr>
        <w:pStyle w:val="ListParagraph"/>
        <w:spacing w:line="360" w:lineRule="auto"/>
        <w:jc w:val="both"/>
        <w:rPr>
          <w:lang w:val="en-US"/>
        </w:rPr>
      </w:pPr>
    </w:p>
    <w:p w:rsidR="00FC3599" w:rsidRPr="00AF20EC" w:rsidRDefault="00FC3599" w:rsidP="00A14648">
      <w:pPr>
        <w:pStyle w:val="ListParagraph"/>
        <w:numPr>
          <w:ilvl w:val="0"/>
          <w:numId w:val="3"/>
        </w:numPr>
        <w:spacing w:line="360" w:lineRule="auto"/>
        <w:jc w:val="both"/>
        <w:rPr>
          <w:lang w:val="en-US"/>
        </w:rPr>
      </w:pPr>
      <w:r w:rsidRPr="00AF20EC">
        <w:rPr>
          <w:u w:val="single"/>
          <w:lang w:val="en-US"/>
        </w:rPr>
        <w:t>Definition of the event</w:t>
      </w:r>
    </w:p>
    <w:p w:rsidR="00661833" w:rsidRDefault="00661833" w:rsidP="00A14648">
      <w:pPr>
        <w:spacing w:line="360" w:lineRule="auto"/>
        <w:jc w:val="both"/>
        <w:rPr>
          <w:lang w:val="en-US"/>
        </w:rPr>
      </w:pPr>
      <w:r>
        <w:rPr>
          <w:lang w:val="en-US"/>
        </w:rPr>
        <w:t xml:space="preserve">We </w:t>
      </w:r>
      <w:r w:rsidR="007A57C9">
        <w:rPr>
          <w:lang w:val="en-US"/>
        </w:rPr>
        <w:t>define</w:t>
      </w:r>
      <w:r w:rsidR="00FC3599">
        <w:rPr>
          <w:lang w:val="en-US"/>
        </w:rPr>
        <w:t xml:space="preserve"> the</w:t>
      </w:r>
      <w:r>
        <w:rPr>
          <w:lang w:val="en-US"/>
        </w:rPr>
        <w:t xml:space="preserve"> events in our research sample by identifying the intensity of the CRA activity. </w:t>
      </w:r>
      <w:r w:rsidR="00FC3599">
        <w:rPr>
          <w:lang w:val="en-US"/>
        </w:rPr>
        <w:t>These are discussed in the next part</w:t>
      </w:r>
      <w:r>
        <w:rPr>
          <w:lang w:val="en-US"/>
        </w:rPr>
        <w:t xml:space="preserve"> (Results)</w:t>
      </w:r>
      <w:r w:rsidR="00FC3599">
        <w:rPr>
          <w:lang w:val="en-US"/>
        </w:rPr>
        <w:t xml:space="preserve">, based on </w:t>
      </w:r>
      <w:r w:rsidR="00FF6248">
        <w:rPr>
          <w:lang w:val="en-US"/>
        </w:rPr>
        <w:t xml:space="preserve">the </w:t>
      </w:r>
      <w:r>
        <w:rPr>
          <w:lang w:val="en-US"/>
        </w:rPr>
        <w:t>CRA activity in different survey periods.</w:t>
      </w:r>
      <w:r w:rsidR="007A57C9">
        <w:rPr>
          <w:lang w:val="en-US"/>
        </w:rPr>
        <w:t xml:space="preserve"> The intensity of CRA activity is dependent on the number of down – and upgrades and the magnitude of these changes.</w:t>
      </w:r>
      <w:r>
        <w:rPr>
          <w:lang w:val="en-US"/>
        </w:rPr>
        <w:t xml:space="preserve"> We discuss the </w:t>
      </w:r>
      <w:r w:rsidR="00FF6248">
        <w:rPr>
          <w:lang w:val="en-US"/>
        </w:rPr>
        <w:t>observed reactions</w:t>
      </w:r>
      <w:r w:rsidR="00FC3599">
        <w:rPr>
          <w:lang w:val="en-US"/>
        </w:rPr>
        <w:t xml:space="preserve"> </w:t>
      </w:r>
      <w:r>
        <w:rPr>
          <w:lang w:val="en-US"/>
        </w:rPr>
        <w:t xml:space="preserve">on our proxies and </w:t>
      </w:r>
      <w:r w:rsidR="007A57C9">
        <w:rPr>
          <w:lang w:val="en-US"/>
        </w:rPr>
        <w:t>there</w:t>
      </w:r>
      <w:r>
        <w:rPr>
          <w:lang w:val="en-US"/>
        </w:rPr>
        <w:t>after we test the events by means of our event study methodology</w:t>
      </w:r>
      <w:r w:rsidR="00FF6248">
        <w:rPr>
          <w:lang w:val="en-US"/>
        </w:rPr>
        <w:t xml:space="preserve"> (see figure 6</w:t>
      </w:r>
      <w:r w:rsidR="007A57C9">
        <w:rPr>
          <w:lang w:val="en-US"/>
        </w:rPr>
        <w:t xml:space="preserve"> for the identified events</w:t>
      </w:r>
      <w:r w:rsidR="00FC3599">
        <w:rPr>
          <w:lang w:val="en-US"/>
        </w:rPr>
        <w:t>)</w:t>
      </w:r>
      <w:r>
        <w:rPr>
          <w:lang w:val="en-US"/>
        </w:rPr>
        <w:t>.</w:t>
      </w:r>
    </w:p>
    <w:p w:rsidR="00FC3599" w:rsidRPr="00AF20EC" w:rsidRDefault="00FC3599" w:rsidP="00A14648">
      <w:pPr>
        <w:pStyle w:val="ListParagraph"/>
        <w:numPr>
          <w:ilvl w:val="0"/>
          <w:numId w:val="3"/>
        </w:numPr>
        <w:spacing w:line="360" w:lineRule="auto"/>
        <w:jc w:val="both"/>
        <w:rPr>
          <w:lang w:val="en-US"/>
        </w:rPr>
      </w:pPr>
      <w:r w:rsidRPr="00AF20EC">
        <w:rPr>
          <w:u w:val="single"/>
          <w:lang w:val="en-US"/>
        </w:rPr>
        <w:t>Sample selection</w:t>
      </w:r>
    </w:p>
    <w:p w:rsidR="00FC3599" w:rsidRDefault="00FC3599" w:rsidP="00D21127">
      <w:pPr>
        <w:spacing w:line="360" w:lineRule="auto"/>
        <w:jc w:val="both"/>
        <w:rPr>
          <w:lang w:val="en-US"/>
        </w:rPr>
      </w:pPr>
      <w:r>
        <w:rPr>
          <w:lang w:val="en-US"/>
        </w:rPr>
        <w:t>We hav</w:t>
      </w:r>
      <w:r w:rsidR="00D21127">
        <w:rPr>
          <w:lang w:val="en-US"/>
        </w:rPr>
        <w:t>e to identify which proxies are most influenced</w:t>
      </w:r>
      <w:r>
        <w:rPr>
          <w:lang w:val="en-US"/>
        </w:rPr>
        <w:t xml:space="preserve"> by the ev</w:t>
      </w:r>
      <w:r w:rsidR="00FF6248">
        <w:rPr>
          <w:lang w:val="en-US"/>
        </w:rPr>
        <w:t xml:space="preserve">ent. We will choose the proxy </w:t>
      </w:r>
      <w:r w:rsidR="007A57C9">
        <w:rPr>
          <w:lang w:val="en-US"/>
        </w:rPr>
        <w:t>that is the most leading indicator of investor sentiment in our sample</w:t>
      </w:r>
      <w:r w:rsidR="008119DC">
        <w:rPr>
          <w:lang w:val="en-US"/>
        </w:rPr>
        <w:t xml:space="preserve"> as mentioned earlier</w:t>
      </w:r>
      <w:r w:rsidR="007A57C9">
        <w:rPr>
          <w:lang w:val="en-US"/>
        </w:rPr>
        <w:t>: the MM spread</w:t>
      </w:r>
      <w:r>
        <w:rPr>
          <w:lang w:val="en-US"/>
        </w:rPr>
        <w:t>.</w:t>
      </w:r>
    </w:p>
    <w:p w:rsidR="00FC3599" w:rsidRPr="00FC3599" w:rsidRDefault="00FC3599" w:rsidP="00D21127">
      <w:pPr>
        <w:pStyle w:val="ListParagraph"/>
        <w:numPr>
          <w:ilvl w:val="0"/>
          <w:numId w:val="3"/>
        </w:numPr>
        <w:spacing w:line="360" w:lineRule="auto"/>
        <w:jc w:val="both"/>
        <w:rPr>
          <w:u w:val="single"/>
          <w:lang w:val="en-US"/>
        </w:rPr>
      </w:pPr>
      <w:r w:rsidRPr="00FC3599">
        <w:rPr>
          <w:u w:val="single"/>
          <w:lang w:val="en-US"/>
        </w:rPr>
        <w:t>Horizon of the event study</w:t>
      </w:r>
    </w:p>
    <w:p w:rsidR="00194275" w:rsidRDefault="00FC3599" w:rsidP="00D21127">
      <w:pPr>
        <w:spacing w:line="360" w:lineRule="auto"/>
        <w:jc w:val="both"/>
        <w:rPr>
          <w:lang w:val="en-US"/>
        </w:rPr>
      </w:pPr>
      <w:r>
        <w:rPr>
          <w:lang w:val="en-US"/>
        </w:rPr>
        <w:t>We consider short horizons, dependent on each individual event.</w:t>
      </w:r>
    </w:p>
    <w:p w:rsidR="00A14648" w:rsidRDefault="00A14648" w:rsidP="00D21127">
      <w:pPr>
        <w:spacing w:line="360" w:lineRule="auto"/>
        <w:jc w:val="both"/>
        <w:rPr>
          <w:lang w:val="en-US"/>
        </w:rPr>
      </w:pPr>
    </w:p>
    <w:p w:rsidR="003A5760" w:rsidRDefault="007A57C9" w:rsidP="00D21127">
      <w:pPr>
        <w:spacing w:line="360" w:lineRule="auto"/>
        <w:jc w:val="both"/>
        <w:rPr>
          <w:lang w:val="en-US"/>
        </w:rPr>
      </w:pPr>
      <w:r>
        <w:rPr>
          <w:lang w:val="en-US"/>
        </w:rPr>
        <w:t xml:space="preserve">In comparing the survey groups, </w:t>
      </w:r>
      <w:r w:rsidR="00D21127">
        <w:rPr>
          <w:lang w:val="en-US"/>
        </w:rPr>
        <w:t>in order to test the significant change</w:t>
      </w:r>
      <w:r>
        <w:rPr>
          <w:lang w:val="en-US"/>
        </w:rPr>
        <w:t xml:space="preserve"> in investor sentiment</w:t>
      </w:r>
      <w:r w:rsidR="00D21127">
        <w:rPr>
          <w:lang w:val="en-US"/>
        </w:rPr>
        <w:t xml:space="preserve"> due to the event, we face the problem of unequal sample sizes. This implies that the type-1 error for the </w:t>
      </w:r>
      <w:proofErr w:type="spellStart"/>
      <w:r w:rsidR="00D21127">
        <w:rPr>
          <w:lang w:val="en-US"/>
        </w:rPr>
        <w:t>Tukey</w:t>
      </w:r>
      <w:proofErr w:type="spellEnd"/>
      <w:r w:rsidR="00D21127">
        <w:rPr>
          <w:lang w:val="en-US"/>
        </w:rPr>
        <w:t xml:space="preserve"> tests is not guaranteed, falsely </w:t>
      </w:r>
      <w:r w:rsidR="003A5760">
        <w:rPr>
          <w:lang w:val="en-US"/>
        </w:rPr>
        <w:t xml:space="preserve">rejecting the null hypothesis. </w:t>
      </w:r>
      <w:r>
        <w:rPr>
          <w:lang w:val="en-US"/>
        </w:rPr>
        <w:t>We acknowledge this weakness in our event study.</w:t>
      </w:r>
    </w:p>
    <w:p w:rsidR="00D65AB6" w:rsidRDefault="00D65AB6">
      <w:pPr>
        <w:rPr>
          <w:lang w:val="en-US"/>
        </w:rPr>
      </w:pPr>
    </w:p>
    <w:p w:rsidR="00277A9E" w:rsidRDefault="00277A9E" w:rsidP="00277A9E">
      <w:pPr>
        <w:pStyle w:val="Heading2"/>
      </w:pPr>
      <w:bookmarkStart w:id="10" w:name="_Toc204880070"/>
      <w:r>
        <w:t xml:space="preserve">Testing </w:t>
      </w:r>
      <w:r w:rsidR="007A57C9">
        <w:t xml:space="preserve">the </w:t>
      </w:r>
      <w:r>
        <w:t>investor sentiment proxy by OLS regression on VIX</w:t>
      </w:r>
      <w:bookmarkEnd w:id="10"/>
    </w:p>
    <w:p w:rsidR="00D65AB6" w:rsidRDefault="00D65AB6">
      <w:pPr>
        <w:rPr>
          <w:lang w:val="en-US"/>
        </w:rPr>
      </w:pPr>
    </w:p>
    <w:p w:rsidR="0097287F" w:rsidRPr="002B7AF2" w:rsidRDefault="00763BD7" w:rsidP="009F0DE0">
      <w:pPr>
        <w:spacing w:line="360" w:lineRule="auto"/>
        <w:jc w:val="both"/>
        <w:rPr>
          <w:lang w:val="en-US"/>
        </w:rPr>
      </w:pPr>
      <w:r w:rsidRPr="002B7AF2">
        <w:rPr>
          <w:lang w:val="en-US"/>
        </w:rPr>
        <w:t xml:space="preserve">In order to test whether </w:t>
      </w:r>
      <w:r w:rsidR="002B7AF2" w:rsidRPr="002B7AF2">
        <w:rPr>
          <w:lang w:val="en-US"/>
        </w:rPr>
        <w:t>other factors i</w:t>
      </w:r>
      <w:r w:rsidR="007A57C9">
        <w:rPr>
          <w:lang w:val="en-US"/>
        </w:rPr>
        <w:t>nfluence the investor sentiment or in other words</w:t>
      </w:r>
      <w:r w:rsidR="002B7AF2" w:rsidRPr="002B7AF2">
        <w:rPr>
          <w:lang w:val="en-US"/>
        </w:rPr>
        <w:t xml:space="preserve"> have </w:t>
      </w:r>
      <w:r w:rsidRPr="002B7AF2">
        <w:rPr>
          <w:lang w:val="en-US"/>
        </w:rPr>
        <w:t xml:space="preserve">explaining </w:t>
      </w:r>
      <w:r w:rsidR="007A57C9">
        <w:rPr>
          <w:lang w:val="en-US"/>
        </w:rPr>
        <w:t>power,</w:t>
      </w:r>
      <w:r w:rsidR="002B7AF2" w:rsidRPr="002B7AF2">
        <w:rPr>
          <w:lang w:val="en-US"/>
        </w:rPr>
        <w:t xml:space="preserve"> we test the </w:t>
      </w:r>
      <w:r w:rsidRPr="002B7AF2">
        <w:rPr>
          <w:lang w:val="en-US"/>
        </w:rPr>
        <w:t>volatility index</w:t>
      </w:r>
      <w:r w:rsidR="002B7AF2" w:rsidRPr="002B7AF2">
        <w:rPr>
          <w:lang w:val="en-US"/>
        </w:rPr>
        <w:t xml:space="preserve"> of the AEX (VIX) on the MM spread by means an </w:t>
      </w:r>
      <w:r w:rsidRPr="002B7AF2">
        <w:rPr>
          <w:lang w:val="en-US"/>
        </w:rPr>
        <w:t xml:space="preserve">OLS regression. </w:t>
      </w:r>
      <w:r w:rsidR="00294C99">
        <w:rPr>
          <w:lang w:val="en-US"/>
        </w:rPr>
        <w:t xml:space="preserve">We have selected the MM spread because this is our most leading, dominant investor sentiment proxy </w:t>
      </w:r>
      <w:r w:rsidR="008119DC">
        <w:rPr>
          <w:lang w:val="en-US"/>
        </w:rPr>
        <w:t xml:space="preserve">in our study, </w:t>
      </w:r>
      <w:r w:rsidR="00294C99">
        <w:rPr>
          <w:lang w:val="en-US"/>
        </w:rPr>
        <w:t xml:space="preserve">as previously mentioned. </w:t>
      </w:r>
      <w:r w:rsidRPr="002B7AF2">
        <w:rPr>
          <w:lang w:val="en-US"/>
        </w:rPr>
        <w:t xml:space="preserve">We have performed this regression by using </w:t>
      </w:r>
      <w:r w:rsidR="002B7AF2" w:rsidRPr="002B7AF2">
        <w:rPr>
          <w:lang w:val="en-US"/>
        </w:rPr>
        <w:t>the MM</w:t>
      </w:r>
      <w:r w:rsidRPr="002B7AF2">
        <w:rPr>
          <w:lang w:val="en-US"/>
        </w:rPr>
        <w:t xml:space="preserve"> spread </w:t>
      </w:r>
      <w:r w:rsidR="002B7AF2" w:rsidRPr="002B7AF2">
        <w:rPr>
          <w:lang w:val="en-US"/>
        </w:rPr>
        <w:t xml:space="preserve">as the </w:t>
      </w:r>
      <w:r w:rsidRPr="002B7AF2">
        <w:rPr>
          <w:lang w:val="en-US"/>
        </w:rPr>
        <w:t xml:space="preserve">dependent variable, whereas the VIX is </w:t>
      </w:r>
      <w:r w:rsidR="002B7AF2" w:rsidRPr="002B7AF2">
        <w:rPr>
          <w:lang w:val="en-US"/>
        </w:rPr>
        <w:t xml:space="preserve">the independent. </w:t>
      </w:r>
      <w:r w:rsidRPr="002B7AF2">
        <w:rPr>
          <w:lang w:val="en-US"/>
        </w:rPr>
        <w:t xml:space="preserve">We include a dummy variable, taking the value 1 in case of surveys followed by multiple downgrades (indicated in the previous headings) and a value of 0 in case when no particular or </w:t>
      </w:r>
      <w:r w:rsidRPr="002B7AF2">
        <w:rPr>
          <w:lang w:val="en-US"/>
        </w:rPr>
        <w:lastRenderedPageBreak/>
        <w:t xml:space="preserve">relatively few downgrades take place. </w:t>
      </w:r>
      <w:r w:rsidR="004318B7">
        <w:rPr>
          <w:lang w:val="en-US"/>
        </w:rPr>
        <w:t xml:space="preserve">The variable coefficient will disappear once the dummy explanatory variable takes the value 0. Once the dummy takes the value 1, the coefficient enacts as the supplemental intercept in our regression. </w:t>
      </w:r>
      <w:r w:rsidR="008A4B5E">
        <w:rPr>
          <w:lang w:val="en-US"/>
        </w:rPr>
        <w:t xml:space="preserve">Henceforth, the dummy variable has additional, explaining power on our dependent variable: MM spread. This enables us to evaluate whether the events in which negative CRA announcements take place, the MM spread is additionally influenced by the VIX. </w:t>
      </w:r>
      <w:r w:rsidR="0097287F" w:rsidRPr="002B7AF2">
        <w:rPr>
          <w:lang w:val="en-US"/>
        </w:rPr>
        <w:t xml:space="preserve">The R-squared, the covariance, is the proportion of variability in the dependent variable, Y, that is explained by the independent variable, X. The X variable in our model </w:t>
      </w:r>
      <w:r w:rsidR="002B7AF2" w:rsidRPr="002B7AF2">
        <w:rPr>
          <w:lang w:val="en-US"/>
        </w:rPr>
        <w:t>is the VIX</w:t>
      </w:r>
      <w:r w:rsidR="0097287F" w:rsidRPr="002B7AF2">
        <w:rPr>
          <w:lang w:val="en-US"/>
        </w:rPr>
        <w:t xml:space="preserve">, and the dependent variable will be the </w:t>
      </w:r>
      <w:r w:rsidR="002B7AF2" w:rsidRPr="002B7AF2">
        <w:rPr>
          <w:lang w:val="en-US"/>
        </w:rPr>
        <w:t>MM spread</w:t>
      </w:r>
      <w:r w:rsidR="0097287F" w:rsidRPr="002B7AF2">
        <w:rPr>
          <w:lang w:val="en-US"/>
        </w:rPr>
        <w:t xml:space="preserve">. </w:t>
      </w:r>
      <w:r w:rsidRPr="002B7AF2">
        <w:rPr>
          <w:lang w:val="en-US"/>
        </w:rPr>
        <w:t xml:space="preserve">The statistical </w:t>
      </w:r>
      <w:r w:rsidR="0097287F" w:rsidRPr="002B7AF2">
        <w:rPr>
          <w:lang w:val="en-US"/>
        </w:rPr>
        <w:t>implications of these results for our research allow</w:t>
      </w:r>
      <w:r w:rsidRPr="002B7AF2">
        <w:rPr>
          <w:lang w:val="en-US"/>
        </w:rPr>
        <w:t xml:space="preserve"> us to evaluate the </w:t>
      </w:r>
      <w:r w:rsidR="0097287F" w:rsidRPr="002B7AF2">
        <w:rPr>
          <w:lang w:val="en-US"/>
        </w:rPr>
        <w:t xml:space="preserve">influence of </w:t>
      </w:r>
      <w:r w:rsidR="002B7AF2" w:rsidRPr="002B7AF2">
        <w:rPr>
          <w:lang w:val="en-US"/>
        </w:rPr>
        <w:t>the VIX on the investor sentiment</w:t>
      </w:r>
      <w:r w:rsidRPr="002B7AF2">
        <w:rPr>
          <w:lang w:val="en-US"/>
        </w:rPr>
        <w:t xml:space="preserve">. </w:t>
      </w:r>
    </w:p>
    <w:p w:rsidR="0097287F" w:rsidRDefault="0097287F" w:rsidP="009F0DE0">
      <w:pPr>
        <w:spacing w:line="360" w:lineRule="auto"/>
        <w:jc w:val="both"/>
        <w:rPr>
          <w:lang w:val="en-US"/>
        </w:rPr>
      </w:pPr>
    </w:p>
    <w:p w:rsidR="00A14648" w:rsidRPr="00A63876" w:rsidRDefault="00763BD7" w:rsidP="00A14648">
      <w:pPr>
        <w:spacing w:line="360" w:lineRule="auto"/>
        <w:jc w:val="both"/>
        <w:rPr>
          <w:lang w:val="en-US"/>
        </w:rPr>
      </w:pPr>
      <w:r>
        <w:rPr>
          <w:lang w:val="en-US"/>
        </w:rPr>
        <w:br w:type="page"/>
      </w:r>
    </w:p>
    <w:p w:rsidR="00194275" w:rsidRPr="0077520D" w:rsidRDefault="000A54C6" w:rsidP="0077520D">
      <w:pPr>
        <w:pStyle w:val="Heading1"/>
        <w:jc w:val="both"/>
        <w:rPr>
          <w:lang w:val="en-US"/>
        </w:rPr>
      </w:pPr>
      <w:bookmarkStart w:id="11" w:name="_Toc204880071"/>
      <w:r>
        <w:rPr>
          <w:lang w:val="en-US"/>
        </w:rPr>
        <w:lastRenderedPageBreak/>
        <w:t xml:space="preserve">4. </w:t>
      </w:r>
      <w:r w:rsidR="00194275" w:rsidRPr="00C553E4">
        <w:rPr>
          <w:lang w:val="en-US"/>
        </w:rPr>
        <w:t>Results</w:t>
      </w:r>
      <w:bookmarkEnd w:id="11"/>
    </w:p>
    <w:p w:rsidR="00D30876" w:rsidRDefault="00DC0D3F" w:rsidP="00681F6F">
      <w:pPr>
        <w:pStyle w:val="Heading2"/>
      </w:pPr>
      <w:bookmarkStart w:id="12" w:name="_Toc204880072"/>
      <w:r>
        <w:t xml:space="preserve">Identifying the </w:t>
      </w:r>
      <w:r w:rsidR="00D30876">
        <w:t>Events</w:t>
      </w:r>
      <w:bookmarkEnd w:id="12"/>
    </w:p>
    <w:p w:rsidR="00D30876" w:rsidRDefault="00D30876" w:rsidP="00D30876"/>
    <w:p w:rsidR="00D30876" w:rsidRDefault="00D30876" w:rsidP="00D30876">
      <w:pPr>
        <w:spacing w:line="360" w:lineRule="auto"/>
        <w:jc w:val="both"/>
        <w:rPr>
          <w:lang w:val="en-US"/>
        </w:rPr>
      </w:pPr>
      <w:r w:rsidRPr="00D30876">
        <w:rPr>
          <w:lang w:val="en-US"/>
        </w:rPr>
        <w:t xml:space="preserve">We have investigated the downgrades and outlook changes by our CRAs thoroughly and have identified different ‘event periods’ in which the number of downgrades and outlook changes intensify. Moreover, we have investigated the magnitude of the CRA activity on sovereign credit announcements. The tables display the </w:t>
      </w:r>
      <w:r>
        <w:rPr>
          <w:lang w:val="en-US"/>
        </w:rPr>
        <w:t xml:space="preserve">identified </w:t>
      </w:r>
      <w:r w:rsidRPr="00D30876">
        <w:rPr>
          <w:lang w:val="en-US"/>
        </w:rPr>
        <w:t>events.</w:t>
      </w:r>
    </w:p>
    <w:p w:rsidR="00D30876" w:rsidRDefault="00D30876" w:rsidP="00D30876">
      <w:pPr>
        <w:pStyle w:val="Heading4"/>
        <w:rPr>
          <w:lang w:val="en-US"/>
        </w:rPr>
      </w:pPr>
      <w:r>
        <w:rPr>
          <w:lang w:val="en-US"/>
        </w:rPr>
        <w:t xml:space="preserve">Table 2.1. Survey 6-13 – Unprecedented </w:t>
      </w:r>
      <w:proofErr w:type="gramStart"/>
      <w:r>
        <w:rPr>
          <w:lang w:val="en-US"/>
        </w:rPr>
        <w:t>P(</w:t>
      </w:r>
      <w:proofErr w:type="gramEnd"/>
      <w:r>
        <w:rPr>
          <w:lang w:val="en-US"/>
        </w:rPr>
        <w:t>II)GS downgrades</w:t>
      </w:r>
    </w:p>
    <w:p w:rsidR="00D30876" w:rsidRDefault="00D30876" w:rsidP="00D30876">
      <w:pPr>
        <w:jc w:val="both"/>
        <w:rPr>
          <w:lang w:val="en-US"/>
        </w:rPr>
      </w:pPr>
      <w:r>
        <w:rPr>
          <w:noProof/>
          <w:lang w:val="en-US" w:eastAsia="en-US" w:bidi="ar-SA"/>
        </w:rPr>
        <w:drawing>
          <wp:inline distT="0" distB="0" distL="0" distR="0">
            <wp:extent cx="5270500" cy="1832904"/>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1832904"/>
                    </a:xfrm>
                    <a:prstGeom prst="rect">
                      <a:avLst/>
                    </a:prstGeom>
                    <a:noFill/>
                    <a:ln>
                      <a:noFill/>
                    </a:ln>
                  </pic:spPr>
                </pic:pic>
              </a:graphicData>
            </a:graphic>
          </wp:inline>
        </w:drawing>
      </w:r>
    </w:p>
    <w:p w:rsidR="00D30876" w:rsidRDefault="00D30876" w:rsidP="00D30876">
      <w:pPr>
        <w:jc w:val="both"/>
        <w:rPr>
          <w:lang w:val="en-US"/>
        </w:rPr>
      </w:pPr>
    </w:p>
    <w:p w:rsidR="00D30876" w:rsidRDefault="00D30876" w:rsidP="00D30876">
      <w:pPr>
        <w:spacing w:line="360" w:lineRule="auto"/>
        <w:jc w:val="both"/>
        <w:rPr>
          <w:lang w:val="en-US"/>
        </w:rPr>
      </w:pPr>
      <w:r>
        <w:rPr>
          <w:lang w:val="en-US"/>
        </w:rPr>
        <w:t>Table 1.1. shows us the survey 7 – 13, in which increased CRA activity is present. Greece, Portugal and Spain have been downgraded and obtain a negative credit outlook. This has been unprecedented in our research sample and can be marked as the first increased CRA announcement activity.</w:t>
      </w:r>
    </w:p>
    <w:p w:rsidR="00D30876" w:rsidRPr="00627B8F" w:rsidRDefault="00D30876" w:rsidP="00D30876">
      <w:pPr>
        <w:pStyle w:val="Heading4"/>
        <w:rPr>
          <w:lang w:val="en-US"/>
        </w:rPr>
      </w:pPr>
      <w:r>
        <w:rPr>
          <w:lang w:val="en-US"/>
        </w:rPr>
        <w:t>Table 2.2. Survey 21 – 23. No grade changes – UK positive outlook change</w:t>
      </w:r>
    </w:p>
    <w:p w:rsidR="00D30876" w:rsidRDefault="00D30876" w:rsidP="00D30876">
      <w:r>
        <w:rPr>
          <w:noProof/>
          <w:lang w:val="en-US" w:eastAsia="en-US" w:bidi="ar-SA"/>
        </w:rPr>
        <w:drawing>
          <wp:inline distT="0" distB="0" distL="0" distR="0">
            <wp:extent cx="1714500" cy="572770"/>
            <wp:effectExtent l="0" t="0" r="12700" b="1143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6571" cy="573462"/>
                    </a:xfrm>
                    <a:prstGeom prst="rect">
                      <a:avLst/>
                    </a:prstGeom>
                    <a:noFill/>
                    <a:ln>
                      <a:noFill/>
                    </a:ln>
                  </pic:spPr>
                </pic:pic>
              </a:graphicData>
            </a:graphic>
          </wp:inline>
        </w:drawing>
      </w:r>
    </w:p>
    <w:p w:rsidR="00D30876" w:rsidRDefault="00D30876" w:rsidP="00D30876"/>
    <w:p w:rsidR="00D30876" w:rsidRPr="00627B8F" w:rsidRDefault="00D30876" w:rsidP="00EA1E73">
      <w:pPr>
        <w:spacing w:line="360" w:lineRule="auto"/>
      </w:pPr>
      <w:r>
        <w:t xml:space="preserve">Table 2.2. </w:t>
      </w:r>
      <w:proofErr w:type="gramStart"/>
      <w:r>
        <w:t>shows</w:t>
      </w:r>
      <w:proofErr w:type="gramEnd"/>
      <w:r>
        <w:t xml:space="preserve"> us </w:t>
      </w:r>
      <w:r w:rsidR="00EA1E73">
        <w:t xml:space="preserve">a period in which only the UK obtains a positive outlook change. Moreover, other sovereigns are neither downgraded nor set on negative watch. Concluding, this can be marked as period of calmness and decreased CRA activity. </w:t>
      </w:r>
    </w:p>
    <w:p w:rsidR="00D30876" w:rsidRDefault="00D30876" w:rsidP="00D30876">
      <w:pPr>
        <w:pStyle w:val="Heading4"/>
      </w:pPr>
      <w:r>
        <w:t>Table 2.3. Survey 24 – 26. Downgrades Greece, Ireland, Portugal and Spain</w:t>
      </w:r>
    </w:p>
    <w:p w:rsidR="00D30876" w:rsidRDefault="00D30876" w:rsidP="00D30876">
      <w:r>
        <w:rPr>
          <w:noProof/>
          <w:lang w:val="en-US" w:eastAsia="en-US" w:bidi="ar-SA"/>
        </w:rPr>
        <w:drawing>
          <wp:inline distT="0" distB="0" distL="0" distR="0">
            <wp:extent cx="5270500" cy="635929"/>
            <wp:effectExtent l="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635929"/>
                    </a:xfrm>
                    <a:prstGeom prst="rect">
                      <a:avLst/>
                    </a:prstGeom>
                    <a:noFill/>
                    <a:ln>
                      <a:noFill/>
                    </a:ln>
                  </pic:spPr>
                </pic:pic>
              </a:graphicData>
            </a:graphic>
          </wp:inline>
        </w:drawing>
      </w:r>
    </w:p>
    <w:p w:rsidR="00EA1E73" w:rsidRDefault="00EA1E73" w:rsidP="00EA1E73">
      <w:pPr>
        <w:spacing w:line="360" w:lineRule="auto"/>
      </w:pPr>
    </w:p>
    <w:p w:rsidR="00D30876" w:rsidRDefault="00EA1E73" w:rsidP="00EA1E73">
      <w:pPr>
        <w:spacing w:line="360" w:lineRule="auto"/>
      </w:pPr>
      <w:r>
        <w:lastRenderedPageBreak/>
        <w:t xml:space="preserve">Table 2.3. includes survey 24 – 26, where increased CRA activity takes place. Greece, Ireland, Portugal and Spain are downgraded. </w:t>
      </w:r>
    </w:p>
    <w:p w:rsidR="00D30876" w:rsidRDefault="00D30876" w:rsidP="00D30876">
      <w:pPr>
        <w:pStyle w:val="Heading4"/>
      </w:pPr>
      <w:r>
        <w:t>Table 2.4. Survey 41 – 46. Near default Greece, Downgrade Italy, Spain and USA</w:t>
      </w:r>
    </w:p>
    <w:p w:rsidR="00D30876" w:rsidRDefault="00D30876" w:rsidP="00D30876">
      <w:r>
        <w:rPr>
          <w:noProof/>
          <w:lang w:val="en-US" w:eastAsia="en-US" w:bidi="ar-SA"/>
        </w:rPr>
        <w:drawing>
          <wp:inline distT="0" distB="0" distL="0" distR="0">
            <wp:extent cx="5270500" cy="1099248"/>
            <wp:effectExtent l="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1099248"/>
                    </a:xfrm>
                    <a:prstGeom prst="rect">
                      <a:avLst/>
                    </a:prstGeom>
                    <a:noFill/>
                    <a:ln>
                      <a:noFill/>
                    </a:ln>
                  </pic:spPr>
                </pic:pic>
              </a:graphicData>
            </a:graphic>
          </wp:inline>
        </w:drawing>
      </w:r>
    </w:p>
    <w:p w:rsidR="00D30876" w:rsidRDefault="00D30876" w:rsidP="00D30876"/>
    <w:p w:rsidR="00D30876" w:rsidRDefault="00EA1E73" w:rsidP="00EA1E73">
      <w:pPr>
        <w:spacing w:line="360" w:lineRule="auto"/>
      </w:pPr>
      <w:r>
        <w:t xml:space="preserve">Table 2.4. </w:t>
      </w:r>
      <w:proofErr w:type="gramStart"/>
      <w:r>
        <w:t>displays</w:t>
      </w:r>
      <w:proofErr w:type="gramEnd"/>
      <w:r>
        <w:t xml:space="preserve"> another period in which CRA activity increases and hence the magnitude increases. This is due to the fact that Greece is nearly set into default. Another event is identified based on the increased activity of CRAs.</w:t>
      </w:r>
    </w:p>
    <w:p w:rsidR="00D30876" w:rsidRDefault="00D30876" w:rsidP="00D30876">
      <w:pPr>
        <w:pStyle w:val="Heading4"/>
      </w:pPr>
      <w:r>
        <w:t>Table 2.5. Survey 48 – 49. Downgrade Belgium &amp; Portugal, Neg. outlook France &amp; US</w:t>
      </w:r>
      <w:r w:rsidR="00EA1E73">
        <w:t>A</w:t>
      </w:r>
    </w:p>
    <w:p w:rsidR="00D30876" w:rsidRDefault="00D30876" w:rsidP="00D30876">
      <w:r>
        <w:rPr>
          <w:noProof/>
          <w:lang w:val="en-US" w:eastAsia="en-US" w:bidi="ar-SA"/>
        </w:rPr>
        <w:drawing>
          <wp:inline distT="0" distB="0" distL="0" distR="0">
            <wp:extent cx="5270500" cy="792334"/>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792334"/>
                    </a:xfrm>
                    <a:prstGeom prst="rect">
                      <a:avLst/>
                    </a:prstGeom>
                    <a:noFill/>
                    <a:ln>
                      <a:noFill/>
                    </a:ln>
                  </pic:spPr>
                </pic:pic>
              </a:graphicData>
            </a:graphic>
          </wp:inline>
        </w:drawing>
      </w:r>
    </w:p>
    <w:p w:rsidR="00D30876" w:rsidRDefault="00D30876" w:rsidP="00D30876"/>
    <w:p w:rsidR="00D30876" w:rsidRDefault="00EA1E73" w:rsidP="00EA1E73">
      <w:pPr>
        <w:spacing w:line="360" w:lineRule="auto"/>
      </w:pPr>
      <w:r>
        <w:t>Table 2.5. captures another event slot in which multiple downgrades are announced. The magnitude increases as well since both France and the United States of America are set on the negative watch.</w:t>
      </w:r>
    </w:p>
    <w:p w:rsidR="00D30876" w:rsidRDefault="00D30876" w:rsidP="00D30876">
      <w:pPr>
        <w:spacing w:line="360" w:lineRule="auto"/>
        <w:jc w:val="both"/>
        <w:rPr>
          <w:lang w:val="en-US"/>
        </w:rPr>
      </w:pPr>
    </w:p>
    <w:p w:rsidR="00EA1E73" w:rsidRPr="00EA1E73" w:rsidRDefault="00EA1E73" w:rsidP="00EA1E73">
      <w:pPr>
        <w:spacing w:line="360" w:lineRule="auto"/>
        <w:jc w:val="both"/>
      </w:pPr>
      <w:r>
        <w:rPr>
          <w:lang w:val="en-US"/>
        </w:rPr>
        <w:t xml:space="preserve">These events displayed are identified based on increased intensity and magnitude of CRA downgrades. More events become apparent, further described </w:t>
      </w:r>
      <w:proofErr w:type="gramStart"/>
      <w:r>
        <w:rPr>
          <w:lang w:val="en-US"/>
        </w:rPr>
        <w:t>proceeding</w:t>
      </w:r>
      <w:proofErr w:type="gramEnd"/>
      <w:r>
        <w:rPr>
          <w:lang w:val="en-US"/>
        </w:rPr>
        <w:t xml:space="preserve"> this chapter and summarized in figure 6.</w:t>
      </w:r>
    </w:p>
    <w:p w:rsidR="00D76DBC" w:rsidRDefault="00D76DBC" w:rsidP="00681F6F">
      <w:pPr>
        <w:pStyle w:val="Heading2"/>
      </w:pPr>
      <w:bookmarkStart w:id="13" w:name="_Toc204880073"/>
      <w:r>
        <w:t>Testing maximum</w:t>
      </w:r>
      <w:r w:rsidR="00701B41">
        <w:t xml:space="preserve"> – minimum</w:t>
      </w:r>
      <w:r>
        <w:t xml:space="preserve"> spread</w:t>
      </w:r>
      <w:bookmarkEnd w:id="13"/>
    </w:p>
    <w:p w:rsidR="00D76DBC" w:rsidRDefault="00D76DBC" w:rsidP="008E53E8">
      <w:pPr>
        <w:spacing w:line="360" w:lineRule="auto"/>
        <w:jc w:val="both"/>
        <w:rPr>
          <w:lang w:val="en-US"/>
        </w:rPr>
      </w:pPr>
    </w:p>
    <w:p w:rsidR="00365777" w:rsidRDefault="00701B41" w:rsidP="008E53E8">
      <w:pPr>
        <w:spacing w:line="360" w:lineRule="auto"/>
        <w:jc w:val="both"/>
        <w:rPr>
          <w:lang w:val="en-US"/>
        </w:rPr>
      </w:pPr>
      <w:r>
        <w:rPr>
          <w:lang w:val="en-US"/>
        </w:rPr>
        <w:t xml:space="preserve">We have tested the maximum – minimum (MM) spread for the investors that have participated in the AEX survey. </w:t>
      </w:r>
      <w:r w:rsidR="008E53E8">
        <w:rPr>
          <w:lang w:val="en-US"/>
        </w:rPr>
        <w:t xml:space="preserve">Figure 1 depicts the trend of the MM spread over the horizon of December 2009 – March 2012. Once we look at both the median </w:t>
      </w:r>
      <w:r w:rsidR="00D30EE5">
        <w:rPr>
          <w:lang w:val="en-US"/>
        </w:rPr>
        <w:t xml:space="preserve">MM and </w:t>
      </w:r>
      <w:r w:rsidR="008E53E8">
        <w:rPr>
          <w:lang w:val="en-US"/>
        </w:rPr>
        <w:t xml:space="preserve">mean </w:t>
      </w:r>
      <w:r w:rsidR="00D30EE5">
        <w:rPr>
          <w:lang w:val="en-US"/>
        </w:rPr>
        <w:t>MM spread, these follow each other</w:t>
      </w:r>
      <w:r w:rsidR="008E53E8">
        <w:rPr>
          <w:lang w:val="en-US"/>
        </w:rPr>
        <w:t xml:space="preserve"> closely. </w:t>
      </w:r>
      <w:r>
        <w:rPr>
          <w:lang w:val="en-US"/>
        </w:rPr>
        <w:t xml:space="preserve"> </w:t>
      </w:r>
      <w:r w:rsidR="008E53E8">
        <w:rPr>
          <w:lang w:val="en-US"/>
        </w:rPr>
        <w:t xml:space="preserve">Several peaks can be observed over this </w:t>
      </w:r>
      <w:r w:rsidR="00D30EE5">
        <w:rPr>
          <w:lang w:val="en-US"/>
        </w:rPr>
        <w:t>research</w:t>
      </w:r>
      <w:r w:rsidR="008E53E8">
        <w:rPr>
          <w:lang w:val="en-US"/>
        </w:rPr>
        <w:t xml:space="preserve"> horizon. </w:t>
      </w:r>
      <w:r>
        <w:rPr>
          <w:lang w:val="en-US"/>
        </w:rPr>
        <w:t xml:space="preserve"> </w:t>
      </w:r>
      <w:r w:rsidR="008E53E8">
        <w:rPr>
          <w:lang w:val="en-US"/>
        </w:rPr>
        <w:t>Most notably is the pea</w:t>
      </w:r>
      <w:r w:rsidR="00D30EE5">
        <w:rPr>
          <w:lang w:val="en-US"/>
        </w:rPr>
        <w:t>k that arises</w:t>
      </w:r>
      <w:r w:rsidR="0036270D">
        <w:rPr>
          <w:lang w:val="en-US"/>
        </w:rPr>
        <w:t xml:space="preserve"> over</w:t>
      </w:r>
      <w:r w:rsidR="00223615">
        <w:rPr>
          <w:lang w:val="en-US"/>
        </w:rPr>
        <w:t xml:space="preserve"> survey 10</w:t>
      </w:r>
      <w:r w:rsidR="00013DA3">
        <w:rPr>
          <w:lang w:val="en-US"/>
        </w:rPr>
        <w:t xml:space="preserve"> – </w:t>
      </w:r>
      <w:r w:rsidR="00223615">
        <w:rPr>
          <w:lang w:val="en-US"/>
        </w:rPr>
        <w:t>13. Once we look at T</w:t>
      </w:r>
      <w:r w:rsidR="0036270D">
        <w:rPr>
          <w:lang w:val="en-US"/>
        </w:rPr>
        <w:t>able</w:t>
      </w:r>
      <w:r w:rsidR="00D30EE5">
        <w:rPr>
          <w:lang w:val="en-US"/>
        </w:rPr>
        <w:t xml:space="preserve"> 2.1</w:t>
      </w:r>
      <w:r w:rsidR="0036270D">
        <w:rPr>
          <w:lang w:val="en-US"/>
        </w:rPr>
        <w:t xml:space="preserve">, which includes the outlook changes and downgrades of Greece, Portugal and Spain. Notably this is a period where the three rating agencies </w:t>
      </w:r>
      <w:r w:rsidR="0036270D">
        <w:rPr>
          <w:lang w:val="en-US"/>
        </w:rPr>
        <w:lastRenderedPageBreak/>
        <w:t xml:space="preserve">initially change the outlook/watch negatively for the long run on previously mentioned sovereign </w:t>
      </w:r>
      <w:r w:rsidR="00D56826">
        <w:rPr>
          <w:lang w:val="en-US"/>
        </w:rPr>
        <w:t>credit rating</w:t>
      </w:r>
      <w:r w:rsidR="0036270D">
        <w:rPr>
          <w:lang w:val="en-US"/>
        </w:rPr>
        <w:t>s. Unrest on the Greek financials is noticeable in the</w:t>
      </w:r>
      <w:r w:rsidR="00D30EE5">
        <w:rPr>
          <w:lang w:val="en-US"/>
        </w:rPr>
        <w:t xml:space="preserve"> MM</w:t>
      </w:r>
      <w:r w:rsidR="0036270D">
        <w:rPr>
          <w:lang w:val="en-US"/>
        </w:rPr>
        <w:t xml:space="preserve"> spread</w:t>
      </w:r>
      <w:r w:rsidR="00D30EE5">
        <w:rPr>
          <w:lang w:val="en-US"/>
        </w:rPr>
        <w:t xml:space="preserve"> and</w:t>
      </w:r>
      <w:r w:rsidR="0036270D">
        <w:rPr>
          <w:lang w:val="en-US"/>
        </w:rPr>
        <w:t xml:space="preserve"> increases sharply</w:t>
      </w:r>
      <w:r w:rsidR="00D30EE5">
        <w:rPr>
          <w:lang w:val="en-US"/>
        </w:rPr>
        <w:t xml:space="preserve"> over time</w:t>
      </w:r>
      <w:r w:rsidR="0036270D">
        <w:rPr>
          <w:lang w:val="en-US"/>
        </w:rPr>
        <w:t>. Greece receives a downgrade to BB+ by S&amp;P on April 27</w:t>
      </w:r>
      <w:r w:rsidR="0036270D" w:rsidRPr="0036270D">
        <w:rPr>
          <w:vertAlign w:val="superscript"/>
          <w:lang w:val="en-US"/>
        </w:rPr>
        <w:t>th</w:t>
      </w:r>
      <w:r w:rsidR="0036270D">
        <w:rPr>
          <w:lang w:val="en-US"/>
        </w:rPr>
        <w:t>, 2009. Moreover</w:t>
      </w:r>
      <w:r w:rsidR="00CE4A23">
        <w:rPr>
          <w:lang w:val="en-US"/>
        </w:rPr>
        <w:t xml:space="preserve">, S&amp;P downgrades Portugal to A- on that same day </w:t>
      </w:r>
      <w:r w:rsidR="0036270D">
        <w:rPr>
          <w:lang w:val="en-US"/>
        </w:rPr>
        <w:t xml:space="preserve">after a </w:t>
      </w:r>
      <w:r w:rsidR="00CE4A23">
        <w:rPr>
          <w:lang w:val="en-US"/>
        </w:rPr>
        <w:t>downgrade by Fitch in survey 7. One day after</w:t>
      </w:r>
      <w:r w:rsidR="00D30EE5">
        <w:rPr>
          <w:lang w:val="en-US"/>
        </w:rPr>
        <w:t xml:space="preserve"> the downgrade of Greece and Portugal</w:t>
      </w:r>
      <w:r w:rsidR="00CE4A23">
        <w:rPr>
          <w:lang w:val="en-US"/>
        </w:rPr>
        <w:t xml:space="preserve">, Spain is downgraded as well by S&amp;P to AA. </w:t>
      </w:r>
    </w:p>
    <w:p w:rsidR="008E53E8" w:rsidRDefault="0023151D" w:rsidP="008E53E8">
      <w:pPr>
        <w:spacing w:line="360" w:lineRule="auto"/>
        <w:jc w:val="both"/>
        <w:rPr>
          <w:lang w:val="en-US"/>
        </w:rPr>
      </w:pPr>
      <w:r>
        <w:rPr>
          <w:lang w:val="en-US"/>
        </w:rPr>
        <w:t>We observe a falling trend</w:t>
      </w:r>
      <w:r w:rsidR="00627B8F">
        <w:rPr>
          <w:lang w:val="en-US"/>
        </w:rPr>
        <w:t xml:space="preserve"> in the spread during survey 21</w:t>
      </w:r>
      <w:r w:rsidR="00013DA3">
        <w:rPr>
          <w:lang w:val="en-US"/>
        </w:rPr>
        <w:t xml:space="preserve"> – </w:t>
      </w:r>
      <w:r w:rsidR="00627B8F">
        <w:rPr>
          <w:lang w:val="en-US"/>
        </w:rPr>
        <w:t>23. Table 2</w:t>
      </w:r>
      <w:r w:rsidR="00D30EE5">
        <w:rPr>
          <w:lang w:val="en-US"/>
        </w:rPr>
        <w:t>.2</w:t>
      </w:r>
      <w:r w:rsidR="00627B8F">
        <w:rPr>
          <w:lang w:val="en-US"/>
        </w:rPr>
        <w:t xml:space="preserve"> shows us that no downg</w:t>
      </w:r>
      <w:r w:rsidR="00D30EE5">
        <w:rPr>
          <w:lang w:val="en-US"/>
        </w:rPr>
        <w:t xml:space="preserve">rades or upgrades are present </w:t>
      </w:r>
      <w:r w:rsidR="00627B8F">
        <w:rPr>
          <w:lang w:val="en-US"/>
        </w:rPr>
        <w:t>by the CRAs</w:t>
      </w:r>
      <w:r w:rsidR="00D30EE5">
        <w:rPr>
          <w:lang w:val="en-US"/>
        </w:rPr>
        <w:t xml:space="preserve"> in this period</w:t>
      </w:r>
      <w:r w:rsidR="00627B8F">
        <w:rPr>
          <w:lang w:val="en-US"/>
        </w:rPr>
        <w:t>. Moreover, a positive (to stable) outlook is announced by S&amp;P for the United Kingdom on October 26</w:t>
      </w:r>
      <w:r w:rsidR="00627B8F" w:rsidRPr="00627B8F">
        <w:rPr>
          <w:vertAlign w:val="superscript"/>
          <w:lang w:val="en-US"/>
        </w:rPr>
        <w:t>th</w:t>
      </w:r>
      <w:r w:rsidR="00D30EE5">
        <w:rPr>
          <w:lang w:val="en-US"/>
        </w:rPr>
        <w:t xml:space="preserve"> 2010, survey 22. Both the mean and median MM spread decrease</w:t>
      </w:r>
      <w:r w:rsidR="00627B8F">
        <w:rPr>
          <w:lang w:val="en-US"/>
        </w:rPr>
        <w:t xml:space="preserve"> over time in this survey.</w:t>
      </w:r>
    </w:p>
    <w:p w:rsidR="007C1B1E" w:rsidRDefault="00823087" w:rsidP="007C1B1E">
      <w:pPr>
        <w:pStyle w:val="Heading4"/>
        <w:rPr>
          <w:lang w:val="en-US"/>
        </w:rPr>
      </w:pPr>
      <w:r>
        <w:rPr>
          <w:lang w:val="en-US"/>
        </w:rPr>
        <w:t>Figure 2</w:t>
      </w:r>
      <w:r w:rsidR="007C1B1E">
        <w:rPr>
          <w:lang w:val="en-US"/>
        </w:rPr>
        <w:t>. Maximum – Minimum spread AEX investors</w:t>
      </w:r>
    </w:p>
    <w:p w:rsidR="008B204E" w:rsidRDefault="00A6086F" w:rsidP="008E53E8">
      <w:pPr>
        <w:spacing w:line="360" w:lineRule="auto"/>
        <w:jc w:val="both"/>
        <w:rPr>
          <w:lang w:val="en-US"/>
        </w:rPr>
      </w:pPr>
      <w:r>
        <w:rPr>
          <w:noProof/>
          <w:lang w:val="en-US" w:eastAsia="en-US" w:bidi="ar-SA"/>
        </w:rPr>
        <w:drawing>
          <wp:inline distT="0" distB="0" distL="0" distR="0">
            <wp:extent cx="5270500" cy="1381899"/>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1381899"/>
                    </a:xfrm>
                    <a:prstGeom prst="rect">
                      <a:avLst/>
                    </a:prstGeom>
                    <a:noFill/>
                    <a:ln>
                      <a:noFill/>
                    </a:ln>
                  </pic:spPr>
                </pic:pic>
              </a:graphicData>
            </a:graphic>
          </wp:inline>
        </w:drawing>
      </w:r>
    </w:p>
    <w:p w:rsidR="0023151D" w:rsidRDefault="0023151D" w:rsidP="008E53E8">
      <w:pPr>
        <w:spacing w:line="360" w:lineRule="auto"/>
        <w:jc w:val="both"/>
        <w:rPr>
          <w:lang w:val="en-US"/>
        </w:rPr>
      </w:pPr>
      <w:r>
        <w:rPr>
          <w:lang w:val="en-US"/>
        </w:rPr>
        <w:t xml:space="preserve">Another increasing trend in the MM spread over survey 24 – 26 can </w:t>
      </w:r>
      <w:r w:rsidR="006B7BF2">
        <w:rPr>
          <w:lang w:val="en-US"/>
        </w:rPr>
        <w:t>be observed. We acknowledge in T</w:t>
      </w:r>
      <w:r>
        <w:rPr>
          <w:lang w:val="en-US"/>
        </w:rPr>
        <w:t xml:space="preserve">able </w:t>
      </w:r>
      <w:r w:rsidR="00D30EE5">
        <w:rPr>
          <w:lang w:val="en-US"/>
        </w:rPr>
        <w:t>2.</w:t>
      </w:r>
      <w:r>
        <w:rPr>
          <w:lang w:val="en-US"/>
        </w:rPr>
        <w:t xml:space="preserve">3 that the sovereign </w:t>
      </w:r>
      <w:r w:rsidR="00D56826">
        <w:rPr>
          <w:lang w:val="en-US"/>
        </w:rPr>
        <w:t xml:space="preserve">credit rating </w:t>
      </w:r>
      <w:r>
        <w:rPr>
          <w:lang w:val="en-US"/>
        </w:rPr>
        <w:t xml:space="preserve">of Greece, Ireland, Portugal and Spain are </w:t>
      </w:r>
      <w:r w:rsidR="008B204E">
        <w:rPr>
          <w:lang w:val="en-US"/>
        </w:rPr>
        <w:t xml:space="preserve">reviewed by all three CRAs. S&amp;P and Fitch both review Greece’s solvency and put Greece on a negative watch. Fitch and Moody’s downgrade Ireland in survey period 25 and 26 consecutively. Moreover, </w:t>
      </w:r>
      <w:r w:rsidR="00AC17CF">
        <w:rPr>
          <w:lang w:val="en-US"/>
        </w:rPr>
        <w:t xml:space="preserve">Moody’s downgrades </w:t>
      </w:r>
      <w:r w:rsidR="008B204E">
        <w:rPr>
          <w:lang w:val="en-US"/>
        </w:rPr>
        <w:t xml:space="preserve">Spain in survey 25 to AA-. In </w:t>
      </w:r>
      <w:r w:rsidR="00AC17CF">
        <w:rPr>
          <w:lang w:val="en-US"/>
        </w:rPr>
        <w:t>a broader sense of all CRA activity, this time period of survey 24 – 26 is a heavy period for the so-called PIGS countries.</w:t>
      </w:r>
      <w:r w:rsidR="006B7BF2">
        <w:rPr>
          <w:lang w:val="en-US"/>
        </w:rPr>
        <w:t xml:space="preserve"> </w:t>
      </w:r>
      <w:r w:rsidR="00AC17CF">
        <w:rPr>
          <w:lang w:val="en-US"/>
        </w:rPr>
        <w:t>Additionally, Belgium’s outlook is put to negative by S&amp;P in December 2010 (survey 25).</w:t>
      </w:r>
      <w:r w:rsidR="006B7BF2">
        <w:rPr>
          <w:lang w:val="en-US"/>
        </w:rPr>
        <w:t xml:space="preserve"> </w:t>
      </w:r>
    </w:p>
    <w:p w:rsidR="00FE10C0" w:rsidRDefault="00FE10C0" w:rsidP="008E53E8">
      <w:pPr>
        <w:spacing w:line="360" w:lineRule="auto"/>
        <w:jc w:val="both"/>
        <w:rPr>
          <w:lang w:val="en-US"/>
        </w:rPr>
      </w:pPr>
    </w:p>
    <w:p w:rsidR="007C1B1E" w:rsidRDefault="00FE10C0" w:rsidP="00D22F2A">
      <w:pPr>
        <w:spacing w:line="360" w:lineRule="auto"/>
        <w:jc w:val="both"/>
        <w:rPr>
          <w:lang w:val="en-US"/>
        </w:rPr>
      </w:pPr>
      <w:r>
        <w:rPr>
          <w:lang w:val="en-US"/>
        </w:rPr>
        <w:t xml:space="preserve">After survey 40, July 2011 another rising trend is observed in the MM spread. </w:t>
      </w:r>
      <w:r w:rsidR="000F77D2">
        <w:rPr>
          <w:lang w:val="en-US"/>
        </w:rPr>
        <w:t>Broadly observ</w:t>
      </w:r>
      <w:r w:rsidR="006B7BF2">
        <w:rPr>
          <w:lang w:val="en-US"/>
        </w:rPr>
        <w:t>ing the sample period, survey 41</w:t>
      </w:r>
      <w:r w:rsidR="000F77D2">
        <w:rPr>
          <w:lang w:val="en-US"/>
        </w:rPr>
        <w:t xml:space="preserve"> – 46 is another period including many announcements by CRAs. </w:t>
      </w:r>
      <w:r>
        <w:rPr>
          <w:lang w:val="en-US"/>
        </w:rPr>
        <w:t xml:space="preserve">Table </w:t>
      </w:r>
      <w:r w:rsidR="00DB0471">
        <w:rPr>
          <w:lang w:val="en-US"/>
        </w:rPr>
        <w:t>2.</w:t>
      </w:r>
      <w:r>
        <w:rPr>
          <w:lang w:val="en-US"/>
        </w:rPr>
        <w:t xml:space="preserve">4 summarizes the CRA activity on sovereign </w:t>
      </w:r>
      <w:r w:rsidR="00D56826">
        <w:rPr>
          <w:lang w:val="en-US"/>
        </w:rPr>
        <w:t xml:space="preserve">credit rating </w:t>
      </w:r>
      <w:r>
        <w:rPr>
          <w:lang w:val="en-US"/>
        </w:rPr>
        <w:t xml:space="preserve">reviews. </w:t>
      </w:r>
      <w:r w:rsidR="00DA6D38">
        <w:rPr>
          <w:lang w:val="en-US"/>
        </w:rPr>
        <w:t xml:space="preserve">Greece, Italy, Spain and the </w:t>
      </w:r>
      <w:r w:rsidR="006B7BF2">
        <w:rPr>
          <w:lang w:val="en-US"/>
        </w:rPr>
        <w:t>United States of America (USA)</w:t>
      </w:r>
      <w:r w:rsidR="00DA6D38">
        <w:rPr>
          <w:lang w:val="en-US"/>
        </w:rPr>
        <w:t xml:space="preserve"> are under the watch of the CRAs in this period. Newcomers on sovereign liquidity pressure are Italy and the </w:t>
      </w:r>
      <w:r w:rsidR="006B7BF2">
        <w:rPr>
          <w:lang w:val="en-US"/>
        </w:rPr>
        <w:t>USA</w:t>
      </w:r>
      <w:r w:rsidR="00DA6D38">
        <w:rPr>
          <w:lang w:val="en-US"/>
        </w:rPr>
        <w:t xml:space="preserve">. </w:t>
      </w:r>
      <w:r w:rsidR="000F77D2">
        <w:rPr>
          <w:lang w:val="en-US"/>
        </w:rPr>
        <w:t>During survey 41 –</w:t>
      </w:r>
      <w:r w:rsidR="005941C8">
        <w:rPr>
          <w:lang w:val="en-US"/>
        </w:rPr>
        <w:t xml:space="preserve"> 42, S&amp;P and Moody’s downgrade </w:t>
      </w:r>
      <w:r w:rsidR="005941C8">
        <w:rPr>
          <w:lang w:val="en-US"/>
        </w:rPr>
        <w:lastRenderedPageBreak/>
        <w:t>Greece to near default</w:t>
      </w:r>
      <w:r w:rsidR="000F77D2">
        <w:rPr>
          <w:lang w:val="en-US"/>
        </w:rPr>
        <w:t xml:space="preserve">. Moreover, the </w:t>
      </w:r>
      <w:r w:rsidR="006B7BF2">
        <w:rPr>
          <w:lang w:val="en-US"/>
        </w:rPr>
        <w:t>USA</w:t>
      </w:r>
      <w:r w:rsidR="000F77D2">
        <w:rPr>
          <w:lang w:val="en-US"/>
        </w:rPr>
        <w:t xml:space="preserve"> is downgraded to AA+ by S&amp;P and put on negative watch by Moody’s in survey 42. Henceforth, we could see the median and average MM spread increase </w:t>
      </w:r>
      <w:r w:rsidR="00DB0471">
        <w:rPr>
          <w:lang w:val="en-US"/>
        </w:rPr>
        <w:t>sharply</w:t>
      </w:r>
      <w:r w:rsidR="000F77D2">
        <w:rPr>
          <w:lang w:val="en-US"/>
        </w:rPr>
        <w:t>.</w:t>
      </w:r>
      <w:r w:rsidR="007C1B1E">
        <w:rPr>
          <w:lang w:val="en-US"/>
        </w:rPr>
        <w:t xml:space="preserve"> During survey 43 – 44 no announcements are made b</w:t>
      </w:r>
      <w:r w:rsidR="00575917">
        <w:rPr>
          <w:lang w:val="en-US"/>
        </w:rPr>
        <w:t>y any of the CRAs. Following a period in</w:t>
      </w:r>
      <w:r w:rsidR="007C1B1E">
        <w:rPr>
          <w:lang w:val="en-US"/>
        </w:rPr>
        <w:t xml:space="preserve"> absence of an</w:t>
      </w:r>
      <w:r w:rsidR="006B7BF2">
        <w:rPr>
          <w:lang w:val="en-US"/>
        </w:rPr>
        <w:t>nouncements by CRAs we observe the</w:t>
      </w:r>
      <w:r w:rsidR="00575917">
        <w:rPr>
          <w:lang w:val="en-US"/>
        </w:rPr>
        <w:t xml:space="preserve"> median MM spread to fall until</w:t>
      </w:r>
      <w:r w:rsidR="007C1B1E">
        <w:rPr>
          <w:lang w:val="en-US"/>
        </w:rPr>
        <w:t xml:space="preserve"> survey 45.</w:t>
      </w:r>
      <w:r w:rsidR="00D22F2A">
        <w:rPr>
          <w:lang w:val="en-US"/>
        </w:rPr>
        <w:t xml:space="preserve"> </w:t>
      </w:r>
      <w:r w:rsidR="007C1B1E">
        <w:rPr>
          <w:lang w:val="en-US"/>
        </w:rPr>
        <w:t>Consecutive surveys 45 – 46 include the downgrade of Italy and Spain</w:t>
      </w:r>
      <w:r w:rsidR="00D22F2A">
        <w:rPr>
          <w:lang w:val="en-US"/>
        </w:rPr>
        <w:t xml:space="preserve"> henceforth causes an increasing median MM spread</w:t>
      </w:r>
      <w:r w:rsidR="007C1B1E">
        <w:rPr>
          <w:lang w:val="en-US"/>
        </w:rPr>
        <w:t xml:space="preserve">. </w:t>
      </w:r>
    </w:p>
    <w:p w:rsidR="0036270D" w:rsidRDefault="0036270D" w:rsidP="00D22F2A">
      <w:pPr>
        <w:spacing w:line="360" w:lineRule="auto"/>
        <w:jc w:val="both"/>
        <w:rPr>
          <w:lang w:val="en-US"/>
        </w:rPr>
      </w:pPr>
    </w:p>
    <w:p w:rsidR="00D22F2A" w:rsidRDefault="00DB0471" w:rsidP="00D22F2A">
      <w:pPr>
        <w:spacing w:line="360" w:lineRule="auto"/>
        <w:jc w:val="both"/>
        <w:rPr>
          <w:lang w:val="en-US"/>
        </w:rPr>
      </w:pPr>
      <w:r>
        <w:rPr>
          <w:lang w:val="en-US"/>
        </w:rPr>
        <w:t>Beforehand</w:t>
      </w:r>
      <w:r w:rsidR="00D22F2A">
        <w:rPr>
          <w:lang w:val="en-US"/>
        </w:rPr>
        <w:t xml:space="preserve"> and during survey 48 – 49, both France and </w:t>
      </w:r>
      <w:r w:rsidR="006B7BF2">
        <w:rPr>
          <w:lang w:val="en-US"/>
        </w:rPr>
        <w:t>the USA</w:t>
      </w:r>
      <w:r w:rsidR="00D22F2A">
        <w:rPr>
          <w:lang w:val="en-US"/>
        </w:rPr>
        <w:t xml:space="preserve"> receive a negative outlook by Moody and Fitch consecutively. </w:t>
      </w:r>
      <w:r>
        <w:rPr>
          <w:lang w:val="en-US"/>
        </w:rPr>
        <w:t>These countries account for a large portion of the global economy and hence are expected to</w:t>
      </w:r>
      <w:r w:rsidR="00223615">
        <w:rPr>
          <w:lang w:val="en-US"/>
        </w:rPr>
        <w:t xml:space="preserve"> influence sentiment </w:t>
      </w:r>
      <w:r w:rsidR="006B7BF2">
        <w:rPr>
          <w:lang w:val="en-US"/>
        </w:rPr>
        <w:t>of the investors significantly. W</w:t>
      </w:r>
      <w:r w:rsidR="00223615">
        <w:rPr>
          <w:lang w:val="en-US"/>
        </w:rPr>
        <w:t xml:space="preserve">e can observe a sharp increase in both the median and </w:t>
      </w:r>
      <w:r>
        <w:rPr>
          <w:lang w:val="en-US"/>
        </w:rPr>
        <w:t>mean</w:t>
      </w:r>
      <w:r w:rsidR="006B7BF2">
        <w:rPr>
          <w:lang w:val="en-US"/>
        </w:rPr>
        <w:t xml:space="preserve"> MM spread. The French</w:t>
      </w:r>
      <w:r w:rsidR="00223615">
        <w:rPr>
          <w:lang w:val="en-US"/>
        </w:rPr>
        <w:t xml:space="preserve"> sovereign</w:t>
      </w:r>
      <w:r w:rsidR="00066368">
        <w:rPr>
          <w:lang w:val="en-US"/>
        </w:rPr>
        <w:t xml:space="preserve"> outlook change was</w:t>
      </w:r>
      <w:r w:rsidR="00223615">
        <w:rPr>
          <w:lang w:val="en-US"/>
        </w:rPr>
        <w:t xml:space="preserve"> unprecedented and intuitively explains increased volatility in the sentiment of the in</w:t>
      </w:r>
      <w:r w:rsidR="00C34823">
        <w:rPr>
          <w:lang w:val="en-US"/>
        </w:rPr>
        <w:t>vestors displa</w:t>
      </w:r>
      <w:r>
        <w:rPr>
          <w:lang w:val="en-US"/>
        </w:rPr>
        <w:t xml:space="preserve">yed by the creased spread. This outlook change is the first outlook change by the CRAs on a perceived, big and stable European country. </w:t>
      </w:r>
    </w:p>
    <w:p w:rsidR="00066368" w:rsidRDefault="00066368" w:rsidP="00D22F2A">
      <w:pPr>
        <w:spacing w:line="360" w:lineRule="auto"/>
        <w:jc w:val="both"/>
        <w:rPr>
          <w:lang w:val="en-US"/>
        </w:rPr>
      </w:pPr>
    </w:p>
    <w:p w:rsidR="00223615" w:rsidRDefault="00066368" w:rsidP="00AD33A1">
      <w:pPr>
        <w:spacing w:line="360" w:lineRule="auto"/>
        <w:jc w:val="both"/>
        <w:rPr>
          <w:lang w:val="en-US"/>
        </w:rPr>
      </w:pPr>
      <w:r>
        <w:rPr>
          <w:lang w:val="en-US"/>
        </w:rPr>
        <w:t>The MM spread is at a peak during survey 50</w:t>
      </w:r>
      <w:r w:rsidR="000E30DA">
        <w:rPr>
          <w:lang w:val="en-US"/>
        </w:rPr>
        <w:t xml:space="preserve">, at which the Netherlands receives a </w:t>
      </w:r>
      <w:r w:rsidR="003205CB">
        <w:rPr>
          <w:lang w:val="en-US"/>
        </w:rPr>
        <w:t>‘</w:t>
      </w:r>
      <w:r w:rsidR="000E30DA">
        <w:rPr>
          <w:lang w:val="en-US"/>
        </w:rPr>
        <w:t>negative</w:t>
      </w:r>
      <w:r w:rsidR="003205CB">
        <w:rPr>
          <w:lang w:val="en-US"/>
        </w:rPr>
        <w:t xml:space="preserve"> watch’ outlook</w:t>
      </w:r>
      <w:r w:rsidR="000E30DA">
        <w:rPr>
          <w:lang w:val="en-US"/>
        </w:rPr>
        <w:t xml:space="preserve"> by S&amp;P. After this survey, in the beginning of January 2012, we observe the MM spread to take a downward trend. This conflicts with information coming to the market by CRAs in the sample period of surveys 51 –</w:t>
      </w:r>
      <w:r w:rsidR="00B963AF">
        <w:rPr>
          <w:lang w:val="en-US"/>
        </w:rPr>
        <w:t xml:space="preserve"> 57. At the start of survey 52, Germany was put back on ‘stable’ outlook whereas the Netherlands was put on ‘negative’ outlook. Moreover, Spain, Italy and Belgium had multiple downgrades to bear. France suffered its first downgrade to AA+ by S&amp;P in survey 51, January 12</w:t>
      </w:r>
      <w:r w:rsidR="00B963AF" w:rsidRPr="00B963AF">
        <w:rPr>
          <w:vertAlign w:val="superscript"/>
          <w:lang w:val="en-US"/>
        </w:rPr>
        <w:t>th</w:t>
      </w:r>
      <w:r w:rsidR="00B963AF">
        <w:rPr>
          <w:lang w:val="en-US"/>
        </w:rPr>
        <w:t xml:space="preserve"> 2012</w:t>
      </w:r>
      <w:r w:rsidR="00DB0471">
        <w:rPr>
          <w:lang w:val="en-US"/>
        </w:rPr>
        <w:t xml:space="preserve">. Fitch, on February 13th 2012 </w:t>
      </w:r>
      <w:r w:rsidR="00B963AF">
        <w:rPr>
          <w:lang w:val="en-US"/>
        </w:rPr>
        <w:t>survey 54, put the United Kingdom on negative outlook.</w:t>
      </w:r>
      <w:r w:rsidR="005941C8">
        <w:rPr>
          <w:lang w:val="en-US"/>
        </w:rPr>
        <w:t xml:space="preserve"> In survey 56, we observe one small trend break where the MM spread increases. </w:t>
      </w:r>
      <w:r w:rsidR="00DB0471">
        <w:rPr>
          <w:lang w:val="en-US"/>
        </w:rPr>
        <w:t>Standard</w:t>
      </w:r>
      <w:r w:rsidR="005941C8">
        <w:rPr>
          <w:lang w:val="en-US"/>
        </w:rPr>
        <w:t>&amp;P</w:t>
      </w:r>
      <w:r w:rsidR="00DB0471">
        <w:rPr>
          <w:lang w:val="en-US"/>
        </w:rPr>
        <w:t>oors</w:t>
      </w:r>
      <w:r w:rsidR="005941C8">
        <w:rPr>
          <w:lang w:val="en-US"/>
        </w:rPr>
        <w:t xml:space="preserve">, Moody’s and Fitch downgrade Greece to the lowest possible grade: default. The economic implication of default of a country in the same currency union could have large consequences for Europe, henceforth investors situated in the Netherlands. </w:t>
      </w:r>
      <w:r w:rsidR="00DB0471">
        <w:rPr>
          <w:lang w:val="en-US"/>
        </w:rPr>
        <w:t xml:space="preserve">However, we observe that the reactions on the investor sentiment by CRA announcements are not as pronounced as at the start of the sovereign debt crisis. </w:t>
      </w:r>
    </w:p>
    <w:p w:rsidR="00A6086F" w:rsidRDefault="00D76DBC" w:rsidP="000C593C">
      <w:pPr>
        <w:pStyle w:val="Heading2"/>
      </w:pPr>
      <w:bookmarkStart w:id="14" w:name="_Toc204880074"/>
      <w:r>
        <w:lastRenderedPageBreak/>
        <w:t>Testing cross sectional dispersion</w:t>
      </w:r>
      <w:bookmarkEnd w:id="14"/>
    </w:p>
    <w:p w:rsidR="000C593C" w:rsidRPr="000C593C" w:rsidRDefault="000C593C" w:rsidP="000C593C"/>
    <w:p w:rsidR="00F47EF2" w:rsidRDefault="00A6086F" w:rsidP="00F47EF2">
      <w:pPr>
        <w:spacing w:line="360" w:lineRule="auto"/>
        <w:jc w:val="both"/>
        <w:rPr>
          <w:lang w:val="en-US"/>
        </w:rPr>
      </w:pPr>
      <w:r>
        <w:rPr>
          <w:lang w:val="en-US"/>
        </w:rPr>
        <w:t xml:space="preserve">We have tested the cross sectional dispersion as a proxy for investor sentiment </w:t>
      </w:r>
      <w:r w:rsidRPr="00F920A7">
        <w:rPr>
          <w:lang w:val="en-US"/>
        </w:rPr>
        <w:t xml:space="preserve">of </w:t>
      </w:r>
      <w:r>
        <w:rPr>
          <w:lang w:val="en-US"/>
        </w:rPr>
        <w:t xml:space="preserve">the point expectations by investors in two weeks </w:t>
      </w:r>
      <w:r w:rsidRPr="00BD43AB">
        <w:rPr>
          <w:i/>
          <w:lang w:val="en-US"/>
        </w:rPr>
        <w:t>E(</w:t>
      </w:r>
      <w:proofErr w:type="gramStart"/>
      <w:r w:rsidRPr="00BD43AB">
        <w:rPr>
          <w:i/>
          <w:lang w:val="en-US"/>
        </w:rPr>
        <w:t>s(</w:t>
      </w:r>
      <w:proofErr w:type="gramEnd"/>
      <w:r w:rsidRPr="00BD43AB">
        <w:rPr>
          <w:i/>
          <w:lang w:val="en-US"/>
        </w:rPr>
        <w:t>t+1))</w:t>
      </w:r>
      <w:r w:rsidRPr="00616244">
        <w:rPr>
          <w:lang w:val="en-US"/>
        </w:rPr>
        <w:t>.</w:t>
      </w:r>
      <w:r>
        <w:rPr>
          <w:lang w:val="en-US"/>
        </w:rPr>
        <w:t xml:space="preserve"> Once the standard deviation increases, more dispersion around the mean is present and hence the investors are less confident, or collective in the outlook of th</w:t>
      </w:r>
      <w:r w:rsidR="006D1D0A">
        <w:rPr>
          <w:lang w:val="en-US"/>
        </w:rPr>
        <w:t>e future AEX index level. We</w:t>
      </w:r>
      <w:r>
        <w:rPr>
          <w:lang w:val="en-US"/>
        </w:rPr>
        <w:t xml:space="preserve"> observe </w:t>
      </w:r>
      <w:r w:rsidR="00823087">
        <w:rPr>
          <w:lang w:val="en-US"/>
        </w:rPr>
        <w:t>in figure 3</w:t>
      </w:r>
      <w:r w:rsidR="005A0D7D">
        <w:rPr>
          <w:lang w:val="en-US"/>
        </w:rPr>
        <w:t xml:space="preserve"> </w:t>
      </w:r>
      <w:r>
        <w:rPr>
          <w:lang w:val="en-US"/>
        </w:rPr>
        <w:t xml:space="preserve">a very similar pattern </w:t>
      </w:r>
      <w:r w:rsidR="006D1D0A">
        <w:rPr>
          <w:lang w:val="en-US"/>
        </w:rPr>
        <w:t xml:space="preserve">between the cross dispersion and </w:t>
      </w:r>
      <w:r w:rsidR="005A0D7D">
        <w:rPr>
          <w:lang w:val="en-US"/>
        </w:rPr>
        <w:t xml:space="preserve">the median MM spread, which proxy was discussed in the previous </w:t>
      </w:r>
      <w:r w:rsidR="006D1D0A">
        <w:rPr>
          <w:lang w:val="en-US"/>
        </w:rPr>
        <w:t>subchapter</w:t>
      </w:r>
      <w:r w:rsidR="005A0D7D">
        <w:rPr>
          <w:lang w:val="en-US"/>
        </w:rPr>
        <w:t xml:space="preserve">. </w:t>
      </w:r>
      <w:r w:rsidR="006D1D0A">
        <w:rPr>
          <w:lang w:val="en-US"/>
        </w:rPr>
        <w:t xml:space="preserve"> </w:t>
      </w:r>
    </w:p>
    <w:p w:rsidR="00F47EF2" w:rsidRDefault="00823087" w:rsidP="00F47EF2">
      <w:pPr>
        <w:pStyle w:val="Heading4"/>
        <w:rPr>
          <w:lang w:val="en-US"/>
        </w:rPr>
      </w:pPr>
      <w:r>
        <w:rPr>
          <w:lang w:val="en-US"/>
        </w:rPr>
        <w:t>Figure 3</w:t>
      </w:r>
      <w:r w:rsidR="00F47EF2">
        <w:rPr>
          <w:lang w:val="en-US"/>
        </w:rPr>
        <w:t>. Maximum – Minimum spread AEX investors and Cross sectional dispersion</w:t>
      </w:r>
    </w:p>
    <w:p w:rsidR="00F47EF2" w:rsidRDefault="00F47EF2" w:rsidP="00F47EF2">
      <w:pPr>
        <w:spacing w:line="360" w:lineRule="auto"/>
        <w:jc w:val="both"/>
        <w:rPr>
          <w:lang w:val="en-US"/>
        </w:rPr>
      </w:pPr>
      <w:r>
        <w:rPr>
          <w:noProof/>
          <w:lang w:val="en-US" w:eastAsia="en-US" w:bidi="ar-SA"/>
        </w:rPr>
        <w:drawing>
          <wp:inline distT="0" distB="0" distL="0" distR="0">
            <wp:extent cx="5270500" cy="1381760"/>
            <wp:effectExtent l="0" t="0" r="1270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1381760"/>
                    </a:xfrm>
                    <a:prstGeom prst="rect">
                      <a:avLst/>
                    </a:prstGeom>
                    <a:noFill/>
                    <a:ln>
                      <a:noFill/>
                    </a:ln>
                  </pic:spPr>
                </pic:pic>
              </a:graphicData>
            </a:graphic>
          </wp:inline>
        </w:drawing>
      </w:r>
    </w:p>
    <w:p w:rsidR="00A6086F" w:rsidRDefault="006D1D0A" w:rsidP="00F47EF2">
      <w:pPr>
        <w:spacing w:line="360" w:lineRule="auto"/>
        <w:jc w:val="both"/>
        <w:rPr>
          <w:lang w:val="en-US"/>
        </w:rPr>
      </w:pPr>
      <w:r>
        <w:rPr>
          <w:lang w:val="en-US"/>
        </w:rPr>
        <w:t xml:space="preserve">Once CRA activity increases, like in the regions 6 – 13, 21 – 23, 24 – 26, 41 – 46 and </w:t>
      </w:r>
      <w:r w:rsidR="00FD6056">
        <w:rPr>
          <w:lang w:val="en-US"/>
        </w:rPr>
        <w:t xml:space="preserve">48 – 49, dispersion increases. The increasing MM spread, driven by uncertainty by investors </w:t>
      </w:r>
      <w:r>
        <w:rPr>
          <w:lang w:val="en-US"/>
        </w:rPr>
        <w:t xml:space="preserve">on the default probabilities of sovereigns </w:t>
      </w:r>
      <w:r w:rsidR="00F47EF2">
        <w:rPr>
          <w:lang w:val="en-US"/>
        </w:rPr>
        <w:t>and overall market sent</w:t>
      </w:r>
      <w:r w:rsidR="00FD6056">
        <w:rPr>
          <w:lang w:val="en-US"/>
        </w:rPr>
        <w:t>iment</w:t>
      </w:r>
      <w:r w:rsidR="00D807BF">
        <w:rPr>
          <w:lang w:val="en-US"/>
        </w:rPr>
        <w:t>, in</w:t>
      </w:r>
      <w:r w:rsidR="00FD6056">
        <w:rPr>
          <w:lang w:val="en-US"/>
        </w:rPr>
        <w:t>creases</w:t>
      </w:r>
      <w:r w:rsidR="00F47EF2">
        <w:rPr>
          <w:lang w:val="en-US"/>
        </w:rPr>
        <w:t xml:space="preserve"> </w:t>
      </w:r>
      <w:r w:rsidR="00FD6056">
        <w:rPr>
          <w:lang w:val="en-US"/>
        </w:rPr>
        <w:t>the standard deviation</w:t>
      </w:r>
      <w:r w:rsidR="00D807BF">
        <w:rPr>
          <w:lang w:val="en-US"/>
        </w:rPr>
        <w:t xml:space="preserve"> indicating high variations over time</w:t>
      </w:r>
      <w:r w:rsidR="00FD6056">
        <w:rPr>
          <w:lang w:val="en-US"/>
        </w:rPr>
        <w:t xml:space="preserve"> by investors</w:t>
      </w:r>
      <w:r w:rsidR="00F47EF2">
        <w:rPr>
          <w:lang w:val="en-US"/>
        </w:rPr>
        <w:t xml:space="preserve">. This standard deviation on the point forecast increases in the periods, which were described in the previous subchapter. The </w:t>
      </w:r>
      <w:r w:rsidR="00FD6056">
        <w:rPr>
          <w:lang w:val="en-US"/>
        </w:rPr>
        <w:t xml:space="preserve">increasing </w:t>
      </w:r>
      <w:r w:rsidR="00F47EF2">
        <w:rPr>
          <w:lang w:val="en-US"/>
        </w:rPr>
        <w:t xml:space="preserve">volatility created by </w:t>
      </w:r>
      <w:r w:rsidR="00FD6056">
        <w:rPr>
          <w:lang w:val="en-US"/>
        </w:rPr>
        <w:t xml:space="preserve">CRA announcements on the sovereign credit worthiness of </w:t>
      </w:r>
      <w:r w:rsidR="00F47EF2">
        <w:rPr>
          <w:lang w:val="en-US"/>
        </w:rPr>
        <w:t xml:space="preserve">Portugal, Greece and Spain creates the first increase in the dispersion of investors. Henceforth, we refer to the CRA </w:t>
      </w:r>
      <w:r w:rsidR="00FD6056">
        <w:rPr>
          <w:lang w:val="en-US"/>
        </w:rPr>
        <w:t>announcements</w:t>
      </w:r>
      <w:r w:rsidR="00F47EF2">
        <w:rPr>
          <w:lang w:val="en-US"/>
        </w:rPr>
        <w:t xml:space="preserve"> described in the ‘testing maximum – minimum’ heading.</w:t>
      </w:r>
      <w:r w:rsidR="00FD6056">
        <w:rPr>
          <w:lang w:val="en-US"/>
        </w:rPr>
        <w:t xml:space="preserve"> The dispersion is very much in line with the MM spread trend.</w:t>
      </w:r>
    </w:p>
    <w:p w:rsidR="00681F6F" w:rsidRDefault="00D76DBC" w:rsidP="00681F6F">
      <w:pPr>
        <w:pStyle w:val="Heading2"/>
      </w:pPr>
      <w:bookmarkStart w:id="15" w:name="_Toc204880075"/>
      <w:r>
        <w:t xml:space="preserve">Testing </w:t>
      </w:r>
      <w:r w:rsidR="001E7C21">
        <w:t>kurtosis and skewness</w:t>
      </w:r>
      <w:bookmarkEnd w:id="15"/>
    </w:p>
    <w:p w:rsidR="00B61892" w:rsidRDefault="00B61892" w:rsidP="00701B41"/>
    <w:p w:rsidR="00A8155B" w:rsidRDefault="00FD6056" w:rsidP="00EB486C">
      <w:pPr>
        <w:spacing w:line="360" w:lineRule="auto"/>
        <w:jc w:val="both"/>
        <w:rPr>
          <w:noProof/>
          <w:lang w:val="en-US" w:eastAsia="en-US" w:bidi="ar-SA"/>
        </w:rPr>
      </w:pPr>
      <w:r>
        <w:rPr>
          <w:lang w:val="en-US"/>
        </w:rPr>
        <w:t>In figure 4</w:t>
      </w:r>
      <w:r w:rsidR="00B61892">
        <w:rPr>
          <w:lang w:val="en-US"/>
        </w:rPr>
        <w:t xml:space="preserve"> we </w:t>
      </w:r>
      <w:r>
        <w:rPr>
          <w:lang w:val="en-US"/>
        </w:rPr>
        <w:t xml:space="preserve">have the output of the </w:t>
      </w:r>
      <w:r w:rsidR="00B61892">
        <w:rPr>
          <w:lang w:val="en-US"/>
        </w:rPr>
        <w:t xml:space="preserve">test on the kurtosis and skewness as a proxy for investor sentiment. </w:t>
      </w:r>
      <w:r w:rsidR="00034295">
        <w:rPr>
          <w:lang w:val="en-US"/>
        </w:rPr>
        <w:t xml:space="preserve">We have analyzed the </w:t>
      </w:r>
      <w:r w:rsidR="00B61892">
        <w:rPr>
          <w:lang w:val="en-US"/>
        </w:rPr>
        <w:t xml:space="preserve">point expectations </w:t>
      </w:r>
      <w:r w:rsidR="00034295">
        <w:rPr>
          <w:lang w:val="en-US"/>
        </w:rPr>
        <w:t xml:space="preserve">of the AEX </w:t>
      </w:r>
      <w:r w:rsidR="00B61892">
        <w:rPr>
          <w:lang w:val="en-US"/>
        </w:rPr>
        <w:t xml:space="preserve">by investors in two weeks, </w:t>
      </w:r>
      <w:r w:rsidR="00B61892" w:rsidRPr="00BD43AB">
        <w:rPr>
          <w:i/>
          <w:lang w:val="en-US"/>
        </w:rPr>
        <w:t>E(</w:t>
      </w:r>
      <w:proofErr w:type="gramStart"/>
      <w:r w:rsidR="00B61892" w:rsidRPr="00BD43AB">
        <w:rPr>
          <w:i/>
          <w:lang w:val="en-US"/>
        </w:rPr>
        <w:t>s(</w:t>
      </w:r>
      <w:proofErr w:type="gramEnd"/>
      <w:r w:rsidR="00B61892" w:rsidRPr="00BD43AB">
        <w:rPr>
          <w:i/>
          <w:lang w:val="en-US"/>
        </w:rPr>
        <w:t>t+1))</w:t>
      </w:r>
      <w:r w:rsidR="00B61892">
        <w:rPr>
          <w:lang w:val="en-US"/>
        </w:rPr>
        <w:t>. A higher kurtosis implicates that more of the variance is caused by u</w:t>
      </w:r>
      <w:r w:rsidR="00ED3A36">
        <w:rPr>
          <w:lang w:val="en-US"/>
        </w:rPr>
        <w:t>ncommon extreme deviations. These</w:t>
      </w:r>
      <w:r w:rsidR="00B61892">
        <w:rPr>
          <w:lang w:val="en-US"/>
        </w:rPr>
        <w:t xml:space="preserve"> </w:t>
      </w:r>
      <w:r w:rsidR="00ED3A36">
        <w:rPr>
          <w:lang w:val="en-US"/>
        </w:rPr>
        <w:t xml:space="preserve">extreme </w:t>
      </w:r>
      <w:r w:rsidR="00B61892">
        <w:rPr>
          <w:lang w:val="en-US"/>
        </w:rPr>
        <w:t>observation</w:t>
      </w:r>
      <w:r w:rsidR="00ED3A36">
        <w:rPr>
          <w:lang w:val="en-US"/>
        </w:rPr>
        <w:t>s are hence</w:t>
      </w:r>
      <w:r w:rsidR="00B61892">
        <w:rPr>
          <w:lang w:val="en-US"/>
        </w:rPr>
        <w:t xml:space="preserve"> i</w:t>
      </w:r>
      <w:r w:rsidR="00ED3A36">
        <w:rPr>
          <w:lang w:val="en-US"/>
        </w:rPr>
        <w:t xml:space="preserve">n contrast to frequent modest </w:t>
      </w:r>
      <w:r w:rsidR="00B61892">
        <w:rPr>
          <w:lang w:val="en-US"/>
        </w:rPr>
        <w:t xml:space="preserve">sized deviations. Once we observe higher kurtosis in our sample of investor expectations, this could be caused by outliers or by extreme </w:t>
      </w:r>
      <w:r w:rsidR="00B61892">
        <w:rPr>
          <w:lang w:val="en-US"/>
        </w:rPr>
        <w:lastRenderedPageBreak/>
        <w:t xml:space="preserve">deviations around the mean and hence increased uncertainty in the expectations of the future AEX index. </w:t>
      </w:r>
      <w:r w:rsidR="00034295">
        <w:rPr>
          <w:lang w:val="en-US"/>
        </w:rPr>
        <w:t xml:space="preserve"> Outliers have been removed in the sample set. Therefore, we can relate to increased uncertainty by investors once kurtosis increases. Henceforth, we observe that the kurtosis increases especially in the periods previously mentioned in the MM spread chapter. </w:t>
      </w:r>
      <w:r w:rsidR="00EB486C">
        <w:rPr>
          <w:lang w:val="en-US"/>
        </w:rPr>
        <w:t xml:space="preserve">Particular peaks arise in survey 11, 26, 33, 36, 43 and 53. </w:t>
      </w:r>
      <w:r w:rsidR="005D0B34">
        <w:rPr>
          <w:lang w:val="en-US"/>
        </w:rPr>
        <w:t>All peaks correspond with the stress periods covered in the MM spread part; however, the peak at survey 36 is unexplained. Up to three weeks prior to the 36</w:t>
      </w:r>
      <w:r w:rsidR="005D0B34" w:rsidRPr="005D0B34">
        <w:rPr>
          <w:vertAlign w:val="superscript"/>
          <w:lang w:val="en-US"/>
        </w:rPr>
        <w:t>th</w:t>
      </w:r>
      <w:r w:rsidR="005D0B34">
        <w:rPr>
          <w:lang w:val="en-US"/>
        </w:rPr>
        <w:t xml:space="preserve"> survey, no CRA announcements have been made.</w:t>
      </w:r>
      <w:r w:rsidR="00A8155B" w:rsidRPr="00A8155B">
        <w:rPr>
          <w:noProof/>
          <w:lang w:val="en-US" w:eastAsia="en-US" w:bidi="ar-SA"/>
        </w:rPr>
        <w:t xml:space="preserve"> </w:t>
      </w:r>
    </w:p>
    <w:p w:rsidR="00A8155B" w:rsidRPr="00A8155B" w:rsidRDefault="00FD6056" w:rsidP="00A8155B">
      <w:pPr>
        <w:pStyle w:val="Heading4"/>
      </w:pPr>
      <w:r>
        <w:t>Figure 4</w:t>
      </w:r>
      <w:r w:rsidR="00A8155B">
        <w:t>. Kurtosis</w:t>
      </w:r>
      <w:r w:rsidR="000D4865">
        <w:t xml:space="preserve"> and</w:t>
      </w:r>
      <w:r w:rsidR="00A8155B">
        <w:t xml:space="preserve"> Skewness E(</w:t>
      </w:r>
      <w:proofErr w:type="gramStart"/>
      <w:r w:rsidR="00A8155B">
        <w:t>s(</w:t>
      </w:r>
      <w:proofErr w:type="gramEnd"/>
      <w:r w:rsidR="00A8155B">
        <w:t>t+1))</w:t>
      </w:r>
    </w:p>
    <w:p w:rsidR="005D0B34" w:rsidRDefault="00A8155B" w:rsidP="00EB486C">
      <w:pPr>
        <w:spacing w:line="360" w:lineRule="auto"/>
        <w:jc w:val="both"/>
        <w:rPr>
          <w:lang w:val="en-US"/>
        </w:rPr>
      </w:pPr>
      <w:r>
        <w:rPr>
          <w:noProof/>
          <w:lang w:val="en-US" w:eastAsia="en-US" w:bidi="ar-SA"/>
        </w:rPr>
        <w:drawing>
          <wp:inline distT="0" distB="0" distL="0" distR="0">
            <wp:extent cx="5270500" cy="1419225"/>
            <wp:effectExtent l="0" t="0" r="12700" b="3175"/>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1419225"/>
                    </a:xfrm>
                    <a:prstGeom prst="rect">
                      <a:avLst/>
                    </a:prstGeom>
                    <a:noFill/>
                    <a:ln>
                      <a:noFill/>
                    </a:ln>
                  </pic:spPr>
                </pic:pic>
              </a:graphicData>
            </a:graphic>
          </wp:inline>
        </w:drawing>
      </w:r>
    </w:p>
    <w:p w:rsidR="00365777" w:rsidRPr="00A92D85" w:rsidRDefault="005D0B34" w:rsidP="00B31DA8">
      <w:pPr>
        <w:spacing w:line="360" w:lineRule="auto"/>
        <w:jc w:val="both"/>
        <w:rPr>
          <w:lang w:val="en-US"/>
        </w:rPr>
      </w:pPr>
      <w:r>
        <w:rPr>
          <w:lang w:val="en-US"/>
        </w:rPr>
        <w:t xml:space="preserve">Once we look into the skewness of the point expectation </w:t>
      </w:r>
      <w:r w:rsidRPr="00BD43AB">
        <w:rPr>
          <w:i/>
          <w:lang w:val="en-US"/>
        </w:rPr>
        <w:t>E(s(t+1))</w:t>
      </w:r>
      <w:r>
        <w:rPr>
          <w:lang w:val="en-US"/>
        </w:rPr>
        <w:t xml:space="preserve"> as another proxy for investor sentiment, we obser</w:t>
      </w:r>
      <w:r w:rsidR="00317BCC">
        <w:rPr>
          <w:lang w:val="en-US"/>
        </w:rPr>
        <w:t xml:space="preserve">ve primarily negative skewness. </w:t>
      </w:r>
      <w:r w:rsidR="00B31DA8" w:rsidRPr="00B31DA8">
        <w:rPr>
          <w:lang w:val="en-US"/>
        </w:rPr>
        <w:t xml:space="preserve">Note that the large negative value of </w:t>
      </w:r>
      <w:r w:rsidR="00B31DA8">
        <w:rPr>
          <w:lang w:val="en-US"/>
        </w:rPr>
        <w:t xml:space="preserve">skewness </w:t>
      </w:r>
      <w:r w:rsidR="00B31DA8" w:rsidRPr="00B31DA8">
        <w:rPr>
          <w:lang w:val="en-US"/>
        </w:rPr>
        <w:t xml:space="preserve">corresponds to a left skewed distribution, indicating that </w:t>
      </w:r>
      <w:r w:rsidR="00D807BF">
        <w:rPr>
          <w:lang w:val="en-US"/>
        </w:rPr>
        <w:t>the expectations</w:t>
      </w:r>
      <w:r w:rsidR="00D807BF" w:rsidRPr="00B31DA8">
        <w:rPr>
          <w:lang w:val="en-US"/>
        </w:rPr>
        <w:t xml:space="preserve"> during this period are</w:t>
      </w:r>
      <w:r w:rsidR="00B31DA8" w:rsidRPr="00B31DA8">
        <w:rPr>
          <w:lang w:val="en-US"/>
        </w:rPr>
        <w:t xml:space="preserve"> more</w:t>
      </w:r>
      <w:r w:rsidR="00D807BF">
        <w:rPr>
          <w:lang w:val="en-US"/>
        </w:rPr>
        <w:t xml:space="preserve"> </w:t>
      </w:r>
      <w:r w:rsidR="00B31DA8" w:rsidRPr="00B31DA8">
        <w:rPr>
          <w:lang w:val="en-US"/>
        </w:rPr>
        <w:t>“crash prone”</w:t>
      </w:r>
      <w:r w:rsidR="00D807BF">
        <w:rPr>
          <w:lang w:val="en-US"/>
        </w:rPr>
        <w:t xml:space="preserve"> (Wang, 2010)</w:t>
      </w:r>
      <w:r w:rsidR="00B31DA8" w:rsidRPr="00B31DA8">
        <w:rPr>
          <w:lang w:val="en-US"/>
        </w:rPr>
        <w:t>.</w:t>
      </w:r>
      <w:r w:rsidR="00B31DA8">
        <w:rPr>
          <w:lang w:val="en-US"/>
        </w:rPr>
        <w:t xml:space="preserve"> </w:t>
      </w:r>
      <w:r w:rsidR="00D807BF">
        <w:rPr>
          <w:lang w:val="en-US"/>
        </w:rPr>
        <w:t>The skewness m</w:t>
      </w:r>
      <w:r w:rsidR="00317BCC">
        <w:rPr>
          <w:lang w:val="en-US"/>
        </w:rPr>
        <w:t>ainl</w:t>
      </w:r>
      <w:r w:rsidR="00B676DF">
        <w:rPr>
          <w:lang w:val="en-US"/>
        </w:rPr>
        <w:t>y oscill</w:t>
      </w:r>
      <w:r w:rsidR="00D807BF">
        <w:rPr>
          <w:lang w:val="en-US"/>
        </w:rPr>
        <w:t>ates</w:t>
      </w:r>
      <w:r w:rsidR="00B676DF">
        <w:rPr>
          <w:lang w:val="en-US"/>
        </w:rPr>
        <w:t xml:space="preserve"> between 0 and -1</w:t>
      </w:r>
      <w:r w:rsidR="00317BCC">
        <w:rPr>
          <w:lang w:val="en-US"/>
        </w:rPr>
        <w:t xml:space="preserve"> and only exceeds the -1 threshold in survey 33, 36, 42 and 43. The skewness is a measure of th</w:t>
      </w:r>
      <w:r w:rsidR="00B676DF">
        <w:rPr>
          <w:lang w:val="en-US"/>
        </w:rPr>
        <w:t xml:space="preserve">e asymmetry in the distribution. </w:t>
      </w:r>
      <w:r w:rsidR="00317BCC">
        <w:rPr>
          <w:lang w:val="en-US"/>
        </w:rPr>
        <w:t xml:space="preserve">Once there is negative skewness, the left tail of the distribution is more pronounced. </w:t>
      </w:r>
      <w:r w:rsidR="00B676DF">
        <w:rPr>
          <w:lang w:val="en-US"/>
        </w:rPr>
        <w:t>We expected a more pronounced left skewness during</w:t>
      </w:r>
      <w:r w:rsidR="00317BCC">
        <w:rPr>
          <w:lang w:val="en-US"/>
        </w:rPr>
        <w:t xml:space="preserve"> negative </w:t>
      </w:r>
      <w:r w:rsidR="00B676DF">
        <w:rPr>
          <w:lang w:val="en-US"/>
        </w:rPr>
        <w:t xml:space="preserve">CRA </w:t>
      </w:r>
      <w:r w:rsidR="00317BCC">
        <w:rPr>
          <w:lang w:val="en-US"/>
        </w:rPr>
        <w:t>announcement</w:t>
      </w:r>
      <w:r w:rsidR="00B676DF">
        <w:rPr>
          <w:lang w:val="en-US"/>
        </w:rPr>
        <w:t>s</w:t>
      </w:r>
      <w:r w:rsidR="00317BCC">
        <w:rPr>
          <w:lang w:val="en-US"/>
        </w:rPr>
        <w:t xml:space="preserve"> on either the outlook or investment grade. </w:t>
      </w:r>
      <w:r w:rsidR="00B676DF">
        <w:rPr>
          <w:lang w:val="en-US"/>
        </w:rPr>
        <w:t xml:space="preserve">We only observe this in the point forecast expectation </w:t>
      </w:r>
      <w:r w:rsidR="00B676DF" w:rsidRPr="00BD43AB">
        <w:rPr>
          <w:i/>
          <w:lang w:val="en-US"/>
        </w:rPr>
        <w:t>E(s(t+1))</w:t>
      </w:r>
      <w:r w:rsidR="00B676DF">
        <w:rPr>
          <w:lang w:val="en-US"/>
        </w:rPr>
        <w:t xml:space="preserve"> for survey 41 </w:t>
      </w:r>
      <w:r w:rsidR="000B6591">
        <w:rPr>
          <w:lang w:val="en-US"/>
        </w:rPr>
        <w:t>–</w:t>
      </w:r>
      <w:r w:rsidR="00B676DF">
        <w:rPr>
          <w:lang w:val="en-US"/>
        </w:rPr>
        <w:t xml:space="preserve"> 4</w:t>
      </w:r>
      <w:r w:rsidR="000B6591">
        <w:rPr>
          <w:lang w:val="en-US"/>
        </w:rPr>
        <w:t>6, described in detail in the MM spread chapter. Over the whole sample, the</w:t>
      </w:r>
      <w:r w:rsidR="00317BCC">
        <w:rPr>
          <w:lang w:val="en-US"/>
        </w:rPr>
        <w:t xml:space="preserve"> lower expectations pull the mean to the left of the tail and hence negative skewness is observed. The left side of the tail becomes more pronounced because negative sentiment becomes dominant. Moreover, in periods of ‘less negative’ announcements </w:t>
      </w:r>
      <w:r w:rsidR="00A8155B">
        <w:rPr>
          <w:lang w:val="en-US"/>
        </w:rPr>
        <w:t>by</w:t>
      </w:r>
      <w:r w:rsidR="00317BCC">
        <w:rPr>
          <w:lang w:val="en-US"/>
        </w:rPr>
        <w:t xml:space="preserve"> CRAs, the skewness </w:t>
      </w:r>
      <w:r w:rsidR="000B6591">
        <w:rPr>
          <w:lang w:val="en-US"/>
        </w:rPr>
        <w:t xml:space="preserve">was </w:t>
      </w:r>
      <w:r w:rsidR="00317BCC">
        <w:rPr>
          <w:lang w:val="en-US"/>
        </w:rPr>
        <w:t>e</w:t>
      </w:r>
      <w:r w:rsidR="00A8155B">
        <w:rPr>
          <w:lang w:val="en-US"/>
        </w:rPr>
        <w:t>xpected to move back to zero. By the skewness going back to zero, the distribution would become</w:t>
      </w:r>
      <w:r w:rsidR="00317BCC">
        <w:rPr>
          <w:lang w:val="en-US"/>
        </w:rPr>
        <w:t xml:space="preserve"> more evenly distributed</w:t>
      </w:r>
      <w:r w:rsidR="00A8155B">
        <w:rPr>
          <w:lang w:val="en-US"/>
        </w:rPr>
        <w:t xml:space="preserve">. However, in the point forecast expectation </w:t>
      </w:r>
      <w:r w:rsidR="00A8155B" w:rsidRPr="00BD43AB">
        <w:rPr>
          <w:i/>
          <w:lang w:val="en-US"/>
        </w:rPr>
        <w:t>E(s(t+1))</w:t>
      </w:r>
      <w:r w:rsidR="00A8155B">
        <w:rPr>
          <w:i/>
          <w:lang w:val="en-US"/>
        </w:rPr>
        <w:t xml:space="preserve"> </w:t>
      </w:r>
      <w:r w:rsidR="00A8155B">
        <w:rPr>
          <w:lang w:val="en-US"/>
        </w:rPr>
        <w:lastRenderedPageBreak/>
        <w:t>this is not observed. The skewness stays mainly negative over</w:t>
      </w:r>
      <w:r w:rsidR="00ED3A36">
        <w:rPr>
          <w:lang w:val="en-US"/>
        </w:rPr>
        <w:t xml:space="preserve"> the whole sample as in figure 4</w:t>
      </w:r>
      <w:r w:rsidR="00A8155B">
        <w:rPr>
          <w:lang w:val="en-US"/>
        </w:rPr>
        <w:t xml:space="preserve"> is displayed. </w:t>
      </w:r>
    </w:p>
    <w:p w:rsidR="00701B41" w:rsidRDefault="00ED3A36" w:rsidP="00701B41">
      <w:pPr>
        <w:pStyle w:val="Heading4"/>
      </w:pPr>
      <w:r>
        <w:t>Figure 5</w:t>
      </w:r>
      <w:r w:rsidR="00701B41">
        <w:t xml:space="preserve">. Skewness </w:t>
      </w:r>
      <w:r w:rsidR="00701B41" w:rsidRPr="00BB6F11">
        <w:t>E(</w:t>
      </w:r>
      <w:r w:rsidR="00701B41">
        <w:t>min(t+1))</w:t>
      </w:r>
    </w:p>
    <w:p w:rsidR="00C34823" w:rsidRDefault="00A8155B" w:rsidP="00681F6F">
      <w:r w:rsidRPr="001A0062">
        <w:rPr>
          <w:noProof/>
          <w:lang w:val="en-US" w:eastAsia="en-US" w:bidi="ar-SA"/>
        </w:rPr>
        <w:drawing>
          <wp:inline distT="0" distB="0" distL="0" distR="0">
            <wp:extent cx="5270500" cy="1242060"/>
            <wp:effectExtent l="0" t="0" r="1270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1242060"/>
                    </a:xfrm>
                    <a:prstGeom prst="rect">
                      <a:avLst/>
                    </a:prstGeom>
                    <a:noFill/>
                    <a:ln>
                      <a:noFill/>
                    </a:ln>
                  </pic:spPr>
                </pic:pic>
              </a:graphicData>
            </a:graphic>
          </wp:inline>
        </w:drawing>
      </w:r>
    </w:p>
    <w:p w:rsidR="00A8155B" w:rsidRDefault="00A8155B" w:rsidP="00A8155B">
      <w:pPr>
        <w:spacing w:line="360" w:lineRule="auto"/>
        <w:jc w:val="both"/>
      </w:pPr>
    </w:p>
    <w:p w:rsidR="00BB6F11" w:rsidRDefault="00A92D85" w:rsidP="00A8155B">
      <w:pPr>
        <w:spacing w:line="360" w:lineRule="auto"/>
        <w:jc w:val="both"/>
        <w:rPr>
          <w:lang w:val="en-US"/>
        </w:rPr>
      </w:pPr>
      <w:r>
        <w:t xml:space="preserve">Figure </w:t>
      </w:r>
      <w:r w:rsidR="00ED3A36">
        <w:t>5</w:t>
      </w:r>
      <w:r w:rsidR="00C04E81">
        <w:t xml:space="preserve"> displays</w:t>
      </w:r>
      <w:r w:rsidR="00A8155B">
        <w:t xml:space="preserve"> the skewness of the minimum expectation of the investors</w:t>
      </w:r>
      <w:r w:rsidR="00ED3A36">
        <w:t>,</w:t>
      </w:r>
      <w:r w:rsidR="00A8155B">
        <w:t xml:space="preserve"> </w:t>
      </w:r>
      <w:proofErr w:type="gramStart"/>
      <w:r w:rsidR="00A8155B" w:rsidRPr="00BD43AB">
        <w:rPr>
          <w:i/>
          <w:lang w:val="en-US"/>
        </w:rPr>
        <w:t>E(</w:t>
      </w:r>
      <w:proofErr w:type="gramEnd"/>
      <w:r w:rsidR="00A8155B" w:rsidRPr="00BD43AB">
        <w:rPr>
          <w:i/>
          <w:lang w:val="en-US"/>
        </w:rPr>
        <w:t>min(t+1))</w:t>
      </w:r>
      <w:r w:rsidR="00ED3A36">
        <w:rPr>
          <w:i/>
          <w:lang w:val="en-US"/>
        </w:rPr>
        <w:t>,</w:t>
      </w:r>
      <w:r w:rsidR="00C04E81">
        <w:rPr>
          <w:i/>
          <w:lang w:val="en-US"/>
        </w:rPr>
        <w:t xml:space="preserve"> </w:t>
      </w:r>
      <w:r w:rsidR="00C04E81">
        <w:rPr>
          <w:lang w:val="en-US"/>
        </w:rPr>
        <w:t xml:space="preserve"> on the AEX. We look at this proxy, in order to find out whether </w:t>
      </w:r>
      <w:r>
        <w:rPr>
          <w:lang w:val="en-US"/>
        </w:rPr>
        <w:t>the investors</w:t>
      </w:r>
      <w:r w:rsidR="00C04E81">
        <w:rPr>
          <w:lang w:val="en-US"/>
        </w:rPr>
        <w:t xml:space="preserve"> especially adjust their minimum forec</w:t>
      </w:r>
      <w:r w:rsidR="00D807BF">
        <w:rPr>
          <w:lang w:val="en-US"/>
        </w:rPr>
        <w:t>ast at a rating</w:t>
      </w:r>
      <w:r w:rsidR="00ED3A36">
        <w:rPr>
          <w:lang w:val="en-US"/>
        </w:rPr>
        <w:t xml:space="preserve"> or outlook change. Figure 5</w:t>
      </w:r>
      <w:r w:rsidR="00C04E81">
        <w:rPr>
          <w:lang w:val="en-US"/>
        </w:rPr>
        <w:t xml:space="preserve"> does give a better insight on the anticipation and reaction of investor sentiment on CRA announcements. Towards survey 4 to 6,</w:t>
      </w:r>
      <w:r w:rsidR="00BB6F11">
        <w:rPr>
          <w:lang w:val="en-US"/>
        </w:rPr>
        <w:t xml:space="preserve"> the skewness becomes sharply negative. Other spikes of negative skewness can be observed around survey 12 – 13 and 33 – 35. Survey 4 – 6 include no CRA announcements, however, this was a very volatile period in which the Greek and Spanish distress became apparent at first</w:t>
      </w:r>
      <w:r w:rsidR="00D807BF">
        <w:rPr>
          <w:lang w:val="en-US"/>
        </w:rPr>
        <w:t xml:space="preserve"> hand</w:t>
      </w:r>
      <w:r w:rsidR="00BB6F11">
        <w:rPr>
          <w:lang w:val="en-US"/>
        </w:rPr>
        <w:t xml:space="preserve">. </w:t>
      </w:r>
      <w:r w:rsidR="00ED3A36">
        <w:rPr>
          <w:lang w:val="en-US"/>
        </w:rPr>
        <w:t>Surveys 12 – 13 include</w:t>
      </w:r>
      <w:r w:rsidR="00FD7364">
        <w:rPr>
          <w:lang w:val="en-US"/>
        </w:rPr>
        <w:t xml:space="preserve"> the downgrade of Spain by Fitch. Survey</w:t>
      </w:r>
      <w:r w:rsidR="00ED3A36">
        <w:rPr>
          <w:lang w:val="en-US"/>
        </w:rPr>
        <w:t>s 33 – 35 include</w:t>
      </w:r>
      <w:r w:rsidR="00FD7364">
        <w:rPr>
          <w:lang w:val="en-US"/>
        </w:rPr>
        <w:t xml:space="preserve"> the downgrade by Fitch and Moody’s of Portugal, down</w:t>
      </w:r>
      <w:r w:rsidR="00ED3A36">
        <w:rPr>
          <w:lang w:val="en-US"/>
        </w:rPr>
        <w:t xml:space="preserve">grading the sovereign </w:t>
      </w:r>
      <w:r w:rsidR="00D56826">
        <w:rPr>
          <w:lang w:val="en-US"/>
        </w:rPr>
        <w:t>credit rating</w:t>
      </w:r>
      <w:r w:rsidR="00FD7364">
        <w:rPr>
          <w:lang w:val="en-US"/>
        </w:rPr>
        <w:t xml:space="preserve"> </w:t>
      </w:r>
      <w:r w:rsidR="00ED3A36">
        <w:rPr>
          <w:lang w:val="en-US"/>
        </w:rPr>
        <w:t xml:space="preserve">suddenly </w:t>
      </w:r>
      <w:r w:rsidR="00FD7364">
        <w:rPr>
          <w:lang w:val="en-US"/>
        </w:rPr>
        <w:t>from A+ to BBB-.</w:t>
      </w:r>
    </w:p>
    <w:p w:rsidR="00A8155B" w:rsidRDefault="00BB6F11" w:rsidP="00A8155B">
      <w:pPr>
        <w:spacing w:line="360" w:lineRule="auto"/>
        <w:jc w:val="both"/>
        <w:rPr>
          <w:lang w:val="en-US"/>
        </w:rPr>
      </w:pPr>
      <w:r>
        <w:rPr>
          <w:lang w:val="en-US"/>
        </w:rPr>
        <w:t xml:space="preserve">Positive skewness </w:t>
      </w:r>
      <w:r w:rsidR="00FD7364">
        <w:rPr>
          <w:lang w:val="en-US"/>
        </w:rPr>
        <w:t>becomes apparent</w:t>
      </w:r>
      <w:r>
        <w:rPr>
          <w:lang w:val="en-US"/>
        </w:rPr>
        <w:t xml:space="preserve"> around </w:t>
      </w:r>
      <w:r w:rsidR="00E502FA">
        <w:rPr>
          <w:lang w:val="en-US"/>
        </w:rPr>
        <w:t xml:space="preserve">survey 39 and </w:t>
      </w:r>
      <w:r>
        <w:rPr>
          <w:lang w:val="en-US"/>
        </w:rPr>
        <w:t xml:space="preserve">45. </w:t>
      </w:r>
      <w:r w:rsidR="00E502FA">
        <w:rPr>
          <w:lang w:val="en-US"/>
        </w:rPr>
        <w:t xml:space="preserve">Survey 39 is followed by a period in which only Greece is given another negative outlook. Next to this negative outlook change no other sovereigns are downgraded. </w:t>
      </w:r>
      <w:r>
        <w:rPr>
          <w:lang w:val="en-US"/>
        </w:rPr>
        <w:t>Survey</w:t>
      </w:r>
      <w:r w:rsidR="00ED3A36">
        <w:rPr>
          <w:lang w:val="en-US"/>
        </w:rPr>
        <w:t xml:space="preserve"> 45 is followed by a period of three</w:t>
      </w:r>
      <w:r>
        <w:rPr>
          <w:lang w:val="en-US"/>
        </w:rPr>
        <w:t xml:space="preserve"> weeks in which no CRA announcements </w:t>
      </w:r>
      <w:r w:rsidR="00A57A04">
        <w:rPr>
          <w:lang w:val="en-US"/>
        </w:rPr>
        <w:t xml:space="preserve">become public </w:t>
      </w:r>
      <w:r>
        <w:rPr>
          <w:lang w:val="en-US"/>
        </w:rPr>
        <w:t>(namely survey 43 – 44).</w:t>
      </w:r>
      <w:r w:rsidR="00C04E81">
        <w:rPr>
          <w:lang w:val="en-US"/>
        </w:rPr>
        <w:t xml:space="preserve"> </w:t>
      </w:r>
      <w:r w:rsidR="00837B5D">
        <w:rPr>
          <w:lang w:val="en-US"/>
        </w:rPr>
        <w:t xml:space="preserve">Henceforth, once no announcements are made by CRAs the investors become less negative on their sentiment. Positive skewness implies that </w:t>
      </w:r>
      <w:r w:rsidR="00B31DA8">
        <w:rPr>
          <w:lang w:val="en-US"/>
        </w:rPr>
        <w:t xml:space="preserve">the market becomes more bullish. </w:t>
      </w:r>
      <w:r w:rsidR="001109B3">
        <w:rPr>
          <w:lang w:val="en-US"/>
        </w:rPr>
        <w:t xml:space="preserve">Empirically we find that the negative skewness indicates high sentiment. </w:t>
      </w:r>
      <w:r w:rsidR="00ED3A36">
        <w:rPr>
          <w:lang w:val="en-US"/>
        </w:rPr>
        <w:t>High sentiment implicates that investor’s</w:t>
      </w:r>
      <w:r w:rsidR="001109B3">
        <w:rPr>
          <w:lang w:val="en-US"/>
        </w:rPr>
        <w:t xml:space="preserve"> forecast</w:t>
      </w:r>
      <w:r w:rsidR="00ED3A36">
        <w:rPr>
          <w:lang w:val="en-US"/>
        </w:rPr>
        <w:t>s have a negative</w:t>
      </w:r>
      <w:r w:rsidR="001109B3">
        <w:rPr>
          <w:lang w:val="en-US"/>
        </w:rPr>
        <w:t xml:space="preserve"> outlook, which means investors believing to move towards a crash. The role of changes in investor opinion is </w:t>
      </w:r>
      <w:r w:rsidR="00BC0D93">
        <w:rPr>
          <w:lang w:val="en-US"/>
        </w:rPr>
        <w:t xml:space="preserve">therefore </w:t>
      </w:r>
      <w:r w:rsidR="001109B3">
        <w:rPr>
          <w:lang w:val="en-US"/>
        </w:rPr>
        <w:t xml:space="preserve">dependent on the state of average investor sentiment. Investors negatively forecasts market skewness in a pessimistic state, </w:t>
      </w:r>
      <w:r w:rsidR="001109B3">
        <w:rPr>
          <w:lang w:val="en-US"/>
        </w:rPr>
        <w:lastRenderedPageBreak/>
        <w:t>whereas the investors positively forecasts market skewness in an optimistic state</w:t>
      </w:r>
      <w:r w:rsidR="00ED3A36">
        <w:rPr>
          <w:lang w:val="en-US"/>
        </w:rPr>
        <w:t>. These empirical results are</w:t>
      </w:r>
      <w:r w:rsidR="00BC0D93">
        <w:rPr>
          <w:lang w:val="en-US"/>
        </w:rPr>
        <w:t xml:space="preserve"> in line </w:t>
      </w:r>
      <w:r w:rsidR="001109B3">
        <w:rPr>
          <w:lang w:val="en-US"/>
        </w:rPr>
        <w:t xml:space="preserve">with </w:t>
      </w:r>
      <w:r w:rsidR="00BC0D93">
        <w:rPr>
          <w:lang w:val="en-US"/>
        </w:rPr>
        <w:t xml:space="preserve">the </w:t>
      </w:r>
      <w:r w:rsidR="001109B3">
        <w:rPr>
          <w:lang w:val="en-US"/>
        </w:rPr>
        <w:t>empirical evidence by Wang (2010).</w:t>
      </w:r>
    </w:p>
    <w:p w:rsidR="00C11669" w:rsidRDefault="00C11669">
      <w:pPr>
        <w:rPr>
          <w:lang w:val="en-US"/>
        </w:rPr>
      </w:pPr>
    </w:p>
    <w:p w:rsidR="00C11669" w:rsidRDefault="00C11669">
      <w:pPr>
        <w:rPr>
          <w:lang w:val="en-US"/>
        </w:rPr>
      </w:pPr>
    </w:p>
    <w:p w:rsidR="00FC3599" w:rsidRDefault="00277A9E" w:rsidP="00FC3599">
      <w:pPr>
        <w:pStyle w:val="Heading2"/>
      </w:pPr>
      <w:bookmarkStart w:id="16" w:name="_Toc204880076"/>
      <w:r>
        <w:t xml:space="preserve">Testing proxy of investor sentiment </w:t>
      </w:r>
      <w:r w:rsidR="00FC3599">
        <w:t xml:space="preserve">by </w:t>
      </w:r>
      <w:r>
        <w:t xml:space="preserve">means of </w:t>
      </w:r>
      <w:r w:rsidR="00FC3599">
        <w:t>statistical event study</w:t>
      </w:r>
      <w:bookmarkEnd w:id="16"/>
      <w:r w:rsidR="00FC3599">
        <w:t xml:space="preserve"> </w:t>
      </w:r>
    </w:p>
    <w:p w:rsidR="00AF20EC" w:rsidRDefault="00AF20EC" w:rsidP="00AF20EC">
      <w:pPr>
        <w:spacing w:line="360" w:lineRule="auto"/>
        <w:rPr>
          <w:lang w:val="en-US"/>
        </w:rPr>
      </w:pPr>
    </w:p>
    <w:p w:rsidR="005C4306" w:rsidRDefault="00FC3599" w:rsidP="0058467E">
      <w:pPr>
        <w:spacing w:line="360" w:lineRule="auto"/>
        <w:jc w:val="both"/>
        <w:rPr>
          <w:lang w:val="en-US"/>
        </w:rPr>
      </w:pPr>
      <w:r>
        <w:rPr>
          <w:lang w:val="en-US"/>
        </w:rPr>
        <w:t xml:space="preserve">We have </w:t>
      </w:r>
      <w:r w:rsidR="00D101C9">
        <w:rPr>
          <w:lang w:val="en-US"/>
        </w:rPr>
        <w:t xml:space="preserve">identified the events by intensity and magnitude of CRA activity. Moreover, we have </w:t>
      </w:r>
      <w:r>
        <w:rPr>
          <w:lang w:val="en-US"/>
        </w:rPr>
        <w:t>o</w:t>
      </w:r>
      <w:r w:rsidR="004A2703">
        <w:rPr>
          <w:lang w:val="en-US"/>
        </w:rPr>
        <w:t xml:space="preserve">bserved the reactions of the investor sentiment proxies, on </w:t>
      </w:r>
      <w:r w:rsidR="00A14648">
        <w:rPr>
          <w:lang w:val="en-US"/>
        </w:rPr>
        <w:t>multiple</w:t>
      </w:r>
      <w:r w:rsidR="004A2703">
        <w:rPr>
          <w:lang w:val="en-US"/>
        </w:rPr>
        <w:t xml:space="preserve"> CRA events. Based on these events, we will perform a statistical test whether there is a significant statistical reaction </w:t>
      </w:r>
      <w:r w:rsidR="00A14648">
        <w:rPr>
          <w:lang w:val="en-US"/>
        </w:rPr>
        <w:t>on the proxy</w:t>
      </w:r>
      <w:r w:rsidR="00932E72">
        <w:rPr>
          <w:lang w:val="en-US"/>
        </w:rPr>
        <w:t xml:space="preserve"> after th</w:t>
      </w:r>
      <w:r w:rsidR="004A2703">
        <w:rPr>
          <w:lang w:val="en-US"/>
        </w:rPr>
        <w:t xml:space="preserve">ese CRA </w:t>
      </w:r>
      <w:r w:rsidR="00932E72">
        <w:rPr>
          <w:lang w:val="en-US"/>
        </w:rPr>
        <w:t>announcements</w:t>
      </w:r>
      <w:r w:rsidR="004A2703">
        <w:rPr>
          <w:lang w:val="en-US"/>
        </w:rPr>
        <w:t>.</w:t>
      </w:r>
    </w:p>
    <w:p w:rsidR="00AF20EC" w:rsidRDefault="00A14648" w:rsidP="0058467E">
      <w:pPr>
        <w:spacing w:line="360" w:lineRule="auto"/>
        <w:jc w:val="both"/>
        <w:rPr>
          <w:lang w:val="en-US"/>
        </w:rPr>
      </w:pPr>
      <w:r>
        <w:rPr>
          <w:lang w:val="en-US"/>
        </w:rPr>
        <w:t xml:space="preserve">The MM spread will be </w:t>
      </w:r>
      <w:r w:rsidR="00D101C9">
        <w:rPr>
          <w:lang w:val="en-US"/>
        </w:rPr>
        <w:t>tested, as this is our most leading proxy for investor sentiment, as elaborated on earlier. Moreover, this proxy for investor sentiment showed</w:t>
      </w:r>
      <w:r w:rsidR="004A2703">
        <w:rPr>
          <w:lang w:val="en-US"/>
        </w:rPr>
        <w:t xml:space="preserve"> to be </w:t>
      </w:r>
      <w:r w:rsidR="00D101C9">
        <w:rPr>
          <w:lang w:val="en-US"/>
        </w:rPr>
        <w:t>a dominant</w:t>
      </w:r>
      <w:r w:rsidR="004A2703">
        <w:rPr>
          <w:lang w:val="en-US"/>
        </w:rPr>
        <w:t xml:space="preserve"> indicator </w:t>
      </w:r>
      <w:r>
        <w:rPr>
          <w:lang w:val="en-US"/>
        </w:rPr>
        <w:t>before and after the CRA</w:t>
      </w:r>
      <w:r w:rsidR="00D101C9">
        <w:rPr>
          <w:lang w:val="en-US"/>
        </w:rPr>
        <w:t xml:space="preserve"> in our observations also</w:t>
      </w:r>
      <w:r>
        <w:rPr>
          <w:lang w:val="en-US"/>
        </w:rPr>
        <w:t xml:space="preserve">. </w:t>
      </w:r>
      <w:r w:rsidR="00D101C9">
        <w:rPr>
          <w:lang w:val="en-US"/>
        </w:rPr>
        <w:t>The</w:t>
      </w:r>
      <w:r w:rsidR="004A2703">
        <w:rPr>
          <w:lang w:val="en-US"/>
        </w:rPr>
        <w:t xml:space="preserve"> MM spread followed the same trend as the dispersion; henceforth we chose to cover the </w:t>
      </w:r>
      <w:r>
        <w:rPr>
          <w:lang w:val="en-US"/>
        </w:rPr>
        <w:t>MM spread</w:t>
      </w:r>
      <w:r w:rsidR="004A2703">
        <w:rPr>
          <w:lang w:val="en-US"/>
        </w:rPr>
        <w:t xml:space="preserve"> in thi</w:t>
      </w:r>
      <w:r w:rsidR="00574AFD">
        <w:rPr>
          <w:lang w:val="en-US"/>
        </w:rPr>
        <w:t>s statistical event methodology.</w:t>
      </w:r>
    </w:p>
    <w:p w:rsidR="00A14648" w:rsidRDefault="004A2703" w:rsidP="0058467E">
      <w:pPr>
        <w:spacing w:line="360" w:lineRule="auto"/>
        <w:jc w:val="both"/>
        <w:rPr>
          <w:lang w:val="en-US"/>
        </w:rPr>
      </w:pPr>
      <w:r w:rsidRPr="004A2703">
        <w:rPr>
          <w:lang w:val="en-US"/>
        </w:rPr>
        <w:t xml:space="preserve">To study the effect of </w:t>
      </w:r>
      <w:r>
        <w:rPr>
          <w:lang w:val="en-US"/>
        </w:rPr>
        <w:t>downgrades</w:t>
      </w:r>
      <w:r w:rsidRPr="004A2703">
        <w:rPr>
          <w:lang w:val="en-US"/>
        </w:rPr>
        <w:t xml:space="preserve"> on </w:t>
      </w:r>
      <w:r w:rsidR="00A14648">
        <w:rPr>
          <w:lang w:val="en-US"/>
        </w:rPr>
        <w:t>the MM spread</w:t>
      </w:r>
      <w:r w:rsidRPr="004A2703">
        <w:rPr>
          <w:lang w:val="en-US"/>
        </w:rPr>
        <w:t xml:space="preserve">, </w:t>
      </w:r>
      <w:r w:rsidR="00A14648">
        <w:rPr>
          <w:lang w:val="en-US"/>
        </w:rPr>
        <w:t xml:space="preserve">we look into the events displayed in Figure 6. We have identified these survey periods, in which CRA announcements have been made, based </w:t>
      </w:r>
      <w:r w:rsidR="00D101C9">
        <w:rPr>
          <w:lang w:val="en-US"/>
        </w:rPr>
        <w:t>both intensity and magnitude of CRA announcements as described in the ‘Event’ part</w:t>
      </w:r>
      <w:r w:rsidR="00A14648">
        <w:rPr>
          <w:lang w:val="en-US"/>
        </w:rPr>
        <w:t xml:space="preserve">. </w:t>
      </w:r>
    </w:p>
    <w:p w:rsidR="00A14648" w:rsidRDefault="00A14648" w:rsidP="00A14648">
      <w:pPr>
        <w:pStyle w:val="Heading4"/>
      </w:pPr>
      <w:r>
        <w:t>Figure 6. Event</w:t>
      </w:r>
      <w:r w:rsidR="00574AFD">
        <w:t>s and corresponding event-window</w:t>
      </w:r>
      <w:r>
        <w:t xml:space="preserve"> for MM spread</w:t>
      </w:r>
    </w:p>
    <w:p w:rsidR="00A14648" w:rsidRDefault="009C4DAE" w:rsidP="0058467E">
      <w:pPr>
        <w:spacing w:line="360" w:lineRule="auto"/>
        <w:jc w:val="both"/>
        <w:rPr>
          <w:lang w:val="en-US"/>
        </w:rPr>
      </w:pPr>
      <w:r>
        <w:rPr>
          <w:noProof/>
          <w:lang w:val="en-US" w:eastAsia="en-US" w:bidi="ar-SA"/>
        </w:rPr>
        <w:drawing>
          <wp:inline distT="0" distB="0" distL="0" distR="0">
            <wp:extent cx="5270500" cy="904322"/>
            <wp:effectExtent l="0" t="0" r="0" b="1016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904322"/>
                    </a:xfrm>
                    <a:prstGeom prst="rect">
                      <a:avLst/>
                    </a:prstGeom>
                    <a:noFill/>
                    <a:ln>
                      <a:noFill/>
                    </a:ln>
                  </pic:spPr>
                </pic:pic>
              </a:graphicData>
            </a:graphic>
          </wp:inline>
        </w:drawing>
      </w:r>
    </w:p>
    <w:p w:rsidR="00A14648" w:rsidRDefault="00A14648" w:rsidP="0058467E">
      <w:pPr>
        <w:spacing w:line="360" w:lineRule="auto"/>
        <w:jc w:val="both"/>
        <w:rPr>
          <w:lang w:val="en-US"/>
        </w:rPr>
      </w:pPr>
      <w:r>
        <w:rPr>
          <w:lang w:val="en-US"/>
        </w:rPr>
        <w:t>The spread in figure 6 is calculated by comparing the normal MM spread, which is assumed to be the average spread over the survey period (survey 1 to 57), to the MM spread in the specified survey events</w:t>
      </w:r>
      <w:r w:rsidR="00BB6EE5">
        <w:rPr>
          <w:lang w:val="en-US"/>
        </w:rPr>
        <w:t xml:space="preserve">. This difference is assumed to be the abnormal MM spread due to the event. This abnormal is divided by the standard deviation </w:t>
      </w:r>
      <w:r w:rsidR="00945A67">
        <w:rPr>
          <w:lang w:val="en-US"/>
        </w:rPr>
        <w:t xml:space="preserve">of the normal state. We could clearly quantify in this way to what extent the MM spread is affected by the CRA announcements in corresponding surveys. </w:t>
      </w:r>
    </w:p>
    <w:p w:rsidR="00945A67" w:rsidRDefault="00945A67" w:rsidP="0058467E">
      <w:pPr>
        <w:spacing w:line="360" w:lineRule="auto"/>
        <w:jc w:val="both"/>
        <w:rPr>
          <w:lang w:val="en-US"/>
        </w:rPr>
      </w:pPr>
    </w:p>
    <w:p w:rsidR="00945A67" w:rsidRDefault="00945A67" w:rsidP="0058467E">
      <w:pPr>
        <w:spacing w:line="360" w:lineRule="auto"/>
        <w:jc w:val="both"/>
        <w:rPr>
          <w:lang w:val="en-US"/>
        </w:rPr>
      </w:pPr>
      <w:r>
        <w:rPr>
          <w:lang w:val="en-US"/>
        </w:rPr>
        <w:t xml:space="preserve">For the </w:t>
      </w:r>
      <w:r w:rsidR="00D101C9">
        <w:rPr>
          <w:lang w:val="en-US"/>
        </w:rPr>
        <w:t>events</w:t>
      </w:r>
      <w:r>
        <w:rPr>
          <w:lang w:val="en-US"/>
        </w:rPr>
        <w:t xml:space="preserve"> presented in figure 6 and hence described in previous headings, we have performed the one-way ANOVA tests in order to compare the means of the </w:t>
      </w:r>
      <w:r>
        <w:rPr>
          <w:lang w:val="en-US"/>
        </w:rPr>
        <w:lastRenderedPageBreak/>
        <w:t xml:space="preserve">groups around the survey using the F distribution. Moreover, we have performed the </w:t>
      </w:r>
      <w:proofErr w:type="spellStart"/>
      <w:r>
        <w:rPr>
          <w:lang w:val="en-US"/>
        </w:rPr>
        <w:t>Tukey</w:t>
      </w:r>
      <w:proofErr w:type="spellEnd"/>
      <w:r>
        <w:rPr>
          <w:lang w:val="en-US"/>
        </w:rPr>
        <w:t xml:space="preserve"> B and HSD test. This is a post-hoc test, performed after the ANOVA test. The purpose of this test is to determine which groups in the sample differ. ANOVA tells us whether the groups differ significantly, however, the </w:t>
      </w:r>
      <w:proofErr w:type="spellStart"/>
      <w:r>
        <w:rPr>
          <w:lang w:val="en-US"/>
        </w:rPr>
        <w:t>Tukey</w:t>
      </w:r>
      <w:proofErr w:type="spellEnd"/>
      <w:r>
        <w:rPr>
          <w:lang w:val="en-US"/>
        </w:rPr>
        <w:t xml:space="preserve"> test gives insight on which groups differs. </w:t>
      </w:r>
    </w:p>
    <w:p w:rsidR="00337EB5" w:rsidRDefault="00337EB5" w:rsidP="0058467E">
      <w:pPr>
        <w:spacing w:line="360" w:lineRule="auto"/>
        <w:jc w:val="both"/>
        <w:rPr>
          <w:lang w:val="en-US"/>
        </w:rPr>
      </w:pPr>
    </w:p>
    <w:p w:rsidR="00E2566D" w:rsidRDefault="00337EB5" w:rsidP="0058467E">
      <w:pPr>
        <w:spacing w:line="360" w:lineRule="auto"/>
        <w:jc w:val="both"/>
        <w:rPr>
          <w:lang w:val="en-US"/>
        </w:rPr>
      </w:pPr>
      <w:r>
        <w:rPr>
          <w:lang w:val="en-US"/>
        </w:rPr>
        <w:t>In the appendix (</w:t>
      </w:r>
      <w:r w:rsidR="00D101C9">
        <w:rPr>
          <w:lang w:val="en-US"/>
        </w:rPr>
        <w:t>Table 3</w:t>
      </w:r>
      <w:r>
        <w:rPr>
          <w:lang w:val="en-US"/>
        </w:rPr>
        <w:t xml:space="preserve">) </w:t>
      </w:r>
      <w:r w:rsidR="00E2566D">
        <w:rPr>
          <w:lang w:val="en-US"/>
        </w:rPr>
        <w:t xml:space="preserve">the </w:t>
      </w:r>
      <w:r>
        <w:rPr>
          <w:lang w:val="en-US"/>
        </w:rPr>
        <w:t>descriptive statistic</w:t>
      </w:r>
      <w:r w:rsidR="004249B7">
        <w:rPr>
          <w:lang w:val="en-US"/>
        </w:rPr>
        <w:t xml:space="preserve">s </w:t>
      </w:r>
      <w:r w:rsidR="00E2566D">
        <w:rPr>
          <w:lang w:val="en-US"/>
        </w:rPr>
        <w:t xml:space="preserve">are presented </w:t>
      </w:r>
      <w:r w:rsidR="004249B7">
        <w:rPr>
          <w:lang w:val="en-US"/>
        </w:rPr>
        <w:t xml:space="preserve">on the ANOVA and </w:t>
      </w:r>
      <w:proofErr w:type="spellStart"/>
      <w:r w:rsidR="004249B7">
        <w:rPr>
          <w:lang w:val="en-US"/>
        </w:rPr>
        <w:t>Tukey</w:t>
      </w:r>
      <w:proofErr w:type="spellEnd"/>
      <w:r w:rsidR="004249B7">
        <w:rPr>
          <w:lang w:val="en-US"/>
        </w:rPr>
        <w:t xml:space="preserve"> tests</w:t>
      </w:r>
      <w:r w:rsidR="00E2566D">
        <w:rPr>
          <w:lang w:val="en-US"/>
        </w:rPr>
        <w:t xml:space="preserve">. </w:t>
      </w:r>
      <w:r>
        <w:rPr>
          <w:lang w:val="en-US"/>
        </w:rPr>
        <w:t xml:space="preserve">We </w:t>
      </w:r>
      <w:r w:rsidR="004249B7">
        <w:rPr>
          <w:lang w:val="en-US"/>
        </w:rPr>
        <w:t>observe</w:t>
      </w:r>
      <w:r>
        <w:rPr>
          <w:lang w:val="en-US"/>
        </w:rPr>
        <w:t xml:space="preserve"> that the events displayed in figure 6 give significant statistics on a change in </w:t>
      </w:r>
      <w:r w:rsidR="004249B7">
        <w:rPr>
          <w:lang w:val="en-US"/>
        </w:rPr>
        <w:t xml:space="preserve">the spread </w:t>
      </w:r>
      <w:r w:rsidR="00E2566D">
        <w:rPr>
          <w:lang w:val="en-US"/>
        </w:rPr>
        <w:t>between the two groups. The groups that are compared are the surveys before</w:t>
      </w:r>
      <w:r w:rsidR="00D101C9">
        <w:rPr>
          <w:lang w:val="en-US"/>
        </w:rPr>
        <w:t xml:space="preserve"> and after the events (in which intensity and magnitude of the CRA announcements increase)</w:t>
      </w:r>
      <w:r w:rsidR="00E2566D">
        <w:rPr>
          <w:lang w:val="en-US"/>
        </w:rPr>
        <w:t xml:space="preserve">. We have looked into the statistics and find significant results </w:t>
      </w:r>
      <w:r w:rsidR="004249B7">
        <w:rPr>
          <w:lang w:val="en-US"/>
        </w:rPr>
        <w:t xml:space="preserve">for </w:t>
      </w:r>
      <w:r w:rsidR="00E2566D">
        <w:rPr>
          <w:lang w:val="en-US"/>
        </w:rPr>
        <w:t>the following event windows;</w:t>
      </w:r>
    </w:p>
    <w:p w:rsidR="001D2AB3" w:rsidRDefault="001D2AB3" w:rsidP="0058467E">
      <w:pPr>
        <w:spacing w:line="360" w:lineRule="auto"/>
        <w:jc w:val="both"/>
        <w:rPr>
          <w:lang w:val="en-US"/>
        </w:rPr>
      </w:pPr>
    </w:p>
    <w:p w:rsidR="00D86148" w:rsidRDefault="001D2AB3" w:rsidP="0058467E">
      <w:pPr>
        <w:spacing w:line="360" w:lineRule="auto"/>
        <w:jc w:val="both"/>
        <w:rPr>
          <w:lang w:val="en-US"/>
        </w:rPr>
      </w:pPr>
      <w:r>
        <w:rPr>
          <w:lang w:val="en-US"/>
        </w:rPr>
        <w:t xml:space="preserve">Events 9, 21, 24, 40, 43 and 50 present a significant change in the MM spread between groups, namely before and after the event. </w:t>
      </w:r>
      <w:r w:rsidR="00D86148">
        <w:rPr>
          <w:lang w:val="en-US"/>
        </w:rPr>
        <w:t xml:space="preserve">We henceforth accept the alternative hypothesis; there is a </w:t>
      </w:r>
      <w:r w:rsidR="00D101C9">
        <w:rPr>
          <w:lang w:val="en-US"/>
        </w:rPr>
        <w:t xml:space="preserve">significant </w:t>
      </w:r>
      <w:r w:rsidR="00D86148">
        <w:rPr>
          <w:lang w:val="en-US"/>
        </w:rPr>
        <w:t xml:space="preserve">difference between the MM spreads. </w:t>
      </w:r>
      <w:r>
        <w:rPr>
          <w:lang w:val="en-US"/>
        </w:rPr>
        <w:t xml:space="preserve">Once we look into detail per event, we observe that due to the CRA announcements in survey 9 the MM spread is significantly different in survey 11. Moreover, due to the events in survey 21, the MM spreads of survey 20, 21 are significantly different from survey 24. Following, the event taking place in survey 40, the MM spread in survey 43 is significantly different from surveys 39, 40, 41 and 42. </w:t>
      </w:r>
      <w:r w:rsidR="00D86148">
        <w:rPr>
          <w:lang w:val="en-US"/>
        </w:rPr>
        <w:t xml:space="preserve">We refer for </w:t>
      </w:r>
      <w:r w:rsidR="00574AFD">
        <w:rPr>
          <w:lang w:val="en-US"/>
        </w:rPr>
        <w:t>the other results to appendix table 3</w:t>
      </w:r>
      <w:r w:rsidR="00D86148">
        <w:rPr>
          <w:lang w:val="en-US"/>
        </w:rPr>
        <w:t>. Once we evaluate these</w:t>
      </w:r>
      <w:r>
        <w:rPr>
          <w:lang w:val="en-US"/>
        </w:rPr>
        <w:t xml:space="preserve"> output</w:t>
      </w:r>
      <w:r w:rsidR="00D86148">
        <w:rPr>
          <w:lang w:val="en-US"/>
        </w:rPr>
        <w:t xml:space="preserve">s we conclude that the CRA announcements do affect the sentiment proxy, MM spread, significantly over time for the pre-mentioned events. </w:t>
      </w:r>
    </w:p>
    <w:p w:rsidR="00D86148" w:rsidRDefault="00D86148" w:rsidP="0058467E">
      <w:pPr>
        <w:spacing w:line="360" w:lineRule="auto"/>
        <w:jc w:val="both"/>
        <w:rPr>
          <w:lang w:val="en-US"/>
        </w:rPr>
      </w:pPr>
    </w:p>
    <w:p w:rsidR="001D2AB3" w:rsidRDefault="00D86148" w:rsidP="0058467E">
      <w:pPr>
        <w:spacing w:line="360" w:lineRule="auto"/>
        <w:jc w:val="both"/>
        <w:rPr>
          <w:lang w:val="en-US"/>
        </w:rPr>
      </w:pPr>
      <w:r>
        <w:rPr>
          <w:lang w:val="en-US"/>
        </w:rPr>
        <w:t xml:space="preserve">However, once we look at the events 45, 48 and 55 we obtain insignificant results. Hereby, we will accept the null-hypothesis; there is no change in the MM spread. Referencing to appendix </w:t>
      </w:r>
      <w:r w:rsidR="00574AFD">
        <w:rPr>
          <w:lang w:val="en-US"/>
        </w:rPr>
        <w:t>table 3</w:t>
      </w:r>
      <w:r>
        <w:rPr>
          <w:lang w:val="en-US"/>
        </w:rPr>
        <w:t xml:space="preserve">, we observe that due to these events the MM spread does not change significantly. </w:t>
      </w:r>
    </w:p>
    <w:p w:rsidR="00E2566D" w:rsidRDefault="00E2566D" w:rsidP="0058467E">
      <w:pPr>
        <w:spacing w:line="360" w:lineRule="auto"/>
        <w:jc w:val="both"/>
        <w:rPr>
          <w:lang w:val="en-US"/>
        </w:rPr>
      </w:pPr>
    </w:p>
    <w:p w:rsidR="00D86148" w:rsidRDefault="00C01589" w:rsidP="00D86148">
      <w:pPr>
        <w:spacing w:line="360" w:lineRule="auto"/>
        <w:jc w:val="both"/>
        <w:rPr>
          <w:lang w:val="en-US"/>
        </w:rPr>
      </w:pPr>
      <w:r>
        <w:rPr>
          <w:lang w:val="en-US"/>
        </w:rPr>
        <w:t xml:space="preserve">Moreover we have performed a </w:t>
      </w:r>
      <w:r w:rsidR="00DA5B67">
        <w:rPr>
          <w:lang w:val="en-US"/>
        </w:rPr>
        <w:t>n</w:t>
      </w:r>
      <w:r>
        <w:rPr>
          <w:lang w:val="en-US"/>
        </w:rPr>
        <w:t>on-parametric test. This test is a back-test on the ANOVA tests. The results</w:t>
      </w:r>
      <w:r w:rsidR="00DA5B67">
        <w:rPr>
          <w:lang w:val="en-US"/>
        </w:rPr>
        <w:t xml:space="preserve"> </w:t>
      </w:r>
      <w:r>
        <w:rPr>
          <w:lang w:val="en-US"/>
        </w:rPr>
        <w:t xml:space="preserve">of these non-parametric tests </w:t>
      </w:r>
      <w:r w:rsidR="00DA5B67">
        <w:rPr>
          <w:lang w:val="en-US"/>
        </w:rPr>
        <w:t xml:space="preserve">confirm the observations of </w:t>
      </w:r>
      <w:r w:rsidR="00DA5B67">
        <w:rPr>
          <w:lang w:val="en-US"/>
        </w:rPr>
        <w:lastRenderedPageBreak/>
        <w:t xml:space="preserve">significance on </w:t>
      </w:r>
      <w:r>
        <w:rPr>
          <w:lang w:val="en-US"/>
        </w:rPr>
        <w:t>the MM spread around the events of the ANOVA tests.</w:t>
      </w:r>
      <w:r w:rsidR="00DA5B67">
        <w:rPr>
          <w:lang w:val="en-US"/>
        </w:rPr>
        <w:t xml:space="preserve"> </w:t>
      </w:r>
      <w:r>
        <w:rPr>
          <w:lang w:val="en-US"/>
        </w:rPr>
        <w:t xml:space="preserve">The distributions of the MM spread across the surveys for the pre-specified event windows are rejected. Henceforth, these are not rejected in the event windows of 45, 48 and 55. </w:t>
      </w:r>
    </w:p>
    <w:p w:rsidR="006B0CF5" w:rsidRDefault="006B0CF5" w:rsidP="00D86148">
      <w:pPr>
        <w:spacing w:line="360" w:lineRule="auto"/>
        <w:jc w:val="both"/>
        <w:rPr>
          <w:lang w:val="en-US"/>
        </w:rPr>
      </w:pPr>
    </w:p>
    <w:p w:rsidR="006B0CF5" w:rsidRDefault="00D101C9" w:rsidP="00D86148">
      <w:pPr>
        <w:spacing w:line="360" w:lineRule="auto"/>
        <w:jc w:val="both"/>
        <w:rPr>
          <w:lang w:val="en-US"/>
        </w:rPr>
      </w:pPr>
      <w:r>
        <w:rPr>
          <w:lang w:val="en-US"/>
        </w:rPr>
        <w:t>One</w:t>
      </w:r>
      <w:r w:rsidR="006B0CF5">
        <w:rPr>
          <w:lang w:val="en-US"/>
        </w:rPr>
        <w:t xml:space="preserve"> side note t</w:t>
      </w:r>
      <w:r w:rsidR="001B0644">
        <w:rPr>
          <w:lang w:val="en-US"/>
        </w:rPr>
        <w:t>hat must be made for these results</w:t>
      </w:r>
      <w:r w:rsidR="006B0CF5">
        <w:rPr>
          <w:lang w:val="en-US"/>
        </w:rPr>
        <w:t xml:space="preserve"> is that the homogeneity cannot be guaranteed. The type-1 level errors are not guaranteed. This means that the homogeneity of the different surveys that are compared to each other cannot be guaranteed and hence the signif</w:t>
      </w:r>
      <w:r>
        <w:rPr>
          <w:lang w:val="en-US"/>
        </w:rPr>
        <w:t>icance</w:t>
      </w:r>
      <w:r w:rsidR="006B0CF5">
        <w:rPr>
          <w:lang w:val="en-US"/>
        </w:rPr>
        <w:t xml:space="preserve"> </w:t>
      </w:r>
      <w:r w:rsidR="001B0644">
        <w:rPr>
          <w:lang w:val="en-US"/>
        </w:rPr>
        <w:t>differences b</w:t>
      </w:r>
      <w:r w:rsidR="006B0CF5">
        <w:rPr>
          <w:lang w:val="en-US"/>
        </w:rPr>
        <w:t xml:space="preserve">efore and after </w:t>
      </w:r>
      <w:r w:rsidR="001B0644">
        <w:rPr>
          <w:lang w:val="en-US"/>
        </w:rPr>
        <w:t xml:space="preserve">the event </w:t>
      </w:r>
      <w:r w:rsidR="006B0CF5">
        <w:rPr>
          <w:lang w:val="en-US"/>
        </w:rPr>
        <w:t xml:space="preserve">are at stake. However, once we look at the data (like we have done in the first part of the results) and look at the economic circumstances, the spread increases and hence the ‘outliers’ may affect the homogeneity of individual survey groups. </w:t>
      </w:r>
    </w:p>
    <w:p w:rsidR="00637090" w:rsidRDefault="00637090" w:rsidP="00D86148">
      <w:pPr>
        <w:spacing w:line="360" w:lineRule="auto"/>
        <w:jc w:val="both"/>
        <w:rPr>
          <w:lang w:val="en-US"/>
        </w:rPr>
      </w:pPr>
    </w:p>
    <w:p w:rsidR="00637090" w:rsidRDefault="00637090" w:rsidP="00D86148">
      <w:pPr>
        <w:spacing w:line="360" w:lineRule="auto"/>
        <w:jc w:val="both"/>
        <w:rPr>
          <w:lang w:val="en-US"/>
        </w:rPr>
      </w:pPr>
      <w:r>
        <w:rPr>
          <w:lang w:val="en-US"/>
        </w:rPr>
        <w:t>Moreover, we identify that the MM spread lags quite substantially from the event in some cases. We acknowledge this lag, however, belief that ‘the events’ create the volatility in the market that drives this spread to increase to a certain extent. We do acknowledge that other factors, other information, might have an influence on the sentiment of investors. However, we do have a plausible proof that the events, in which the intensity and magnitude of the CRA announcements on the sovereign credit rating increases, have significant impact on the investor sentiment.</w:t>
      </w:r>
      <w:r w:rsidR="005174FE">
        <w:rPr>
          <w:lang w:val="en-US"/>
        </w:rPr>
        <w:t xml:space="preserve"> Future research should be conducted in order to test the lag of investors to CRA announcements. </w:t>
      </w:r>
    </w:p>
    <w:p w:rsidR="006B0CF5" w:rsidRDefault="006B0CF5" w:rsidP="00D86148">
      <w:pPr>
        <w:spacing w:line="360" w:lineRule="auto"/>
        <w:jc w:val="both"/>
        <w:rPr>
          <w:lang w:val="en-US"/>
        </w:rPr>
      </w:pPr>
    </w:p>
    <w:p w:rsidR="00C01589" w:rsidRDefault="006B0CF5" w:rsidP="00D86148">
      <w:pPr>
        <w:spacing w:line="360" w:lineRule="auto"/>
        <w:jc w:val="both"/>
        <w:rPr>
          <w:lang w:val="en-US"/>
        </w:rPr>
      </w:pPr>
      <w:r>
        <w:rPr>
          <w:lang w:val="en-US"/>
        </w:rPr>
        <w:t xml:space="preserve">We have a plausible prove </w:t>
      </w:r>
      <w:r w:rsidR="00F410D6">
        <w:rPr>
          <w:lang w:val="en-US"/>
        </w:rPr>
        <w:t xml:space="preserve">that the investor sentiment, retrieved from the MM spread as an proxy of the sentiment, changes due to an increase of CRA announcements during a survey; marked as ‘the event’. </w:t>
      </w:r>
      <w:r w:rsidR="006E3B0D">
        <w:rPr>
          <w:lang w:val="en-US"/>
        </w:rPr>
        <w:t>Though</w:t>
      </w:r>
      <w:r w:rsidR="00F410D6">
        <w:rPr>
          <w:lang w:val="en-US"/>
        </w:rPr>
        <w:t xml:space="preserve">, we are aware that the MM spread is just a derivative, a proxy of the sentiment. This proxy might create an insufficiency due to the fact that the MM spread is compared on a survey basis, which was held twice a month, implicating a </w:t>
      </w:r>
      <w:r w:rsidR="001B0644">
        <w:rPr>
          <w:lang w:val="en-US"/>
        </w:rPr>
        <w:t>timing issue. Further research must</w:t>
      </w:r>
      <w:r w:rsidR="00F410D6">
        <w:rPr>
          <w:lang w:val="en-US"/>
        </w:rPr>
        <w:t xml:space="preserve"> be performed on the sentiment of investors by specifically retrieving a sentiment index on a scale of </w:t>
      </w:r>
      <w:r w:rsidR="001B0644">
        <w:rPr>
          <w:lang w:val="en-US"/>
        </w:rPr>
        <w:t xml:space="preserve">for example </w:t>
      </w:r>
      <w:r w:rsidR="00F410D6">
        <w:rPr>
          <w:lang w:val="en-US"/>
        </w:rPr>
        <w:t>0 to 10 in order to more specifically model this change.</w:t>
      </w:r>
    </w:p>
    <w:p w:rsidR="009F0DE0" w:rsidRDefault="009F0DE0" w:rsidP="00D86148">
      <w:pPr>
        <w:spacing w:line="360" w:lineRule="auto"/>
        <w:jc w:val="both"/>
        <w:rPr>
          <w:lang w:val="en-US"/>
        </w:rPr>
      </w:pPr>
    </w:p>
    <w:p w:rsidR="00277A9E" w:rsidRDefault="00277A9E" w:rsidP="00277A9E">
      <w:pPr>
        <w:pStyle w:val="Heading2"/>
      </w:pPr>
      <w:bookmarkStart w:id="17" w:name="_Toc204880077"/>
      <w:r>
        <w:lastRenderedPageBreak/>
        <w:t>Testing investor sentiment proxy by OLS regression on VIX</w:t>
      </w:r>
      <w:bookmarkEnd w:id="17"/>
    </w:p>
    <w:p w:rsidR="00277A9E" w:rsidRDefault="00277A9E" w:rsidP="00D86148">
      <w:pPr>
        <w:spacing w:line="360" w:lineRule="auto"/>
        <w:jc w:val="both"/>
        <w:rPr>
          <w:lang w:val="en-US"/>
        </w:rPr>
      </w:pPr>
    </w:p>
    <w:p w:rsidR="00FF6248" w:rsidRPr="007E5185" w:rsidRDefault="000F588D" w:rsidP="009F0DE0">
      <w:pPr>
        <w:spacing w:line="360" w:lineRule="auto"/>
        <w:jc w:val="both"/>
        <w:rPr>
          <w:lang w:val="en-US"/>
        </w:rPr>
      </w:pPr>
      <w:r w:rsidRPr="007E5185">
        <w:rPr>
          <w:lang w:val="en-US"/>
        </w:rPr>
        <w:t>In t</w:t>
      </w:r>
      <w:r w:rsidR="00637090">
        <w:rPr>
          <w:lang w:val="en-US"/>
        </w:rPr>
        <w:t>able 4</w:t>
      </w:r>
      <w:r w:rsidRPr="007E5185">
        <w:rPr>
          <w:lang w:val="en-US"/>
        </w:rPr>
        <w:t xml:space="preserve"> (see appendix) we have tested the </w:t>
      </w:r>
      <w:r w:rsidR="007E0FB4" w:rsidRPr="007E5185">
        <w:rPr>
          <w:lang w:val="en-US"/>
        </w:rPr>
        <w:t>VIX of the AEX</w:t>
      </w:r>
      <w:r w:rsidRPr="007E5185">
        <w:rPr>
          <w:lang w:val="en-US"/>
        </w:rPr>
        <w:t xml:space="preserve">, on the </w:t>
      </w:r>
      <w:r w:rsidR="007E0FB4" w:rsidRPr="007E5185">
        <w:rPr>
          <w:lang w:val="en-US"/>
        </w:rPr>
        <w:t>MM spread a</w:t>
      </w:r>
      <w:r w:rsidR="00637090">
        <w:rPr>
          <w:lang w:val="en-US"/>
        </w:rPr>
        <w:t>s a</w:t>
      </w:r>
      <w:r w:rsidR="007E0FB4" w:rsidRPr="007E5185">
        <w:rPr>
          <w:lang w:val="en-US"/>
        </w:rPr>
        <w:t xml:space="preserve"> proxy for investor sentiment </w:t>
      </w:r>
      <w:r w:rsidRPr="007E5185">
        <w:rPr>
          <w:lang w:val="en-US"/>
        </w:rPr>
        <w:t xml:space="preserve">by means of an ordinary linear regression. </w:t>
      </w:r>
      <w:r w:rsidR="00637090">
        <w:rPr>
          <w:lang w:val="en-US"/>
        </w:rPr>
        <w:t>We have chosen to regress this relation on the MM spread as we belief this proxy to be the best indicator of investor sentiment</w:t>
      </w:r>
      <w:r w:rsidR="006E3B0D">
        <w:rPr>
          <w:lang w:val="en-US"/>
        </w:rPr>
        <w:t xml:space="preserve"> in our data</w:t>
      </w:r>
      <w:r w:rsidR="00637090">
        <w:rPr>
          <w:lang w:val="en-US"/>
        </w:rPr>
        <w:t xml:space="preserve">. </w:t>
      </w:r>
      <w:r w:rsidR="002B5D72" w:rsidRPr="007E5185">
        <w:rPr>
          <w:lang w:val="en-US"/>
        </w:rPr>
        <w:t xml:space="preserve">We have performed this regression by using the </w:t>
      </w:r>
      <w:r w:rsidR="007E0FB4" w:rsidRPr="007E5185">
        <w:rPr>
          <w:lang w:val="en-US"/>
        </w:rPr>
        <w:t>VIX</w:t>
      </w:r>
      <w:r w:rsidR="002B5D72" w:rsidRPr="007E5185">
        <w:rPr>
          <w:lang w:val="en-US"/>
        </w:rPr>
        <w:t xml:space="preserve"> as the independent variable, whereas the </w:t>
      </w:r>
      <w:r w:rsidR="007E0FB4" w:rsidRPr="007E5185">
        <w:rPr>
          <w:lang w:val="en-US"/>
        </w:rPr>
        <w:t>MM spread</w:t>
      </w:r>
      <w:r w:rsidR="002B5D72" w:rsidRPr="007E5185">
        <w:rPr>
          <w:lang w:val="en-US"/>
        </w:rPr>
        <w:t xml:space="preserve"> is dependent on the</w:t>
      </w:r>
      <w:r w:rsidR="00901365" w:rsidRPr="007E5185">
        <w:rPr>
          <w:lang w:val="en-US"/>
        </w:rPr>
        <w:t xml:space="preserve"> </w:t>
      </w:r>
      <w:r w:rsidR="007E0FB4" w:rsidRPr="007E5185">
        <w:rPr>
          <w:lang w:val="en-US"/>
        </w:rPr>
        <w:t>VIX</w:t>
      </w:r>
      <w:r w:rsidR="002B5D72" w:rsidRPr="007E5185">
        <w:rPr>
          <w:lang w:val="en-US"/>
        </w:rPr>
        <w:t xml:space="preserve">. </w:t>
      </w:r>
      <w:r w:rsidR="006E3B0D">
        <w:rPr>
          <w:lang w:val="en-US"/>
        </w:rPr>
        <w:t xml:space="preserve">We run this regression in order to proof whether the VIX of the AEX aggravates the sentiment of investors. By enhancing this relation, we </w:t>
      </w:r>
      <w:r w:rsidR="002B5D72" w:rsidRPr="007E5185">
        <w:rPr>
          <w:lang w:val="en-US"/>
        </w:rPr>
        <w:t>make use of a dummy variable</w:t>
      </w:r>
      <w:r w:rsidR="006E3B0D">
        <w:rPr>
          <w:lang w:val="en-US"/>
        </w:rPr>
        <w:t>. This implicates</w:t>
      </w:r>
      <w:r w:rsidR="002B5D72" w:rsidRPr="007E5185">
        <w:rPr>
          <w:lang w:val="en-US"/>
        </w:rPr>
        <w:t xml:space="preserve"> takes the value 1 in case of a survey</w:t>
      </w:r>
      <w:r w:rsidR="007E0FB4" w:rsidRPr="007E5185">
        <w:rPr>
          <w:lang w:val="en-US"/>
        </w:rPr>
        <w:t xml:space="preserve"> was</w:t>
      </w:r>
      <w:r w:rsidR="002B5D72" w:rsidRPr="007E5185">
        <w:rPr>
          <w:lang w:val="en-US"/>
        </w:rPr>
        <w:t xml:space="preserve"> followed by </w:t>
      </w:r>
      <w:r w:rsidR="007E0FB4" w:rsidRPr="007E5185">
        <w:rPr>
          <w:lang w:val="en-US"/>
        </w:rPr>
        <w:t>(</w:t>
      </w:r>
      <w:r w:rsidR="002B5D72" w:rsidRPr="007E5185">
        <w:rPr>
          <w:lang w:val="en-US"/>
        </w:rPr>
        <w:t>multiple</w:t>
      </w:r>
      <w:r w:rsidR="007E0FB4" w:rsidRPr="007E5185">
        <w:rPr>
          <w:lang w:val="en-US"/>
        </w:rPr>
        <w:t>)</w:t>
      </w:r>
      <w:r w:rsidR="002B5D72" w:rsidRPr="007E5185">
        <w:rPr>
          <w:lang w:val="en-US"/>
        </w:rPr>
        <w:t xml:space="preserve"> downgrades (</w:t>
      </w:r>
      <w:r w:rsidR="00637090">
        <w:rPr>
          <w:lang w:val="en-US"/>
        </w:rPr>
        <w:t>‘the event’ as</w:t>
      </w:r>
      <w:r w:rsidR="007E0FB4" w:rsidRPr="007E5185">
        <w:rPr>
          <w:lang w:val="en-US"/>
        </w:rPr>
        <w:t xml:space="preserve"> identified </w:t>
      </w:r>
      <w:r w:rsidR="002B5D72" w:rsidRPr="007E5185">
        <w:rPr>
          <w:lang w:val="en-US"/>
        </w:rPr>
        <w:t xml:space="preserve">in the previous headings) and a value of 0 in case when no particular or relatively few downgrades take place. </w:t>
      </w:r>
      <w:r w:rsidR="006E3B0D">
        <w:rPr>
          <w:lang w:val="en-US"/>
        </w:rPr>
        <w:t xml:space="preserve">This </w:t>
      </w:r>
      <w:r w:rsidR="00286919">
        <w:rPr>
          <w:lang w:val="en-US"/>
        </w:rPr>
        <w:t>implicates</w:t>
      </w:r>
      <w:r w:rsidR="006E3B0D">
        <w:rPr>
          <w:lang w:val="en-US"/>
        </w:rPr>
        <w:t xml:space="preserve"> that</w:t>
      </w:r>
      <w:r w:rsidR="00286919">
        <w:rPr>
          <w:lang w:val="en-US"/>
        </w:rPr>
        <w:t xml:space="preserve"> we test whether</w:t>
      </w:r>
      <w:r w:rsidR="006E3B0D">
        <w:rPr>
          <w:lang w:val="en-US"/>
        </w:rPr>
        <w:t xml:space="preserve"> the VIX </w:t>
      </w:r>
      <w:r w:rsidR="00286919">
        <w:rPr>
          <w:lang w:val="en-US"/>
        </w:rPr>
        <w:t xml:space="preserve">during these events has additional explaining power on the sentiment of investors. The coefficient is regarded only in the pre-specified events. </w:t>
      </w:r>
      <w:r w:rsidR="00FF6248" w:rsidRPr="007E5185">
        <w:rPr>
          <w:lang w:val="en-US"/>
        </w:rPr>
        <w:t>Moreover, the R-squared, the covariance, is the proportion of variability in the dependent variable, Y, that is explained by the independent variable, X. The X</w:t>
      </w:r>
      <w:r w:rsidR="007E0FB4" w:rsidRPr="007E5185">
        <w:rPr>
          <w:lang w:val="en-US"/>
        </w:rPr>
        <w:t xml:space="preserve"> variable in our model is the VIX</w:t>
      </w:r>
      <w:r w:rsidR="00FF6248" w:rsidRPr="007E5185">
        <w:rPr>
          <w:lang w:val="en-US"/>
        </w:rPr>
        <w:t xml:space="preserve">, and the dependent variable was the </w:t>
      </w:r>
      <w:r w:rsidR="007E0FB4" w:rsidRPr="007E5185">
        <w:rPr>
          <w:lang w:val="en-US"/>
        </w:rPr>
        <w:t>MM spread</w:t>
      </w:r>
      <w:r w:rsidR="00FF6248" w:rsidRPr="007E5185">
        <w:rPr>
          <w:lang w:val="en-US"/>
        </w:rPr>
        <w:t xml:space="preserve">. </w:t>
      </w:r>
    </w:p>
    <w:p w:rsidR="00286919" w:rsidRDefault="00286919" w:rsidP="009F0DE0">
      <w:pPr>
        <w:spacing w:line="360" w:lineRule="auto"/>
        <w:jc w:val="both"/>
        <w:rPr>
          <w:lang w:val="en-US"/>
        </w:rPr>
      </w:pPr>
    </w:p>
    <w:p w:rsidR="00F57ECE" w:rsidRPr="007E5185" w:rsidRDefault="00F57ECE" w:rsidP="009F0DE0">
      <w:pPr>
        <w:spacing w:line="360" w:lineRule="auto"/>
        <w:jc w:val="both"/>
        <w:rPr>
          <w:lang w:val="en-US"/>
        </w:rPr>
      </w:pPr>
      <w:r w:rsidRPr="007E5185">
        <w:rPr>
          <w:lang w:val="en-US"/>
        </w:rPr>
        <w:t>We</w:t>
      </w:r>
      <w:r w:rsidR="00FF6248" w:rsidRPr="007E5185">
        <w:rPr>
          <w:lang w:val="en-US"/>
        </w:rPr>
        <w:t xml:space="preserve"> state that </w:t>
      </w:r>
      <w:r w:rsidR="007E0FB4" w:rsidRPr="007E5185">
        <w:rPr>
          <w:lang w:val="en-US"/>
        </w:rPr>
        <w:t>only 7%</w:t>
      </w:r>
      <w:r w:rsidR="00FF6248" w:rsidRPr="007E5185">
        <w:rPr>
          <w:lang w:val="en-US"/>
        </w:rPr>
        <w:t xml:space="preserve"> of the movement in the MM spread</w:t>
      </w:r>
      <w:r w:rsidR="007E0FB4" w:rsidRPr="007E5185">
        <w:rPr>
          <w:lang w:val="en-US"/>
        </w:rPr>
        <w:t xml:space="preserve"> is due to the VIX</w:t>
      </w:r>
      <w:r w:rsidR="00FF6248" w:rsidRPr="007E5185">
        <w:rPr>
          <w:lang w:val="en-US"/>
        </w:rPr>
        <w:t xml:space="preserve">. </w:t>
      </w:r>
      <w:r w:rsidRPr="007E5185">
        <w:rPr>
          <w:lang w:val="en-US"/>
        </w:rPr>
        <w:t xml:space="preserve">The time horizons followed by downgrades would intuitively increase the volatility in the market and henceforth aggravate the sentiment of the investor. </w:t>
      </w:r>
    </w:p>
    <w:p w:rsidR="00286919" w:rsidRDefault="00286919" w:rsidP="009F0DE0">
      <w:pPr>
        <w:spacing w:line="360" w:lineRule="auto"/>
        <w:jc w:val="both"/>
        <w:rPr>
          <w:lang w:val="en-US"/>
        </w:rPr>
      </w:pPr>
    </w:p>
    <w:p w:rsidR="00286919" w:rsidRDefault="00F57ECE" w:rsidP="009F0DE0">
      <w:pPr>
        <w:spacing w:line="360" w:lineRule="auto"/>
        <w:jc w:val="both"/>
        <w:rPr>
          <w:lang w:val="en-US"/>
        </w:rPr>
      </w:pPr>
      <w:r w:rsidRPr="007E5185">
        <w:rPr>
          <w:lang w:val="en-US"/>
        </w:rPr>
        <w:t>However, only little of the MM spread is explained by the</w:t>
      </w:r>
      <w:r w:rsidR="00286919">
        <w:rPr>
          <w:lang w:val="en-US"/>
        </w:rPr>
        <w:t xml:space="preserve"> VIX. In table 4</w:t>
      </w:r>
      <w:r w:rsidRPr="007E5185">
        <w:rPr>
          <w:lang w:val="en-US"/>
        </w:rPr>
        <w:t xml:space="preserve">, we observe that the coefficients are significant, and hence the VIX and dummy variable have additional explaining power on the MM spread. </w:t>
      </w:r>
      <w:r w:rsidR="00FF6248" w:rsidRPr="007E5185">
        <w:rPr>
          <w:lang w:val="en-US"/>
        </w:rPr>
        <w:t xml:space="preserve">Both the </w:t>
      </w:r>
      <w:r w:rsidRPr="007E5185">
        <w:rPr>
          <w:lang w:val="en-US"/>
        </w:rPr>
        <w:t>VIX</w:t>
      </w:r>
      <w:r w:rsidR="00FF6248" w:rsidRPr="007E5185">
        <w:rPr>
          <w:lang w:val="en-US"/>
        </w:rPr>
        <w:t xml:space="preserve"> coefficient and the dummy variable have a significant p-value; therefore, this did not occur</w:t>
      </w:r>
      <w:r w:rsidR="00286919">
        <w:rPr>
          <w:lang w:val="en-US"/>
        </w:rPr>
        <w:t xml:space="preserve"> by chance (see appendix table 4</w:t>
      </w:r>
      <w:r w:rsidR="00FF6248" w:rsidRPr="007E5185">
        <w:rPr>
          <w:lang w:val="en-US"/>
        </w:rPr>
        <w:t>)</w:t>
      </w:r>
      <w:r w:rsidR="00901365" w:rsidRPr="007E5185">
        <w:rPr>
          <w:lang w:val="en-US"/>
        </w:rPr>
        <w:t xml:space="preserve">. </w:t>
      </w:r>
      <w:r w:rsidR="00286919">
        <w:rPr>
          <w:lang w:val="en-US"/>
        </w:rPr>
        <w:t>The estimated dummy coefficient henceforth measures and indicates the influence of the VIX in the event periods on the MM spread.</w:t>
      </w:r>
    </w:p>
    <w:p w:rsidR="00286919" w:rsidRDefault="00286919" w:rsidP="009F0DE0">
      <w:pPr>
        <w:spacing w:line="360" w:lineRule="auto"/>
        <w:jc w:val="both"/>
        <w:rPr>
          <w:lang w:val="en-US"/>
        </w:rPr>
      </w:pPr>
    </w:p>
    <w:p w:rsidR="000F588D" w:rsidRPr="007E5185" w:rsidRDefault="0097287F" w:rsidP="009F0DE0">
      <w:pPr>
        <w:spacing w:line="360" w:lineRule="auto"/>
        <w:jc w:val="both"/>
        <w:rPr>
          <w:lang w:val="en-US"/>
        </w:rPr>
      </w:pPr>
      <w:r w:rsidRPr="007E5185">
        <w:rPr>
          <w:lang w:val="en-US"/>
        </w:rPr>
        <w:t xml:space="preserve">The statistics of our results allow us to conclude that the </w:t>
      </w:r>
      <w:r w:rsidR="007E5185" w:rsidRPr="007E5185">
        <w:rPr>
          <w:lang w:val="en-US"/>
        </w:rPr>
        <w:t>VIX</w:t>
      </w:r>
      <w:r w:rsidRPr="007E5185">
        <w:rPr>
          <w:lang w:val="en-US"/>
        </w:rPr>
        <w:t xml:space="preserve"> has explaining power on the </w:t>
      </w:r>
      <w:r w:rsidR="007E5185" w:rsidRPr="007E5185">
        <w:rPr>
          <w:lang w:val="en-US"/>
        </w:rPr>
        <w:t>MM spread</w:t>
      </w:r>
      <w:r w:rsidRPr="007E5185">
        <w:rPr>
          <w:lang w:val="en-US"/>
        </w:rPr>
        <w:t xml:space="preserve">. </w:t>
      </w:r>
      <w:r w:rsidR="007E5185" w:rsidRPr="007E5185">
        <w:rPr>
          <w:lang w:val="en-US"/>
        </w:rPr>
        <w:t xml:space="preserve">Moreover, the dummy variable coefficient is significant; implicating that the VIX of the surveys followed by downgrades does have significant additional </w:t>
      </w:r>
      <w:r w:rsidR="007E5185" w:rsidRPr="007E5185">
        <w:rPr>
          <w:lang w:val="en-US"/>
        </w:rPr>
        <w:lastRenderedPageBreak/>
        <w:t xml:space="preserve">explaining power on the MM spread. A </w:t>
      </w:r>
      <w:r w:rsidR="00901365" w:rsidRPr="007E5185">
        <w:rPr>
          <w:lang w:val="en-US"/>
        </w:rPr>
        <w:t xml:space="preserve">side note </w:t>
      </w:r>
      <w:r w:rsidR="007E5185" w:rsidRPr="007E5185">
        <w:rPr>
          <w:lang w:val="en-US"/>
        </w:rPr>
        <w:t xml:space="preserve">must be made </w:t>
      </w:r>
      <w:r w:rsidR="00901365" w:rsidRPr="007E5185">
        <w:rPr>
          <w:lang w:val="en-US"/>
        </w:rPr>
        <w:t xml:space="preserve">that the adjusted R-square is </w:t>
      </w:r>
      <w:r w:rsidRPr="007E5185">
        <w:rPr>
          <w:lang w:val="en-US"/>
        </w:rPr>
        <w:t>quite</w:t>
      </w:r>
      <w:r w:rsidR="007E5185" w:rsidRPr="007E5185">
        <w:rPr>
          <w:lang w:val="en-US"/>
        </w:rPr>
        <w:t xml:space="preserve"> low, implicating that the conclusions from this regression are weak.</w:t>
      </w:r>
    </w:p>
    <w:p w:rsidR="00D86148" w:rsidRPr="007E5185" w:rsidRDefault="00D86148" w:rsidP="009F0DE0">
      <w:pPr>
        <w:spacing w:line="360" w:lineRule="auto"/>
        <w:jc w:val="both"/>
        <w:rPr>
          <w:lang w:val="en-US"/>
        </w:rPr>
      </w:pPr>
      <w:r w:rsidRPr="007E5185">
        <w:rPr>
          <w:lang w:val="en-US"/>
        </w:rPr>
        <w:br w:type="page"/>
      </w:r>
    </w:p>
    <w:p w:rsidR="00013DA3" w:rsidRDefault="00013DA3" w:rsidP="001C01AE">
      <w:pPr>
        <w:pStyle w:val="Heading1"/>
        <w:jc w:val="both"/>
        <w:rPr>
          <w:lang w:val="en-US"/>
        </w:rPr>
      </w:pPr>
      <w:bookmarkStart w:id="18" w:name="_Toc204880078"/>
      <w:r>
        <w:rPr>
          <w:lang w:val="en-US"/>
        </w:rPr>
        <w:lastRenderedPageBreak/>
        <w:t>5. Discussion</w:t>
      </w:r>
      <w:r w:rsidR="00286919">
        <w:rPr>
          <w:lang w:val="en-US"/>
        </w:rPr>
        <w:t xml:space="preserve"> and Conclusions</w:t>
      </w:r>
      <w:bookmarkEnd w:id="18"/>
    </w:p>
    <w:p w:rsidR="001109B3" w:rsidRDefault="001109B3" w:rsidP="001109B3">
      <w:pPr>
        <w:widowControl w:val="0"/>
        <w:autoSpaceDE w:val="0"/>
        <w:autoSpaceDN w:val="0"/>
        <w:adjustRightInd w:val="0"/>
        <w:rPr>
          <w:rFonts w:eastAsiaTheme="minorEastAsia" w:cs="Times New Roman"/>
          <w:sz w:val="22"/>
          <w:szCs w:val="22"/>
          <w:lang w:val="en-US" w:eastAsia="en-US" w:bidi="ar-SA"/>
        </w:rPr>
      </w:pPr>
    </w:p>
    <w:p w:rsidR="00655A8A" w:rsidRDefault="006E4C34" w:rsidP="00986B23">
      <w:pPr>
        <w:spacing w:line="360" w:lineRule="auto"/>
        <w:jc w:val="both"/>
        <w:rPr>
          <w:rFonts w:eastAsiaTheme="minorEastAsia"/>
          <w:lang w:val="en-US" w:eastAsia="en-US" w:bidi="ar-SA"/>
        </w:rPr>
      </w:pPr>
      <w:r>
        <w:rPr>
          <w:rFonts w:eastAsiaTheme="minorEastAsia"/>
          <w:lang w:val="en-US" w:eastAsia="en-US" w:bidi="ar-SA"/>
        </w:rPr>
        <w:t xml:space="preserve">In our research we have shown a relationship between CRA announcements and the pre-specified proxies for investor sentiment. </w:t>
      </w:r>
      <w:r w:rsidR="00D56826">
        <w:rPr>
          <w:rFonts w:eastAsiaTheme="minorEastAsia"/>
          <w:lang w:val="en-US" w:eastAsia="en-US" w:bidi="ar-SA"/>
        </w:rPr>
        <w:t>After</w:t>
      </w:r>
      <w:r w:rsidR="00986B23">
        <w:rPr>
          <w:rFonts w:eastAsiaTheme="minorEastAsia"/>
          <w:lang w:val="en-US" w:eastAsia="en-US" w:bidi="ar-SA"/>
        </w:rPr>
        <w:t xml:space="preserve"> increased CRA announcements on </w:t>
      </w:r>
      <w:r w:rsidR="00D56826">
        <w:rPr>
          <w:rFonts w:eastAsiaTheme="minorEastAsia"/>
          <w:lang w:val="en-US" w:eastAsia="en-US" w:bidi="ar-SA"/>
        </w:rPr>
        <w:t>the outlook and downgrades of</w:t>
      </w:r>
      <w:r w:rsidR="00986B23">
        <w:rPr>
          <w:rFonts w:eastAsiaTheme="minorEastAsia"/>
          <w:lang w:val="en-US" w:eastAsia="en-US" w:bidi="ar-SA"/>
        </w:rPr>
        <w:t xml:space="preserve"> sovereign </w:t>
      </w:r>
      <w:r w:rsidR="00D56826">
        <w:rPr>
          <w:rFonts w:eastAsiaTheme="minorEastAsia"/>
          <w:lang w:val="en-US" w:eastAsia="en-US" w:bidi="ar-SA"/>
        </w:rPr>
        <w:t>credit ratings, the</w:t>
      </w:r>
      <w:r w:rsidR="00986B23">
        <w:rPr>
          <w:rFonts w:eastAsiaTheme="minorEastAsia"/>
          <w:lang w:val="en-US" w:eastAsia="en-US" w:bidi="ar-SA"/>
        </w:rPr>
        <w:t xml:space="preserve"> proxies tend to increase and hence investor sentiment aggravates. The proxies tend to behave accordingly, both MM spread and cross sectional dispersion display a similar trend after periods of increased and decreased CRA announcements. </w:t>
      </w:r>
      <w:r w:rsidR="00655A8A">
        <w:rPr>
          <w:rFonts w:eastAsiaTheme="minorEastAsia"/>
          <w:lang w:val="en-US" w:eastAsia="en-US" w:bidi="ar-SA"/>
        </w:rPr>
        <w:t>The other proxies, skewness and kurtosis, show a similar change upon changes in the outlooks.</w:t>
      </w:r>
    </w:p>
    <w:p w:rsidR="00655A8A" w:rsidRDefault="00655A8A" w:rsidP="00986B23">
      <w:pPr>
        <w:spacing w:line="360" w:lineRule="auto"/>
        <w:jc w:val="both"/>
        <w:rPr>
          <w:rFonts w:eastAsiaTheme="minorEastAsia"/>
          <w:lang w:val="en-US" w:eastAsia="en-US" w:bidi="ar-SA"/>
        </w:rPr>
      </w:pPr>
    </w:p>
    <w:p w:rsidR="00081AD0" w:rsidRDefault="00986B23" w:rsidP="00986B23">
      <w:pPr>
        <w:spacing w:line="360" w:lineRule="auto"/>
        <w:jc w:val="both"/>
        <w:rPr>
          <w:rFonts w:eastAsiaTheme="minorEastAsia"/>
          <w:lang w:val="en-US" w:eastAsia="en-US" w:bidi="ar-SA"/>
        </w:rPr>
      </w:pPr>
      <w:r>
        <w:rPr>
          <w:rFonts w:eastAsiaTheme="minorEastAsia"/>
          <w:lang w:val="en-US" w:eastAsia="en-US" w:bidi="ar-SA"/>
        </w:rPr>
        <w:t xml:space="preserve">However, we cannot derive whether the CRAs are the only explaining factor behind this sentiment change. </w:t>
      </w:r>
      <w:r w:rsidR="00081AD0">
        <w:rPr>
          <w:rFonts w:eastAsiaTheme="minorEastAsia"/>
          <w:lang w:val="en-US" w:eastAsia="en-US" w:bidi="ar-SA"/>
        </w:rPr>
        <w:t xml:space="preserve">We acknowledge that there are many explaining variables that aggravate investor sentiment, a behavioral phenomena which is </w:t>
      </w:r>
      <w:r w:rsidR="00655A8A">
        <w:rPr>
          <w:rFonts w:eastAsiaTheme="minorEastAsia"/>
          <w:lang w:val="en-US" w:eastAsia="en-US" w:bidi="ar-SA"/>
        </w:rPr>
        <w:t xml:space="preserve">difficult </w:t>
      </w:r>
      <w:r w:rsidR="00081AD0">
        <w:rPr>
          <w:rFonts w:eastAsiaTheme="minorEastAsia"/>
          <w:lang w:val="en-US" w:eastAsia="en-US" w:bidi="ar-SA"/>
        </w:rPr>
        <w:t xml:space="preserve">to model. </w:t>
      </w:r>
    </w:p>
    <w:p w:rsidR="00D56826" w:rsidRDefault="00081AD0" w:rsidP="00986B23">
      <w:pPr>
        <w:spacing w:line="360" w:lineRule="auto"/>
        <w:jc w:val="both"/>
        <w:rPr>
          <w:rFonts w:eastAsiaTheme="minorEastAsia"/>
          <w:lang w:val="en-US" w:eastAsia="en-US" w:bidi="ar-SA"/>
        </w:rPr>
      </w:pPr>
      <w:r>
        <w:rPr>
          <w:rFonts w:eastAsiaTheme="minorEastAsia"/>
          <w:lang w:val="en-US" w:eastAsia="en-US" w:bidi="ar-SA"/>
        </w:rPr>
        <w:t>We do observe that this influence of CRA announcements</w:t>
      </w:r>
      <w:r w:rsidR="00986B23">
        <w:rPr>
          <w:rFonts w:eastAsiaTheme="minorEastAsia"/>
          <w:lang w:val="en-US" w:eastAsia="en-US" w:bidi="ar-SA"/>
        </w:rPr>
        <w:t xml:space="preserve"> </w:t>
      </w:r>
      <w:r>
        <w:rPr>
          <w:rFonts w:eastAsiaTheme="minorEastAsia"/>
          <w:lang w:val="en-US" w:eastAsia="en-US" w:bidi="ar-SA"/>
        </w:rPr>
        <w:t>decreases towards the end of our</w:t>
      </w:r>
      <w:r w:rsidR="00986B23">
        <w:rPr>
          <w:rFonts w:eastAsiaTheme="minorEastAsia"/>
          <w:lang w:val="en-US" w:eastAsia="en-US" w:bidi="ar-SA"/>
        </w:rPr>
        <w:t xml:space="preserve"> research period. This c</w:t>
      </w:r>
      <w:r w:rsidR="00655A8A">
        <w:rPr>
          <w:rFonts w:eastAsiaTheme="minorEastAsia"/>
          <w:lang w:val="en-US" w:eastAsia="en-US" w:bidi="ar-SA"/>
        </w:rPr>
        <w:t>an</w:t>
      </w:r>
      <w:r w:rsidR="00986B23">
        <w:rPr>
          <w:rFonts w:eastAsiaTheme="minorEastAsia"/>
          <w:lang w:val="en-US" w:eastAsia="en-US" w:bidi="ar-SA"/>
        </w:rPr>
        <w:t xml:space="preserve"> be in line with the criticism</w:t>
      </w:r>
      <w:r w:rsidR="00655A8A">
        <w:rPr>
          <w:rFonts w:eastAsiaTheme="minorEastAsia"/>
          <w:lang w:val="en-US" w:eastAsia="en-US" w:bidi="ar-SA"/>
        </w:rPr>
        <w:t>s</w:t>
      </w:r>
      <w:r w:rsidR="00986B23">
        <w:rPr>
          <w:rFonts w:eastAsiaTheme="minorEastAsia"/>
          <w:lang w:val="en-US" w:eastAsia="en-US" w:bidi="ar-SA"/>
        </w:rPr>
        <w:t xml:space="preserve"> </w:t>
      </w:r>
      <w:r w:rsidR="00655A8A">
        <w:rPr>
          <w:rFonts w:eastAsiaTheme="minorEastAsia"/>
          <w:lang w:val="en-US" w:eastAsia="en-US" w:bidi="ar-SA"/>
        </w:rPr>
        <w:t>of</w:t>
      </w:r>
      <w:r w:rsidR="00986B23">
        <w:rPr>
          <w:rFonts w:eastAsiaTheme="minorEastAsia"/>
          <w:lang w:val="en-US" w:eastAsia="en-US" w:bidi="ar-SA"/>
        </w:rPr>
        <w:t xml:space="preserve"> experts</w:t>
      </w:r>
      <w:r w:rsidR="00655A8A">
        <w:rPr>
          <w:rFonts w:eastAsiaTheme="minorEastAsia"/>
          <w:lang w:val="en-US" w:eastAsia="en-US" w:bidi="ar-SA"/>
        </w:rPr>
        <w:t xml:space="preserve"> in the market</w:t>
      </w:r>
      <w:r w:rsidR="00986B23">
        <w:rPr>
          <w:rFonts w:eastAsiaTheme="minorEastAsia"/>
          <w:lang w:val="en-US" w:eastAsia="en-US" w:bidi="ar-SA"/>
        </w:rPr>
        <w:t>. The economic exper</w:t>
      </w:r>
      <w:r>
        <w:rPr>
          <w:rFonts w:eastAsiaTheme="minorEastAsia"/>
          <w:lang w:val="en-US" w:eastAsia="en-US" w:bidi="ar-SA"/>
        </w:rPr>
        <w:t>ts criticize the CRAs to</w:t>
      </w:r>
      <w:r w:rsidR="00986B23">
        <w:rPr>
          <w:rFonts w:eastAsiaTheme="minorEastAsia"/>
          <w:lang w:val="en-US" w:eastAsia="en-US" w:bidi="ar-SA"/>
        </w:rPr>
        <w:t xml:space="preserve"> </w:t>
      </w:r>
      <w:r w:rsidR="00655A8A">
        <w:rPr>
          <w:rFonts w:eastAsiaTheme="minorEastAsia"/>
          <w:lang w:val="en-US" w:eastAsia="en-US" w:bidi="ar-SA"/>
        </w:rPr>
        <w:t xml:space="preserve">be </w:t>
      </w:r>
      <w:r w:rsidR="00986B23">
        <w:rPr>
          <w:rFonts w:eastAsiaTheme="minorEastAsia"/>
          <w:lang w:val="en-US" w:eastAsia="en-US" w:bidi="ar-SA"/>
        </w:rPr>
        <w:t>politically</w:t>
      </w:r>
      <w:r>
        <w:rPr>
          <w:rFonts w:eastAsiaTheme="minorEastAsia"/>
          <w:lang w:val="en-US" w:eastAsia="en-US" w:bidi="ar-SA"/>
        </w:rPr>
        <w:t xml:space="preserve"> focused</w:t>
      </w:r>
      <w:r w:rsidR="00986B23">
        <w:rPr>
          <w:rFonts w:eastAsiaTheme="minorEastAsia"/>
          <w:lang w:val="en-US" w:eastAsia="en-US" w:bidi="ar-SA"/>
        </w:rPr>
        <w:t xml:space="preserve">. CRAs are believed to take the political stability </w:t>
      </w:r>
      <w:r w:rsidR="003B18D1">
        <w:rPr>
          <w:rFonts w:eastAsiaTheme="minorEastAsia"/>
          <w:lang w:val="en-US" w:eastAsia="en-US" w:bidi="ar-SA"/>
        </w:rPr>
        <w:t xml:space="preserve">more heavily </w:t>
      </w:r>
      <w:r w:rsidR="00986B23">
        <w:rPr>
          <w:rFonts w:eastAsiaTheme="minorEastAsia"/>
          <w:lang w:val="en-US" w:eastAsia="en-US" w:bidi="ar-SA"/>
        </w:rPr>
        <w:t xml:space="preserve">into account than the </w:t>
      </w:r>
      <w:r w:rsidR="00D56826">
        <w:rPr>
          <w:rFonts w:eastAsiaTheme="minorEastAsia"/>
          <w:lang w:val="en-US" w:eastAsia="en-US" w:bidi="ar-SA"/>
        </w:rPr>
        <w:t xml:space="preserve">underlying </w:t>
      </w:r>
      <w:r w:rsidR="00986B23">
        <w:rPr>
          <w:rFonts w:eastAsiaTheme="minorEastAsia"/>
          <w:lang w:val="en-US" w:eastAsia="en-US" w:bidi="ar-SA"/>
        </w:rPr>
        <w:t xml:space="preserve">fundamentals. </w:t>
      </w:r>
      <w:r w:rsidR="00437645">
        <w:rPr>
          <w:rFonts w:eastAsiaTheme="minorEastAsia"/>
          <w:lang w:val="en-US" w:eastAsia="en-US" w:bidi="ar-SA"/>
        </w:rPr>
        <w:t xml:space="preserve"> </w:t>
      </w:r>
    </w:p>
    <w:p w:rsidR="007935F5" w:rsidRDefault="007935F5" w:rsidP="007935F5">
      <w:pPr>
        <w:spacing w:line="360" w:lineRule="auto"/>
        <w:jc w:val="both"/>
        <w:rPr>
          <w:rFonts w:eastAsiaTheme="minorEastAsia"/>
          <w:lang w:val="en-US" w:eastAsia="en-US" w:bidi="ar-SA"/>
        </w:rPr>
      </w:pPr>
    </w:p>
    <w:p w:rsidR="007935F5" w:rsidRPr="00A77A7B" w:rsidRDefault="00081AD0" w:rsidP="007935F5">
      <w:pPr>
        <w:widowControl w:val="0"/>
        <w:autoSpaceDE w:val="0"/>
        <w:autoSpaceDN w:val="0"/>
        <w:adjustRightInd w:val="0"/>
        <w:spacing w:line="360" w:lineRule="auto"/>
        <w:jc w:val="both"/>
        <w:rPr>
          <w:lang w:val="en-US"/>
        </w:rPr>
      </w:pPr>
      <w:r>
        <w:rPr>
          <w:lang w:val="en-US"/>
        </w:rPr>
        <w:t>We and other studies have reviewed t</w:t>
      </w:r>
      <w:r w:rsidR="00655A8A">
        <w:rPr>
          <w:lang w:val="en-US"/>
        </w:rPr>
        <w:t>he CRAs impact on the market. S</w:t>
      </w:r>
      <w:r>
        <w:rPr>
          <w:lang w:val="en-US"/>
        </w:rPr>
        <w:t>uggestions have been made that</w:t>
      </w:r>
      <w:r w:rsidR="007935F5" w:rsidRPr="00A77A7B">
        <w:rPr>
          <w:lang w:val="en-US"/>
        </w:rPr>
        <w:t xml:space="preserve"> CRAs </w:t>
      </w:r>
      <w:r w:rsidR="00655A8A">
        <w:rPr>
          <w:lang w:val="en-US"/>
        </w:rPr>
        <w:t>should be</w:t>
      </w:r>
      <w:r>
        <w:rPr>
          <w:lang w:val="en-US"/>
        </w:rPr>
        <w:t xml:space="preserve"> </w:t>
      </w:r>
      <w:r w:rsidR="007935F5" w:rsidRPr="00A77A7B">
        <w:rPr>
          <w:lang w:val="en-US"/>
        </w:rPr>
        <w:t>liable for the incorrect intent</w:t>
      </w:r>
      <w:r w:rsidR="00655A8A">
        <w:rPr>
          <w:lang w:val="en-US"/>
        </w:rPr>
        <w:t xml:space="preserve"> that they publish</w:t>
      </w:r>
      <w:r w:rsidR="007935F5" w:rsidRPr="00A77A7B">
        <w:rPr>
          <w:lang w:val="en-US"/>
        </w:rPr>
        <w:t>. Especially in the sovereign cases, improved public disclosures can lead to reducing the importance of the CRAs as gatekeeper. Many government accounts are not clearly specified, hence standardized, which leads to unreliable risk disclosures by CRAs as can be seen in the Greek case. A coherent international movement for a better robust financial system and the generalization of accrual accounting by governments will allow CRAs better perform the risk assessment</w:t>
      </w:r>
      <w:r w:rsidR="007935F5">
        <w:rPr>
          <w:lang w:val="en-US"/>
        </w:rPr>
        <w:t xml:space="preserve"> which is in line with the observations by Veron (2011)</w:t>
      </w:r>
      <w:r w:rsidR="007935F5" w:rsidRPr="00A77A7B">
        <w:rPr>
          <w:lang w:val="en-US"/>
        </w:rPr>
        <w:t xml:space="preserve">.  </w:t>
      </w:r>
      <w:r>
        <w:rPr>
          <w:lang w:val="en-US"/>
        </w:rPr>
        <w:t xml:space="preserve">Hence, the impact of these ratings will aggravate the sentiment of the market less and the cycles of volatility in investor sentiment in our research might become less apparent. </w:t>
      </w:r>
    </w:p>
    <w:p w:rsidR="00D56826" w:rsidRDefault="00D56826" w:rsidP="00986B23">
      <w:pPr>
        <w:spacing w:line="360" w:lineRule="auto"/>
        <w:jc w:val="both"/>
        <w:rPr>
          <w:rFonts w:eastAsiaTheme="minorEastAsia"/>
          <w:lang w:val="en-US" w:eastAsia="en-US" w:bidi="ar-SA"/>
        </w:rPr>
      </w:pPr>
    </w:p>
    <w:p w:rsidR="00081AD0" w:rsidRDefault="00081AD0" w:rsidP="00081AD0">
      <w:pPr>
        <w:spacing w:line="360" w:lineRule="auto"/>
        <w:jc w:val="both"/>
        <w:rPr>
          <w:rFonts w:eastAsiaTheme="minorEastAsia"/>
          <w:lang w:val="en-US" w:eastAsia="en-US" w:bidi="ar-SA"/>
        </w:rPr>
      </w:pPr>
      <w:r>
        <w:rPr>
          <w:rFonts w:eastAsiaTheme="minorEastAsia"/>
          <w:lang w:val="en-US" w:eastAsia="en-US" w:bidi="ar-SA"/>
        </w:rPr>
        <w:t xml:space="preserve">Over time, the political stability of Greece, Italy and Spain have improved and the importance of the EU master plan </w:t>
      </w:r>
      <w:r w:rsidR="00655A8A">
        <w:rPr>
          <w:rFonts w:eastAsiaTheme="minorEastAsia"/>
          <w:lang w:val="en-US" w:eastAsia="en-US" w:bidi="ar-SA"/>
        </w:rPr>
        <w:t>might have</w:t>
      </w:r>
      <w:r>
        <w:rPr>
          <w:rFonts w:eastAsiaTheme="minorEastAsia"/>
          <w:lang w:val="en-US" w:eastAsia="en-US" w:bidi="ar-SA"/>
        </w:rPr>
        <w:t xml:space="preserve"> gotten more focus by the market </w:t>
      </w:r>
      <w:r>
        <w:rPr>
          <w:rFonts w:eastAsiaTheme="minorEastAsia"/>
          <w:lang w:val="en-US" w:eastAsia="en-US" w:bidi="ar-SA"/>
        </w:rPr>
        <w:lastRenderedPageBreak/>
        <w:t xml:space="preserve">participants. </w:t>
      </w:r>
      <w:r w:rsidR="00655A8A">
        <w:rPr>
          <w:rFonts w:eastAsiaTheme="minorEastAsia"/>
          <w:lang w:val="en-US" w:eastAsia="en-US" w:bidi="ar-SA"/>
        </w:rPr>
        <w:t>Therefore</w:t>
      </w:r>
      <w:r>
        <w:rPr>
          <w:rFonts w:eastAsiaTheme="minorEastAsia"/>
          <w:lang w:val="en-US" w:eastAsia="en-US" w:bidi="ar-SA"/>
        </w:rPr>
        <w:t>, the weight given to CRA announcements</w:t>
      </w:r>
      <w:r w:rsidR="00655A8A">
        <w:rPr>
          <w:rFonts w:eastAsiaTheme="minorEastAsia"/>
          <w:lang w:val="en-US" w:eastAsia="en-US" w:bidi="ar-SA"/>
        </w:rPr>
        <w:t xml:space="preserve"> by the investors might be reduced and hence the </w:t>
      </w:r>
      <w:r w:rsidR="0085772E">
        <w:rPr>
          <w:rFonts w:eastAsiaTheme="minorEastAsia"/>
          <w:lang w:val="en-US" w:eastAsia="en-US" w:bidi="ar-SA"/>
        </w:rPr>
        <w:t>investor sentiment</w:t>
      </w:r>
      <w:r w:rsidR="00655A8A">
        <w:rPr>
          <w:rFonts w:eastAsiaTheme="minorEastAsia"/>
          <w:lang w:val="en-US" w:eastAsia="en-US" w:bidi="ar-SA"/>
        </w:rPr>
        <w:t xml:space="preserve"> might be less driven by these announcements</w:t>
      </w:r>
      <w:r w:rsidR="0085772E">
        <w:rPr>
          <w:rFonts w:eastAsiaTheme="minorEastAsia"/>
          <w:lang w:val="en-US" w:eastAsia="en-US" w:bidi="ar-SA"/>
        </w:rPr>
        <w:t xml:space="preserve">. Due to increased criticism on CRA methodology, the investors might have learned from the misjudgments of the agencies. </w:t>
      </w:r>
    </w:p>
    <w:p w:rsidR="00E626AD" w:rsidRDefault="00E626AD" w:rsidP="00081AD0">
      <w:pPr>
        <w:spacing w:line="360" w:lineRule="auto"/>
        <w:jc w:val="both"/>
        <w:rPr>
          <w:rFonts w:eastAsiaTheme="minorEastAsia"/>
          <w:lang w:val="en-US" w:eastAsia="en-US" w:bidi="ar-SA"/>
        </w:rPr>
      </w:pPr>
    </w:p>
    <w:p w:rsidR="00F62803" w:rsidRDefault="00F62803" w:rsidP="00081AD0">
      <w:pPr>
        <w:spacing w:line="360" w:lineRule="auto"/>
        <w:jc w:val="both"/>
        <w:rPr>
          <w:rFonts w:eastAsiaTheme="minorEastAsia"/>
          <w:lang w:val="en-US" w:eastAsia="en-US" w:bidi="ar-SA"/>
        </w:rPr>
      </w:pPr>
      <w:r>
        <w:rPr>
          <w:rFonts w:eastAsiaTheme="minorEastAsia"/>
          <w:lang w:val="en-US" w:eastAsia="en-US" w:bidi="ar-SA"/>
        </w:rPr>
        <w:t>Our event study results show significant changes in the MM spread in comparison to the pre and ex ante CRA activity. These results have been unprecedented in other literature and hence indicate that there is prove of change in the sentiment of investors. Future research should be done on more direct proxies of investor sentiment. We acknowledge that the sentiment is derivative from the surveys, which were held once every two weeks. Once the frequency is improved, the proof of this aggravation in investor sentiment by CRA activity can better be proven.</w:t>
      </w:r>
    </w:p>
    <w:p w:rsidR="00F62803" w:rsidRDefault="00F62803" w:rsidP="00081AD0">
      <w:pPr>
        <w:spacing w:line="360" w:lineRule="auto"/>
        <w:jc w:val="both"/>
        <w:rPr>
          <w:rFonts w:eastAsiaTheme="minorEastAsia"/>
          <w:lang w:val="en-US" w:eastAsia="en-US" w:bidi="ar-SA"/>
        </w:rPr>
      </w:pPr>
    </w:p>
    <w:p w:rsidR="00F62803" w:rsidRDefault="00F62803" w:rsidP="00081AD0">
      <w:pPr>
        <w:spacing w:line="360" w:lineRule="auto"/>
        <w:jc w:val="both"/>
        <w:rPr>
          <w:rFonts w:eastAsiaTheme="minorEastAsia"/>
          <w:lang w:val="en-US" w:eastAsia="en-US" w:bidi="ar-SA"/>
        </w:rPr>
      </w:pPr>
      <w:r>
        <w:rPr>
          <w:rFonts w:eastAsiaTheme="minorEastAsia"/>
          <w:lang w:val="en-US" w:eastAsia="en-US" w:bidi="ar-SA"/>
        </w:rPr>
        <w:t xml:space="preserve">Moreover, future research should test the anticipation of the investors on the CRA announcements. The dataset we have used to test our hypothesis did not allow us to investigate the anticipation and learning effect of the individual investors. However, we acknowledge that these effects should have credible impact on the sentiment of investors in case of reactions on CRA activity. A study on the constant or decreasing gain of learning by investors should enhance the credibility of our results and hence the aggravation of CRAs on investor sentiment. </w:t>
      </w:r>
    </w:p>
    <w:p w:rsidR="00E2249F" w:rsidRDefault="00E2249F" w:rsidP="00986B23">
      <w:pPr>
        <w:widowControl w:val="0"/>
        <w:autoSpaceDE w:val="0"/>
        <w:autoSpaceDN w:val="0"/>
        <w:adjustRightInd w:val="0"/>
        <w:spacing w:line="360" w:lineRule="auto"/>
        <w:jc w:val="both"/>
        <w:rPr>
          <w:lang w:val="en-US"/>
        </w:rPr>
      </w:pPr>
    </w:p>
    <w:p w:rsidR="00013DA3" w:rsidRPr="0043792C" w:rsidRDefault="00013DA3" w:rsidP="0043792C">
      <w:pPr>
        <w:widowControl w:val="0"/>
        <w:autoSpaceDE w:val="0"/>
        <w:autoSpaceDN w:val="0"/>
        <w:adjustRightInd w:val="0"/>
        <w:spacing w:line="360" w:lineRule="auto"/>
        <w:jc w:val="both"/>
        <w:rPr>
          <w:lang w:val="en-US"/>
        </w:rPr>
      </w:pPr>
      <w:r>
        <w:rPr>
          <w:lang w:val="en-US"/>
        </w:rPr>
        <w:br w:type="page"/>
      </w:r>
    </w:p>
    <w:p w:rsidR="00C71B66" w:rsidRDefault="00194275" w:rsidP="00C71B66">
      <w:pPr>
        <w:pStyle w:val="Heading1"/>
        <w:jc w:val="both"/>
        <w:rPr>
          <w:lang w:val="en-US"/>
        </w:rPr>
      </w:pPr>
      <w:bookmarkStart w:id="19" w:name="_Toc204880079"/>
      <w:r>
        <w:rPr>
          <w:lang w:val="en-US"/>
        </w:rPr>
        <w:lastRenderedPageBreak/>
        <w:t>Appendix</w:t>
      </w:r>
      <w:bookmarkEnd w:id="19"/>
    </w:p>
    <w:p w:rsidR="00C71B66" w:rsidRPr="002B0F77" w:rsidRDefault="002B0F77" w:rsidP="002B0F77">
      <w:pPr>
        <w:pStyle w:val="Heading4"/>
        <w:rPr>
          <w:lang w:val="en-US"/>
        </w:rPr>
      </w:pPr>
      <w:r>
        <w:rPr>
          <w:noProof/>
          <w:lang w:val="en-US" w:eastAsia="en-US" w:bidi="ar-SA"/>
        </w:rPr>
        <w:drawing>
          <wp:anchor distT="0" distB="0" distL="114300" distR="114300" simplePos="0" relativeHeight="251658240" behindDoc="0" locked="0" layoutInCell="1" allowOverlap="1">
            <wp:simplePos x="0" y="0"/>
            <wp:positionH relativeFrom="column">
              <wp:posOffset>-1091565</wp:posOffset>
            </wp:positionH>
            <wp:positionV relativeFrom="paragraph">
              <wp:posOffset>1574800</wp:posOffset>
            </wp:positionV>
            <wp:extent cx="7569835" cy="5356225"/>
            <wp:effectExtent l="0" t="10795"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6200000">
                      <a:off x="0" y="0"/>
                      <a:ext cx="7569835" cy="5356225"/>
                    </a:xfrm>
                    <a:prstGeom prst="rect">
                      <a:avLst/>
                    </a:prstGeom>
                    <a:noFill/>
                    <a:ln>
                      <a:noFill/>
                    </a:ln>
                  </pic:spPr>
                </pic:pic>
              </a:graphicData>
            </a:graphic>
          </wp:anchor>
        </w:drawing>
      </w:r>
      <w:r w:rsidR="00C71B66">
        <w:rPr>
          <w:lang w:val="en-US"/>
        </w:rPr>
        <w:t>T</w:t>
      </w:r>
      <w:r>
        <w:rPr>
          <w:lang w:val="en-US"/>
        </w:rPr>
        <w:t>able 1. Descriptive statistics s</w:t>
      </w:r>
      <w:r w:rsidR="00C71B66">
        <w:rPr>
          <w:lang w:val="en-US"/>
        </w:rPr>
        <w:t>urvey data</w:t>
      </w:r>
      <w:r>
        <w:rPr>
          <w:lang w:val="en-US"/>
        </w:rPr>
        <w:t xml:space="preserve"> 1 – 57</w:t>
      </w:r>
    </w:p>
    <w:p w:rsidR="00C71B66" w:rsidRPr="00C71B66" w:rsidRDefault="002B0F77" w:rsidP="00C71B66">
      <w:r w:rsidRPr="002B0F77">
        <w:t xml:space="preserve"> </w:t>
      </w:r>
      <w:r w:rsidR="00C71B66">
        <w:br w:type="page"/>
      </w:r>
    </w:p>
    <w:p w:rsidR="00C366E8" w:rsidRDefault="00C366E8" w:rsidP="005941C8">
      <w:pPr>
        <w:pStyle w:val="Heading4"/>
        <w:rPr>
          <w:lang w:val="en-US"/>
        </w:rPr>
      </w:pPr>
      <w:r>
        <w:rPr>
          <w:lang w:val="en-US"/>
        </w:rPr>
        <w:lastRenderedPageBreak/>
        <w:t>Table 1.1. Grading scale Fitch, S&amp;P and Moody’s</w:t>
      </w:r>
      <w:r>
        <w:rPr>
          <w:noProof/>
          <w:lang w:val="en-US" w:eastAsia="en-US" w:bidi="ar-SA"/>
        </w:rPr>
        <w:drawing>
          <wp:inline distT="0" distB="0" distL="0" distR="0">
            <wp:extent cx="5270500" cy="242983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2429830"/>
                    </a:xfrm>
                    <a:prstGeom prst="rect">
                      <a:avLst/>
                    </a:prstGeom>
                    <a:noFill/>
                    <a:ln>
                      <a:noFill/>
                    </a:ln>
                  </pic:spPr>
                </pic:pic>
              </a:graphicData>
            </a:graphic>
          </wp:inline>
        </w:drawing>
      </w:r>
    </w:p>
    <w:p w:rsidR="005941C8" w:rsidRDefault="005941C8" w:rsidP="005941C8">
      <w:pPr>
        <w:pStyle w:val="Heading4"/>
        <w:rPr>
          <w:lang w:val="en-US"/>
        </w:rPr>
      </w:pPr>
      <w:r>
        <w:rPr>
          <w:lang w:val="en-US"/>
        </w:rPr>
        <w:t xml:space="preserve">Table </w:t>
      </w:r>
      <w:r w:rsidR="00D30EE5">
        <w:rPr>
          <w:lang w:val="en-US"/>
        </w:rPr>
        <w:t>2.1</w:t>
      </w:r>
      <w:r>
        <w:rPr>
          <w:lang w:val="en-US"/>
        </w:rPr>
        <w:t xml:space="preserve">. Survey 6-13 – Unprecedented </w:t>
      </w:r>
      <w:proofErr w:type="gramStart"/>
      <w:r>
        <w:rPr>
          <w:lang w:val="en-US"/>
        </w:rPr>
        <w:t>P(</w:t>
      </w:r>
      <w:proofErr w:type="gramEnd"/>
      <w:r>
        <w:rPr>
          <w:lang w:val="en-US"/>
        </w:rPr>
        <w:t>II)GS downgrades</w:t>
      </w:r>
    </w:p>
    <w:p w:rsidR="005941C8" w:rsidRDefault="005941C8" w:rsidP="005941C8">
      <w:pPr>
        <w:jc w:val="both"/>
        <w:rPr>
          <w:lang w:val="en-US"/>
        </w:rPr>
      </w:pPr>
      <w:r>
        <w:rPr>
          <w:noProof/>
          <w:lang w:val="en-US" w:eastAsia="en-US" w:bidi="ar-SA"/>
        </w:rPr>
        <w:drawing>
          <wp:inline distT="0" distB="0" distL="0" distR="0">
            <wp:extent cx="5270500" cy="1832904"/>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1832904"/>
                    </a:xfrm>
                    <a:prstGeom prst="rect">
                      <a:avLst/>
                    </a:prstGeom>
                    <a:noFill/>
                    <a:ln>
                      <a:noFill/>
                    </a:ln>
                  </pic:spPr>
                </pic:pic>
              </a:graphicData>
            </a:graphic>
          </wp:inline>
        </w:drawing>
      </w:r>
    </w:p>
    <w:p w:rsidR="005941C8" w:rsidRPr="00627B8F" w:rsidRDefault="005941C8" w:rsidP="005941C8">
      <w:pPr>
        <w:pStyle w:val="Heading4"/>
        <w:rPr>
          <w:lang w:val="en-US"/>
        </w:rPr>
      </w:pPr>
      <w:r>
        <w:rPr>
          <w:lang w:val="en-US"/>
        </w:rPr>
        <w:t>Table 2</w:t>
      </w:r>
      <w:r w:rsidR="00D30EE5">
        <w:rPr>
          <w:lang w:val="en-US"/>
        </w:rPr>
        <w:t>.2</w:t>
      </w:r>
      <w:r>
        <w:rPr>
          <w:lang w:val="en-US"/>
        </w:rPr>
        <w:t>. Survey 21 – 23. No grade changes – UK positive outlook change</w:t>
      </w:r>
    </w:p>
    <w:p w:rsidR="005941C8" w:rsidRDefault="005941C8" w:rsidP="005941C8">
      <w:r>
        <w:rPr>
          <w:noProof/>
          <w:lang w:val="en-US" w:eastAsia="en-US" w:bidi="ar-SA"/>
        </w:rPr>
        <w:drawing>
          <wp:inline distT="0" distB="0" distL="0" distR="0">
            <wp:extent cx="1714500" cy="572770"/>
            <wp:effectExtent l="0" t="0" r="12700" b="1143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6571" cy="573462"/>
                    </a:xfrm>
                    <a:prstGeom prst="rect">
                      <a:avLst/>
                    </a:prstGeom>
                    <a:noFill/>
                    <a:ln>
                      <a:noFill/>
                    </a:ln>
                  </pic:spPr>
                </pic:pic>
              </a:graphicData>
            </a:graphic>
          </wp:inline>
        </w:drawing>
      </w:r>
    </w:p>
    <w:p w:rsidR="005941C8" w:rsidRPr="00627B8F" w:rsidRDefault="005941C8" w:rsidP="005941C8"/>
    <w:p w:rsidR="005941C8" w:rsidRDefault="00D30EE5" w:rsidP="005941C8">
      <w:pPr>
        <w:pStyle w:val="Heading4"/>
      </w:pPr>
      <w:r>
        <w:t>Table 2.3</w:t>
      </w:r>
      <w:r w:rsidR="005941C8">
        <w:t>. Survey 24 – 26. Downgrades Greece, Ireland, Portugal and Spain</w:t>
      </w:r>
    </w:p>
    <w:p w:rsidR="005941C8" w:rsidRDefault="005941C8" w:rsidP="005941C8">
      <w:r>
        <w:rPr>
          <w:noProof/>
          <w:lang w:val="en-US" w:eastAsia="en-US" w:bidi="ar-SA"/>
        </w:rPr>
        <w:drawing>
          <wp:inline distT="0" distB="0" distL="0" distR="0">
            <wp:extent cx="5270500" cy="635929"/>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635929"/>
                    </a:xfrm>
                    <a:prstGeom prst="rect">
                      <a:avLst/>
                    </a:prstGeom>
                    <a:noFill/>
                    <a:ln>
                      <a:noFill/>
                    </a:ln>
                  </pic:spPr>
                </pic:pic>
              </a:graphicData>
            </a:graphic>
          </wp:inline>
        </w:drawing>
      </w:r>
    </w:p>
    <w:p w:rsidR="005941C8" w:rsidRDefault="00D30EE5" w:rsidP="005941C8">
      <w:pPr>
        <w:pStyle w:val="Heading4"/>
      </w:pPr>
      <w:r>
        <w:t>Table 2.4</w:t>
      </w:r>
      <w:r w:rsidR="005941C8">
        <w:t>. Survey 41 – 46. Near default Greece, Downgrade Italy, Spain and USA</w:t>
      </w:r>
    </w:p>
    <w:p w:rsidR="005941C8" w:rsidRDefault="005941C8" w:rsidP="005941C8">
      <w:r>
        <w:rPr>
          <w:noProof/>
          <w:lang w:val="en-US" w:eastAsia="en-US" w:bidi="ar-SA"/>
        </w:rPr>
        <w:drawing>
          <wp:inline distT="0" distB="0" distL="0" distR="0">
            <wp:extent cx="5270500" cy="1099248"/>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1099248"/>
                    </a:xfrm>
                    <a:prstGeom prst="rect">
                      <a:avLst/>
                    </a:prstGeom>
                    <a:noFill/>
                    <a:ln>
                      <a:noFill/>
                    </a:ln>
                  </pic:spPr>
                </pic:pic>
              </a:graphicData>
            </a:graphic>
          </wp:inline>
        </w:drawing>
      </w:r>
    </w:p>
    <w:p w:rsidR="005941C8" w:rsidRDefault="005941C8" w:rsidP="005941C8"/>
    <w:p w:rsidR="005941C8" w:rsidRDefault="005941C8" w:rsidP="005941C8">
      <w:pPr>
        <w:pStyle w:val="Heading4"/>
      </w:pPr>
      <w:r>
        <w:lastRenderedPageBreak/>
        <w:t xml:space="preserve">Table </w:t>
      </w:r>
      <w:r w:rsidR="00D30EE5">
        <w:t>2.</w:t>
      </w:r>
      <w:r>
        <w:t>5. Survey 48 – 49. Downgrade Belgium &amp; Portugal, Neg. outlook France &amp; US</w:t>
      </w:r>
    </w:p>
    <w:p w:rsidR="005941C8" w:rsidRDefault="005941C8" w:rsidP="005941C8">
      <w:r>
        <w:rPr>
          <w:noProof/>
          <w:lang w:val="en-US" w:eastAsia="en-US" w:bidi="ar-SA"/>
        </w:rPr>
        <w:drawing>
          <wp:inline distT="0" distB="0" distL="0" distR="0">
            <wp:extent cx="5270500" cy="792334"/>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792334"/>
                    </a:xfrm>
                    <a:prstGeom prst="rect">
                      <a:avLst/>
                    </a:prstGeom>
                    <a:noFill/>
                    <a:ln>
                      <a:noFill/>
                    </a:ln>
                  </pic:spPr>
                </pic:pic>
              </a:graphicData>
            </a:graphic>
          </wp:inline>
        </w:drawing>
      </w:r>
    </w:p>
    <w:p w:rsidR="005941C8" w:rsidRDefault="005941C8" w:rsidP="005941C8"/>
    <w:p w:rsidR="00F410D6" w:rsidRPr="006671D0" w:rsidRDefault="003B4ACF" w:rsidP="006671D0">
      <w:pPr>
        <w:pStyle w:val="Heading4"/>
      </w:pPr>
      <w:r>
        <w:t xml:space="preserve">Table 3. </w:t>
      </w:r>
      <w:r w:rsidR="00574AFD">
        <w:t>ANOVA tests on CRA events</w:t>
      </w:r>
    </w:p>
    <w:p w:rsidR="003B4ACF" w:rsidRDefault="00C57E66" w:rsidP="001C01AE">
      <w:pPr>
        <w:jc w:val="both"/>
        <w:rPr>
          <w:lang w:val="en-US"/>
        </w:rPr>
      </w:pPr>
      <w:r>
        <w:rPr>
          <w:noProof/>
          <w:lang w:val="en-US" w:eastAsia="en-US" w:bidi="ar-SA"/>
        </w:rPr>
        <w:drawing>
          <wp:inline distT="0" distB="0" distL="0" distR="0">
            <wp:extent cx="5270500" cy="2171256"/>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2171256"/>
                    </a:xfrm>
                    <a:prstGeom prst="rect">
                      <a:avLst/>
                    </a:prstGeom>
                    <a:noFill/>
                    <a:ln>
                      <a:noFill/>
                    </a:ln>
                  </pic:spPr>
                </pic:pic>
              </a:graphicData>
            </a:graphic>
          </wp:inline>
        </w:drawing>
      </w:r>
      <w:r>
        <w:rPr>
          <w:noProof/>
          <w:lang w:val="en-US" w:eastAsia="en-US" w:bidi="ar-SA"/>
        </w:rPr>
        <w:drawing>
          <wp:inline distT="0" distB="0" distL="0" distR="0">
            <wp:extent cx="5270500" cy="2379458"/>
            <wp:effectExtent l="0" t="0" r="0" b="8255"/>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2379458"/>
                    </a:xfrm>
                    <a:prstGeom prst="rect">
                      <a:avLst/>
                    </a:prstGeom>
                    <a:noFill/>
                    <a:ln>
                      <a:noFill/>
                    </a:ln>
                  </pic:spPr>
                </pic:pic>
              </a:graphicData>
            </a:graphic>
          </wp:inline>
        </w:drawing>
      </w:r>
      <w:r w:rsidR="00F410D6" w:rsidRPr="00F410D6">
        <w:rPr>
          <w:lang w:val="en-US"/>
        </w:rPr>
        <w:t xml:space="preserve"> </w:t>
      </w:r>
      <w:r>
        <w:rPr>
          <w:noProof/>
          <w:lang w:val="en-US" w:eastAsia="en-US" w:bidi="ar-SA"/>
        </w:rPr>
        <w:lastRenderedPageBreak/>
        <w:drawing>
          <wp:inline distT="0" distB="0" distL="0" distR="0">
            <wp:extent cx="5270500" cy="1921413"/>
            <wp:effectExtent l="0" t="0" r="0" b="9525"/>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1921413"/>
                    </a:xfrm>
                    <a:prstGeom prst="rect">
                      <a:avLst/>
                    </a:prstGeom>
                    <a:noFill/>
                    <a:ln>
                      <a:noFill/>
                    </a:ln>
                  </pic:spPr>
                </pic:pic>
              </a:graphicData>
            </a:graphic>
          </wp:inline>
        </w:drawing>
      </w:r>
      <w:r w:rsidR="00F410D6" w:rsidRPr="00F410D6">
        <w:rPr>
          <w:lang w:val="en-US"/>
        </w:rPr>
        <w:t xml:space="preserve"> </w:t>
      </w:r>
      <w:r>
        <w:rPr>
          <w:noProof/>
          <w:lang w:val="en-US" w:eastAsia="en-US" w:bidi="ar-SA"/>
        </w:rPr>
        <w:drawing>
          <wp:inline distT="0" distB="0" distL="0" distR="0">
            <wp:extent cx="5270500" cy="2367561"/>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2367561"/>
                    </a:xfrm>
                    <a:prstGeom prst="rect">
                      <a:avLst/>
                    </a:prstGeom>
                    <a:noFill/>
                    <a:ln>
                      <a:noFill/>
                    </a:ln>
                  </pic:spPr>
                </pic:pic>
              </a:graphicData>
            </a:graphic>
          </wp:inline>
        </w:drawing>
      </w:r>
    </w:p>
    <w:p w:rsidR="00C57E66" w:rsidRDefault="00C57E66" w:rsidP="001C01AE">
      <w:pPr>
        <w:jc w:val="both"/>
        <w:rPr>
          <w:lang w:val="en-US"/>
        </w:rPr>
      </w:pPr>
      <w:r>
        <w:rPr>
          <w:noProof/>
          <w:lang w:val="en-US" w:eastAsia="en-US" w:bidi="ar-SA"/>
        </w:rPr>
        <w:drawing>
          <wp:inline distT="0" distB="0" distL="0" distR="0">
            <wp:extent cx="5270500" cy="2141512"/>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2141512"/>
                    </a:xfrm>
                    <a:prstGeom prst="rect">
                      <a:avLst/>
                    </a:prstGeom>
                    <a:noFill/>
                    <a:ln>
                      <a:noFill/>
                    </a:ln>
                  </pic:spPr>
                </pic:pic>
              </a:graphicData>
            </a:graphic>
          </wp:inline>
        </w:drawing>
      </w:r>
    </w:p>
    <w:p w:rsidR="00C57E66" w:rsidRDefault="00C57E66" w:rsidP="001C01AE">
      <w:pPr>
        <w:jc w:val="both"/>
        <w:rPr>
          <w:lang w:val="en-US"/>
        </w:rPr>
      </w:pPr>
      <w:r>
        <w:rPr>
          <w:noProof/>
          <w:lang w:val="en-US" w:eastAsia="en-US" w:bidi="ar-SA"/>
        </w:rPr>
        <w:lastRenderedPageBreak/>
        <w:drawing>
          <wp:inline distT="0" distB="0" distL="0" distR="0">
            <wp:extent cx="5270500" cy="2266434"/>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2266434"/>
                    </a:xfrm>
                    <a:prstGeom prst="rect">
                      <a:avLst/>
                    </a:prstGeom>
                    <a:noFill/>
                    <a:ln>
                      <a:noFill/>
                    </a:ln>
                  </pic:spPr>
                </pic:pic>
              </a:graphicData>
            </a:graphic>
          </wp:inline>
        </w:drawing>
      </w:r>
    </w:p>
    <w:p w:rsidR="00C57E66" w:rsidRDefault="00C57E66" w:rsidP="001C01AE">
      <w:pPr>
        <w:jc w:val="both"/>
        <w:rPr>
          <w:lang w:val="en-US"/>
        </w:rPr>
      </w:pPr>
      <w:r>
        <w:rPr>
          <w:noProof/>
          <w:lang w:val="en-US" w:eastAsia="en-US" w:bidi="ar-SA"/>
        </w:rPr>
        <w:drawing>
          <wp:inline distT="0" distB="0" distL="0" distR="0">
            <wp:extent cx="5270500" cy="2266434"/>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2266434"/>
                    </a:xfrm>
                    <a:prstGeom prst="rect">
                      <a:avLst/>
                    </a:prstGeom>
                    <a:noFill/>
                    <a:ln>
                      <a:noFill/>
                    </a:ln>
                  </pic:spPr>
                </pic:pic>
              </a:graphicData>
            </a:graphic>
          </wp:inline>
        </w:drawing>
      </w:r>
    </w:p>
    <w:p w:rsidR="00C57E66" w:rsidRDefault="00C57E66" w:rsidP="001C01AE">
      <w:pPr>
        <w:jc w:val="both"/>
        <w:rPr>
          <w:lang w:val="en-US"/>
        </w:rPr>
      </w:pPr>
      <w:r>
        <w:rPr>
          <w:noProof/>
          <w:lang w:val="en-US" w:eastAsia="en-US" w:bidi="ar-SA"/>
        </w:rPr>
        <w:drawing>
          <wp:inline distT="0" distB="0" distL="0" distR="0">
            <wp:extent cx="5270500" cy="1960103"/>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1960103"/>
                    </a:xfrm>
                    <a:prstGeom prst="rect">
                      <a:avLst/>
                    </a:prstGeom>
                    <a:noFill/>
                    <a:ln>
                      <a:noFill/>
                    </a:ln>
                  </pic:spPr>
                </pic:pic>
              </a:graphicData>
            </a:graphic>
          </wp:inline>
        </w:drawing>
      </w:r>
    </w:p>
    <w:p w:rsidR="003B4ACF" w:rsidRDefault="006671D0" w:rsidP="001C01AE">
      <w:pPr>
        <w:jc w:val="both"/>
        <w:rPr>
          <w:lang w:val="en-US"/>
        </w:rPr>
      </w:pPr>
      <w:r>
        <w:rPr>
          <w:noProof/>
          <w:lang w:val="en-US" w:eastAsia="en-US" w:bidi="ar-SA"/>
        </w:rPr>
        <w:lastRenderedPageBreak/>
        <w:drawing>
          <wp:inline distT="0" distB="0" distL="0" distR="0">
            <wp:extent cx="5270500" cy="2325920"/>
            <wp:effectExtent l="0" t="0" r="0" b="1143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2325920"/>
                    </a:xfrm>
                    <a:prstGeom prst="rect">
                      <a:avLst/>
                    </a:prstGeom>
                    <a:noFill/>
                    <a:ln>
                      <a:noFill/>
                    </a:ln>
                  </pic:spPr>
                </pic:pic>
              </a:graphicData>
            </a:graphic>
          </wp:inline>
        </w:drawing>
      </w:r>
    </w:p>
    <w:p w:rsidR="003B4ACF" w:rsidRDefault="003B4ACF" w:rsidP="001C01AE">
      <w:pPr>
        <w:jc w:val="both"/>
        <w:rPr>
          <w:lang w:val="en-US"/>
        </w:rPr>
      </w:pPr>
    </w:p>
    <w:p w:rsidR="003B4ACF" w:rsidRDefault="003B4ACF" w:rsidP="001C01AE">
      <w:pPr>
        <w:jc w:val="both"/>
        <w:rPr>
          <w:lang w:val="en-US"/>
        </w:rPr>
      </w:pPr>
    </w:p>
    <w:p w:rsidR="009F0DE0" w:rsidRPr="006671D0" w:rsidRDefault="00F410D6" w:rsidP="006671D0">
      <w:pPr>
        <w:pStyle w:val="Heading4"/>
        <w:rPr>
          <w:color w:val="345A8A" w:themeColor="accent1" w:themeShade="B5"/>
          <w:sz w:val="32"/>
          <w:szCs w:val="32"/>
          <w:lang w:val="en-US"/>
        </w:rPr>
      </w:pPr>
      <w:r w:rsidRPr="00F410D6">
        <w:rPr>
          <w:lang w:val="en-US"/>
        </w:rPr>
        <w:t xml:space="preserve"> </w:t>
      </w:r>
      <w:r w:rsidR="009F0DE0">
        <w:t xml:space="preserve">Table 4. Linear regression </w:t>
      </w:r>
      <w:r w:rsidR="00595684">
        <w:t>VIX on the MM spread</w:t>
      </w:r>
      <w:r w:rsidR="009F0DE0">
        <w:t xml:space="preserve"> with dummy variable</w:t>
      </w:r>
    </w:p>
    <w:p w:rsidR="00595684" w:rsidRPr="00595684" w:rsidRDefault="00595684" w:rsidP="00595684"/>
    <w:p w:rsidR="00595684" w:rsidRPr="00595684" w:rsidRDefault="00595684" w:rsidP="00595684">
      <w:pPr>
        <w:rPr>
          <w:rFonts w:eastAsiaTheme="majorEastAsia"/>
        </w:rPr>
      </w:pPr>
      <w:r>
        <w:rPr>
          <w:rFonts w:eastAsiaTheme="majorEastAsia"/>
          <w:noProof/>
          <w:lang w:val="en-US" w:eastAsia="en-US" w:bidi="ar-SA"/>
        </w:rPr>
        <w:drawing>
          <wp:inline distT="0" distB="0" distL="0" distR="0">
            <wp:extent cx="5270500" cy="2515301"/>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2515301"/>
                    </a:xfrm>
                    <a:prstGeom prst="rect">
                      <a:avLst/>
                    </a:prstGeom>
                    <a:noFill/>
                    <a:ln>
                      <a:noFill/>
                    </a:ln>
                  </pic:spPr>
                </pic:pic>
              </a:graphicData>
            </a:graphic>
          </wp:inline>
        </w:drawing>
      </w:r>
    </w:p>
    <w:p w:rsidR="003B4ACF" w:rsidRDefault="003655C9" w:rsidP="003B4ACF">
      <w:pPr>
        <w:rPr>
          <w:rFonts w:asciiTheme="majorHAnsi" w:eastAsiaTheme="majorEastAsia" w:hAnsiTheme="majorHAnsi" w:cstheme="majorBidi"/>
          <w:b/>
          <w:bCs/>
          <w:color w:val="345A8A" w:themeColor="accent1" w:themeShade="B5"/>
          <w:sz w:val="32"/>
          <w:szCs w:val="32"/>
          <w:lang w:val="en-US"/>
        </w:rPr>
      </w:pPr>
      <w:r w:rsidRPr="003655C9">
        <w:rPr>
          <w:rFonts w:asciiTheme="majorHAnsi" w:eastAsiaTheme="majorEastAsia" w:hAnsiTheme="majorHAnsi" w:cstheme="majorBidi"/>
          <w:b/>
          <w:bCs/>
          <w:color w:val="345A8A" w:themeColor="accent1" w:themeShade="B5"/>
          <w:sz w:val="32"/>
          <w:szCs w:val="32"/>
          <w:lang w:val="en-US"/>
        </w:rPr>
        <w:t xml:space="preserve"> </w:t>
      </w:r>
      <w:r w:rsidR="003B4ACF">
        <w:rPr>
          <w:rFonts w:asciiTheme="majorHAnsi" w:eastAsiaTheme="majorEastAsia" w:hAnsiTheme="majorHAnsi" w:cstheme="majorBidi"/>
          <w:b/>
          <w:bCs/>
          <w:color w:val="345A8A" w:themeColor="accent1" w:themeShade="B5"/>
          <w:sz w:val="32"/>
          <w:szCs w:val="32"/>
          <w:lang w:val="en-US"/>
        </w:rPr>
        <w:br w:type="page"/>
      </w:r>
    </w:p>
    <w:p w:rsidR="00194275" w:rsidRPr="00C553E4" w:rsidRDefault="00194275" w:rsidP="001C01AE">
      <w:pPr>
        <w:pStyle w:val="Heading1"/>
        <w:jc w:val="both"/>
        <w:rPr>
          <w:lang w:val="en-US"/>
        </w:rPr>
      </w:pPr>
      <w:bookmarkStart w:id="20" w:name="_Toc204880080"/>
      <w:r>
        <w:rPr>
          <w:lang w:val="en-US"/>
        </w:rPr>
        <w:lastRenderedPageBreak/>
        <w:t>Bibliography</w:t>
      </w:r>
      <w:bookmarkEnd w:id="20"/>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1. </w:t>
      </w:r>
      <w:proofErr w:type="spellStart"/>
      <w:r>
        <w:rPr>
          <w:rFonts w:ascii="Verdana" w:hAnsi="Verdana"/>
          <w:sz w:val="18"/>
          <w:szCs w:val="18"/>
        </w:rPr>
        <w:t>Afonso</w:t>
      </w:r>
      <w:proofErr w:type="spellEnd"/>
      <w:r>
        <w:rPr>
          <w:rFonts w:ascii="Verdana" w:hAnsi="Verdana"/>
          <w:sz w:val="18"/>
          <w:szCs w:val="18"/>
        </w:rPr>
        <w:t xml:space="preserve"> A. Understanding the determinants of sovereign debt ratings: Evidence for the two leading agencies. </w:t>
      </w:r>
      <w:proofErr w:type="gramStart"/>
      <w:r>
        <w:rPr>
          <w:rFonts w:ascii="Verdana" w:hAnsi="Verdana"/>
          <w:i/>
          <w:iCs/>
          <w:sz w:val="18"/>
          <w:szCs w:val="18"/>
        </w:rPr>
        <w:t>Journal of Economics and Finance</w:t>
      </w:r>
      <w:r>
        <w:rPr>
          <w:rFonts w:ascii="Verdana" w:hAnsi="Verdana"/>
          <w:sz w:val="18"/>
          <w:szCs w:val="18"/>
        </w:rPr>
        <w:t>.</w:t>
      </w:r>
      <w:proofErr w:type="gramEnd"/>
      <w:r>
        <w:rPr>
          <w:rFonts w:ascii="Verdana" w:hAnsi="Verdana"/>
          <w:sz w:val="18"/>
          <w:szCs w:val="18"/>
        </w:rPr>
        <w:t xml:space="preserve"> 2003</w:t>
      </w:r>
      <w:proofErr w:type="gramStart"/>
      <w:r>
        <w:rPr>
          <w:rFonts w:ascii="Verdana" w:hAnsi="Verdana"/>
          <w:sz w:val="18"/>
          <w:szCs w:val="18"/>
        </w:rPr>
        <w:t>;27</w:t>
      </w:r>
      <w:proofErr w:type="gramEnd"/>
      <w:r>
        <w:rPr>
          <w:rFonts w:ascii="Verdana" w:hAnsi="Verdana"/>
          <w:sz w:val="18"/>
          <w:szCs w:val="18"/>
        </w:rPr>
        <w:t xml:space="preserve">(1):56-74.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2. </w:t>
      </w:r>
      <w:proofErr w:type="spellStart"/>
      <w:r>
        <w:rPr>
          <w:rFonts w:ascii="Verdana" w:hAnsi="Verdana"/>
          <w:sz w:val="18"/>
          <w:szCs w:val="18"/>
        </w:rPr>
        <w:t>Afonso</w:t>
      </w:r>
      <w:proofErr w:type="spellEnd"/>
      <w:r>
        <w:rPr>
          <w:rFonts w:ascii="Verdana" w:hAnsi="Verdana"/>
          <w:sz w:val="18"/>
          <w:szCs w:val="18"/>
        </w:rPr>
        <w:t xml:space="preserve"> A, </w:t>
      </w:r>
      <w:proofErr w:type="spellStart"/>
      <w:r>
        <w:rPr>
          <w:rFonts w:ascii="Verdana" w:hAnsi="Verdana"/>
          <w:sz w:val="18"/>
          <w:szCs w:val="18"/>
        </w:rPr>
        <w:t>Furceri</w:t>
      </w:r>
      <w:proofErr w:type="spellEnd"/>
      <w:r>
        <w:rPr>
          <w:rFonts w:ascii="Verdana" w:hAnsi="Verdana"/>
          <w:sz w:val="18"/>
          <w:szCs w:val="18"/>
        </w:rPr>
        <w:t xml:space="preserve"> D, Gomes P. Sovereign credit ratings and financial markets linkages: Application to </w:t>
      </w:r>
      <w:proofErr w:type="spellStart"/>
      <w:r>
        <w:rPr>
          <w:rFonts w:ascii="Verdana" w:hAnsi="Verdana"/>
          <w:sz w:val="18"/>
          <w:szCs w:val="18"/>
        </w:rPr>
        <w:t>european</w:t>
      </w:r>
      <w:proofErr w:type="spellEnd"/>
      <w:r>
        <w:rPr>
          <w:rFonts w:ascii="Verdana" w:hAnsi="Verdana"/>
          <w:sz w:val="18"/>
          <w:szCs w:val="18"/>
        </w:rPr>
        <w:t xml:space="preserve"> data. </w:t>
      </w:r>
      <w:r>
        <w:rPr>
          <w:rFonts w:ascii="Verdana" w:hAnsi="Verdana"/>
          <w:i/>
          <w:iCs/>
          <w:sz w:val="18"/>
          <w:szCs w:val="18"/>
        </w:rPr>
        <w:t xml:space="preserve">J </w:t>
      </w:r>
      <w:proofErr w:type="spellStart"/>
      <w:r>
        <w:rPr>
          <w:rFonts w:ascii="Verdana" w:hAnsi="Verdana"/>
          <w:i/>
          <w:iCs/>
          <w:sz w:val="18"/>
          <w:szCs w:val="18"/>
        </w:rPr>
        <w:t>Int</w:t>
      </w:r>
      <w:proofErr w:type="spellEnd"/>
      <w:r>
        <w:rPr>
          <w:rFonts w:ascii="Verdana" w:hAnsi="Verdana"/>
          <w:i/>
          <w:iCs/>
          <w:sz w:val="18"/>
          <w:szCs w:val="18"/>
        </w:rPr>
        <w:t xml:space="preserve"> Money Finance</w:t>
      </w:r>
      <w:r>
        <w:rPr>
          <w:rFonts w:ascii="Verdana" w:hAnsi="Verdana"/>
          <w:sz w:val="18"/>
          <w:szCs w:val="18"/>
        </w:rPr>
        <w:t>. 2012</w:t>
      </w:r>
      <w:proofErr w:type="gramStart"/>
      <w:r>
        <w:rPr>
          <w:rFonts w:ascii="Verdana" w:hAnsi="Verdana"/>
          <w:sz w:val="18"/>
          <w:szCs w:val="18"/>
        </w:rPr>
        <w:t>;31</w:t>
      </w:r>
      <w:proofErr w:type="gramEnd"/>
      <w:r>
        <w:rPr>
          <w:rFonts w:ascii="Verdana" w:hAnsi="Verdana"/>
          <w:sz w:val="18"/>
          <w:szCs w:val="18"/>
        </w:rPr>
        <w:t xml:space="preserve">(3):606-638.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3. Brooks R, Faff RW, Hillier D, Hillier J. </w:t>
      </w:r>
      <w:proofErr w:type="gramStart"/>
      <w:r>
        <w:rPr>
          <w:rFonts w:ascii="Verdana" w:hAnsi="Verdana"/>
          <w:sz w:val="18"/>
          <w:szCs w:val="18"/>
        </w:rPr>
        <w:t>The national market impact of sovereign rating changes.</w:t>
      </w:r>
      <w:proofErr w:type="gramEnd"/>
      <w:r>
        <w:rPr>
          <w:rFonts w:ascii="Verdana" w:hAnsi="Verdana"/>
          <w:sz w:val="18"/>
          <w:szCs w:val="18"/>
        </w:rPr>
        <w:t xml:space="preserve"> </w:t>
      </w:r>
      <w:proofErr w:type="gramStart"/>
      <w:r>
        <w:rPr>
          <w:rFonts w:ascii="Verdana" w:hAnsi="Verdana"/>
          <w:i/>
          <w:iCs/>
          <w:sz w:val="18"/>
          <w:szCs w:val="18"/>
        </w:rPr>
        <w:t>Journal of banking &amp; finance</w:t>
      </w:r>
      <w:r>
        <w:rPr>
          <w:rFonts w:ascii="Verdana" w:hAnsi="Verdana"/>
          <w:sz w:val="18"/>
          <w:szCs w:val="18"/>
        </w:rPr>
        <w:t>.</w:t>
      </w:r>
      <w:proofErr w:type="gramEnd"/>
      <w:r>
        <w:rPr>
          <w:rFonts w:ascii="Verdana" w:hAnsi="Verdana"/>
          <w:sz w:val="18"/>
          <w:szCs w:val="18"/>
        </w:rPr>
        <w:t xml:space="preserve"> 2004</w:t>
      </w:r>
      <w:proofErr w:type="gramStart"/>
      <w:r>
        <w:rPr>
          <w:rFonts w:ascii="Verdana" w:hAnsi="Verdana"/>
          <w:sz w:val="18"/>
          <w:szCs w:val="18"/>
        </w:rPr>
        <w:t>;28</w:t>
      </w:r>
      <w:proofErr w:type="gramEnd"/>
      <w:r>
        <w:rPr>
          <w:rFonts w:ascii="Verdana" w:hAnsi="Verdana"/>
          <w:sz w:val="18"/>
          <w:szCs w:val="18"/>
        </w:rPr>
        <w:t xml:space="preserve">(1):233-250.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4. Duff A, </w:t>
      </w:r>
      <w:proofErr w:type="spellStart"/>
      <w:r>
        <w:rPr>
          <w:rFonts w:ascii="Verdana" w:hAnsi="Verdana"/>
          <w:sz w:val="18"/>
          <w:szCs w:val="18"/>
        </w:rPr>
        <w:t>Einig</w:t>
      </w:r>
      <w:proofErr w:type="spellEnd"/>
      <w:r>
        <w:rPr>
          <w:rFonts w:ascii="Verdana" w:hAnsi="Verdana"/>
          <w:sz w:val="18"/>
          <w:szCs w:val="18"/>
        </w:rPr>
        <w:t xml:space="preserve"> S. Understanding credit ratings quality: Evidence from UK debt market participants. </w:t>
      </w:r>
      <w:proofErr w:type="gramStart"/>
      <w:r>
        <w:rPr>
          <w:rFonts w:ascii="Verdana" w:hAnsi="Verdana"/>
          <w:i/>
          <w:iCs/>
          <w:sz w:val="18"/>
          <w:szCs w:val="18"/>
        </w:rPr>
        <w:t>The British Accounting Review</w:t>
      </w:r>
      <w:r>
        <w:rPr>
          <w:rFonts w:ascii="Verdana" w:hAnsi="Verdana"/>
          <w:sz w:val="18"/>
          <w:szCs w:val="18"/>
        </w:rPr>
        <w:t>.</w:t>
      </w:r>
      <w:proofErr w:type="gramEnd"/>
      <w:r>
        <w:rPr>
          <w:rFonts w:ascii="Verdana" w:hAnsi="Verdana"/>
          <w:sz w:val="18"/>
          <w:szCs w:val="18"/>
        </w:rPr>
        <w:t xml:space="preserve"> 2009</w:t>
      </w:r>
      <w:proofErr w:type="gramStart"/>
      <w:r>
        <w:rPr>
          <w:rFonts w:ascii="Verdana" w:hAnsi="Verdana"/>
          <w:sz w:val="18"/>
          <w:szCs w:val="18"/>
        </w:rPr>
        <w:t>;41</w:t>
      </w:r>
      <w:proofErr w:type="gramEnd"/>
      <w:r>
        <w:rPr>
          <w:rFonts w:ascii="Verdana" w:hAnsi="Verdana"/>
          <w:sz w:val="18"/>
          <w:szCs w:val="18"/>
        </w:rPr>
        <w:t xml:space="preserve">(2):107-119.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5. Ferreira MA, Gama PM. Does sovereign debt ratings news spill over to international stock markets? </w:t>
      </w:r>
      <w:proofErr w:type="gramStart"/>
      <w:r>
        <w:rPr>
          <w:rFonts w:ascii="Verdana" w:hAnsi="Verdana"/>
          <w:i/>
          <w:iCs/>
          <w:sz w:val="18"/>
          <w:szCs w:val="18"/>
        </w:rPr>
        <w:t>Journal of Banking &amp; Finance</w:t>
      </w:r>
      <w:r>
        <w:rPr>
          <w:rFonts w:ascii="Verdana" w:hAnsi="Verdana"/>
          <w:sz w:val="18"/>
          <w:szCs w:val="18"/>
        </w:rPr>
        <w:t>.</w:t>
      </w:r>
      <w:proofErr w:type="gramEnd"/>
      <w:r>
        <w:rPr>
          <w:rFonts w:ascii="Verdana" w:hAnsi="Verdana"/>
          <w:sz w:val="18"/>
          <w:szCs w:val="18"/>
        </w:rPr>
        <w:t xml:space="preserve"> 2007</w:t>
      </w:r>
      <w:proofErr w:type="gramStart"/>
      <w:r>
        <w:rPr>
          <w:rFonts w:ascii="Verdana" w:hAnsi="Verdana"/>
          <w:sz w:val="18"/>
          <w:szCs w:val="18"/>
        </w:rPr>
        <w:t>;31</w:t>
      </w:r>
      <w:proofErr w:type="gramEnd"/>
      <w:r>
        <w:rPr>
          <w:rFonts w:ascii="Verdana" w:hAnsi="Verdana"/>
          <w:sz w:val="18"/>
          <w:szCs w:val="18"/>
        </w:rPr>
        <w:t xml:space="preserve">(10):3162-3182.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6. Hand JRM, </w:t>
      </w:r>
      <w:proofErr w:type="spellStart"/>
      <w:r>
        <w:rPr>
          <w:rFonts w:ascii="Verdana" w:hAnsi="Verdana"/>
          <w:sz w:val="18"/>
          <w:szCs w:val="18"/>
        </w:rPr>
        <w:t>Holthausen</w:t>
      </w:r>
      <w:proofErr w:type="spellEnd"/>
      <w:r>
        <w:rPr>
          <w:rFonts w:ascii="Verdana" w:hAnsi="Verdana"/>
          <w:sz w:val="18"/>
          <w:szCs w:val="18"/>
        </w:rPr>
        <w:t xml:space="preserve"> RW, </w:t>
      </w:r>
      <w:proofErr w:type="spellStart"/>
      <w:r>
        <w:rPr>
          <w:rFonts w:ascii="Verdana" w:hAnsi="Verdana"/>
          <w:sz w:val="18"/>
          <w:szCs w:val="18"/>
        </w:rPr>
        <w:t>Leftwich</w:t>
      </w:r>
      <w:proofErr w:type="spellEnd"/>
      <w:r>
        <w:rPr>
          <w:rFonts w:ascii="Verdana" w:hAnsi="Verdana"/>
          <w:sz w:val="18"/>
          <w:szCs w:val="18"/>
        </w:rPr>
        <w:t xml:space="preserve"> RW. </w:t>
      </w:r>
      <w:proofErr w:type="gramStart"/>
      <w:r>
        <w:rPr>
          <w:rFonts w:ascii="Verdana" w:hAnsi="Verdana"/>
          <w:sz w:val="18"/>
          <w:szCs w:val="18"/>
        </w:rPr>
        <w:t>The effect of bond rating agency announcements on bond and stock prices.</w:t>
      </w:r>
      <w:proofErr w:type="gramEnd"/>
      <w:r>
        <w:rPr>
          <w:rFonts w:ascii="Verdana" w:hAnsi="Verdana"/>
          <w:sz w:val="18"/>
          <w:szCs w:val="18"/>
        </w:rPr>
        <w:t xml:space="preserve"> </w:t>
      </w:r>
      <w:r>
        <w:rPr>
          <w:rFonts w:ascii="Verdana" w:hAnsi="Verdana"/>
          <w:i/>
          <w:iCs/>
          <w:sz w:val="18"/>
          <w:szCs w:val="18"/>
        </w:rPr>
        <w:t>J Finance</w:t>
      </w:r>
      <w:r>
        <w:rPr>
          <w:rFonts w:ascii="Verdana" w:hAnsi="Verdana"/>
          <w:sz w:val="18"/>
          <w:szCs w:val="18"/>
        </w:rPr>
        <w:t xml:space="preserve">. 1992:733-752.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7. </w:t>
      </w:r>
      <w:proofErr w:type="spellStart"/>
      <w:r>
        <w:rPr>
          <w:rFonts w:ascii="Verdana" w:hAnsi="Verdana"/>
          <w:sz w:val="18"/>
          <w:szCs w:val="18"/>
        </w:rPr>
        <w:t>Kaminsky</w:t>
      </w:r>
      <w:proofErr w:type="spellEnd"/>
      <w:r>
        <w:rPr>
          <w:rFonts w:ascii="Verdana" w:hAnsi="Verdana"/>
          <w:sz w:val="18"/>
          <w:szCs w:val="18"/>
        </w:rPr>
        <w:t xml:space="preserve"> G, </w:t>
      </w:r>
      <w:proofErr w:type="spellStart"/>
      <w:r>
        <w:rPr>
          <w:rFonts w:ascii="Verdana" w:hAnsi="Verdana"/>
          <w:sz w:val="18"/>
          <w:szCs w:val="18"/>
        </w:rPr>
        <w:t>Schmukler</w:t>
      </w:r>
      <w:proofErr w:type="spellEnd"/>
      <w:r>
        <w:rPr>
          <w:rFonts w:ascii="Verdana" w:hAnsi="Verdana"/>
          <w:sz w:val="18"/>
          <w:szCs w:val="18"/>
        </w:rPr>
        <w:t xml:space="preserve"> SL. Emerging market instability: Do sovereign ratings affect country risk and stock returns? </w:t>
      </w:r>
      <w:proofErr w:type="gramStart"/>
      <w:r>
        <w:rPr>
          <w:rFonts w:ascii="Verdana" w:hAnsi="Verdana"/>
          <w:i/>
          <w:iCs/>
          <w:sz w:val="18"/>
          <w:szCs w:val="18"/>
        </w:rPr>
        <w:t>The World Bank Economic Review</w:t>
      </w:r>
      <w:r>
        <w:rPr>
          <w:rFonts w:ascii="Verdana" w:hAnsi="Verdana"/>
          <w:sz w:val="18"/>
          <w:szCs w:val="18"/>
        </w:rPr>
        <w:t>.</w:t>
      </w:r>
      <w:proofErr w:type="gramEnd"/>
      <w:r>
        <w:rPr>
          <w:rFonts w:ascii="Verdana" w:hAnsi="Verdana"/>
          <w:sz w:val="18"/>
          <w:szCs w:val="18"/>
        </w:rPr>
        <w:t xml:space="preserve"> 2002</w:t>
      </w:r>
      <w:proofErr w:type="gramStart"/>
      <w:r>
        <w:rPr>
          <w:rFonts w:ascii="Verdana" w:hAnsi="Verdana"/>
          <w:sz w:val="18"/>
          <w:szCs w:val="18"/>
        </w:rPr>
        <w:t>;16</w:t>
      </w:r>
      <w:proofErr w:type="gramEnd"/>
      <w:r>
        <w:rPr>
          <w:rFonts w:ascii="Verdana" w:hAnsi="Verdana"/>
          <w:sz w:val="18"/>
          <w:szCs w:val="18"/>
        </w:rPr>
        <w:t xml:space="preserve">(2):171-195.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8. Kaplan RS, </w:t>
      </w:r>
      <w:proofErr w:type="spellStart"/>
      <w:r>
        <w:rPr>
          <w:rFonts w:ascii="Verdana" w:hAnsi="Verdana"/>
          <w:sz w:val="18"/>
          <w:szCs w:val="18"/>
        </w:rPr>
        <w:t>Urwitz</w:t>
      </w:r>
      <w:proofErr w:type="spellEnd"/>
      <w:r>
        <w:rPr>
          <w:rFonts w:ascii="Verdana" w:hAnsi="Verdana"/>
          <w:sz w:val="18"/>
          <w:szCs w:val="18"/>
        </w:rPr>
        <w:t xml:space="preserve"> G. Statistical models of bond ratings: A methodological inquiry. </w:t>
      </w:r>
      <w:proofErr w:type="gramStart"/>
      <w:r>
        <w:rPr>
          <w:rFonts w:ascii="Verdana" w:hAnsi="Verdana"/>
          <w:i/>
          <w:iCs/>
          <w:sz w:val="18"/>
          <w:szCs w:val="18"/>
        </w:rPr>
        <w:t>Journal of Business</w:t>
      </w:r>
      <w:r>
        <w:rPr>
          <w:rFonts w:ascii="Verdana" w:hAnsi="Verdana"/>
          <w:sz w:val="18"/>
          <w:szCs w:val="18"/>
        </w:rPr>
        <w:t>.</w:t>
      </w:r>
      <w:proofErr w:type="gramEnd"/>
      <w:r>
        <w:rPr>
          <w:rFonts w:ascii="Verdana" w:hAnsi="Verdana"/>
          <w:sz w:val="18"/>
          <w:szCs w:val="18"/>
        </w:rPr>
        <w:t xml:space="preserve"> 1979:231-261.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9. </w:t>
      </w:r>
      <w:proofErr w:type="spellStart"/>
      <w:r>
        <w:rPr>
          <w:rFonts w:ascii="Verdana" w:hAnsi="Verdana"/>
          <w:sz w:val="18"/>
          <w:szCs w:val="18"/>
        </w:rPr>
        <w:t>Kräussl</w:t>
      </w:r>
      <w:proofErr w:type="spellEnd"/>
      <w:r>
        <w:rPr>
          <w:rFonts w:ascii="Verdana" w:hAnsi="Verdana"/>
          <w:sz w:val="18"/>
          <w:szCs w:val="18"/>
        </w:rPr>
        <w:t xml:space="preserve"> R. Do credit rating agencies add to the dynamics of emerging market crises? </w:t>
      </w:r>
      <w:proofErr w:type="gramStart"/>
      <w:r>
        <w:rPr>
          <w:rFonts w:ascii="Verdana" w:hAnsi="Verdana"/>
          <w:i/>
          <w:iCs/>
          <w:sz w:val="18"/>
          <w:szCs w:val="18"/>
        </w:rPr>
        <w:t>Journal of Financial Stability</w:t>
      </w:r>
      <w:r>
        <w:rPr>
          <w:rFonts w:ascii="Verdana" w:hAnsi="Verdana"/>
          <w:sz w:val="18"/>
          <w:szCs w:val="18"/>
        </w:rPr>
        <w:t>.</w:t>
      </w:r>
      <w:proofErr w:type="gramEnd"/>
      <w:r>
        <w:rPr>
          <w:rFonts w:ascii="Verdana" w:hAnsi="Verdana"/>
          <w:sz w:val="18"/>
          <w:szCs w:val="18"/>
        </w:rPr>
        <w:t xml:space="preserve"> 2005</w:t>
      </w:r>
      <w:proofErr w:type="gramStart"/>
      <w:r>
        <w:rPr>
          <w:rFonts w:ascii="Verdana" w:hAnsi="Verdana"/>
          <w:sz w:val="18"/>
          <w:szCs w:val="18"/>
        </w:rPr>
        <w:t>;1</w:t>
      </w:r>
      <w:proofErr w:type="gramEnd"/>
      <w:r>
        <w:rPr>
          <w:rFonts w:ascii="Verdana" w:hAnsi="Verdana"/>
          <w:sz w:val="18"/>
          <w:szCs w:val="18"/>
        </w:rPr>
        <w:t xml:space="preserve">(3):355-385.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10. Nicholas B, Andrei S, Robert V. </w:t>
      </w:r>
      <w:proofErr w:type="gramStart"/>
      <w:r>
        <w:rPr>
          <w:rFonts w:ascii="Verdana" w:hAnsi="Verdana"/>
          <w:sz w:val="18"/>
          <w:szCs w:val="18"/>
        </w:rPr>
        <w:t>A model of investor sentiment.</w:t>
      </w:r>
      <w:proofErr w:type="gramEnd"/>
      <w:r>
        <w:rPr>
          <w:rFonts w:ascii="Verdana" w:hAnsi="Verdana"/>
          <w:sz w:val="18"/>
          <w:szCs w:val="18"/>
        </w:rPr>
        <w:t xml:space="preserve"> </w:t>
      </w:r>
      <w:r>
        <w:rPr>
          <w:rFonts w:ascii="Verdana" w:hAnsi="Verdana"/>
          <w:i/>
          <w:iCs/>
          <w:sz w:val="18"/>
          <w:szCs w:val="18"/>
        </w:rPr>
        <w:t xml:space="preserve">J </w:t>
      </w:r>
      <w:proofErr w:type="spellStart"/>
      <w:r>
        <w:rPr>
          <w:rFonts w:ascii="Verdana" w:hAnsi="Verdana"/>
          <w:i/>
          <w:iCs/>
          <w:sz w:val="18"/>
          <w:szCs w:val="18"/>
        </w:rPr>
        <w:t>Financ</w:t>
      </w:r>
      <w:proofErr w:type="spellEnd"/>
      <w:r>
        <w:rPr>
          <w:rFonts w:ascii="Verdana" w:hAnsi="Verdana"/>
          <w:i/>
          <w:iCs/>
          <w:sz w:val="18"/>
          <w:szCs w:val="18"/>
        </w:rPr>
        <w:t xml:space="preserve"> Econ</w:t>
      </w:r>
      <w:r>
        <w:rPr>
          <w:rFonts w:ascii="Verdana" w:hAnsi="Verdana"/>
          <w:sz w:val="18"/>
          <w:szCs w:val="18"/>
        </w:rPr>
        <w:t>. 1998</w:t>
      </w:r>
      <w:proofErr w:type="gramStart"/>
      <w:r>
        <w:rPr>
          <w:rFonts w:ascii="Verdana" w:hAnsi="Verdana"/>
          <w:sz w:val="18"/>
          <w:szCs w:val="18"/>
        </w:rPr>
        <w:t>;49</w:t>
      </w:r>
      <w:proofErr w:type="gramEnd"/>
      <w:r>
        <w:rPr>
          <w:rFonts w:ascii="Verdana" w:hAnsi="Verdana"/>
          <w:sz w:val="18"/>
          <w:szCs w:val="18"/>
        </w:rPr>
        <w:t xml:space="preserve">(3):307-343.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11. </w:t>
      </w:r>
      <w:proofErr w:type="spellStart"/>
      <w:r>
        <w:rPr>
          <w:rFonts w:ascii="Verdana" w:hAnsi="Verdana"/>
          <w:sz w:val="18"/>
          <w:szCs w:val="18"/>
        </w:rPr>
        <w:t>Plosser</w:t>
      </w:r>
      <w:proofErr w:type="spellEnd"/>
      <w:r>
        <w:rPr>
          <w:rFonts w:ascii="Verdana" w:hAnsi="Verdana"/>
          <w:sz w:val="18"/>
          <w:szCs w:val="18"/>
        </w:rPr>
        <w:t xml:space="preserve"> CI. </w:t>
      </w:r>
      <w:proofErr w:type="gramStart"/>
      <w:r>
        <w:rPr>
          <w:rFonts w:ascii="Verdana" w:hAnsi="Verdana"/>
          <w:sz w:val="18"/>
          <w:szCs w:val="18"/>
        </w:rPr>
        <w:t>Economic outlook and a perspective on monetary policy.</w:t>
      </w:r>
      <w:proofErr w:type="gramEnd"/>
      <w:r>
        <w:rPr>
          <w:rFonts w:ascii="Verdana" w:hAnsi="Verdana"/>
          <w:sz w:val="18"/>
          <w:szCs w:val="18"/>
        </w:rPr>
        <w:t xml:space="preserve"> </w:t>
      </w:r>
      <w:r>
        <w:rPr>
          <w:rFonts w:ascii="Verdana" w:hAnsi="Verdana"/>
          <w:i/>
          <w:iCs/>
          <w:sz w:val="18"/>
          <w:szCs w:val="18"/>
        </w:rPr>
        <w:t>Monograph</w:t>
      </w:r>
      <w:r>
        <w:rPr>
          <w:rFonts w:ascii="Verdana" w:hAnsi="Verdana"/>
          <w:sz w:val="18"/>
          <w:szCs w:val="18"/>
        </w:rPr>
        <w:t xml:space="preserve">. 2011(October 12). </w:t>
      </w:r>
    </w:p>
    <w:p w:rsidR="00F02498" w:rsidRDefault="00F02498" w:rsidP="00F02498">
      <w:pPr>
        <w:pStyle w:val="NormalWeb"/>
        <w:spacing w:line="480" w:lineRule="auto"/>
        <w:rPr>
          <w:rFonts w:ascii="Verdana" w:hAnsi="Verdana"/>
          <w:sz w:val="18"/>
          <w:szCs w:val="18"/>
        </w:rPr>
      </w:pPr>
      <w:r>
        <w:rPr>
          <w:rFonts w:ascii="Verdana" w:hAnsi="Verdana"/>
          <w:sz w:val="18"/>
          <w:szCs w:val="18"/>
        </w:rPr>
        <w:lastRenderedPageBreak/>
        <w:t xml:space="preserve">12. </w:t>
      </w:r>
      <w:proofErr w:type="spellStart"/>
      <w:r>
        <w:rPr>
          <w:rFonts w:ascii="Verdana" w:hAnsi="Verdana"/>
          <w:sz w:val="18"/>
          <w:szCs w:val="18"/>
        </w:rPr>
        <w:t>Reisen</w:t>
      </w:r>
      <w:proofErr w:type="spellEnd"/>
      <w:r>
        <w:rPr>
          <w:rFonts w:ascii="Verdana" w:hAnsi="Verdana"/>
          <w:sz w:val="18"/>
          <w:szCs w:val="18"/>
        </w:rPr>
        <w:t xml:space="preserve"> H, Von </w:t>
      </w:r>
      <w:proofErr w:type="spellStart"/>
      <w:r>
        <w:rPr>
          <w:rFonts w:ascii="Verdana" w:hAnsi="Verdana"/>
          <w:sz w:val="18"/>
          <w:szCs w:val="18"/>
        </w:rPr>
        <w:t>Maltzan</w:t>
      </w:r>
      <w:proofErr w:type="spellEnd"/>
      <w:r>
        <w:rPr>
          <w:rFonts w:ascii="Verdana" w:hAnsi="Verdana"/>
          <w:sz w:val="18"/>
          <w:szCs w:val="18"/>
        </w:rPr>
        <w:t xml:space="preserve"> J. Sovereign credit ratings, emerging market risk and financial market volatility. </w:t>
      </w:r>
      <w:proofErr w:type="spellStart"/>
      <w:r>
        <w:rPr>
          <w:rFonts w:ascii="Verdana" w:hAnsi="Verdana"/>
          <w:i/>
          <w:iCs/>
          <w:sz w:val="18"/>
          <w:szCs w:val="18"/>
        </w:rPr>
        <w:t>Intereconomics</w:t>
      </w:r>
      <w:proofErr w:type="spellEnd"/>
      <w:r>
        <w:rPr>
          <w:rFonts w:ascii="Verdana" w:hAnsi="Verdana"/>
          <w:sz w:val="18"/>
          <w:szCs w:val="18"/>
        </w:rPr>
        <w:t>. 1998</w:t>
      </w:r>
      <w:proofErr w:type="gramStart"/>
      <w:r>
        <w:rPr>
          <w:rFonts w:ascii="Verdana" w:hAnsi="Verdana"/>
          <w:sz w:val="18"/>
          <w:szCs w:val="18"/>
        </w:rPr>
        <w:t>;33</w:t>
      </w:r>
      <w:proofErr w:type="gramEnd"/>
      <w:r>
        <w:rPr>
          <w:rFonts w:ascii="Verdana" w:hAnsi="Verdana"/>
          <w:sz w:val="18"/>
          <w:szCs w:val="18"/>
        </w:rPr>
        <w:t xml:space="preserve">(2):73-82.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13. </w:t>
      </w:r>
      <w:proofErr w:type="spellStart"/>
      <w:r>
        <w:rPr>
          <w:rFonts w:ascii="Verdana" w:hAnsi="Verdana"/>
          <w:sz w:val="18"/>
          <w:szCs w:val="18"/>
        </w:rPr>
        <w:t>Stambaugh</w:t>
      </w:r>
      <w:proofErr w:type="spellEnd"/>
      <w:r>
        <w:rPr>
          <w:rFonts w:ascii="Verdana" w:hAnsi="Verdana"/>
          <w:sz w:val="18"/>
          <w:szCs w:val="18"/>
        </w:rPr>
        <w:t xml:space="preserve"> RF, Yu J, Yuan Y. The short of it: Investor sentiment and anomalies. </w:t>
      </w:r>
      <w:r w:rsidR="003860A4">
        <w:rPr>
          <w:rFonts w:ascii="Verdana" w:hAnsi="Verdana"/>
          <w:i/>
          <w:iCs/>
          <w:sz w:val="18"/>
          <w:szCs w:val="18"/>
        </w:rPr>
        <w:t xml:space="preserve">J </w:t>
      </w:r>
      <w:proofErr w:type="spellStart"/>
      <w:r>
        <w:rPr>
          <w:rFonts w:ascii="Verdana" w:hAnsi="Verdana"/>
          <w:i/>
          <w:iCs/>
          <w:sz w:val="18"/>
          <w:szCs w:val="18"/>
        </w:rPr>
        <w:t>Financ</w:t>
      </w:r>
      <w:proofErr w:type="spellEnd"/>
      <w:r>
        <w:rPr>
          <w:rFonts w:ascii="Verdana" w:hAnsi="Verdana"/>
          <w:i/>
          <w:iCs/>
          <w:sz w:val="18"/>
          <w:szCs w:val="18"/>
        </w:rPr>
        <w:t xml:space="preserve"> Econ</w:t>
      </w:r>
      <w:r>
        <w:rPr>
          <w:rFonts w:ascii="Verdana" w:hAnsi="Verdana"/>
          <w:sz w:val="18"/>
          <w:szCs w:val="18"/>
        </w:rPr>
        <w:t xml:space="preserve">. 2011.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14. </w:t>
      </w:r>
      <w:proofErr w:type="spellStart"/>
      <w:r>
        <w:rPr>
          <w:rFonts w:ascii="Verdana" w:hAnsi="Verdana"/>
          <w:sz w:val="18"/>
          <w:szCs w:val="18"/>
        </w:rPr>
        <w:t>Tetlock</w:t>
      </w:r>
      <w:proofErr w:type="spellEnd"/>
      <w:r>
        <w:rPr>
          <w:rFonts w:ascii="Verdana" w:hAnsi="Verdana"/>
          <w:sz w:val="18"/>
          <w:szCs w:val="18"/>
        </w:rPr>
        <w:t xml:space="preserve"> PC. Giving content to investor sentiment: The role of media in the stock market. </w:t>
      </w:r>
      <w:proofErr w:type="gramStart"/>
      <w:r>
        <w:rPr>
          <w:rFonts w:ascii="Verdana" w:hAnsi="Verdana"/>
          <w:i/>
          <w:iCs/>
          <w:sz w:val="18"/>
          <w:szCs w:val="18"/>
        </w:rPr>
        <w:t>The Journal of Finance</w:t>
      </w:r>
      <w:r>
        <w:rPr>
          <w:rFonts w:ascii="Verdana" w:hAnsi="Verdana"/>
          <w:sz w:val="18"/>
          <w:szCs w:val="18"/>
        </w:rPr>
        <w:t>.</w:t>
      </w:r>
      <w:proofErr w:type="gramEnd"/>
      <w:r>
        <w:rPr>
          <w:rFonts w:ascii="Verdana" w:hAnsi="Verdana"/>
          <w:sz w:val="18"/>
          <w:szCs w:val="18"/>
        </w:rPr>
        <w:t xml:space="preserve"> 2007</w:t>
      </w:r>
      <w:proofErr w:type="gramStart"/>
      <w:r>
        <w:rPr>
          <w:rFonts w:ascii="Verdana" w:hAnsi="Verdana"/>
          <w:sz w:val="18"/>
          <w:szCs w:val="18"/>
        </w:rPr>
        <w:t>;62</w:t>
      </w:r>
      <w:proofErr w:type="gramEnd"/>
      <w:r>
        <w:rPr>
          <w:rFonts w:ascii="Verdana" w:hAnsi="Verdana"/>
          <w:sz w:val="18"/>
          <w:szCs w:val="18"/>
        </w:rPr>
        <w:t xml:space="preserve">(3):1139-1168. </w:t>
      </w:r>
    </w:p>
    <w:p w:rsidR="00F02498" w:rsidRDefault="00F02498" w:rsidP="00F02498">
      <w:pPr>
        <w:pStyle w:val="NormalWeb"/>
        <w:spacing w:line="480" w:lineRule="auto"/>
        <w:rPr>
          <w:rFonts w:ascii="Verdana" w:hAnsi="Verdana"/>
          <w:sz w:val="18"/>
          <w:szCs w:val="18"/>
        </w:rPr>
      </w:pPr>
      <w:r>
        <w:rPr>
          <w:rFonts w:ascii="Verdana" w:hAnsi="Verdana"/>
          <w:sz w:val="18"/>
          <w:szCs w:val="18"/>
        </w:rPr>
        <w:t xml:space="preserve">15. </w:t>
      </w:r>
      <w:proofErr w:type="spellStart"/>
      <w:r>
        <w:rPr>
          <w:rFonts w:ascii="Verdana" w:hAnsi="Verdana"/>
          <w:sz w:val="18"/>
          <w:szCs w:val="18"/>
        </w:rPr>
        <w:t>Véron</w:t>
      </w:r>
      <w:proofErr w:type="spellEnd"/>
      <w:r>
        <w:rPr>
          <w:rFonts w:ascii="Verdana" w:hAnsi="Verdana"/>
          <w:sz w:val="18"/>
          <w:szCs w:val="18"/>
        </w:rPr>
        <w:t xml:space="preserve"> N. What can and cannot be done about rating agencies. </w:t>
      </w:r>
      <w:r>
        <w:rPr>
          <w:rFonts w:ascii="Verdana" w:hAnsi="Verdana"/>
          <w:i/>
          <w:iCs/>
          <w:sz w:val="18"/>
          <w:szCs w:val="18"/>
        </w:rPr>
        <w:t>Policy Briefs</w:t>
      </w:r>
      <w:r>
        <w:rPr>
          <w:rFonts w:ascii="Verdana" w:hAnsi="Verdana"/>
          <w:sz w:val="18"/>
          <w:szCs w:val="18"/>
        </w:rPr>
        <w:t xml:space="preserve">. 2011. </w:t>
      </w:r>
    </w:p>
    <w:p w:rsidR="00CB3CF0" w:rsidRDefault="00CB3CF0" w:rsidP="00CB3CF0">
      <w:pPr>
        <w:pStyle w:val="NormalWeb"/>
        <w:spacing w:line="480" w:lineRule="auto"/>
        <w:rPr>
          <w:rFonts w:ascii="Verdana" w:hAnsi="Verdana"/>
          <w:sz w:val="18"/>
          <w:szCs w:val="18"/>
        </w:rPr>
      </w:pPr>
      <w:r>
        <w:rPr>
          <w:rFonts w:ascii="Verdana" w:hAnsi="Verdana"/>
          <w:sz w:val="18"/>
          <w:szCs w:val="18"/>
        </w:rPr>
        <w:t xml:space="preserve">16. Wang Q. Sentiment, convergence of opinion, and market crash. 2010. </w:t>
      </w:r>
    </w:p>
    <w:p w:rsidR="00910189" w:rsidRDefault="00910189" w:rsidP="00910189">
      <w:pPr>
        <w:pStyle w:val="NormalWeb"/>
        <w:spacing w:line="480" w:lineRule="auto"/>
        <w:rPr>
          <w:rFonts w:ascii="Verdana" w:hAnsi="Verdana"/>
          <w:sz w:val="18"/>
          <w:szCs w:val="18"/>
        </w:rPr>
      </w:pPr>
      <w:r>
        <w:rPr>
          <w:rFonts w:ascii="Verdana" w:hAnsi="Verdana"/>
          <w:sz w:val="18"/>
          <w:szCs w:val="18"/>
        </w:rPr>
        <w:t xml:space="preserve">17. Healey JF. </w:t>
      </w:r>
      <w:r>
        <w:rPr>
          <w:rFonts w:ascii="Verdana" w:hAnsi="Verdana"/>
          <w:i/>
          <w:iCs/>
          <w:sz w:val="18"/>
          <w:szCs w:val="18"/>
        </w:rPr>
        <w:t xml:space="preserve">Statistics: A tool for social research. </w:t>
      </w:r>
      <w:proofErr w:type="gramStart"/>
      <w:r>
        <w:rPr>
          <w:rFonts w:ascii="Verdana" w:hAnsi="Verdana"/>
          <w:sz w:val="18"/>
          <w:szCs w:val="18"/>
        </w:rPr>
        <w:t>Wadsworth Pub Co; 2011.</w:t>
      </w:r>
      <w:proofErr w:type="gramEnd"/>
      <w:r>
        <w:rPr>
          <w:rFonts w:ascii="Verdana" w:hAnsi="Verdana"/>
          <w:sz w:val="18"/>
          <w:szCs w:val="18"/>
        </w:rPr>
        <w:t xml:space="preserve"> </w:t>
      </w:r>
    </w:p>
    <w:p w:rsidR="00910189" w:rsidRDefault="00910189" w:rsidP="00910189">
      <w:pPr>
        <w:pStyle w:val="NormalWeb"/>
        <w:spacing w:line="480" w:lineRule="auto"/>
        <w:rPr>
          <w:rFonts w:ascii="Verdana" w:hAnsi="Verdana"/>
          <w:sz w:val="18"/>
          <w:szCs w:val="18"/>
        </w:rPr>
      </w:pPr>
      <w:r>
        <w:rPr>
          <w:rFonts w:ascii="Verdana" w:hAnsi="Verdana"/>
          <w:sz w:val="18"/>
          <w:szCs w:val="18"/>
        </w:rPr>
        <w:t xml:space="preserve">18. Taylor SJ, </w:t>
      </w:r>
      <w:proofErr w:type="spellStart"/>
      <w:r>
        <w:rPr>
          <w:rFonts w:ascii="Verdana" w:hAnsi="Verdana"/>
          <w:sz w:val="18"/>
          <w:szCs w:val="18"/>
        </w:rPr>
        <w:t>Yadav</w:t>
      </w:r>
      <w:proofErr w:type="spellEnd"/>
      <w:r>
        <w:rPr>
          <w:rFonts w:ascii="Verdana" w:hAnsi="Verdana"/>
          <w:sz w:val="18"/>
          <w:szCs w:val="18"/>
        </w:rPr>
        <w:t xml:space="preserve"> PK, Zhang Y. Cross-sectional analysis of risk-neutral skewness. </w:t>
      </w:r>
      <w:proofErr w:type="gramStart"/>
      <w:r>
        <w:rPr>
          <w:rFonts w:ascii="Verdana" w:hAnsi="Verdana"/>
          <w:i/>
          <w:iCs/>
          <w:sz w:val="18"/>
          <w:szCs w:val="18"/>
        </w:rPr>
        <w:t>The Journal of Derivatives</w:t>
      </w:r>
      <w:r>
        <w:rPr>
          <w:rFonts w:ascii="Verdana" w:hAnsi="Verdana"/>
          <w:sz w:val="18"/>
          <w:szCs w:val="18"/>
        </w:rPr>
        <w:t>.</w:t>
      </w:r>
      <w:proofErr w:type="gramEnd"/>
      <w:r>
        <w:rPr>
          <w:rFonts w:ascii="Verdana" w:hAnsi="Verdana"/>
          <w:sz w:val="18"/>
          <w:szCs w:val="18"/>
        </w:rPr>
        <w:t xml:space="preserve"> 2009</w:t>
      </w:r>
      <w:proofErr w:type="gramStart"/>
      <w:r>
        <w:rPr>
          <w:rFonts w:ascii="Verdana" w:hAnsi="Verdana"/>
          <w:sz w:val="18"/>
          <w:szCs w:val="18"/>
        </w:rPr>
        <w:t>;16</w:t>
      </w:r>
      <w:proofErr w:type="gramEnd"/>
      <w:r>
        <w:rPr>
          <w:rFonts w:ascii="Verdana" w:hAnsi="Verdana"/>
          <w:sz w:val="18"/>
          <w:szCs w:val="18"/>
        </w:rPr>
        <w:t xml:space="preserve">(4):38-52. </w:t>
      </w:r>
    </w:p>
    <w:p w:rsidR="00645B9E" w:rsidRDefault="00645B9E" w:rsidP="00645B9E">
      <w:pPr>
        <w:pStyle w:val="NormalWeb"/>
        <w:spacing w:line="480" w:lineRule="auto"/>
        <w:rPr>
          <w:rFonts w:ascii="Verdana" w:hAnsi="Verdana"/>
          <w:sz w:val="18"/>
          <w:szCs w:val="18"/>
        </w:rPr>
      </w:pPr>
      <w:r>
        <w:rPr>
          <w:rFonts w:ascii="Verdana" w:hAnsi="Verdana"/>
          <w:sz w:val="18"/>
          <w:szCs w:val="18"/>
        </w:rPr>
        <w:t xml:space="preserve">19. </w:t>
      </w:r>
      <w:proofErr w:type="spellStart"/>
      <w:r>
        <w:rPr>
          <w:rFonts w:ascii="Verdana" w:hAnsi="Verdana"/>
          <w:sz w:val="18"/>
          <w:szCs w:val="18"/>
        </w:rPr>
        <w:t>Takáts</w:t>
      </w:r>
      <w:proofErr w:type="spellEnd"/>
      <w:r>
        <w:rPr>
          <w:rFonts w:ascii="Verdana" w:hAnsi="Verdana"/>
          <w:sz w:val="18"/>
          <w:szCs w:val="18"/>
        </w:rPr>
        <w:t xml:space="preserve"> E. </w:t>
      </w:r>
      <w:proofErr w:type="gramStart"/>
      <w:r>
        <w:rPr>
          <w:rFonts w:ascii="Verdana" w:hAnsi="Verdana"/>
          <w:sz w:val="18"/>
          <w:szCs w:val="18"/>
        </w:rPr>
        <w:t>Was</w:t>
      </w:r>
      <w:proofErr w:type="gramEnd"/>
      <w:r>
        <w:rPr>
          <w:rFonts w:ascii="Verdana" w:hAnsi="Verdana"/>
          <w:sz w:val="18"/>
          <w:szCs w:val="18"/>
        </w:rPr>
        <w:t xml:space="preserve"> it credit supply? </w:t>
      </w:r>
      <w:proofErr w:type="gramStart"/>
      <w:r>
        <w:rPr>
          <w:rFonts w:ascii="Verdana" w:hAnsi="Verdana"/>
          <w:sz w:val="18"/>
          <w:szCs w:val="18"/>
        </w:rPr>
        <w:t>cross-border</w:t>
      </w:r>
      <w:proofErr w:type="gramEnd"/>
      <w:r>
        <w:rPr>
          <w:rFonts w:ascii="Verdana" w:hAnsi="Verdana"/>
          <w:sz w:val="18"/>
          <w:szCs w:val="18"/>
        </w:rPr>
        <w:t xml:space="preserve"> bank lending to emerging market economies during the financial crisis. </w:t>
      </w:r>
      <w:r>
        <w:rPr>
          <w:rFonts w:ascii="Verdana" w:hAnsi="Verdana"/>
          <w:i/>
          <w:iCs/>
          <w:sz w:val="18"/>
          <w:szCs w:val="18"/>
        </w:rPr>
        <w:t>BIS Quarterly Review</w:t>
      </w:r>
      <w:r>
        <w:rPr>
          <w:rFonts w:ascii="Verdana" w:hAnsi="Verdana"/>
          <w:sz w:val="18"/>
          <w:szCs w:val="18"/>
        </w:rPr>
        <w:t xml:space="preserve">. 2010:49-56. </w:t>
      </w:r>
    </w:p>
    <w:p w:rsidR="00194275" w:rsidRDefault="00A0392A" w:rsidP="006671D0">
      <w:pPr>
        <w:pStyle w:val="NormalWeb"/>
        <w:spacing w:line="480" w:lineRule="auto"/>
        <w:rPr>
          <w:rFonts w:ascii="Verdana" w:hAnsi="Verdana"/>
          <w:sz w:val="18"/>
          <w:szCs w:val="18"/>
        </w:rPr>
      </w:pPr>
      <w:r>
        <w:rPr>
          <w:rFonts w:ascii="Verdana" w:hAnsi="Verdana"/>
          <w:sz w:val="18"/>
          <w:szCs w:val="18"/>
        </w:rPr>
        <w:t xml:space="preserve">20. Moore DS, Neal DK, McCabe GP, Duckworth WM. </w:t>
      </w:r>
      <w:proofErr w:type="gramStart"/>
      <w:r>
        <w:rPr>
          <w:rFonts w:ascii="Verdana" w:hAnsi="Verdana"/>
          <w:i/>
          <w:iCs/>
          <w:sz w:val="18"/>
          <w:szCs w:val="18"/>
        </w:rPr>
        <w:t>The practice of business statistics.</w:t>
      </w:r>
      <w:proofErr w:type="gramEnd"/>
      <w:r>
        <w:rPr>
          <w:rFonts w:ascii="Verdana" w:hAnsi="Verdana"/>
          <w:i/>
          <w:iCs/>
          <w:sz w:val="18"/>
          <w:szCs w:val="18"/>
        </w:rPr>
        <w:t xml:space="preserve"> </w:t>
      </w:r>
      <w:proofErr w:type="gramStart"/>
      <w:r>
        <w:rPr>
          <w:rFonts w:ascii="Verdana" w:hAnsi="Verdana"/>
          <w:sz w:val="18"/>
          <w:szCs w:val="18"/>
        </w:rPr>
        <w:t>WH Freeman &amp; Co; 2003.</w:t>
      </w:r>
      <w:proofErr w:type="gramEnd"/>
      <w:r>
        <w:rPr>
          <w:rFonts w:ascii="Verdana" w:hAnsi="Verdana"/>
          <w:sz w:val="18"/>
          <w:szCs w:val="18"/>
        </w:rPr>
        <w:t xml:space="preserve"> </w:t>
      </w:r>
    </w:p>
    <w:p w:rsidR="00A33A6C" w:rsidRDefault="00A33A6C" w:rsidP="00A33A6C">
      <w:pPr>
        <w:pStyle w:val="NormalWeb"/>
        <w:spacing w:line="480" w:lineRule="auto"/>
        <w:rPr>
          <w:rFonts w:ascii="Verdana" w:hAnsi="Verdana"/>
          <w:sz w:val="18"/>
          <w:szCs w:val="18"/>
        </w:rPr>
      </w:pPr>
      <w:r>
        <w:rPr>
          <w:rFonts w:ascii="Verdana" w:hAnsi="Verdana"/>
          <w:sz w:val="18"/>
          <w:szCs w:val="18"/>
        </w:rPr>
        <w:t xml:space="preserve">21. Johnston MA. A review of the application of event studies in marketing. </w:t>
      </w:r>
      <w:proofErr w:type="gramStart"/>
      <w:r>
        <w:rPr>
          <w:rFonts w:ascii="Verdana" w:hAnsi="Verdana"/>
          <w:i/>
          <w:iCs/>
          <w:sz w:val="18"/>
          <w:szCs w:val="18"/>
        </w:rPr>
        <w:t>Academy of Marketing Science Review</w:t>
      </w:r>
      <w:r>
        <w:rPr>
          <w:rFonts w:ascii="Verdana" w:hAnsi="Verdana"/>
          <w:sz w:val="18"/>
          <w:szCs w:val="18"/>
        </w:rPr>
        <w:t>.</w:t>
      </w:r>
      <w:proofErr w:type="gramEnd"/>
      <w:r>
        <w:rPr>
          <w:rFonts w:ascii="Verdana" w:hAnsi="Verdana"/>
          <w:sz w:val="18"/>
          <w:szCs w:val="18"/>
        </w:rPr>
        <w:t xml:space="preserve"> 2007</w:t>
      </w:r>
      <w:proofErr w:type="gramStart"/>
      <w:r>
        <w:rPr>
          <w:rFonts w:ascii="Verdana" w:hAnsi="Verdana"/>
          <w:sz w:val="18"/>
          <w:szCs w:val="18"/>
        </w:rPr>
        <w:t>;11</w:t>
      </w:r>
      <w:proofErr w:type="gramEnd"/>
      <w:r>
        <w:rPr>
          <w:rFonts w:ascii="Verdana" w:hAnsi="Verdana"/>
          <w:sz w:val="18"/>
          <w:szCs w:val="18"/>
        </w:rPr>
        <w:t xml:space="preserve">(4):1-31. </w:t>
      </w:r>
    </w:p>
    <w:p w:rsidR="003860A4" w:rsidRDefault="003860A4" w:rsidP="003860A4">
      <w:pPr>
        <w:pStyle w:val="NormalWeb"/>
        <w:spacing w:line="480" w:lineRule="auto"/>
        <w:rPr>
          <w:rFonts w:ascii="Verdana" w:hAnsi="Verdana"/>
          <w:sz w:val="18"/>
          <w:szCs w:val="18"/>
        </w:rPr>
      </w:pPr>
      <w:r>
        <w:rPr>
          <w:rFonts w:ascii="Verdana" w:hAnsi="Verdana"/>
          <w:sz w:val="18"/>
          <w:szCs w:val="18"/>
        </w:rPr>
        <w:t xml:space="preserve">22. Baker M, </w:t>
      </w:r>
      <w:proofErr w:type="spellStart"/>
      <w:r>
        <w:rPr>
          <w:rFonts w:ascii="Verdana" w:hAnsi="Verdana"/>
          <w:sz w:val="18"/>
          <w:szCs w:val="18"/>
        </w:rPr>
        <w:t>Wurgler</w:t>
      </w:r>
      <w:proofErr w:type="spellEnd"/>
      <w:r>
        <w:rPr>
          <w:rFonts w:ascii="Verdana" w:hAnsi="Verdana"/>
          <w:sz w:val="18"/>
          <w:szCs w:val="18"/>
        </w:rPr>
        <w:t xml:space="preserve"> J. </w:t>
      </w:r>
      <w:r>
        <w:rPr>
          <w:rFonts w:ascii="Verdana" w:hAnsi="Verdana"/>
          <w:i/>
          <w:iCs/>
          <w:sz w:val="18"/>
          <w:szCs w:val="18"/>
        </w:rPr>
        <w:t>Investor sentiment in the stock market</w:t>
      </w:r>
      <w:r>
        <w:rPr>
          <w:rFonts w:ascii="Verdana" w:hAnsi="Verdana"/>
          <w:sz w:val="18"/>
          <w:szCs w:val="18"/>
        </w:rPr>
        <w:t xml:space="preserve">. 2007. </w:t>
      </w:r>
    </w:p>
    <w:p w:rsidR="003860A4" w:rsidRDefault="003860A4" w:rsidP="003860A4">
      <w:pPr>
        <w:pStyle w:val="NormalWeb"/>
        <w:spacing w:line="480" w:lineRule="auto"/>
        <w:rPr>
          <w:rFonts w:ascii="Verdana" w:hAnsi="Verdana"/>
          <w:sz w:val="18"/>
          <w:szCs w:val="18"/>
        </w:rPr>
      </w:pPr>
      <w:r>
        <w:rPr>
          <w:rFonts w:ascii="Verdana" w:hAnsi="Verdana"/>
          <w:sz w:val="18"/>
          <w:szCs w:val="18"/>
        </w:rPr>
        <w:t xml:space="preserve">23. Baker M, Stein JC. </w:t>
      </w:r>
      <w:proofErr w:type="gramStart"/>
      <w:r>
        <w:rPr>
          <w:rFonts w:ascii="Verdana" w:hAnsi="Verdana"/>
          <w:sz w:val="18"/>
          <w:szCs w:val="18"/>
        </w:rPr>
        <w:t>Market liquidity as a sentiment indicator.</w:t>
      </w:r>
      <w:proofErr w:type="gramEnd"/>
      <w:r>
        <w:rPr>
          <w:rFonts w:ascii="Verdana" w:hAnsi="Verdana"/>
          <w:sz w:val="18"/>
          <w:szCs w:val="18"/>
        </w:rPr>
        <w:t xml:space="preserve"> </w:t>
      </w:r>
      <w:proofErr w:type="gramStart"/>
      <w:r>
        <w:rPr>
          <w:rFonts w:ascii="Verdana" w:hAnsi="Verdana"/>
          <w:i/>
          <w:iCs/>
          <w:sz w:val="18"/>
          <w:szCs w:val="18"/>
        </w:rPr>
        <w:t>Journal of Financial Markets</w:t>
      </w:r>
      <w:r>
        <w:rPr>
          <w:rFonts w:ascii="Verdana" w:hAnsi="Verdana"/>
          <w:sz w:val="18"/>
          <w:szCs w:val="18"/>
        </w:rPr>
        <w:t>.</w:t>
      </w:r>
      <w:proofErr w:type="gramEnd"/>
      <w:r>
        <w:rPr>
          <w:rFonts w:ascii="Verdana" w:hAnsi="Verdana"/>
          <w:sz w:val="18"/>
          <w:szCs w:val="18"/>
        </w:rPr>
        <w:t xml:space="preserve"> 2004</w:t>
      </w:r>
      <w:proofErr w:type="gramStart"/>
      <w:r>
        <w:rPr>
          <w:rFonts w:ascii="Verdana" w:hAnsi="Verdana"/>
          <w:sz w:val="18"/>
          <w:szCs w:val="18"/>
        </w:rPr>
        <w:t>;7</w:t>
      </w:r>
      <w:proofErr w:type="gramEnd"/>
      <w:r>
        <w:rPr>
          <w:rFonts w:ascii="Verdana" w:hAnsi="Verdana"/>
          <w:sz w:val="18"/>
          <w:szCs w:val="18"/>
        </w:rPr>
        <w:t xml:space="preserve">(3):271-299. </w:t>
      </w:r>
    </w:p>
    <w:p w:rsidR="003860A4" w:rsidRDefault="003860A4" w:rsidP="003860A4">
      <w:pPr>
        <w:pStyle w:val="NormalWeb"/>
        <w:spacing w:line="480" w:lineRule="auto"/>
        <w:rPr>
          <w:rFonts w:ascii="Verdana" w:hAnsi="Verdana"/>
          <w:sz w:val="18"/>
          <w:szCs w:val="18"/>
        </w:rPr>
      </w:pPr>
      <w:r>
        <w:rPr>
          <w:rFonts w:ascii="Verdana" w:hAnsi="Verdana"/>
          <w:sz w:val="18"/>
          <w:szCs w:val="18"/>
        </w:rPr>
        <w:t xml:space="preserve">24. Macdonald B. </w:t>
      </w:r>
      <w:r>
        <w:rPr>
          <w:rFonts w:ascii="Verdana" w:hAnsi="Verdana"/>
          <w:i/>
          <w:iCs/>
          <w:sz w:val="18"/>
          <w:szCs w:val="18"/>
        </w:rPr>
        <w:t>Rating change timeliness across rating agencies</w:t>
      </w:r>
      <w:r>
        <w:rPr>
          <w:rFonts w:ascii="Verdana" w:hAnsi="Verdana"/>
          <w:sz w:val="18"/>
          <w:szCs w:val="18"/>
        </w:rPr>
        <w:t xml:space="preserve">. 2006. </w:t>
      </w:r>
    </w:p>
    <w:p w:rsidR="003860A4" w:rsidRDefault="003860A4" w:rsidP="003860A4">
      <w:pPr>
        <w:pStyle w:val="NormalWeb"/>
        <w:spacing w:line="480" w:lineRule="auto"/>
        <w:rPr>
          <w:rFonts w:ascii="Verdana" w:hAnsi="Verdana"/>
          <w:sz w:val="18"/>
          <w:szCs w:val="18"/>
        </w:rPr>
      </w:pPr>
      <w:r>
        <w:rPr>
          <w:rFonts w:ascii="Verdana" w:hAnsi="Verdana"/>
          <w:sz w:val="18"/>
          <w:szCs w:val="18"/>
        </w:rPr>
        <w:lastRenderedPageBreak/>
        <w:t xml:space="preserve">25. Jung B, </w:t>
      </w:r>
      <w:proofErr w:type="spellStart"/>
      <w:r>
        <w:rPr>
          <w:rFonts w:ascii="Verdana" w:hAnsi="Verdana"/>
          <w:sz w:val="18"/>
          <w:szCs w:val="18"/>
        </w:rPr>
        <w:t>Sivaramakrishnan</w:t>
      </w:r>
      <w:proofErr w:type="spellEnd"/>
      <w:r>
        <w:rPr>
          <w:rFonts w:ascii="Verdana" w:hAnsi="Verdana"/>
          <w:sz w:val="18"/>
          <w:szCs w:val="18"/>
        </w:rPr>
        <w:t xml:space="preserve"> K, </w:t>
      </w:r>
      <w:proofErr w:type="spellStart"/>
      <w:r>
        <w:rPr>
          <w:rFonts w:ascii="Verdana" w:hAnsi="Verdana"/>
          <w:sz w:val="18"/>
          <w:szCs w:val="18"/>
        </w:rPr>
        <w:t>Soderstrom</w:t>
      </w:r>
      <w:proofErr w:type="spellEnd"/>
      <w:r>
        <w:rPr>
          <w:rFonts w:ascii="Verdana" w:hAnsi="Verdana"/>
          <w:sz w:val="18"/>
          <w:szCs w:val="18"/>
        </w:rPr>
        <w:t xml:space="preserve"> N. When do stock analysts look to bond analysts? Evidence from earnings forecast revisions to bond rating changes. </w:t>
      </w:r>
    </w:p>
    <w:p w:rsidR="003860A4" w:rsidRDefault="003860A4" w:rsidP="003860A4">
      <w:pPr>
        <w:pStyle w:val="NormalWeb"/>
        <w:spacing w:line="480" w:lineRule="auto"/>
        <w:rPr>
          <w:rFonts w:ascii="Verdana" w:hAnsi="Verdana"/>
          <w:sz w:val="18"/>
          <w:szCs w:val="18"/>
        </w:rPr>
      </w:pPr>
    </w:p>
    <w:p w:rsidR="003860A4" w:rsidRDefault="003860A4" w:rsidP="003860A4">
      <w:pPr>
        <w:pStyle w:val="NormalWeb"/>
        <w:spacing w:line="480" w:lineRule="auto"/>
        <w:rPr>
          <w:rFonts w:ascii="Verdana" w:hAnsi="Verdana"/>
          <w:sz w:val="18"/>
          <w:szCs w:val="18"/>
        </w:rPr>
      </w:pPr>
    </w:p>
    <w:p w:rsidR="003860A4" w:rsidRDefault="003860A4" w:rsidP="003860A4">
      <w:pPr>
        <w:pStyle w:val="NormalWeb"/>
        <w:spacing w:line="480" w:lineRule="auto"/>
        <w:rPr>
          <w:rFonts w:ascii="Verdana" w:hAnsi="Verdana"/>
          <w:sz w:val="18"/>
          <w:szCs w:val="18"/>
        </w:rPr>
      </w:pPr>
    </w:p>
    <w:p w:rsidR="00A33A6C" w:rsidRDefault="00A33A6C" w:rsidP="00A33A6C">
      <w:pPr>
        <w:pStyle w:val="NormalWeb"/>
        <w:spacing w:line="480" w:lineRule="auto"/>
        <w:rPr>
          <w:rFonts w:ascii="Verdana" w:hAnsi="Verdana"/>
          <w:sz w:val="18"/>
          <w:szCs w:val="18"/>
        </w:rPr>
      </w:pPr>
    </w:p>
    <w:p w:rsidR="00A33A6C" w:rsidRDefault="00A33A6C" w:rsidP="006671D0">
      <w:pPr>
        <w:pStyle w:val="NormalWeb"/>
        <w:spacing w:line="480" w:lineRule="auto"/>
        <w:rPr>
          <w:rFonts w:ascii="Verdana" w:hAnsi="Verdana"/>
          <w:sz w:val="18"/>
          <w:szCs w:val="18"/>
        </w:rPr>
      </w:pPr>
    </w:p>
    <w:p w:rsidR="006671D0" w:rsidRDefault="006671D0" w:rsidP="006671D0">
      <w:pPr>
        <w:pStyle w:val="NormalWeb"/>
        <w:spacing w:line="480" w:lineRule="auto"/>
      </w:pPr>
    </w:p>
    <w:sectPr w:rsidR="006671D0" w:rsidSect="000E30DA">
      <w:footerReference w:type="even" r:id="rId29"/>
      <w:footerReference w:type="default" r:id="rId30"/>
      <w:pgSz w:w="11900" w:h="16840"/>
      <w:pgMar w:top="1276"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D3F" w:rsidRDefault="00DC0D3F" w:rsidP="00194275">
      <w:r>
        <w:separator/>
      </w:r>
    </w:p>
  </w:endnote>
  <w:endnote w:type="continuationSeparator" w:id="0">
    <w:p w:rsidR="00DC0D3F" w:rsidRDefault="00DC0D3F" w:rsidP="001942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华文宋体">
    <w:charset w:val="50"/>
    <w:family w:val="auto"/>
    <w:pitch w:val="variable"/>
    <w:sig w:usb0="00000287" w:usb1="080F0000" w:usb2="00000010" w:usb3="00000000" w:csb0="0004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D3F" w:rsidRDefault="00715CF9" w:rsidP="00194275">
    <w:pPr>
      <w:pStyle w:val="Footer"/>
      <w:framePr w:wrap="around" w:vAnchor="text" w:hAnchor="margin" w:xAlign="right" w:y="1"/>
      <w:rPr>
        <w:rStyle w:val="PageNumber"/>
      </w:rPr>
    </w:pPr>
    <w:r>
      <w:rPr>
        <w:rStyle w:val="PageNumber"/>
      </w:rPr>
      <w:fldChar w:fldCharType="begin"/>
    </w:r>
    <w:r w:rsidR="00DC0D3F">
      <w:rPr>
        <w:rStyle w:val="PageNumber"/>
      </w:rPr>
      <w:instrText xml:space="preserve">PAGE  </w:instrText>
    </w:r>
    <w:r>
      <w:rPr>
        <w:rStyle w:val="PageNumber"/>
      </w:rPr>
      <w:fldChar w:fldCharType="end"/>
    </w:r>
  </w:p>
  <w:p w:rsidR="00DC0D3F" w:rsidRDefault="00DC0D3F" w:rsidP="0019427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D3F" w:rsidRDefault="00715CF9" w:rsidP="00194275">
    <w:pPr>
      <w:pStyle w:val="Footer"/>
      <w:framePr w:wrap="around" w:vAnchor="text" w:hAnchor="margin" w:xAlign="right" w:y="1"/>
      <w:rPr>
        <w:rStyle w:val="PageNumber"/>
      </w:rPr>
    </w:pPr>
    <w:r>
      <w:rPr>
        <w:rStyle w:val="PageNumber"/>
      </w:rPr>
      <w:fldChar w:fldCharType="begin"/>
    </w:r>
    <w:r w:rsidR="00DC0D3F">
      <w:rPr>
        <w:rStyle w:val="PageNumber"/>
      </w:rPr>
      <w:instrText xml:space="preserve">PAGE  </w:instrText>
    </w:r>
    <w:r>
      <w:rPr>
        <w:rStyle w:val="PageNumber"/>
      </w:rPr>
      <w:fldChar w:fldCharType="separate"/>
    </w:r>
    <w:r w:rsidR="00696E50">
      <w:rPr>
        <w:rStyle w:val="PageNumber"/>
        <w:noProof/>
      </w:rPr>
      <w:t>2</w:t>
    </w:r>
    <w:r>
      <w:rPr>
        <w:rStyle w:val="PageNumber"/>
      </w:rPr>
      <w:fldChar w:fldCharType="end"/>
    </w:r>
  </w:p>
  <w:p w:rsidR="00DC0D3F" w:rsidRDefault="00DC0D3F" w:rsidP="000C593C">
    <w:pPr>
      <w:pStyle w:val="Footer"/>
      <w:ind w:right="360"/>
      <w:rPr>
        <w:rFonts w:cs="Times New Roman"/>
        <w:sz w:val="16"/>
        <w:szCs w:val="16"/>
      </w:rPr>
    </w:pPr>
    <w:r>
      <w:rPr>
        <w:noProof/>
        <w:lang w:val="en-US" w:eastAsia="en-US" w:bidi="ar-SA"/>
      </w:rPr>
      <w:drawing>
        <wp:anchor distT="0" distB="0" distL="114300" distR="114300" simplePos="0" relativeHeight="251658240" behindDoc="1" locked="0" layoutInCell="1" allowOverlap="1">
          <wp:simplePos x="0" y="0"/>
          <wp:positionH relativeFrom="column">
            <wp:posOffset>-1028700</wp:posOffset>
          </wp:positionH>
          <wp:positionV relativeFrom="paragraph">
            <wp:posOffset>15240</wp:posOffset>
          </wp:positionV>
          <wp:extent cx="1501192" cy="406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01192" cy="406400"/>
                  </a:xfrm>
                  <a:prstGeom prst="rect">
                    <a:avLst/>
                  </a:prstGeom>
                </pic:spPr>
              </pic:pic>
            </a:graphicData>
          </a:graphic>
        </wp:anchor>
      </w:drawing>
    </w:r>
    <w:r>
      <w:t xml:space="preserve">          </w:t>
    </w:r>
    <w:r w:rsidRPr="000C593C">
      <w:rPr>
        <w:rFonts w:cs="Times New Roman"/>
        <w:sz w:val="16"/>
        <w:szCs w:val="16"/>
      </w:rPr>
      <w:t xml:space="preserve">    </w:t>
    </w:r>
    <w:r>
      <w:rPr>
        <w:rFonts w:cs="Times New Roman"/>
        <w:sz w:val="16"/>
        <w:szCs w:val="16"/>
      </w:rPr>
      <w:t xml:space="preserve">                </w:t>
    </w:r>
    <w:r w:rsidRPr="000C593C">
      <w:rPr>
        <w:rFonts w:cs="Times New Roman"/>
        <w:sz w:val="16"/>
        <w:szCs w:val="16"/>
      </w:rPr>
      <w:t>E.W. van Lee</w:t>
    </w:r>
    <w:r>
      <w:rPr>
        <w:rFonts w:cs="Times New Roman"/>
        <w:sz w:val="16"/>
        <w:szCs w:val="16"/>
      </w:rPr>
      <w:t>uwen</w:t>
    </w:r>
  </w:p>
  <w:p w:rsidR="00DC0D3F" w:rsidRPr="000C593C" w:rsidRDefault="00DC0D3F" w:rsidP="000C593C">
    <w:pPr>
      <w:pStyle w:val="Footer"/>
      <w:ind w:right="360"/>
      <w:rPr>
        <w:rFonts w:cs="Times New Roman"/>
        <w:sz w:val="16"/>
        <w:szCs w:val="16"/>
      </w:rPr>
    </w:pPr>
    <w:r>
      <w:rPr>
        <w:rFonts w:cs="Times New Roman"/>
        <w:sz w:val="16"/>
        <w:szCs w:val="16"/>
      </w:rPr>
      <w:t xml:space="preserve">                                   </w:t>
    </w:r>
    <w:r>
      <w:rPr>
        <w:rFonts w:cs="Times New Roman"/>
        <w:sz w:val="16"/>
        <w:szCs w:val="16"/>
        <w:lang w:val="en-GB"/>
      </w:rPr>
      <w:t>Master Thesis Financial Economics</w:t>
    </w:r>
  </w:p>
  <w:p w:rsidR="00DC0D3F" w:rsidRPr="000C593C" w:rsidRDefault="00DC0D3F" w:rsidP="000C593C">
    <w:pPr>
      <w:ind w:firstLine="720"/>
      <w:jc w:val="both"/>
      <w:rPr>
        <w:rFonts w:cs="Times New Roman"/>
        <w:sz w:val="16"/>
        <w:szCs w:val="16"/>
        <w:lang w:val="en-GB"/>
      </w:rPr>
    </w:pPr>
    <w:r>
      <w:rPr>
        <w:rFonts w:cs="Times New Roman"/>
        <w:sz w:val="16"/>
        <w:szCs w:val="16"/>
        <w:lang w:val="en-GB"/>
      </w:rPr>
      <w:t xml:space="preserve">                 </w:t>
    </w:r>
    <w:r w:rsidRPr="000C593C">
      <w:rPr>
        <w:rFonts w:cs="Times New Roman"/>
        <w:sz w:val="16"/>
        <w:szCs w:val="16"/>
        <w:lang w:val="en-GB"/>
      </w:rPr>
      <w:t>Do announcements by credit rating agencies affect the sentiment of individual investors?</w:t>
    </w:r>
  </w:p>
  <w:p w:rsidR="00DC0D3F" w:rsidRDefault="00DC0D3F" w:rsidP="00194275">
    <w:pPr>
      <w:pStyle w:val="Footer"/>
      <w:ind w:right="360"/>
    </w:pPr>
  </w:p>
  <w:p w:rsidR="00DC0D3F" w:rsidRDefault="00DC0D3F" w:rsidP="00194275">
    <w:pPr>
      <w:pStyle w:val="Footer"/>
      <w:ind w:right="360"/>
    </w:pPr>
  </w:p>
  <w:p w:rsidR="00DC0D3F" w:rsidRDefault="00DC0D3F" w:rsidP="0019427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D3F" w:rsidRDefault="00DC0D3F" w:rsidP="00194275">
      <w:r>
        <w:separator/>
      </w:r>
    </w:p>
  </w:footnote>
  <w:footnote w:type="continuationSeparator" w:id="0">
    <w:p w:rsidR="00DC0D3F" w:rsidRDefault="00DC0D3F" w:rsidP="001942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B5200D"/>
    <w:multiLevelType w:val="multilevel"/>
    <w:tmpl w:val="6F82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C42A2E"/>
    <w:multiLevelType w:val="multilevel"/>
    <w:tmpl w:val="CAC2EB7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DE07BE4"/>
    <w:multiLevelType w:val="hybridMultilevel"/>
    <w:tmpl w:val="2B58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5338A3"/>
    <w:multiLevelType w:val="multilevel"/>
    <w:tmpl w:val="1268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
  <w:rsids>
    <w:rsidRoot w:val="00194275"/>
    <w:rsid w:val="00013DA3"/>
    <w:rsid w:val="00025C08"/>
    <w:rsid w:val="00034295"/>
    <w:rsid w:val="00040D4D"/>
    <w:rsid w:val="0004410D"/>
    <w:rsid w:val="000546BC"/>
    <w:rsid w:val="000549FE"/>
    <w:rsid w:val="00057DA1"/>
    <w:rsid w:val="00064BAC"/>
    <w:rsid w:val="00066368"/>
    <w:rsid w:val="00066866"/>
    <w:rsid w:val="00066E7A"/>
    <w:rsid w:val="00067E8A"/>
    <w:rsid w:val="00081AD0"/>
    <w:rsid w:val="000A54C6"/>
    <w:rsid w:val="000B6591"/>
    <w:rsid w:val="000C4B3D"/>
    <w:rsid w:val="000C593C"/>
    <w:rsid w:val="000D4865"/>
    <w:rsid w:val="000E30DA"/>
    <w:rsid w:val="000E6136"/>
    <w:rsid w:val="000F588D"/>
    <w:rsid w:val="000F77D2"/>
    <w:rsid w:val="000F7FB6"/>
    <w:rsid w:val="001109B3"/>
    <w:rsid w:val="001218D1"/>
    <w:rsid w:val="00124B19"/>
    <w:rsid w:val="00142D24"/>
    <w:rsid w:val="00152375"/>
    <w:rsid w:val="0017722A"/>
    <w:rsid w:val="00187515"/>
    <w:rsid w:val="00194275"/>
    <w:rsid w:val="001955BC"/>
    <w:rsid w:val="00197A9F"/>
    <w:rsid w:val="001A0062"/>
    <w:rsid w:val="001A5C94"/>
    <w:rsid w:val="001B0644"/>
    <w:rsid w:val="001B0B1C"/>
    <w:rsid w:val="001B3283"/>
    <w:rsid w:val="001C01AE"/>
    <w:rsid w:val="001C6B1B"/>
    <w:rsid w:val="001D2AB3"/>
    <w:rsid w:val="001D3F8D"/>
    <w:rsid w:val="001E7C21"/>
    <w:rsid w:val="002108DB"/>
    <w:rsid w:val="00223615"/>
    <w:rsid w:val="00227553"/>
    <w:rsid w:val="0023151D"/>
    <w:rsid w:val="002378EC"/>
    <w:rsid w:val="0027021E"/>
    <w:rsid w:val="00277A9E"/>
    <w:rsid w:val="00286919"/>
    <w:rsid w:val="00294C99"/>
    <w:rsid w:val="00295C19"/>
    <w:rsid w:val="002B0F77"/>
    <w:rsid w:val="002B5D72"/>
    <w:rsid w:val="002B7AF2"/>
    <w:rsid w:val="002C5132"/>
    <w:rsid w:val="002C7A47"/>
    <w:rsid w:val="002D1306"/>
    <w:rsid w:val="002D1DAA"/>
    <w:rsid w:val="002D391F"/>
    <w:rsid w:val="002D5C60"/>
    <w:rsid w:val="002D5F3E"/>
    <w:rsid w:val="002D614F"/>
    <w:rsid w:val="002E2425"/>
    <w:rsid w:val="002E55C7"/>
    <w:rsid w:val="002E66BB"/>
    <w:rsid w:val="002F2EDC"/>
    <w:rsid w:val="002F6A66"/>
    <w:rsid w:val="002F740A"/>
    <w:rsid w:val="00315109"/>
    <w:rsid w:val="00317BCC"/>
    <w:rsid w:val="003205CB"/>
    <w:rsid w:val="00323D9D"/>
    <w:rsid w:val="00327FDC"/>
    <w:rsid w:val="003351D2"/>
    <w:rsid w:val="00336844"/>
    <w:rsid w:val="00337EB5"/>
    <w:rsid w:val="00342E8E"/>
    <w:rsid w:val="00347672"/>
    <w:rsid w:val="00347CF3"/>
    <w:rsid w:val="003555CC"/>
    <w:rsid w:val="0036270D"/>
    <w:rsid w:val="003655C9"/>
    <w:rsid w:val="00365777"/>
    <w:rsid w:val="00381E1E"/>
    <w:rsid w:val="00382203"/>
    <w:rsid w:val="003860A4"/>
    <w:rsid w:val="0039054B"/>
    <w:rsid w:val="003A5760"/>
    <w:rsid w:val="003B18D1"/>
    <w:rsid w:val="003B4ACF"/>
    <w:rsid w:val="003C5A9D"/>
    <w:rsid w:val="003C7C63"/>
    <w:rsid w:val="003F5ECB"/>
    <w:rsid w:val="0041352F"/>
    <w:rsid w:val="004249B7"/>
    <w:rsid w:val="00427588"/>
    <w:rsid w:val="004318B7"/>
    <w:rsid w:val="004339C3"/>
    <w:rsid w:val="00434567"/>
    <w:rsid w:val="00437645"/>
    <w:rsid w:val="0043792C"/>
    <w:rsid w:val="00445A2E"/>
    <w:rsid w:val="00445AB2"/>
    <w:rsid w:val="00496BB8"/>
    <w:rsid w:val="004A2703"/>
    <w:rsid w:val="004A5F25"/>
    <w:rsid w:val="004B4F04"/>
    <w:rsid w:val="004C2340"/>
    <w:rsid w:val="004C5C79"/>
    <w:rsid w:val="004D08F2"/>
    <w:rsid w:val="004D413C"/>
    <w:rsid w:val="004E6FBA"/>
    <w:rsid w:val="00503878"/>
    <w:rsid w:val="00516E84"/>
    <w:rsid w:val="005174FE"/>
    <w:rsid w:val="00520A42"/>
    <w:rsid w:val="0053317A"/>
    <w:rsid w:val="00536746"/>
    <w:rsid w:val="00537218"/>
    <w:rsid w:val="00541C3C"/>
    <w:rsid w:val="00551C2A"/>
    <w:rsid w:val="00554BF3"/>
    <w:rsid w:val="0057415D"/>
    <w:rsid w:val="00574AFD"/>
    <w:rsid w:val="00575917"/>
    <w:rsid w:val="005802C1"/>
    <w:rsid w:val="005807A4"/>
    <w:rsid w:val="00581E3B"/>
    <w:rsid w:val="0058467E"/>
    <w:rsid w:val="00593093"/>
    <w:rsid w:val="005941C8"/>
    <w:rsid w:val="00595684"/>
    <w:rsid w:val="005976DB"/>
    <w:rsid w:val="005A01E8"/>
    <w:rsid w:val="005A0D7D"/>
    <w:rsid w:val="005A1DE2"/>
    <w:rsid w:val="005C4306"/>
    <w:rsid w:val="005C63DF"/>
    <w:rsid w:val="005C74DE"/>
    <w:rsid w:val="005D0B34"/>
    <w:rsid w:val="005D4B98"/>
    <w:rsid w:val="006146B5"/>
    <w:rsid w:val="00615BDB"/>
    <w:rsid w:val="00616244"/>
    <w:rsid w:val="00617810"/>
    <w:rsid w:val="00627B8F"/>
    <w:rsid w:val="00635EB6"/>
    <w:rsid w:val="00637090"/>
    <w:rsid w:val="00645B9E"/>
    <w:rsid w:val="00655A8A"/>
    <w:rsid w:val="00661833"/>
    <w:rsid w:val="006671D0"/>
    <w:rsid w:val="00667802"/>
    <w:rsid w:val="00681F6F"/>
    <w:rsid w:val="006865A2"/>
    <w:rsid w:val="00696E50"/>
    <w:rsid w:val="006A2182"/>
    <w:rsid w:val="006A3ABB"/>
    <w:rsid w:val="006B0CF5"/>
    <w:rsid w:val="006B4EA2"/>
    <w:rsid w:val="006B7BF2"/>
    <w:rsid w:val="006C50CC"/>
    <w:rsid w:val="006D1D0A"/>
    <w:rsid w:val="006D4E6A"/>
    <w:rsid w:val="006D50E5"/>
    <w:rsid w:val="006D6551"/>
    <w:rsid w:val="006E3B0D"/>
    <w:rsid w:val="006E4C34"/>
    <w:rsid w:val="006F0986"/>
    <w:rsid w:val="006F1CDA"/>
    <w:rsid w:val="006F5B4A"/>
    <w:rsid w:val="00701B41"/>
    <w:rsid w:val="00715CF9"/>
    <w:rsid w:val="00730948"/>
    <w:rsid w:val="00736AA5"/>
    <w:rsid w:val="007433A6"/>
    <w:rsid w:val="00763BD7"/>
    <w:rsid w:val="007717C0"/>
    <w:rsid w:val="00772239"/>
    <w:rsid w:val="0077520D"/>
    <w:rsid w:val="00777FFB"/>
    <w:rsid w:val="00785E26"/>
    <w:rsid w:val="007935F5"/>
    <w:rsid w:val="007957FB"/>
    <w:rsid w:val="007A57C9"/>
    <w:rsid w:val="007A703E"/>
    <w:rsid w:val="007B0E25"/>
    <w:rsid w:val="007B7670"/>
    <w:rsid w:val="007C123A"/>
    <w:rsid w:val="007C1B1E"/>
    <w:rsid w:val="007C3A14"/>
    <w:rsid w:val="007E0FB4"/>
    <w:rsid w:val="007E5185"/>
    <w:rsid w:val="008010F5"/>
    <w:rsid w:val="0080119E"/>
    <w:rsid w:val="00811599"/>
    <w:rsid w:val="008119DC"/>
    <w:rsid w:val="00813CBE"/>
    <w:rsid w:val="00817E0D"/>
    <w:rsid w:val="00823087"/>
    <w:rsid w:val="00837B5D"/>
    <w:rsid w:val="00841159"/>
    <w:rsid w:val="00851C44"/>
    <w:rsid w:val="0085772E"/>
    <w:rsid w:val="00870AEC"/>
    <w:rsid w:val="00896385"/>
    <w:rsid w:val="008A4B5E"/>
    <w:rsid w:val="008B204E"/>
    <w:rsid w:val="008B364A"/>
    <w:rsid w:val="008D7D09"/>
    <w:rsid w:val="008E4BC5"/>
    <w:rsid w:val="008E52BD"/>
    <w:rsid w:val="008E53E8"/>
    <w:rsid w:val="00901365"/>
    <w:rsid w:val="00910189"/>
    <w:rsid w:val="0091332E"/>
    <w:rsid w:val="00915473"/>
    <w:rsid w:val="00917860"/>
    <w:rsid w:val="00932E72"/>
    <w:rsid w:val="00941DD8"/>
    <w:rsid w:val="00943AC9"/>
    <w:rsid w:val="00945A67"/>
    <w:rsid w:val="00945FA3"/>
    <w:rsid w:val="0095598D"/>
    <w:rsid w:val="009704FD"/>
    <w:rsid w:val="0097287F"/>
    <w:rsid w:val="00980666"/>
    <w:rsid w:val="0098556A"/>
    <w:rsid w:val="00986B23"/>
    <w:rsid w:val="009A6A80"/>
    <w:rsid w:val="009C4760"/>
    <w:rsid w:val="009C4DAE"/>
    <w:rsid w:val="009D1A34"/>
    <w:rsid w:val="009D2ADF"/>
    <w:rsid w:val="009F0DE0"/>
    <w:rsid w:val="00A02260"/>
    <w:rsid w:val="00A0392A"/>
    <w:rsid w:val="00A04ACA"/>
    <w:rsid w:val="00A065B4"/>
    <w:rsid w:val="00A14648"/>
    <w:rsid w:val="00A16A63"/>
    <w:rsid w:val="00A20E18"/>
    <w:rsid w:val="00A25387"/>
    <w:rsid w:val="00A25C46"/>
    <w:rsid w:val="00A33A6C"/>
    <w:rsid w:val="00A374F0"/>
    <w:rsid w:val="00A54261"/>
    <w:rsid w:val="00A57A04"/>
    <w:rsid w:val="00A6086F"/>
    <w:rsid w:val="00A63876"/>
    <w:rsid w:val="00A64EA5"/>
    <w:rsid w:val="00A7591D"/>
    <w:rsid w:val="00A77A7B"/>
    <w:rsid w:val="00A8155B"/>
    <w:rsid w:val="00A92D85"/>
    <w:rsid w:val="00AA6E59"/>
    <w:rsid w:val="00AC17CF"/>
    <w:rsid w:val="00AC640A"/>
    <w:rsid w:val="00AD15EB"/>
    <w:rsid w:val="00AD33A1"/>
    <w:rsid w:val="00AD4C4B"/>
    <w:rsid w:val="00AD52D5"/>
    <w:rsid w:val="00AE7507"/>
    <w:rsid w:val="00AF20EC"/>
    <w:rsid w:val="00B10F12"/>
    <w:rsid w:val="00B31DA8"/>
    <w:rsid w:val="00B345B9"/>
    <w:rsid w:val="00B407A0"/>
    <w:rsid w:val="00B523BC"/>
    <w:rsid w:val="00B61892"/>
    <w:rsid w:val="00B676DF"/>
    <w:rsid w:val="00B709A5"/>
    <w:rsid w:val="00B745D8"/>
    <w:rsid w:val="00B75A47"/>
    <w:rsid w:val="00B963AF"/>
    <w:rsid w:val="00BA3227"/>
    <w:rsid w:val="00BB444F"/>
    <w:rsid w:val="00BB6EE5"/>
    <w:rsid w:val="00BB6F11"/>
    <w:rsid w:val="00BC0D93"/>
    <w:rsid w:val="00BD21D4"/>
    <w:rsid w:val="00BD43AB"/>
    <w:rsid w:val="00BF052B"/>
    <w:rsid w:val="00BF2512"/>
    <w:rsid w:val="00C01589"/>
    <w:rsid w:val="00C04E81"/>
    <w:rsid w:val="00C06EF9"/>
    <w:rsid w:val="00C07A4B"/>
    <w:rsid w:val="00C11669"/>
    <w:rsid w:val="00C126DC"/>
    <w:rsid w:val="00C1501A"/>
    <w:rsid w:val="00C15AD9"/>
    <w:rsid w:val="00C34823"/>
    <w:rsid w:val="00C366E8"/>
    <w:rsid w:val="00C50644"/>
    <w:rsid w:val="00C57E66"/>
    <w:rsid w:val="00C6162A"/>
    <w:rsid w:val="00C71B66"/>
    <w:rsid w:val="00C75619"/>
    <w:rsid w:val="00CB3CF0"/>
    <w:rsid w:val="00CB43F1"/>
    <w:rsid w:val="00CC4F3B"/>
    <w:rsid w:val="00CC6DEC"/>
    <w:rsid w:val="00CE4A23"/>
    <w:rsid w:val="00CF28C7"/>
    <w:rsid w:val="00CF36BD"/>
    <w:rsid w:val="00D101C9"/>
    <w:rsid w:val="00D13CC6"/>
    <w:rsid w:val="00D21127"/>
    <w:rsid w:val="00D22F2A"/>
    <w:rsid w:val="00D30876"/>
    <w:rsid w:val="00D30EE5"/>
    <w:rsid w:val="00D3241C"/>
    <w:rsid w:val="00D3584B"/>
    <w:rsid w:val="00D55530"/>
    <w:rsid w:val="00D56826"/>
    <w:rsid w:val="00D57209"/>
    <w:rsid w:val="00D655DF"/>
    <w:rsid w:val="00D65AB6"/>
    <w:rsid w:val="00D76DBC"/>
    <w:rsid w:val="00D807BF"/>
    <w:rsid w:val="00D86148"/>
    <w:rsid w:val="00D93435"/>
    <w:rsid w:val="00DA1820"/>
    <w:rsid w:val="00DA47C3"/>
    <w:rsid w:val="00DA5B67"/>
    <w:rsid w:val="00DA6D38"/>
    <w:rsid w:val="00DB0471"/>
    <w:rsid w:val="00DB0BDA"/>
    <w:rsid w:val="00DC0D3F"/>
    <w:rsid w:val="00DD417C"/>
    <w:rsid w:val="00DD4252"/>
    <w:rsid w:val="00DE39D8"/>
    <w:rsid w:val="00E13192"/>
    <w:rsid w:val="00E14DEA"/>
    <w:rsid w:val="00E16EB5"/>
    <w:rsid w:val="00E2249F"/>
    <w:rsid w:val="00E2566D"/>
    <w:rsid w:val="00E3549A"/>
    <w:rsid w:val="00E47CA1"/>
    <w:rsid w:val="00E50101"/>
    <w:rsid w:val="00E502FA"/>
    <w:rsid w:val="00E61834"/>
    <w:rsid w:val="00E626AD"/>
    <w:rsid w:val="00E66902"/>
    <w:rsid w:val="00E673D4"/>
    <w:rsid w:val="00E8638A"/>
    <w:rsid w:val="00EA1E73"/>
    <w:rsid w:val="00EB2E62"/>
    <w:rsid w:val="00EB486C"/>
    <w:rsid w:val="00EB575B"/>
    <w:rsid w:val="00EB68AC"/>
    <w:rsid w:val="00ED3A36"/>
    <w:rsid w:val="00ED5024"/>
    <w:rsid w:val="00EE4FAB"/>
    <w:rsid w:val="00EF1C73"/>
    <w:rsid w:val="00F02498"/>
    <w:rsid w:val="00F07F18"/>
    <w:rsid w:val="00F100D2"/>
    <w:rsid w:val="00F13AD0"/>
    <w:rsid w:val="00F14563"/>
    <w:rsid w:val="00F152D0"/>
    <w:rsid w:val="00F35297"/>
    <w:rsid w:val="00F410D6"/>
    <w:rsid w:val="00F47EF2"/>
    <w:rsid w:val="00F538F2"/>
    <w:rsid w:val="00F55877"/>
    <w:rsid w:val="00F57ECE"/>
    <w:rsid w:val="00F60830"/>
    <w:rsid w:val="00F62803"/>
    <w:rsid w:val="00F67F48"/>
    <w:rsid w:val="00F81896"/>
    <w:rsid w:val="00F8299C"/>
    <w:rsid w:val="00F85202"/>
    <w:rsid w:val="00F86119"/>
    <w:rsid w:val="00F864F8"/>
    <w:rsid w:val="00F920A7"/>
    <w:rsid w:val="00FA19B9"/>
    <w:rsid w:val="00FC3599"/>
    <w:rsid w:val="00FC6491"/>
    <w:rsid w:val="00FC69C4"/>
    <w:rsid w:val="00FD51E2"/>
    <w:rsid w:val="00FD6056"/>
    <w:rsid w:val="00FD7364"/>
    <w:rsid w:val="00FE10C0"/>
    <w:rsid w:val="00FE3908"/>
    <w:rsid w:val="00FE5656"/>
    <w:rsid w:val="00FF6248"/>
    <w:rsid w:val="00FF73CD"/>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275"/>
    <w:rPr>
      <w:rFonts w:ascii="Times New Roman" w:eastAsia="Times New Roman" w:hAnsi="Times New Roman" w:cs="Angsana New"/>
      <w:lang w:val="en-AU" w:eastAsia="en-AU" w:bidi="th-TH"/>
    </w:rPr>
  </w:style>
  <w:style w:type="paragraph" w:styleId="Heading1">
    <w:name w:val="heading 1"/>
    <w:basedOn w:val="Normal"/>
    <w:next w:val="Normal"/>
    <w:link w:val="Heading1Char"/>
    <w:uiPriority w:val="9"/>
    <w:qFormat/>
    <w:rsid w:val="001942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23D9D"/>
    <w:pPr>
      <w:keepNext/>
      <w:keepLines/>
      <w:spacing w:before="200"/>
      <w:jc w:val="both"/>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2D5C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01B4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275"/>
    <w:rPr>
      <w:rFonts w:asciiTheme="majorHAnsi" w:eastAsiaTheme="majorEastAsia" w:hAnsiTheme="majorHAnsi" w:cstheme="majorBidi"/>
      <w:b/>
      <w:bCs/>
      <w:color w:val="345A8A" w:themeColor="accent1" w:themeShade="B5"/>
      <w:sz w:val="32"/>
      <w:szCs w:val="32"/>
      <w:lang w:val="en-AU" w:eastAsia="en-AU" w:bidi="th-TH"/>
    </w:rPr>
  </w:style>
  <w:style w:type="character" w:customStyle="1" w:styleId="Heading2Char">
    <w:name w:val="Heading 2 Char"/>
    <w:basedOn w:val="DefaultParagraphFont"/>
    <w:link w:val="Heading2"/>
    <w:uiPriority w:val="9"/>
    <w:rsid w:val="00323D9D"/>
    <w:rPr>
      <w:rFonts w:asciiTheme="majorHAnsi" w:eastAsiaTheme="majorEastAsia" w:hAnsiTheme="majorHAnsi" w:cstheme="majorBidi"/>
      <w:b/>
      <w:bCs/>
      <w:color w:val="4F81BD" w:themeColor="accent1"/>
      <w:sz w:val="26"/>
      <w:szCs w:val="26"/>
      <w:lang w:val="en-US" w:eastAsia="en-AU" w:bidi="th-TH"/>
    </w:rPr>
  </w:style>
  <w:style w:type="paragraph" w:styleId="TOC1">
    <w:name w:val="toc 1"/>
    <w:basedOn w:val="Normal"/>
    <w:next w:val="Normal"/>
    <w:autoRedefine/>
    <w:uiPriority w:val="39"/>
    <w:unhideWhenUsed/>
    <w:rsid w:val="00194275"/>
    <w:pPr>
      <w:spacing w:before="360"/>
    </w:pPr>
    <w:rPr>
      <w:rFonts w:asciiTheme="majorHAnsi" w:hAnsiTheme="majorHAnsi"/>
      <w:b/>
      <w:caps/>
    </w:rPr>
  </w:style>
  <w:style w:type="paragraph" w:styleId="TOC2">
    <w:name w:val="toc 2"/>
    <w:basedOn w:val="Normal"/>
    <w:next w:val="Normal"/>
    <w:autoRedefine/>
    <w:uiPriority w:val="39"/>
    <w:unhideWhenUsed/>
    <w:rsid w:val="00194275"/>
    <w:pPr>
      <w:spacing w:before="240"/>
    </w:pPr>
    <w:rPr>
      <w:rFonts w:asciiTheme="minorHAnsi" w:hAnsiTheme="minorHAnsi"/>
      <w:b/>
      <w:sz w:val="20"/>
      <w:szCs w:val="20"/>
    </w:rPr>
  </w:style>
  <w:style w:type="paragraph" w:styleId="TOC3">
    <w:name w:val="toc 3"/>
    <w:basedOn w:val="Normal"/>
    <w:next w:val="Normal"/>
    <w:autoRedefine/>
    <w:uiPriority w:val="39"/>
    <w:unhideWhenUsed/>
    <w:rsid w:val="00194275"/>
    <w:pPr>
      <w:ind w:left="240"/>
    </w:pPr>
    <w:rPr>
      <w:rFonts w:asciiTheme="minorHAnsi" w:hAnsiTheme="minorHAnsi"/>
      <w:sz w:val="20"/>
      <w:szCs w:val="20"/>
    </w:rPr>
  </w:style>
  <w:style w:type="paragraph" w:styleId="TOC4">
    <w:name w:val="toc 4"/>
    <w:basedOn w:val="Normal"/>
    <w:next w:val="Normal"/>
    <w:autoRedefine/>
    <w:uiPriority w:val="39"/>
    <w:unhideWhenUsed/>
    <w:rsid w:val="00194275"/>
    <w:pPr>
      <w:ind w:left="480"/>
    </w:pPr>
    <w:rPr>
      <w:rFonts w:asciiTheme="minorHAnsi" w:hAnsiTheme="minorHAnsi"/>
      <w:sz w:val="20"/>
      <w:szCs w:val="20"/>
    </w:rPr>
  </w:style>
  <w:style w:type="paragraph" w:styleId="TOC5">
    <w:name w:val="toc 5"/>
    <w:basedOn w:val="Normal"/>
    <w:next w:val="Normal"/>
    <w:autoRedefine/>
    <w:uiPriority w:val="39"/>
    <w:unhideWhenUsed/>
    <w:rsid w:val="00194275"/>
    <w:pPr>
      <w:ind w:left="720"/>
    </w:pPr>
    <w:rPr>
      <w:rFonts w:asciiTheme="minorHAnsi" w:hAnsiTheme="minorHAnsi"/>
      <w:sz w:val="20"/>
      <w:szCs w:val="20"/>
    </w:rPr>
  </w:style>
  <w:style w:type="paragraph" w:styleId="TOC6">
    <w:name w:val="toc 6"/>
    <w:basedOn w:val="Normal"/>
    <w:next w:val="Normal"/>
    <w:autoRedefine/>
    <w:uiPriority w:val="39"/>
    <w:unhideWhenUsed/>
    <w:rsid w:val="00194275"/>
    <w:pPr>
      <w:ind w:left="960"/>
    </w:pPr>
    <w:rPr>
      <w:rFonts w:asciiTheme="minorHAnsi" w:hAnsiTheme="minorHAnsi"/>
      <w:sz w:val="20"/>
      <w:szCs w:val="20"/>
    </w:rPr>
  </w:style>
  <w:style w:type="paragraph" w:styleId="TOC7">
    <w:name w:val="toc 7"/>
    <w:basedOn w:val="Normal"/>
    <w:next w:val="Normal"/>
    <w:autoRedefine/>
    <w:uiPriority w:val="39"/>
    <w:unhideWhenUsed/>
    <w:rsid w:val="00194275"/>
    <w:pPr>
      <w:ind w:left="1200"/>
    </w:pPr>
    <w:rPr>
      <w:rFonts w:asciiTheme="minorHAnsi" w:hAnsiTheme="minorHAnsi"/>
      <w:sz w:val="20"/>
      <w:szCs w:val="20"/>
    </w:rPr>
  </w:style>
  <w:style w:type="paragraph" w:styleId="TOC8">
    <w:name w:val="toc 8"/>
    <w:basedOn w:val="Normal"/>
    <w:next w:val="Normal"/>
    <w:autoRedefine/>
    <w:uiPriority w:val="39"/>
    <w:unhideWhenUsed/>
    <w:rsid w:val="00194275"/>
    <w:pPr>
      <w:ind w:left="1440"/>
    </w:pPr>
    <w:rPr>
      <w:rFonts w:asciiTheme="minorHAnsi" w:hAnsiTheme="minorHAnsi"/>
      <w:sz w:val="20"/>
      <w:szCs w:val="20"/>
    </w:rPr>
  </w:style>
  <w:style w:type="paragraph" w:styleId="TOC9">
    <w:name w:val="toc 9"/>
    <w:basedOn w:val="Normal"/>
    <w:next w:val="Normal"/>
    <w:autoRedefine/>
    <w:uiPriority w:val="39"/>
    <w:unhideWhenUsed/>
    <w:rsid w:val="00194275"/>
    <w:pPr>
      <w:ind w:left="1680"/>
    </w:pPr>
    <w:rPr>
      <w:rFonts w:asciiTheme="minorHAnsi" w:hAnsiTheme="minorHAnsi"/>
      <w:sz w:val="20"/>
      <w:szCs w:val="20"/>
    </w:rPr>
  </w:style>
  <w:style w:type="paragraph" w:styleId="Footer">
    <w:name w:val="footer"/>
    <w:basedOn w:val="Normal"/>
    <w:link w:val="FooterChar"/>
    <w:uiPriority w:val="99"/>
    <w:unhideWhenUsed/>
    <w:rsid w:val="00194275"/>
    <w:pPr>
      <w:tabs>
        <w:tab w:val="center" w:pos="4153"/>
        <w:tab w:val="right" w:pos="8306"/>
      </w:tabs>
    </w:pPr>
  </w:style>
  <w:style w:type="character" w:customStyle="1" w:styleId="FooterChar">
    <w:name w:val="Footer Char"/>
    <w:basedOn w:val="DefaultParagraphFont"/>
    <w:link w:val="Footer"/>
    <w:uiPriority w:val="99"/>
    <w:rsid w:val="00194275"/>
    <w:rPr>
      <w:rFonts w:ascii="Times New Roman" w:eastAsia="Times New Roman" w:hAnsi="Times New Roman" w:cs="Angsana New"/>
      <w:lang w:val="en-AU" w:eastAsia="en-AU" w:bidi="th-TH"/>
    </w:rPr>
  </w:style>
  <w:style w:type="character" w:styleId="PageNumber">
    <w:name w:val="page number"/>
    <w:basedOn w:val="DefaultParagraphFont"/>
    <w:uiPriority w:val="99"/>
    <w:semiHidden/>
    <w:unhideWhenUsed/>
    <w:rsid w:val="00194275"/>
  </w:style>
  <w:style w:type="paragraph" w:styleId="TableofAuthorities">
    <w:name w:val="table of authorities"/>
    <w:basedOn w:val="Normal"/>
    <w:next w:val="Normal"/>
    <w:uiPriority w:val="99"/>
    <w:unhideWhenUsed/>
    <w:rsid w:val="00194275"/>
    <w:pPr>
      <w:ind w:left="240" w:hanging="240"/>
    </w:pPr>
  </w:style>
  <w:style w:type="paragraph" w:styleId="TOAHeading">
    <w:name w:val="toa heading"/>
    <w:basedOn w:val="Normal"/>
    <w:next w:val="Normal"/>
    <w:uiPriority w:val="99"/>
    <w:unhideWhenUsed/>
    <w:rsid w:val="00194275"/>
    <w:pPr>
      <w:spacing w:before="120"/>
    </w:pPr>
    <w:rPr>
      <w:rFonts w:ascii="Arial" w:hAnsi="Arial" w:cs="Arial"/>
      <w:b/>
    </w:rPr>
  </w:style>
  <w:style w:type="paragraph" w:styleId="FootnoteText">
    <w:name w:val="footnote text"/>
    <w:basedOn w:val="Normal"/>
    <w:link w:val="FootnoteTextChar"/>
    <w:unhideWhenUsed/>
    <w:rsid w:val="00870AEC"/>
    <w:rPr>
      <w:rFonts w:asciiTheme="minorHAnsi" w:eastAsiaTheme="minorEastAsia" w:hAnsiTheme="minorHAnsi" w:cstheme="minorBidi"/>
      <w:lang w:val="nl-NL" w:eastAsia="en-US" w:bidi="ar-SA"/>
    </w:rPr>
  </w:style>
  <w:style w:type="character" w:customStyle="1" w:styleId="FootnoteTextChar">
    <w:name w:val="Footnote Text Char"/>
    <w:basedOn w:val="DefaultParagraphFont"/>
    <w:link w:val="FootnoteText"/>
    <w:rsid w:val="00870AEC"/>
    <w:rPr>
      <w:lang w:val="nl-NL"/>
    </w:rPr>
  </w:style>
  <w:style w:type="character" w:styleId="FootnoteReference">
    <w:name w:val="footnote reference"/>
    <w:basedOn w:val="DefaultParagraphFont"/>
    <w:unhideWhenUsed/>
    <w:rsid w:val="00870AEC"/>
    <w:rPr>
      <w:vertAlign w:val="superscript"/>
    </w:rPr>
  </w:style>
  <w:style w:type="paragraph" w:styleId="NormalWeb">
    <w:name w:val="Normal (Web)"/>
    <w:basedOn w:val="Normal"/>
    <w:rsid w:val="00870AEC"/>
    <w:pPr>
      <w:spacing w:before="100" w:beforeAutospacing="1" w:after="100" w:afterAutospacing="1"/>
    </w:pPr>
    <w:rPr>
      <w:rFonts w:cs="Times New Roman"/>
      <w:lang w:val="en-US" w:eastAsia="en-US" w:bidi="ar-SA"/>
    </w:rPr>
  </w:style>
  <w:style w:type="character" w:customStyle="1" w:styleId="addmd">
    <w:name w:val="addmd"/>
    <w:basedOn w:val="DefaultParagraphFont"/>
    <w:rsid w:val="000546BC"/>
  </w:style>
  <w:style w:type="character" w:styleId="CommentReference">
    <w:name w:val="annotation reference"/>
    <w:basedOn w:val="DefaultParagraphFont"/>
    <w:uiPriority w:val="99"/>
    <w:semiHidden/>
    <w:unhideWhenUsed/>
    <w:rsid w:val="00F67F48"/>
    <w:rPr>
      <w:sz w:val="16"/>
      <w:szCs w:val="16"/>
    </w:rPr>
  </w:style>
  <w:style w:type="paragraph" w:styleId="CommentText">
    <w:name w:val="annotation text"/>
    <w:basedOn w:val="Normal"/>
    <w:link w:val="CommentTextChar"/>
    <w:uiPriority w:val="99"/>
    <w:semiHidden/>
    <w:unhideWhenUsed/>
    <w:rsid w:val="00F67F48"/>
    <w:rPr>
      <w:sz w:val="20"/>
      <w:szCs w:val="25"/>
    </w:rPr>
  </w:style>
  <w:style w:type="character" w:customStyle="1" w:styleId="CommentTextChar">
    <w:name w:val="Comment Text Char"/>
    <w:basedOn w:val="DefaultParagraphFont"/>
    <w:link w:val="CommentText"/>
    <w:uiPriority w:val="99"/>
    <w:semiHidden/>
    <w:rsid w:val="00F67F48"/>
    <w:rPr>
      <w:rFonts w:ascii="Times New Roman" w:eastAsia="Times New Roman" w:hAnsi="Times New Roman" w:cs="Angsana New"/>
      <w:sz w:val="20"/>
      <w:szCs w:val="25"/>
      <w:lang w:val="en-AU" w:eastAsia="en-AU" w:bidi="th-TH"/>
    </w:rPr>
  </w:style>
  <w:style w:type="paragraph" w:styleId="CommentSubject">
    <w:name w:val="annotation subject"/>
    <w:basedOn w:val="CommentText"/>
    <w:next w:val="CommentText"/>
    <w:link w:val="CommentSubjectChar"/>
    <w:uiPriority w:val="99"/>
    <w:semiHidden/>
    <w:unhideWhenUsed/>
    <w:rsid w:val="00F67F48"/>
    <w:rPr>
      <w:b/>
      <w:bCs/>
    </w:rPr>
  </w:style>
  <w:style w:type="character" w:customStyle="1" w:styleId="CommentSubjectChar">
    <w:name w:val="Comment Subject Char"/>
    <w:basedOn w:val="CommentTextChar"/>
    <w:link w:val="CommentSubject"/>
    <w:uiPriority w:val="99"/>
    <w:semiHidden/>
    <w:rsid w:val="00F67F48"/>
    <w:rPr>
      <w:rFonts w:ascii="Times New Roman" w:eastAsia="Times New Roman" w:hAnsi="Times New Roman" w:cs="Angsana New"/>
      <w:b/>
      <w:bCs/>
      <w:sz w:val="20"/>
      <w:szCs w:val="25"/>
      <w:lang w:val="en-AU" w:eastAsia="en-AU" w:bidi="th-TH"/>
    </w:rPr>
  </w:style>
  <w:style w:type="paragraph" w:styleId="BalloonText">
    <w:name w:val="Balloon Text"/>
    <w:basedOn w:val="Normal"/>
    <w:link w:val="BalloonTextChar"/>
    <w:uiPriority w:val="99"/>
    <w:semiHidden/>
    <w:unhideWhenUsed/>
    <w:rsid w:val="00F67F48"/>
    <w:rPr>
      <w:rFonts w:ascii="Tahoma" w:hAnsi="Tahoma"/>
      <w:sz w:val="16"/>
      <w:szCs w:val="20"/>
    </w:rPr>
  </w:style>
  <w:style w:type="character" w:customStyle="1" w:styleId="BalloonTextChar">
    <w:name w:val="Balloon Text Char"/>
    <w:basedOn w:val="DefaultParagraphFont"/>
    <w:link w:val="BalloonText"/>
    <w:uiPriority w:val="99"/>
    <w:semiHidden/>
    <w:rsid w:val="00F67F48"/>
    <w:rPr>
      <w:rFonts w:ascii="Tahoma" w:eastAsia="Times New Roman" w:hAnsi="Tahoma" w:cs="Angsana New"/>
      <w:sz w:val="16"/>
      <w:szCs w:val="20"/>
      <w:lang w:val="en-AU" w:eastAsia="en-AU" w:bidi="th-TH"/>
    </w:rPr>
  </w:style>
  <w:style w:type="character" w:customStyle="1" w:styleId="f">
    <w:name w:val="f"/>
    <w:basedOn w:val="DefaultParagraphFont"/>
    <w:rsid w:val="005A01E8"/>
  </w:style>
  <w:style w:type="character" w:customStyle="1" w:styleId="apple-converted-space">
    <w:name w:val="apple-converted-space"/>
    <w:basedOn w:val="DefaultParagraphFont"/>
    <w:rsid w:val="005A01E8"/>
  </w:style>
  <w:style w:type="character" w:styleId="Hyperlink">
    <w:name w:val="Hyperlink"/>
    <w:basedOn w:val="DefaultParagraphFont"/>
    <w:uiPriority w:val="99"/>
    <w:semiHidden/>
    <w:unhideWhenUsed/>
    <w:rsid w:val="00342E8E"/>
    <w:rPr>
      <w:color w:val="0000FF"/>
      <w:u w:val="single"/>
    </w:rPr>
  </w:style>
  <w:style w:type="character" w:styleId="Strong">
    <w:name w:val="Strong"/>
    <w:basedOn w:val="DefaultParagraphFont"/>
    <w:uiPriority w:val="22"/>
    <w:qFormat/>
    <w:rsid w:val="00A20E18"/>
    <w:rPr>
      <w:b/>
      <w:bCs/>
    </w:rPr>
  </w:style>
  <w:style w:type="paragraph" w:styleId="Index1">
    <w:name w:val="index 1"/>
    <w:basedOn w:val="Normal"/>
    <w:next w:val="Normal"/>
    <w:autoRedefine/>
    <w:uiPriority w:val="99"/>
    <w:unhideWhenUsed/>
    <w:rsid w:val="00681F6F"/>
    <w:pPr>
      <w:ind w:left="240" w:hanging="240"/>
    </w:pPr>
  </w:style>
  <w:style w:type="paragraph" w:styleId="Index2">
    <w:name w:val="index 2"/>
    <w:basedOn w:val="Normal"/>
    <w:next w:val="Normal"/>
    <w:autoRedefine/>
    <w:uiPriority w:val="99"/>
    <w:unhideWhenUsed/>
    <w:rsid w:val="00681F6F"/>
    <w:pPr>
      <w:ind w:left="480" w:hanging="240"/>
    </w:pPr>
  </w:style>
  <w:style w:type="paragraph" w:styleId="Index3">
    <w:name w:val="index 3"/>
    <w:basedOn w:val="Normal"/>
    <w:next w:val="Normal"/>
    <w:autoRedefine/>
    <w:uiPriority w:val="99"/>
    <w:unhideWhenUsed/>
    <w:rsid w:val="00681F6F"/>
    <w:pPr>
      <w:ind w:left="720" w:hanging="240"/>
    </w:pPr>
  </w:style>
  <w:style w:type="paragraph" w:styleId="Index4">
    <w:name w:val="index 4"/>
    <w:basedOn w:val="Normal"/>
    <w:next w:val="Normal"/>
    <w:autoRedefine/>
    <w:uiPriority w:val="99"/>
    <w:unhideWhenUsed/>
    <w:rsid w:val="00681F6F"/>
    <w:pPr>
      <w:ind w:left="960" w:hanging="240"/>
    </w:pPr>
  </w:style>
  <w:style w:type="paragraph" w:styleId="Index5">
    <w:name w:val="index 5"/>
    <w:basedOn w:val="Normal"/>
    <w:next w:val="Normal"/>
    <w:autoRedefine/>
    <w:uiPriority w:val="99"/>
    <w:unhideWhenUsed/>
    <w:rsid w:val="00681F6F"/>
    <w:pPr>
      <w:ind w:left="1200" w:hanging="240"/>
    </w:pPr>
  </w:style>
  <w:style w:type="paragraph" w:styleId="Index6">
    <w:name w:val="index 6"/>
    <w:basedOn w:val="Normal"/>
    <w:next w:val="Normal"/>
    <w:autoRedefine/>
    <w:uiPriority w:val="99"/>
    <w:unhideWhenUsed/>
    <w:rsid w:val="00681F6F"/>
    <w:pPr>
      <w:ind w:left="1440" w:hanging="240"/>
    </w:pPr>
  </w:style>
  <w:style w:type="paragraph" w:styleId="Index7">
    <w:name w:val="index 7"/>
    <w:basedOn w:val="Normal"/>
    <w:next w:val="Normal"/>
    <w:autoRedefine/>
    <w:uiPriority w:val="99"/>
    <w:unhideWhenUsed/>
    <w:rsid w:val="00681F6F"/>
    <w:pPr>
      <w:ind w:left="1680" w:hanging="240"/>
    </w:pPr>
  </w:style>
  <w:style w:type="paragraph" w:styleId="Index8">
    <w:name w:val="index 8"/>
    <w:basedOn w:val="Normal"/>
    <w:next w:val="Normal"/>
    <w:autoRedefine/>
    <w:uiPriority w:val="99"/>
    <w:unhideWhenUsed/>
    <w:rsid w:val="00681F6F"/>
    <w:pPr>
      <w:ind w:left="1920" w:hanging="240"/>
    </w:pPr>
  </w:style>
  <w:style w:type="paragraph" w:styleId="Index9">
    <w:name w:val="index 9"/>
    <w:basedOn w:val="Normal"/>
    <w:next w:val="Normal"/>
    <w:autoRedefine/>
    <w:uiPriority w:val="99"/>
    <w:unhideWhenUsed/>
    <w:rsid w:val="00681F6F"/>
    <w:pPr>
      <w:ind w:left="2160" w:hanging="240"/>
    </w:pPr>
  </w:style>
  <w:style w:type="paragraph" w:styleId="IndexHeading">
    <w:name w:val="index heading"/>
    <w:basedOn w:val="Normal"/>
    <w:next w:val="Index1"/>
    <w:uiPriority w:val="99"/>
    <w:unhideWhenUsed/>
    <w:rsid w:val="00681F6F"/>
  </w:style>
  <w:style w:type="character" w:customStyle="1" w:styleId="Heading3Char">
    <w:name w:val="Heading 3 Char"/>
    <w:basedOn w:val="DefaultParagraphFont"/>
    <w:link w:val="Heading3"/>
    <w:uiPriority w:val="9"/>
    <w:rsid w:val="002D5C60"/>
    <w:rPr>
      <w:rFonts w:asciiTheme="majorHAnsi" w:eastAsiaTheme="majorEastAsia" w:hAnsiTheme="majorHAnsi" w:cstheme="majorBidi"/>
      <w:b/>
      <w:bCs/>
      <w:color w:val="4F81BD" w:themeColor="accent1"/>
      <w:lang w:val="en-AU" w:eastAsia="en-AU" w:bidi="th-TH"/>
    </w:rPr>
  </w:style>
  <w:style w:type="character" w:customStyle="1" w:styleId="Heading4Char">
    <w:name w:val="Heading 4 Char"/>
    <w:basedOn w:val="DefaultParagraphFont"/>
    <w:link w:val="Heading4"/>
    <w:uiPriority w:val="9"/>
    <w:rsid w:val="00701B41"/>
    <w:rPr>
      <w:rFonts w:asciiTheme="majorHAnsi" w:eastAsiaTheme="majorEastAsia" w:hAnsiTheme="majorHAnsi" w:cstheme="majorBidi"/>
      <w:b/>
      <w:bCs/>
      <w:i/>
      <w:iCs/>
      <w:color w:val="4F81BD" w:themeColor="accent1"/>
      <w:lang w:val="en-AU" w:eastAsia="en-AU" w:bidi="th-TH"/>
    </w:rPr>
  </w:style>
  <w:style w:type="paragraph" w:styleId="Header">
    <w:name w:val="header"/>
    <w:basedOn w:val="Normal"/>
    <w:link w:val="HeaderChar"/>
    <w:uiPriority w:val="99"/>
    <w:unhideWhenUsed/>
    <w:rsid w:val="001B0B1C"/>
    <w:pPr>
      <w:tabs>
        <w:tab w:val="center" w:pos="4320"/>
        <w:tab w:val="right" w:pos="8640"/>
      </w:tabs>
    </w:pPr>
  </w:style>
  <w:style w:type="character" w:customStyle="1" w:styleId="HeaderChar">
    <w:name w:val="Header Char"/>
    <w:basedOn w:val="DefaultParagraphFont"/>
    <w:link w:val="Header"/>
    <w:uiPriority w:val="99"/>
    <w:rsid w:val="001B0B1C"/>
    <w:rPr>
      <w:rFonts w:ascii="Times New Roman" w:eastAsia="Times New Roman" w:hAnsi="Times New Roman" w:cs="Angsana New"/>
      <w:lang w:val="en-AU" w:eastAsia="en-AU" w:bidi="th-TH"/>
    </w:rPr>
  </w:style>
  <w:style w:type="paragraph" w:styleId="ListParagraph">
    <w:name w:val="List Paragraph"/>
    <w:basedOn w:val="Normal"/>
    <w:uiPriority w:val="34"/>
    <w:qFormat/>
    <w:rsid w:val="00AF20E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275"/>
    <w:rPr>
      <w:rFonts w:ascii="Times New Roman" w:eastAsia="Times New Roman" w:hAnsi="Times New Roman" w:cs="Angsana New"/>
      <w:lang w:val="en-AU" w:eastAsia="en-AU" w:bidi="th-TH"/>
    </w:rPr>
  </w:style>
  <w:style w:type="paragraph" w:styleId="Heading1">
    <w:name w:val="heading 1"/>
    <w:basedOn w:val="Normal"/>
    <w:next w:val="Normal"/>
    <w:link w:val="Heading1Char"/>
    <w:uiPriority w:val="9"/>
    <w:qFormat/>
    <w:rsid w:val="001942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23D9D"/>
    <w:pPr>
      <w:keepNext/>
      <w:keepLines/>
      <w:spacing w:before="200"/>
      <w:jc w:val="both"/>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2D5C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01B4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275"/>
    <w:rPr>
      <w:rFonts w:asciiTheme="majorHAnsi" w:eastAsiaTheme="majorEastAsia" w:hAnsiTheme="majorHAnsi" w:cstheme="majorBidi"/>
      <w:b/>
      <w:bCs/>
      <w:color w:val="345A8A" w:themeColor="accent1" w:themeShade="B5"/>
      <w:sz w:val="32"/>
      <w:szCs w:val="32"/>
      <w:lang w:val="en-AU" w:eastAsia="en-AU" w:bidi="th-TH"/>
    </w:rPr>
  </w:style>
  <w:style w:type="character" w:customStyle="1" w:styleId="Heading2Char">
    <w:name w:val="Heading 2 Char"/>
    <w:basedOn w:val="DefaultParagraphFont"/>
    <w:link w:val="Heading2"/>
    <w:uiPriority w:val="9"/>
    <w:rsid w:val="00323D9D"/>
    <w:rPr>
      <w:rFonts w:asciiTheme="majorHAnsi" w:eastAsiaTheme="majorEastAsia" w:hAnsiTheme="majorHAnsi" w:cstheme="majorBidi"/>
      <w:b/>
      <w:bCs/>
      <w:color w:val="4F81BD" w:themeColor="accent1"/>
      <w:sz w:val="26"/>
      <w:szCs w:val="26"/>
      <w:lang w:val="en-US" w:eastAsia="en-AU" w:bidi="th-TH"/>
    </w:rPr>
  </w:style>
  <w:style w:type="paragraph" w:styleId="TOC1">
    <w:name w:val="toc 1"/>
    <w:basedOn w:val="Normal"/>
    <w:next w:val="Normal"/>
    <w:autoRedefine/>
    <w:uiPriority w:val="39"/>
    <w:unhideWhenUsed/>
    <w:rsid w:val="00194275"/>
    <w:pPr>
      <w:spacing w:before="360"/>
    </w:pPr>
    <w:rPr>
      <w:rFonts w:asciiTheme="majorHAnsi" w:hAnsiTheme="majorHAnsi"/>
      <w:b/>
      <w:caps/>
    </w:rPr>
  </w:style>
  <w:style w:type="paragraph" w:styleId="TOC2">
    <w:name w:val="toc 2"/>
    <w:basedOn w:val="Normal"/>
    <w:next w:val="Normal"/>
    <w:autoRedefine/>
    <w:uiPriority w:val="39"/>
    <w:unhideWhenUsed/>
    <w:rsid w:val="00194275"/>
    <w:pPr>
      <w:spacing w:before="240"/>
    </w:pPr>
    <w:rPr>
      <w:rFonts w:asciiTheme="minorHAnsi" w:hAnsiTheme="minorHAnsi"/>
      <w:b/>
      <w:sz w:val="20"/>
      <w:szCs w:val="20"/>
    </w:rPr>
  </w:style>
  <w:style w:type="paragraph" w:styleId="TOC3">
    <w:name w:val="toc 3"/>
    <w:basedOn w:val="Normal"/>
    <w:next w:val="Normal"/>
    <w:autoRedefine/>
    <w:uiPriority w:val="39"/>
    <w:unhideWhenUsed/>
    <w:rsid w:val="00194275"/>
    <w:pPr>
      <w:ind w:left="240"/>
    </w:pPr>
    <w:rPr>
      <w:rFonts w:asciiTheme="minorHAnsi" w:hAnsiTheme="minorHAnsi"/>
      <w:sz w:val="20"/>
      <w:szCs w:val="20"/>
    </w:rPr>
  </w:style>
  <w:style w:type="paragraph" w:styleId="TOC4">
    <w:name w:val="toc 4"/>
    <w:basedOn w:val="Normal"/>
    <w:next w:val="Normal"/>
    <w:autoRedefine/>
    <w:uiPriority w:val="39"/>
    <w:unhideWhenUsed/>
    <w:rsid w:val="00194275"/>
    <w:pPr>
      <w:ind w:left="480"/>
    </w:pPr>
    <w:rPr>
      <w:rFonts w:asciiTheme="minorHAnsi" w:hAnsiTheme="minorHAnsi"/>
      <w:sz w:val="20"/>
      <w:szCs w:val="20"/>
    </w:rPr>
  </w:style>
  <w:style w:type="paragraph" w:styleId="TOC5">
    <w:name w:val="toc 5"/>
    <w:basedOn w:val="Normal"/>
    <w:next w:val="Normal"/>
    <w:autoRedefine/>
    <w:uiPriority w:val="39"/>
    <w:unhideWhenUsed/>
    <w:rsid w:val="00194275"/>
    <w:pPr>
      <w:ind w:left="720"/>
    </w:pPr>
    <w:rPr>
      <w:rFonts w:asciiTheme="minorHAnsi" w:hAnsiTheme="minorHAnsi"/>
      <w:sz w:val="20"/>
      <w:szCs w:val="20"/>
    </w:rPr>
  </w:style>
  <w:style w:type="paragraph" w:styleId="TOC6">
    <w:name w:val="toc 6"/>
    <w:basedOn w:val="Normal"/>
    <w:next w:val="Normal"/>
    <w:autoRedefine/>
    <w:uiPriority w:val="39"/>
    <w:unhideWhenUsed/>
    <w:rsid w:val="00194275"/>
    <w:pPr>
      <w:ind w:left="960"/>
    </w:pPr>
    <w:rPr>
      <w:rFonts w:asciiTheme="minorHAnsi" w:hAnsiTheme="minorHAnsi"/>
      <w:sz w:val="20"/>
      <w:szCs w:val="20"/>
    </w:rPr>
  </w:style>
  <w:style w:type="paragraph" w:styleId="TOC7">
    <w:name w:val="toc 7"/>
    <w:basedOn w:val="Normal"/>
    <w:next w:val="Normal"/>
    <w:autoRedefine/>
    <w:uiPriority w:val="39"/>
    <w:unhideWhenUsed/>
    <w:rsid w:val="00194275"/>
    <w:pPr>
      <w:ind w:left="1200"/>
    </w:pPr>
    <w:rPr>
      <w:rFonts w:asciiTheme="minorHAnsi" w:hAnsiTheme="minorHAnsi"/>
      <w:sz w:val="20"/>
      <w:szCs w:val="20"/>
    </w:rPr>
  </w:style>
  <w:style w:type="paragraph" w:styleId="TOC8">
    <w:name w:val="toc 8"/>
    <w:basedOn w:val="Normal"/>
    <w:next w:val="Normal"/>
    <w:autoRedefine/>
    <w:uiPriority w:val="39"/>
    <w:unhideWhenUsed/>
    <w:rsid w:val="00194275"/>
    <w:pPr>
      <w:ind w:left="1440"/>
    </w:pPr>
    <w:rPr>
      <w:rFonts w:asciiTheme="minorHAnsi" w:hAnsiTheme="minorHAnsi"/>
      <w:sz w:val="20"/>
      <w:szCs w:val="20"/>
    </w:rPr>
  </w:style>
  <w:style w:type="paragraph" w:styleId="TOC9">
    <w:name w:val="toc 9"/>
    <w:basedOn w:val="Normal"/>
    <w:next w:val="Normal"/>
    <w:autoRedefine/>
    <w:uiPriority w:val="39"/>
    <w:unhideWhenUsed/>
    <w:rsid w:val="00194275"/>
    <w:pPr>
      <w:ind w:left="1680"/>
    </w:pPr>
    <w:rPr>
      <w:rFonts w:asciiTheme="minorHAnsi" w:hAnsiTheme="minorHAnsi"/>
      <w:sz w:val="20"/>
      <w:szCs w:val="20"/>
    </w:rPr>
  </w:style>
  <w:style w:type="paragraph" w:styleId="Footer">
    <w:name w:val="footer"/>
    <w:basedOn w:val="Normal"/>
    <w:link w:val="FooterChar"/>
    <w:uiPriority w:val="99"/>
    <w:unhideWhenUsed/>
    <w:rsid w:val="00194275"/>
    <w:pPr>
      <w:tabs>
        <w:tab w:val="center" w:pos="4153"/>
        <w:tab w:val="right" w:pos="8306"/>
      </w:tabs>
    </w:pPr>
  </w:style>
  <w:style w:type="character" w:customStyle="1" w:styleId="FooterChar">
    <w:name w:val="Footer Char"/>
    <w:basedOn w:val="DefaultParagraphFont"/>
    <w:link w:val="Footer"/>
    <w:uiPriority w:val="99"/>
    <w:rsid w:val="00194275"/>
    <w:rPr>
      <w:rFonts w:ascii="Times New Roman" w:eastAsia="Times New Roman" w:hAnsi="Times New Roman" w:cs="Angsana New"/>
      <w:lang w:val="en-AU" w:eastAsia="en-AU" w:bidi="th-TH"/>
    </w:rPr>
  </w:style>
  <w:style w:type="character" w:styleId="PageNumber">
    <w:name w:val="page number"/>
    <w:basedOn w:val="DefaultParagraphFont"/>
    <w:uiPriority w:val="99"/>
    <w:semiHidden/>
    <w:unhideWhenUsed/>
    <w:rsid w:val="00194275"/>
  </w:style>
  <w:style w:type="paragraph" w:styleId="TableofAuthorities">
    <w:name w:val="table of authorities"/>
    <w:basedOn w:val="Normal"/>
    <w:next w:val="Normal"/>
    <w:uiPriority w:val="99"/>
    <w:unhideWhenUsed/>
    <w:rsid w:val="00194275"/>
    <w:pPr>
      <w:ind w:left="240" w:hanging="240"/>
    </w:pPr>
  </w:style>
  <w:style w:type="paragraph" w:styleId="TOAHeading">
    <w:name w:val="toa heading"/>
    <w:basedOn w:val="Normal"/>
    <w:next w:val="Normal"/>
    <w:uiPriority w:val="99"/>
    <w:unhideWhenUsed/>
    <w:rsid w:val="00194275"/>
    <w:pPr>
      <w:spacing w:before="120"/>
    </w:pPr>
    <w:rPr>
      <w:rFonts w:ascii="Arial" w:hAnsi="Arial" w:cs="Arial"/>
      <w:b/>
    </w:rPr>
  </w:style>
  <w:style w:type="paragraph" w:styleId="FootnoteText">
    <w:name w:val="footnote text"/>
    <w:basedOn w:val="Normal"/>
    <w:link w:val="FootnoteTextChar"/>
    <w:unhideWhenUsed/>
    <w:rsid w:val="00870AEC"/>
    <w:rPr>
      <w:rFonts w:asciiTheme="minorHAnsi" w:eastAsiaTheme="minorEastAsia" w:hAnsiTheme="minorHAnsi" w:cstheme="minorBidi"/>
      <w:lang w:val="nl-NL" w:eastAsia="en-US" w:bidi="ar-SA"/>
    </w:rPr>
  </w:style>
  <w:style w:type="character" w:customStyle="1" w:styleId="FootnoteTextChar">
    <w:name w:val="Footnote Text Char"/>
    <w:basedOn w:val="DefaultParagraphFont"/>
    <w:link w:val="FootnoteText"/>
    <w:rsid w:val="00870AEC"/>
    <w:rPr>
      <w:lang w:val="nl-NL"/>
    </w:rPr>
  </w:style>
  <w:style w:type="character" w:styleId="FootnoteReference">
    <w:name w:val="footnote reference"/>
    <w:basedOn w:val="DefaultParagraphFont"/>
    <w:unhideWhenUsed/>
    <w:rsid w:val="00870AEC"/>
    <w:rPr>
      <w:vertAlign w:val="superscript"/>
    </w:rPr>
  </w:style>
  <w:style w:type="paragraph" w:styleId="NormalWeb">
    <w:name w:val="Normal (Web)"/>
    <w:basedOn w:val="Normal"/>
    <w:rsid w:val="00870AEC"/>
    <w:pPr>
      <w:spacing w:before="100" w:beforeAutospacing="1" w:after="100" w:afterAutospacing="1"/>
    </w:pPr>
    <w:rPr>
      <w:rFonts w:cs="Times New Roman"/>
      <w:lang w:val="en-US" w:eastAsia="en-US" w:bidi="ar-SA"/>
    </w:rPr>
  </w:style>
  <w:style w:type="character" w:customStyle="1" w:styleId="addmd">
    <w:name w:val="addmd"/>
    <w:basedOn w:val="DefaultParagraphFont"/>
    <w:rsid w:val="000546BC"/>
  </w:style>
  <w:style w:type="character" w:styleId="CommentReference">
    <w:name w:val="annotation reference"/>
    <w:basedOn w:val="DefaultParagraphFont"/>
    <w:uiPriority w:val="99"/>
    <w:semiHidden/>
    <w:unhideWhenUsed/>
    <w:rsid w:val="00F67F48"/>
    <w:rPr>
      <w:sz w:val="16"/>
      <w:szCs w:val="16"/>
    </w:rPr>
  </w:style>
  <w:style w:type="paragraph" w:styleId="CommentText">
    <w:name w:val="annotation text"/>
    <w:basedOn w:val="Normal"/>
    <w:link w:val="CommentTextChar"/>
    <w:uiPriority w:val="99"/>
    <w:semiHidden/>
    <w:unhideWhenUsed/>
    <w:rsid w:val="00F67F48"/>
    <w:rPr>
      <w:sz w:val="20"/>
      <w:szCs w:val="25"/>
    </w:rPr>
  </w:style>
  <w:style w:type="character" w:customStyle="1" w:styleId="CommentTextChar">
    <w:name w:val="Comment Text Char"/>
    <w:basedOn w:val="DefaultParagraphFont"/>
    <w:link w:val="CommentText"/>
    <w:uiPriority w:val="99"/>
    <w:semiHidden/>
    <w:rsid w:val="00F67F48"/>
    <w:rPr>
      <w:rFonts w:ascii="Times New Roman" w:eastAsia="Times New Roman" w:hAnsi="Times New Roman" w:cs="Angsana New"/>
      <w:sz w:val="20"/>
      <w:szCs w:val="25"/>
      <w:lang w:val="en-AU" w:eastAsia="en-AU" w:bidi="th-TH"/>
    </w:rPr>
  </w:style>
  <w:style w:type="paragraph" w:styleId="CommentSubject">
    <w:name w:val="annotation subject"/>
    <w:basedOn w:val="CommentText"/>
    <w:next w:val="CommentText"/>
    <w:link w:val="CommentSubjectChar"/>
    <w:uiPriority w:val="99"/>
    <w:semiHidden/>
    <w:unhideWhenUsed/>
    <w:rsid w:val="00F67F48"/>
    <w:rPr>
      <w:b/>
      <w:bCs/>
    </w:rPr>
  </w:style>
  <w:style w:type="character" w:customStyle="1" w:styleId="CommentSubjectChar">
    <w:name w:val="Comment Subject Char"/>
    <w:basedOn w:val="CommentTextChar"/>
    <w:link w:val="CommentSubject"/>
    <w:uiPriority w:val="99"/>
    <w:semiHidden/>
    <w:rsid w:val="00F67F48"/>
    <w:rPr>
      <w:rFonts w:ascii="Times New Roman" w:eastAsia="Times New Roman" w:hAnsi="Times New Roman" w:cs="Angsana New"/>
      <w:b/>
      <w:bCs/>
      <w:sz w:val="20"/>
      <w:szCs w:val="25"/>
      <w:lang w:val="en-AU" w:eastAsia="en-AU" w:bidi="th-TH"/>
    </w:rPr>
  </w:style>
  <w:style w:type="paragraph" w:styleId="BalloonText">
    <w:name w:val="Balloon Text"/>
    <w:basedOn w:val="Normal"/>
    <w:link w:val="BalloonTextChar"/>
    <w:uiPriority w:val="99"/>
    <w:semiHidden/>
    <w:unhideWhenUsed/>
    <w:rsid w:val="00F67F48"/>
    <w:rPr>
      <w:rFonts w:ascii="Tahoma" w:hAnsi="Tahoma"/>
      <w:sz w:val="16"/>
      <w:szCs w:val="20"/>
    </w:rPr>
  </w:style>
  <w:style w:type="character" w:customStyle="1" w:styleId="BalloonTextChar">
    <w:name w:val="Balloon Text Char"/>
    <w:basedOn w:val="DefaultParagraphFont"/>
    <w:link w:val="BalloonText"/>
    <w:uiPriority w:val="99"/>
    <w:semiHidden/>
    <w:rsid w:val="00F67F48"/>
    <w:rPr>
      <w:rFonts w:ascii="Tahoma" w:eastAsia="Times New Roman" w:hAnsi="Tahoma" w:cs="Angsana New"/>
      <w:sz w:val="16"/>
      <w:szCs w:val="20"/>
      <w:lang w:val="en-AU" w:eastAsia="en-AU" w:bidi="th-TH"/>
    </w:rPr>
  </w:style>
  <w:style w:type="character" w:customStyle="1" w:styleId="f">
    <w:name w:val="f"/>
    <w:basedOn w:val="DefaultParagraphFont"/>
    <w:rsid w:val="005A01E8"/>
  </w:style>
  <w:style w:type="character" w:customStyle="1" w:styleId="apple-converted-space">
    <w:name w:val="apple-converted-space"/>
    <w:basedOn w:val="DefaultParagraphFont"/>
    <w:rsid w:val="005A01E8"/>
  </w:style>
  <w:style w:type="character" w:styleId="Hyperlink">
    <w:name w:val="Hyperlink"/>
    <w:basedOn w:val="DefaultParagraphFont"/>
    <w:uiPriority w:val="99"/>
    <w:semiHidden/>
    <w:unhideWhenUsed/>
    <w:rsid w:val="00342E8E"/>
    <w:rPr>
      <w:color w:val="0000FF"/>
      <w:u w:val="single"/>
    </w:rPr>
  </w:style>
  <w:style w:type="character" w:styleId="Strong">
    <w:name w:val="Strong"/>
    <w:basedOn w:val="DefaultParagraphFont"/>
    <w:uiPriority w:val="22"/>
    <w:qFormat/>
    <w:rsid w:val="00A20E18"/>
    <w:rPr>
      <w:b/>
      <w:bCs/>
    </w:rPr>
  </w:style>
  <w:style w:type="paragraph" w:styleId="Index1">
    <w:name w:val="index 1"/>
    <w:basedOn w:val="Normal"/>
    <w:next w:val="Normal"/>
    <w:autoRedefine/>
    <w:uiPriority w:val="99"/>
    <w:unhideWhenUsed/>
    <w:rsid w:val="00681F6F"/>
    <w:pPr>
      <w:ind w:left="240" w:hanging="240"/>
    </w:pPr>
  </w:style>
  <w:style w:type="paragraph" w:styleId="Index2">
    <w:name w:val="index 2"/>
    <w:basedOn w:val="Normal"/>
    <w:next w:val="Normal"/>
    <w:autoRedefine/>
    <w:uiPriority w:val="99"/>
    <w:unhideWhenUsed/>
    <w:rsid w:val="00681F6F"/>
    <w:pPr>
      <w:ind w:left="480" w:hanging="240"/>
    </w:pPr>
  </w:style>
  <w:style w:type="paragraph" w:styleId="Index3">
    <w:name w:val="index 3"/>
    <w:basedOn w:val="Normal"/>
    <w:next w:val="Normal"/>
    <w:autoRedefine/>
    <w:uiPriority w:val="99"/>
    <w:unhideWhenUsed/>
    <w:rsid w:val="00681F6F"/>
    <w:pPr>
      <w:ind w:left="720" w:hanging="240"/>
    </w:pPr>
  </w:style>
  <w:style w:type="paragraph" w:styleId="Index4">
    <w:name w:val="index 4"/>
    <w:basedOn w:val="Normal"/>
    <w:next w:val="Normal"/>
    <w:autoRedefine/>
    <w:uiPriority w:val="99"/>
    <w:unhideWhenUsed/>
    <w:rsid w:val="00681F6F"/>
    <w:pPr>
      <w:ind w:left="960" w:hanging="240"/>
    </w:pPr>
  </w:style>
  <w:style w:type="paragraph" w:styleId="Index5">
    <w:name w:val="index 5"/>
    <w:basedOn w:val="Normal"/>
    <w:next w:val="Normal"/>
    <w:autoRedefine/>
    <w:uiPriority w:val="99"/>
    <w:unhideWhenUsed/>
    <w:rsid w:val="00681F6F"/>
    <w:pPr>
      <w:ind w:left="1200" w:hanging="240"/>
    </w:pPr>
  </w:style>
  <w:style w:type="paragraph" w:styleId="Index6">
    <w:name w:val="index 6"/>
    <w:basedOn w:val="Normal"/>
    <w:next w:val="Normal"/>
    <w:autoRedefine/>
    <w:uiPriority w:val="99"/>
    <w:unhideWhenUsed/>
    <w:rsid w:val="00681F6F"/>
    <w:pPr>
      <w:ind w:left="1440" w:hanging="240"/>
    </w:pPr>
  </w:style>
  <w:style w:type="paragraph" w:styleId="Index7">
    <w:name w:val="index 7"/>
    <w:basedOn w:val="Normal"/>
    <w:next w:val="Normal"/>
    <w:autoRedefine/>
    <w:uiPriority w:val="99"/>
    <w:unhideWhenUsed/>
    <w:rsid w:val="00681F6F"/>
    <w:pPr>
      <w:ind w:left="1680" w:hanging="240"/>
    </w:pPr>
  </w:style>
  <w:style w:type="paragraph" w:styleId="Index8">
    <w:name w:val="index 8"/>
    <w:basedOn w:val="Normal"/>
    <w:next w:val="Normal"/>
    <w:autoRedefine/>
    <w:uiPriority w:val="99"/>
    <w:unhideWhenUsed/>
    <w:rsid w:val="00681F6F"/>
    <w:pPr>
      <w:ind w:left="1920" w:hanging="240"/>
    </w:pPr>
  </w:style>
  <w:style w:type="paragraph" w:styleId="Index9">
    <w:name w:val="index 9"/>
    <w:basedOn w:val="Normal"/>
    <w:next w:val="Normal"/>
    <w:autoRedefine/>
    <w:uiPriority w:val="99"/>
    <w:unhideWhenUsed/>
    <w:rsid w:val="00681F6F"/>
    <w:pPr>
      <w:ind w:left="2160" w:hanging="240"/>
    </w:pPr>
  </w:style>
  <w:style w:type="paragraph" w:styleId="IndexHeading">
    <w:name w:val="index heading"/>
    <w:basedOn w:val="Normal"/>
    <w:next w:val="Index1"/>
    <w:uiPriority w:val="99"/>
    <w:unhideWhenUsed/>
    <w:rsid w:val="00681F6F"/>
  </w:style>
  <w:style w:type="character" w:customStyle="1" w:styleId="Heading3Char">
    <w:name w:val="Heading 3 Char"/>
    <w:basedOn w:val="DefaultParagraphFont"/>
    <w:link w:val="Heading3"/>
    <w:uiPriority w:val="9"/>
    <w:rsid w:val="002D5C60"/>
    <w:rPr>
      <w:rFonts w:asciiTheme="majorHAnsi" w:eastAsiaTheme="majorEastAsia" w:hAnsiTheme="majorHAnsi" w:cstheme="majorBidi"/>
      <w:b/>
      <w:bCs/>
      <w:color w:val="4F81BD" w:themeColor="accent1"/>
      <w:lang w:val="en-AU" w:eastAsia="en-AU" w:bidi="th-TH"/>
    </w:rPr>
  </w:style>
  <w:style w:type="character" w:customStyle="1" w:styleId="Heading4Char">
    <w:name w:val="Heading 4 Char"/>
    <w:basedOn w:val="DefaultParagraphFont"/>
    <w:link w:val="Heading4"/>
    <w:uiPriority w:val="9"/>
    <w:rsid w:val="00701B41"/>
    <w:rPr>
      <w:rFonts w:asciiTheme="majorHAnsi" w:eastAsiaTheme="majorEastAsia" w:hAnsiTheme="majorHAnsi" w:cstheme="majorBidi"/>
      <w:b/>
      <w:bCs/>
      <w:i/>
      <w:iCs/>
      <w:color w:val="4F81BD" w:themeColor="accent1"/>
      <w:lang w:val="en-AU" w:eastAsia="en-AU" w:bidi="th-TH"/>
    </w:rPr>
  </w:style>
  <w:style w:type="paragraph" w:styleId="Header">
    <w:name w:val="header"/>
    <w:basedOn w:val="Normal"/>
    <w:link w:val="HeaderChar"/>
    <w:uiPriority w:val="99"/>
    <w:unhideWhenUsed/>
    <w:rsid w:val="001B0B1C"/>
    <w:pPr>
      <w:tabs>
        <w:tab w:val="center" w:pos="4320"/>
        <w:tab w:val="right" w:pos="8640"/>
      </w:tabs>
    </w:pPr>
  </w:style>
  <w:style w:type="character" w:customStyle="1" w:styleId="HeaderChar">
    <w:name w:val="Header Char"/>
    <w:basedOn w:val="DefaultParagraphFont"/>
    <w:link w:val="Header"/>
    <w:uiPriority w:val="99"/>
    <w:rsid w:val="001B0B1C"/>
    <w:rPr>
      <w:rFonts w:ascii="Times New Roman" w:eastAsia="Times New Roman" w:hAnsi="Times New Roman" w:cs="Angsana New"/>
      <w:lang w:val="en-AU" w:eastAsia="en-AU" w:bidi="th-TH"/>
    </w:rPr>
  </w:style>
  <w:style w:type="paragraph" w:styleId="ListParagraph">
    <w:name w:val="List Paragraph"/>
    <w:basedOn w:val="Normal"/>
    <w:uiPriority w:val="34"/>
    <w:qFormat/>
    <w:rsid w:val="00AF20EC"/>
    <w:pPr>
      <w:ind w:left="720"/>
      <w:contextualSpacing/>
    </w:pPr>
  </w:style>
</w:styles>
</file>

<file path=word/webSettings.xml><?xml version="1.0" encoding="utf-8"?>
<w:webSettings xmlns:r="http://schemas.openxmlformats.org/officeDocument/2006/relationships" xmlns:w="http://schemas.openxmlformats.org/wordprocessingml/2006/main">
  <w:divs>
    <w:div w:id="8484612">
      <w:bodyDiv w:val="1"/>
      <w:marLeft w:val="0"/>
      <w:marRight w:val="0"/>
      <w:marTop w:val="0"/>
      <w:marBottom w:val="0"/>
      <w:divBdr>
        <w:top w:val="none" w:sz="0" w:space="0" w:color="auto"/>
        <w:left w:val="none" w:sz="0" w:space="0" w:color="auto"/>
        <w:bottom w:val="none" w:sz="0" w:space="0" w:color="auto"/>
        <w:right w:val="none" w:sz="0" w:space="0" w:color="auto"/>
      </w:divBdr>
    </w:div>
    <w:div w:id="200441572">
      <w:bodyDiv w:val="1"/>
      <w:marLeft w:val="0"/>
      <w:marRight w:val="0"/>
      <w:marTop w:val="0"/>
      <w:marBottom w:val="0"/>
      <w:divBdr>
        <w:top w:val="none" w:sz="0" w:space="0" w:color="auto"/>
        <w:left w:val="none" w:sz="0" w:space="0" w:color="auto"/>
        <w:bottom w:val="none" w:sz="0" w:space="0" w:color="auto"/>
        <w:right w:val="none" w:sz="0" w:space="0" w:color="auto"/>
      </w:divBdr>
    </w:div>
    <w:div w:id="212927245">
      <w:bodyDiv w:val="1"/>
      <w:marLeft w:val="0"/>
      <w:marRight w:val="0"/>
      <w:marTop w:val="0"/>
      <w:marBottom w:val="0"/>
      <w:divBdr>
        <w:top w:val="none" w:sz="0" w:space="0" w:color="auto"/>
        <w:left w:val="none" w:sz="0" w:space="0" w:color="auto"/>
        <w:bottom w:val="none" w:sz="0" w:space="0" w:color="auto"/>
        <w:right w:val="none" w:sz="0" w:space="0" w:color="auto"/>
      </w:divBdr>
    </w:div>
    <w:div w:id="284964118">
      <w:bodyDiv w:val="1"/>
      <w:marLeft w:val="0"/>
      <w:marRight w:val="0"/>
      <w:marTop w:val="0"/>
      <w:marBottom w:val="0"/>
      <w:divBdr>
        <w:top w:val="none" w:sz="0" w:space="0" w:color="auto"/>
        <w:left w:val="none" w:sz="0" w:space="0" w:color="auto"/>
        <w:bottom w:val="none" w:sz="0" w:space="0" w:color="auto"/>
        <w:right w:val="none" w:sz="0" w:space="0" w:color="auto"/>
      </w:divBdr>
    </w:div>
    <w:div w:id="577637673">
      <w:bodyDiv w:val="1"/>
      <w:marLeft w:val="0"/>
      <w:marRight w:val="0"/>
      <w:marTop w:val="0"/>
      <w:marBottom w:val="0"/>
      <w:divBdr>
        <w:top w:val="none" w:sz="0" w:space="0" w:color="auto"/>
        <w:left w:val="none" w:sz="0" w:space="0" w:color="auto"/>
        <w:bottom w:val="none" w:sz="0" w:space="0" w:color="auto"/>
        <w:right w:val="none" w:sz="0" w:space="0" w:color="auto"/>
      </w:divBdr>
    </w:div>
    <w:div w:id="626736465">
      <w:bodyDiv w:val="1"/>
      <w:marLeft w:val="0"/>
      <w:marRight w:val="0"/>
      <w:marTop w:val="0"/>
      <w:marBottom w:val="0"/>
      <w:divBdr>
        <w:top w:val="none" w:sz="0" w:space="0" w:color="auto"/>
        <w:left w:val="none" w:sz="0" w:space="0" w:color="auto"/>
        <w:bottom w:val="none" w:sz="0" w:space="0" w:color="auto"/>
        <w:right w:val="none" w:sz="0" w:space="0" w:color="auto"/>
      </w:divBdr>
    </w:div>
    <w:div w:id="876547262">
      <w:bodyDiv w:val="1"/>
      <w:marLeft w:val="0"/>
      <w:marRight w:val="0"/>
      <w:marTop w:val="0"/>
      <w:marBottom w:val="0"/>
      <w:divBdr>
        <w:top w:val="none" w:sz="0" w:space="0" w:color="auto"/>
        <w:left w:val="none" w:sz="0" w:space="0" w:color="auto"/>
        <w:bottom w:val="none" w:sz="0" w:space="0" w:color="auto"/>
        <w:right w:val="none" w:sz="0" w:space="0" w:color="auto"/>
      </w:divBdr>
    </w:div>
    <w:div w:id="912668561">
      <w:bodyDiv w:val="1"/>
      <w:marLeft w:val="0"/>
      <w:marRight w:val="0"/>
      <w:marTop w:val="0"/>
      <w:marBottom w:val="0"/>
      <w:divBdr>
        <w:top w:val="none" w:sz="0" w:space="0" w:color="auto"/>
        <w:left w:val="none" w:sz="0" w:space="0" w:color="auto"/>
        <w:bottom w:val="none" w:sz="0" w:space="0" w:color="auto"/>
        <w:right w:val="none" w:sz="0" w:space="0" w:color="auto"/>
      </w:divBdr>
    </w:div>
    <w:div w:id="1182089350">
      <w:bodyDiv w:val="1"/>
      <w:marLeft w:val="0"/>
      <w:marRight w:val="0"/>
      <w:marTop w:val="0"/>
      <w:marBottom w:val="0"/>
      <w:divBdr>
        <w:top w:val="none" w:sz="0" w:space="0" w:color="auto"/>
        <w:left w:val="none" w:sz="0" w:space="0" w:color="auto"/>
        <w:bottom w:val="none" w:sz="0" w:space="0" w:color="auto"/>
        <w:right w:val="none" w:sz="0" w:space="0" w:color="auto"/>
      </w:divBdr>
    </w:div>
    <w:div w:id="1270812997">
      <w:bodyDiv w:val="1"/>
      <w:marLeft w:val="0"/>
      <w:marRight w:val="0"/>
      <w:marTop w:val="0"/>
      <w:marBottom w:val="0"/>
      <w:divBdr>
        <w:top w:val="none" w:sz="0" w:space="0" w:color="auto"/>
        <w:left w:val="none" w:sz="0" w:space="0" w:color="auto"/>
        <w:bottom w:val="none" w:sz="0" w:space="0" w:color="auto"/>
        <w:right w:val="none" w:sz="0" w:space="0" w:color="auto"/>
      </w:divBdr>
    </w:div>
    <w:div w:id="1436945119">
      <w:bodyDiv w:val="1"/>
      <w:marLeft w:val="0"/>
      <w:marRight w:val="0"/>
      <w:marTop w:val="0"/>
      <w:marBottom w:val="0"/>
      <w:divBdr>
        <w:top w:val="none" w:sz="0" w:space="0" w:color="auto"/>
        <w:left w:val="none" w:sz="0" w:space="0" w:color="auto"/>
        <w:bottom w:val="none" w:sz="0" w:space="0" w:color="auto"/>
        <w:right w:val="none" w:sz="0" w:space="0" w:color="auto"/>
      </w:divBdr>
    </w:div>
    <w:div w:id="1446345839">
      <w:bodyDiv w:val="1"/>
      <w:marLeft w:val="0"/>
      <w:marRight w:val="0"/>
      <w:marTop w:val="0"/>
      <w:marBottom w:val="0"/>
      <w:divBdr>
        <w:top w:val="none" w:sz="0" w:space="0" w:color="auto"/>
        <w:left w:val="none" w:sz="0" w:space="0" w:color="auto"/>
        <w:bottom w:val="none" w:sz="0" w:space="0" w:color="auto"/>
        <w:right w:val="none" w:sz="0" w:space="0" w:color="auto"/>
      </w:divBdr>
    </w:div>
    <w:div w:id="1467356000">
      <w:bodyDiv w:val="1"/>
      <w:marLeft w:val="0"/>
      <w:marRight w:val="0"/>
      <w:marTop w:val="0"/>
      <w:marBottom w:val="0"/>
      <w:divBdr>
        <w:top w:val="none" w:sz="0" w:space="0" w:color="auto"/>
        <w:left w:val="none" w:sz="0" w:space="0" w:color="auto"/>
        <w:bottom w:val="none" w:sz="0" w:space="0" w:color="auto"/>
        <w:right w:val="none" w:sz="0" w:space="0" w:color="auto"/>
      </w:divBdr>
    </w:div>
    <w:div w:id="1793549961">
      <w:bodyDiv w:val="1"/>
      <w:marLeft w:val="0"/>
      <w:marRight w:val="0"/>
      <w:marTop w:val="0"/>
      <w:marBottom w:val="0"/>
      <w:divBdr>
        <w:top w:val="none" w:sz="0" w:space="0" w:color="auto"/>
        <w:left w:val="none" w:sz="0" w:space="0" w:color="auto"/>
        <w:bottom w:val="none" w:sz="0" w:space="0" w:color="auto"/>
        <w:right w:val="none" w:sz="0" w:space="0" w:color="auto"/>
      </w:divBdr>
    </w:div>
    <w:div w:id="1798252115">
      <w:bodyDiv w:val="1"/>
      <w:marLeft w:val="0"/>
      <w:marRight w:val="0"/>
      <w:marTop w:val="0"/>
      <w:marBottom w:val="0"/>
      <w:divBdr>
        <w:top w:val="none" w:sz="0" w:space="0" w:color="auto"/>
        <w:left w:val="none" w:sz="0" w:space="0" w:color="auto"/>
        <w:bottom w:val="none" w:sz="0" w:space="0" w:color="auto"/>
        <w:right w:val="none" w:sz="0" w:space="0" w:color="auto"/>
      </w:divBdr>
    </w:div>
    <w:div w:id="1850873542">
      <w:bodyDiv w:val="1"/>
      <w:marLeft w:val="0"/>
      <w:marRight w:val="0"/>
      <w:marTop w:val="0"/>
      <w:marBottom w:val="0"/>
      <w:divBdr>
        <w:top w:val="none" w:sz="0" w:space="0" w:color="auto"/>
        <w:left w:val="none" w:sz="0" w:space="0" w:color="auto"/>
        <w:bottom w:val="none" w:sz="0" w:space="0" w:color="auto"/>
        <w:right w:val="none" w:sz="0" w:space="0" w:color="auto"/>
      </w:divBdr>
      <w:divsChild>
        <w:div w:id="671027704">
          <w:marLeft w:val="0"/>
          <w:marRight w:val="0"/>
          <w:marTop w:val="0"/>
          <w:marBottom w:val="0"/>
          <w:divBdr>
            <w:top w:val="none" w:sz="0" w:space="0" w:color="auto"/>
            <w:left w:val="none" w:sz="0" w:space="0" w:color="auto"/>
            <w:bottom w:val="none" w:sz="0" w:space="0" w:color="auto"/>
            <w:right w:val="none" w:sz="0" w:space="0" w:color="auto"/>
          </w:divBdr>
          <w:divsChild>
            <w:div w:id="209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4077">
      <w:bodyDiv w:val="1"/>
      <w:marLeft w:val="0"/>
      <w:marRight w:val="0"/>
      <w:marTop w:val="0"/>
      <w:marBottom w:val="0"/>
      <w:divBdr>
        <w:top w:val="none" w:sz="0" w:space="0" w:color="auto"/>
        <w:left w:val="none" w:sz="0" w:space="0" w:color="auto"/>
        <w:bottom w:val="none" w:sz="0" w:space="0" w:color="auto"/>
        <w:right w:val="none" w:sz="0" w:space="0" w:color="auto"/>
      </w:divBdr>
    </w:div>
    <w:div w:id="1947618928">
      <w:bodyDiv w:val="1"/>
      <w:marLeft w:val="0"/>
      <w:marRight w:val="0"/>
      <w:marTop w:val="0"/>
      <w:marBottom w:val="0"/>
      <w:divBdr>
        <w:top w:val="none" w:sz="0" w:space="0" w:color="auto"/>
        <w:left w:val="none" w:sz="0" w:space="0" w:color="auto"/>
        <w:bottom w:val="none" w:sz="0" w:space="0" w:color="auto"/>
        <w:right w:val="none" w:sz="0" w:space="0" w:color="auto"/>
      </w:divBdr>
    </w:div>
    <w:div w:id="1957174319">
      <w:bodyDiv w:val="1"/>
      <w:marLeft w:val="0"/>
      <w:marRight w:val="0"/>
      <w:marTop w:val="0"/>
      <w:marBottom w:val="0"/>
      <w:divBdr>
        <w:top w:val="none" w:sz="0" w:space="0" w:color="auto"/>
        <w:left w:val="none" w:sz="0" w:space="0" w:color="auto"/>
        <w:bottom w:val="none" w:sz="0" w:space="0" w:color="auto"/>
        <w:right w:val="none" w:sz="0" w:space="0" w:color="auto"/>
      </w:divBdr>
    </w:div>
    <w:div w:id="1957251397">
      <w:bodyDiv w:val="1"/>
      <w:marLeft w:val="0"/>
      <w:marRight w:val="0"/>
      <w:marTop w:val="0"/>
      <w:marBottom w:val="0"/>
      <w:divBdr>
        <w:top w:val="none" w:sz="0" w:space="0" w:color="auto"/>
        <w:left w:val="none" w:sz="0" w:space="0" w:color="auto"/>
        <w:bottom w:val="none" w:sz="0" w:space="0" w:color="auto"/>
        <w:right w:val="none" w:sz="0" w:space="0" w:color="auto"/>
      </w:divBdr>
    </w:div>
    <w:div w:id="1996374047">
      <w:bodyDiv w:val="1"/>
      <w:marLeft w:val="0"/>
      <w:marRight w:val="0"/>
      <w:marTop w:val="0"/>
      <w:marBottom w:val="0"/>
      <w:divBdr>
        <w:top w:val="none" w:sz="0" w:space="0" w:color="auto"/>
        <w:left w:val="none" w:sz="0" w:space="0" w:color="auto"/>
        <w:bottom w:val="none" w:sz="0" w:space="0" w:color="auto"/>
        <w:right w:val="none" w:sz="0" w:space="0" w:color="auto"/>
      </w:divBdr>
    </w:div>
    <w:div w:id="2032417152">
      <w:bodyDiv w:val="1"/>
      <w:marLeft w:val="0"/>
      <w:marRight w:val="0"/>
      <w:marTop w:val="0"/>
      <w:marBottom w:val="0"/>
      <w:divBdr>
        <w:top w:val="none" w:sz="0" w:space="0" w:color="auto"/>
        <w:left w:val="none" w:sz="0" w:space="0" w:color="auto"/>
        <w:bottom w:val="none" w:sz="0" w:space="0" w:color="auto"/>
        <w:right w:val="none" w:sz="0" w:space="0" w:color="auto"/>
      </w:divBdr>
    </w:div>
    <w:div w:id="20804029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9283</Words>
  <Characters>52917</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Erasmus Universiteit Rotterdam</Company>
  <LinksUpToDate>false</LinksUpToDate>
  <CharactersWithSpaces>62076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Ewoud van Leeuwen</dc:creator>
  <cp:lastModifiedBy>S van Bogaert</cp:lastModifiedBy>
  <cp:revision>2</cp:revision>
  <cp:lastPrinted>2012-06-20T08:06:00Z</cp:lastPrinted>
  <dcterms:created xsi:type="dcterms:W3CDTF">2012-07-26T07:48:00Z</dcterms:created>
  <dcterms:modified xsi:type="dcterms:W3CDTF">2012-07-26T07:48:00Z</dcterms:modified>
</cp:coreProperties>
</file>