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E4C" w:rsidRDefault="00512E4C" w:rsidP="00512E4C">
      <w:pPr>
        <w:pStyle w:val="Title"/>
      </w:pPr>
      <w:r>
        <w:t xml:space="preserve">The </w:t>
      </w:r>
      <w:r w:rsidR="00153C10">
        <w:t>P</w:t>
      </w:r>
      <w:r>
        <w:t>rice</w:t>
      </w:r>
      <w:r w:rsidR="00153C10">
        <w:t xml:space="preserve"> effect and Beta changes</w:t>
      </w:r>
      <w:r>
        <w:t xml:space="preserve"> of </w:t>
      </w:r>
      <w:r w:rsidR="00153C10">
        <w:t>stocks</w:t>
      </w:r>
      <w:r>
        <w:t xml:space="preserve"> added </w:t>
      </w:r>
      <w:r w:rsidR="00153C10">
        <w:t xml:space="preserve">to </w:t>
      </w:r>
      <w:r>
        <w:t xml:space="preserve">or deleted from </w:t>
      </w:r>
      <w:r w:rsidR="00A36763">
        <w:t xml:space="preserve">the </w:t>
      </w:r>
      <w:r>
        <w:t>MSCI Emerging Markets Index</w:t>
      </w:r>
    </w:p>
    <w:p w:rsidR="00512E4C" w:rsidRDefault="00512E4C" w:rsidP="00512E4C"/>
    <w:p w:rsidR="00512E4C" w:rsidRDefault="00512E4C" w:rsidP="00512E4C"/>
    <w:p w:rsidR="00512E4C" w:rsidRDefault="00512E4C" w:rsidP="00512E4C"/>
    <w:p w:rsidR="00512E4C" w:rsidRDefault="00512E4C" w:rsidP="00512E4C">
      <w:pPr>
        <w:pStyle w:val="Subtitle"/>
      </w:pPr>
      <w:r>
        <w:t>Master</w:t>
      </w:r>
      <w:r w:rsidR="00A2256D">
        <w:t>s</w:t>
      </w:r>
      <w:r>
        <w:t>’ thesis at the Erasmus University</w:t>
      </w:r>
      <w:r w:rsidR="00EE54C5">
        <w:t xml:space="preserve"> Rotterdam</w:t>
      </w:r>
    </w:p>
    <w:p w:rsidR="00512E4C" w:rsidRDefault="00512E4C" w:rsidP="00512E4C">
      <w:pPr>
        <w:pStyle w:val="Subtitle"/>
      </w:pPr>
      <w:r>
        <w:t>Merilin J. Simons</w:t>
      </w:r>
    </w:p>
    <w:p w:rsidR="00512E4C" w:rsidRDefault="00A2256D" w:rsidP="00512E4C">
      <w:pPr>
        <w:pStyle w:val="Subtitle"/>
      </w:pPr>
      <w:r>
        <w:t xml:space="preserve">Supervised by </w:t>
      </w:r>
      <w:r w:rsidR="00512E4C">
        <w:t>L</w:t>
      </w:r>
      <w:r>
        <w:t>aurens</w:t>
      </w:r>
      <w:r w:rsidR="00512E4C">
        <w:t xml:space="preserve"> Swinkels</w:t>
      </w:r>
      <w:r>
        <w:t>, PhD</w:t>
      </w:r>
    </w:p>
    <w:p w:rsidR="00512E4C" w:rsidRDefault="00910950" w:rsidP="00512E4C">
      <w:pPr>
        <w:pStyle w:val="Subtitle"/>
      </w:pPr>
      <w:r>
        <w:t>November</w:t>
      </w:r>
      <w:r w:rsidR="00E972FA">
        <w:t xml:space="preserve"> </w:t>
      </w:r>
      <w:r w:rsidR="00565C39">
        <w:t>1</w:t>
      </w:r>
      <w:r w:rsidR="00A2256D">
        <w:t>4</w:t>
      </w:r>
      <w:r w:rsidR="00512E4C">
        <w:t>, 2012</w:t>
      </w:r>
    </w:p>
    <w:p w:rsidR="00501DAA" w:rsidRPr="00501DAA" w:rsidRDefault="00501DAA" w:rsidP="00501DAA"/>
    <w:p w:rsidR="00512E4C" w:rsidRDefault="00512E4C" w:rsidP="00512E4C"/>
    <w:p w:rsidR="00512E4C" w:rsidRDefault="00512E4C" w:rsidP="00512E4C"/>
    <w:p w:rsidR="00AB275F" w:rsidRDefault="002B31C4">
      <w:r>
        <w:rPr>
          <w:rFonts w:ascii="Helvetica" w:hAnsi="Helvetica" w:cs="Helvetica"/>
          <w:noProof/>
          <w:sz w:val="24"/>
          <w:szCs w:val="24"/>
        </w:rPr>
        <w:drawing>
          <wp:anchor distT="0" distB="0" distL="114300" distR="114300" simplePos="0" relativeHeight="251672576" behindDoc="0" locked="0" layoutInCell="1" allowOverlap="1">
            <wp:simplePos x="0" y="0"/>
            <wp:positionH relativeFrom="column">
              <wp:posOffset>-83820</wp:posOffset>
            </wp:positionH>
            <wp:positionV relativeFrom="paragraph">
              <wp:posOffset>4081780</wp:posOffset>
            </wp:positionV>
            <wp:extent cx="2026920" cy="484632"/>
            <wp:effectExtent l="0" t="0" r="5080" b="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026920" cy="484632"/>
                    </a:xfrm>
                    <a:prstGeom prst="rect">
                      <a:avLst/>
                    </a:prstGeom>
                    <a:noFill/>
                    <a:ln>
                      <a:noFill/>
                    </a:ln>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AB275F">
        <w:br w:type="page"/>
      </w:r>
    </w:p>
    <w:p w:rsidR="00BA27F5" w:rsidRPr="00BA27F5" w:rsidRDefault="00BA27F5">
      <w:pPr>
        <w:rPr>
          <w:b/>
        </w:rPr>
      </w:pPr>
      <w:r w:rsidRPr="00BA27F5">
        <w:rPr>
          <w:b/>
        </w:rPr>
        <w:t>Preface</w:t>
      </w:r>
    </w:p>
    <w:p w:rsidR="00BA27F5" w:rsidRDefault="00BA27F5"/>
    <w:p w:rsidR="00BA27F5" w:rsidRDefault="009A6208" w:rsidP="00BA27F5">
      <w:r>
        <w:t xml:space="preserve">First of all </w:t>
      </w:r>
      <w:r w:rsidR="00BA27F5">
        <w:t xml:space="preserve">I would like to thank my family and my loved ones </w:t>
      </w:r>
      <w:r w:rsidR="004215F2">
        <w:t>for supporting</w:t>
      </w:r>
      <w:r w:rsidR="00BA27F5">
        <w:t xml:space="preserve"> me </w:t>
      </w:r>
      <w:r>
        <w:t xml:space="preserve">not only </w:t>
      </w:r>
      <w:r w:rsidR="00BA27F5">
        <w:t xml:space="preserve">during the </w:t>
      </w:r>
      <w:r>
        <w:t xml:space="preserve">time </w:t>
      </w:r>
      <w:r w:rsidR="00BA27F5">
        <w:t xml:space="preserve">that I made my thesis, </w:t>
      </w:r>
      <w:r>
        <w:t xml:space="preserve">but </w:t>
      </w:r>
      <w:r w:rsidR="00BA27F5">
        <w:t xml:space="preserve">also </w:t>
      </w:r>
      <w:r>
        <w:t xml:space="preserve">in </w:t>
      </w:r>
      <w:r w:rsidR="00BA27F5">
        <w:t>all the years of studying</w:t>
      </w:r>
      <w:r>
        <w:t xml:space="preserve"> for my masters’ degree Economics &amp; Business</w:t>
      </w:r>
      <w:r w:rsidR="00BA27F5">
        <w:t xml:space="preserve">. </w:t>
      </w:r>
    </w:p>
    <w:p w:rsidR="00BA27F5" w:rsidRDefault="00BA27F5" w:rsidP="00BA27F5">
      <w:r>
        <w:t xml:space="preserve">I have always had trouble focusing on just one thing, because of my broad interests. Not only did I </w:t>
      </w:r>
      <w:r w:rsidR="00AB49B4">
        <w:t>want</w:t>
      </w:r>
      <w:r>
        <w:t xml:space="preserve"> to know </w:t>
      </w:r>
      <w:r w:rsidR="00AB49B4">
        <w:t>all</w:t>
      </w:r>
      <w:r>
        <w:t xml:space="preserve"> about Accounting, Auditing </w:t>
      </w:r>
      <w:r w:rsidR="009A6208">
        <w:t>and</w:t>
      </w:r>
      <w:r>
        <w:t xml:space="preserve"> </w:t>
      </w:r>
      <w:r w:rsidR="009A6208">
        <w:t>C</w:t>
      </w:r>
      <w:r w:rsidR="004215F2">
        <w:t>ontrol,</w:t>
      </w:r>
      <w:r>
        <w:t xml:space="preserve"> </w:t>
      </w:r>
      <w:r w:rsidR="00AB49B4">
        <w:t>F</w:t>
      </w:r>
      <w:r>
        <w:t>inance on a</w:t>
      </w:r>
      <w:r w:rsidR="00AB49B4">
        <w:t>n</w:t>
      </w:r>
      <w:r>
        <w:t xml:space="preserve"> investment level always </w:t>
      </w:r>
      <w:r w:rsidR="00AB49B4">
        <w:t>drew</w:t>
      </w:r>
      <w:r>
        <w:t xml:space="preserve"> my att</w:t>
      </w:r>
      <w:r w:rsidR="00AB49B4">
        <w:t>ention! This thesis was my chanc</w:t>
      </w:r>
      <w:r>
        <w:t xml:space="preserve">e to </w:t>
      </w:r>
      <w:r w:rsidR="00AB49B4">
        <w:t>really</w:t>
      </w:r>
      <w:r>
        <w:t xml:space="preserve"> </w:t>
      </w:r>
      <w:r w:rsidR="00AB49B4">
        <w:t>challenge myself on this topic. It felt like a journey through the unknown, it was new, it was scary, it was exciting and most of all it was heuristic and educational.</w:t>
      </w:r>
    </w:p>
    <w:p w:rsidR="00BA27F5" w:rsidRDefault="00BA27F5" w:rsidP="00BA27F5">
      <w:r>
        <w:t xml:space="preserve">I have </w:t>
      </w:r>
      <w:r w:rsidR="00AB49B4">
        <w:t xml:space="preserve">chosen to </w:t>
      </w:r>
      <w:r>
        <w:t>do</w:t>
      </w:r>
      <w:r w:rsidR="00AB49B4">
        <w:t xml:space="preserve"> a study</w:t>
      </w:r>
      <w:r>
        <w:t xml:space="preserve"> on Emerging Markets, because </w:t>
      </w:r>
      <w:r w:rsidR="00AB49B4">
        <w:t>I could feel the connection as being a child</w:t>
      </w:r>
      <w:r>
        <w:t xml:space="preserve">, born in Surinam, </w:t>
      </w:r>
      <w:r w:rsidR="00AB49B4">
        <w:t xml:space="preserve">who </w:t>
      </w:r>
      <w:r>
        <w:t xml:space="preserve">grew up in </w:t>
      </w:r>
      <w:r w:rsidR="00250D5D">
        <w:t xml:space="preserve">the </w:t>
      </w:r>
      <w:r>
        <w:t>Caribbean</w:t>
      </w:r>
      <w:r w:rsidR="00361ECA">
        <w:t xml:space="preserve">. </w:t>
      </w:r>
      <w:r>
        <w:t>I’m proud to see that these count</w:t>
      </w:r>
      <w:r w:rsidR="00FE5EA7">
        <w:t>r</w:t>
      </w:r>
      <w:r>
        <w:t>ies are</w:t>
      </w:r>
      <w:r w:rsidR="00361ECA">
        <w:t xml:space="preserve"> working on their economies and have </w:t>
      </w:r>
      <w:r>
        <w:t xml:space="preserve">growing investment markets where </w:t>
      </w:r>
      <w:r w:rsidR="00AB49B4">
        <w:t>investors</w:t>
      </w:r>
      <w:r>
        <w:t xml:space="preserve"> can </w:t>
      </w:r>
      <w:r w:rsidR="00361ECA">
        <w:t>now become part of their economies</w:t>
      </w:r>
      <w:r>
        <w:t>.</w:t>
      </w:r>
    </w:p>
    <w:p w:rsidR="00361ECA" w:rsidRDefault="000A21B2" w:rsidP="00361ECA">
      <w:r>
        <w:t>Many</w:t>
      </w:r>
      <w:r w:rsidR="00361ECA">
        <w:t xml:space="preserve"> thanks go to </w:t>
      </w:r>
      <w:r w:rsidR="00F96ACC">
        <w:t xml:space="preserve">all </w:t>
      </w:r>
      <w:r w:rsidR="00361ECA">
        <w:t>my colleagues at the Robeco w</w:t>
      </w:r>
      <w:r>
        <w:t>ho were always willing to help, especially Cornelis</w:t>
      </w:r>
      <w:r w:rsidR="009A2623">
        <w:t xml:space="preserve"> Vlooswijk</w:t>
      </w:r>
      <w:r w:rsidR="001C2E7F">
        <w:t xml:space="preserve"> who initiated this topic, </w:t>
      </w:r>
      <w:r w:rsidR="009A2623">
        <w:t>Bart van der Grient</w:t>
      </w:r>
      <w:r w:rsidR="00BE5EF3">
        <w:t xml:space="preserve">, </w:t>
      </w:r>
      <w:r w:rsidR="009A2623">
        <w:t>Wei</w:t>
      </w:r>
      <w:r w:rsidR="00FE5EA7">
        <w:t>l</w:t>
      </w:r>
      <w:r w:rsidR="009A2623">
        <w:t>i Zhou</w:t>
      </w:r>
      <w:r w:rsidR="001C2E7F">
        <w:t xml:space="preserve"> </w:t>
      </w:r>
      <w:r w:rsidR="00BE5EF3">
        <w:t xml:space="preserve"> and Jornt Beetstra </w:t>
      </w:r>
      <w:r w:rsidR="001C2E7F">
        <w:t xml:space="preserve">for their </w:t>
      </w:r>
      <w:r w:rsidR="008E0BE5">
        <w:t>highly appreciated</w:t>
      </w:r>
      <w:r w:rsidR="001C2E7F">
        <w:t xml:space="preserve"> </w:t>
      </w:r>
      <w:r w:rsidR="008E0BE5">
        <w:t xml:space="preserve">research </w:t>
      </w:r>
      <w:r w:rsidR="001C2E7F">
        <w:t>tips</w:t>
      </w:r>
      <w:r w:rsidR="008E0BE5">
        <w:t>.</w:t>
      </w:r>
    </w:p>
    <w:p w:rsidR="00BA27F5" w:rsidRDefault="00F96ACC" w:rsidP="00BA27F5">
      <w:r>
        <w:t>A</w:t>
      </w:r>
      <w:r w:rsidR="000F48A3">
        <w:t xml:space="preserve"> special thanks </w:t>
      </w:r>
      <w:r>
        <w:t xml:space="preserve">goes </w:t>
      </w:r>
      <w:r w:rsidR="000F48A3">
        <w:t xml:space="preserve">to </w:t>
      </w:r>
      <w:r w:rsidR="008E0BE5">
        <w:t xml:space="preserve">my thesis supervisor </w:t>
      </w:r>
      <w:r w:rsidR="000F48A3">
        <w:t>Laurens</w:t>
      </w:r>
      <w:r w:rsidR="008E0BE5">
        <w:t xml:space="preserve"> Swinkels</w:t>
      </w:r>
      <w:r w:rsidR="000F48A3">
        <w:t xml:space="preserve">, </w:t>
      </w:r>
      <w:r>
        <w:t xml:space="preserve">I really appreciated </w:t>
      </w:r>
      <w:r w:rsidR="008E0BE5">
        <w:t xml:space="preserve">his useful comments and </w:t>
      </w:r>
      <w:r>
        <w:t>advices</w:t>
      </w:r>
      <w:r w:rsidR="008E0BE5">
        <w:t xml:space="preserve">.  </w:t>
      </w:r>
      <w:r>
        <w:t xml:space="preserve">He </w:t>
      </w:r>
      <w:r w:rsidR="000F48A3">
        <w:t xml:space="preserve">pushed me to a new level of research on investments. </w:t>
      </w:r>
    </w:p>
    <w:p w:rsidR="00BA27F5" w:rsidRDefault="00BA27F5" w:rsidP="00BA27F5">
      <w:r>
        <w:t>Thank you all for your support</w:t>
      </w:r>
      <w:r w:rsidR="00250D5D">
        <w:t>.</w:t>
      </w:r>
    </w:p>
    <w:p w:rsidR="00327A44" w:rsidRPr="005A4DE4" w:rsidRDefault="00327A44">
      <w:pPr>
        <w:rPr>
          <w:rStyle w:val="IntenseEmphasis"/>
          <w:b w:val="0"/>
          <w:bCs w:val="0"/>
          <w:i w:val="0"/>
          <w:iCs w:val="0"/>
          <w:color w:val="365F91" w:themeColor="accent1" w:themeShade="BF"/>
          <w:sz w:val="28"/>
          <w:szCs w:val="28"/>
        </w:rPr>
      </w:pPr>
      <w:r>
        <w:br w:type="page"/>
      </w:r>
      <w:r w:rsidR="0052626F" w:rsidRPr="005A4DE4">
        <w:rPr>
          <w:rStyle w:val="IntenseEmphasis"/>
          <w:i w:val="0"/>
          <w:color w:val="365F91" w:themeColor="accent1" w:themeShade="BF"/>
          <w:sz w:val="28"/>
          <w:szCs w:val="28"/>
        </w:rPr>
        <w:lastRenderedPageBreak/>
        <w:t>Contents</w:t>
      </w:r>
    </w:p>
    <w:p w:rsidR="00327A44" w:rsidRPr="00494B60" w:rsidRDefault="00327A44"/>
    <w:p w:rsidR="00896630" w:rsidRDefault="003D440E">
      <w:pPr>
        <w:pStyle w:val="TOC1"/>
        <w:tabs>
          <w:tab w:val="left" w:pos="1380"/>
          <w:tab w:val="right" w:leader="dot" w:pos="8290"/>
        </w:tabs>
        <w:rPr>
          <w:b w:val="0"/>
          <w:noProof/>
          <w:lang w:eastAsia="ja-JP"/>
        </w:rPr>
      </w:pPr>
      <w:r w:rsidRPr="003D440E">
        <w:rPr>
          <w:b w:val="0"/>
        </w:rPr>
        <w:fldChar w:fldCharType="begin"/>
      </w:r>
      <w:r w:rsidR="00327A44" w:rsidRPr="00440335">
        <w:rPr>
          <w:b w:val="0"/>
        </w:rPr>
        <w:instrText xml:space="preserve"> TOC \o "1-2" </w:instrText>
      </w:r>
      <w:r w:rsidRPr="003D440E">
        <w:rPr>
          <w:b w:val="0"/>
        </w:rPr>
        <w:fldChar w:fldCharType="separate"/>
      </w:r>
      <w:r w:rsidR="00896630" w:rsidRPr="00FE67D3">
        <w:rPr>
          <w:noProof/>
        </w:rPr>
        <w:t>Chapter 1:</w:t>
      </w:r>
      <w:r w:rsidR="00896630">
        <w:rPr>
          <w:b w:val="0"/>
          <w:noProof/>
          <w:lang w:eastAsia="ja-JP"/>
        </w:rPr>
        <w:tab/>
      </w:r>
      <w:r w:rsidR="00896630">
        <w:rPr>
          <w:noProof/>
        </w:rPr>
        <w:t>Introduction</w:t>
      </w:r>
      <w:r w:rsidR="00896630">
        <w:rPr>
          <w:noProof/>
        </w:rPr>
        <w:tab/>
      </w:r>
      <w:r>
        <w:rPr>
          <w:noProof/>
        </w:rPr>
        <w:fldChar w:fldCharType="begin"/>
      </w:r>
      <w:r w:rsidR="00896630">
        <w:rPr>
          <w:noProof/>
        </w:rPr>
        <w:instrText xml:space="preserve"> PAGEREF _Toc214519176 \h </w:instrText>
      </w:r>
      <w:r>
        <w:rPr>
          <w:noProof/>
        </w:rPr>
      </w:r>
      <w:r>
        <w:rPr>
          <w:noProof/>
        </w:rPr>
        <w:fldChar w:fldCharType="separate"/>
      </w:r>
      <w:r w:rsidR="00896630">
        <w:rPr>
          <w:noProof/>
        </w:rPr>
        <w:t>4</w:t>
      </w:r>
      <w:r>
        <w:rPr>
          <w:noProof/>
        </w:rPr>
        <w:fldChar w:fldCharType="end"/>
      </w:r>
    </w:p>
    <w:p w:rsidR="00896630" w:rsidRDefault="00896630">
      <w:pPr>
        <w:pStyle w:val="TOC1"/>
        <w:tabs>
          <w:tab w:val="left" w:pos="1380"/>
          <w:tab w:val="right" w:leader="dot" w:pos="8290"/>
        </w:tabs>
        <w:rPr>
          <w:b w:val="0"/>
          <w:noProof/>
          <w:lang w:eastAsia="ja-JP"/>
        </w:rPr>
      </w:pPr>
      <w:r w:rsidRPr="00FE67D3">
        <w:rPr>
          <w:noProof/>
        </w:rPr>
        <w:t>Chapter 2:</w:t>
      </w:r>
      <w:r>
        <w:rPr>
          <w:b w:val="0"/>
          <w:noProof/>
          <w:lang w:eastAsia="ja-JP"/>
        </w:rPr>
        <w:tab/>
      </w:r>
      <w:r>
        <w:rPr>
          <w:noProof/>
        </w:rPr>
        <w:t>Literature</w:t>
      </w:r>
      <w:r>
        <w:rPr>
          <w:noProof/>
        </w:rPr>
        <w:tab/>
      </w:r>
      <w:r w:rsidR="003D440E">
        <w:rPr>
          <w:noProof/>
        </w:rPr>
        <w:fldChar w:fldCharType="begin"/>
      </w:r>
      <w:r>
        <w:rPr>
          <w:noProof/>
        </w:rPr>
        <w:instrText xml:space="preserve"> PAGEREF _Toc214519177 \h </w:instrText>
      </w:r>
      <w:r w:rsidR="003D440E">
        <w:rPr>
          <w:noProof/>
        </w:rPr>
      </w:r>
      <w:r w:rsidR="003D440E">
        <w:rPr>
          <w:noProof/>
        </w:rPr>
        <w:fldChar w:fldCharType="separate"/>
      </w:r>
      <w:r>
        <w:rPr>
          <w:noProof/>
        </w:rPr>
        <w:t>6</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2.1</w:t>
      </w:r>
      <w:r>
        <w:rPr>
          <w:b w:val="0"/>
          <w:noProof/>
          <w:sz w:val="24"/>
          <w:szCs w:val="24"/>
          <w:lang w:eastAsia="ja-JP"/>
        </w:rPr>
        <w:tab/>
      </w:r>
      <w:r>
        <w:rPr>
          <w:noProof/>
        </w:rPr>
        <w:t>Theories on price effects</w:t>
      </w:r>
      <w:r>
        <w:rPr>
          <w:noProof/>
        </w:rPr>
        <w:tab/>
      </w:r>
      <w:r w:rsidR="003D440E">
        <w:rPr>
          <w:noProof/>
        </w:rPr>
        <w:fldChar w:fldCharType="begin"/>
      </w:r>
      <w:r>
        <w:rPr>
          <w:noProof/>
        </w:rPr>
        <w:instrText xml:space="preserve"> PAGEREF _Toc214519178 \h </w:instrText>
      </w:r>
      <w:r w:rsidR="003D440E">
        <w:rPr>
          <w:noProof/>
        </w:rPr>
      </w:r>
      <w:r w:rsidR="003D440E">
        <w:rPr>
          <w:noProof/>
        </w:rPr>
        <w:fldChar w:fldCharType="separate"/>
      </w:r>
      <w:r>
        <w:rPr>
          <w:noProof/>
        </w:rPr>
        <w:t>6</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2.2</w:t>
      </w:r>
      <w:r>
        <w:rPr>
          <w:b w:val="0"/>
          <w:noProof/>
          <w:sz w:val="24"/>
          <w:szCs w:val="24"/>
          <w:lang w:eastAsia="ja-JP"/>
        </w:rPr>
        <w:tab/>
      </w:r>
      <w:r>
        <w:rPr>
          <w:noProof/>
        </w:rPr>
        <w:t>Theories on co-movement</w:t>
      </w:r>
      <w:r>
        <w:rPr>
          <w:noProof/>
        </w:rPr>
        <w:tab/>
      </w:r>
      <w:r w:rsidR="003D440E">
        <w:rPr>
          <w:noProof/>
        </w:rPr>
        <w:fldChar w:fldCharType="begin"/>
      </w:r>
      <w:r>
        <w:rPr>
          <w:noProof/>
        </w:rPr>
        <w:instrText xml:space="preserve"> PAGEREF _Toc214519179 \h </w:instrText>
      </w:r>
      <w:r w:rsidR="003D440E">
        <w:rPr>
          <w:noProof/>
        </w:rPr>
      </w:r>
      <w:r w:rsidR="003D440E">
        <w:rPr>
          <w:noProof/>
        </w:rPr>
        <w:fldChar w:fldCharType="separate"/>
      </w:r>
      <w:r>
        <w:rPr>
          <w:noProof/>
        </w:rPr>
        <w:t>6</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2.3</w:t>
      </w:r>
      <w:r>
        <w:rPr>
          <w:b w:val="0"/>
          <w:noProof/>
          <w:sz w:val="24"/>
          <w:szCs w:val="24"/>
          <w:lang w:eastAsia="ja-JP"/>
        </w:rPr>
        <w:tab/>
      </w:r>
      <w:r>
        <w:rPr>
          <w:noProof/>
        </w:rPr>
        <w:t>Price effects</w:t>
      </w:r>
      <w:r>
        <w:rPr>
          <w:noProof/>
        </w:rPr>
        <w:tab/>
      </w:r>
      <w:r w:rsidR="003D440E">
        <w:rPr>
          <w:noProof/>
        </w:rPr>
        <w:fldChar w:fldCharType="begin"/>
      </w:r>
      <w:r>
        <w:rPr>
          <w:noProof/>
        </w:rPr>
        <w:instrText xml:space="preserve"> PAGEREF _Toc214519180 \h </w:instrText>
      </w:r>
      <w:r w:rsidR="003D440E">
        <w:rPr>
          <w:noProof/>
        </w:rPr>
      </w:r>
      <w:r w:rsidR="003D440E">
        <w:rPr>
          <w:noProof/>
        </w:rPr>
        <w:fldChar w:fldCharType="separate"/>
      </w:r>
      <w:r>
        <w:rPr>
          <w:noProof/>
        </w:rPr>
        <w:t>7</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2.4</w:t>
      </w:r>
      <w:r>
        <w:rPr>
          <w:b w:val="0"/>
          <w:noProof/>
          <w:sz w:val="24"/>
          <w:szCs w:val="24"/>
          <w:lang w:eastAsia="ja-JP"/>
        </w:rPr>
        <w:tab/>
      </w:r>
      <w:r>
        <w:rPr>
          <w:noProof/>
        </w:rPr>
        <w:t>Co-Movement effects</w:t>
      </w:r>
      <w:r>
        <w:rPr>
          <w:noProof/>
        </w:rPr>
        <w:tab/>
      </w:r>
      <w:r w:rsidR="003D440E">
        <w:rPr>
          <w:noProof/>
        </w:rPr>
        <w:fldChar w:fldCharType="begin"/>
      </w:r>
      <w:r>
        <w:rPr>
          <w:noProof/>
        </w:rPr>
        <w:instrText xml:space="preserve"> PAGEREF _Toc214519181 \h </w:instrText>
      </w:r>
      <w:r w:rsidR="003D440E">
        <w:rPr>
          <w:noProof/>
        </w:rPr>
      </w:r>
      <w:r w:rsidR="003D440E">
        <w:rPr>
          <w:noProof/>
        </w:rPr>
        <w:fldChar w:fldCharType="separate"/>
      </w:r>
      <w:r>
        <w:rPr>
          <w:noProof/>
        </w:rPr>
        <w:t>19</w:t>
      </w:r>
      <w:r w:rsidR="003D440E">
        <w:rPr>
          <w:noProof/>
        </w:rPr>
        <w:fldChar w:fldCharType="end"/>
      </w:r>
    </w:p>
    <w:p w:rsidR="00896630" w:rsidRDefault="00896630">
      <w:pPr>
        <w:pStyle w:val="TOC1"/>
        <w:tabs>
          <w:tab w:val="left" w:pos="1380"/>
          <w:tab w:val="right" w:leader="dot" w:pos="8290"/>
        </w:tabs>
        <w:rPr>
          <w:b w:val="0"/>
          <w:noProof/>
          <w:lang w:eastAsia="ja-JP"/>
        </w:rPr>
      </w:pPr>
      <w:r w:rsidRPr="00FE67D3">
        <w:rPr>
          <w:noProof/>
        </w:rPr>
        <w:t>Chapter 3:</w:t>
      </w:r>
      <w:r>
        <w:rPr>
          <w:b w:val="0"/>
          <w:noProof/>
          <w:lang w:eastAsia="ja-JP"/>
        </w:rPr>
        <w:tab/>
      </w:r>
      <w:r>
        <w:rPr>
          <w:noProof/>
        </w:rPr>
        <w:t>Data of the research</w:t>
      </w:r>
      <w:r>
        <w:rPr>
          <w:noProof/>
        </w:rPr>
        <w:tab/>
      </w:r>
      <w:r w:rsidR="003D440E">
        <w:rPr>
          <w:noProof/>
        </w:rPr>
        <w:fldChar w:fldCharType="begin"/>
      </w:r>
      <w:r>
        <w:rPr>
          <w:noProof/>
        </w:rPr>
        <w:instrText xml:space="preserve"> PAGEREF _Toc214519182 \h </w:instrText>
      </w:r>
      <w:r w:rsidR="003D440E">
        <w:rPr>
          <w:noProof/>
        </w:rPr>
      </w:r>
      <w:r w:rsidR="003D440E">
        <w:rPr>
          <w:noProof/>
        </w:rPr>
        <w:fldChar w:fldCharType="separate"/>
      </w:r>
      <w:r>
        <w:rPr>
          <w:noProof/>
        </w:rPr>
        <w:t>25</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3.1</w:t>
      </w:r>
      <w:r>
        <w:rPr>
          <w:b w:val="0"/>
          <w:noProof/>
          <w:sz w:val="24"/>
          <w:szCs w:val="24"/>
          <w:lang w:eastAsia="ja-JP"/>
        </w:rPr>
        <w:tab/>
      </w:r>
      <w:r>
        <w:rPr>
          <w:noProof/>
        </w:rPr>
        <w:t>Introduction</w:t>
      </w:r>
      <w:r>
        <w:rPr>
          <w:noProof/>
        </w:rPr>
        <w:tab/>
      </w:r>
      <w:r w:rsidR="003D440E">
        <w:rPr>
          <w:noProof/>
        </w:rPr>
        <w:fldChar w:fldCharType="begin"/>
      </w:r>
      <w:r>
        <w:rPr>
          <w:noProof/>
        </w:rPr>
        <w:instrText xml:space="preserve"> PAGEREF _Toc214519183 \h </w:instrText>
      </w:r>
      <w:r w:rsidR="003D440E">
        <w:rPr>
          <w:noProof/>
        </w:rPr>
      </w:r>
      <w:r w:rsidR="003D440E">
        <w:rPr>
          <w:noProof/>
        </w:rPr>
        <w:fldChar w:fldCharType="separate"/>
      </w:r>
      <w:r>
        <w:rPr>
          <w:noProof/>
        </w:rPr>
        <w:t>25</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3.2</w:t>
      </w:r>
      <w:r>
        <w:rPr>
          <w:b w:val="0"/>
          <w:noProof/>
          <w:sz w:val="24"/>
          <w:szCs w:val="24"/>
          <w:lang w:eastAsia="ja-JP"/>
        </w:rPr>
        <w:tab/>
      </w:r>
      <w:r>
        <w:rPr>
          <w:noProof/>
        </w:rPr>
        <w:t>The MSCI</w:t>
      </w:r>
      <w:r>
        <w:rPr>
          <w:noProof/>
        </w:rPr>
        <w:tab/>
      </w:r>
      <w:r w:rsidR="003D440E">
        <w:rPr>
          <w:noProof/>
        </w:rPr>
        <w:fldChar w:fldCharType="begin"/>
      </w:r>
      <w:r>
        <w:rPr>
          <w:noProof/>
        </w:rPr>
        <w:instrText xml:space="preserve"> PAGEREF _Toc214519184 \h </w:instrText>
      </w:r>
      <w:r w:rsidR="003D440E">
        <w:rPr>
          <w:noProof/>
        </w:rPr>
      </w:r>
      <w:r w:rsidR="003D440E">
        <w:rPr>
          <w:noProof/>
        </w:rPr>
        <w:fldChar w:fldCharType="separate"/>
      </w:r>
      <w:r>
        <w:rPr>
          <w:noProof/>
        </w:rPr>
        <w:t>25</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3.3</w:t>
      </w:r>
      <w:r>
        <w:rPr>
          <w:b w:val="0"/>
          <w:noProof/>
          <w:sz w:val="24"/>
          <w:szCs w:val="24"/>
          <w:lang w:eastAsia="ja-JP"/>
        </w:rPr>
        <w:tab/>
      </w:r>
      <w:r>
        <w:rPr>
          <w:noProof/>
        </w:rPr>
        <w:t>Overview of QIR and SAIR</w:t>
      </w:r>
      <w:r>
        <w:rPr>
          <w:noProof/>
        </w:rPr>
        <w:tab/>
      </w:r>
      <w:r w:rsidR="003D440E">
        <w:rPr>
          <w:noProof/>
        </w:rPr>
        <w:fldChar w:fldCharType="begin"/>
      </w:r>
      <w:r>
        <w:rPr>
          <w:noProof/>
        </w:rPr>
        <w:instrText xml:space="preserve"> PAGEREF _Toc214519185 \h </w:instrText>
      </w:r>
      <w:r w:rsidR="003D440E">
        <w:rPr>
          <w:noProof/>
        </w:rPr>
      </w:r>
      <w:r w:rsidR="003D440E">
        <w:rPr>
          <w:noProof/>
        </w:rPr>
        <w:fldChar w:fldCharType="separate"/>
      </w:r>
      <w:r>
        <w:rPr>
          <w:noProof/>
        </w:rPr>
        <w:t>29</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3.4</w:t>
      </w:r>
      <w:r>
        <w:rPr>
          <w:b w:val="0"/>
          <w:noProof/>
          <w:sz w:val="24"/>
          <w:szCs w:val="24"/>
          <w:lang w:eastAsia="ja-JP"/>
        </w:rPr>
        <w:tab/>
      </w:r>
      <w:r>
        <w:rPr>
          <w:noProof/>
        </w:rPr>
        <w:t>Sample</w:t>
      </w:r>
      <w:r>
        <w:rPr>
          <w:noProof/>
        </w:rPr>
        <w:tab/>
      </w:r>
      <w:r w:rsidR="003D440E">
        <w:rPr>
          <w:noProof/>
        </w:rPr>
        <w:fldChar w:fldCharType="begin"/>
      </w:r>
      <w:r>
        <w:rPr>
          <w:noProof/>
        </w:rPr>
        <w:instrText xml:space="preserve"> PAGEREF _Toc214519186 \h </w:instrText>
      </w:r>
      <w:r w:rsidR="003D440E">
        <w:rPr>
          <w:noProof/>
        </w:rPr>
      </w:r>
      <w:r w:rsidR="003D440E">
        <w:rPr>
          <w:noProof/>
        </w:rPr>
        <w:fldChar w:fldCharType="separate"/>
      </w:r>
      <w:r>
        <w:rPr>
          <w:noProof/>
        </w:rPr>
        <w:t>33</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3.5</w:t>
      </w:r>
      <w:r>
        <w:rPr>
          <w:b w:val="0"/>
          <w:noProof/>
          <w:sz w:val="24"/>
          <w:szCs w:val="24"/>
          <w:lang w:eastAsia="ja-JP"/>
        </w:rPr>
        <w:tab/>
      </w:r>
      <w:r>
        <w:rPr>
          <w:noProof/>
        </w:rPr>
        <w:t>Exclusions from the data</w:t>
      </w:r>
      <w:r>
        <w:rPr>
          <w:noProof/>
        </w:rPr>
        <w:tab/>
      </w:r>
      <w:r w:rsidR="003D440E">
        <w:rPr>
          <w:noProof/>
        </w:rPr>
        <w:fldChar w:fldCharType="begin"/>
      </w:r>
      <w:r>
        <w:rPr>
          <w:noProof/>
        </w:rPr>
        <w:instrText xml:space="preserve"> PAGEREF _Toc214519187 \h </w:instrText>
      </w:r>
      <w:r w:rsidR="003D440E">
        <w:rPr>
          <w:noProof/>
        </w:rPr>
      </w:r>
      <w:r w:rsidR="003D440E">
        <w:rPr>
          <w:noProof/>
        </w:rPr>
        <w:fldChar w:fldCharType="separate"/>
      </w:r>
      <w:r>
        <w:rPr>
          <w:noProof/>
        </w:rPr>
        <w:t>34</w:t>
      </w:r>
      <w:r w:rsidR="003D440E">
        <w:rPr>
          <w:noProof/>
        </w:rPr>
        <w:fldChar w:fldCharType="end"/>
      </w:r>
    </w:p>
    <w:p w:rsidR="00896630" w:rsidRDefault="00896630">
      <w:pPr>
        <w:pStyle w:val="TOC1"/>
        <w:tabs>
          <w:tab w:val="left" w:pos="1380"/>
          <w:tab w:val="right" w:leader="dot" w:pos="8290"/>
        </w:tabs>
        <w:rPr>
          <w:b w:val="0"/>
          <w:noProof/>
          <w:lang w:eastAsia="ja-JP"/>
        </w:rPr>
      </w:pPr>
      <w:r w:rsidRPr="00FE67D3">
        <w:rPr>
          <w:noProof/>
        </w:rPr>
        <w:t>Chapter 4:</w:t>
      </w:r>
      <w:r>
        <w:rPr>
          <w:b w:val="0"/>
          <w:noProof/>
          <w:lang w:eastAsia="ja-JP"/>
        </w:rPr>
        <w:tab/>
      </w:r>
      <w:r>
        <w:rPr>
          <w:noProof/>
        </w:rPr>
        <w:t>Methodology</w:t>
      </w:r>
      <w:r>
        <w:rPr>
          <w:noProof/>
        </w:rPr>
        <w:tab/>
      </w:r>
      <w:r w:rsidR="003D440E">
        <w:rPr>
          <w:noProof/>
        </w:rPr>
        <w:fldChar w:fldCharType="begin"/>
      </w:r>
      <w:r>
        <w:rPr>
          <w:noProof/>
        </w:rPr>
        <w:instrText xml:space="preserve"> PAGEREF _Toc214519188 \h </w:instrText>
      </w:r>
      <w:r w:rsidR="003D440E">
        <w:rPr>
          <w:noProof/>
        </w:rPr>
      </w:r>
      <w:r w:rsidR="003D440E">
        <w:rPr>
          <w:noProof/>
        </w:rPr>
        <w:fldChar w:fldCharType="separate"/>
      </w:r>
      <w:r>
        <w:rPr>
          <w:noProof/>
        </w:rPr>
        <w:t>36</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4.1</w:t>
      </w:r>
      <w:r>
        <w:rPr>
          <w:b w:val="0"/>
          <w:noProof/>
          <w:sz w:val="24"/>
          <w:szCs w:val="24"/>
          <w:lang w:eastAsia="ja-JP"/>
        </w:rPr>
        <w:tab/>
      </w:r>
      <w:r>
        <w:rPr>
          <w:noProof/>
        </w:rPr>
        <w:t>Methodology</w:t>
      </w:r>
      <w:r>
        <w:rPr>
          <w:noProof/>
        </w:rPr>
        <w:tab/>
      </w:r>
      <w:r w:rsidR="003D440E">
        <w:rPr>
          <w:noProof/>
        </w:rPr>
        <w:fldChar w:fldCharType="begin"/>
      </w:r>
      <w:r>
        <w:rPr>
          <w:noProof/>
        </w:rPr>
        <w:instrText xml:space="preserve"> PAGEREF _Toc214519189 \h </w:instrText>
      </w:r>
      <w:r w:rsidR="003D440E">
        <w:rPr>
          <w:noProof/>
        </w:rPr>
      </w:r>
      <w:r w:rsidR="003D440E">
        <w:rPr>
          <w:noProof/>
        </w:rPr>
        <w:fldChar w:fldCharType="separate"/>
      </w:r>
      <w:r>
        <w:rPr>
          <w:noProof/>
        </w:rPr>
        <w:t>36</w:t>
      </w:r>
      <w:r w:rsidR="003D440E">
        <w:rPr>
          <w:noProof/>
        </w:rPr>
        <w:fldChar w:fldCharType="end"/>
      </w:r>
    </w:p>
    <w:p w:rsidR="00896630" w:rsidRDefault="00896630">
      <w:pPr>
        <w:pStyle w:val="TOC1"/>
        <w:tabs>
          <w:tab w:val="left" w:pos="1380"/>
          <w:tab w:val="right" w:leader="dot" w:pos="8290"/>
        </w:tabs>
        <w:rPr>
          <w:b w:val="0"/>
          <w:noProof/>
          <w:lang w:eastAsia="ja-JP"/>
        </w:rPr>
      </w:pPr>
      <w:r w:rsidRPr="00FE67D3">
        <w:rPr>
          <w:noProof/>
        </w:rPr>
        <w:t>Chapter 5:</w:t>
      </w:r>
      <w:r>
        <w:rPr>
          <w:b w:val="0"/>
          <w:noProof/>
          <w:lang w:eastAsia="ja-JP"/>
        </w:rPr>
        <w:tab/>
      </w:r>
      <w:r>
        <w:rPr>
          <w:noProof/>
        </w:rPr>
        <w:t>Results</w:t>
      </w:r>
      <w:r>
        <w:rPr>
          <w:noProof/>
        </w:rPr>
        <w:tab/>
      </w:r>
      <w:r w:rsidR="003D440E">
        <w:rPr>
          <w:noProof/>
        </w:rPr>
        <w:fldChar w:fldCharType="begin"/>
      </w:r>
      <w:r>
        <w:rPr>
          <w:noProof/>
        </w:rPr>
        <w:instrText xml:space="preserve"> PAGEREF _Toc214519190 \h </w:instrText>
      </w:r>
      <w:r w:rsidR="003D440E">
        <w:rPr>
          <w:noProof/>
        </w:rPr>
      </w:r>
      <w:r w:rsidR="003D440E">
        <w:rPr>
          <w:noProof/>
        </w:rPr>
        <w:fldChar w:fldCharType="separate"/>
      </w:r>
      <w:r>
        <w:rPr>
          <w:noProof/>
        </w:rPr>
        <w:t>39</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sidRPr="00FE67D3">
        <w:rPr>
          <w:noProof/>
          <w:lang w:val="en-GB"/>
        </w:rPr>
        <w:t>5.1</w:t>
      </w:r>
      <w:r>
        <w:rPr>
          <w:b w:val="0"/>
          <w:noProof/>
          <w:sz w:val="24"/>
          <w:szCs w:val="24"/>
          <w:lang w:eastAsia="ja-JP"/>
        </w:rPr>
        <w:tab/>
      </w:r>
      <w:r w:rsidRPr="00FE67D3">
        <w:rPr>
          <w:noProof/>
          <w:lang w:val="en-GB"/>
        </w:rPr>
        <w:t>The results on the price effects on additions</w:t>
      </w:r>
      <w:r>
        <w:rPr>
          <w:noProof/>
        </w:rPr>
        <w:tab/>
      </w:r>
      <w:r w:rsidR="003D440E">
        <w:rPr>
          <w:noProof/>
        </w:rPr>
        <w:fldChar w:fldCharType="begin"/>
      </w:r>
      <w:r>
        <w:rPr>
          <w:noProof/>
        </w:rPr>
        <w:instrText xml:space="preserve"> PAGEREF _Toc214519191 \h </w:instrText>
      </w:r>
      <w:r w:rsidR="003D440E">
        <w:rPr>
          <w:noProof/>
        </w:rPr>
      </w:r>
      <w:r w:rsidR="003D440E">
        <w:rPr>
          <w:noProof/>
        </w:rPr>
        <w:fldChar w:fldCharType="separate"/>
      </w:r>
      <w:r>
        <w:rPr>
          <w:noProof/>
        </w:rPr>
        <w:t>40</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5.2</w:t>
      </w:r>
      <w:r>
        <w:rPr>
          <w:b w:val="0"/>
          <w:noProof/>
          <w:sz w:val="24"/>
          <w:szCs w:val="24"/>
          <w:lang w:eastAsia="ja-JP"/>
        </w:rPr>
        <w:tab/>
      </w:r>
      <w:r>
        <w:rPr>
          <w:noProof/>
        </w:rPr>
        <w:t>Results on deletions</w:t>
      </w:r>
      <w:r>
        <w:rPr>
          <w:noProof/>
        </w:rPr>
        <w:tab/>
      </w:r>
      <w:r w:rsidR="003D440E">
        <w:rPr>
          <w:noProof/>
        </w:rPr>
        <w:fldChar w:fldCharType="begin"/>
      </w:r>
      <w:r>
        <w:rPr>
          <w:noProof/>
        </w:rPr>
        <w:instrText xml:space="preserve"> PAGEREF _Toc214519192 \h </w:instrText>
      </w:r>
      <w:r w:rsidR="003D440E">
        <w:rPr>
          <w:noProof/>
        </w:rPr>
      </w:r>
      <w:r w:rsidR="003D440E">
        <w:rPr>
          <w:noProof/>
        </w:rPr>
        <w:fldChar w:fldCharType="separate"/>
      </w:r>
      <w:r>
        <w:rPr>
          <w:noProof/>
        </w:rPr>
        <w:t>48</w:t>
      </w:r>
      <w:r w:rsidR="003D440E">
        <w:rPr>
          <w:noProof/>
        </w:rPr>
        <w:fldChar w:fldCharType="end"/>
      </w:r>
    </w:p>
    <w:p w:rsidR="00896630" w:rsidRDefault="00896630">
      <w:pPr>
        <w:pStyle w:val="TOC2"/>
        <w:tabs>
          <w:tab w:val="left" w:pos="772"/>
          <w:tab w:val="right" w:leader="dot" w:pos="8290"/>
        </w:tabs>
        <w:rPr>
          <w:b w:val="0"/>
          <w:noProof/>
          <w:sz w:val="24"/>
          <w:szCs w:val="24"/>
          <w:lang w:eastAsia="ja-JP"/>
        </w:rPr>
      </w:pPr>
      <w:r>
        <w:rPr>
          <w:noProof/>
        </w:rPr>
        <w:t>5.3</w:t>
      </w:r>
      <w:r>
        <w:rPr>
          <w:b w:val="0"/>
          <w:noProof/>
          <w:sz w:val="24"/>
          <w:szCs w:val="24"/>
          <w:lang w:eastAsia="ja-JP"/>
        </w:rPr>
        <w:tab/>
      </w:r>
      <w:r>
        <w:rPr>
          <w:noProof/>
        </w:rPr>
        <w:t>Results on the Beta change</w:t>
      </w:r>
      <w:r>
        <w:rPr>
          <w:noProof/>
        </w:rPr>
        <w:tab/>
      </w:r>
      <w:r w:rsidR="003D440E">
        <w:rPr>
          <w:noProof/>
        </w:rPr>
        <w:fldChar w:fldCharType="begin"/>
      </w:r>
      <w:r>
        <w:rPr>
          <w:noProof/>
        </w:rPr>
        <w:instrText xml:space="preserve"> PAGEREF _Toc214519193 \h </w:instrText>
      </w:r>
      <w:r w:rsidR="003D440E">
        <w:rPr>
          <w:noProof/>
        </w:rPr>
      </w:r>
      <w:r w:rsidR="003D440E">
        <w:rPr>
          <w:noProof/>
        </w:rPr>
        <w:fldChar w:fldCharType="separate"/>
      </w:r>
      <w:r>
        <w:rPr>
          <w:noProof/>
        </w:rPr>
        <w:t>55</w:t>
      </w:r>
      <w:r w:rsidR="003D440E">
        <w:rPr>
          <w:noProof/>
        </w:rPr>
        <w:fldChar w:fldCharType="end"/>
      </w:r>
    </w:p>
    <w:p w:rsidR="00896630" w:rsidRDefault="00896630">
      <w:pPr>
        <w:pStyle w:val="TOC1"/>
        <w:tabs>
          <w:tab w:val="left" w:pos="1380"/>
          <w:tab w:val="right" w:leader="dot" w:pos="8290"/>
        </w:tabs>
        <w:rPr>
          <w:b w:val="0"/>
          <w:noProof/>
          <w:lang w:eastAsia="ja-JP"/>
        </w:rPr>
      </w:pPr>
      <w:r w:rsidRPr="00FE67D3">
        <w:rPr>
          <w:noProof/>
        </w:rPr>
        <w:t>Chapter 6:</w:t>
      </w:r>
      <w:r>
        <w:rPr>
          <w:b w:val="0"/>
          <w:noProof/>
          <w:lang w:eastAsia="ja-JP"/>
        </w:rPr>
        <w:tab/>
      </w:r>
      <w:r>
        <w:rPr>
          <w:noProof/>
        </w:rPr>
        <w:t>Summary of results and Conclusions</w:t>
      </w:r>
      <w:r>
        <w:rPr>
          <w:noProof/>
        </w:rPr>
        <w:tab/>
      </w:r>
      <w:r w:rsidR="003D440E">
        <w:rPr>
          <w:noProof/>
        </w:rPr>
        <w:fldChar w:fldCharType="begin"/>
      </w:r>
      <w:r>
        <w:rPr>
          <w:noProof/>
        </w:rPr>
        <w:instrText xml:space="preserve"> PAGEREF _Toc214519194 \h </w:instrText>
      </w:r>
      <w:r w:rsidR="003D440E">
        <w:rPr>
          <w:noProof/>
        </w:rPr>
      </w:r>
      <w:r w:rsidR="003D440E">
        <w:rPr>
          <w:noProof/>
        </w:rPr>
        <w:fldChar w:fldCharType="separate"/>
      </w:r>
      <w:r>
        <w:rPr>
          <w:noProof/>
        </w:rPr>
        <w:t>62</w:t>
      </w:r>
      <w:r w:rsidR="003D440E">
        <w:rPr>
          <w:noProof/>
        </w:rPr>
        <w:fldChar w:fldCharType="end"/>
      </w:r>
    </w:p>
    <w:p w:rsidR="00896630" w:rsidRDefault="00896630">
      <w:pPr>
        <w:pStyle w:val="TOC1"/>
        <w:tabs>
          <w:tab w:val="right" w:leader="dot" w:pos="8290"/>
        </w:tabs>
        <w:rPr>
          <w:b w:val="0"/>
          <w:noProof/>
          <w:lang w:eastAsia="ja-JP"/>
        </w:rPr>
      </w:pPr>
      <w:r>
        <w:rPr>
          <w:noProof/>
        </w:rPr>
        <w:t>References</w:t>
      </w:r>
      <w:r>
        <w:rPr>
          <w:noProof/>
        </w:rPr>
        <w:tab/>
      </w:r>
      <w:r w:rsidR="003D440E">
        <w:rPr>
          <w:noProof/>
        </w:rPr>
        <w:fldChar w:fldCharType="begin"/>
      </w:r>
      <w:r>
        <w:rPr>
          <w:noProof/>
        </w:rPr>
        <w:instrText xml:space="preserve"> PAGEREF _Toc214519195 \h </w:instrText>
      </w:r>
      <w:r w:rsidR="003D440E">
        <w:rPr>
          <w:noProof/>
        </w:rPr>
      </w:r>
      <w:r w:rsidR="003D440E">
        <w:rPr>
          <w:noProof/>
        </w:rPr>
        <w:fldChar w:fldCharType="separate"/>
      </w:r>
      <w:r>
        <w:rPr>
          <w:noProof/>
        </w:rPr>
        <w:t>65</w:t>
      </w:r>
      <w:r w:rsidR="003D440E">
        <w:rPr>
          <w:noProof/>
        </w:rPr>
        <w:fldChar w:fldCharType="end"/>
      </w:r>
    </w:p>
    <w:p w:rsidR="00896630" w:rsidRDefault="00896630">
      <w:pPr>
        <w:pStyle w:val="TOC1"/>
        <w:tabs>
          <w:tab w:val="right" w:leader="dot" w:pos="8290"/>
        </w:tabs>
        <w:rPr>
          <w:b w:val="0"/>
          <w:noProof/>
          <w:lang w:eastAsia="ja-JP"/>
        </w:rPr>
      </w:pPr>
      <w:r>
        <w:rPr>
          <w:noProof/>
        </w:rPr>
        <w:t>Appendices</w:t>
      </w:r>
      <w:r>
        <w:rPr>
          <w:noProof/>
        </w:rPr>
        <w:tab/>
      </w:r>
      <w:r w:rsidR="003D440E">
        <w:rPr>
          <w:noProof/>
        </w:rPr>
        <w:fldChar w:fldCharType="begin"/>
      </w:r>
      <w:r>
        <w:rPr>
          <w:noProof/>
        </w:rPr>
        <w:instrText xml:space="preserve"> PAGEREF _Toc214519196 \h </w:instrText>
      </w:r>
      <w:r w:rsidR="003D440E">
        <w:rPr>
          <w:noProof/>
        </w:rPr>
      </w:r>
      <w:r w:rsidR="003D440E">
        <w:rPr>
          <w:noProof/>
        </w:rPr>
        <w:fldChar w:fldCharType="separate"/>
      </w:r>
      <w:r>
        <w:rPr>
          <w:noProof/>
        </w:rPr>
        <w:t>67</w:t>
      </w:r>
      <w:r w:rsidR="003D440E">
        <w:rPr>
          <w:noProof/>
        </w:rPr>
        <w:fldChar w:fldCharType="end"/>
      </w:r>
    </w:p>
    <w:p w:rsidR="00512E4C" w:rsidRPr="00494B60" w:rsidRDefault="003D440E" w:rsidP="00512E4C">
      <w:r w:rsidRPr="00440335">
        <w:fldChar w:fldCharType="end"/>
      </w:r>
    </w:p>
    <w:p w:rsidR="00512E4C" w:rsidRPr="00494B60" w:rsidRDefault="00512E4C" w:rsidP="00512E4C"/>
    <w:p w:rsidR="00512E4C" w:rsidRPr="00494B60" w:rsidRDefault="00512E4C" w:rsidP="00512E4C"/>
    <w:p w:rsidR="00475FB8" w:rsidRPr="00494B60" w:rsidRDefault="00475FB8" w:rsidP="00512E4C"/>
    <w:p w:rsidR="00D942EB" w:rsidRDefault="00D942EB" w:rsidP="00512E4C"/>
    <w:p w:rsidR="00D942EB" w:rsidRDefault="00D942EB" w:rsidP="00512E4C"/>
    <w:p w:rsidR="00C25BF0" w:rsidRDefault="00C25BF0">
      <w:r>
        <w:br w:type="page"/>
      </w:r>
    </w:p>
    <w:p w:rsidR="00512E4C" w:rsidRPr="00EA1A78" w:rsidRDefault="00512E4C" w:rsidP="00413F51">
      <w:pPr>
        <w:pStyle w:val="Heading1"/>
      </w:pPr>
      <w:bookmarkStart w:id="0" w:name="_Toc214519176"/>
      <w:r w:rsidRPr="00EA1A78">
        <w:t>Introduction</w:t>
      </w:r>
      <w:bookmarkEnd w:id="0"/>
    </w:p>
    <w:p w:rsidR="009923DC" w:rsidRDefault="009923DC" w:rsidP="009923DC">
      <w:pPr>
        <w:rPr>
          <w:highlight w:val="yellow"/>
        </w:rPr>
      </w:pPr>
    </w:p>
    <w:p w:rsidR="009923DC" w:rsidRDefault="009923DC" w:rsidP="009923DC">
      <w:r w:rsidRPr="00984002">
        <w:t>The impact of stock prices of companies newly added or deleted from Morgan Stanley Capital International Emerging Markets Index (MSCI EM Index) is something that active and passive investors would like to know when investing in the emerging markets equities.</w:t>
      </w:r>
    </w:p>
    <w:p w:rsidR="007B1163" w:rsidRDefault="007B1163" w:rsidP="007B1163">
      <w:pPr>
        <w:pStyle w:val="Heading3"/>
      </w:pPr>
      <w:r>
        <w:t>What are indices?</w:t>
      </w:r>
    </w:p>
    <w:p w:rsidR="007B1163" w:rsidRDefault="007769E3" w:rsidP="007B1163">
      <w:r>
        <w:t>As Levy and Post (2005) described in their book on Investments, indices such as the</w:t>
      </w:r>
      <w:r w:rsidR="007B1163" w:rsidRPr="00BF3C49">
        <w:t xml:space="preserve"> </w:t>
      </w:r>
      <w:r w:rsidR="005113EB">
        <w:t>Dow Jones, NASDAQ</w:t>
      </w:r>
      <w:r w:rsidR="007B1163">
        <w:t xml:space="preserve">, S&amp;P 500 or AEX are </w:t>
      </w:r>
      <w:r w:rsidR="003A33C2">
        <w:t xml:space="preserve">often </w:t>
      </w:r>
      <w:r w:rsidR="007B1163">
        <w:t>mentioned</w:t>
      </w:r>
      <w:r>
        <w:t xml:space="preserve"> on the news</w:t>
      </w:r>
      <w:r w:rsidR="007B1163">
        <w:t>. Th</w:t>
      </w:r>
      <w:r w:rsidR="00640EEE">
        <w:t>ese</w:t>
      </w:r>
      <w:r w:rsidR="007B1163">
        <w:t xml:space="preserve"> are examples of indices just like the MSCI EM. </w:t>
      </w:r>
      <w:r w:rsidR="00896630">
        <w:t>They mentioned that i</w:t>
      </w:r>
      <w:r w:rsidR="007B1163">
        <w:t xml:space="preserve">ndices are used to measure historical rates of return across several securities. </w:t>
      </w:r>
      <w:r w:rsidR="00D96B62">
        <w:t xml:space="preserve">And noted that the </w:t>
      </w:r>
      <w:r w:rsidR="007B1163">
        <w:t>importance of an index is that it measures the performance of a c</w:t>
      </w:r>
      <w:r w:rsidR="00D02153">
        <w:t>ertain set</w:t>
      </w:r>
      <w:r w:rsidR="004A2758">
        <w:t xml:space="preserve"> of s</w:t>
      </w:r>
      <w:r w:rsidR="00D02153">
        <w:t>tocks</w:t>
      </w:r>
      <w:r w:rsidR="004A2758">
        <w:t xml:space="preserve"> just like the </w:t>
      </w:r>
      <w:r w:rsidR="007B1163">
        <w:t xml:space="preserve">CPI measures its consumer prices. Each index represents a different </w:t>
      </w:r>
      <w:r w:rsidR="00D96B62">
        <w:t xml:space="preserve">set of stocks or other types of </w:t>
      </w:r>
      <w:r w:rsidR="00377965">
        <w:t>instruments</w:t>
      </w:r>
      <w:r w:rsidR="007B1163">
        <w:t xml:space="preserve">. </w:t>
      </w:r>
      <w:r w:rsidR="00D02153">
        <w:t>Levy and Post (2005) summarized these differences as follows:</w:t>
      </w:r>
    </w:p>
    <w:p w:rsidR="007B1163" w:rsidRDefault="007B1163" w:rsidP="007B1163">
      <w:pPr>
        <w:pStyle w:val="ListParagraph"/>
        <w:numPr>
          <w:ilvl w:val="0"/>
          <w:numId w:val="22"/>
        </w:numPr>
      </w:pPr>
      <w:r>
        <w:t>The methodology to calculate the index</w:t>
      </w:r>
    </w:p>
    <w:p w:rsidR="007B1163" w:rsidRDefault="007B1163" w:rsidP="007B1163">
      <w:pPr>
        <w:pStyle w:val="ListParagraph"/>
        <w:numPr>
          <w:ilvl w:val="0"/>
          <w:numId w:val="22"/>
        </w:numPr>
      </w:pPr>
      <w:r>
        <w:t xml:space="preserve">The type of securities are added to the index </w:t>
      </w:r>
    </w:p>
    <w:p w:rsidR="007B1163" w:rsidRDefault="007B1163" w:rsidP="007B1163">
      <w:pPr>
        <w:pStyle w:val="ListParagraph"/>
        <w:numPr>
          <w:ilvl w:val="0"/>
          <w:numId w:val="22"/>
        </w:numPr>
      </w:pPr>
      <w:r>
        <w:t>The size of the universe</w:t>
      </w:r>
    </w:p>
    <w:p w:rsidR="007B1163" w:rsidRDefault="007B1163" w:rsidP="007B1163">
      <w:pPr>
        <w:pStyle w:val="ListParagraph"/>
        <w:numPr>
          <w:ilvl w:val="0"/>
          <w:numId w:val="22"/>
        </w:numPr>
      </w:pPr>
      <w:r>
        <w:t>Index changes and adjustments over time on a security and or country level</w:t>
      </w:r>
      <w:r w:rsidR="00EE1204">
        <w:t xml:space="preserve"> </w:t>
      </w:r>
    </w:p>
    <w:p w:rsidR="007B1163" w:rsidRDefault="002C600E" w:rsidP="007B1163">
      <w:r>
        <w:t>The Dow Jones Industrial A</w:t>
      </w:r>
      <w:r w:rsidR="007B1163">
        <w:t xml:space="preserve">verage (DJIA) represents industrial companies, The </w:t>
      </w:r>
      <w:r w:rsidR="00AD3313">
        <w:t>National Association of Securities Dealers Automated Quotation (</w:t>
      </w:r>
      <w:r w:rsidR="007B1163">
        <w:t>NASDAQ</w:t>
      </w:r>
      <w:r w:rsidR="00AD3313">
        <w:t>)</w:t>
      </w:r>
      <w:r w:rsidR="007B1163">
        <w:t xml:space="preserve"> focuses on IT companies, S&amp;P 500 is a basket of 500 of the largest companies that are listed on New York Stock Exchange (NYSE). Amsterdam Exchange (AEX) is a basket of </w:t>
      </w:r>
      <w:r w:rsidR="00FD610D">
        <w:t xml:space="preserve">25 </w:t>
      </w:r>
      <w:r w:rsidR="00937972">
        <w:t>most liquid</w:t>
      </w:r>
      <w:r w:rsidR="00FD610D">
        <w:t xml:space="preserve"> companies a</w:t>
      </w:r>
      <w:r w:rsidR="007B1163">
        <w:t>nd the MSCI E</w:t>
      </w:r>
      <w:r w:rsidR="00937972">
        <w:t>merging Markets</w:t>
      </w:r>
      <w:r w:rsidR="007B1163">
        <w:t xml:space="preserve"> is a combination of </w:t>
      </w:r>
      <w:r w:rsidR="000459FA">
        <w:t xml:space="preserve">an </w:t>
      </w:r>
      <w:r w:rsidR="007B1163">
        <w:t xml:space="preserve">estimated 850 companies from 21 Emerging countries all around the world. These indices are just a small example of all indices that are available nowadays. </w:t>
      </w:r>
      <w:r>
        <w:t xml:space="preserve">Levy and Post (2005) mention the </w:t>
      </w:r>
      <w:r w:rsidR="00D96B62">
        <w:t>importance of</w:t>
      </w:r>
      <w:r>
        <w:t xml:space="preserve"> indices as follows</w:t>
      </w:r>
      <w:r w:rsidR="007B1163">
        <w:t>:</w:t>
      </w:r>
    </w:p>
    <w:p w:rsidR="007B1163" w:rsidRDefault="007B1163" w:rsidP="007B1163">
      <w:pPr>
        <w:pStyle w:val="ListParagraph"/>
        <w:numPr>
          <w:ilvl w:val="0"/>
          <w:numId w:val="21"/>
        </w:numPr>
      </w:pPr>
      <w:r>
        <w:t xml:space="preserve">Stock indices measure the general performance of </w:t>
      </w:r>
      <w:r w:rsidR="001E2380">
        <w:t>a stock market</w:t>
      </w:r>
      <w:r>
        <w:t>.</w:t>
      </w:r>
      <w:r w:rsidR="00EE1204">
        <w:t xml:space="preserve"> </w:t>
      </w:r>
      <w:r>
        <w:t>If an economy is growing and rising most likely the indices will do so too.</w:t>
      </w:r>
      <w:r w:rsidR="00EE1204">
        <w:t xml:space="preserve"> </w:t>
      </w:r>
    </w:p>
    <w:p w:rsidR="007B1163" w:rsidRDefault="007B1163" w:rsidP="007B1163">
      <w:pPr>
        <w:pStyle w:val="ListParagraph"/>
        <w:numPr>
          <w:ilvl w:val="0"/>
          <w:numId w:val="21"/>
        </w:numPr>
      </w:pPr>
      <w:r>
        <w:t>Stock indices are a tool to measure investors’ expectations about future performance of a</w:t>
      </w:r>
      <w:r w:rsidR="001E2380">
        <w:t xml:space="preserve"> stock market</w:t>
      </w:r>
      <w:r>
        <w:t>. (A tool for making estima</w:t>
      </w:r>
      <w:r w:rsidR="00A23D8F">
        <w:t>tes instead of historical data).</w:t>
      </w:r>
    </w:p>
    <w:p w:rsidR="007B1163" w:rsidRDefault="007B1163" w:rsidP="007B1163">
      <w:pPr>
        <w:pStyle w:val="ListParagraph"/>
        <w:numPr>
          <w:ilvl w:val="0"/>
          <w:numId w:val="21"/>
        </w:numPr>
      </w:pPr>
      <w:r>
        <w:t>Investors and analysts use indices to evaluate the overall direction of the market</w:t>
      </w:r>
      <w:r w:rsidR="00A23D8F">
        <w:t>.</w:t>
      </w:r>
    </w:p>
    <w:p w:rsidR="007B1163" w:rsidRDefault="007B1163" w:rsidP="007B1163">
      <w:pPr>
        <w:pStyle w:val="ListParagraph"/>
        <w:numPr>
          <w:ilvl w:val="0"/>
          <w:numId w:val="21"/>
        </w:numPr>
      </w:pPr>
      <w:r>
        <w:t>Indices can be used as a benchmark to determine the performance of investment managers</w:t>
      </w:r>
      <w:r w:rsidR="00A23D8F">
        <w:t>.</w:t>
      </w:r>
    </w:p>
    <w:p w:rsidR="007B1163" w:rsidRDefault="007B1163" w:rsidP="007B1163">
      <w:pPr>
        <w:pStyle w:val="ListParagraph"/>
        <w:numPr>
          <w:ilvl w:val="0"/>
          <w:numId w:val="21"/>
        </w:numPr>
      </w:pPr>
      <w:r>
        <w:t>Indices can be used as a guideline for passively managed mutual funds</w:t>
      </w:r>
      <w:r w:rsidR="00A23D8F">
        <w:t>.</w:t>
      </w:r>
    </w:p>
    <w:p w:rsidR="007B1163" w:rsidRDefault="007B1163" w:rsidP="00D942EB">
      <w:pPr>
        <w:pStyle w:val="Heading3"/>
      </w:pPr>
      <w:r>
        <w:lastRenderedPageBreak/>
        <w:t>The objective of this study</w:t>
      </w:r>
    </w:p>
    <w:p w:rsidR="007B1163" w:rsidRDefault="007B1163" w:rsidP="007B1163">
      <w:r>
        <w:t xml:space="preserve">The reason for choosing to study the price effect and beta changes of stocks added to or deleted from the MSCI Emerging Markets is to investigate if it makes sense for investors in Emerging Markets to timely buy or sell stocks that will enter or disappear from the index. </w:t>
      </w:r>
    </w:p>
    <w:p w:rsidR="007B1163" w:rsidRDefault="007B1163" w:rsidP="007B1163">
      <w:r>
        <w:t>Previous studies from for example Zhou (2011), Chen et al (2003) and Doeswijk (2007) on price effects on index reviews have shown that a stock that is included in the index becaus</w:t>
      </w:r>
      <w:r w:rsidR="00F6369A">
        <w:t>e of an index review experience</w:t>
      </w:r>
      <w:r>
        <w:t xml:space="preserve"> a statistically significant and permanent price increase upon inclusion into the index.</w:t>
      </w:r>
      <w:r w:rsidR="00EE1204">
        <w:t xml:space="preserve"> </w:t>
      </w:r>
      <w:r>
        <w:t>Del</w:t>
      </w:r>
      <w:r w:rsidR="00F6369A">
        <w:t>eted stocks from the index show</w:t>
      </w:r>
      <w:r>
        <w:t xml:space="preserve"> an opposite effect.</w:t>
      </w:r>
    </w:p>
    <w:p w:rsidR="007B1163" w:rsidRDefault="007B1163" w:rsidP="007B1163">
      <w:r>
        <w:t xml:space="preserve">Secondly, </w:t>
      </w:r>
      <w:r w:rsidR="00FD610D">
        <w:t>for</w:t>
      </w:r>
      <w:r w:rsidR="00AD3313">
        <w:t xml:space="preserve"> this study </w:t>
      </w:r>
      <w:r w:rsidR="00FD610D">
        <w:t>it was decided</w:t>
      </w:r>
      <w:r>
        <w:t xml:space="preserve"> to investigate the change in beta on stocks added to and stocks deleted from the Emerging Markets index. When an index reviews its stocks</w:t>
      </w:r>
      <w:r w:rsidR="00F6369A">
        <w:t>,</w:t>
      </w:r>
      <w:r>
        <w:t xml:space="preserve"> some stocks </w:t>
      </w:r>
      <w:r w:rsidR="00A23D8F">
        <w:t>may</w:t>
      </w:r>
      <w:r>
        <w:t xml:space="preserve"> be down-weighted while others </w:t>
      </w:r>
      <w:r w:rsidR="00A23D8F">
        <w:t>may</w:t>
      </w:r>
      <w:r>
        <w:t xml:space="preserve"> be increased, newly added or deleted from the index. In theory under the efficient markets view, these changes should not have an impact on the prices of these stocks. Studies from Green and Sosner</w:t>
      </w:r>
      <w:r w:rsidR="00EE1204">
        <w:t xml:space="preserve"> </w:t>
      </w:r>
      <w:r>
        <w:t>(2002) Barberis et al. (2002) and Vijh (1994) have shown an increase upon addition and a decrease of beta upon deletion from the index. These results were not in line with theory of the efficient markets view.</w:t>
      </w:r>
      <w:r w:rsidR="00BB482B">
        <w:t xml:space="preserve"> </w:t>
      </w:r>
      <w:r>
        <w:t>This brings us to the research questions</w:t>
      </w:r>
      <w:r w:rsidR="00BB482B">
        <w:t>.</w:t>
      </w:r>
    </w:p>
    <w:p w:rsidR="007B1163" w:rsidRPr="00C64FD6" w:rsidRDefault="007B1163" w:rsidP="007B1163">
      <w:pPr>
        <w:rPr>
          <w:b/>
        </w:rPr>
      </w:pPr>
      <w:r w:rsidRPr="00C64FD6">
        <w:rPr>
          <w:b/>
        </w:rPr>
        <w:t>First research question:</w:t>
      </w:r>
    </w:p>
    <w:p w:rsidR="002C600E" w:rsidRDefault="00676445" w:rsidP="002C600E">
      <w:pPr>
        <w:spacing w:line="240" w:lineRule="auto"/>
        <w:rPr>
          <w:i/>
        </w:rPr>
      </w:pPr>
      <w:r>
        <w:rPr>
          <w:i/>
        </w:rPr>
        <w:t xml:space="preserve">- </w:t>
      </w:r>
      <w:r w:rsidR="007B1163" w:rsidRPr="00C64FD6">
        <w:rPr>
          <w:i/>
        </w:rPr>
        <w:t xml:space="preserve">What is the impact of stock prices on stocks newly added to or deleted from MSCI Emerging Markets Index? </w:t>
      </w:r>
      <w:r w:rsidR="002C600E">
        <w:rPr>
          <w:i/>
        </w:rPr>
        <w:t>Meaning that there should be zero price effect on additions to and deletions from the MSCI Emerging Markets index after index review changes have been implemented</w:t>
      </w:r>
      <w:r w:rsidR="00BB396B">
        <w:rPr>
          <w:i/>
        </w:rPr>
        <w:t>, because index reviews contain no news about fundamentals of a stock</w:t>
      </w:r>
      <w:r w:rsidR="002C600E">
        <w:rPr>
          <w:i/>
        </w:rPr>
        <w:t>.</w:t>
      </w:r>
    </w:p>
    <w:p w:rsidR="007B1163" w:rsidRPr="00C64FD6" w:rsidRDefault="007B1163" w:rsidP="002C600E">
      <w:pPr>
        <w:spacing w:line="240" w:lineRule="auto"/>
        <w:rPr>
          <w:b/>
        </w:rPr>
      </w:pPr>
      <w:r w:rsidRPr="00C64FD6">
        <w:rPr>
          <w:b/>
        </w:rPr>
        <w:t>Second research question:</w:t>
      </w:r>
    </w:p>
    <w:p w:rsidR="007B1163" w:rsidRPr="00C64FD6" w:rsidRDefault="00676445" w:rsidP="00676445">
      <w:pPr>
        <w:spacing w:line="240" w:lineRule="auto"/>
        <w:rPr>
          <w:i/>
        </w:rPr>
      </w:pPr>
      <w:r>
        <w:rPr>
          <w:i/>
        </w:rPr>
        <w:t xml:space="preserve">- </w:t>
      </w:r>
      <w:r w:rsidR="007B1163" w:rsidRPr="00C64FD6">
        <w:rPr>
          <w:i/>
        </w:rPr>
        <w:t>Is there a change in beta of added or deleted stocks when measured before and after the implementation of the index review changes to the MSCI Emerging Markets Index?</w:t>
      </w:r>
      <w:r w:rsidR="007B1163">
        <w:rPr>
          <w:i/>
        </w:rPr>
        <w:t xml:space="preserve"> Meaning that there should be zero change in beta before and after the index implementation because an index review contains no news about the fundamentals of a stock. </w:t>
      </w:r>
    </w:p>
    <w:p w:rsidR="007E0E62" w:rsidRDefault="007B1163">
      <w:r>
        <w:t xml:space="preserve">Chapter </w:t>
      </w:r>
      <w:r w:rsidR="00FD610D">
        <w:t>2</w:t>
      </w:r>
      <w:r>
        <w:t xml:space="preserve"> will focus on results of previous </w:t>
      </w:r>
      <w:r w:rsidR="003D01B3">
        <w:t>studies;</w:t>
      </w:r>
      <w:r>
        <w:t xml:space="preserve"> </w:t>
      </w:r>
      <w:r w:rsidR="00FA4CE0">
        <w:t>Chapter</w:t>
      </w:r>
      <w:r>
        <w:t xml:space="preserve"> </w:t>
      </w:r>
      <w:r w:rsidR="00FD610D">
        <w:t xml:space="preserve">3 </w:t>
      </w:r>
      <w:r>
        <w:t>will give more details on the data that w</w:t>
      </w:r>
      <w:r w:rsidR="00AD3313">
        <w:t>ere</w:t>
      </w:r>
      <w:r>
        <w:t xml:space="preserve"> used for this study. Chapter </w:t>
      </w:r>
      <w:r w:rsidR="00FD610D">
        <w:t>4</w:t>
      </w:r>
      <w:r>
        <w:t xml:space="preserve"> will elaborate on the methodology, Chapter </w:t>
      </w:r>
      <w:r w:rsidR="00FD610D">
        <w:t>5</w:t>
      </w:r>
      <w:r>
        <w:t xml:space="preserve"> will explain the results </w:t>
      </w:r>
      <w:r w:rsidR="00DB4A0E">
        <w:t>found in this study and the closing C</w:t>
      </w:r>
      <w:r>
        <w:t xml:space="preserve">hapter </w:t>
      </w:r>
      <w:r w:rsidR="00FD610D">
        <w:t>6</w:t>
      </w:r>
      <w:r w:rsidR="00DB4A0E">
        <w:t xml:space="preserve"> </w:t>
      </w:r>
      <w:r>
        <w:t>provide</w:t>
      </w:r>
      <w:r w:rsidR="00FD610D">
        <w:t>s</w:t>
      </w:r>
      <w:r w:rsidR="009C3C70">
        <w:t xml:space="preserve"> a summary and conclusion</w:t>
      </w:r>
      <w:r>
        <w:t>.</w:t>
      </w:r>
    </w:p>
    <w:p w:rsidR="00327A44" w:rsidRPr="00C25BF0" w:rsidRDefault="007E0E62">
      <w:r>
        <w:br w:type="page"/>
      </w:r>
    </w:p>
    <w:p w:rsidR="00512E4C" w:rsidRDefault="00512E4C" w:rsidP="00413F51">
      <w:pPr>
        <w:pStyle w:val="Heading1"/>
      </w:pPr>
      <w:bookmarkStart w:id="1" w:name="_Toc214519177"/>
      <w:r>
        <w:t>Literature</w:t>
      </w:r>
      <w:bookmarkEnd w:id="1"/>
    </w:p>
    <w:p w:rsidR="00512E4C" w:rsidRDefault="00512E4C" w:rsidP="00512E4C"/>
    <w:p w:rsidR="00512E4C" w:rsidRDefault="00E0047F" w:rsidP="00512E4C">
      <w:pPr>
        <w:pStyle w:val="Heading2"/>
      </w:pPr>
      <w:bookmarkStart w:id="2" w:name="_Toc214519178"/>
      <w:r>
        <w:t>Theories on price effects</w:t>
      </w:r>
      <w:bookmarkEnd w:id="2"/>
    </w:p>
    <w:p w:rsidR="00852AFC" w:rsidRDefault="00685DA7" w:rsidP="00512E4C">
      <w:r>
        <w:t>Over</w:t>
      </w:r>
      <w:r w:rsidR="00C84AA3">
        <w:t xml:space="preserve"> the past years a number</w:t>
      </w:r>
      <w:r w:rsidR="00512E4C">
        <w:t xml:space="preserve"> of stu</w:t>
      </w:r>
      <w:r w:rsidR="006E5C45">
        <w:t>dies have been done around additions</w:t>
      </w:r>
      <w:r w:rsidR="00512E4C">
        <w:t xml:space="preserve"> and deleti</w:t>
      </w:r>
      <w:r w:rsidR="006E5C45">
        <w:t>ons of</w:t>
      </w:r>
      <w:r w:rsidR="00DE1856">
        <w:t xml:space="preserve"> </w:t>
      </w:r>
      <w:r w:rsidR="00C84AA3">
        <w:t xml:space="preserve">stocks from </w:t>
      </w:r>
      <w:r w:rsidR="00512E4C">
        <w:t xml:space="preserve">US market </w:t>
      </w:r>
      <w:r>
        <w:t>indices such as</w:t>
      </w:r>
      <w:r w:rsidR="00512E4C">
        <w:t xml:space="preserve"> the S&amp;P. </w:t>
      </w:r>
      <w:r w:rsidR="00750C6E" w:rsidRPr="00192285">
        <w:t>One of the first to research and examine published information on announcement</w:t>
      </w:r>
      <w:r w:rsidR="00750C6E">
        <w:t>s</w:t>
      </w:r>
      <w:r w:rsidR="00750C6E" w:rsidRPr="00192285">
        <w:t xml:space="preserve"> from Standard &amp; Poor’s is Jain (1987)</w:t>
      </w:r>
      <w:r w:rsidR="00750C6E">
        <w:t xml:space="preserve">. </w:t>
      </w:r>
      <w:r w:rsidR="00512E4C">
        <w:t xml:space="preserve">Most of the evidence </w:t>
      </w:r>
      <w:r>
        <w:t xml:space="preserve">from these studies </w:t>
      </w:r>
      <w:r w:rsidR="00512E4C">
        <w:t xml:space="preserve">shows </w:t>
      </w:r>
      <w:r>
        <w:t xml:space="preserve">that </w:t>
      </w:r>
      <w:r w:rsidR="00512E4C">
        <w:t xml:space="preserve">price reactions </w:t>
      </w:r>
      <w:r>
        <w:t xml:space="preserve">occur </w:t>
      </w:r>
      <w:r w:rsidR="00512E4C">
        <w:t xml:space="preserve">when an </w:t>
      </w:r>
      <w:r w:rsidR="006E5C45">
        <w:t xml:space="preserve">index review </w:t>
      </w:r>
      <w:r w:rsidR="00512E4C">
        <w:t xml:space="preserve">announcement is made </w:t>
      </w:r>
      <w:r w:rsidR="006E5C45">
        <w:t xml:space="preserve">of </w:t>
      </w:r>
      <w:r w:rsidR="00512E4C">
        <w:t>stock</w:t>
      </w:r>
      <w:r w:rsidR="006E5C45">
        <w:t xml:space="preserve">s that </w:t>
      </w:r>
      <w:r w:rsidR="00512E4C">
        <w:t xml:space="preserve">will enter or exit </w:t>
      </w:r>
      <w:r w:rsidR="006E5C45">
        <w:t>th</w:t>
      </w:r>
      <w:r w:rsidR="00512E4C">
        <w:t>a</w:t>
      </w:r>
      <w:r w:rsidR="006E5C45">
        <w:t>t</w:t>
      </w:r>
      <w:r w:rsidR="00512E4C">
        <w:t xml:space="preserve"> index. In general</w:t>
      </w:r>
      <w:r>
        <w:t>,</w:t>
      </w:r>
      <w:r w:rsidR="00512E4C">
        <w:t xml:space="preserve"> these studies also show that when a stock enters the index</w:t>
      </w:r>
      <w:r w:rsidR="00265128">
        <w:t>,</w:t>
      </w:r>
      <w:r w:rsidR="00512E4C">
        <w:t xml:space="preserve"> a permanent price increase takes place</w:t>
      </w:r>
      <w:r w:rsidR="00265128">
        <w:t>;</w:t>
      </w:r>
      <w:r w:rsidR="00512E4C">
        <w:t xml:space="preserve"> but when the stock gets deleted the stock price is only temporary hammered, and recovers after a few</w:t>
      </w:r>
      <w:r w:rsidR="00DE1856">
        <w:t xml:space="preserve"> </w:t>
      </w:r>
      <w:r w:rsidR="00512E4C">
        <w:t xml:space="preserve">days. Harris and Gurel (1986) </w:t>
      </w:r>
      <w:r w:rsidR="00265128">
        <w:t>attribute</w:t>
      </w:r>
      <w:r w:rsidR="00062B25">
        <w:t xml:space="preserve"> to</w:t>
      </w:r>
      <w:r w:rsidR="00512E4C">
        <w:t xml:space="preserve"> the price changes around S&amp;P 500 inclusions to</w:t>
      </w:r>
      <w:r w:rsidR="00DE1856">
        <w:t xml:space="preserve"> </w:t>
      </w:r>
      <w:r w:rsidR="00512E4C">
        <w:t>an increase in demand from index funds. They also found that</w:t>
      </w:r>
      <w:r w:rsidR="00265128">
        <w:t>,</w:t>
      </w:r>
      <w:r w:rsidR="00512E4C">
        <w:t xml:space="preserve"> after the announcement date</w:t>
      </w:r>
      <w:r w:rsidR="00265128">
        <w:t>,</w:t>
      </w:r>
      <w:r w:rsidR="00512E4C">
        <w:t xml:space="preserve"> </w:t>
      </w:r>
      <w:r w:rsidR="00265128">
        <w:t xml:space="preserve">the </w:t>
      </w:r>
      <w:r w:rsidR="00512E4C">
        <w:t>trading volume of revised companies increase</w:t>
      </w:r>
      <w:r w:rsidR="00265128">
        <w:t>s</w:t>
      </w:r>
      <w:r w:rsidR="00512E4C">
        <w:t>.</w:t>
      </w:r>
      <w:r w:rsidR="00DE1856">
        <w:t xml:space="preserve"> </w:t>
      </w:r>
      <w:r w:rsidR="00414224">
        <w:t xml:space="preserve">Shleifer (1986) </w:t>
      </w:r>
      <w:r w:rsidR="00926E4F">
        <w:t xml:space="preserve">found that </w:t>
      </w:r>
      <w:r w:rsidR="00414224">
        <w:t>newly added stocks earned significantly positive excess returns upon announcement of inclusion in the S&amp;P500 and states that those returns are positively related to buying by index</w:t>
      </w:r>
      <w:r w:rsidR="00926E4F">
        <w:t xml:space="preserve"> </w:t>
      </w:r>
      <w:r w:rsidR="00414224">
        <w:t xml:space="preserve">funds. </w:t>
      </w:r>
      <w:r w:rsidR="00512E4C" w:rsidRPr="00A97F76">
        <w:t xml:space="preserve">Hacibedel (2007) </w:t>
      </w:r>
      <w:r w:rsidR="00B10507">
        <w:t xml:space="preserve">has looked at price </w:t>
      </w:r>
      <w:r w:rsidR="00D942EB">
        <w:t>effect of</w:t>
      </w:r>
      <w:r w:rsidR="00926E4F">
        <w:t xml:space="preserve"> additions and deletions </w:t>
      </w:r>
      <w:r w:rsidR="00B10507">
        <w:t xml:space="preserve">on the MSCI Emerging Market index and </w:t>
      </w:r>
      <w:r w:rsidR="00512E4C" w:rsidRPr="00A97F76">
        <w:t>link</w:t>
      </w:r>
      <w:r w:rsidR="00B10507">
        <w:t>s</w:t>
      </w:r>
      <w:r w:rsidR="00512E4C" w:rsidRPr="00A97F76">
        <w:t xml:space="preserve"> the price changes to the information effect</w:t>
      </w:r>
      <w:r w:rsidR="00512E4C">
        <w:t xml:space="preserve">. </w:t>
      </w:r>
      <w:r w:rsidR="00926E4F">
        <w:t>Beneish and Whaley (1996) claim</w:t>
      </w:r>
      <w:r w:rsidR="00512E4C">
        <w:t xml:space="preserve"> that the price effect </w:t>
      </w:r>
      <w:r w:rsidR="00926E4F">
        <w:t>of a</w:t>
      </w:r>
      <w:r w:rsidR="00512E4C">
        <w:t xml:space="preserve"> stock </w:t>
      </w:r>
      <w:r w:rsidR="00926E4F">
        <w:t xml:space="preserve">reaches a new equilibrium when </w:t>
      </w:r>
      <w:r w:rsidR="00512E4C">
        <w:t>included in the index</w:t>
      </w:r>
      <w:r w:rsidR="00926E4F">
        <w:t>.</w:t>
      </w:r>
      <w:r w:rsidR="00512E4C">
        <w:t xml:space="preserve"> </w:t>
      </w:r>
      <w:r w:rsidR="001B51DD">
        <w:t xml:space="preserve">Another phenomenon that contributes to a price effect is the increased awareness of investors that are following stock </w:t>
      </w:r>
      <w:r w:rsidR="00001878">
        <w:t>inclusions by Chen et al.</w:t>
      </w:r>
      <w:r w:rsidR="001B51DD">
        <w:t xml:space="preserve"> (200</w:t>
      </w:r>
      <w:r w:rsidR="00001878">
        <w:t>3</w:t>
      </w:r>
      <w:r w:rsidR="001B51DD" w:rsidRPr="00192285">
        <w:t>). Investors’ awareness is based on the model of asset pricing with imperfect information</w:t>
      </w:r>
      <w:r w:rsidR="00001878">
        <w:t>.</w:t>
      </w:r>
      <w:r w:rsidR="001B51DD" w:rsidRPr="00192285">
        <w:t xml:space="preserve"> </w:t>
      </w:r>
    </w:p>
    <w:p w:rsidR="00085D77" w:rsidRDefault="00085D77" w:rsidP="00512E4C"/>
    <w:p w:rsidR="00852AFC" w:rsidRPr="00852AFC" w:rsidRDefault="00E0047F" w:rsidP="00475FB8">
      <w:pPr>
        <w:pStyle w:val="Heading2"/>
      </w:pPr>
      <w:bookmarkStart w:id="3" w:name="_Toc214519179"/>
      <w:r>
        <w:t>Theories on co-movement</w:t>
      </w:r>
      <w:bookmarkEnd w:id="3"/>
    </w:p>
    <w:p w:rsidR="001721A0" w:rsidRDefault="00852AFC" w:rsidP="00512E4C">
      <w:r>
        <w:t xml:space="preserve">The </w:t>
      </w:r>
      <w:r w:rsidR="00512E4C">
        <w:t>second research question focuses on</w:t>
      </w:r>
      <w:r w:rsidR="00DE1856">
        <w:t xml:space="preserve"> </w:t>
      </w:r>
      <w:r w:rsidR="00512E4C">
        <w:t xml:space="preserve">the co-movements and </w:t>
      </w:r>
      <w:r w:rsidR="00132A93">
        <w:t>beta change</w:t>
      </w:r>
      <w:r w:rsidR="00512E4C">
        <w:t xml:space="preserve"> in the MSCI EM index when</w:t>
      </w:r>
      <w:r w:rsidR="00DE1856">
        <w:t xml:space="preserve"> </w:t>
      </w:r>
      <w:r w:rsidR="00512E4C">
        <w:t>stock</w:t>
      </w:r>
      <w:r w:rsidR="00192285">
        <w:t>s</w:t>
      </w:r>
      <w:r w:rsidR="00512E4C">
        <w:t xml:space="preserve"> are added to or deleted</w:t>
      </w:r>
      <w:r w:rsidR="00DE1856">
        <w:t xml:space="preserve"> </w:t>
      </w:r>
      <w:r w:rsidR="00512E4C">
        <w:t>from the index.</w:t>
      </w:r>
      <w:r w:rsidR="00EE1204">
        <w:t xml:space="preserve"> </w:t>
      </w:r>
      <w:r>
        <w:t>Traditionally</w:t>
      </w:r>
      <w:r w:rsidR="001721A0">
        <w:t xml:space="preserve"> investors trade</w:t>
      </w:r>
      <w:r>
        <w:t>d</w:t>
      </w:r>
      <w:r w:rsidR="001721A0">
        <w:t xml:space="preserve"> because of news and changes on fundamental value of companies. </w:t>
      </w:r>
      <w:r>
        <w:t xml:space="preserve">An example of a reason for trading that does not </w:t>
      </w:r>
      <w:r w:rsidR="001721A0">
        <w:t>come from fundamental news</w:t>
      </w:r>
      <w:r w:rsidR="00FF2378">
        <w:t xml:space="preserve"> </w:t>
      </w:r>
      <w:r>
        <w:t>is an index review.</w:t>
      </w:r>
      <w:r w:rsidR="001721A0">
        <w:t xml:space="preserve"> </w:t>
      </w:r>
    </w:p>
    <w:p w:rsidR="003210A7" w:rsidRDefault="001721A0" w:rsidP="00B01C09">
      <w:r>
        <w:t>When an index reviews its securities, some securities might be dow</w:t>
      </w:r>
      <w:r w:rsidR="00B77FB1">
        <w:t>n-</w:t>
      </w:r>
      <w:r>
        <w:t>weighted and others might be increased in the index. Or there might be securities</w:t>
      </w:r>
      <w:r w:rsidR="00FF2378">
        <w:t xml:space="preserve"> </w:t>
      </w:r>
      <w:r w:rsidR="00B77FB1">
        <w:t xml:space="preserve">added newly </w:t>
      </w:r>
      <w:r w:rsidR="00FF2378">
        <w:t xml:space="preserve">to or deleted from the index. In theory under efficient </w:t>
      </w:r>
      <w:r w:rsidR="00B77FB1">
        <w:t>m</w:t>
      </w:r>
      <w:r w:rsidR="00FF2378">
        <w:t xml:space="preserve">arkets view </w:t>
      </w:r>
      <w:r w:rsidR="00852AFC">
        <w:t>these changes</w:t>
      </w:r>
      <w:r w:rsidR="00FF2378">
        <w:t xml:space="preserve"> should not have an impact on the </w:t>
      </w:r>
      <w:r w:rsidR="00230484">
        <w:t xml:space="preserve">correlation of </w:t>
      </w:r>
      <w:r w:rsidR="00FF2378">
        <w:t>prices of these securities because there has been no new fundamental information on the value of these stocks.</w:t>
      </w:r>
      <w:r w:rsidR="00EE1204">
        <w:t xml:space="preserve"> </w:t>
      </w:r>
      <w:r w:rsidR="00AD3313">
        <w:t>C</w:t>
      </w:r>
      <w:r w:rsidR="005F5350">
        <w:t xml:space="preserve">o-movement </w:t>
      </w:r>
      <w:r w:rsidR="00AD3313">
        <w:t>is analyzed by comparing the beta of a stock added</w:t>
      </w:r>
      <w:r w:rsidR="005F5350">
        <w:t xml:space="preserve"> </w:t>
      </w:r>
      <w:r w:rsidR="00AD3313">
        <w:t>to (</w:t>
      </w:r>
      <w:r w:rsidR="005F5350">
        <w:t xml:space="preserve">or deleted </w:t>
      </w:r>
      <w:r w:rsidR="00AD3313">
        <w:t xml:space="preserve">from) the index, </w:t>
      </w:r>
      <w:r w:rsidR="005F5350">
        <w:t xml:space="preserve">before and after the inclusion </w:t>
      </w:r>
      <w:r w:rsidR="00AD3313">
        <w:t>(</w:t>
      </w:r>
      <w:r w:rsidR="005F5350">
        <w:t>or deletion</w:t>
      </w:r>
      <w:r w:rsidR="00AD3313">
        <w:t>)</w:t>
      </w:r>
      <w:r w:rsidR="005F5350">
        <w:t xml:space="preserve"> from the index.</w:t>
      </w:r>
    </w:p>
    <w:p w:rsidR="003210A7" w:rsidRDefault="000657CB" w:rsidP="003210A7">
      <w:r>
        <w:t>Most of the</w:t>
      </w:r>
      <w:r w:rsidR="00281865">
        <w:t xml:space="preserve"> research </w:t>
      </w:r>
      <w:r>
        <w:t xml:space="preserve">has been done </w:t>
      </w:r>
      <w:r w:rsidR="00281865">
        <w:t>on the S&amp;P and other developed markets, where findings show a significant increase in stock beta</w:t>
      </w:r>
      <w:r w:rsidR="00CA7684">
        <w:t>s</w:t>
      </w:r>
      <w:r w:rsidR="00281865">
        <w:t xml:space="preserve"> after inclusion. </w:t>
      </w:r>
      <w:r w:rsidR="00E436C0">
        <w:t xml:space="preserve">The results show that </w:t>
      </w:r>
      <w:r w:rsidR="00E436C0">
        <w:lastRenderedPageBreak/>
        <w:t xml:space="preserve">index beta should increase after inclusion of a stock and that the same pattern should happen for a deleted stock, but then in the opposite direction. </w:t>
      </w:r>
      <w:r w:rsidR="003210A7">
        <w:t>Prior work done on the S&amp;P 500 by Vijh,( 1994) has shown different results than the outcome one would expect based on the efficient market theory. Th</w:t>
      </w:r>
      <w:r w:rsidR="00E436C0">
        <w:t xml:space="preserve">e effects should be </w:t>
      </w:r>
      <w:r w:rsidR="003210A7">
        <w:t xml:space="preserve">even </w:t>
      </w:r>
      <w:r w:rsidR="00E436C0">
        <w:t xml:space="preserve">stronger in more recent data as more passive trackers follow the index. </w:t>
      </w:r>
      <w:r w:rsidR="00281865">
        <w:t xml:space="preserve">Naming </w:t>
      </w:r>
      <w:r w:rsidR="000A1CDB">
        <w:t xml:space="preserve">Barberis </w:t>
      </w:r>
      <w:r w:rsidR="00062B25">
        <w:t>et al.</w:t>
      </w:r>
      <w:r w:rsidR="000A1CDB">
        <w:t>(2002),</w:t>
      </w:r>
      <w:r w:rsidR="00281865">
        <w:t xml:space="preserve"> Greenwood and Sosner (2002) </w:t>
      </w:r>
      <w:r w:rsidR="00CA7684">
        <w:t xml:space="preserve">who </w:t>
      </w:r>
      <w:r w:rsidR="00281865">
        <w:t>have done this research for the Nikkei index and came up with evidence</w:t>
      </w:r>
      <w:r w:rsidR="004F656B">
        <w:t xml:space="preserve"> too</w:t>
      </w:r>
      <w:r w:rsidR="00281865">
        <w:t xml:space="preserve"> on increased </w:t>
      </w:r>
      <w:r w:rsidR="00E436C0">
        <w:t>betas for</w:t>
      </w:r>
      <w:r w:rsidR="00281865">
        <w:t xml:space="preserve"> stocks that were added to the Nikkei Index.</w:t>
      </w:r>
      <w:r w:rsidR="000A1CDB">
        <w:t xml:space="preserve"> </w:t>
      </w:r>
      <w:r w:rsidR="003210A7">
        <w:t xml:space="preserve">Pindyck and Rotemberg (1993) showed in their research that co-movement of returns can be found and is mainly explained by company size and the degree of institutional ownership. </w:t>
      </w:r>
    </w:p>
    <w:p w:rsidR="00FF3777" w:rsidRDefault="000A1CDB" w:rsidP="00512E4C">
      <w:r>
        <w:t xml:space="preserve">Less work </w:t>
      </w:r>
      <w:r w:rsidR="004F656B">
        <w:t>wa</w:t>
      </w:r>
      <w:r>
        <w:t>s found on Emerging Markets in</w:t>
      </w:r>
      <w:r w:rsidR="004F656B">
        <w:t>dices</w:t>
      </w:r>
      <w:r>
        <w:t xml:space="preserve">. </w:t>
      </w:r>
      <w:r w:rsidR="004F656B">
        <w:t>However,</w:t>
      </w:r>
      <w:r>
        <w:t xml:space="preserve"> Part</w:t>
      </w:r>
      <w:r w:rsidR="00062B25">
        <w:t>h</w:t>
      </w:r>
      <w:r>
        <w:t>asarathy (201</w:t>
      </w:r>
      <w:r w:rsidR="00236605">
        <w:t>1</w:t>
      </w:r>
      <w:r>
        <w:t xml:space="preserve">) </w:t>
      </w:r>
      <w:r w:rsidR="003210A7">
        <w:t>studied the co-movement on</w:t>
      </w:r>
      <w:r>
        <w:t xml:space="preserve"> the Emerging Indian Stock Market</w:t>
      </w:r>
      <w:r w:rsidR="00AE2454">
        <w:t xml:space="preserve">, the </w:t>
      </w:r>
      <w:r w:rsidR="00727A9D">
        <w:t>asymmetric</w:t>
      </w:r>
      <w:r w:rsidR="00284D0F">
        <w:t xml:space="preserve"> </w:t>
      </w:r>
      <w:r w:rsidR="00AE2454">
        <w:t xml:space="preserve">results </w:t>
      </w:r>
      <w:r w:rsidR="00284D0F">
        <w:t xml:space="preserve">for additions and deletions </w:t>
      </w:r>
      <w:r w:rsidR="00AE2454">
        <w:t xml:space="preserve">of his research did not support </w:t>
      </w:r>
      <w:r w:rsidR="00284D0F">
        <w:t xml:space="preserve">the “category” view of co-movement </w:t>
      </w:r>
      <w:r w:rsidR="00AE2454">
        <w:t>of Barberis</w:t>
      </w:r>
      <w:r w:rsidR="00284D0F">
        <w:t xml:space="preserve"> et al.</w:t>
      </w:r>
      <w:r w:rsidR="00AE2454">
        <w:t xml:space="preserve"> (2002)</w:t>
      </w:r>
      <w:r>
        <w:t>.</w:t>
      </w:r>
      <w:r w:rsidR="00EF105C">
        <w:t xml:space="preserve"> </w:t>
      </w:r>
      <w:r w:rsidR="00284D0F">
        <w:t xml:space="preserve">The category view argues that investors </w:t>
      </w:r>
      <w:r w:rsidR="00200CFD">
        <w:t xml:space="preserve">make their </w:t>
      </w:r>
      <w:r w:rsidR="00284D0F">
        <w:t xml:space="preserve">portfolio decisions </w:t>
      </w:r>
      <w:r w:rsidR="00200CFD">
        <w:t>by first</w:t>
      </w:r>
      <w:r w:rsidR="00284D0F">
        <w:t xml:space="preserve"> group</w:t>
      </w:r>
      <w:r w:rsidR="002833B4">
        <w:t>ing</w:t>
      </w:r>
      <w:r w:rsidR="00284D0F">
        <w:t xml:space="preserve"> their assets into categories, such as large- cap stocks,</w:t>
      </w:r>
      <w:r w:rsidR="002833B4">
        <w:t xml:space="preserve"> </w:t>
      </w:r>
      <w:r w:rsidR="00284D0F">
        <w:t xml:space="preserve">or </w:t>
      </w:r>
      <w:r w:rsidR="002833B4">
        <w:t xml:space="preserve">sectors or </w:t>
      </w:r>
      <w:r w:rsidR="00284D0F">
        <w:t xml:space="preserve">corporate bonds, </w:t>
      </w:r>
      <w:r w:rsidR="002833B4">
        <w:t>and then allocate assets to these different categories.</w:t>
      </w:r>
      <w:r w:rsidR="00284D0F">
        <w:t xml:space="preserve"> </w:t>
      </w:r>
    </w:p>
    <w:p w:rsidR="00FF3777" w:rsidRDefault="00FF3777"/>
    <w:p w:rsidR="00E0047F" w:rsidRPr="00D90B52" w:rsidRDefault="00E0047F" w:rsidP="00D90B52">
      <w:pPr>
        <w:pStyle w:val="Heading2"/>
      </w:pPr>
      <w:bookmarkStart w:id="4" w:name="_Toc214519180"/>
      <w:r w:rsidRPr="00D90B52">
        <w:t>Price effects</w:t>
      </w:r>
      <w:bookmarkEnd w:id="4"/>
    </w:p>
    <w:p w:rsidR="00FF3777" w:rsidRDefault="00E0047F" w:rsidP="00512E4C">
      <w:r>
        <w:t xml:space="preserve">To get an view on prior research done on price effects, a table is made that compares the results of five different researchers who have done their research on different markets, naming the AEX, </w:t>
      </w:r>
      <w:r w:rsidR="0005011F">
        <w:t xml:space="preserve">S&amp;P 500, TSE 300, </w:t>
      </w:r>
      <w:r>
        <w:t xml:space="preserve">S&amp;P CNX Nifty, </w:t>
      </w:r>
      <w:r w:rsidR="0005011F">
        <w:t>and</w:t>
      </w:r>
      <w:r>
        <w:t xml:space="preserve"> MSCI EM</w:t>
      </w:r>
      <w:r w:rsidR="0005011F">
        <w:t>.</w:t>
      </w:r>
      <w:r>
        <w:t xml:space="preserve"> </w:t>
      </w:r>
    </w:p>
    <w:p w:rsidR="006C4CBD" w:rsidRPr="00A53129" w:rsidRDefault="006C4CBD" w:rsidP="00D90B52">
      <w:pPr>
        <w:pStyle w:val="Heading3"/>
      </w:pPr>
      <w:r w:rsidRPr="00A53129">
        <w:t>Amsterdam Exchange Index</w:t>
      </w:r>
    </w:p>
    <w:p w:rsidR="00B73739" w:rsidRDefault="004D312C" w:rsidP="00512E4C">
      <w:r>
        <w:t>The Amsterdam Exchanges index (AEX) is annually reviewed. The adjustments take place after market close on the third Friday in February in 1994 which changed in 2001 to the first trading day in March to reduce pressure on the market</w:t>
      </w:r>
      <w:r w:rsidR="005545CF">
        <w:t xml:space="preserve"> and its systems due to index revision- related trading of February option expiration. </w:t>
      </w:r>
      <w:r w:rsidR="00A318AC">
        <w:t xml:space="preserve">Doeswijk (2007) </w:t>
      </w:r>
      <w:r w:rsidR="00915777">
        <w:t>did his research on AEX</w:t>
      </w:r>
      <w:r w:rsidR="00EE1204">
        <w:t xml:space="preserve"> </w:t>
      </w:r>
      <w:r w:rsidR="00915777">
        <w:t xml:space="preserve">and </w:t>
      </w:r>
      <w:r w:rsidR="00AE2454">
        <w:t>analyzed</w:t>
      </w:r>
      <w:r w:rsidR="00EE1204">
        <w:t xml:space="preserve"> </w:t>
      </w:r>
      <w:r w:rsidR="00A318AC">
        <w:t>a total sample 214 stocks (double counted)</w:t>
      </w:r>
      <w:r w:rsidR="00EE1204">
        <w:t xml:space="preserve"> </w:t>
      </w:r>
      <w:r w:rsidR="00A318AC">
        <w:t>on changes in the index.</w:t>
      </w:r>
      <w:r w:rsidR="00B73739">
        <w:t xml:space="preserve"> The</w:t>
      </w:r>
      <w:r w:rsidR="00EE1204">
        <w:t xml:space="preserve"> </w:t>
      </w:r>
      <w:r w:rsidR="00B73739">
        <w:t>CAR was cal</w:t>
      </w:r>
      <w:r w:rsidR="000225FA">
        <w:t>culated for two</w:t>
      </w:r>
      <w:r w:rsidR="00B73739">
        <w:t xml:space="preserve"> buy and hold portfolios that anticipated on the index review. One</w:t>
      </w:r>
      <w:r w:rsidR="000225FA">
        <w:t xml:space="preserve"> portfolio</w:t>
      </w:r>
      <w:r w:rsidR="00B73739">
        <w:t xml:space="preserve"> with stock</w:t>
      </w:r>
      <w:r w:rsidR="00D86BFC">
        <w:t>s that would increase (added to</w:t>
      </w:r>
      <w:r w:rsidR="00B73739">
        <w:t>) and one with stocks</w:t>
      </w:r>
      <w:r w:rsidR="00D86BFC">
        <w:t xml:space="preserve"> that</w:t>
      </w:r>
      <w:r w:rsidR="00EE1204">
        <w:t xml:space="preserve"> </w:t>
      </w:r>
      <w:r w:rsidR="00D86BFC">
        <w:t>would decrease (deleted from</w:t>
      </w:r>
      <w:r w:rsidR="00B73739">
        <w:t>)</w:t>
      </w:r>
      <w:r w:rsidR="00D86BFC">
        <w:t xml:space="preserve"> in the index.</w:t>
      </w:r>
      <w:r w:rsidR="00EE1204">
        <w:t xml:space="preserve"> </w:t>
      </w:r>
      <w:r w:rsidR="000225FA">
        <w:t xml:space="preserve">The </w:t>
      </w:r>
      <w:r w:rsidR="00AE2454">
        <w:t>portfolios</w:t>
      </w:r>
      <w:r w:rsidR="000225FA">
        <w:t xml:space="preserve"> were calculated based on two </w:t>
      </w:r>
      <w:r w:rsidR="00AE2454">
        <w:t>methods</w:t>
      </w:r>
      <w:r w:rsidR="000225FA">
        <w:t>, naming the equally weighted and t</w:t>
      </w:r>
      <w:r w:rsidR="000225FA" w:rsidRPr="000225FA">
        <w:rPr>
          <w:rFonts w:cs="Lucida Grande"/>
          <w:color w:val="000000"/>
        </w:rPr>
        <w:t>he change weighted method</w:t>
      </w:r>
      <w:r w:rsidR="000225FA">
        <w:rPr>
          <w:rFonts w:cs="Lucida Grande"/>
          <w:color w:val="000000"/>
        </w:rPr>
        <w:t>.</w:t>
      </w:r>
      <w:r w:rsidR="00EE1204">
        <w:rPr>
          <w:rFonts w:cs="Lucida Grande"/>
          <w:color w:val="000000"/>
        </w:rPr>
        <w:t xml:space="preserve"> </w:t>
      </w:r>
      <w:r w:rsidR="000225FA" w:rsidRPr="000225FA">
        <w:rPr>
          <w:rFonts w:cs="Lucida Grande"/>
          <w:color w:val="000000"/>
        </w:rPr>
        <w:t xml:space="preserve">Equally weighted portfolio is a simple portfolio policy with equal weight stocks. </w:t>
      </w:r>
      <w:r w:rsidR="000225FA">
        <w:rPr>
          <w:rFonts w:cs="Lucida Grande"/>
          <w:color w:val="000000"/>
        </w:rPr>
        <w:t xml:space="preserve">And the change-weighted method </w:t>
      </w:r>
      <w:r w:rsidR="000225FA" w:rsidRPr="000225FA">
        <w:rPr>
          <w:rFonts w:cs="Lucida Grande"/>
          <w:color w:val="000000"/>
        </w:rPr>
        <w:t>constructs the portfolio with weights that are in proportion with the anticipated change of the index weight.</w:t>
      </w:r>
    </w:p>
    <w:p w:rsidR="000225FA" w:rsidRDefault="000225FA" w:rsidP="00512E4C">
      <w:r>
        <w:t>With the equally weighted portfolio h</w:t>
      </w:r>
      <w:r w:rsidR="00A318AC">
        <w:t>e evidenced on average a 3.5% outperformance</w:t>
      </w:r>
      <w:r w:rsidR="00957C34">
        <w:t xml:space="preserve"> (excess return)</w:t>
      </w:r>
      <w:r w:rsidR="00A318AC">
        <w:t xml:space="preserve"> relative to the market in the 34 day prior to the implementation day.</w:t>
      </w:r>
      <w:r w:rsidR="00957C34">
        <w:t xml:space="preserve"> With a significant outperformance level at 5%, these results were not significant. The results after the implementation </w:t>
      </w:r>
      <w:r w:rsidR="00AE2454">
        <w:t>day also</w:t>
      </w:r>
      <w:r w:rsidR="00957C34">
        <w:t xml:space="preserve"> showed an </w:t>
      </w:r>
      <w:r w:rsidR="00CB0C17">
        <w:t>insignificant</w:t>
      </w:r>
      <w:r w:rsidR="00957C34">
        <w:t xml:space="preserve"> result of 1.7% outperformance remaining over the whole test period of </w:t>
      </w:r>
      <w:r w:rsidR="004E7EEF">
        <w:t>67</w:t>
      </w:r>
      <w:r w:rsidR="00957C34">
        <w:t xml:space="preserve"> days.</w:t>
      </w:r>
      <w:r w:rsidR="00EE1204">
        <w:t xml:space="preserve"> </w:t>
      </w:r>
      <w:r w:rsidR="00CB0C17">
        <w:t>Doeswijk compared his</w:t>
      </w:r>
      <w:r w:rsidR="00957C34">
        <w:t xml:space="preserve"> results </w:t>
      </w:r>
      <w:r w:rsidR="00CB0C17">
        <w:t>to those</w:t>
      </w:r>
      <w:r w:rsidR="00957C34">
        <w:t xml:space="preserve"> of the previous research from </w:t>
      </w:r>
      <w:r w:rsidR="00CB0C17">
        <w:t xml:space="preserve">Shleifer (1986) who had 3% cumulative outperformance for stocks added to S&amp;P 500 in the period of 1981-1983. </w:t>
      </w:r>
      <w:r w:rsidR="00CB0C17">
        <w:lastRenderedPageBreak/>
        <w:t xml:space="preserve">Results from Noronha et al.(2003) came up with </w:t>
      </w:r>
      <w:r w:rsidR="0064175D">
        <w:t xml:space="preserve">a </w:t>
      </w:r>
      <w:r w:rsidR="00CB0C17">
        <w:t>similar result around that period,</w:t>
      </w:r>
      <w:r w:rsidR="00EE1204">
        <w:t xml:space="preserve"> </w:t>
      </w:r>
      <w:r w:rsidR="00CB0C17">
        <w:t>between 1976 ant 1989 they came up with an outperformance of 3.2%</w:t>
      </w:r>
      <w:r w:rsidR="00B1448C">
        <w:t>( with a significant level of 1%)</w:t>
      </w:r>
      <w:r w:rsidR="00CB0C17">
        <w:t>.</w:t>
      </w:r>
      <w:r w:rsidR="0064175D">
        <w:t xml:space="preserve"> </w:t>
      </w:r>
      <w:r w:rsidR="003432AA">
        <w:t>The decreases (deletion</w:t>
      </w:r>
      <w:r w:rsidR="00DE460D">
        <w:t>s</w:t>
      </w:r>
      <w:r w:rsidR="003432AA">
        <w:t xml:space="preserve">) were </w:t>
      </w:r>
      <w:r w:rsidR="00DE460D">
        <w:t>unaffected by the index review t</w:t>
      </w:r>
      <w:r w:rsidR="003432AA">
        <w:t>he CAR was slightly positive with 0.1%.</w:t>
      </w:r>
      <w:r>
        <w:t xml:space="preserve"> Doeswijk did a second test but then with a change- weighted </w:t>
      </w:r>
      <w:r w:rsidR="00DE460D">
        <w:t>portfolio, which is in proportion with the anticipated changes of the index weights</w:t>
      </w:r>
      <w:r w:rsidRPr="000225FA">
        <w:t>.</w:t>
      </w:r>
      <w:r w:rsidR="00EE1204">
        <w:t xml:space="preserve"> </w:t>
      </w:r>
      <w:r>
        <w:t>These results were much more impressive with</w:t>
      </w:r>
      <w:r w:rsidR="006038BE">
        <w:t xml:space="preserve"> an outperformance of 7.4% relative to the market in the 34 day</w:t>
      </w:r>
      <w:r w:rsidR="00DE460D">
        <w:t>s</w:t>
      </w:r>
      <w:r w:rsidR="006038BE">
        <w:t xml:space="preserve"> prior to the implementation day. The day after the implemented changes showed a result of -3.1% resulting in an overall result from 33 day</w:t>
      </w:r>
      <w:r w:rsidR="00062B25">
        <w:t>s</w:t>
      </w:r>
      <w:r w:rsidR="006038BE">
        <w:t xml:space="preserve"> prior to the implementation day until 34 days afterwards a outperformance relative to the market </w:t>
      </w:r>
      <w:r w:rsidR="004E7EEF">
        <w:t>of 4.1</w:t>
      </w:r>
      <w:r w:rsidR="006038BE">
        <w:t>%.</w:t>
      </w:r>
      <w:r w:rsidR="004E7EEF">
        <w:t xml:space="preserve"> The decrease (deletion) portfolio remains insignificant with an underperformance of -0.7% for the period before implementation and -0.9% for the period before and after implementation.</w:t>
      </w:r>
    </w:p>
    <w:p w:rsidR="006C4CBD" w:rsidRPr="00A53129" w:rsidRDefault="006C4CBD" w:rsidP="00D90B52">
      <w:pPr>
        <w:pStyle w:val="Heading3"/>
      </w:pPr>
      <w:r w:rsidRPr="00A53129">
        <w:t xml:space="preserve">Standard &amp; Poors </w:t>
      </w:r>
    </w:p>
    <w:p w:rsidR="00915777" w:rsidRDefault="002750B2" w:rsidP="00512E4C">
      <w:r>
        <w:t xml:space="preserve">One of the popular indices on </w:t>
      </w:r>
      <w:r w:rsidR="00631672">
        <w:t>which research</w:t>
      </w:r>
      <w:r>
        <w:t xml:space="preserve"> on price effects is </w:t>
      </w:r>
      <w:r w:rsidR="00631672">
        <w:t xml:space="preserve">done </w:t>
      </w:r>
      <w:r w:rsidR="00E3448D">
        <w:t xml:space="preserve">within the Standard &amp; Poors family, </w:t>
      </w:r>
      <w:r w:rsidR="00631672">
        <w:t>is</w:t>
      </w:r>
      <w:r>
        <w:t xml:space="preserve"> t</w:t>
      </w:r>
      <w:r w:rsidR="0005011F">
        <w:t xml:space="preserve">he </w:t>
      </w:r>
      <w:r>
        <w:t>Standard &amp; Poor 500 (</w:t>
      </w:r>
      <w:r w:rsidR="0005011F">
        <w:t>S&amp;P 500</w:t>
      </w:r>
      <w:r>
        <w:t>).</w:t>
      </w:r>
      <w:r w:rsidR="00EE1204">
        <w:t xml:space="preserve"> </w:t>
      </w:r>
      <w:r w:rsidR="00631672">
        <w:t>The price results of Chen et al.(2003) and Zhou (2011)</w:t>
      </w:r>
      <w:r w:rsidR="00EE1204">
        <w:t xml:space="preserve"> </w:t>
      </w:r>
      <w:r w:rsidR="00631672">
        <w:t xml:space="preserve">who had done research on the S&amp;P 500 will be elaborated on. The S&amp;P differs from the AEX regarding its methodology on announcement days and implementation day. Where AEX had its annual reviews, the S&amp;P did not. </w:t>
      </w:r>
      <w:r w:rsidR="006C4CBD">
        <w:t xml:space="preserve">In the period of </w:t>
      </w:r>
      <w:r w:rsidR="00631672" w:rsidRPr="00631672">
        <w:rPr>
          <w:rFonts w:cs="Lucida Grande"/>
          <w:color w:val="000000"/>
        </w:rPr>
        <w:t>July 1962 to August 1976 no announcements were made</w:t>
      </w:r>
      <w:r w:rsidR="006C4CBD">
        <w:rPr>
          <w:rFonts w:cs="Lucida Grande"/>
          <w:color w:val="000000"/>
        </w:rPr>
        <w:t xml:space="preserve"> at all, because indexing was not popular and wasn’t seen important at the time.</w:t>
      </w:r>
      <w:r w:rsidR="00631672" w:rsidRPr="00631672">
        <w:rPr>
          <w:rFonts w:cs="Lucida Grande"/>
          <w:color w:val="000000"/>
        </w:rPr>
        <w:t xml:space="preserve"> From </w:t>
      </w:r>
      <w:r w:rsidR="006C4CBD">
        <w:rPr>
          <w:rFonts w:cs="Lucida Grande"/>
          <w:color w:val="000000"/>
        </w:rPr>
        <w:t xml:space="preserve">the period of </w:t>
      </w:r>
      <w:r w:rsidR="00631672" w:rsidRPr="00631672">
        <w:rPr>
          <w:rFonts w:cs="Lucida Grande"/>
          <w:color w:val="000000"/>
        </w:rPr>
        <w:t>September 1976 till September 1989 changes were announced after close of the market around 4:30 pm and became effective the next day. In October 1989 S&amp;P</w:t>
      </w:r>
      <w:r w:rsidR="007731B7">
        <w:rPr>
          <w:rFonts w:cs="Lucida Grande"/>
          <w:color w:val="000000"/>
        </w:rPr>
        <w:t xml:space="preserve"> started with pre-announcing its index changes.</w:t>
      </w:r>
      <w:r w:rsidR="00631672" w:rsidRPr="00631672">
        <w:rPr>
          <w:rFonts w:cs="Lucida Grande"/>
          <w:color w:val="000000"/>
        </w:rPr>
        <w:t xml:space="preserve"> The period between announcement day and effective day can </w:t>
      </w:r>
      <w:r w:rsidR="007731B7">
        <w:rPr>
          <w:rFonts w:cs="Lucida Grande"/>
          <w:color w:val="000000"/>
        </w:rPr>
        <w:t xml:space="preserve">still </w:t>
      </w:r>
      <w:r w:rsidR="00631672" w:rsidRPr="00631672">
        <w:rPr>
          <w:rFonts w:cs="Lucida Grande"/>
          <w:color w:val="000000"/>
        </w:rPr>
        <w:t>vary between 1 day to 1 month</w:t>
      </w:r>
      <w:r w:rsidR="00631672" w:rsidRPr="00C06C6D">
        <w:rPr>
          <w:rFonts w:ascii="Lucida Grande" w:hAnsi="Lucida Grande" w:cs="Lucida Grande"/>
          <w:color w:val="000000"/>
        </w:rPr>
        <w:t>.</w:t>
      </w:r>
      <w:r>
        <w:t xml:space="preserve"> </w:t>
      </w:r>
    </w:p>
    <w:p w:rsidR="00B617E3" w:rsidRDefault="002750B2" w:rsidP="00512E4C">
      <w:r>
        <w:t>Chen</w:t>
      </w:r>
      <w:r w:rsidR="007731B7">
        <w:t xml:space="preserve"> et al. (2003) </w:t>
      </w:r>
      <w:r w:rsidR="00B617E3">
        <w:t>analyzed</w:t>
      </w:r>
      <w:r w:rsidR="007731B7">
        <w:t xml:space="preserve"> the S&amp;P500 </w:t>
      </w:r>
      <w:r w:rsidR="000E2FB1">
        <w:t>and divided their sample period in three intervals</w:t>
      </w:r>
      <w:r w:rsidR="007731B7">
        <w:t xml:space="preserve"> </w:t>
      </w:r>
      <w:r w:rsidR="000E2FB1">
        <w:t xml:space="preserve">naming the first from 07-1962 till 08-1976 with a final sample of 279 stocks, the second interval was 09-1976 till 09-1989 and had a final sample of 263 stocks. The last interval was of the period 10-1989 till 12-2000 and had a final sample of 218 stocks. Chen et al. (2003) </w:t>
      </w:r>
      <w:r w:rsidR="007731B7">
        <w:t xml:space="preserve">claim that their results reveal that additions to the index and deletions from the index do not have symmetric effects. This asymmetric price response to index </w:t>
      </w:r>
      <w:r w:rsidR="000E2FB1">
        <w:t>additions</w:t>
      </w:r>
      <w:r w:rsidR="007731B7">
        <w:t xml:space="preserve"> and deletions is not totally consistent with the downward sloping demand curve certification and trading volume- related liquidity hypotheses</w:t>
      </w:r>
      <w:r w:rsidR="000E2FB1">
        <w:t xml:space="preserve">. </w:t>
      </w:r>
      <w:r w:rsidR="007A6EA7">
        <w:t>The price of s</w:t>
      </w:r>
      <w:r w:rsidR="00B617E3">
        <w:t xml:space="preserve">tocks </w:t>
      </w:r>
      <w:r w:rsidR="000618A4">
        <w:t>that have</w:t>
      </w:r>
      <w:r w:rsidR="00B617E3">
        <w:t xml:space="preserve"> a short- term downward sloping demand curve, should be </w:t>
      </w:r>
      <w:r w:rsidR="007A6EA7">
        <w:t>temporarily</w:t>
      </w:r>
      <w:r w:rsidR="00B617E3">
        <w:t xml:space="preserve"> affected by a dem</w:t>
      </w:r>
      <w:r w:rsidR="007A6EA7">
        <w:t>and shock due to indexing, but that effect should disappear once the excess demand is fulfilled.</w:t>
      </w:r>
      <w:r w:rsidR="00BD6A94">
        <w:t xml:space="preserve"> </w:t>
      </w:r>
      <w:r w:rsidR="000A0BC4">
        <w:t>The excess return is permanent, i</w:t>
      </w:r>
      <w:r w:rsidR="00BD6A94">
        <w:t xml:space="preserve">f </w:t>
      </w:r>
      <w:r w:rsidR="000A0BC4">
        <w:t xml:space="preserve">a </w:t>
      </w:r>
      <w:r w:rsidR="00BD6A94">
        <w:t>stock ha</w:t>
      </w:r>
      <w:r w:rsidR="000A0BC4">
        <w:t>s</w:t>
      </w:r>
      <w:r w:rsidR="00BD6A94">
        <w:t xml:space="preserve"> a long-term downward sloping demand curve</w:t>
      </w:r>
      <w:r w:rsidR="000A0BC4">
        <w:t>.</w:t>
      </w:r>
    </w:p>
    <w:p w:rsidR="00347BD5" w:rsidRDefault="00B617E3" w:rsidP="00512E4C">
      <w:r>
        <w:t xml:space="preserve"> </w:t>
      </w:r>
      <w:r w:rsidR="000618A4">
        <w:t>In t</w:t>
      </w:r>
      <w:r w:rsidR="007A6EA7">
        <w:t>he</w:t>
      </w:r>
      <w:r w:rsidR="000618A4">
        <w:t xml:space="preserve">ir </w:t>
      </w:r>
      <w:r w:rsidR="0099382A">
        <w:t>research Chen</w:t>
      </w:r>
      <w:r w:rsidR="000618A4">
        <w:t xml:space="preserve"> et al. (2</w:t>
      </w:r>
      <w:r w:rsidR="00AA5C9C">
        <w:t xml:space="preserve">003) reported their abnormal return results on additions, </w:t>
      </w:r>
      <w:r w:rsidR="00AE0C62">
        <w:t>over</w:t>
      </w:r>
      <w:r w:rsidR="00AA5C9C">
        <w:t xml:space="preserve"> the period of the first trading day after the announcement day of </w:t>
      </w:r>
      <w:r w:rsidR="00CA2BF6">
        <w:t>additions to the index</w:t>
      </w:r>
      <w:r w:rsidR="00AE0C62">
        <w:t xml:space="preserve"> a</w:t>
      </w:r>
      <w:r w:rsidR="00AA5C9C">
        <w:t xml:space="preserve">nd </w:t>
      </w:r>
      <w:r w:rsidR="00647C98">
        <w:t xml:space="preserve">abnormal </w:t>
      </w:r>
      <w:r w:rsidR="00AE0C62">
        <w:t xml:space="preserve">returns </w:t>
      </w:r>
      <w:r w:rsidR="00AA5C9C">
        <w:t xml:space="preserve">based on </w:t>
      </w:r>
      <w:r w:rsidR="00AE0C62">
        <w:t xml:space="preserve">interval between </w:t>
      </w:r>
      <w:r w:rsidR="00AA5C9C">
        <w:t>t</w:t>
      </w:r>
      <w:r w:rsidR="00647C98">
        <w:t xml:space="preserve">he announcement </w:t>
      </w:r>
      <w:r w:rsidR="00AE0C62">
        <w:t>day after</w:t>
      </w:r>
      <w:r w:rsidR="00647C98">
        <w:t xml:space="preserve"> the implementation day.</w:t>
      </w:r>
      <w:r w:rsidR="00EE1204">
        <w:t xml:space="preserve"> </w:t>
      </w:r>
      <w:r w:rsidR="00647C98">
        <w:t>The</w:t>
      </w:r>
      <w:r w:rsidR="00AA5C9C">
        <w:t xml:space="preserve"> period of announcement day </w:t>
      </w:r>
      <w:r w:rsidR="00647C98">
        <w:t xml:space="preserve">to </w:t>
      </w:r>
      <w:r w:rsidR="00AA5C9C">
        <w:t xml:space="preserve">the day of implementation into the </w:t>
      </w:r>
      <w:r w:rsidR="00AE0C62">
        <w:t>index were done</w:t>
      </w:r>
      <w:r w:rsidR="00647C98">
        <w:t xml:space="preserve"> for </w:t>
      </w:r>
      <w:r w:rsidR="00AA5C9C">
        <w:t>interval</w:t>
      </w:r>
      <w:r w:rsidR="00AE0C62">
        <w:t>s</w:t>
      </w:r>
      <w:r w:rsidR="00AA5C9C">
        <w:t xml:space="preserve"> of </w:t>
      </w:r>
      <w:r w:rsidR="00647C98">
        <w:t>20</w:t>
      </w:r>
      <w:r w:rsidR="00AA5C9C">
        <w:t xml:space="preserve"> days</w:t>
      </w:r>
      <w:r w:rsidR="00647C98">
        <w:t xml:space="preserve"> and 60 days after </w:t>
      </w:r>
      <w:r w:rsidR="00AE0C62">
        <w:t xml:space="preserve">the </w:t>
      </w:r>
      <w:r w:rsidR="00AA5C9C">
        <w:t>i</w:t>
      </w:r>
      <w:r w:rsidR="00AE0C62">
        <w:t>ndex changes were made effective</w:t>
      </w:r>
      <w:r w:rsidR="00647C98">
        <w:t>.</w:t>
      </w:r>
      <w:r w:rsidR="007A6EA7">
        <w:t xml:space="preserve"> </w:t>
      </w:r>
      <w:r w:rsidR="000E2FB1">
        <w:t xml:space="preserve">In the period from 1962-1976 they concluded that the excess return </w:t>
      </w:r>
      <w:r w:rsidR="00CA2BF6">
        <w:t xml:space="preserve">for the additions to the S&amp;P500 </w:t>
      </w:r>
      <w:r w:rsidR="000E2FB1">
        <w:t>w</w:t>
      </w:r>
      <w:r w:rsidR="00CA2BF6">
        <w:t xml:space="preserve">as </w:t>
      </w:r>
      <w:r w:rsidR="000E2FB1">
        <w:t>not significantly different from zero</w:t>
      </w:r>
      <w:r w:rsidR="00B64919">
        <w:t xml:space="preserve">, with results of -0.05% (with a significance level of 1%) on </w:t>
      </w:r>
      <w:r w:rsidR="00AE0C62">
        <w:t xml:space="preserve">the announcement day. Their </w:t>
      </w:r>
      <w:r w:rsidR="00B64919">
        <w:t>most positive result afte</w:t>
      </w:r>
      <w:r w:rsidR="002A5A1E">
        <w:t xml:space="preserve">r 60 days of inclusion </w:t>
      </w:r>
      <w:r w:rsidR="00AE0C62">
        <w:t xml:space="preserve">of </w:t>
      </w:r>
      <w:r w:rsidR="002A5A1E">
        <w:t>0.59%</w:t>
      </w:r>
      <w:r w:rsidR="00B64919">
        <w:t xml:space="preserve">  </w:t>
      </w:r>
      <w:r w:rsidR="00AE0C62">
        <w:t xml:space="preserve">also </w:t>
      </w:r>
      <w:r w:rsidR="00B64919">
        <w:t xml:space="preserve">remained insignificant. The period </w:t>
      </w:r>
      <w:r w:rsidR="00B64919">
        <w:lastRenderedPageBreak/>
        <w:t>between 1976 and 1989 was different, for this period they did report significant results that were excess returns of 3.2% to 3.6% after 60 days.</w:t>
      </w:r>
      <w:r w:rsidR="002A5A1E">
        <w:t xml:space="preserve"> The last period between the year 198</w:t>
      </w:r>
      <w:r w:rsidR="002006FE">
        <w:t>9</w:t>
      </w:r>
      <w:r w:rsidR="002A5A1E">
        <w:t xml:space="preserve"> and 2000 had even greater significant exce</w:t>
      </w:r>
      <w:r w:rsidR="003A2025">
        <w:t xml:space="preserve">ss returns naming the 5.45% at announcement date </w:t>
      </w:r>
      <w:r w:rsidR="002A5A1E">
        <w:t>and</w:t>
      </w:r>
      <w:r w:rsidR="00EE1204">
        <w:t xml:space="preserve"> </w:t>
      </w:r>
      <w:r w:rsidR="002A5A1E">
        <w:t>8.9% in</w:t>
      </w:r>
      <w:r w:rsidR="008C70DA">
        <w:t xml:space="preserve"> the </w:t>
      </w:r>
      <w:r w:rsidR="003A2025">
        <w:t>interval of announcement date to implementation date</w:t>
      </w:r>
      <w:r w:rsidR="008C70DA">
        <w:t xml:space="preserve">, which could point out </w:t>
      </w:r>
      <w:r w:rsidR="00D30FA0">
        <w:t>to the presence of price pressure until the stock is included in the index.</w:t>
      </w:r>
      <w:r w:rsidR="00EE1204">
        <w:t xml:space="preserve"> </w:t>
      </w:r>
      <w:r w:rsidR="00BD6A94">
        <w:t>After the year 1976, price changes after a stock was included in the index, permanently remained. This is inconsistent with the price pressure hypothesis</w:t>
      </w:r>
      <w:r w:rsidR="003C4455">
        <w:t>.</w:t>
      </w:r>
      <w:r w:rsidR="004D66A2">
        <w:t xml:space="preserve"> </w:t>
      </w:r>
    </w:p>
    <w:p w:rsidR="00CA2BF6" w:rsidRDefault="00CA2BF6" w:rsidP="00512E4C">
      <w:r>
        <w:t>With respect to the deletions</w:t>
      </w:r>
      <w:r w:rsidR="00EE1204">
        <w:t xml:space="preserve"> </w:t>
      </w:r>
      <w:r w:rsidR="004D66A2">
        <w:t>Chen et al</w:t>
      </w:r>
      <w:r w:rsidR="001D378C">
        <w:t>.</w:t>
      </w:r>
      <w:r w:rsidR="004D66A2">
        <w:t xml:space="preserve"> (2003) named three observations.</w:t>
      </w:r>
      <w:r w:rsidR="00EE1204">
        <w:t xml:space="preserve"> </w:t>
      </w:r>
      <w:r w:rsidR="004D66A2">
        <w:t xml:space="preserve">The first one is increased </w:t>
      </w:r>
      <w:r w:rsidR="0099382A">
        <w:t>reaction at</w:t>
      </w:r>
      <w:r w:rsidR="004D66A2">
        <w:t xml:space="preserve"> </w:t>
      </w:r>
      <w:r w:rsidR="003A2025">
        <w:t xml:space="preserve">announcement </w:t>
      </w:r>
      <w:r w:rsidR="004D66A2">
        <w:t xml:space="preserve">date, showing </w:t>
      </w:r>
      <w:r w:rsidR="0074691E">
        <w:t xml:space="preserve">insignificant </w:t>
      </w:r>
      <w:r w:rsidR="0099382A">
        <w:t>results before</w:t>
      </w:r>
      <w:r w:rsidR="004D66A2">
        <w:t xml:space="preserve"> 1976 of -0.41</w:t>
      </w:r>
      <w:r w:rsidR="0074691E">
        <w:t>%</w:t>
      </w:r>
      <w:r w:rsidR="004D66A2">
        <w:t xml:space="preserve"> continuing in the next years with results of </w:t>
      </w:r>
      <w:r w:rsidR="0074691E">
        <w:t>-1.2% to</w:t>
      </w:r>
      <w:r w:rsidR="00EE1204">
        <w:t xml:space="preserve"> </w:t>
      </w:r>
      <w:r w:rsidR="0074691E">
        <w:t>a significant result of -8.5% in the period bet</w:t>
      </w:r>
      <w:r w:rsidR="0099382A">
        <w:t>ween 1989 and the year 2000. An</w:t>
      </w:r>
      <w:r w:rsidR="0074691E">
        <w:t xml:space="preserve">other observation was that deleted stocks lost an additional 6% during the </w:t>
      </w:r>
      <w:r w:rsidR="003A2025">
        <w:t>interval of announcement date to the implementation date</w:t>
      </w:r>
      <w:r w:rsidR="0074691E">
        <w:t xml:space="preserve"> </w:t>
      </w:r>
      <w:r w:rsidR="003A2025">
        <w:t xml:space="preserve">for </w:t>
      </w:r>
      <w:r w:rsidR="0074691E">
        <w:t>the period between 1989 and 2000</w:t>
      </w:r>
      <w:r w:rsidR="00801B3F">
        <w:t xml:space="preserve"> (For previous periods the implementation day was on the next day of the announcement or not mentioned at all).</w:t>
      </w:r>
      <w:r w:rsidR="00347BD5">
        <w:t xml:space="preserve"> Last but not least C</w:t>
      </w:r>
      <w:r w:rsidR="00E4436F">
        <w:t xml:space="preserve">hen et al.(2003) noticed </w:t>
      </w:r>
      <w:r w:rsidR="00347BD5">
        <w:t>that</w:t>
      </w:r>
      <w:r w:rsidR="00E4436F">
        <w:t xml:space="preserve"> </w:t>
      </w:r>
      <w:r w:rsidR="00347BD5">
        <w:t>deletions are not associated with a permanent negative</w:t>
      </w:r>
      <w:r w:rsidR="00E4436F">
        <w:t xml:space="preserve"> excess return. The negative effect of the deletion seems to disappear after 60 days. Before 1976 the results after 60day became a positive 2.2%, the period after that the decline stayed at -1.7</w:t>
      </w:r>
      <w:r w:rsidR="00E13DF3">
        <w:t>% and in the last period 0.4%. These results are not significantly negative.</w:t>
      </w:r>
    </w:p>
    <w:p w:rsidR="00AA3FB9" w:rsidRDefault="0099382A" w:rsidP="00512E4C">
      <w:r>
        <w:t xml:space="preserve">Another example of research done on the price effects of the S&amp;P 500 is by Zhou (2011). He states that Asymmetric </w:t>
      </w:r>
      <w:r w:rsidR="007916CD">
        <w:t>stock</w:t>
      </w:r>
      <w:r>
        <w:t xml:space="preserve"> revaluations among subgroups of additions are due to </w:t>
      </w:r>
      <w:r w:rsidR="00865AAE">
        <w:t>asymmetric</w:t>
      </w:r>
      <w:r>
        <w:t xml:space="preserve"> changes in </w:t>
      </w:r>
      <w:r w:rsidR="00865AAE">
        <w:t>investors’</w:t>
      </w:r>
      <w:r>
        <w:t xml:space="preserve"> recognition. </w:t>
      </w:r>
      <w:r w:rsidR="007916CD">
        <w:t xml:space="preserve">He makes a </w:t>
      </w:r>
      <w:r w:rsidR="00865AAE">
        <w:t>distinction</w:t>
      </w:r>
      <w:r w:rsidR="007916CD">
        <w:t xml:space="preserve"> between the price revaluation</w:t>
      </w:r>
      <w:r>
        <w:t xml:space="preserve"> for pure additions and new entry additions. Pure </w:t>
      </w:r>
      <w:r w:rsidR="00865AAE">
        <w:t>additions</w:t>
      </w:r>
      <w:r>
        <w:t xml:space="preserve"> are </w:t>
      </w:r>
      <w:r w:rsidR="00865AAE">
        <w:t>stocks (</w:t>
      </w:r>
      <w:r>
        <w:t>companies</w:t>
      </w:r>
      <w:r w:rsidR="00865AAE">
        <w:t>)</w:t>
      </w:r>
      <w:r>
        <w:t xml:space="preserve"> </w:t>
      </w:r>
      <w:r w:rsidR="00865AAE">
        <w:t>added to the S&amp;P index family, including the S&amp;P 500, for the first time. New- entry additions are stocks added to the S&amp;P500 for the first time. Zhou (2011) states that the price revaluations for pure and new-entry additions are greater and permanent</w:t>
      </w:r>
      <w:r w:rsidR="00A270F7">
        <w:t xml:space="preserve"> owing</w:t>
      </w:r>
      <w:r w:rsidR="00865AAE">
        <w:t xml:space="preserve"> to significant changes in </w:t>
      </w:r>
      <w:r w:rsidR="00CF604C">
        <w:t>investors’</w:t>
      </w:r>
      <w:r w:rsidR="00A270F7">
        <w:t xml:space="preserve"> recognition, whereas those for upward additions and reentry additions are weaker </w:t>
      </w:r>
      <w:r w:rsidR="00175AD9">
        <w:t>and temporary</w:t>
      </w:r>
      <w:r w:rsidR="00A270F7">
        <w:t xml:space="preserve"> o</w:t>
      </w:r>
      <w:r w:rsidR="00175AD9">
        <w:t>wing to insignificant changes in investors recognition.</w:t>
      </w:r>
      <w:r w:rsidR="00EE1204">
        <w:t xml:space="preserve"> </w:t>
      </w:r>
      <w:r w:rsidR="00CF604C">
        <w:t>He states that previous studies have generally examined the price effects of S&amp;P additions or deletions as a group and have ignored unique characteristics among subgroups of additions and deletions. Many additions to the S&amp;P are transferred from lesser-known S&amp;P indices whereas some stocks are added to the S&amp;</w:t>
      </w:r>
      <w:r w:rsidR="00D62B66">
        <w:t>P500 more</w:t>
      </w:r>
      <w:r w:rsidR="00CF604C">
        <w:t xml:space="preserve"> than once.</w:t>
      </w:r>
      <w:r w:rsidR="00EE1204">
        <w:t xml:space="preserve"> </w:t>
      </w:r>
      <w:r w:rsidR="00CF604C">
        <w:t>Zhou (2011) shows t</w:t>
      </w:r>
      <w:r w:rsidR="007916CD">
        <w:t>hat stock revaluation for pure-</w:t>
      </w:r>
      <w:r w:rsidR="00CF604C">
        <w:t xml:space="preserve">additions and new-entry additions is permanent. He states that price increases for upward </w:t>
      </w:r>
      <w:r w:rsidR="00D62B66">
        <w:t>additions (companies moved</w:t>
      </w:r>
      <w:r w:rsidR="00EE1204">
        <w:t xml:space="preserve"> </w:t>
      </w:r>
      <w:r w:rsidR="00D62B66">
        <w:t xml:space="preserve">to the S&amp;P </w:t>
      </w:r>
      <w:r w:rsidR="008E2886">
        <w:t xml:space="preserve">500 </w:t>
      </w:r>
      <w:r w:rsidR="00D62B66">
        <w:t xml:space="preserve">from three lesser-known S&amp;P indices) </w:t>
      </w:r>
      <w:r w:rsidR="00CF604C">
        <w:t>and re</w:t>
      </w:r>
      <w:r w:rsidR="007916CD">
        <w:t xml:space="preserve">-entry additions </w:t>
      </w:r>
      <w:r w:rsidR="00D62B66">
        <w:t>(companies previously deleted from and</w:t>
      </w:r>
      <w:r w:rsidR="00EE1204">
        <w:t xml:space="preserve"> </w:t>
      </w:r>
      <w:r w:rsidR="00D62B66">
        <w:t xml:space="preserve">later re-added to the S&amp;P500) </w:t>
      </w:r>
      <w:r w:rsidR="007916CD">
        <w:t>are temporary. For stock</w:t>
      </w:r>
      <w:r w:rsidR="00B70941">
        <w:t>s</w:t>
      </w:r>
      <w:r w:rsidR="007916CD">
        <w:t xml:space="preserve"> deleted from the S&amp;P he</w:t>
      </w:r>
      <w:r w:rsidR="00CF604C">
        <w:t xml:space="preserve"> finds that price effects for both pure </w:t>
      </w:r>
      <w:r w:rsidR="00D62B66">
        <w:t xml:space="preserve">deletions (companies removed from the S&amp;P family altogether) </w:t>
      </w:r>
      <w:r w:rsidR="00CF604C">
        <w:t>and downward deletions</w:t>
      </w:r>
      <w:r w:rsidR="00D62B66">
        <w:t xml:space="preserve"> (companies moved to a lesser-known S&amp;P index)</w:t>
      </w:r>
      <w:r w:rsidR="00CF604C">
        <w:t xml:space="preserve"> are temporary.</w:t>
      </w:r>
      <w:r w:rsidR="00A270F7">
        <w:t xml:space="preserve"> Zhou (2011) divided his results in pure addition</w:t>
      </w:r>
      <w:r w:rsidR="00175AD9">
        <w:t>s</w:t>
      </w:r>
      <w:r w:rsidR="00A270F7">
        <w:t>, upward additions, new-entry additions and re-entry additions.</w:t>
      </w:r>
      <w:r w:rsidR="00EE1204">
        <w:t xml:space="preserve"> </w:t>
      </w:r>
      <w:r w:rsidR="00AA3FB9">
        <w:t xml:space="preserve">The results will be explained categorized based on these different types of additions, on the announcement day, the implementation day and for the period of 20 or 60 days after the implementation of stocks in the index have taken place. </w:t>
      </w:r>
    </w:p>
    <w:p w:rsidR="0099382A" w:rsidRDefault="00175AD9" w:rsidP="00512E4C">
      <w:r>
        <w:lastRenderedPageBreak/>
        <w:t>His findings</w:t>
      </w:r>
      <w:r w:rsidR="00AA3FB9">
        <w:t xml:space="preserve"> were that on the day of announcement, the pure</w:t>
      </w:r>
      <w:r>
        <w:t xml:space="preserve"> additions had a excess return of 4.9% while the upward additi</w:t>
      </w:r>
      <w:r w:rsidR="00AA3FB9">
        <w:t>ons had a excess return of 3.8%.</w:t>
      </w:r>
      <w:r>
        <w:t xml:space="preserve"> </w:t>
      </w:r>
      <w:r w:rsidR="00AA3FB9">
        <w:t>Although</w:t>
      </w:r>
      <w:r>
        <w:t xml:space="preserve"> both results were significant (at a 1% level) there remained a difference of a bit more than one percent excess return. The new-entry additions with a</w:t>
      </w:r>
      <w:r w:rsidR="00D17A63">
        <w:t>n</w:t>
      </w:r>
      <w:r>
        <w:t xml:space="preserve"> excess return of 1.9% and the re-entry additions with</w:t>
      </w:r>
      <w:r w:rsidR="00D17A63">
        <w:t xml:space="preserve"> 1.3% excess return scored far less then the previous two, but </w:t>
      </w:r>
      <w:r w:rsidR="00AA3FB9">
        <w:t xml:space="preserve">were </w:t>
      </w:r>
      <w:r w:rsidR="00D17A63">
        <w:t xml:space="preserve">still </w:t>
      </w:r>
      <w:r w:rsidR="00E80D30">
        <w:t xml:space="preserve">a </w:t>
      </w:r>
      <w:r w:rsidR="00D17A63">
        <w:t xml:space="preserve">significant </w:t>
      </w:r>
      <w:r w:rsidR="00E80D30">
        <w:t>result (</w:t>
      </w:r>
      <w:r w:rsidR="00D17A63">
        <w:t>with a percentage level of one percent</w:t>
      </w:r>
      <w:r w:rsidR="00E80D30">
        <w:t>)</w:t>
      </w:r>
      <w:r w:rsidR="00D17A63">
        <w:t>.</w:t>
      </w:r>
      <w:r w:rsidR="000C7B02">
        <w:t xml:space="preserve"> The </w:t>
      </w:r>
      <w:r w:rsidR="00F602CE">
        <w:t xml:space="preserve">average stock price continued to increase from the announcement day to the implementation day, the </w:t>
      </w:r>
      <w:r w:rsidR="00E9588C">
        <w:t xml:space="preserve">pure additions had the highest </w:t>
      </w:r>
      <w:r w:rsidR="00F602CE">
        <w:t xml:space="preserve">excess return </w:t>
      </w:r>
      <w:r w:rsidR="00E9588C">
        <w:t>of 9.6%, the excess return on</w:t>
      </w:r>
      <w:r w:rsidR="00EE1204">
        <w:t xml:space="preserve"> </w:t>
      </w:r>
      <w:r w:rsidR="00E9588C">
        <w:t>the implementation day itself was 2.9%. The upward additions had 4.4% for period between announcement and implementation day, while the new-entry’s had 7.2% and the re-</w:t>
      </w:r>
      <w:r w:rsidR="00DE7428">
        <w:t>entries also</w:t>
      </w:r>
      <w:r w:rsidR="00E9588C">
        <w:t xml:space="preserve"> </w:t>
      </w:r>
      <w:r w:rsidR="00A5117F">
        <w:t>a significant result of 4.</w:t>
      </w:r>
      <w:r w:rsidR="00DE7428">
        <w:t>3</w:t>
      </w:r>
      <w:r w:rsidR="00A5117F">
        <w:t>%</w:t>
      </w:r>
      <w:r w:rsidR="00DE7428">
        <w:t xml:space="preserve">. </w:t>
      </w:r>
      <w:r w:rsidR="00E9588C">
        <w:t xml:space="preserve">After the implementation day </w:t>
      </w:r>
      <w:r w:rsidR="00B11763">
        <w:t xml:space="preserve">the rising trend of </w:t>
      </w:r>
      <w:r w:rsidR="00E9588C">
        <w:t xml:space="preserve">the stock prices </w:t>
      </w:r>
      <w:r w:rsidR="00B11763">
        <w:t>stopped</w:t>
      </w:r>
      <w:r w:rsidR="00E9588C">
        <w:t>.</w:t>
      </w:r>
      <w:r w:rsidR="00DE7428">
        <w:t xml:space="preserve"> Zhou (2011) compared several dates with intervals starting on announcement day and continued until 10, 20,40 and 60 days after the implementation day.</w:t>
      </w:r>
      <w:r w:rsidR="00B11763">
        <w:t xml:space="preserve"> To be able to compare likewise periods, in </w:t>
      </w:r>
      <w:r w:rsidR="00087850">
        <w:t>this study</w:t>
      </w:r>
      <w:r w:rsidR="00B11763">
        <w:t xml:space="preserve"> was chosen to only look at the results after 20 and 60 days.</w:t>
      </w:r>
      <w:r w:rsidR="00EE1204">
        <w:t xml:space="preserve"> </w:t>
      </w:r>
      <w:r w:rsidR="00B11763">
        <w:t xml:space="preserve">Looking at the results for </w:t>
      </w:r>
      <w:r w:rsidR="00FE16DC">
        <w:t xml:space="preserve">the period of announcement until 20 and 60 days afterwards, the excess return </w:t>
      </w:r>
      <w:r w:rsidR="00501DAA">
        <w:t>for pure</w:t>
      </w:r>
      <w:r w:rsidR="00FE16DC">
        <w:t xml:space="preserve"> additions was still very high at 7.6% after 20 days and respectively 7.2% after 60 days.</w:t>
      </w:r>
      <w:r w:rsidR="00FE16DC">
        <w:tab/>
        <w:t xml:space="preserve"> </w:t>
      </w:r>
      <w:r w:rsidR="004329AD">
        <w:t xml:space="preserve">In Zhou (2011) research </w:t>
      </w:r>
      <w:r w:rsidR="00B32394">
        <w:t xml:space="preserve">the pure additions kept most of their excess return </w:t>
      </w:r>
      <w:r w:rsidR="008631B9">
        <w:t xml:space="preserve">after 60 days, </w:t>
      </w:r>
      <w:r w:rsidR="00B32394">
        <w:t>this suggests a permanent price effect.</w:t>
      </w:r>
      <w:r w:rsidR="00D36151">
        <w:t xml:space="preserve"> This permanent price effect was also seen in Chen et al (2003) results in the period of 1989-2000 with 6.4% excess return after 20 days and 6.2% after 60 days. </w:t>
      </w:r>
      <w:r w:rsidR="00B70A14">
        <w:t>Continuing with Zhou (2011) results on</w:t>
      </w:r>
      <w:r w:rsidR="00D36151">
        <w:t xml:space="preserve"> the upward additions these numbers </w:t>
      </w:r>
      <w:r w:rsidR="00B70A14">
        <w:t xml:space="preserve">that showed an excess return of </w:t>
      </w:r>
      <w:r w:rsidR="00D36151">
        <w:t xml:space="preserve"> 1.1%</w:t>
      </w:r>
      <w:r w:rsidR="00192C6F">
        <w:t xml:space="preserve"> based</w:t>
      </w:r>
      <w:r w:rsidR="00D36151">
        <w:t xml:space="preserve"> </w:t>
      </w:r>
      <w:r w:rsidR="00192C6F">
        <w:t xml:space="preserve">on 20 days after the implementation of the index changes </w:t>
      </w:r>
      <w:r w:rsidR="00D36151">
        <w:t>and 0.6%</w:t>
      </w:r>
      <w:r w:rsidR="00192C6F">
        <w:t xml:space="preserve"> for 60 days after the implementation day.</w:t>
      </w:r>
      <w:r w:rsidR="00EE1204">
        <w:t xml:space="preserve"> </w:t>
      </w:r>
      <w:r w:rsidR="00192C6F">
        <w:t>Zhou (2011) also studied</w:t>
      </w:r>
      <w:r w:rsidR="00D36151">
        <w:t xml:space="preserve"> the new-entry additions </w:t>
      </w:r>
      <w:r w:rsidR="00192C6F">
        <w:t>th</w:t>
      </w:r>
      <w:r w:rsidR="00D36151">
        <w:t xml:space="preserve">ese </w:t>
      </w:r>
      <w:r w:rsidR="00192C6F">
        <w:t>excess returns</w:t>
      </w:r>
      <w:r w:rsidR="00D36151">
        <w:t xml:space="preserve"> were 1.8% after 20 days</w:t>
      </w:r>
      <w:r w:rsidR="00192C6F">
        <w:t xml:space="preserve"> of the index implementations and increased to an statistically significant excess return of </w:t>
      </w:r>
      <w:r w:rsidR="00D36151">
        <w:t>2.6%</w:t>
      </w:r>
      <w:r w:rsidR="00192C6F">
        <w:t xml:space="preserve"> after 60 days had past</w:t>
      </w:r>
      <w:r w:rsidR="00D36151">
        <w:t xml:space="preserve"> (with a significance level of 1 percent). </w:t>
      </w:r>
      <w:r w:rsidR="00192C6F">
        <w:t>Zhou (2011) last distinction between additions was the re-entry additions.</w:t>
      </w:r>
      <w:r w:rsidR="00586867">
        <w:t xml:space="preserve"> Here he found a</w:t>
      </w:r>
      <w:r w:rsidR="00D36151">
        <w:t xml:space="preserve"> </w:t>
      </w:r>
      <w:r w:rsidR="00586867">
        <w:t xml:space="preserve">significant </w:t>
      </w:r>
      <w:r w:rsidR="00D36151">
        <w:t xml:space="preserve">excess return </w:t>
      </w:r>
      <w:r w:rsidR="00586867">
        <w:t>of</w:t>
      </w:r>
      <w:r w:rsidR="00D36151">
        <w:t xml:space="preserve"> 2.5% after 20 days </w:t>
      </w:r>
      <w:r w:rsidR="00586867">
        <w:t xml:space="preserve">that decrease to </w:t>
      </w:r>
      <w:r w:rsidR="00D36151">
        <w:t>a</w:t>
      </w:r>
      <w:r w:rsidR="00586867">
        <w:t xml:space="preserve">n insignificant excess return of </w:t>
      </w:r>
      <w:r w:rsidR="00D36151">
        <w:t>0.</w:t>
      </w:r>
      <w:r w:rsidR="00586867">
        <w:t>6</w:t>
      </w:r>
      <w:r w:rsidR="00D36151">
        <w:t xml:space="preserve">% after 60 days. </w:t>
      </w:r>
      <w:r w:rsidR="002B621C">
        <w:t>The excess returns for upward, new-entry and re-entry additions were significantly high, but after 60 day</w:t>
      </w:r>
      <w:r w:rsidR="008631B9">
        <w:t>s</w:t>
      </w:r>
      <w:r w:rsidR="002B621C">
        <w:t xml:space="preserve"> after the implementation of the stocks into the index</w:t>
      </w:r>
      <w:r w:rsidR="00586867">
        <w:t>,</w:t>
      </w:r>
      <w:r w:rsidR="002B621C">
        <w:t xml:space="preserve"> these excess returns almost evaporated, suggesting that there is no permanent price effect.</w:t>
      </w:r>
    </w:p>
    <w:p w:rsidR="002B621C" w:rsidRDefault="000E3BD1" w:rsidP="00512E4C">
      <w:r>
        <w:t xml:space="preserve">With respect to the deletions Zhou (2011) made a distinction between pure deletions </w:t>
      </w:r>
      <w:r w:rsidR="00B25479">
        <w:t xml:space="preserve">(companies removed from the S&amp;P </w:t>
      </w:r>
      <w:r w:rsidR="00155942">
        <w:t xml:space="preserve">index family altogether) </w:t>
      </w:r>
      <w:r>
        <w:t>and downward deletions</w:t>
      </w:r>
      <w:r w:rsidR="00155942">
        <w:t xml:space="preserve"> (companies moved to lesser known S&amp;P indices)</w:t>
      </w:r>
      <w:r w:rsidR="00B25479">
        <w:t>.</w:t>
      </w:r>
      <w:r w:rsidR="00B8755D">
        <w:t xml:space="preserve"> The excess loss for the pure deletions was -9.7% and for the downward deletions -4.1% ( at a significance level of 1 percent). This excess loss worsened in the period between the announcement day and implementation day to -15.9% and -7.4%.</w:t>
      </w:r>
      <w:r w:rsidR="00272570">
        <w:t xml:space="preserve"> Although these numbers are quite significant, after the implementation period of 20 days the negative excess return for the pure deletions had already changed into a positive excess return of 1.6%. The downward deletions remained negative at -2.5% after 20 days, but also showed a </w:t>
      </w:r>
      <w:r w:rsidR="00424C77">
        <w:t>recovery with</w:t>
      </w:r>
      <w:r w:rsidR="00272570">
        <w:t xml:space="preserve"> a excess return of 2.7% after 60 days. The pure deletions showed an excess return of 11.9% after 60 days suggesting only temporary negative price effect for both types of deletions. These findings are also consistent with the price effects shown by Chen et al.(2003).</w:t>
      </w:r>
    </w:p>
    <w:p w:rsidR="00922796" w:rsidRDefault="00922796" w:rsidP="00092F15">
      <w:pPr>
        <w:pStyle w:val="Heading3"/>
      </w:pPr>
      <w:r>
        <w:lastRenderedPageBreak/>
        <w:t>TSE 300</w:t>
      </w:r>
    </w:p>
    <w:p w:rsidR="003D4539" w:rsidRDefault="00635FB7" w:rsidP="00512E4C">
      <w:r>
        <w:t xml:space="preserve">Masse et al. (2000) researched the effect of additions to </w:t>
      </w:r>
      <w:r w:rsidR="00F145CA">
        <w:t>and</w:t>
      </w:r>
      <w:r>
        <w:t xml:space="preserve"> deletions from the TSE 300 index on Canadian share prices. </w:t>
      </w:r>
      <w:r w:rsidR="00922796">
        <w:t>The TSE 300 index had its reviews on a yearly basis</w:t>
      </w:r>
      <w:r>
        <w:t>, usually around Spring</w:t>
      </w:r>
      <w:r w:rsidR="00922796">
        <w:t>.</w:t>
      </w:r>
      <w:r w:rsidR="00EE1204">
        <w:t xml:space="preserve"> </w:t>
      </w:r>
      <w:r w:rsidR="00BA3DD0">
        <w:t xml:space="preserve">(The TSE300 index has been replaced by the S&amp;P/ TSX Composite index since May 1, 2002.) The Canadian Markets are </w:t>
      </w:r>
      <w:r w:rsidR="00F145CA">
        <w:t xml:space="preserve">known to be </w:t>
      </w:r>
      <w:r w:rsidR="00BA3DD0">
        <w:t>not as efficient as the</w:t>
      </w:r>
      <w:r w:rsidR="00EE1204">
        <w:t xml:space="preserve"> </w:t>
      </w:r>
      <w:r w:rsidR="00BA3DD0">
        <w:t>US markets. The TSE was less strict on requirements for inclusions than the S&amp;P500, but similar</w:t>
      </w:r>
      <w:r w:rsidR="00A377C4">
        <w:t xml:space="preserve">. For example the TSE300 had companies that were financially weaker, </w:t>
      </w:r>
      <w:r w:rsidR="00F145CA">
        <w:t xml:space="preserve">and </w:t>
      </w:r>
      <w:r w:rsidR="00323641">
        <w:t xml:space="preserve">that had </w:t>
      </w:r>
      <w:r w:rsidR="00A377C4">
        <w:t xml:space="preserve">less liquidity than </w:t>
      </w:r>
      <w:r w:rsidR="00F145CA">
        <w:t xml:space="preserve">companies </w:t>
      </w:r>
      <w:r w:rsidR="00A377C4">
        <w:t>in the S&amp;P</w:t>
      </w:r>
      <w:r w:rsidR="00F145CA">
        <w:t>.</w:t>
      </w:r>
      <w:r w:rsidR="00A377C4">
        <w:t xml:space="preserve"> </w:t>
      </w:r>
      <w:r w:rsidR="00F145CA">
        <w:t>T</w:t>
      </w:r>
      <w:r w:rsidR="00D518DF">
        <w:t>he</w:t>
      </w:r>
      <w:r w:rsidR="00A377C4">
        <w:t xml:space="preserve"> </w:t>
      </w:r>
      <w:r w:rsidR="00F145CA">
        <w:t xml:space="preserve">weights of sectors between the S&amp;P and TSE are also </w:t>
      </w:r>
      <w:r w:rsidR="00A377C4">
        <w:t>differ</w:t>
      </w:r>
      <w:r w:rsidR="00F145CA">
        <w:t>ent for these two indices</w:t>
      </w:r>
      <w:r w:rsidR="00A377C4">
        <w:t>. Masse et al. (2000) s</w:t>
      </w:r>
      <w:r w:rsidR="0011192E">
        <w:t xml:space="preserve">tudied the additions and </w:t>
      </w:r>
      <w:r w:rsidR="00A377C4">
        <w:t>deletions in the period of 1984 till 1994. In the period between 1984 and 1</w:t>
      </w:r>
      <w:r w:rsidR="00CD7552">
        <w:t>9</w:t>
      </w:r>
      <w:r w:rsidR="00A377C4">
        <w:t>88 the event date and the inclusion date of a stock was the same.</w:t>
      </w:r>
      <w:r w:rsidR="00EE1204">
        <w:t xml:space="preserve"> </w:t>
      </w:r>
      <w:r w:rsidR="00A377C4">
        <w:t>Afte</w:t>
      </w:r>
      <w:r w:rsidR="0011192E">
        <w:t>r 1988 an announcement was done</w:t>
      </w:r>
      <w:r w:rsidR="00A377C4">
        <w:t xml:space="preserve"> 5 days prior to</w:t>
      </w:r>
      <w:r w:rsidR="0011192E">
        <w:t xml:space="preserve"> the inclusion day, similar to the S&amp;P. Masse et al.</w:t>
      </w:r>
      <w:r w:rsidR="00323641">
        <w:t xml:space="preserve"> </w:t>
      </w:r>
      <w:r w:rsidR="0011192E">
        <w:t xml:space="preserve">(2000) </w:t>
      </w:r>
      <w:r w:rsidR="00A377C4">
        <w:t xml:space="preserve">found that </w:t>
      </w:r>
      <w:r w:rsidR="00D518DF">
        <w:t xml:space="preserve">in the period between 1984 and 1988 the </w:t>
      </w:r>
      <w:r w:rsidR="00ED2833">
        <w:t>market positively</w:t>
      </w:r>
      <w:r w:rsidR="00A377C4">
        <w:t xml:space="preserve"> </w:t>
      </w:r>
      <w:r w:rsidR="00D518DF">
        <w:t xml:space="preserve">reacts </w:t>
      </w:r>
      <w:r w:rsidR="00A377C4">
        <w:t>to an inclusion and negatively to a deletion.</w:t>
      </w:r>
      <w:r w:rsidR="007D0756">
        <w:t xml:space="preserve"> On the </w:t>
      </w:r>
      <w:r w:rsidR="00831758">
        <w:t xml:space="preserve">announcement/ </w:t>
      </w:r>
      <w:r w:rsidR="007D0756">
        <w:t xml:space="preserve">inclusion day the </w:t>
      </w:r>
      <w:r w:rsidR="00ED2833">
        <w:t>index outperformed the market with a cumulative abnormal return of</w:t>
      </w:r>
      <w:r w:rsidR="007D0756">
        <w:t xml:space="preserve"> 4.</w:t>
      </w:r>
      <w:r w:rsidR="00ED2833">
        <w:t>75</w:t>
      </w:r>
      <w:r w:rsidR="00D518DF">
        <w:t>%</w:t>
      </w:r>
      <w:r w:rsidR="00ED2833">
        <w:t xml:space="preserve"> </w:t>
      </w:r>
      <w:r w:rsidR="00D518DF">
        <w:t xml:space="preserve">. </w:t>
      </w:r>
      <w:r w:rsidR="007D0756">
        <w:t>The daily abnormal return on</w:t>
      </w:r>
      <w:r w:rsidR="00174BBC">
        <w:t xml:space="preserve"> that </w:t>
      </w:r>
      <w:r w:rsidR="007D0756">
        <w:t>day was 0.45% and the first day after the inclusion</w:t>
      </w:r>
      <w:r w:rsidR="00377507">
        <w:t>,</w:t>
      </w:r>
      <w:r w:rsidR="007D0756">
        <w:t xml:space="preserve"> </w:t>
      </w:r>
      <w:r w:rsidR="00377507">
        <w:t xml:space="preserve">the largest effect happened, </w:t>
      </w:r>
      <w:r w:rsidR="007D0756">
        <w:t xml:space="preserve">the </w:t>
      </w:r>
      <w:r w:rsidR="00174BBC">
        <w:t xml:space="preserve">daily </w:t>
      </w:r>
      <w:r w:rsidR="007D0756">
        <w:t>abnormal return was 1.52</w:t>
      </w:r>
      <w:r w:rsidR="00B83010">
        <w:t>%</w:t>
      </w:r>
      <w:r w:rsidR="00EE1204">
        <w:t xml:space="preserve"> </w:t>
      </w:r>
      <w:r w:rsidR="00377507">
        <w:t xml:space="preserve">and a CAR of 6.27%. For </w:t>
      </w:r>
      <w:r w:rsidR="00B83010">
        <w:t>both of these</w:t>
      </w:r>
      <w:r w:rsidR="00377507">
        <w:t xml:space="preserve"> days, the</w:t>
      </w:r>
      <w:r w:rsidR="007D0756">
        <w:t xml:space="preserve"> number</w:t>
      </w:r>
      <w:r w:rsidR="00B83010">
        <w:t>s</w:t>
      </w:r>
      <w:r w:rsidR="007D0756">
        <w:t xml:space="preserve"> </w:t>
      </w:r>
      <w:r w:rsidR="00B83010">
        <w:t xml:space="preserve">were </w:t>
      </w:r>
      <w:r w:rsidR="007D0756">
        <w:t>significant.</w:t>
      </w:r>
      <w:r w:rsidR="00B83010">
        <w:t xml:space="preserve"> </w:t>
      </w:r>
      <w:r w:rsidR="00D518DF">
        <w:t xml:space="preserve">In the second period </w:t>
      </w:r>
      <w:r w:rsidR="00C85DCD">
        <w:t xml:space="preserve">from 1989 till 1994 when the announcement happened five days prior to the implementation day they found that the </w:t>
      </w:r>
      <w:r w:rsidR="00377507">
        <w:t xml:space="preserve">daily </w:t>
      </w:r>
      <w:r w:rsidR="00C85DCD">
        <w:t>abnormal return was extremely</w:t>
      </w:r>
      <w:r w:rsidR="00FA3260">
        <w:t xml:space="preserve"> high at 1.58% and significant on the announcement day</w:t>
      </w:r>
      <w:r w:rsidR="00377507">
        <w:t>, the cumulative abnormal return until</w:t>
      </w:r>
      <w:r w:rsidR="00EE1204">
        <w:t xml:space="preserve"> </w:t>
      </w:r>
      <w:r w:rsidR="00377507">
        <w:t>that day was 2.56%, and was not statistically significant</w:t>
      </w:r>
      <w:r w:rsidR="00FA3260">
        <w:t>.</w:t>
      </w:r>
      <w:r w:rsidR="00A77F01">
        <w:t xml:space="preserve"> Five days after the announcement the daily abnormal return was slightly negative at -0.31% and the cumulative abnormal was 2.57%. Since</w:t>
      </w:r>
      <w:r w:rsidR="00993627">
        <w:t xml:space="preserve"> the announcement happened a few days before the implementation of the stocks into the index, the market should already know the information.</w:t>
      </w:r>
      <w:r w:rsidR="004B2A06">
        <w:t xml:space="preserve"> And therefore </w:t>
      </w:r>
      <w:r w:rsidR="00993627">
        <w:t xml:space="preserve">a market reaction </w:t>
      </w:r>
      <w:r w:rsidR="004B2A06">
        <w:t xml:space="preserve">should be unlikely, </w:t>
      </w:r>
      <w:r w:rsidR="00993627">
        <w:t>according to the efficient market hypothesis.</w:t>
      </w:r>
      <w:r w:rsidR="004B2A06">
        <w:t xml:space="preserve"> Masse et al. (2000) did find a net market reaction to inclusion even though there was no new information. Their results</w:t>
      </w:r>
      <w:r w:rsidR="00C85DCD">
        <w:t xml:space="preserve"> </w:t>
      </w:r>
      <w:r w:rsidR="004B2A06">
        <w:t>support</w:t>
      </w:r>
      <w:r w:rsidR="00C85DCD">
        <w:t xml:space="preserve"> th</w:t>
      </w:r>
      <w:r w:rsidR="004B2A06">
        <w:t>e</w:t>
      </w:r>
      <w:r w:rsidR="00C85DCD">
        <w:t xml:space="preserve"> </w:t>
      </w:r>
      <w:r w:rsidR="004B2A06">
        <w:t xml:space="preserve">hypothesis </w:t>
      </w:r>
      <w:r w:rsidR="00C85DCD">
        <w:t>of Shleifer (1986)</w:t>
      </w:r>
      <w:r w:rsidR="004B2A06">
        <w:t xml:space="preserve"> that the actual indexing causes demand to increase because of purchasing by index managers who have a tracking error to stick to.</w:t>
      </w:r>
      <w:r w:rsidR="00425CE0">
        <w:t xml:space="preserve"> Further more Masse et al. (2000) state that the increase demand happens before the actual inclusion, this is to be expected since arbitrageurs have an in advance notice</w:t>
      </w:r>
      <w:r w:rsidR="001838D4">
        <w:t xml:space="preserve"> on</w:t>
      </w:r>
      <w:r w:rsidR="00425CE0">
        <w:t xml:space="preserve"> which changes will take place. In years prior to 1989 announcement and implementation happened at the same time</w:t>
      </w:r>
      <w:r w:rsidR="00092F15">
        <w:t>, and arbitrageurs had no advanced notice</w:t>
      </w:r>
      <w:r w:rsidR="00425CE0">
        <w:t>.</w:t>
      </w:r>
      <w:r w:rsidR="00092F15">
        <w:t xml:space="preserve"> Masse et al.(2000) find that the inclusions have a net positive effect regardless of when the announcement takes place.</w:t>
      </w:r>
      <w:r w:rsidR="001838D4">
        <w:t xml:space="preserve"> Regarding the deletions</w:t>
      </w:r>
      <w:r w:rsidR="00EA4832">
        <w:t xml:space="preserve"> </w:t>
      </w:r>
      <w:r w:rsidR="00627014">
        <w:t>at first the deletion</w:t>
      </w:r>
      <w:r w:rsidR="00BF3785">
        <w:t>s</w:t>
      </w:r>
      <w:r w:rsidR="00627014">
        <w:t xml:space="preserve"> h</w:t>
      </w:r>
      <w:r w:rsidR="00BF3785">
        <w:t>appened before the announcement was made. Prior to the deletion day the deleted stocks underperformed the market with 2.87%, but this number was not significant. Indicating no signs of anticipation o</w:t>
      </w:r>
      <w:r w:rsidR="00C9008B">
        <w:t>f</w:t>
      </w:r>
      <w:r w:rsidR="00BF3785">
        <w:t xml:space="preserve"> de-indexing before </w:t>
      </w:r>
      <w:r w:rsidR="00C9008B">
        <w:t xml:space="preserve">the actual </w:t>
      </w:r>
      <w:r w:rsidR="00BF3785">
        <w:t>exclusion of the stocks</w:t>
      </w:r>
      <w:r w:rsidR="00C9008B">
        <w:t xml:space="preserve"> happened</w:t>
      </w:r>
      <w:r w:rsidR="00BF3785">
        <w:t>.</w:t>
      </w:r>
      <w:r w:rsidR="00C9008B">
        <w:t xml:space="preserve"> O</w:t>
      </w:r>
      <w:r w:rsidR="00A5189D">
        <w:t xml:space="preserve">n the deletion day the abnormal return is -1.03% and significant. The </w:t>
      </w:r>
      <w:r w:rsidR="00A2744F">
        <w:t>first and second</w:t>
      </w:r>
      <w:r w:rsidR="00A5189D">
        <w:t xml:space="preserve"> day after</w:t>
      </w:r>
      <w:r w:rsidR="00A2744F">
        <w:t xml:space="preserve"> the deletion</w:t>
      </w:r>
      <w:r w:rsidR="003D4539">
        <w:t>,</w:t>
      </w:r>
      <w:r w:rsidR="00A2744F">
        <w:t xml:space="preserve"> are insignificant. T</w:t>
      </w:r>
      <w:r w:rsidR="00A5189D">
        <w:t>he third day is significant with an amount of -0.98%.</w:t>
      </w:r>
      <w:r w:rsidR="00EE1204">
        <w:t xml:space="preserve"> </w:t>
      </w:r>
      <w:r w:rsidR="00A2744F">
        <w:t xml:space="preserve">The </w:t>
      </w:r>
      <w:r w:rsidR="00D52469">
        <w:t xml:space="preserve">cumulative abnormal return of </w:t>
      </w:r>
      <w:r w:rsidR="00CF64C4">
        <w:t xml:space="preserve">the </w:t>
      </w:r>
      <w:r w:rsidR="00A2744F">
        <w:t>da</w:t>
      </w:r>
      <w:r w:rsidR="00D52469">
        <w:t>ys between day 10 and day 20 is</w:t>
      </w:r>
      <w:r w:rsidR="00A2744F">
        <w:t xml:space="preserve"> also negative and significant, after day 20 the cumulative abnormal return recovers slightly</w:t>
      </w:r>
      <w:r w:rsidR="00717998">
        <w:t xml:space="preserve"> (not shown in the table)</w:t>
      </w:r>
      <w:r w:rsidR="00A2744F">
        <w:t>.</w:t>
      </w:r>
      <w:r w:rsidR="00D52469">
        <w:t xml:space="preserve"> In the period where the announcement occurs</w:t>
      </w:r>
      <w:r w:rsidR="00717998">
        <w:t xml:space="preserve"> before or on the deletion day</w:t>
      </w:r>
      <w:r w:rsidR="00247AEC">
        <w:t xml:space="preserve"> Masse at al.(200</w:t>
      </w:r>
      <w:r w:rsidR="00707205">
        <w:t>0</w:t>
      </w:r>
      <w:r w:rsidR="00247AEC">
        <w:t xml:space="preserve">) found a considerable volatility in returns, but </w:t>
      </w:r>
      <w:r w:rsidR="002E7355">
        <w:t xml:space="preserve">concluded </w:t>
      </w:r>
      <w:r w:rsidR="00247AEC">
        <w:t>that after all</w:t>
      </w:r>
      <w:r w:rsidR="002E7355">
        <w:t>,</w:t>
      </w:r>
      <w:r w:rsidR="00247AEC">
        <w:t xml:space="preserve"> the deletions seem to have no effect. </w:t>
      </w:r>
      <w:r w:rsidR="003D4539">
        <w:t xml:space="preserve">The announcement day had a negative daily abnormal return of -1.35%, continuing with a negative daily abnormal return on </w:t>
      </w:r>
      <w:r w:rsidR="003D4539">
        <w:lastRenderedPageBreak/>
        <w:t xml:space="preserve">the first day of -0.99% and a positive abnormal return on the second day of 0.80%. The surprising series of </w:t>
      </w:r>
      <w:r w:rsidR="009B1C96">
        <w:t>positive daily abnormal returns cause the cumulative abnormal return to trend upward. By day 30 the CAR climbs to 4.78%, but is not statistically significant.</w:t>
      </w:r>
    </w:p>
    <w:p w:rsidR="007D0756" w:rsidRDefault="00247AEC" w:rsidP="00512E4C">
      <w:r>
        <w:t>Their results are not consistent with the hypothesis that the price will decrease</w:t>
      </w:r>
      <w:r w:rsidR="002E7355">
        <w:t>,</w:t>
      </w:r>
      <w:r>
        <w:t xml:space="preserve"> when a stock is deleted from the index</w:t>
      </w:r>
      <w:r w:rsidR="005630A5">
        <w:t>,</w:t>
      </w:r>
      <w:r>
        <w:t xml:space="preserve"> a</w:t>
      </w:r>
      <w:r w:rsidR="00707205">
        <w:t xml:space="preserve">s a </w:t>
      </w:r>
      <w:r>
        <w:t xml:space="preserve">result of sales by index fund managers. Their </w:t>
      </w:r>
      <w:r w:rsidR="00707205">
        <w:t>findings</w:t>
      </w:r>
      <w:r>
        <w:t xml:space="preserve"> also do not </w:t>
      </w:r>
      <w:r w:rsidR="009B1C96">
        <w:t>support the</w:t>
      </w:r>
      <w:r>
        <w:t xml:space="preserve"> new information</w:t>
      </w:r>
      <w:r w:rsidR="007D5AB7">
        <w:t xml:space="preserve"> hypothesis where the market reacts negatively to bad news such as a deletion from the index. Their conclusion is </w:t>
      </w:r>
      <w:r w:rsidR="00707205">
        <w:t>that the</w:t>
      </w:r>
      <w:r w:rsidR="007D5AB7">
        <w:t xml:space="preserve"> actual deletion has no significant effect regardless of when the announcement takes place.</w:t>
      </w:r>
    </w:p>
    <w:p w:rsidR="00443AF0" w:rsidRDefault="00283F66" w:rsidP="009A48E2">
      <w:pPr>
        <w:pStyle w:val="Heading3"/>
      </w:pPr>
      <w:r>
        <w:t xml:space="preserve">NSE </w:t>
      </w:r>
      <w:r w:rsidR="00443AF0">
        <w:t>S</w:t>
      </w:r>
      <w:r w:rsidR="00443AF0" w:rsidRPr="009A48E2">
        <w:t>&amp;P CNX Nifty</w:t>
      </w:r>
    </w:p>
    <w:p w:rsidR="00922796" w:rsidRDefault="00F43249" w:rsidP="00512E4C">
      <w:r>
        <w:t xml:space="preserve">The S&amp;P CNX </w:t>
      </w:r>
      <w:r w:rsidR="009A48E2">
        <w:t xml:space="preserve">Nifty </w:t>
      </w:r>
      <w:r w:rsidR="000645F6">
        <w:t>represents a portfolio of 50 large and most liquid stocks of the</w:t>
      </w:r>
      <w:r>
        <w:t xml:space="preserve"> Nation</w:t>
      </w:r>
      <w:r w:rsidR="000645F6">
        <w:t>al</w:t>
      </w:r>
      <w:r>
        <w:t xml:space="preserve"> Stock Exchange</w:t>
      </w:r>
      <w:r w:rsidR="000645F6">
        <w:t xml:space="preserve"> (NSE) and is maintained by the India index services and products since </w:t>
      </w:r>
      <w:r w:rsidR="00FA629D">
        <w:t xml:space="preserve">May </w:t>
      </w:r>
      <w:r w:rsidR="000645F6">
        <w:t>199</w:t>
      </w:r>
      <w:r w:rsidR="00FA629D">
        <w:t>8</w:t>
      </w:r>
      <w:r w:rsidR="000645F6">
        <w:t>.</w:t>
      </w:r>
      <w:r w:rsidR="009A48E2">
        <w:t xml:space="preserve"> Parthasarathy (201</w:t>
      </w:r>
      <w:r w:rsidR="00236605">
        <w:t>0</w:t>
      </w:r>
      <w:r w:rsidR="009A48E2">
        <w:t>) researched the price effects on additions on</w:t>
      </w:r>
      <w:r w:rsidR="00EE1204">
        <w:t xml:space="preserve"> </w:t>
      </w:r>
      <w:r w:rsidR="009A48E2">
        <w:t xml:space="preserve">the Indian S&amp;P CNX Nifty for the period of 1999 till 2010. </w:t>
      </w:r>
      <w:r w:rsidR="008C195D">
        <w:t xml:space="preserve">He </w:t>
      </w:r>
      <w:r w:rsidR="00F63713">
        <w:t xml:space="preserve">looked at </w:t>
      </w:r>
      <w:r w:rsidR="00087850">
        <w:t xml:space="preserve">the </w:t>
      </w:r>
      <w:r w:rsidR="00F63713">
        <w:t>period as a whole and also split it into the</w:t>
      </w:r>
      <w:r w:rsidR="00EE1204">
        <w:t xml:space="preserve"> </w:t>
      </w:r>
      <w:r w:rsidR="008C195D">
        <w:t>period</w:t>
      </w:r>
      <w:r w:rsidR="00F63713">
        <w:t xml:space="preserve"> </w:t>
      </w:r>
      <w:r w:rsidR="008C195D">
        <w:t xml:space="preserve">1999 until 2006, and </w:t>
      </w:r>
      <w:r w:rsidR="00F63713">
        <w:t xml:space="preserve">the period </w:t>
      </w:r>
      <w:r w:rsidR="008C195D">
        <w:t xml:space="preserve">2007 until 2010. </w:t>
      </w:r>
      <w:r w:rsidR="004C5987">
        <w:t>The study focused on two issues naming the permanent effect and the information content of index additions. The study shows that the additions are characterized by permanent abnormal returns created by an announcement and or inclusion</w:t>
      </w:r>
      <w:r w:rsidR="00661EC8">
        <w:t xml:space="preserve"> in the S&amp;P CNX Nifty index. This result is similar as in developed markets. Parthasarathy (201</w:t>
      </w:r>
      <w:r w:rsidR="00236605">
        <w:t>0</w:t>
      </w:r>
      <w:r w:rsidR="00661EC8">
        <w:t>)</w:t>
      </w:r>
      <w:r w:rsidR="00EE1204">
        <w:t xml:space="preserve"> </w:t>
      </w:r>
      <w:r w:rsidR="009A48E2">
        <w:t xml:space="preserve">found that the </w:t>
      </w:r>
      <w:r w:rsidR="008C195D">
        <w:t xml:space="preserve">first three days after the </w:t>
      </w:r>
      <w:r w:rsidR="009A48E2">
        <w:t xml:space="preserve">announcement </w:t>
      </w:r>
      <w:r w:rsidR="008C195D">
        <w:t xml:space="preserve">day had a </w:t>
      </w:r>
      <w:r w:rsidR="009A48E2">
        <w:t xml:space="preserve">return </w:t>
      </w:r>
      <w:r w:rsidR="008C195D">
        <w:t>of</w:t>
      </w:r>
      <w:r w:rsidR="009A48E2">
        <w:t xml:space="preserve"> 2.94% </w:t>
      </w:r>
      <w:r w:rsidR="008C195D">
        <w:t xml:space="preserve">that </w:t>
      </w:r>
      <w:r w:rsidR="009A48E2">
        <w:t xml:space="preserve">was </w:t>
      </w:r>
      <w:r w:rsidR="008C195D">
        <w:t>statistically significant.</w:t>
      </w:r>
      <w:r w:rsidR="00EE1204">
        <w:t xml:space="preserve"> </w:t>
      </w:r>
      <w:r w:rsidR="00F63713">
        <w:t xml:space="preserve">In the first period this result was 1.67% and the second period it was 5.11%. </w:t>
      </w:r>
      <w:r w:rsidR="008C195D">
        <w:t xml:space="preserve">He finds that these results are comparable with those of the S&amp;P 500. </w:t>
      </w:r>
      <w:r w:rsidR="00F63713">
        <w:t>Furthermore his results show that</w:t>
      </w:r>
      <w:r w:rsidR="00EE1204">
        <w:t xml:space="preserve"> </w:t>
      </w:r>
      <w:r w:rsidR="00426B50">
        <w:t>after 30 and 60 days from the announcement the cumulative abnormal return is still statistically significant at 4.70% and 4.63%.</w:t>
      </w:r>
      <w:r w:rsidR="00EE1204">
        <w:t xml:space="preserve"> </w:t>
      </w:r>
      <w:r w:rsidR="00B820F2">
        <w:t>In anticipation window, in the period of 10 days before the announcement day, the CAR</w:t>
      </w:r>
      <w:r w:rsidR="00EE1204">
        <w:t xml:space="preserve"> </w:t>
      </w:r>
      <w:r w:rsidR="00B820F2">
        <w:t>was negative -1.93% which suggested that there was no anticipation</w:t>
      </w:r>
      <w:r w:rsidR="008617BD">
        <w:t xml:space="preserve"> prior to the announcement. The run up window, 4 days after the announcement until 1 day before inclusion showed a CAR of 0.20% which was not a significant number, but in the period of 1999 till 2006 the CAR was 1.41% </w:t>
      </w:r>
      <w:r w:rsidR="00B75B45">
        <w:t>(</w:t>
      </w:r>
      <w:r w:rsidR="0075644D">
        <w:t xml:space="preserve">also </w:t>
      </w:r>
      <w:r w:rsidR="00B75B45">
        <w:t xml:space="preserve">not significant) </w:t>
      </w:r>
      <w:r w:rsidR="008617BD">
        <w:t>and for 2007 till 2010 it wa</w:t>
      </w:r>
      <w:r w:rsidR="000548FB">
        <w:t xml:space="preserve">s </w:t>
      </w:r>
      <w:r w:rsidR="008617BD">
        <w:t>-</w:t>
      </w:r>
      <w:r w:rsidR="00B75B45">
        <w:t>2</w:t>
      </w:r>
      <w:r w:rsidR="008617BD">
        <w:t>.39% this showed a quite a difference within the periods.</w:t>
      </w:r>
      <w:r w:rsidR="00E3448D">
        <w:t xml:space="preserve"> Parthasarathy (201</w:t>
      </w:r>
      <w:r w:rsidR="00236605">
        <w:t>0</w:t>
      </w:r>
      <w:r w:rsidR="00C9158B">
        <w:t>) compared</w:t>
      </w:r>
      <w:r w:rsidR="00F93875">
        <w:t xml:space="preserve"> his </w:t>
      </w:r>
      <w:r w:rsidR="00C9158B">
        <w:t>result to</w:t>
      </w:r>
      <w:r w:rsidR="00F93875">
        <w:t xml:space="preserve"> Lynch and Mendelhall (19</w:t>
      </w:r>
      <w:r w:rsidR="007854E3">
        <w:t>9</w:t>
      </w:r>
      <w:r w:rsidR="008520B3">
        <w:t>7</w:t>
      </w:r>
      <w:r w:rsidR="00F93875">
        <w:t>), who states that a positive and significant run-up CAR is cons</w:t>
      </w:r>
      <w:r w:rsidR="00E3448D">
        <w:t>istent with the D</w:t>
      </w:r>
      <w:r w:rsidR="007C6A07">
        <w:t xml:space="preserve">ownward </w:t>
      </w:r>
      <w:r w:rsidR="00E3448D">
        <w:t>S</w:t>
      </w:r>
      <w:r w:rsidR="007C6A07">
        <w:t xml:space="preserve">loping </w:t>
      </w:r>
      <w:r w:rsidR="00E3448D">
        <w:t>D</w:t>
      </w:r>
      <w:r w:rsidR="007C6A07">
        <w:t xml:space="preserve">emand </w:t>
      </w:r>
      <w:r w:rsidR="00E3448D">
        <w:t>C</w:t>
      </w:r>
      <w:r w:rsidR="007C6A07">
        <w:t>urve</w:t>
      </w:r>
      <w:r w:rsidR="00E3448D">
        <w:t xml:space="preserve"> hypothesis, which </w:t>
      </w:r>
      <w:r w:rsidR="00F93875">
        <w:t>is not the case here.</w:t>
      </w:r>
      <w:r w:rsidR="00EE1204">
        <w:t xml:space="preserve"> </w:t>
      </w:r>
      <w:r w:rsidR="00661EC8">
        <w:t xml:space="preserve">The </w:t>
      </w:r>
      <w:r w:rsidR="0075644D">
        <w:t>implementation</w:t>
      </w:r>
      <w:r w:rsidR="00436CE3">
        <w:t xml:space="preserve"> day of the additions had a </w:t>
      </w:r>
      <w:r w:rsidR="00661EC8">
        <w:t xml:space="preserve">statistically significant </w:t>
      </w:r>
      <w:r w:rsidR="00436CE3">
        <w:t>excess return of</w:t>
      </w:r>
      <w:r w:rsidR="00661EC8">
        <w:t xml:space="preserve"> 1.92%( significant at 1% level), for the period of 1999 till 2010</w:t>
      </w:r>
      <w:r w:rsidR="00436CE3">
        <w:t>. The sub period of 1999-2006 showed an excess return of 2.03</w:t>
      </w:r>
      <w:r w:rsidR="00661EC8">
        <w:t xml:space="preserve">% (significant at a 5% level) </w:t>
      </w:r>
      <w:r w:rsidR="00436CE3">
        <w:t xml:space="preserve">and an excess return of </w:t>
      </w:r>
      <w:r w:rsidR="00661EC8">
        <w:t xml:space="preserve">1.73% </w:t>
      </w:r>
      <w:r w:rsidR="00436CE3">
        <w:t xml:space="preserve">for the 2007 till 2010 </w:t>
      </w:r>
      <w:r w:rsidR="00661EC8">
        <w:t>(</w:t>
      </w:r>
      <w:r w:rsidR="00436CE3">
        <w:t>at significant at a 10% level)</w:t>
      </w:r>
      <w:r w:rsidR="00661EC8">
        <w:t>.</w:t>
      </w:r>
      <w:r w:rsidR="003345D6">
        <w:t xml:space="preserve"> The first (four) days after the inclusion of the additions called, the release ending day</w:t>
      </w:r>
      <w:r w:rsidR="00EE1204">
        <w:t xml:space="preserve"> </w:t>
      </w:r>
      <w:r w:rsidR="003345D6">
        <w:t>had an abnormal return of</w:t>
      </w:r>
      <w:r w:rsidR="00EE1204">
        <w:t xml:space="preserve"> </w:t>
      </w:r>
      <w:r w:rsidR="003345D6">
        <w:t>-0.89% for the complete period and -0.89% for the first period and -0.88% for the second period</w:t>
      </w:r>
      <w:r w:rsidR="00C9158B">
        <w:t>. These numbers are not statistically significant and important to make a statement on the price pressure hypothesis.</w:t>
      </w:r>
      <w:r w:rsidR="00EF5640">
        <w:t xml:space="preserve"> </w:t>
      </w:r>
      <w:r w:rsidR="007D4E92">
        <w:t>For the long run window, that is the period from the inclusion day until 60 days after, suggests that the excess returns</w:t>
      </w:r>
      <w:r w:rsidR="00746EDF">
        <w:t xml:space="preserve"> of 4.70% for the complete period</w:t>
      </w:r>
      <w:r w:rsidR="007D4E92">
        <w:t xml:space="preserve"> are increasing</w:t>
      </w:r>
      <w:r w:rsidR="0099575B">
        <w:t>, but</w:t>
      </w:r>
      <w:r w:rsidR="007D4E92">
        <w:t xml:space="preserve"> </w:t>
      </w:r>
      <w:r w:rsidR="00087850">
        <w:t>are</w:t>
      </w:r>
      <w:r w:rsidR="007D4E92">
        <w:t xml:space="preserve"> not statistically significant</w:t>
      </w:r>
      <w:r w:rsidR="003D0ADE">
        <w:t>. The results for the days after the announcement (AD window) for stock inclusions and implementation day</w:t>
      </w:r>
      <w:r w:rsidR="00EE1204">
        <w:t xml:space="preserve"> </w:t>
      </w:r>
      <w:r w:rsidR="003D0ADE">
        <w:t xml:space="preserve">(ED) are </w:t>
      </w:r>
      <w:r w:rsidR="003D0ADE">
        <w:lastRenderedPageBreak/>
        <w:t>similar to those in developed markets.</w:t>
      </w:r>
      <w:r w:rsidR="00746EDF">
        <w:t xml:space="preserve"> However the period</w:t>
      </w:r>
      <w:r w:rsidR="00F9585A">
        <w:t xml:space="preserve"> </w:t>
      </w:r>
      <w:r w:rsidR="00746EDF">
        <w:t xml:space="preserve">shortly after </w:t>
      </w:r>
      <w:r w:rsidR="00F9585A">
        <w:t>implementation of the stocks into index</w:t>
      </w:r>
      <w:r w:rsidR="00734A60">
        <w:t>, and</w:t>
      </w:r>
      <w:r w:rsidR="00746EDF">
        <w:t xml:space="preserve"> sixty days after </w:t>
      </w:r>
      <w:r w:rsidR="00F9585A">
        <w:t>is not significant.</w:t>
      </w:r>
      <w:r w:rsidR="00746EDF">
        <w:t xml:space="preserve"> This is not consistent with the results of developed markets.</w:t>
      </w:r>
      <w:r w:rsidR="00221776">
        <w:t xml:space="preserve"> </w:t>
      </w:r>
    </w:p>
    <w:p w:rsidR="00D90B52" w:rsidRDefault="00D90B52" w:rsidP="00092F15">
      <w:pPr>
        <w:pStyle w:val="Heading3"/>
      </w:pPr>
      <w:r>
        <w:t>MSCI Emerging Markets</w:t>
      </w:r>
    </w:p>
    <w:p w:rsidR="0016235E" w:rsidRDefault="00171521" w:rsidP="00512E4C">
      <w:r>
        <w:t>The MSCI Emerging Markets is part of MSCI Standard indices family.</w:t>
      </w:r>
      <w:r w:rsidR="00EE1204">
        <w:t xml:space="preserve"> </w:t>
      </w:r>
      <w:r>
        <w:t xml:space="preserve">The methodology from the MSCI on index reviews differs from AEX and the S&amp;P. The MSCI holds its index reviews on a quarterly and half year basis. Prior research on the price effects of stocks that </w:t>
      </w:r>
      <w:r w:rsidR="00177221">
        <w:t xml:space="preserve">have </w:t>
      </w:r>
      <w:r>
        <w:t>been added to or deleted from the MSCI Emerging Markets index h</w:t>
      </w:r>
      <w:r w:rsidR="00413F2D">
        <w:t xml:space="preserve">as been done by </w:t>
      </w:r>
      <w:r>
        <w:t>Hacibedel (2007).</w:t>
      </w:r>
      <w:r w:rsidR="00843192">
        <w:t xml:space="preserve"> She found</w:t>
      </w:r>
      <w:r w:rsidR="00424C77">
        <w:t xml:space="preserve"> that</w:t>
      </w:r>
      <w:r w:rsidR="0018575B">
        <w:t xml:space="preserve"> the price effects for Emerging Markets stocks</w:t>
      </w:r>
      <w:r w:rsidR="00EE1204">
        <w:t xml:space="preserve"> </w:t>
      </w:r>
      <w:r w:rsidR="0018575B">
        <w:t>are smaller than in studies reported from</w:t>
      </w:r>
      <w:r w:rsidR="00413F2D">
        <w:t xml:space="preserve"> the S&amp;P500.</w:t>
      </w:r>
      <w:r w:rsidR="00EE1204">
        <w:t xml:space="preserve"> </w:t>
      </w:r>
      <w:r w:rsidR="00413F2D">
        <w:t xml:space="preserve">She </w:t>
      </w:r>
      <w:r w:rsidR="00501DAA">
        <w:t>reported a</w:t>
      </w:r>
      <w:r w:rsidR="00413F2D">
        <w:t xml:space="preserve"> result of 0.6% in the period between announcement day and implementation day of the additions. In a timeline of 20 days before implementation of an addition into the MSCI EM index and 20 days after there was </w:t>
      </w:r>
      <w:r w:rsidR="00FA629D">
        <w:t>an excess</w:t>
      </w:r>
      <w:r w:rsidR="00413F2D">
        <w:t xml:space="preserve"> return of 1.9% (with a significance level of 5%). </w:t>
      </w:r>
      <w:r w:rsidR="00501DAA">
        <w:t>In a</w:t>
      </w:r>
      <w:r w:rsidR="00413F2D">
        <w:t xml:space="preserve"> timeline of 20 days before inclusion of a stock in the index until 60 after, the excess return</w:t>
      </w:r>
      <w:r w:rsidR="00EE1204">
        <w:t xml:space="preserve"> </w:t>
      </w:r>
      <w:r w:rsidR="00413F2D">
        <w:t>was 2.4%.</w:t>
      </w:r>
      <w:r w:rsidR="00EE1204">
        <w:t xml:space="preserve"> </w:t>
      </w:r>
      <w:r w:rsidR="00413F2D">
        <w:t>Hacibedel (2007) findings on the deletions were more inline with those of the developed markets</w:t>
      </w:r>
      <w:r w:rsidR="00D82FD2">
        <w:t xml:space="preserve"> indices. The exclusions had a sharper and larger effect on the stock price, within the period after the announcement but before the inclusion there was a negative excess return of -2.2% (with a significance level of 1 %).</w:t>
      </w:r>
      <w:r w:rsidR="00EE1204">
        <w:t xml:space="preserve"> </w:t>
      </w:r>
      <w:r w:rsidR="00D82FD2">
        <w:t xml:space="preserve">In the timelines of 20 days before implementation of the index changes and 20 after the </w:t>
      </w:r>
      <w:r w:rsidR="001977FF">
        <w:t xml:space="preserve">negative excess return </w:t>
      </w:r>
      <w:r w:rsidR="00DF4B84">
        <w:t>worsened</w:t>
      </w:r>
      <w:r w:rsidR="001977FF">
        <w:t xml:space="preserve"> and became -3.4%.</w:t>
      </w:r>
      <w:r w:rsidR="00EE1204">
        <w:t xml:space="preserve"> </w:t>
      </w:r>
      <w:r w:rsidR="001977FF">
        <w:t>For the timeline of 20 days before the implementation and 60 days after, she saw a recovery with a negative excess return of -1.0% instead of -3.4% of 40 days earlier.</w:t>
      </w:r>
      <w:r w:rsidR="007F1107">
        <w:t xml:space="preserve"> Yet this is no price reversal as seen for example by the deletions for the S&amp;P 500 index. Hacibe</w:t>
      </w:r>
      <w:r w:rsidR="00AF495E">
        <w:t>del</w:t>
      </w:r>
      <w:r w:rsidR="007F1107">
        <w:t xml:space="preserve"> (2007) explains </w:t>
      </w:r>
      <w:r w:rsidR="001C6C98">
        <w:t>these results with</w:t>
      </w:r>
      <w:r w:rsidR="00657CEB">
        <w:t xml:space="preserve"> a price change upon inclusion </w:t>
      </w:r>
      <w:r w:rsidR="001C6C98">
        <w:t xml:space="preserve">or deletion should not </w:t>
      </w:r>
      <w:r w:rsidR="00657CEB">
        <w:t>result from new information,</w:t>
      </w:r>
      <w:r w:rsidR="001C6C98">
        <w:t xml:space="preserve"> a </w:t>
      </w:r>
      <w:r w:rsidR="00AF495E">
        <w:t>potential</w:t>
      </w:r>
      <w:r w:rsidR="001C6C98">
        <w:t xml:space="preserve"> explanation could be the change in </w:t>
      </w:r>
      <w:r w:rsidR="00501DAA">
        <w:t>investors’</w:t>
      </w:r>
      <w:r w:rsidR="001C6C98">
        <w:t xml:space="preserve"> awareness around the index review events. She mentions the presence of market segmentation</w:t>
      </w:r>
      <w:r w:rsidR="00AF495E">
        <w:t xml:space="preserve"> </w:t>
      </w:r>
      <w:r w:rsidR="001C6C98">
        <w:t xml:space="preserve">in the Emerging Markets saying that the existing information may not be visible all investors, </w:t>
      </w:r>
      <w:r w:rsidR="00AF495E">
        <w:t>naming especially</w:t>
      </w:r>
      <w:r w:rsidR="001C6C98">
        <w:t xml:space="preserve"> the foreign </w:t>
      </w:r>
      <w:r w:rsidR="00AF495E">
        <w:t>investors</w:t>
      </w:r>
      <w:r w:rsidR="001C6C98">
        <w:t>.</w:t>
      </w:r>
    </w:p>
    <w:p w:rsidR="0016235E" w:rsidRDefault="0016235E" w:rsidP="0016235E">
      <w:pPr>
        <w:pStyle w:val="Heading3"/>
      </w:pPr>
      <w:r>
        <w:t>Developed Markets versus Emerging Markets</w:t>
      </w:r>
    </w:p>
    <w:p w:rsidR="00D90E17" w:rsidRDefault="00D36DD2" w:rsidP="0016235E">
      <w:r>
        <w:t>Hacibedel (2007) and Parthasarathy(2011) found that the excess return in em</w:t>
      </w:r>
      <w:r w:rsidR="00FA629D">
        <w:t>e</w:t>
      </w:r>
      <w:r>
        <w:t xml:space="preserve">rging markets is smaller than in </w:t>
      </w:r>
      <w:r w:rsidR="00FA629D">
        <w:t>developed</w:t>
      </w:r>
      <w:r>
        <w:t xml:space="preserve"> market. </w:t>
      </w:r>
      <w:r w:rsidR="00D90E17">
        <w:t>A</w:t>
      </w:r>
      <w:r>
        <w:t>lso</w:t>
      </w:r>
      <w:r w:rsidR="00D90E17">
        <w:t xml:space="preserve"> important</w:t>
      </w:r>
      <w:r w:rsidR="0016235E">
        <w:t xml:space="preserve"> difference between developed and emerging markets </w:t>
      </w:r>
      <w:r w:rsidR="00D90E17">
        <w:t xml:space="preserve">is that </w:t>
      </w:r>
      <w:r w:rsidR="0016235E">
        <w:t>the price</w:t>
      </w:r>
      <w:r w:rsidR="00D90E17">
        <w:t xml:space="preserve"> increase after the addition into the index is not significant anymore in emerging markets Parthasarathy(201</w:t>
      </w:r>
      <w:r w:rsidR="00236605">
        <w:t>0</w:t>
      </w:r>
      <w:r w:rsidR="00D90E17">
        <w:t>).</w:t>
      </w:r>
      <w:r>
        <w:t xml:space="preserve"> With regard to the deletions Hacibedel (2007) found that for the stock deletions from the emerging markets there is no complete price reversal as seen in developed markets.</w:t>
      </w:r>
    </w:p>
    <w:p w:rsidR="0016235E" w:rsidRDefault="00D90E17" w:rsidP="0016235E">
      <w:r>
        <w:t xml:space="preserve"> </w:t>
      </w:r>
      <w:r w:rsidR="00D36DD2">
        <w:t>The r</w:t>
      </w:r>
      <w:r w:rsidR="0016235E">
        <w:t xml:space="preserve">eason </w:t>
      </w:r>
      <w:r w:rsidR="00D36DD2">
        <w:t>Hacibedel (2007) and Parthasarathy(201</w:t>
      </w:r>
      <w:r w:rsidR="00236605">
        <w:t>0</w:t>
      </w:r>
      <w:r w:rsidR="00D36DD2">
        <w:t xml:space="preserve">) give </w:t>
      </w:r>
      <w:r w:rsidR="0016235E">
        <w:t>for these differences in price effect is changes in investors awareness, little information available for foreign investors. Stock</w:t>
      </w:r>
      <w:r w:rsidR="00D36DD2">
        <w:t>s</w:t>
      </w:r>
      <w:r w:rsidR="0016235E">
        <w:t xml:space="preserve"> included in the index are financially stronger, and exposed to more regulations than stocks that are not included in the index. Others reason that were named were more transaction costs and higher information costs, less transparency in emerging markets than in developed</w:t>
      </w:r>
      <w:r w:rsidR="0043756A">
        <w:t>.</w:t>
      </w:r>
    </w:p>
    <w:p w:rsidR="0043756A" w:rsidRDefault="0043756A" w:rsidP="00F33EBE">
      <w:pPr>
        <w:pStyle w:val="Heading3"/>
      </w:pPr>
      <w:r>
        <w:t>Price pressure hypothesis</w:t>
      </w:r>
    </w:p>
    <w:p w:rsidR="00FF3777" w:rsidRPr="00107F67" w:rsidRDefault="0043756A" w:rsidP="00512E4C">
      <w:pPr>
        <w:rPr>
          <w:rFonts w:ascii="Calibri" w:eastAsia="Times New Roman" w:hAnsi="Calibri" w:cs="Times New Roman"/>
          <w:b/>
          <w:bCs/>
          <w:color w:val="000000"/>
          <w:sz w:val="28"/>
          <w:szCs w:val="28"/>
        </w:rPr>
        <w:sectPr w:rsidR="00FF3777" w:rsidRPr="00107F67" w:rsidSect="009B21AE">
          <w:footerReference w:type="even" r:id="rId9"/>
          <w:footerReference w:type="default" r:id="rId10"/>
          <w:footerReference w:type="first" r:id="rId11"/>
          <w:pgSz w:w="11900" w:h="16840"/>
          <w:pgMar w:top="1440" w:right="1800" w:bottom="1440" w:left="1800" w:header="708" w:footer="708" w:gutter="0"/>
          <w:cols w:space="708"/>
          <w:titlePg/>
          <w:docGrid w:linePitch="360"/>
        </w:sectPr>
      </w:pPr>
      <w:r>
        <w:t>Parthasarathy (201</w:t>
      </w:r>
      <w:r w:rsidR="00236605">
        <w:t>0</w:t>
      </w:r>
      <w:r>
        <w:t>) states that on the day of implementation the excess returns on stock inclusions</w:t>
      </w:r>
      <w:r w:rsidR="00F33EBE">
        <w:t xml:space="preserve"> are expected to be significantly positive, due to the action of index </w:t>
      </w:r>
      <w:r w:rsidR="00F33EBE">
        <w:lastRenderedPageBreak/>
        <w:t>funds. Therefore only the stocks with a positive abnormal return are considered for testing</w:t>
      </w:r>
      <w:r w:rsidR="0003266D">
        <w:t xml:space="preserve"> the price pressure hypothesis in the Indian stock market. This is more </w:t>
      </w:r>
      <w:r w:rsidR="00501DAA">
        <w:t>appropriate</w:t>
      </w:r>
      <w:r w:rsidR="0003266D">
        <w:t xml:space="preserve"> because price pressure hypothesis suggests complete reversion of positive abnormal returns of the additions after implementation into the index, once the temporary excess demand of the index </w:t>
      </w:r>
      <w:r w:rsidR="00087850">
        <w:t xml:space="preserve">is </w:t>
      </w:r>
      <w:r w:rsidR="0003266D">
        <w:t>satisfied</w:t>
      </w:r>
      <w:r w:rsidR="00CF792A">
        <w:t xml:space="preserve">. </w:t>
      </w:r>
      <w:r w:rsidR="001C36A3">
        <w:t xml:space="preserve"> </w:t>
      </w:r>
    </w:p>
    <w:p w:rsidR="00FF3777" w:rsidRDefault="003D440E" w:rsidP="00512E4C">
      <w:r>
        <w:lastRenderedPageBreak/>
        <w:fldChar w:fldCharType="begin"/>
      </w:r>
      <w:r>
        <w:instrText xml:space="preserve"> LINK Excel.Sheet.8 "Macintosh HD:Users:merilinsimons:Scriptie:goedgekeurde resultaten:tabel_overzichtindexen compleet.xlsx!CAR overview!R3C3:R15C15" "" \a \p </w:instrText>
      </w:r>
      <w:r>
        <w:fldChar w:fldCharType="separate"/>
      </w:r>
      <w:r>
        <w:object w:dxaOrig="24700" w:dyaOrig="14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7pt;height:393.85pt">
            <v:imagedata r:id="rId12" o:title=""/>
          </v:shape>
        </w:object>
      </w:r>
      <w:r>
        <w:fldChar w:fldCharType="end"/>
      </w:r>
    </w:p>
    <w:p w:rsidR="00C547BB" w:rsidRDefault="003D440E" w:rsidP="00512E4C">
      <w:r>
        <w:lastRenderedPageBreak/>
        <w:fldChar w:fldCharType="begin"/>
      </w:r>
      <w:r>
        <w:instrText xml:space="preserve"> LINK Excel.Sheet.8 "Macintosh HD:Users:merilinsimons:Scriptie:goedgekeurde resultaten:tabel_overzichtindexen compleet.xlsx!CAR overview!R18C3:R31C15" "" \a \p </w:instrText>
      </w:r>
      <w:r>
        <w:fldChar w:fldCharType="separate"/>
      </w:r>
      <w:r>
        <w:object w:dxaOrig="24700" w:dyaOrig="15220">
          <v:shape id="_x0000_i1026" type="#_x0000_t75" style="width:685.6pt;height:422.35pt">
            <v:imagedata r:id="rId13" o:title=""/>
          </v:shape>
        </w:object>
      </w:r>
      <w:r>
        <w:fldChar w:fldCharType="end"/>
      </w:r>
    </w:p>
    <w:p w:rsidR="00953D3B" w:rsidRDefault="003D440E" w:rsidP="00512E4C">
      <w:r>
        <w:lastRenderedPageBreak/>
        <w:fldChar w:fldCharType="begin"/>
      </w:r>
      <w:r>
        <w:instrText xml:space="preserve"> LINK Excel.Sheet.8 "Macintosh HD:Users:merilinsimons:Scriptie:goedgekeurde resultaten:tabel_overzichtindexen compleet.xlsx!CAR overview!R39C3:R52C15" "" \a \p </w:instrText>
      </w:r>
      <w:r>
        <w:fldChar w:fldCharType="separate"/>
      </w:r>
      <w:r>
        <w:object w:dxaOrig="24700" w:dyaOrig="12720">
          <v:shape id="_x0000_i1027" type="#_x0000_t75" style="width:749.55pt;height:384.7pt">
            <v:imagedata r:id="rId14" o:title=""/>
          </v:shape>
        </w:object>
      </w:r>
      <w:r>
        <w:fldChar w:fldCharType="end"/>
      </w:r>
    </w:p>
    <w:p w:rsidR="00043F36" w:rsidRPr="00DB42BB" w:rsidRDefault="003D440E" w:rsidP="00512E4C">
      <w:pPr>
        <w:rPr>
          <w:sz w:val="16"/>
          <w:szCs w:val="16"/>
        </w:rPr>
      </w:pPr>
      <w:r>
        <w:lastRenderedPageBreak/>
        <w:fldChar w:fldCharType="begin"/>
      </w:r>
      <w:r>
        <w:instrText xml:space="preserve"> LINK Excel.Sheet.8 "Macintosh HD:Users:merilinsimons:Scriptie:goedgekeurde resultaten:tabel_overzichtindexen compleet.xlsx!CAR overview!R55C3:R65C15" "" \a \p </w:instrText>
      </w:r>
      <w:r>
        <w:fldChar w:fldCharType="separate"/>
      </w:r>
      <w:r>
        <w:object w:dxaOrig="24700" w:dyaOrig="11520">
          <v:shape id="_x0000_i1028" type="#_x0000_t75" style="width:747.4pt;height:347.1pt">
            <v:imagedata r:id="rId15" o:title=""/>
          </v:shape>
        </w:object>
      </w:r>
      <w:r>
        <w:fldChar w:fldCharType="end"/>
      </w:r>
      <w:r w:rsidR="0019482A" w:rsidRPr="00DB42BB">
        <w:rPr>
          <w:sz w:val="16"/>
          <w:szCs w:val="16"/>
        </w:rPr>
        <w:t>Source:</w:t>
      </w:r>
      <w:r w:rsidR="00953D3B" w:rsidRPr="00DB42BB">
        <w:rPr>
          <w:sz w:val="16"/>
          <w:szCs w:val="16"/>
        </w:rPr>
        <w:t xml:space="preserve"> </w:t>
      </w:r>
      <w:r w:rsidR="0019482A" w:rsidRPr="00DB42BB">
        <w:rPr>
          <w:sz w:val="16"/>
          <w:szCs w:val="16"/>
        </w:rPr>
        <w:t xml:space="preserve">table_overzichtindexen </w:t>
      </w:r>
      <w:r w:rsidR="0097221D" w:rsidRPr="00DB42BB">
        <w:rPr>
          <w:sz w:val="16"/>
          <w:szCs w:val="16"/>
        </w:rPr>
        <w:t>compleet</w:t>
      </w:r>
      <w:r w:rsidR="0019482A" w:rsidRPr="00DB42BB">
        <w:rPr>
          <w:sz w:val="16"/>
          <w:szCs w:val="16"/>
        </w:rPr>
        <w:t>.xlsx</w:t>
      </w:r>
    </w:p>
    <w:p w:rsidR="00C547BB" w:rsidRDefault="00C547BB" w:rsidP="00512E4C"/>
    <w:p w:rsidR="00C547BB" w:rsidRDefault="00C547BB" w:rsidP="00512E4C"/>
    <w:p w:rsidR="00043F36" w:rsidRDefault="00043F36" w:rsidP="00512E4C">
      <w:pPr>
        <w:sectPr w:rsidR="00043F36" w:rsidSect="009B21AE">
          <w:pgSz w:w="16840" w:h="11900" w:orient="landscape"/>
          <w:pgMar w:top="1800" w:right="1440" w:bottom="1800" w:left="1440" w:header="708" w:footer="708" w:gutter="0"/>
          <w:cols w:space="708"/>
          <w:titlePg/>
          <w:docGrid w:linePitch="360"/>
        </w:sectPr>
      </w:pPr>
    </w:p>
    <w:p w:rsidR="00CA6788" w:rsidRDefault="00CA6788" w:rsidP="00512E4C"/>
    <w:p w:rsidR="00FF3777" w:rsidRDefault="00E0047F" w:rsidP="00092F15">
      <w:pPr>
        <w:pStyle w:val="Heading2"/>
      </w:pPr>
      <w:bookmarkStart w:id="5" w:name="_Toc214519181"/>
      <w:r>
        <w:t>Co-Movement effects</w:t>
      </w:r>
      <w:bookmarkEnd w:id="5"/>
    </w:p>
    <w:p w:rsidR="000657CB" w:rsidRDefault="00DA03BF" w:rsidP="00512E4C">
      <w:r>
        <w:t>P</w:t>
      </w:r>
      <w:r w:rsidR="00AC5E7D">
        <w:t xml:space="preserve">rior research done </w:t>
      </w:r>
      <w:r>
        <w:t xml:space="preserve">on the structure of asset returns has shown numerous patterns </w:t>
      </w:r>
      <w:r w:rsidR="009076A6">
        <w:t>on co-movement, this paragraph highlights some of the researches done on the co-movement of additions to and deletions from the index. At</w:t>
      </w:r>
      <w:r w:rsidR="00AC5E7D">
        <w:t xml:space="preserve"> </w:t>
      </w:r>
      <w:r w:rsidR="00F13BDF">
        <w:t xml:space="preserve">the end of this paragraph a </w:t>
      </w:r>
      <w:r w:rsidR="00AC5E7D">
        <w:t xml:space="preserve">table </w:t>
      </w:r>
      <w:r w:rsidR="009076A6">
        <w:t xml:space="preserve">is presented that recapitulates the different results </w:t>
      </w:r>
      <w:r w:rsidR="00AC5E7D">
        <w:t xml:space="preserve">of </w:t>
      </w:r>
      <w:r w:rsidR="00F13BDF">
        <w:t>five</w:t>
      </w:r>
      <w:r w:rsidR="00AC5E7D">
        <w:t xml:space="preserve"> different researchers who have done their research on different markets, naming the S&amp;P 500,</w:t>
      </w:r>
      <w:r w:rsidR="00F13BDF">
        <w:t xml:space="preserve"> Nikkei,</w:t>
      </w:r>
      <w:r w:rsidR="00AC5E7D">
        <w:t xml:space="preserve"> S&amp;P CNX Nifty</w:t>
      </w:r>
      <w:r w:rsidR="00F13BDF">
        <w:t xml:space="preserve"> and the MSCI Emerging Markets</w:t>
      </w:r>
      <w:r w:rsidR="00AC5E7D">
        <w:t xml:space="preserve">. </w:t>
      </w:r>
    </w:p>
    <w:p w:rsidR="00375E95" w:rsidRDefault="001D6946" w:rsidP="004502C4">
      <w:pPr>
        <w:pStyle w:val="Heading3"/>
      </w:pPr>
      <w:r>
        <w:t>Standard and Poor’s</w:t>
      </w:r>
    </w:p>
    <w:p w:rsidR="00A1146D" w:rsidRDefault="00EC5C37" w:rsidP="00512E4C">
      <w:r>
        <w:t>Barberis et al.(2002) distinguish</w:t>
      </w:r>
      <w:r w:rsidR="009076A6">
        <w:t>es</w:t>
      </w:r>
      <w:r>
        <w:t xml:space="preserve"> three </w:t>
      </w:r>
      <w:r w:rsidR="00375E95">
        <w:t>models</w:t>
      </w:r>
      <w:r>
        <w:t xml:space="preserve"> of co-movements of traded securities.</w:t>
      </w:r>
      <w:r w:rsidR="009419C9">
        <w:t xml:space="preserve"> </w:t>
      </w:r>
      <w:r w:rsidR="00375E95">
        <w:t>Naming the Traditional</w:t>
      </w:r>
      <w:r w:rsidR="009076A6">
        <w:t xml:space="preserve"> based</w:t>
      </w:r>
      <w:r w:rsidR="00375E95">
        <w:t>, Category-based and H</w:t>
      </w:r>
      <w:r w:rsidR="000A31E1">
        <w:t>abitat-based.</w:t>
      </w:r>
      <w:r w:rsidR="00EE1204">
        <w:t xml:space="preserve"> </w:t>
      </w:r>
      <w:r w:rsidR="009076A6">
        <w:t xml:space="preserve">The </w:t>
      </w:r>
      <w:r w:rsidR="00375E95">
        <w:t xml:space="preserve">Traditional </w:t>
      </w:r>
      <w:r w:rsidR="000A31E1">
        <w:t xml:space="preserve">based </w:t>
      </w:r>
      <w:r w:rsidR="009076A6">
        <w:t xml:space="preserve">model </w:t>
      </w:r>
      <w:r w:rsidR="000A31E1">
        <w:t>explains the co-</w:t>
      </w:r>
      <w:r w:rsidR="00375E95">
        <w:t>movement of</w:t>
      </w:r>
      <w:r w:rsidR="000A31E1">
        <w:t xml:space="preserve"> stoc</w:t>
      </w:r>
      <w:r w:rsidR="009076A6">
        <w:t>ks through positive correlation</w:t>
      </w:r>
      <w:r w:rsidR="000A31E1">
        <w:t xml:space="preserve"> </w:t>
      </w:r>
      <w:r w:rsidR="00375E95">
        <w:t>in news about fundamental values, such as companies’ cash flows</w:t>
      </w:r>
      <w:r w:rsidR="000A31E1">
        <w:t>.</w:t>
      </w:r>
      <w:r w:rsidR="00B51A38">
        <w:t xml:space="preserve"> The model relates co</w:t>
      </w:r>
      <w:r w:rsidR="008D31A2">
        <w:t>-</w:t>
      </w:r>
      <w:r w:rsidR="00B51A38">
        <w:t>movement to rapid incorporation of information in benchmark index stocks, compared to other stocks due to market frictions.</w:t>
      </w:r>
      <w:r w:rsidR="000A31E1">
        <w:t xml:space="preserve"> Category based </w:t>
      </w:r>
      <w:r w:rsidR="009076A6">
        <w:t xml:space="preserve">model </w:t>
      </w:r>
      <w:r w:rsidR="000A31E1">
        <w:t xml:space="preserve">happens when investors define different types of asset </w:t>
      </w:r>
      <w:r w:rsidR="00375E95">
        <w:t>classes,</w:t>
      </w:r>
      <w:r w:rsidR="000A31E1">
        <w:t xml:space="preserve"> such as sectors, equity or bonds and move their </w:t>
      </w:r>
      <w:r w:rsidR="00375E95">
        <w:t>capital</w:t>
      </w:r>
      <w:r w:rsidR="000A31E1">
        <w:t xml:space="preserve"> from one asset class into the other. </w:t>
      </w:r>
      <w:r w:rsidR="00221D2A">
        <w:t xml:space="preserve">Trading flows created by </w:t>
      </w:r>
      <w:r w:rsidR="00ED1EDD">
        <w:t xml:space="preserve">Category based </w:t>
      </w:r>
      <w:r w:rsidR="00221D2A">
        <w:t xml:space="preserve">model cause </w:t>
      </w:r>
      <w:r w:rsidR="00ED1EDD">
        <w:t>return co</w:t>
      </w:r>
      <w:r w:rsidR="00E21254">
        <w:t>-</w:t>
      </w:r>
      <w:r w:rsidR="00375E95">
        <w:t xml:space="preserve">movement, </w:t>
      </w:r>
      <w:r w:rsidR="00221D2A">
        <w:t xml:space="preserve">this means </w:t>
      </w:r>
      <w:r w:rsidR="00E21254">
        <w:t>that a</w:t>
      </w:r>
      <w:r w:rsidR="00CC0B7A">
        <w:t>dditions to the S&amp;P 500 will co-</w:t>
      </w:r>
      <w:r w:rsidR="00221D2A">
        <w:t>move more with other stocks in</w:t>
      </w:r>
      <w:r w:rsidR="00E21254">
        <w:t xml:space="preserve"> the index after inclusion into the index.</w:t>
      </w:r>
      <w:r w:rsidR="00ED1EDD">
        <w:t xml:space="preserve"> </w:t>
      </w:r>
      <w:r w:rsidR="009419C9">
        <w:t>Habitat-based co-movement</w:t>
      </w:r>
      <w:r w:rsidR="000A31E1">
        <w:t xml:space="preserve"> occur</w:t>
      </w:r>
      <w:r w:rsidR="009419C9">
        <w:t>s</w:t>
      </w:r>
      <w:r w:rsidR="000A31E1">
        <w:t xml:space="preserve"> </w:t>
      </w:r>
      <w:r w:rsidR="009419C9">
        <w:t xml:space="preserve">when a group </w:t>
      </w:r>
      <w:r w:rsidR="00375E95">
        <w:t>of investors</w:t>
      </w:r>
      <w:r w:rsidR="009419C9">
        <w:t xml:space="preserve"> is restricted to a certain </w:t>
      </w:r>
      <w:r w:rsidR="00221D2A">
        <w:t xml:space="preserve">sub </w:t>
      </w:r>
      <w:r w:rsidR="009419C9">
        <w:t xml:space="preserve">set of </w:t>
      </w:r>
      <w:r w:rsidR="00221D2A">
        <w:t xml:space="preserve">assets or </w:t>
      </w:r>
      <w:r w:rsidR="009419C9">
        <w:t>stocks in which they operate</w:t>
      </w:r>
      <w:r w:rsidR="00B51A38">
        <w:t xml:space="preserve"> and move in and move out of them together due to transaction cost, trading restrictions or lack of information.</w:t>
      </w:r>
      <w:r w:rsidR="00A1146D">
        <w:t xml:space="preserve"> The Category based</w:t>
      </w:r>
      <w:r w:rsidR="00EE1204">
        <w:t xml:space="preserve"> </w:t>
      </w:r>
      <w:r w:rsidR="00A1146D">
        <w:t xml:space="preserve">and Habitat based models </w:t>
      </w:r>
      <w:r w:rsidR="00230484">
        <w:t>indicat</w:t>
      </w:r>
      <w:r w:rsidR="00A1146D">
        <w:t>e that the increased co-movement is (partly) caused by trading actions of index funds.</w:t>
      </w:r>
      <w:r w:rsidR="009419C9">
        <w:t xml:space="preserve"> </w:t>
      </w:r>
    </w:p>
    <w:p w:rsidR="001D6946" w:rsidRDefault="00A1146D" w:rsidP="00512E4C">
      <w:r>
        <w:t>I</w:t>
      </w:r>
      <w:r w:rsidR="000B52AA">
        <w:t xml:space="preserve">n their study </w:t>
      </w:r>
      <w:r>
        <w:t xml:space="preserve">Barberis et al. (2002) focussed </w:t>
      </w:r>
      <w:r w:rsidR="000B52AA">
        <w:t>on the changes in patterns of co-movement of newly added stocks with stocks already in the S&amp;P</w:t>
      </w:r>
      <w:r w:rsidR="008D31A2">
        <w:t xml:space="preserve"> </w:t>
      </w:r>
      <w:r w:rsidR="000B52AA">
        <w:t>500 index. They found that additi</w:t>
      </w:r>
      <w:r w:rsidR="00CC0B7A">
        <w:t>ons in to the index begin to co-</w:t>
      </w:r>
      <w:r w:rsidR="000B52AA">
        <w:t>move with other stocks into the index and less with stocks that are not included into the index.</w:t>
      </w:r>
      <w:r w:rsidR="00EE1204">
        <w:t xml:space="preserve"> </w:t>
      </w:r>
      <w:r w:rsidR="000B52AA">
        <w:t>The opposite takes place when a stock is deleted from the index.</w:t>
      </w:r>
      <w:r w:rsidR="00EE1204">
        <w:t xml:space="preserve"> </w:t>
      </w:r>
      <w:r w:rsidR="000B52AA">
        <w:t>Ba</w:t>
      </w:r>
      <w:r w:rsidR="00B03F59">
        <w:t>r</w:t>
      </w:r>
      <w:r w:rsidR="000B52AA">
        <w:t>beris et al.</w:t>
      </w:r>
      <w:r w:rsidR="009419C9">
        <w:t xml:space="preserve"> found that </w:t>
      </w:r>
      <w:r w:rsidR="008D31A2">
        <w:t xml:space="preserve">the </w:t>
      </w:r>
      <w:r w:rsidR="009419C9">
        <w:t>beta of stocks included into the S&amp;P 500 increases and that the beta of stocks that are deleted from this index decrease.</w:t>
      </w:r>
      <w:r w:rsidR="00BE2844">
        <w:t xml:space="preserve"> </w:t>
      </w:r>
      <w:r w:rsidR="008D31A2">
        <w:t>They</w:t>
      </w:r>
      <w:r w:rsidR="00BE2844">
        <w:t xml:space="preserve"> based their research on </w:t>
      </w:r>
      <w:r w:rsidR="00A40319">
        <w:t>455</w:t>
      </w:r>
      <w:r w:rsidR="00BE2844">
        <w:t xml:space="preserve"> inclusions between September 1976 till December 2000 and </w:t>
      </w:r>
      <w:r w:rsidR="00A40319">
        <w:t>76</w:t>
      </w:r>
      <w:r w:rsidR="00BE2844">
        <w:t xml:space="preserve"> deletions </w:t>
      </w:r>
      <w:r w:rsidR="008D31A2">
        <w:t>for that same period</w:t>
      </w:r>
      <w:r w:rsidR="00BE2844">
        <w:t>.</w:t>
      </w:r>
      <w:r w:rsidR="009419C9">
        <w:t xml:space="preserve"> </w:t>
      </w:r>
      <w:r w:rsidR="00BE2844">
        <w:t xml:space="preserve">Their findings confirmed that stocks added to the S&amp;P 500 experience a statistically significant increase in the daily and weekly betas and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ED1EDD">
        <w:t xml:space="preserve">. In </w:t>
      </w:r>
      <w:r w:rsidR="008D31A2">
        <w:t>the complete</w:t>
      </w:r>
      <w:r w:rsidR="00ED1EDD">
        <w:t xml:space="preserve"> sample of the additions, the average increase in daily beta was 0.151 and for the weekly data the average increase was 0.11.</w:t>
      </w:r>
    </w:p>
    <w:p w:rsidR="00CC0B7A" w:rsidRDefault="008D31A2" w:rsidP="00512E4C">
      <w:r>
        <w:t>Barberis et al. (2002)</w:t>
      </w:r>
      <w:r w:rsidR="00560324">
        <w:t xml:space="preserve"> split the</w:t>
      </w:r>
      <w:r>
        <w:t>ir</w:t>
      </w:r>
      <w:r w:rsidR="00560324">
        <w:t xml:space="preserve"> data set into diff</w:t>
      </w:r>
      <w:r>
        <w:t>erent years. The first interval</w:t>
      </w:r>
      <w:r w:rsidR="00560324">
        <w:t xml:space="preserve"> was of </w:t>
      </w:r>
      <w:r>
        <w:t xml:space="preserve">the </w:t>
      </w:r>
      <w:r w:rsidR="00560324">
        <w:t>year 1976 till 1987</w:t>
      </w:r>
      <w:r>
        <w:t>,</w:t>
      </w:r>
      <w:r w:rsidR="00560324">
        <w:t xml:space="preserve"> the beta increase for this year was a significant</w:t>
      </w:r>
      <w:r w:rsidR="00B554B7">
        <w:t xml:space="preserve"> </w:t>
      </w:r>
      <w:r>
        <w:t xml:space="preserve">0.067 </w:t>
      </w:r>
      <w:r w:rsidR="00B554B7">
        <w:t xml:space="preserve">(at </w:t>
      </w:r>
      <w:r>
        <w:t xml:space="preserve">a level of </w:t>
      </w:r>
      <w:r w:rsidR="00B554B7">
        <w:t>1%)</w:t>
      </w:r>
      <w:r w:rsidR="00560324">
        <w:t xml:space="preserve">. The second </w:t>
      </w:r>
      <w:r w:rsidR="00B554B7">
        <w:t xml:space="preserve">interval of 1988 till 2000 had </w:t>
      </w:r>
      <w:r w:rsidR="00560324">
        <w:t xml:space="preserve">also </w:t>
      </w:r>
      <w:r w:rsidR="00B554B7">
        <w:t xml:space="preserve">a </w:t>
      </w:r>
      <w:r w:rsidR="00560324">
        <w:t>significant</w:t>
      </w:r>
      <w:r w:rsidR="00B554B7">
        <w:t xml:space="preserve"> (at 1%</w:t>
      </w:r>
      <w:r>
        <w:t xml:space="preserve"> level</w:t>
      </w:r>
      <w:r w:rsidR="00B554B7">
        <w:t>)</w:t>
      </w:r>
      <w:r w:rsidR="00560324">
        <w:t xml:space="preserve"> beta increase of 0.214.</w:t>
      </w:r>
      <w:r w:rsidR="00B554B7">
        <w:t xml:space="preserve"> For the deletions they found a beta decrease of -0.087 at a significance level of 10%.</w:t>
      </w:r>
      <w:r w:rsidR="00C804FE">
        <w:t xml:space="preserve"> </w:t>
      </w:r>
      <w:r w:rsidR="00CC0B7A">
        <w:t xml:space="preserve">These results were </w:t>
      </w:r>
      <w:r w:rsidR="002348D2">
        <w:t>interpreted</w:t>
      </w:r>
      <w:r w:rsidR="00CC0B7A">
        <w:t xml:space="preserve"> as to</w:t>
      </w:r>
      <w:r w:rsidR="002348D2">
        <w:t xml:space="preserve"> be </w:t>
      </w:r>
      <w:r w:rsidR="00CC0B7A">
        <w:t xml:space="preserve">inconsistent with </w:t>
      </w:r>
      <w:r w:rsidR="00A1146D">
        <w:t>the T</w:t>
      </w:r>
      <w:r w:rsidR="00CC0B7A">
        <w:t xml:space="preserve">raditional based </w:t>
      </w:r>
      <w:r w:rsidR="00A1146D">
        <w:t xml:space="preserve">model of </w:t>
      </w:r>
      <w:r w:rsidR="00CC0B7A">
        <w:t xml:space="preserve">co-movement and </w:t>
      </w:r>
      <w:r w:rsidR="002348D2">
        <w:t xml:space="preserve">to be </w:t>
      </w:r>
      <w:r w:rsidR="00CC0B7A">
        <w:t xml:space="preserve">supportive </w:t>
      </w:r>
      <w:r w:rsidR="002348D2">
        <w:t>of the interpretation that excess co-movement comes from investors demand.</w:t>
      </w:r>
    </w:p>
    <w:p w:rsidR="00CC0B7A" w:rsidRDefault="00CC0B7A" w:rsidP="00512E4C"/>
    <w:p w:rsidR="004362AA" w:rsidRDefault="008F3281" w:rsidP="004362AA">
      <w:r>
        <w:t>A different approach then the</w:t>
      </w:r>
      <w:r w:rsidR="00EE1204">
        <w:t xml:space="preserve"> </w:t>
      </w:r>
      <w:r>
        <w:t>model based from Barberis et al</w:t>
      </w:r>
      <w:r w:rsidR="009A6192">
        <w:t>. (2002)</w:t>
      </w:r>
      <w:r>
        <w:t xml:space="preserve">, is from </w:t>
      </w:r>
      <w:r w:rsidR="004362AA">
        <w:t xml:space="preserve">Vijh (1994) </w:t>
      </w:r>
      <w:r>
        <w:t xml:space="preserve">who </w:t>
      </w:r>
      <w:r w:rsidR="004362AA">
        <w:t>examined the relationship between betas</w:t>
      </w:r>
      <w:r w:rsidR="00252F35">
        <w:t xml:space="preserve"> and</w:t>
      </w:r>
      <w:r w:rsidR="004362AA">
        <w:t xml:space="preserve"> </w:t>
      </w:r>
      <w:r w:rsidR="00252F35">
        <w:t xml:space="preserve">trading activity </w:t>
      </w:r>
      <w:r w:rsidR="004362AA">
        <w:t>to understand if their results support the price pressure hypothesis and or the nonsynchronous trading hypothesis. The price pressure hypothesis predicts that</w:t>
      </w:r>
      <w:r w:rsidR="00252F35">
        <w:t>,</w:t>
      </w:r>
      <w:r w:rsidR="004362AA">
        <w:t xml:space="preserve"> </w:t>
      </w:r>
      <w:r w:rsidR="00D60072">
        <w:t>a</w:t>
      </w:r>
      <w:r w:rsidR="004362AA">
        <w:t xml:space="preserve"> </w:t>
      </w:r>
      <w:r w:rsidR="00D60072">
        <w:t xml:space="preserve">newly added </w:t>
      </w:r>
      <w:r w:rsidR="004362AA">
        <w:t>stock</w:t>
      </w:r>
      <w:r w:rsidR="00D60072">
        <w:t xml:space="preserve"> in to </w:t>
      </w:r>
      <w:r w:rsidR="004362AA">
        <w:t>index</w:t>
      </w:r>
      <w:r w:rsidR="00D60072">
        <w:t xml:space="preserve"> will cause an increase</w:t>
      </w:r>
      <w:r w:rsidR="004362AA">
        <w:t xml:space="preserve"> </w:t>
      </w:r>
      <w:r w:rsidR="00D60072">
        <w:t xml:space="preserve">in </w:t>
      </w:r>
      <w:r w:rsidR="004362AA">
        <w:t>the covariance with the market returns</w:t>
      </w:r>
      <w:r w:rsidR="00D60072">
        <w:t>.</w:t>
      </w:r>
      <w:r w:rsidR="004362AA">
        <w:t xml:space="preserve"> </w:t>
      </w:r>
      <w:r w:rsidR="00D60072">
        <w:t xml:space="preserve">This reaction causes the </w:t>
      </w:r>
      <w:r w:rsidR="004362AA">
        <w:t xml:space="preserve">beta of individual stocks </w:t>
      </w:r>
      <w:r w:rsidR="00D60072">
        <w:t xml:space="preserve">to </w:t>
      </w:r>
      <w:r w:rsidR="004362AA">
        <w:t xml:space="preserve">increase </w:t>
      </w:r>
      <w:r w:rsidR="00D60072">
        <w:t>regardless</w:t>
      </w:r>
      <w:r w:rsidR="004362AA">
        <w:t xml:space="preserve"> of </w:t>
      </w:r>
      <w:r w:rsidR="00D60072">
        <w:t xml:space="preserve">what the </w:t>
      </w:r>
      <w:r w:rsidR="004362AA">
        <w:t>trading volume</w:t>
      </w:r>
      <w:r w:rsidR="00D60072">
        <w:t xml:space="preserve"> does</w:t>
      </w:r>
      <w:r w:rsidR="004362AA">
        <w:t xml:space="preserve">. The non-synchronous trading hypothesis </w:t>
      </w:r>
      <w:r w:rsidR="00DA0B2E">
        <w:t>predicts</w:t>
      </w:r>
      <w:r w:rsidR="004362AA">
        <w:t xml:space="preserve"> </w:t>
      </w:r>
      <w:r w:rsidR="00AF6630">
        <w:t>that the</w:t>
      </w:r>
      <w:r w:rsidR="003E676F">
        <w:t xml:space="preserve"> increase in a</w:t>
      </w:r>
      <w:r w:rsidR="004362AA">
        <w:t xml:space="preserve"> stock</w:t>
      </w:r>
      <w:r w:rsidR="003E676F">
        <w:t xml:space="preserve">’s beta </w:t>
      </w:r>
      <w:r w:rsidR="0068660E">
        <w:t>following</w:t>
      </w:r>
      <w:r w:rsidR="004362AA">
        <w:t xml:space="preserve"> </w:t>
      </w:r>
      <w:r w:rsidR="003E676F">
        <w:t>i</w:t>
      </w:r>
      <w:r w:rsidR="004362AA">
        <w:t>t</w:t>
      </w:r>
      <w:r w:rsidR="003E676F">
        <w:t>s inclusion in to the index</w:t>
      </w:r>
      <w:r w:rsidR="004362AA">
        <w:t>,</w:t>
      </w:r>
      <w:r w:rsidR="003E676F">
        <w:t xml:space="preserve"> will depend on the </w:t>
      </w:r>
      <w:r w:rsidR="00AF6630">
        <w:t>before and</w:t>
      </w:r>
      <w:r w:rsidR="003E676F">
        <w:t xml:space="preserve"> after trading volumes.</w:t>
      </w:r>
    </w:p>
    <w:p w:rsidR="002266D2" w:rsidRDefault="006D7641" w:rsidP="00512E4C">
      <w:r>
        <w:t>Vijh(1994)</w:t>
      </w:r>
      <w:r w:rsidR="004362AA">
        <w:t xml:space="preserve"> </w:t>
      </w:r>
      <w:r>
        <w:t xml:space="preserve">studied the changes in betas of 329 stocks </w:t>
      </w:r>
      <w:r w:rsidR="000E4264">
        <w:t xml:space="preserve">that were </w:t>
      </w:r>
      <w:r>
        <w:t xml:space="preserve">added to the S&amp;P 500 index from 1975 till 1989. The daily and weekly betas were measured by using the Center for Research in Security Prices (CRSP) value weighted index returns as a proxy for market returns. </w:t>
      </w:r>
      <w:r w:rsidR="00F433CB">
        <w:t xml:space="preserve">Vijh studied the price effects of ongoing trading in the S&amp;P 500 stocks as part of a basket, and not </w:t>
      </w:r>
      <w:r w:rsidR="00915A73">
        <w:t xml:space="preserve">in </w:t>
      </w:r>
      <w:r w:rsidR="00F433CB">
        <w:t>the one-time flow</w:t>
      </w:r>
      <w:r w:rsidR="00915A73">
        <w:t>,</w:t>
      </w:r>
      <w:r w:rsidR="00F433CB">
        <w:t xml:space="preserve"> </w:t>
      </w:r>
      <w:r w:rsidR="00915A73">
        <w:t xml:space="preserve">that is </w:t>
      </w:r>
      <w:r w:rsidR="00F433CB">
        <w:t xml:space="preserve">caused by initial </w:t>
      </w:r>
      <w:r w:rsidR="002E7EBF">
        <w:t>purchases</w:t>
      </w:r>
      <w:r w:rsidR="00F433CB">
        <w:t xml:space="preserve"> by index funds after the additions. </w:t>
      </w:r>
      <w:r w:rsidR="00F0453F">
        <w:t>Furthermore he</w:t>
      </w:r>
      <w:r w:rsidR="00F433CB">
        <w:t xml:space="preserve"> </w:t>
      </w:r>
      <w:r w:rsidR="002E7EBF">
        <w:t>excluded</w:t>
      </w:r>
      <w:r w:rsidR="00F433CB">
        <w:t xml:space="preserve"> the first two days</w:t>
      </w:r>
      <w:r w:rsidR="002E7EBF">
        <w:t xml:space="preserve"> </w:t>
      </w:r>
      <w:r w:rsidR="008271C7">
        <w:t>because of their typically sharp increase</w:t>
      </w:r>
      <w:r w:rsidR="00BA26A6">
        <w:t xml:space="preserve"> in trading volume shortly after the additions, possibly resulting from index funds initial purchases</w:t>
      </w:r>
      <w:r w:rsidR="00F0453F">
        <w:t xml:space="preserve">. He calculated the pre-inclusion betas over a 250 day period ending 3 days before the inclusion date. </w:t>
      </w:r>
    </w:p>
    <w:p w:rsidR="007B1B55" w:rsidRDefault="006D7641" w:rsidP="00CA524F">
      <w:r>
        <w:t>Du</w:t>
      </w:r>
      <w:r w:rsidR="007B1B55">
        <w:t>ring the period of 1975 till 198</w:t>
      </w:r>
      <w:r>
        <w:t xml:space="preserve">9 </w:t>
      </w:r>
      <w:r w:rsidR="007B1B55">
        <w:t xml:space="preserve">Vijh </w:t>
      </w:r>
      <w:r w:rsidR="00CA524F">
        <w:t>found that</w:t>
      </w:r>
      <w:r w:rsidR="007B1B55">
        <w:t xml:space="preserve"> </w:t>
      </w:r>
      <w:r>
        <w:t xml:space="preserve">the daily beta </w:t>
      </w:r>
      <w:r w:rsidR="007B1B55">
        <w:t xml:space="preserve">significantly increased with 0.08 after inclusion into the index. </w:t>
      </w:r>
      <w:r w:rsidR="00527FB8">
        <w:t>Different than the results fr</w:t>
      </w:r>
      <w:r w:rsidR="007B1B55">
        <w:t xml:space="preserve">om the prior period, the beta </w:t>
      </w:r>
      <w:r w:rsidR="002A5C22">
        <w:t>showed a significant decrease of -0.07</w:t>
      </w:r>
      <w:r w:rsidR="007B1B55">
        <w:t xml:space="preserve"> during </w:t>
      </w:r>
      <w:r w:rsidR="00915A73">
        <w:t xml:space="preserve">the sub period </w:t>
      </w:r>
      <w:r w:rsidR="007B1B55">
        <w:t xml:space="preserve">1975 till 1979. The sub period of 1980-1984 showed increase of 0.08 and the period </w:t>
      </w:r>
      <w:r w:rsidR="00527FB8">
        <w:t xml:space="preserve">1985 till 1989 </w:t>
      </w:r>
      <w:r w:rsidR="007B1B55">
        <w:t xml:space="preserve">had an even higher increase of 0.21, both of these numbers were </w:t>
      </w:r>
      <w:r w:rsidR="00CA524F">
        <w:t xml:space="preserve">statistically significant. During 1975-1979 the decreases outnumbered the increases by 68 versus 39, whereas increases outnumbered decreases by 90 versus 34 in the period of 1985 till 1989. The increase on beta from 1986 </w:t>
      </w:r>
      <w:r w:rsidR="002A5C22">
        <w:t xml:space="preserve">and the years after, </w:t>
      </w:r>
      <w:r w:rsidR="00CA524F">
        <w:t>ha</w:t>
      </w:r>
      <w:r w:rsidR="002A5C22">
        <w:t>ve</w:t>
      </w:r>
      <w:r w:rsidR="00CA524F">
        <w:t xml:space="preserve"> been significantly positive</w:t>
      </w:r>
      <w:r w:rsidR="002A5C22">
        <w:t xml:space="preserve"> on a yearly basis</w:t>
      </w:r>
      <w:r w:rsidR="00CA524F">
        <w:t>.</w:t>
      </w:r>
    </w:p>
    <w:p w:rsidR="009A6192" w:rsidRDefault="00967A6E" w:rsidP="00512E4C">
      <w:r>
        <w:t xml:space="preserve">By using </w:t>
      </w:r>
      <w:r w:rsidR="008A04BD">
        <w:t>a model of Scholes and Williams</w:t>
      </w:r>
      <w:r w:rsidR="008F3281">
        <w:t xml:space="preserve"> </w:t>
      </w:r>
      <w:r w:rsidR="008A04BD">
        <w:t xml:space="preserve">(1977) </w:t>
      </w:r>
      <w:r>
        <w:t xml:space="preserve">which </w:t>
      </w:r>
      <w:r w:rsidR="008A04BD">
        <w:t>predict</w:t>
      </w:r>
      <w:r>
        <w:t>s</w:t>
      </w:r>
      <w:r w:rsidR="008A04BD">
        <w:t xml:space="preserve"> </w:t>
      </w:r>
      <w:r>
        <w:t>that</w:t>
      </w:r>
      <w:r w:rsidR="008A04BD">
        <w:t xml:space="preserve"> betas should remain unchanged</w:t>
      </w:r>
      <w:r>
        <w:t xml:space="preserve"> or decrease, </w:t>
      </w:r>
      <w:r w:rsidR="008A04BD">
        <w:t>Vijh</w:t>
      </w:r>
      <w:r w:rsidR="00434D83">
        <w:t>(1994)</w:t>
      </w:r>
      <w:r>
        <w:t xml:space="preserve"> tried to abstract from the effect of reduced nonsynchroneity of the S&amp;P 500 prices</w:t>
      </w:r>
      <w:r w:rsidR="00434D83">
        <w:t>.</w:t>
      </w:r>
      <w:r>
        <w:t xml:space="preserve"> The </w:t>
      </w:r>
      <w:r w:rsidR="008A04BD">
        <w:t xml:space="preserve">results </w:t>
      </w:r>
      <w:r w:rsidR="008F3281">
        <w:t>revealed</w:t>
      </w:r>
      <w:r w:rsidR="008A04BD">
        <w:t xml:space="preserve"> an increase by </w:t>
      </w:r>
      <w:r w:rsidR="008F3281">
        <w:t>an average</w:t>
      </w:r>
      <w:r w:rsidR="008A04BD">
        <w:t xml:space="preserve"> of 0.11. This evidence suggests that the S&amp;P</w:t>
      </w:r>
      <w:r w:rsidR="008F3281">
        <w:t xml:space="preserve"> </w:t>
      </w:r>
      <w:r w:rsidR="008A04BD">
        <w:t xml:space="preserve">500 trading strategies </w:t>
      </w:r>
      <w:r w:rsidR="007267F1">
        <w:t>may</w:t>
      </w:r>
      <w:r w:rsidR="008A04BD">
        <w:t xml:space="preserve"> le</w:t>
      </w:r>
      <w:r w:rsidR="008F3281">
        <w:t>a</w:t>
      </w:r>
      <w:r w:rsidR="008A04BD">
        <w:t xml:space="preserve">d to price </w:t>
      </w:r>
      <w:r w:rsidR="00E21369">
        <w:t>pressure</w:t>
      </w:r>
      <w:r w:rsidR="008A04BD">
        <w:t xml:space="preserve"> that can persist for a few days.</w:t>
      </w:r>
      <w:r w:rsidR="009A6192">
        <w:t xml:space="preserve"> </w:t>
      </w:r>
    </w:p>
    <w:p w:rsidR="00867BB9" w:rsidRDefault="00867BB9" w:rsidP="00512E4C">
      <w:r>
        <w:t xml:space="preserve">The price pressure hypothesis says that the large S&amp;P trading volume causes similar and ongoing price pressures in the </w:t>
      </w:r>
      <w:r w:rsidR="009A6192">
        <w:t xml:space="preserve">S&amp;P </w:t>
      </w:r>
      <w:r>
        <w:t xml:space="preserve">500 stocks, </w:t>
      </w:r>
      <w:r w:rsidR="009A6192">
        <w:t>and</w:t>
      </w:r>
      <w:r>
        <w:t xml:space="preserve"> result</w:t>
      </w:r>
      <w:r w:rsidR="009A6192">
        <w:t>s</w:t>
      </w:r>
      <w:r>
        <w:t xml:space="preserve"> from short-term imbalances in demand and supply. </w:t>
      </w:r>
      <w:r w:rsidR="009A6192">
        <w:t>L</w:t>
      </w:r>
      <w:r>
        <w:t>arge trading volume</w:t>
      </w:r>
      <w:r w:rsidR="009A6192">
        <w:t>s</w:t>
      </w:r>
      <w:r>
        <w:t xml:space="preserve"> in the </w:t>
      </w:r>
      <w:r w:rsidR="009A6192">
        <w:t>index</w:t>
      </w:r>
      <w:r>
        <w:t xml:space="preserve"> can affect prices simply because of (large) buy or sell transactions caused by investors, </w:t>
      </w:r>
      <w:r w:rsidR="009A6192">
        <w:t>who follow</w:t>
      </w:r>
      <w:r>
        <w:t xml:space="preserve"> their investment strategies, within the limitations of market liquidity.</w:t>
      </w:r>
      <w:r w:rsidR="00EE1204">
        <w:t xml:space="preserve"> </w:t>
      </w:r>
    </w:p>
    <w:p w:rsidR="000B1BE1" w:rsidRDefault="002A7780" w:rsidP="00512E4C">
      <w:r>
        <w:t>Both Barberis et al. and Vijh who researched additions and deletions of the S&amp;P 500 experienced a beta increase on additions into the index and a beta decrease on deletions from the index. Vijh</w:t>
      </w:r>
      <w:r w:rsidR="000B1BE1">
        <w:t xml:space="preserve"> found that the estimated S&amp;P500 stock betas over all windows have increased and the estimated non-S&amp;P500 stock betas have decreased in the recent years of active S&amp;P 500 trading.</w:t>
      </w:r>
      <w:r w:rsidR="00967A6E">
        <w:t xml:space="preserve"> Increased betas are caused </w:t>
      </w:r>
      <w:r w:rsidR="00087850">
        <w:t xml:space="preserve">by </w:t>
      </w:r>
      <w:r w:rsidR="00967A6E">
        <w:t xml:space="preserve">increased trading frequency in </w:t>
      </w:r>
      <w:r w:rsidR="00967A6E">
        <w:lastRenderedPageBreak/>
        <w:t>stocks of the S&amp;P 500</w:t>
      </w:r>
      <w:r w:rsidR="00434D83">
        <w:t>. Barberis et al state</w:t>
      </w:r>
      <w:r w:rsidR="00DD0693">
        <w:t>d that inclusions in the index contain</w:t>
      </w:r>
      <w:r w:rsidR="00434D83">
        <w:t xml:space="preserve"> no news about fundamentals, and therefore the co</w:t>
      </w:r>
      <w:r w:rsidR="00DD0693">
        <w:t>-</w:t>
      </w:r>
      <w:r w:rsidR="00434D83">
        <w:t xml:space="preserve">movement </w:t>
      </w:r>
      <w:r w:rsidR="00087850">
        <w:t xml:space="preserve">should </w:t>
      </w:r>
      <w:r w:rsidR="00434D83">
        <w:t xml:space="preserve">be supported by </w:t>
      </w:r>
      <w:r w:rsidR="00DD0693">
        <w:t>the category base and habitat base models. These models are related to trading activities, due shifts in demand</w:t>
      </w:r>
      <w:r w:rsidR="00E1310A">
        <w:t xml:space="preserve"> and supply</w:t>
      </w:r>
      <w:r w:rsidR="00DD0693">
        <w:t>.</w:t>
      </w:r>
    </w:p>
    <w:p w:rsidR="00C804FE" w:rsidRDefault="00C804FE" w:rsidP="00757D2F">
      <w:pPr>
        <w:pStyle w:val="Heading3"/>
      </w:pPr>
      <w:r>
        <w:t>The Nikkei index</w:t>
      </w:r>
      <w:r w:rsidR="00C246CF">
        <w:t xml:space="preserve"> </w:t>
      </w:r>
    </w:p>
    <w:p w:rsidR="00EC6725" w:rsidRDefault="00EC6725" w:rsidP="00512E4C">
      <w:r>
        <w:t xml:space="preserve">Greenwood and Sosner (2002) studied </w:t>
      </w:r>
      <w:r w:rsidR="00655B86">
        <w:t>a change in the trading pattern of 255 stocks</w:t>
      </w:r>
      <w:r w:rsidR="00F41209">
        <w:t>, due to</w:t>
      </w:r>
      <w:r w:rsidR="00655B86">
        <w:t xml:space="preserve"> </w:t>
      </w:r>
      <w:r>
        <w:t xml:space="preserve">the redefinition </w:t>
      </w:r>
      <w:r w:rsidR="00E1310A">
        <w:t>of the</w:t>
      </w:r>
      <w:r>
        <w:t xml:space="preserve"> Nikkei 225 index in Japan</w:t>
      </w:r>
      <w:r w:rsidR="00655B86">
        <w:t>.</w:t>
      </w:r>
      <w:r w:rsidR="00EE1204">
        <w:t xml:space="preserve"> </w:t>
      </w:r>
      <w:r w:rsidR="00655B86">
        <w:t xml:space="preserve">In April 2000, the rules governing index membership were changed, </w:t>
      </w:r>
      <w:r w:rsidR="00F41209">
        <w:t>that caused</w:t>
      </w:r>
      <w:r w:rsidR="00655B86">
        <w:t xml:space="preserve"> the replacement of 30 stocks in the Nikkei</w:t>
      </w:r>
      <w:r w:rsidR="00F41209">
        <w:t xml:space="preserve"> 225 index</w:t>
      </w:r>
      <w:r w:rsidR="00655B86">
        <w:t>. This change caused a significant c</w:t>
      </w:r>
      <w:r w:rsidR="007267F1">
        <w:t>h</w:t>
      </w:r>
      <w:r w:rsidR="00655B86">
        <w:t xml:space="preserve">ange in co-movement of returns and turnover for the substituted stocks. </w:t>
      </w:r>
      <w:r w:rsidR="00F41209">
        <w:t xml:space="preserve">Greenwood and Sosner </w:t>
      </w:r>
      <w:r w:rsidR="00655B86">
        <w:t xml:space="preserve">measured the betas of the returns of the additions and deletions </w:t>
      </w:r>
      <w:r w:rsidR="009465F3">
        <w:t>against</w:t>
      </w:r>
      <w:r w:rsidR="00655B86">
        <w:t xml:space="preserve"> the returns of stocks that remained in the Nikkei index after the </w:t>
      </w:r>
      <w:r w:rsidR="007267F1">
        <w:t>redefinition</w:t>
      </w:r>
      <w:r w:rsidR="00655B86">
        <w:t>.</w:t>
      </w:r>
      <w:r w:rsidR="00E21369">
        <w:t xml:space="preserve"> The central assumption of their model is the existence of a group of irrational investors who trade only in index stocks in proportion to index weights without taking the fundamentals in concern.</w:t>
      </w:r>
      <w:r w:rsidR="00EE1204">
        <w:t xml:space="preserve"> </w:t>
      </w:r>
      <w:r w:rsidR="00533976">
        <w:t xml:space="preserve">Their model predict that returns </w:t>
      </w:r>
      <w:r w:rsidR="00E20A9A">
        <w:t>o</w:t>
      </w:r>
      <w:r w:rsidR="00533976">
        <w:t>f stocks included in to the index should co-move more with the return of stock that remain in the Nikkei index. In their research they focussed on the slope coefficient or beta, in the regression of a stock’s return on the equally weighted return of stocks that remain in the index. The second measure is the</w:t>
      </w:r>
      <w:r w:rsidR="00EE1204">
        <w:t xml:space="preserve">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533976">
        <w:t xml:space="preserve"> of the just named univariate regression. The model </w:t>
      </w:r>
      <w:r w:rsidR="007977B6">
        <w:t>creates additional</w:t>
      </w:r>
      <w:r w:rsidR="00533976">
        <w:t xml:space="preserve"> testable predictions for the changes in auto</w:t>
      </w:r>
      <w:r w:rsidR="00164CDF">
        <w:t>correlations and cross-serial correlations of stocks returns when included in to or deleted from the index.</w:t>
      </w:r>
    </w:p>
    <w:p w:rsidR="00164CDF" w:rsidRDefault="00757D2F" w:rsidP="00512E4C">
      <w:r>
        <w:t xml:space="preserve">Their pre-event window includes returns from 100 trading days between </w:t>
      </w:r>
      <w:r w:rsidR="00F873AD">
        <w:t>November 26, 1999 and April</w:t>
      </w:r>
      <w:r w:rsidR="002B527A">
        <w:t xml:space="preserve"> 13, 2000. The post event window includes returns from 100 trading day</w:t>
      </w:r>
      <w:r w:rsidR="009465F3">
        <w:t>s</w:t>
      </w:r>
      <w:r w:rsidR="002B527A">
        <w:t xml:space="preserve"> between </w:t>
      </w:r>
      <w:r>
        <w:t>May 1, 2000 and September 15, 2000.</w:t>
      </w:r>
      <w:r w:rsidR="002B527A">
        <w:t xml:space="preserve"> The beta increase</w:t>
      </w:r>
      <w:r w:rsidR="000E6844">
        <w:t xml:space="preserve"> was a significant </w:t>
      </w:r>
      <w:r w:rsidR="009465F3">
        <w:t>0.6;</w:t>
      </w:r>
      <w:r w:rsidR="000E6844">
        <w:t xml:space="preserve"> this was almost a double of the initial pre event beta level. The beta decrease of the deletions was also statist</w:t>
      </w:r>
      <w:r w:rsidR="00EF3B5B">
        <w:t>ically significant with 0.71.</w:t>
      </w:r>
      <w:r w:rsidR="00EE1204">
        <w:t xml:space="preserve"> </w:t>
      </w:r>
      <w:r w:rsidR="00EF3B5B">
        <w:t>The same test was done over again</w:t>
      </w:r>
      <w:r w:rsidR="009465F3">
        <w:t>, where</w:t>
      </w:r>
      <w:r w:rsidR="00EF3B5B">
        <w:t xml:space="preserve"> the pre-event window and post- event window were based on 250 days instead the previous 100 days.</w:t>
      </w:r>
      <w:r w:rsidR="00EE1204">
        <w:t xml:space="preserve"> </w:t>
      </w:r>
      <w:r w:rsidR="00EF3B5B">
        <w:t xml:space="preserve">The </w:t>
      </w:r>
      <w:r w:rsidR="007977B6">
        <w:t xml:space="preserve">results </w:t>
      </w:r>
      <w:r w:rsidR="009465F3">
        <w:t xml:space="preserve">on the beta change continued to be </w:t>
      </w:r>
      <w:r w:rsidR="00EF3B5B">
        <w:t xml:space="preserve">significant </w:t>
      </w:r>
      <w:r w:rsidR="009465F3">
        <w:t>for as an increase for additions and a</w:t>
      </w:r>
      <w:r w:rsidR="00EF3B5B">
        <w:t xml:space="preserve"> decrease </w:t>
      </w:r>
      <w:r w:rsidR="009465F3">
        <w:t xml:space="preserve">for deletions </w:t>
      </w:r>
      <w:r w:rsidR="00EF3B5B">
        <w:t xml:space="preserve">in this longer window. The increase for the additions was this time 0.46, and the deletions showed a decrease from -0.62 at a significance level of 1%. </w:t>
      </w:r>
      <w:r w:rsidR="00FB03EE">
        <w:t>On the short run, t</w:t>
      </w:r>
      <w:r w:rsidR="00EF3B5B">
        <w:t xml:space="preserve">hese numbers show that the change in </w:t>
      </w:r>
      <w:r w:rsidR="00FB03EE">
        <w:t>co-movement</w:t>
      </w:r>
      <w:r w:rsidR="00EF3B5B">
        <w:t xml:space="preserve"> </w:t>
      </w:r>
      <w:r w:rsidR="00FB03EE">
        <w:t>continues</w:t>
      </w:r>
      <w:r w:rsidR="00EF3B5B">
        <w:t xml:space="preserve"> and that there is </w:t>
      </w:r>
      <w:r w:rsidR="00FB03EE">
        <w:t xml:space="preserve">little </w:t>
      </w:r>
      <w:r w:rsidR="007977B6">
        <w:t>evidence</w:t>
      </w:r>
      <w:r w:rsidR="00FB03EE">
        <w:t xml:space="preserve"> of a price correction.</w:t>
      </w:r>
      <w:r w:rsidR="00EE1204">
        <w:t xml:space="preserve"> </w:t>
      </w:r>
      <w:r w:rsidR="00873BA1">
        <w:t xml:space="preserve">And therefore </w:t>
      </w:r>
      <w:r w:rsidR="003E3126">
        <w:t xml:space="preserve">Greenwood and Sosner (2002) </w:t>
      </w:r>
      <w:r w:rsidR="00164CDF">
        <w:t>re</w:t>
      </w:r>
      <w:r w:rsidR="00C246CF">
        <w:t>s</w:t>
      </w:r>
      <w:r w:rsidR="00164CDF">
        <w:t xml:space="preserve">ults </w:t>
      </w:r>
      <w:r w:rsidR="00873BA1">
        <w:t>support</w:t>
      </w:r>
      <w:r w:rsidR="003E3126">
        <w:t xml:space="preserve"> those</w:t>
      </w:r>
      <w:r w:rsidR="00164CDF">
        <w:t xml:space="preserve"> found by Ba</w:t>
      </w:r>
      <w:r w:rsidR="003E3126">
        <w:t>r</w:t>
      </w:r>
      <w:r w:rsidR="00164CDF">
        <w:t>beris et al (200</w:t>
      </w:r>
      <w:r w:rsidR="00873BA1">
        <w:t>2</w:t>
      </w:r>
      <w:r w:rsidR="00164CDF">
        <w:t>) and Vijh (1994)</w:t>
      </w:r>
      <w:r w:rsidR="00B03F59">
        <w:t xml:space="preserve"> on the S&amp;P500.</w:t>
      </w:r>
    </w:p>
    <w:p w:rsidR="004D1BBB" w:rsidRPr="00E436C0" w:rsidRDefault="00283F66" w:rsidP="004D1BBB">
      <w:pPr>
        <w:pStyle w:val="Heading3"/>
      </w:pPr>
      <w:r>
        <w:t xml:space="preserve">NSE </w:t>
      </w:r>
      <w:r w:rsidR="004D1BBB">
        <w:t>S</w:t>
      </w:r>
      <w:r>
        <w:t>&amp;</w:t>
      </w:r>
      <w:r w:rsidR="0055115A">
        <w:t xml:space="preserve">P </w:t>
      </w:r>
      <w:r w:rsidR="004D1BBB">
        <w:t>CNX</w:t>
      </w:r>
      <w:r w:rsidR="00840D46">
        <w:t xml:space="preserve"> Nifty</w:t>
      </w:r>
    </w:p>
    <w:p w:rsidR="00381617" w:rsidRDefault="00F17B3E" w:rsidP="00512E4C">
      <w:r>
        <w:t xml:space="preserve">The </w:t>
      </w:r>
      <w:r w:rsidR="0055115A">
        <w:t xml:space="preserve">Standard and Poor’s CNX Nifty stands a stock index endorsed by Standard &amp; Poor’s and </w:t>
      </w:r>
      <w:r w:rsidR="00176EA6">
        <w:t>consists</w:t>
      </w:r>
      <w:r w:rsidR="0055115A">
        <w:t xml:space="preserve"> of fifty of the largest and most liquid stocks found on the National Stock Exchange (NSE) of India. The CNX stands for Credit Rating Information Services of India Limited (CRISIL) and the National Stock Exchange of India. CRISIL and NSE together own and manage the index within a joint venture called the </w:t>
      </w:r>
      <w:r w:rsidR="006F3D2C">
        <w:t>India</w:t>
      </w:r>
      <w:r w:rsidR="0055115A">
        <w:t xml:space="preserve"> index services and </w:t>
      </w:r>
      <w:r w:rsidR="00176EA6">
        <w:t>Products</w:t>
      </w:r>
      <w:r w:rsidR="006F3D2C">
        <w:t xml:space="preserve"> that was set up in May 1998. </w:t>
      </w:r>
      <w:r w:rsidR="00A65F8D">
        <w:t>Parthasart</w:t>
      </w:r>
      <w:r w:rsidR="002E7EBF">
        <w:t>h</w:t>
      </w:r>
      <w:r w:rsidR="00A65F8D">
        <w:t>y</w:t>
      </w:r>
      <w:r w:rsidR="0055115A">
        <w:t xml:space="preserve"> </w:t>
      </w:r>
      <w:r w:rsidR="00A65F8D">
        <w:t xml:space="preserve">(2011) </w:t>
      </w:r>
      <w:r>
        <w:t>did a</w:t>
      </w:r>
      <w:r w:rsidR="00A65F8D">
        <w:t xml:space="preserve"> study on the co-movement around the S&amp;P CNX</w:t>
      </w:r>
      <w:r w:rsidR="00EE1204">
        <w:t xml:space="preserve"> </w:t>
      </w:r>
      <w:r w:rsidR="00A65F8D">
        <w:t xml:space="preserve">Nifty index for the period of 1999 till 2010 on index reviews for the Indian stock market. </w:t>
      </w:r>
      <w:r w:rsidR="00381617">
        <w:t>Parthasarthy based his research on 41 additions and 30 deleted stocks from the Nifty index during the period of 1999 till 2010.</w:t>
      </w:r>
    </w:p>
    <w:p w:rsidR="00450B69" w:rsidRDefault="00320711" w:rsidP="00512E4C">
      <w:r>
        <w:lastRenderedPageBreak/>
        <w:t xml:space="preserve">He used several models, naming those of Baberis et al.(2002) to conduct his research. </w:t>
      </w:r>
      <w:r w:rsidR="00381617">
        <w:t>According</w:t>
      </w:r>
      <w:r>
        <w:t xml:space="preserve"> to the C</w:t>
      </w:r>
      <w:r w:rsidR="00381617">
        <w:t xml:space="preserve">ategory bases co-movement, </w:t>
      </w:r>
      <w:r w:rsidR="00812FF5">
        <w:t>an addition of a stock into the index should expe</w:t>
      </w:r>
      <w:r w:rsidR="00F9330B">
        <w:t>rie</w:t>
      </w:r>
      <w:r w:rsidR="00812FF5">
        <w:t xml:space="preserve">nce a beta increase. A stock deleted from the index should experience a beta decrease. The stocks that were added to the Nifty index experienced a </w:t>
      </w:r>
      <w:r w:rsidR="00F9330B">
        <w:t>statistically</w:t>
      </w:r>
      <w:r w:rsidR="00812FF5">
        <w:t xml:space="preserve"> significant positive increase in the betas (slope co</w:t>
      </w:r>
      <w:r w:rsidR="00F9330B">
        <w:t>-efficient</w:t>
      </w:r>
      <w:r w:rsidR="00812FF5">
        <w:t>) post inclusion</w:t>
      </w:r>
      <w:r w:rsidR="00F9330B">
        <w:t xml:space="preserve">. The </w:t>
      </w:r>
      <w:r>
        <w:t>average beta</w:t>
      </w:r>
      <w:r w:rsidR="00BD2B2A">
        <w:t xml:space="preserve"> change for the complete period is 0.14. After splitting his data set into different intervals, the interval of 1999-2006 had an increase in beta was 0.13 </w:t>
      </w:r>
      <w:r>
        <w:t>and the</w:t>
      </w:r>
      <w:r w:rsidR="00BD2B2A">
        <w:t xml:space="preserve"> interval of 2007-2010 </w:t>
      </w:r>
      <w:r>
        <w:t xml:space="preserve">he noticed </w:t>
      </w:r>
      <w:r w:rsidR="00BD2B2A">
        <w:t xml:space="preserve">an increase beta of 0.15. The beta </w:t>
      </w:r>
      <w:r>
        <w:t>increase for both of these intervals was</w:t>
      </w:r>
      <w:r w:rsidR="00BD2B2A">
        <w:t xml:space="preserve"> significant.</w:t>
      </w:r>
      <w:r w:rsidR="00450B69">
        <w:t xml:space="preserve"> </w:t>
      </w:r>
    </w:p>
    <w:p w:rsidR="00381617" w:rsidRDefault="00951B03" w:rsidP="00512E4C">
      <w:r>
        <w:t>For stocks deleted from the Nifty index Parthasarthy</w:t>
      </w:r>
      <w:r w:rsidR="00230484">
        <w:t xml:space="preserve"> (2011)</w:t>
      </w:r>
      <w:r>
        <w:t xml:space="preserve"> found </w:t>
      </w:r>
      <w:r w:rsidR="009C13B8">
        <w:t>an increased beta change, meaning that there was</w:t>
      </w:r>
      <w:r>
        <w:t xml:space="preserve"> no evidence of decreased co-movement between deleted stocks and the Nifty index. In his research he used different methodologies naming those Vijh (1994), Barberis et al. (2002) to compare his results to. </w:t>
      </w:r>
      <w:r w:rsidR="00730E66">
        <w:t>The deletions experienced a beta increase of 0.05, instead of a beta decrease. This, number was not statistically significant. The deletions were also divided into the same intervals as the additions, the results of these intervals were a beta increase of 0.07 for the first and 0.002</w:t>
      </w:r>
      <w:r w:rsidR="00EE1204">
        <w:t xml:space="preserve"> </w:t>
      </w:r>
      <w:r w:rsidR="00730E66">
        <w:t>for the second interval. Again these numbers were not statistically significant, but surely different than the expected beta decrease such as in developed markets. Due to asymmetric response to additions and deletions the category view from Barberis et al. (2002) is not supported.</w:t>
      </w:r>
      <w:r w:rsidR="009C13B8">
        <w:t xml:space="preserve"> </w:t>
      </w:r>
      <w:r w:rsidR="00730E66">
        <w:t>Parthasarathy</w:t>
      </w:r>
      <w:r w:rsidR="009C13B8">
        <w:t xml:space="preserve"> (2011)</w:t>
      </w:r>
      <w:r w:rsidR="00730E66">
        <w:t xml:space="preserve"> </w:t>
      </w:r>
      <w:r>
        <w:t xml:space="preserve">suggests that the Fundamental based model explains the Nifty index changes in the emerging Indian Stock market. The increased (decreased) co-movement may be either due to trading strategies of institutional investors post inclusion, or due to fundamental reasons. </w:t>
      </w:r>
      <w:r w:rsidR="00321942">
        <w:t>Parthasar</w:t>
      </w:r>
      <w:r w:rsidR="009C13B8">
        <w:t>a</w:t>
      </w:r>
      <w:r w:rsidR="00321942">
        <w:t>t</w:t>
      </w:r>
      <w:r w:rsidR="009C13B8">
        <w:t>h</w:t>
      </w:r>
      <w:r w:rsidR="00321942">
        <w:t>ys results are more in line with the results of Chen et al</w:t>
      </w:r>
      <w:r>
        <w:t xml:space="preserve"> </w:t>
      </w:r>
      <w:r w:rsidR="00321942">
        <w:t>(200</w:t>
      </w:r>
      <w:r w:rsidR="00730E66">
        <w:t>3</w:t>
      </w:r>
      <w:r w:rsidR="00321942">
        <w:t>) who explains the beta increase due to investors awareness.</w:t>
      </w:r>
    </w:p>
    <w:p w:rsidR="00730E66" w:rsidRDefault="00730E66" w:rsidP="00512E4C">
      <w:pPr>
        <w:sectPr w:rsidR="00730E66" w:rsidSect="009B21AE">
          <w:pgSz w:w="11900" w:h="16840"/>
          <w:pgMar w:top="1440" w:right="1800" w:bottom="1440" w:left="1800" w:header="708" w:footer="708" w:gutter="0"/>
          <w:cols w:space="708"/>
          <w:titlePg/>
          <w:docGrid w:linePitch="360"/>
        </w:sectPr>
      </w:pPr>
    </w:p>
    <w:p w:rsidR="00512E4C" w:rsidRDefault="003D440E" w:rsidP="00512E4C">
      <w:r>
        <w:lastRenderedPageBreak/>
        <w:fldChar w:fldCharType="begin"/>
      </w:r>
      <w:r>
        <w:instrText xml:space="preserve"> LINK Excel.Sheet.8 "Macintosh HD:Users:merilinsimons:Scriptie:goedgekeurde resultaten:tabel_overzichtindexen compleet.xlsx!Co-movement overview!R4C3:R28C14" "" \a \p </w:instrText>
      </w:r>
      <w:r>
        <w:fldChar w:fldCharType="separate"/>
      </w:r>
      <w:r>
        <w:object w:dxaOrig="28540" w:dyaOrig="18660">
          <v:shape id="_x0000_i1029" type="#_x0000_t75" style="width:626.5pt;height:408.9pt">
            <v:imagedata r:id="rId16" o:title=""/>
          </v:shape>
        </w:object>
      </w:r>
      <w:r>
        <w:fldChar w:fldCharType="end"/>
      </w:r>
    </w:p>
    <w:p w:rsidR="00FF3777" w:rsidRDefault="003D440E" w:rsidP="00512E4C">
      <w:r>
        <w:rPr>
          <w:noProof/>
        </w:rPr>
        <w:lastRenderedPageBreak/>
        <w:pict>
          <v:shape id="_x0000_s1087" type="#_x0000_t75" style="position:absolute;margin-left:-36pt;margin-top:-18pt;width:741pt;height:414.15pt;z-index:251671552;mso-wrap-edited:f;mso-position-horizontal-relative:text;mso-position-vertical-relative:text" wrapcoords="0 0 21600 0 21600 21600 0 21600 0 0">
            <v:imagedata r:id="rId17" o:title=""/>
            <w10:wrap type="through"/>
          </v:shape>
        </w:pict>
      </w:r>
    </w:p>
    <w:p w:rsidR="00FF3777" w:rsidRDefault="00FF3777" w:rsidP="00512E4C">
      <w:pPr>
        <w:sectPr w:rsidR="00FF3777" w:rsidSect="009B21AE">
          <w:pgSz w:w="16840" w:h="11900" w:orient="landscape"/>
          <w:pgMar w:top="1800" w:right="1440" w:bottom="1800" w:left="1440" w:header="708" w:footer="708" w:gutter="0"/>
          <w:cols w:space="708"/>
          <w:titlePg/>
          <w:docGrid w:linePitch="360"/>
        </w:sectPr>
      </w:pPr>
    </w:p>
    <w:p w:rsidR="00512E4C" w:rsidRDefault="00512E4C" w:rsidP="00512E4C">
      <w:pPr>
        <w:pStyle w:val="Heading1"/>
      </w:pPr>
      <w:bookmarkStart w:id="6" w:name="_Toc214519182"/>
      <w:r>
        <w:t>Data of the research</w:t>
      </w:r>
      <w:bookmarkEnd w:id="6"/>
    </w:p>
    <w:p w:rsidR="00512E4C" w:rsidRDefault="00512E4C" w:rsidP="00512E4C"/>
    <w:p w:rsidR="00512E4C" w:rsidRDefault="00BA389F" w:rsidP="00512E4C">
      <w:pPr>
        <w:pStyle w:val="Heading2"/>
      </w:pPr>
      <w:bookmarkStart w:id="7" w:name="_Toc214519183"/>
      <w:r>
        <w:t>Introduction</w:t>
      </w:r>
      <w:bookmarkEnd w:id="7"/>
    </w:p>
    <w:p w:rsidR="00512E4C" w:rsidRDefault="00512E4C" w:rsidP="00512E4C">
      <w:r>
        <w:t xml:space="preserve">The sample is of the period between January 2004 and December 2010. Since the past years a lot has been changed for MSCI methodology. </w:t>
      </w:r>
      <w:r w:rsidR="004F656B">
        <w:t>C</w:t>
      </w:r>
      <w:r>
        <w:t>ertain requirements to which a company must commit in order to be a candidate to enter the MSCI Global Standard Index</w:t>
      </w:r>
      <w:r w:rsidR="004F656B">
        <w:t xml:space="preserve"> have emerged</w:t>
      </w:r>
      <w:r>
        <w:t>. Also</w:t>
      </w:r>
      <w:r w:rsidR="004F656B">
        <w:t>,</w:t>
      </w:r>
      <w:r>
        <w:t xml:space="preserve"> different requirements have to be met in order to stay in the index. </w:t>
      </w:r>
      <w:r w:rsidR="00263B9A">
        <w:t>If these requirements are not met, the</w:t>
      </w:r>
      <w:r>
        <w:t xml:space="preserve"> stock </w:t>
      </w:r>
      <w:r w:rsidR="00263B9A">
        <w:t>might</w:t>
      </w:r>
      <w:r>
        <w:t xml:space="preserve"> be deleted or downgraded to a smaller Index. This report will mention the </w:t>
      </w:r>
      <w:r w:rsidR="00F367FE">
        <w:t xml:space="preserve">key </w:t>
      </w:r>
      <w:r>
        <w:t>requirements that need t</w:t>
      </w:r>
      <w:r w:rsidR="00263B9A">
        <w:t>o be met in order to enter or stay in the MSCI Index.</w:t>
      </w:r>
      <w:r>
        <w:t xml:space="preserve"> </w:t>
      </w:r>
      <w:r w:rsidR="00263B9A">
        <w:t>Note that this paper</w:t>
      </w:r>
      <w:r>
        <w:t xml:space="preserve"> will not enter into detailed calculations </w:t>
      </w:r>
      <w:r w:rsidR="00263B9A">
        <w:t>and reasons o</w:t>
      </w:r>
      <w:r>
        <w:t xml:space="preserve">n </w:t>
      </w:r>
      <w:r w:rsidR="00263B9A">
        <w:t>why a</w:t>
      </w:r>
      <w:r>
        <w:t xml:space="preserve"> stock </w:t>
      </w:r>
      <w:r w:rsidR="00263B9A">
        <w:t>was</w:t>
      </w:r>
      <w:r>
        <w:t xml:space="preserve"> added </w:t>
      </w:r>
      <w:r w:rsidR="005D36F4">
        <w:t xml:space="preserve">in </w:t>
      </w:r>
      <w:r>
        <w:t xml:space="preserve">or deleted </w:t>
      </w:r>
      <w:r w:rsidR="00263B9A">
        <w:t xml:space="preserve">from </w:t>
      </w:r>
      <w:r w:rsidR="005D36F4">
        <w:t xml:space="preserve">the </w:t>
      </w:r>
      <w:r>
        <w:t>index.</w:t>
      </w:r>
    </w:p>
    <w:p w:rsidR="009E6DDF" w:rsidRDefault="00512E4C">
      <w:r>
        <w:t>Th</w:t>
      </w:r>
      <w:r w:rsidR="009D1C61">
        <w:t>e</w:t>
      </w:r>
      <w:r w:rsidR="001D1D61">
        <w:t xml:space="preserve"> </w:t>
      </w:r>
      <w:r w:rsidR="00FE467D">
        <w:t xml:space="preserve">focus </w:t>
      </w:r>
      <w:r w:rsidR="009D1C61">
        <w:t xml:space="preserve">in the </w:t>
      </w:r>
      <w:r w:rsidR="000436DF">
        <w:t xml:space="preserve">study </w:t>
      </w:r>
      <w:r w:rsidR="00FE467D">
        <w:t>is</w:t>
      </w:r>
      <w:r w:rsidR="001D1D61">
        <w:t xml:space="preserve"> </w:t>
      </w:r>
      <w:r>
        <w:t>on stocks that were added and deleted in the MSCI Emerging Markets Index</w:t>
      </w:r>
      <w:r w:rsidR="009D1C61">
        <w:t xml:space="preserve"> during SAIR and QIR from 2004 till 2010</w:t>
      </w:r>
      <w:r>
        <w:t xml:space="preserve">. </w:t>
      </w:r>
      <w:r w:rsidR="00263B9A">
        <w:t xml:space="preserve">Furthermore to calculate the </w:t>
      </w:r>
      <w:r w:rsidR="006E7670">
        <w:t>beta</w:t>
      </w:r>
      <w:r w:rsidR="00263B9A">
        <w:t xml:space="preserve">s, also data from other indices like </w:t>
      </w:r>
      <w:r w:rsidR="0065581A">
        <w:t>MSCI Brazil, India, China and Turkey and from the HSBC Brazil, India, China and Turkey</w:t>
      </w:r>
      <w:r w:rsidR="00263B9A">
        <w:t xml:space="preserve"> were used</w:t>
      </w:r>
      <w:r w:rsidR="0065581A">
        <w:t xml:space="preserve">. </w:t>
      </w:r>
      <w:r w:rsidR="005926CF">
        <w:t>HSBC stands for Hong Kong and Shanghai Banking Corporation.</w:t>
      </w:r>
    </w:p>
    <w:p w:rsidR="007F20F8" w:rsidRDefault="004D2996" w:rsidP="007F20F8">
      <w:pPr>
        <w:pStyle w:val="Heading2"/>
      </w:pPr>
      <w:bookmarkStart w:id="8" w:name="_Toc214519184"/>
      <w:r>
        <w:t>The MSCI</w:t>
      </w:r>
      <w:bookmarkEnd w:id="8"/>
      <w:r w:rsidR="00512E4C">
        <w:t xml:space="preserve"> </w:t>
      </w:r>
    </w:p>
    <w:p w:rsidR="004B0EFD" w:rsidRDefault="007F20F8" w:rsidP="007F20F8">
      <w:r>
        <w:t>Each index uses its own method for reclassifying stocks in that index, and has different review dates to implement these changes. For example the S&amp;P 500 and the AEX index each have their own distinct methodology and their own Index Review dates. This is why it is important to understand how the MSCI Global investable is constructed. This Chapter will explain in detail the methodology of the MSCI Global Investable</w:t>
      </w:r>
      <w:r w:rsidR="00225DB0">
        <w:t>, the guidelines and principles mentioned in this chapter are taken from the published information that was found on the MSCI.com website</w:t>
      </w:r>
      <w:r>
        <w:t>.</w:t>
      </w:r>
      <w:r w:rsidR="00EE1204">
        <w:t xml:space="preserve"> </w:t>
      </w:r>
      <w:r w:rsidR="00757F45">
        <w:t xml:space="preserve">The table </w:t>
      </w:r>
      <w:r w:rsidR="004B0EFD">
        <w:t xml:space="preserve">3.2.1 </w:t>
      </w:r>
      <w:r w:rsidR="00757F45">
        <w:t xml:space="preserve">below shows an overview of different indices, with their review </w:t>
      </w:r>
      <w:r w:rsidR="00087850">
        <w:t>data</w:t>
      </w:r>
      <w:r w:rsidR="00757F45">
        <w:t xml:space="preserve"> and frequencies</w:t>
      </w:r>
      <w:r w:rsidR="009E6DDF">
        <w:t xml:space="preserve"> and methodology</w:t>
      </w:r>
      <w:r w:rsidR="00757F45">
        <w:t xml:space="preserve">. This is just to give an idea of the difference between the indices. </w:t>
      </w:r>
    </w:p>
    <w:p w:rsidR="004B0EFD" w:rsidRDefault="00225DB0" w:rsidP="00757F45">
      <w:r w:rsidRPr="00225DB0">
        <w:rPr>
          <w:b/>
        </w:rPr>
        <w:t>Table 3.2.1 Index Overview</w:t>
      </w:r>
      <w:r w:rsidR="003D440E">
        <w:fldChar w:fldCharType="begin"/>
      </w:r>
      <w:r w:rsidR="001B0CAA">
        <w:instrText xml:space="preserve"> LINK Excel.Sheet.8 "USB DISK:Thesis:definitieve versies:grafieken index definitief:tabel_overzichtindexen compleet.xlsx!overview!R6C16:R13C20" "" \a \p </w:instrText>
      </w:r>
      <w:r w:rsidR="003D440E">
        <w:fldChar w:fldCharType="separate"/>
      </w:r>
      <w:r w:rsidR="002C487B">
        <w:object w:dxaOrig="12785" w:dyaOrig="9877">
          <v:shape id="_x0000_i1031" type="#_x0000_t75" style="width:5in;height:183.75pt">
            <v:imagedata r:id="rId18" o:title=""/>
          </v:shape>
        </w:object>
      </w:r>
      <w:r w:rsidR="003D440E">
        <w:fldChar w:fldCharType="end"/>
      </w:r>
      <w:r w:rsidR="004B0EFD">
        <w:t xml:space="preserve"> </w:t>
      </w:r>
    </w:p>
    <w:p w:rsidR="000E6CD7" w:rsidRPr="004B0EFD" w:rsidRDefault="00757F45" w:rsidP="00757F45">
      <w:pPr>
        <w:rPr>
          <w:sz w:val="14"/>
          <w:szCs w:val="14"/>
        </w:rPr>
      </w:pPr>
      <w:r w:rsidRPr="004B0EFD">
        <w:rPr>
          <w:sz w:val="14"/>
          <w:szCs w:val="14"/>
        </w:rPr>
        <w:t>Source: overzichtindexen_compleet.xlsx</w:t>
      </w:r>
    </w:p>
    <w:p w:rsidR="000E6CD7" w:rsidRDefault="000E6CD7" w:rsidP="000E6CD7">
      <w:pPr>
        <w:pStyle w:val="Heading3"/>
      </w:pPr>
      <w:r>
        <w:t>About the MSCI Global Investable</w:t>
      </w:r>
    </w:p>
    <w:p w:rsidR="007F20F8" w:rsidRDefault="007F20F8" w:rsidP="007F20F8">
      <w:r>
        <w:t xml:space="preserve"> For the past years the MSCI global investable has made some drastic changes in their methodology in order to meet their objective to construct and maintain its global equity indices in such a way that they may contribute to the international investment process.</w:t>
      </w:r>
    </w:p>
    <w:p w:rsidR="007F20F8" w:rsidRDefault="007F20F8" w:rsidP="007F20F8">
      <w:pPr>
        <w:pStyle w:val="Heading4"/>
      </w:pPr>
      <w:r>
        <w:t>Their goal is:</w:t>
      </w:r>
    </w:p>
    <w:p w:rsidR="007F20F8" w:rsidRDefault="007F20F8" w:rsidP="007F20F8">
      <w:pPr>
        <w:pStyle w:val="ListParagraph"/>
        <w:numPr>
          <w:ilvl w:val="0"/>
          <w:numId w:val="18"/>
        </w:numPr>
      </w:pPr>
      <w:r>
        <w:t>To deliver relevant and accurate performance benchmarks,</w:t>
      </w:r>
    </w:p>
    <w:p w:rsidR="007F20F8" w:rsidRDefault="007F20F8" w:rsidP="007F20F8">
      <w:pPr>
        <w:pStyle w:val="ListParagraph"/>
        <w:numPr>
          <w:ilvl w:val="0"/>
          <w:numId w:val="18"/>
        </w:numPr>
      </w:pPr>
      <w:r>
        <w:t>To be the basis for asset allocation and portfolio construction across geographic markets, size segments, style segments and sectors</w:t>
      </w:r>
    </w:p>
    <w:p w:rsidR="007F20F8" w:rsidRDefault="007F20F8" w:rsidP="007F20F8">
      <w:pPr>
        <w:pStyle w:val="ListParagraph"/>
        <w:numPr>
          <w:ilvl w:val="0"/>
          <w:numId w:val="18"/>
        </w:numPr>
      </w:pPr>
      <w:r>
        <w:t>To be an effective research tool</w:t>
      </w:r>
    </w:p>
    <w:p w:rsidR="007F20F8" w:rsidRDefault="007F20F8" w:rsidP="007F20F8">
      <w:pPr>
        <w:pStyle w:val="ListParagraph"/>
        <w:numPr>
          <w:ilvl w:val="0"/>
          <w:numId w:val="18"/>
        </w:numPr>
      </w:pPr>
      <w:r>
        <w:t>And to be the basis for investment vehicles</w:t>
      </w:r>
    </w:p>
    <w:p w:rsidR="000E6CD7" w:rsidRDefault="000E6CD7" w:rsidP="007F20F8"/>
    <w:p w:rsidR="00E06442" w:rsidRDefault="000E6CD7" w:rsidP="007F20F8">
      <w:r w:rsidRPr="000E6CD7">
        <w:rPr>
          <w:rFonts w:cs="Calibri"/>
        </w:rPr>
        <w:t>The MSCI Global Market</w:t>
      </w:r>
      <w:r w:rsidR="00EE1204">
        <w:rPr>
          <w:rFonts w:cs="Calibri"/>
        </w:rPr>
        <w:t xml:space="preserve"> </w:t>
      </w:r>
      <w:r w:rsidRPr="000E6CD7">
        <w:rPr>
          <w:rFonts w:cs="Calibri"/>
        </w:rPr>
        <w:t>includes updates</w:t>
      </w:r>
      <w:r w:rsidR="00EE1204">
        <w:rPr>
          <w:rFonts w:cs="Calibri"/>
        </w:rPr>
        <w:t xml:space="preserve"> </w:t>
      </w:r>
      <w:r w:rsidRPr="000E6CD7">
        <w:rPr>
          <w:rFonts w:cs="Calibri"/>
        </w:rPr>
        <w:t xml:space="preserve">for all markets under MSCI’s coverage. The MSCI Global Market stands for Developed, Emerging, Frontier and Standalone Markets. </w:t>
      </w:r>
      <w:r w:rsidR="007F20F8">
        <w:t xml:space="preserve">The MSCI BARRA index covers 21 Emerging markets next to the 24 developed and 26 Frontier markets. </w:t>
      </w:r>
    </w:p>
    <w:tbl>
      <w:tblPr>
        <w:tblW w:w="0" w:type="auto"/>
        <w:tblBorders>
          <w:top w:val="nil"/>
          <w:left w:val="nil"/>
          <w:right w:val="nil"/>
        </w:tblBorders>
        <w:tblLayout w:type="fixed"/>
        <w:tblLook w:val="0000"/>
      </w:tblPr>
      <w:tblGrid>
        <w:gridCol w:w="13960"/>
      </w:tblGrid>
      <w:tr w:rsidR="000E6CD7">
        <w:tc>
          <w:tcPr>
            <w:tcW w:w="13960" w:type="dxa"/>
            <w:vAlign w:val="center"/>
          </w:tcPr>
          <w:p w:rsidR="000E6CD7" w:rsidRDefault="000E6CD7">
            <w:pPr>
              <w:widowControl w:val="0"/>
              <w:autoSpaceDE w:val="0"/>
              <w:autoSpaceDN w:val="0"/>
              <w:adjustRightInd w:val="0"/>
              <w:spacing w:after="0" w:line="240" w:lineRule="auto"/>
              <w:rPr>
                <w:rFonts w:ascii="Helvetica" w:hAnsi="Helvetica" w:cs="Helvetica"/>
                <w:color w:val="878787"/>
                <w:sz w:val="24"/>
                <w:szCs w:val="24"/>
              </w:rPr>
            </w:pPr>
            <w:r>
              <w:rPr>
                <w:rFonts w:ascii="Helvetica" w:hAnsi="Helvetica" w:cs="Helvetica"/>
                <w:noProof/>
                <w:color w:val="878787"/>
                <w:sz w:val="24"/>
                <w:szCs w:val="24"/>
              </w:rPr>
              <w:drawing>
                <wp:inline distT="0" distB="0" distL="0" distR="0">
                  <wp:extent cx="4733567" cy="3983174"/>
                  <wp:effectExtent l="0" t="0" r="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733567" cy="3983174"/>
                          </a:xfrm>
                          <a:prstGeom prst="rect">
                            <a:avLst/>
                          </a:prstGeom>
                          <a:noFill/>
                          <a:ln>
                            <a:noFill/>
                          </a:ln>
                        </pic:spPr>
                      </pic:pic>
                    </a:graphicData>
                  </a:graphic>
                </wp:inline>
              </w:drawing>
            </w:r>
          </w:p>
        </w:tc>
      </w:tr>
    </w:tbl>
    <w:p w:rsidR="000E6CD7" w:rsidRPr="000E6CD7" w:rsidRDefault="000E6CD7" w:rsidP="007F20F8">
      <w:pPr>
        <w:rPr>
          <w:sz w:val="16"/>
          <w:szCs w:val="16"/>
        </w:rPr>
      </w:pPr>
      <w:r w:rsidRPr="000E6CD7">
        <w:rPr>
          <w:sz w:val="16"/>
          <w:szCs w:val="16"/>
        </w:rPr>
        <w:t>Source:www.Msci.com</w:t>
      </w:r>
    </w:p>
    <w:p w:rsidR="007F20F8" w:rsidRDefault="007F20F8" w:rsidP="007F20F8">
      <w:r>
        <w:t xml:space="preserve">In May 2008, MSCI enhanced its standard index methodology by moving from a sampled multi cap approach to an approach targeting exhaustive coverage with non-overlapping size and style segments. The MSCI standard and MSCI small cap indices, along with the other MSCI equity indices based on them, form the Global Investable Market indices. </w:t>
      </w:r>
    </w:p>
    <w:p w:rsidR="007F20F8" w:rsidRDefault="007F20F8" w:rsidP="007F20F8">
      <w:r>
        <w:t>To understand which method to use, it is important to know that the MSCI uses the Determining Market Capitalization size segments for each market. The MSCI Global investable Market indices use the free float adjusted Market Capitalization weighting method. In contrast, the Standard &amp; Poor’s 500 uses a market value weighted index, while the Dow Jones Industrial average includes a price- weighted average.</w:t>
      </w:r>
    </w:p>
    <w:p w:rsidR="007F20F8" w:rsidRDefault="007F20F8" w:rsidP="007F20F8">
      <w:r>
        <w:t>Furthermore the MSCI is composed of companies’ representative of the market structure of developed and emerging market countries in the Americas, Europe / Middle East and Asia Pacific regions. The price return and total return versions are both available in USD and local currencies.</w:t>
      </w:r>
    </w:p>
    <w:p w:rsidR="007F20F8" w:rsidRDefault="007F20F8" w:rsidP="007F20F8">
      <w:r>
        <w:t>MSCI Barra offers a number of Multi Market Indices, usually comprised of indices from different countries and designed to represent multiple security markets. Multi-market indices may represent multiple national markets, geographical regions, economic development groups and sometimes the entire world.</w:t>
      </w:r>
    </w:p>
    <w:p w:rsidR="007F20F8" w:rsidRDefault="007F20F8" w:rsidP="007F20F8">
      <w:r>
        <w:t>MSCI Barra classifies countries along 2 dimensions, naming the level of economic development and geographical region.</w:t>
      </w:r>
    </w:p>
    <w:p w:rsidR="007F20F8" w:rsidRDefault="007F20F8" w:rsidP="007F20F8">
      <w:r>
        <w:t>Regarding the geographic region there are three regions namely Americas, Europe with Africa and Asia with Pacific.</w:t>
      </w:r>
    </w:p>
    <w:p w:rsidR="007F20F8" w:rsidRDefault="007F20F8" w:rsidP="007F20F8">
      <w:r>
        <w:t>MSCI Barra also provides country specific indices for each of the developed and emerging market countries within its multi-market indices.</w:t>
      </w:r>
    </w:p>
    <w:p w:rsidR="007F20F8" w:rsidRDefault="007F20F8" w:rsidP="007F20F8">
      <w:r>
        <w:t>MSCI Barra periodically reviews the market classifications of countries in its indices for movements from frontier markets to emerging markets and from emerging markets to developed markets and reconstitutes the indices accordingly.</w:t>
      </w:r>
    </w:p>
    <w:p w:rsidR="007F20F8" w:rsidRDefault="007F20F8" w:rsidP="007F20F8">
      <w:r>
        <w:t>Based on objective and transparent rules, the Global Investable Market Indices are intended to provide:</w:t>
      </w:r>
    </w:p>
    <w:p w:rsidR="007F20F8" w:rsidRDefault="007F20F8" w:rsidP="007F20F8">
      <w:pPr>
        <w:pStyle w:val="ListParagraph"/>
        <w:numPr>
          <w:ilvl w:val="0"/>
          <w:numId w:val="15"/>
        </w:numPr>
      </w:pPr>
      <w:r>
        <w:t>Exhaustive coverage of the investable opportunity set with non-overlapping size and style segmentation</w:t>
      </w:r>
    </w:p>
    <w:p w:rsidR="007F20F8" w:rsidRDefault="007F20F8" w:rsidP="007F20F8">
      <w:pPr>
        <w:pStyle w:val="ListParagraph"/>
        <w:numPr>
          <w:ilvl w:val="0"/>
          <w:numId w:val="15"/>
        </w:numPr>
      </w:pPr>
      <w:r>
        <w:t>A strong emphasis on investability and replicability of the indices through the use of size and liquidity screenings</w:t>
      </w:r>
    </w:p>
    <w:p w:rsidR="007F20F8" w:rsidRDefault="007F20F8" w:rsidP="007F20F8">
      <w:pPr>
        <w:pStyle w:val="ListParagraph"/>
        <w:numPr>
          <w:ilvl w:val="0"/>
          <w:numId w:val="15"/>
        </w:numPr>
      </w:pPr>
      <w:r>
        <w:t>Size segmentation designed to achieve an effective balance between the objectives of the global size integrity and country diversification</w:t>
      </w:r>
    </w:p>
    <w:p w:rsidR="007F20F8" w:rsidRDefault="007F20F8" w:rsidP="007F20F8">
      <w:pPr>
        <w:pStyle w:val="ListParagraph"/>
        <w:numPr>
          <w:ilvl w:val="0"/>
          <w:numId w:val="15"/>
        </w:numPr>
      </w:pPr>
      <w:r>
        <w:t>An innovative maintenance methodology that provides a superior balance between index stability and reflecting changes in the opportunity set in a timely way</w:t>
      </w:r>
    </w:p>
    <w:p w:rsidR="007F20F8" w:rsidRDefault="007F20F8" w:rsidP="007F20F8">
      <w:pPr>
        <w:pStyle w:val="ListParagraph"/>
        <w:numPr>
          <w:ilvl w:val="0"/>
          <w:numId w:val="15"/>
        </w:numPr>
      </w:pPr>
      <w:r>
        <w:t>A complete and consistent index family with standard, large cap, mid cap, small cap and investable Market indices</w:t>
      </w:r>
    </w:p>
    <w:p w:rsidR="007F20F8" w:rsidRDefault="007F20F8" w:rsidP="007F20F8">
      <w:r>
        <w:t>Next to the innovations that were just mentioned, the MSCI Global Investable Market Indices methodology also kept many features of the original methodology, such as:</w:t>
      </w:r>
    </w:p>
    <w:p w:rsidR="007F20F8" w:rsidRDefault="007F20F8" w:rsidP="007F20F8">
      <w:pPr>
        <w:pStyle w:val="ListParagraph"/>
        <w:numPr>
          <w:ilvl w:val="0"/>
          <w:numId w:val="11"/>
        </w:numPr>
      </w:pPr>
      <w:r>
        <w:t>The use of a building block approach to permit the creation and calculation of meaningful composites</w:t>
      </w:r>
    </w:p>
    <w:p w:rsidR="007F20F8" w:rsidRDefault="007F20F8" w:rsidP="007F20F8">
      <w:pPr>
        <w:pStyle w:val="ListParagraph"/>
        <w:numPr>
          <w:ilvl w:val="0"/>
          <w:numId w:val="11"/>
        </w:numPr>
      </w:pPr>
      <w:r>
        <w:t>The creation of sector industry indices using the Global Industry Classification Standard (GICS)</w:t>
      </w:r>
    </w:p>
    <w:p w:rsidR="007F20F8" w:rsidRDefault="007F20F8" w:rsidP="007F20F8">
      <w:pPr>
        <w:pStyle w:val="ListParagraph"/>
        <w:numPr>
          <w:ilvl w:val="0"/>
          <w:numId w:val="11"/>
        </w:numPr>
      </w:pPr>
      <w:r>
        <w:t>The creation of value and growth indices using the current MSCI Value and Growth Methodology</w:t>
      </w:r>
    </w:p>
    <w:p w:rsidR="007F20F8" w:rsidRDefault="007F20F8" w:rsidP="007F20F8">
      <w:pPr>
        <w:pStyle w:val="ListParagraph"/>
        <w:numPr>
          <w:ilvl w:val="0"/>
          <w:numId w:val="11"/>
        </w:numPr>
      </w:pPr>
      <w:r>
        <w:t>Minimum free float requirements for eligible and free float- adjusted capitalization weighted to appropriately reflect the size of each investment opportunity and facilitate the replica ability of the indices</w:t>
      </w:r>
    </w:p>
    <w:p w:rsidR="007F20F8" w:rsidRDefault="007F20F8" w:rsidP="007F20F8">
      <w:pPr>
        <w:pStyle w:val="ListParagraph"/>
        <w:numPr>
          <w:ilvl w:val="0"/>
          <w:numId w:val="11"/>
        </w:numPr>
      </w:pPr>
      <w:r>
        <w:t>Timely and consistent treatment of corporate events and synchronized rebalancing, globally</w:t>
      </w:r>
    </w:p>
    <w:p w:rsidR="007F20F8" w:rsidRDefault="007F20F8" w:rsidP="007F20F8">
      <w:r>
        <w:t>In order to construct the MSCI Global Investable market indices the following steps should be taken:</w:t>
      </w:r>
    </w:p>
    <w:p w:rsidR="007F20F8" w:rsidRDefault="007F20F8" w:rsidP="007F20F8">
      <w:pPr>
        <w:pStyle w:val="ListParagraph"/>
        <w:numPr>
          <w:ilvl w:val="0"/>
          <w:numId w:val="14"/>
        </w:numPr>
      </w:pPr>
      <w:r>
        <w:t>Starting with defining the Equity Universe</w:t>
      </w:r>
    </w:p>
    <w:p w:rsidR="007F20F8" w:rsidRDefault="007F20F8" w:rsidP="007F20F8">
      <w:pPr>
        <w:pStyle w:val="ListParagraph"/>
        <w:numPr>
          <w:ilvl w:val="0"/>
          <w:numId w:val="14"/>
        </w:numPr>
      </w:pPr>
      <w:r>
        <w:t>Determining the market investable equity universe for each market</w:t>
      </w:r>
    </w:p>
    <w:p w:rsidR="007F20F8" w:rsidRDefault="007F20F8" w:rsidP="007F20F8">
      <w:pPr>
        <w:pStyle w:val="ListParagraph"/>
        <w:numPr>
          <w:ilvl w:val="0"/>
          <w:numId w:val="14"/>
        </w:numPr>
      </w:pPr>
      <w:r>
        <w:t>Determining market capitalization size segments for each market</w:t>
      </w:r>
    </w:p>
    <w:p w:rsidR="007F20F8" w:rsidRDefault="007F20F8" w:rsidP="007F20F8">
      <w:pPr>
        <w:pStyle w:val="ListParagraph"/>
        <w:numPr>
          <w:ilvl w:val="0"/>
          <w:numId w:val="14"/>
        </w:numPr>
      </w:pPr>
      <w:r>
        <w:t>Applying index continuity rules for the standard index</w:t>
      </w:r>
    </w:p>
    <w:p w:rsidR="007F20F8" w:rsidRDefault="007F20F8" w:rsidP="007F20F8">
      <w:pPr>
        <w:pStyle w:val="ListParagraph"/>
        <w:numPr>
          <w:ilvl w:val="0"/>
          <w:numId w:val="14"/>
        </w:numPr>
      </w:pPr>
      <w:r>
        <w:t>Creating style segments within each market</w:t>
      </w:r>
    </w:p>
    <w:p w:rsidR="007F20F8" w:rsidRDefault="007F20F8" w:rsidP="007F20F8">
      <w:pPr>
        <w:pStyle w:val="ListParagraph"/>
        <w:numPr>
          <w:ilvl w:val="0"/>
          <w:numId w:val="14"/>
        </w:numPr>
      </w:pPr>
      <w:r>
        <w:t>Classifying securities under the global Industry Classification Standard (GICS)</w:t>
      </w:r>
    </w:p>
    <w:p w:rsidR="007F20F8" w:rsidRDefault="007F20F8" w:rsidP="007F20F8">
      <w:r>
        <w:t>The investability screens that the MSCI uses several requirements in order to determine their investable equity universe in each market. The screenings that happen on a security level are:</w:t>
      </w:r>
    </w:p>
    <w:p w:rsidR="007F20F8" w:rsidRDefault="007F20F8" w:rsidP="007F20F8">
      <w:pPr>
        <w:pStyle w:val="ListParagraph"/>
        <w:numPr>
          <w:ilvl w:val="0"/>
          <w:numId w:val="13"/>
        </w:numPr>
      </w:pPr>
      <w:r>
        <w:t>Equity universe minimum size requirement</w:t>
      </w:r>
    </w:p>
    <w:p w:rsidR="007F20F8" w:rsidRDefault="007F20F8" w:rsidP="007F20F8">
      <w:pPr>
        <w:pStyle w:val="ListParagraph"/>
        <w:numPr>
          <w:ilvl w:val="0"/>
          <w:numId w:val="13"/>
        </w:numPr>
      </w:pPr>
      <w:r>
        <w:t>Equity Universe minimum free float adjusted market capitalization requirement</w:t>
      </w:r>
    </w:p>
    <w:p w:rsidR="007F20F8" w:rsidRDefault="007F20F8" w:rsidP="007F20F8">
      <w:pPr>
        <w:pStyle w:val="ListParagraph"/>
        <w:numPr>
          <w:ilvl w:val="0"/>
          <w:numId w:val="13"/>
        </w:numPr>
      </w:pPr>
      <w:r>
        <w:t>Emerging markets minimum liquidity requirement</w:t>
      </w:r>
    </w:p>
    <w:p w:rsidR="007F20F8" w:rsidRDefault="007F20F8" w:rsidP="007F20F8">
      <w:pPr>
        <w:pStyle w:val="ListParagraph"/>
        <w:numPr>
          <w:ilvl w:val="0"/>
          <w:numId w:val="13"/>
        </w:numPr>
      </w:pPr>
      <w:r>
        <w:t>Global minimum Foreign Inclusion Factor requirement (FIF)</w:t>
      </w:r>
    </w:p>
    <w:p w:rsidR="007F20F8" w:rsidRDefault="007F20F8" w:rsidP="007F20F8">
      <w:pPr>
        <w:pStyle w:val="ListParagraph"/>
        <w:numPr>
          <w:ilvl w:val="0"/>
          <w:numId w:val="13"/>
        </w:numPr>
      </w:pPr>
      <w:r>
        <w:t>Minimum length of trading requirement</w:t>
      </w:r>
    </w:p>
    <w:p w:rsidR="007F20F8" w:rsidRDefault="007F20F8" w:rsidP="007F20F8">
      <w:r>
        <w:t>Please revert to the appendix for detailed information on requirements in order to determine the investable equity universe.</w:t>
      </w:r>
    </w:p>
    <w:p w:rsidR="007F20F8" w:rsidRDefault="007F20F8" w:rsidP="007F20F8">
      <w:pPr>
        <w:pStyle w:val="Heading3"/>
      </w:pPr>
      <w:r>
        <w:t>Rebalancing</w:t>
      </w:r>
    </w:p>
    <w:p w:rsidR="007F20F8" w:rsidRDefault="007F20F8" w:rsidP="007F20F8">
      <w:r>
        <w:t>Rebalancing refers to the weights of the constituent securities in the index. To maintain the weight of each security consistent with the index weighting method, the index provider rebalances the index by adjusting the weights of the constituent securities on a regularly scheduled basis. Rebalanc</w:t>
      </w:r>
      <w:r w:rsidR="00ED46E2">
        <w:t>ing dates are usually on a quarterly base.</w:t>
      </w:r>
      <w:r>
        <w:t xml:space="preserve"> Rebalancing is necessary because the weights of the constituent securities change as their market price change.</w:t>
      </w:r>
    </w:p>
    <w:p w:rsidR="007F20F8" w:rsidRDefault="007F20F8" w:rsidP="007F20F8">
      <w:pPr>
        <w:pStyle w:val="Heading3"/>
      </w:pPr>
      <w:r>
        <w:t>Reconstitution</w:t>
      </w:r>
    </w:p>
    <w:p w:rsidR="007F20F8" w:rsidRDefault="007F20F8" w:rsidP="007F20F8">
      <w:r>
        <w:t>Is the process of changing the constituent securities in an index. And is similar to a portfolio manager deciding to change the securities in his or her portfolio. Reconstitution is part of the rebalancing cycle. The reconstitution date is the date that index providers review the constituent securities and reapply the initial criteria for inclusion in the index and select which securities to add, remove or retain. If constituent securities no longer meet certain criteria, they will be replaced with securities that do meet these criteria. Once the revised list of constituent securities is determined, the weighting method is reapplied. Indices are reconstituted to reflect changes in the target market (bankruptcies, de-listings, mergers, acquisitions, etc.) and or to reflect the judgment of the selection committee.</w:t>
      </w:r>
    </w:p>
    <w:p w:rsidR="007F20F8" w:rsidRDefault="007F20F8" w:rsidP="007F20F8">
      <w:r>
        <w:t xml:space="preserve">Reconstitution creates turnover in a number of different ways, particularly for market capitalization weighting indices. When one security is removed and another one is added, the index provider has to change the weights of the other securities, in order to maintain the market capitalization weighting of the index. The frequency of reconstitution is a major issue for the widely used indices and their constituent securities. </w:t>
      </w:r>
    </w:p>
    <w:p w:rsidR="007F20F8" w:rsidRDefault="007F20F8" w:rsidP="007F20F8">
      <w:pPr>
        <w:pStyle w:val="Heading3"/>
      </w:pPr>
      <w:r>
        <w:t>Maintaining the MSCI</w:t>
      </w:r>
    </w:p>
    <w:p w:rsidR="007F20F8" w:rsidRDefault="007F20F8" w:rsidP="007F20F8">
      <w:r>
        <w:t>The MSCI global investable Market indices are maintained with the objective of reflecting the evolution underlying equity markets and segments on a timely basis, where they are seeking to achieve index continuity, continues investability of constituents and replicability of the indices and index stability with low turn over.</w:t>
      </w:r>
    </w:p>
    <w:p w:rsidR="007F20F8" w:rsidRDefault="007F20F8" w:rsidP="007F20F8">
      <w:r>
        <w:t xml:space="preserve">Important for </w:t>
      </w:r>
      <w:r w:rsidR="00ED46E2">
        <w:t>this study</w:t>
      </w:r>
      <w:r>
        <w:t xml:space="preserve"> is the maintenance that involves the </w:t>
      </w:r>
      <w:r w:rsidR="00ED46E2">
        <w:t xml:space="preserve">quarterly index reviews (QIRs) and </w:t>
      </w:r>
      <w:r>
        <w:t>semi-annual index reviews (SAIRs)</w:t>
      </w:r>
      <w:r w:rsidR="00ED46E2">
        <w:t>.</w:t>
      </w:r>
      <w:r w:rsidR="00EE1204">
        <w:t xml:space="preserve"> </w:t>
      </w:r>
      <w:r>
        <w:t xml:space="preserve">These reviews are the moments of which </w:t>
      </w:r>
      <w:r w:rsidR="00ED46E2">
        <w:t xml:space="preserve">the data is </w:t>
      </w:r>
      <w:r>
        <w:t xml:space="preserve">gathered </w:t>
      </w:r>
      <w:r w:rsidR="00ED46E2">
        <w:t>for this</w:t>
      </w:r>
      <w:r>
        <w:t xml:space="preserve"> research. </w:t>
      </w:r>
    </w:p>
    <w:p w:rsidR="007F20F8" w:rsidRDefault="007F20F8" w:rsidP="007F20F8">
      <w:r>
        <w:t xml:space="preserve">During the semi annual reviews which happen in May and November, the MSCI EM index updates on the basis of a fully refreshed equity universe. The index maker takes multiple factors into account, naming for example: buffer rules that are taken into consideration for migration of securities across size and style segments. Updating Foreign Inclusion Factors (FIF) and the number of shares (NOS). </w:t>
      </w:r>
    </w:p>
    <w:p w:rsidR="007F20F8" w:rsidRDefault="007F20F8" w:rsidP="007F20F8">
      <w:r>
        <w:t>The Quarterly index reviews are in February and August of each year. During the quarterly reviews smaller changes are made during the review, for example such as IPO’s that enter, since they were not available for an earlier inclusion. Also companies within the size-segments indices use wider buffers than in the SAIR. And reflect the impact of significant market events on FIFs and updating NOS.</w:t>
      </w:r>
    </w:p>
    <w:p w:rsidR="00045BB6" w:rsidRDefault="00045BB6" w:rsidP="00512E4C"/>
    <w:p w:rsidR="00513E7A" w:rsidRDefault="00513E7A" w:rsidP="00997E77">
      <w:pPr>
        <w:pStyle w:val="Heading2"/>
      </w:pPr>
      <w:bookmarkStart w:id="9" w:name="_Toc214519185"/>
      <w:r>
        <w:t>Overview of QIR and SAIR</w:t>
      </w:r>
      <w:bookmarkEnd w:id="9"/>
      <w:r>
        <w:t xml:space="preserve"> </w:t>
      </w:r>
    </w:p>
    <w:p w:rsidR="00AB008B" w:rsidRPr="00041EB3" w:rsidRDefault="00AB008B" w:rsidP="00AB008B">
      <w:pPr>
        <w:pStyle w:val="Heading3"/>
      </w:pPr>
      <w:r w:rsidRPr="00041EB3">
        <w:t xml:space="preserve">MSCI </w:t>
      </w:r>
      <w:r>
        <w:t>index reviews and a</w:t>
      </w:r>
      <w:r w:rsidRPr="00041EB3">
        <w:t>nnouncements</w:t>
      </w:r>
    </w:p>
    <w:p w:rsidR="00AB008B" w:rsidRDefault="00AB008B" w:rsidP="00AB008B">
      <w:r>
        <w:t>The MSCI Barra website publishes the Quarterly Index Reviews (QIRs) and Semi-annual index reviews (SAIRs) and that this paper will focus on. For this paper the MSCI Global standard Indices data was used. Because MSCI EM is part of this Category within the MSCI</w:t>
      </w:r>
      <w:r w:rsidR="00C95F44">
        <w:t xml:space="preserve"> Global investable</w:t>
      </w:r>
      <w:r>
        <w:t>.</w:t>
      </w:r>
    </w:p>
    <w:p w:rsidR="00AB008B" w:rsidRDefault="00AB008B" w:rsidP="00AB008B">
      <w:r>
        <w:t xml:space="preserve">The objective </w:t>
      </w:r>
      <w:r w:rsidR="00735890">
        <w:t>of QIRs</w:t>
      </w:r>
      <w:r>
        <w:t xml:space="preserve"> and SAIRs is to systematically reassess the various dimensions of the equity universe for all markets on a fixed </w:t>
      </w:r>
      <w:r w:rsidR="00735890">
        <w:t>quarterly and</w:t>
      </w:r>
      <w:r>
        <w:t xml:space="preserve"> semi-annual timetable. Whether it is a quarterly or a semi-annual review will determine which rules for updating will be taken into account and which reclassifications will take place.</w:t>
      </w:r>
    </w:p>
    <w:p w:rsidR="00AB008B" w:rsidRDefault="00AB008B" w:rsidP="00AB008B">
      <w:r>
        <w:t>In order to understand why the MSCI implement these changes and their methodology, an elaboration will follow.</w:t>
      </w:r>
    </w:p>
    <w:p w:rsidR="007B18B0" w:rsidRDefault="00AB008B" w:rsidP="00AB008B">
      <w:r>
        <w:t>The MSCI Barra announces the QIR in March and August and the SAIR in May and November.</w:t>
      </w:r>
      <w:r w:rsidR="00EE1204">
        <w:t xml:space="preserve"> </w:t>
      </w:r>
      <w:r>
        <w:t>The QIR contains changes on stock level and the semi-annual index reviews are broader and also contains country reviews. This study will focus on the stock additions and deletions from quarterly and semi-annual reviews during the period</w:t>
      </w:r>
      <w:r w:rsidR="007B18B0" w:rsidRPr="007B18B0">
        <w:rPr>
          <w:lang w:val="en-GB"/>
        </w:rPr>
        <w:t xml:space="preserve"> </w:t>
      </w:r>
      <w:r w:rsidR="007B18B0">
        <w:rPr>
          <w:lang w:val="en-GB"/>
        </w:rPr>
        <w:t>January 2004 until December 2010</w:t>
      </w:r>
      <w:r>
        <w:t xml:space="preserve">. </w:t>
      </w:r>
    </w:p>
    <w:p w:rsidR="007B18B0" w:rsidRPr="00247D66" w:rsidRDefault="007B18B0" w:rsidP="007B18B0">
      <w:pPr>
        <w:rPr>
          <w:lang w:val="en-GB"/>
        </w:rPr>
      </w:pPr>
      <w:r>
        <w:rPr>
          <w:lang w:val="en-GB"/>
        </w:rPr>
        <w:t>To get an impression of the number of QIR and SAIR for the research period, a chart is made showing the MSCI Emerging markets index movements and all Quarterly and Semi-annually index reviews in this period.</w:t>
      </w:r>
    </w:p>
    <w:p w:rsidR="007B18B0" w:rsidRDefault="003D440E" w:rsidP="007B18B0">
      <w:pPr>
        <w:rPr>
          <w:sz w:val="16"/>
          <w:szCs w:val="16"/>
        </w:rPr>
      </w:pPr>
      <w:r>
        <w:fldChar w:fldCharType="begin"/>
      </w:r>
      <w:r>
        <w:instrText xml:space="preserve"> LINK Excel.Sheet.8 "Macintosh HD:Users:merilinsimons:Scriptie:goedgekeurde resultaten:index grafieken:MSCI EM TOTAL RETURN QIRSAIR2004_2010.xlsx!INDEXED!R1C2:R22C11" "" \a \p </w:instrText>
      </w:r>
      <w:r>
        <w:fldChar w:fldCharType="separate"/>
      </w:r>
      <w:r>
        <w:object w:dxaOrig="17400" w:dyaOrig="4940">
          <v:shape id="_x0000_i1032" type="#_x0000_t75" style="width:476.6pt;height:137pt">
            <v:imagedata r:id="rId20" o:title=""/>
          </v:shape>
        </w:object>
      </w:r>
      <w:r>
        <w:fldChar w:fldCharType="end"/>
      </w:r>
      <w:r w:rsidR="007B18B0" w:rsidRPr="009555B5">
        <w:rPr>
          <w:sz w:val="16"/>
          <w:szCs w:val="16"/>
        </w:rPr>
        <w:t>source:</w:t>
      </w:r>
      <w:r w:rsidR="006200C7">
        <w:rPr>
          <w:sz w:val="16"/>
          <w:szCs w:val="16"/>
        </w:rPr>
        <w:t xml:space="preserve"> Factset and MSCI Global/</w:t>
      </w:r>
      <w:r w:rsidR="007B18B0" w:rsidRPr="009555B5">
        <w:rPr>
          <w:sz w:val="16"/>
          <w:szCs w:val="16"/>
        </w:rPr>
        <w:t xml:space="preserve"> MSCI EM TOTAL RETURN QIRSAIR2004_2010</w:t>
      </w:r>
    </w:p>
    <w:p w:rsidR="00AB008B" w:rsidRDefault="00AB008B" w:rsidP="00AB008B">
      <w:r>
        <w:t>Before the actual implementation of the changes in the index, The MSCI has two moments of announcing that changes will follow and will be implemented in de index. It is not certain which changes will be implemented, until shortly after the second announcement day, that usually happens ten days after the first announcement day. So in order to get the days right, the return data selections starts 20 day before implementation day and ends 20 days after the implementation day.</w:t>
      </w:r>
    </w:p>
    <w:p w:rsidR="00B82F53" w:rsidRDefault="00AB008B" w:rsidP="00AB008B">
      <w:r>
        <w:t>This data is considered to be public information because shortly after the MSCI announcement, this data is also distributed to and published Reuters and Bloomberg sites.</w:t>
      </w:r>
      <w:r w:rsidR="00E01C94">
        <w:t xml:space="preserve"> The nex</w:t>
      </w:r>
      <w:r w:rsidR="00D86594">
        <w:t>t table shows an overview of exact dates on all</w:t>
      </w:r>
      <w:r w:rsidR="00E01C94">
        <w:t xml:space="preserve"> QIR and SAIR </w:t>
      </w:r>
      <w:r w:rsidR="00D86594">
        <w:t>from 2004 till 2010 that is</w:t>
      </w:r>
      <w:r w:rsidR="00E01C94">
        <w:t xml:space="preserve"> used for this study. Of each event the number of </w:t>
      </w:r>
      <w:r w:rsidR="00D86594">
        <w:t>additions</w:t>
      </w:r>
      <w:r w:rsidR="00E01C94">
        <w:t xml:space="preserve"> and deletions is displayed.</w:t>
      </w:r>
    </w:p>
    <w:p w:rsidR="00686042" w:rsidRDefault="00686042">
      <w:pPr>
        <w:rPr>
          <w:b/>
        </w:rPr>
      </w:pPr>
      <w:r>
        <w:rPr>
          <w:b/>
        </w:rPr>
        <w:br w:type="page"/>
      </w:r>
    </w:p>
    <w:p w:rsidR="00AB008B" w:rsidRPr="00D86594" w:rsidRDefault="00D86594" w:rsidP="00AB008B">
      <w:pPr>
        <w:rPr>
          <w:b/>
        </w:rPr>
      </w:pPr>
      <w:r w:rsidRPr="00D86594">
        <w:rPr>
          <w:b/>
        </w:rPr>
        <w:t>Table 3.3.1</w:t>
      </w:r>
    </w:p>
    <w:p w:rsidR="003D2FFD" w:rsidRDefault="003D440E" w:rsidP="003D2FFD">
      <w:pPr>
        <w:ind w:left="360"/>
      </w:pPr>
      <w:r>
        <w:fldChar w:fldCharType="begin"/>
      </w:r>
      <w:r>
        <w:instrText xml:space="preserve"> LINK Excel.Sheet.8 "Macintosh HD:Users:merilinsimons:Scriptie:goedgekeurde resultaten:indexReview table20120818_new.xlsx!overview!R6C6:R38C12" "" \a \p </w:instrText>
      </w:r>
      <w:r>
        <w:fldChar w:fldCharType="separate"/>
      </w:r>
      <w:r>
        <w:object w:dxaOrig="12960" w:dyaOrig="10760">
          <v:shape id="_x0000_i1033" type="#_x0000_t75" style="width:397.05pt;height:300.35pt">
            <v:imagedata r:id="rId21" o:title=""/>
          </v:shape>
        </w:object>
      </w:r>
      <w:r>
        <w:fldChar w:fldCharType="end"/>
      </w:r>
    </w:p>
    <w:p w:rsidR="00D86594" w:rsidRDefault="003D167C" w:rsidP="00D86594">
      <w:pPr>
        <w:ind w:left="360"/>
      </w:pPr>
      <w:r w:rsidRPr="0095476D">
        <w:rPr>
          <w:sz w:val="16"/>
          <w:szCs w:val="16"/>
        </w:rPr>
        <w:t>source:indexreviewtable20120818_new.xlsx//dataanalysisofficial20120218.xlsx</w:t>
      </w:r>
    </w:p>
    <w:p w:rsidR="00D86594" w:rsidRDefault="00D86594" w:rsidP="00D86594">
      <w:r>
        <w:t>The table shows an overview of the exact dates on</w:t>
      </w:r>
    </w:p>
    <w:p w:rsidR="00D86594" w:rsidRDefault="00D86594" w:rsidP="00D86594">
      <w:pPr>
        <w:pStyle w:val="ListParagraph"/>
        <w:numPr>
          <w:ilvl w:val="0"/>
          <w:numId w:val="24"/>
        </w:numPr>
      </w:pPr>
      <w:r>
        <w:t>Announcement day t-20 (Period before implementation)</w:t>
      </w:r>
    </w:p>
    <w:p w:rsidR="00D86594" w:rsidRDefault="00D86594" w:rsidP="00D86594">
      <w:pPr>
        <w:pStyle w:val="ListParagraph"/>
        <w:numPr>
          <w:ilvl w:val="0"/>
          <w:numId w:val="24"/>
        </w:numPr>
      </w:pPr>
      <w:r>
        <w:t>Second Announcement day t-10 (Announcement day)</w:t>
      </w:r>
    </w:p>
    <w:p w:rsidR="00D86594" w:rsidRDefault="00D86594" w:rsidP="00D86594">
      <w:pPr>
        <w:pStyle w:val="ListParagraph"/>
        <w:numPr>
          <w:ilvl w:val="0"/>
          <w:numId w:val="24"/>
        </w:numPr>
      </w:pPr>
      <w:r>
        <w:t>The Implementation day t-1 (MSCI Implementation day)</w:t>
      </w:r>
    </w:p>
    <w:p w:rsidR="00D86594" w:rsidRDefault="00D86594" w:rsidP="00D86594">
      <w:pPr>
        <w:pStyle w:val="ListParagraph"/>
        <w:numPr>
          <w:ilvl w:val="0"/>
          <w:numId w:val="24"/>
        </w:numPr>
      </w:pPr>
      <w:r>
        <w:t>First trading day after implementation t=0</w:t>
      </w:r>
    </w:p>
    <w:p w:rsidR="00D86594" w:rsidRDefault="00C06CCA" w:rsidP="00D86594">
      <w:r>
        <w:t>Ad1.</w:t>
      </w:r>
      <w:r w:rsidR="00D86594">
        <w:t>The announcement usually takes place in the first week of February, May, August and November of each year.</w:t>
      </w:r>
    </w:p>
    <w:p w:rsidR="00C06CCA" w:rsidRDefault="00C06CCA" w:rsidP="00D86594">
      <w:r>
        <w:t xml:space="preserve">Ad2. </w:t>
      </w:r>
      <w:r w:rsidR="00D86594">
        <w:t xml:space="preserve">In the second week, usually 5 working days after the pre-announcement, MSCI BARRA posts the index review announcement list of additions and deletions after 11:00pm CET on their website, mentioning how many securities will be added or deleted. Shortly thereafter a summary of the announcement will be made available on Bloomberg and Reuters. This announcement also mentions the date as of which the implementations will take place. </w:t>
      </w:r>
    </w:p>
    <w:p w:rsidR="0038090A" w:rsidRDefault="00C06CCA" w:rsidP="00D86594">
      <w:r>
        <w:t xml:space="preserve">Ad3. </w:t>
      </w:r>
      <w:r w:rsidR="0038090A">
        <w:t>D</w:t>
      </w:r>
      <w:r w:rsidR="00D86594">
        <w:t xml:space="preserve">ay “t=-1” is </w:t>
      </w:r>
      <w:r w:rsidR="0038090A">
        <w:t xml:space="preserve">after the close of the market (at 11pm CET), the night </w:t>
      </w:r>
      <w:r w:rsidR="00D86594">
        <w:t>before the implementation of the index changes</w:t>
      </w:r>
      <w:r w:rsidR="0038090A">
        <w:t xml:space="preserve"> occur</w:t>
      </w:r>
      <w:r w:rsidR="00D86594">
        <w:t xml:space="preserve">. </w:t>
      </w:r>
    </w:p>
    <w:p w:rsidR="00C06CCA" w:rsidRDefault="0038090A" w:rsidP="00D86594">
      <w:r>
        <w:t>Ad4. Day “t=0” is the first trading day after the changes have become effective.</w:t>
      </w:r>
      <w:r w:rsidR="00D86594">
        <w:t xml:space="preserve"> </w:t>
      </w:r>
    </w:p>
    <w:p w:rsidR="00D86594" w:rsidRDefault="00D86594" w:rsidP="003D2FFD">
      <w:pPr>
        <w:sectPr w:rsidR="00D86594" w:rsidSect="003D01B3">
          <w:pgSz w:w="11900" w:h="16840"/>
          <w:pgMar w:top="1440" w:right="1800" w:bottom="1440" w:left="1800" w:header="708" w:footer="708" w:gutter="0"/>
          <w:cols w:space="708"/>
          <w:titlePg/>
          <w:docGrid w:linePitch="360"/>
        </w:sectPr>
      </w:pPr>
    </w:p>
    <w:p w:rsidR="00B15754" w:rsidRPr="00A97FE2" w:rsidRDefault="00B15754" w:rsidP="00B15754">
      <w:pPr>
        <w:pStyle w:val="Heading3"/>
      </w:pPr>
      <w:r w:rsidRPr="00A97FE2">
        <w:t>Data event window</w:t>
      </w:r>
      <w:r w:rsidR="0038090A">
        <w:t xml:space="preserve"> for this study</w:t>
      </w:r>
    </w:p>
    <w:p w:rsidR="003D2FFD" w:rsidRDefault="002F0025" w:rsidP="003D2FFD">
      <w:r>
        <w:t xml:space="preserve">For </w:t>
      </w:r>
      <w:r w:rsidR="00F317D9">
        <w:t xml:space="preserve">this study </w:t>
      </w:r>
      <w:r>
        <w:t xml:space="preserve">the </w:t>
      </w:r>
      <w:r w:rsidR="00F317D9">
        <w:t>following six</w:t>
      </w:r>
      <w:r>
        <w:t xml:space="preserve"> </w:t>
      </w:r>
      <w:r w:rsidR="0038090A">
        <w:t xml:space="preserve">event windows </w:t>
      </w:r>
      <w:r>
        <w:t>wi</w:t>
      </w:r>
      <w:r w:rsidR="0038090A">
        <w:t>ll</w:t>
      </w:r>
      <w:r w:rsidR="00F317D9">
        <w:t xml:space="preserve"> be</w:t>
      </w:r>
      <w:r w:rsidR="0038090A">
        <w:t xml:space="preserve"> </w:t>
      </w:r>
      <w:r w:rsidR="00F317D9">
        <w:t>taken into account</w:t>
      </w:r>
      <w:r>
        <w:t xml:space="preserve">, </w:t>
      </w:r>
      <w:r w:rsidR="00F317D9">
        <w:t>as</w:t>
      </w:r>
      <w:r>
        <w:t xml:space="preserve"> displayed</w:t>
      </w:r>
      <w:r w:rsidR="003D2FFD">
        <w:t xml:space="preserve"> in the timeline event window chart. These event</w:t>
      </w:r>
      <w:r>
        <w:t xml:space="preserve"> windows</w:t>
      </w:r>
      <w:r w:rsidR="003D2FFD">
        <w:t xml:space="preserve"> are:</w:t>
      </w:r>
    </w:p>
    <w:p w:rsidR="003D2FFD" w:rsidRDefault="002F0025" w:rsidP="003D2FFD">
      <w:pPr>
        <w:pStyle w:val="ListParagraph"/>
        <w:numPr>
          <w:ilvl w:val="0"/>
          <w:numId w:val="7"/>
        </w:numPr>
      </w:pPr>
      <w:r>
        <w:t>B</w:t>
      </w:r>
      <w:r w:rsidR="003D2FFD">
        <w:t xml:space="preserve">efore </w:t>
      </w:r>
      <w:r>
        <w:t xml:space="preserve">inclusion </w:t>
      </w:r>
      <w:r w:rsidR="0029186B">
        <w:t xml:space="preserve">(exclusion) </w:t>
      </w:r>
      <w:r>
        <w:t>window (t-20, t=-1):</w:t>
      </w:r>
      <w:r w:rsidR="003D2FFD">
        <w:t xml:space="preserve"> </w:t>
      </w:r>
      <w:r>
        <w:t>stands for</w:t>
      </w:r>
      <w:r w:rsidR="007B695E">
        <w:t xml:space="preserve"> </w:t>
      </w:r>
      <w:r w:rsidR="0029186B">
        <w:t xml:space="preserve">before </w:t>
      </w:r>
      <w:r w:rsidR="007B695E">
        <w:t xml:space="preserve">announcement day </w:t>
      </w:r>
      <w:r w:rsidR="0029186B">
        <w:t xml:space="preserve">until one day before </w:t>
      </w:r>
      <w:r w:rsidR="003D2FFD">
        <w:t>the</w:t>
      </w:r>
      <w:r w:rsidR="00966539">
        <w:t xml:space="preserve"> index review changes</w:t>
      </w:r>
      <w:r w:rsidR="0029186B">
        <w:t xml:space="preserve"> are implemented</w:t>
      </w:r>
      <w:r w:rsidR="00096CB7">
        <w:t xml:space="preserve">. </w:t>
      </w:r>
    </w:p>
    <w:p w:rsidR="002F0025" w:rsidRDefault="002F0025" w:rsidP="003D2FFD">
      <w:pPr>
        <w:pStyle w:val="ListParagraph"/>
        <w:numPr>
          <w:ilvl w:val="0"/>
          <w:numId w:val="7"/>
        </w:numPr>
      </w:pPr>
      <w:r>
        <w:t>Run up window</w:t>
      </w:r>
      <w:r w:rsidR="00EE1204">
        <w:t xml:space="preserve"> </w:t>
      </w:r>
      <w:r>
        <w:t>( t-10,t-1):</w:t>
      </w:r>
      <w:r w:rsidR="00EE1204">
        <w:t xml:space="preserve"> </w:t>
      </w:r>
      <w:r>
        <w:t>Stands for the period after the announcement but before the inclusion or</w:t>
      </w:r>
      <w:r w:rsidR="00F317D9">
        <w:t xml:space="preserve"> exclusion from the index</w:t>
      </w:r>
    </w:p>
    <w:p w:rsidR="00F317D9" w:rsidRDefault="00F317D9" w:rsidP="003D2FFD">
      <w:pPr>
        <w:pStyle w:val="ListParagraph"/>
        <w:numPr>
          <w:ilvl w:val="0"/>
          <w:numId w:val="7"/>
        </w:numPr>
      </w:pPr>
      <w:r>
        <w:t xml:space="preserve">Day before implementation in the index (t-1): Changes not yet effective </w:t>
      </w:r>
    </w:p>
    <w:p w:rsidR="00F317D9" w:rsidRDefault="00F317D9" w:rsidP="003D2FFD">
      <w:pPr>
        <w:pStyle w:val="ListParagraph"/>
        <w:numPr>
          <w:ilvl w:val="0"/>
          <w:numId w:val="7"/>
        </w:numPr>
      </w:pPr>
      <w:r>
        <w:t xml:space="preserve">Day of implementation into the index (t=0) : First day that changes have </w:t>
      </w:r>
      <w:r w:rsidR="006200C7">
        <w:t>become</w:t>
      </w:r>
      <w:r>
        <w:t xml:space="preserve"> effective </w:t>
      </w:r>
    </w:p>
    <w:p w:rsidR="00F317D9" w:rsidRDefault="00F317D9" w:rsidP="003D2FFD">
      <w:pPr>
        <w:pStyle w:val="ListParagraph"/>
        <w:numPr>
          <w:ilvl w:val="0"/>
          <w:numId w:val="7"/>
        </w:numPr>
      </w:pPr>
      <w:r>
        <w:t>Price reversal window (t=0, t+20): Period of twenty days after the index change has taken place.</w:t>
      </w:r>
    </w:p>
    <w:p w:rsidR="00696BC5" w:rsidRDefault="00F317D9" w:rsidP="00B81403">
      <w:pPr>
        <w:pStyle w:val="ListParagraph"/>
        <w:numPr>
          <w:ilvl w:val="0"/>
          <w:numId w:val="7"/>
        </w:numPr>
      </w:pPr>
      <w:r>
        <w:t>Complete period (t-20, t+20): The complete period starting before the announcements had taken place until</w:t>
      </w:r>
      <w:r w:rsidR="00EE1204">
        <w:t xml:space="preserve"> </w:t>
      </w:r>
      <w:r>
        <w:t xml:space="preserve">twenty days after the changes have taken place. </w:t>
      </w:r>
    </w:p>
    <w:p w:rsidR="00696BC5" w:rsidRDefault="00696BC5" w:rsidP="00696BC5">
      <w:pPr>
        <w:pStyle w:val="ListParagraph"/>
      </w:pPr>
    </w:p>
    <w:p w:rsidR="003D2FFD" w:rsidRPr="006200C7" w:rsidRDefault="003D440E" w:rsidP="00696BC5">
      <w:pPr>
        <w:rPr>
          <w:sz w:val="16"/>
          <w:szCs w:val="16"/>
        </w:rPr>
      </w:pPr>
      <w:r>
        <w:rPr>
          <w:sz w:val="16"/>
          <w:szCs w:val="16"/>
        </w:rPr>
        <w:fldChar w:fldCharType="begin"/>
      </w:r>
      <w:r>
        <w:rPr>
          <w:sz w:val="16"/>
          <w:szCs w:val="16"/>
        </w:rPr>
        <w:instrText xml:space="preserve"> LINK Excel.Sheet.8 "Macintosh HD:Users:merilinsimons:Scriptie:goedgekeurde resultaten:Timeline Event Window20120811.xlsx!Sheet1!R5C2:R17C15" "" \a \p </w:instrText>
      </w:r>
      <w:r>
        <w:rPr>
          <w:sz w:val="16"/>
          <w:szCs w:val="16"/>
        </w:rPr>
        <w:fldChar w:fldCharType="separate"/>
      </w:r>
      <w:r w:rsidRPr="003D440E">
        <w:rPr>
          <w:sz w:val="16"/>
          <w:szCs w:val="16"/>
        </w:rPr>
        <w:object w:dxaOrig="13500" w:dyaOrig="3520">
          <v:shape id="_x0000_i1034" type="#_x0000_t75" style="width:440.6pt;height:115pt">
            <v:imagedata r:id="rId22" o:title=""/>
          </v:shape>
        </w:object>
      </w:r>
      <w:r>
        <w:rPr>
          <w:sz w:val="16"/>
          <w:szCs w:val="16"/>
        </w:rPr>
        <w:fldChar w:fldCharType="end"/>
      </w:r>
      <w:r w:rsidR="003D2FFD" w:rsidRPr="00696BC5">
        <w:rPr>
          <w:sz w:val="16"/>
          <w:szCs w:val="16"/>
        </w:rPr>
        <w:t>Source: Timeline Event Window20120811.xlsx</w:t>
      </w:r>
    </w:p>
    <w:p w:rsidR="00B81403" w:rsidRDefault="00B81403" w:rsidP="00B81403">
      <w:r>
        <w:t>For the calculations on the beta change, the before inclusion window (number 1) and price reversal window (number 5) were used.</w:t>
      </w:r>
    </w:p>
    <w:p w:rsidR="0057266D" w:rsidRPr="00041EB3" w:rsidRDefault="0057266D" w:rsidP="0057266D">
      <w:pPr>
        <w:pStyle w:val="Heading3"/>
      </w:pPr>
      <w:r w:rsidRPr="00041EB3">
        <w:t>Comparison with index data</w:t>
      </w:r>
    </w:p>
    <w:p w:rsidR="0057266D" w:rsidRDefault="0057266D" w:rsidP="0057266D">
      <w:r>
        <w:t xml:space="preserve"> For the MSCI EM Index and the d</w:t>
      </w:r>
      <w:r w:rsidR="00D86594">
        <w:t>ifferent MSCI and HSBC country indices,</w:t>
      </w:r>
      <w:r>
        <w:t xml:space="preserve"> a daily total return overview data set collection with 20 days before and 20 day after the implementation day of the changes in the index is selected</w:t>
      </w:r>
      <w:r w:rsidR="00D86594">
        <w:t xml:space="preserve">. </w:t>
      </w:r>
      <w:r>
        <w:t>This data will be compared with the daily total returns of the companies</w:t>
      </w:r>
      <w:r w:rsidR="00D86594">
        <w:t>, in order to</w:t>
      </w:r>
      <w:r w:rsidR="00EE1204">
        <w:t xml:space="preserve"> </w:t>
      </w:r>
      <w:r w:rsidR="00D86594">
        <w:t>calculate</w:t>
      </w:r>
      <w:r w:rsidR="00EE1204">
        <w:t xml:space="preserve"> </w:t>
      </w:r>
      <w:r w:rsidR="00D86594">
        <w:t>the abnormal r</w:t>
      </w:r>
      <w:r>
        <w:t xml:space="preserve">eturns (AR) and </w:t>
      </w:r>
      <w:r w:rsidR="00D86594">
        <w:t>c</w:t>
      </w:r>
      <w:r>
        <w:t>umulative abnormal returns (CAR).</w:t>
      </w:r>
    </w:p>
    <w:p w:rsidR="00686042" w:rsidRDefault="00686042">
      <w:r>
        <w:br w:type="page"/>
      </w:r>
    </w:p>
    <w:p w:rsidR="00513E7A" w:rsidRDefault="00AB4B29" w:rsidP="00997E77">
      <w:pPr>
        <w:pStyle w:val="Heading2"/>
      </w:pPr>
      <w:bookmarkStart w:id="10" w:name="_Toc214519186"/>
      <w:r>
        <w:t>Sample</w:t>
      </w:r>
      <w:bookmarkEnd w:id="10"/>
    </w:p>
    <w:p w:rsidR="003C73A7" w:rsidRDefault="0066331D" w:rsidP="00513E7A">
      <w:r>
        <w:t xml:space="preserve">The </w:t>
      </w:r>
      <w:r w:rsidR="007B695E">
        <w:t xml:space="preserve">breakdown of </w:t>
      </w:r>
      <w:r>
        <w:t xml:space="preserve">raw data </w:t>
      </w:r>
      <w:r w:rsidR="0042142F">
        <w:t>set containing</w:t>
      </w:r>
      <w:r w:rsidR="00CF56C4">
        <w:t xml:space="preserve"> all additions and deletions for all countries of the MSCI Emerging Markets</w:t>
      </w:r>
      <w:r w:rsidR="00EE1204">
        <w:t xml:space="preserve"> </w:t>
      </w:r>
      <w:r w:rsidR="00CF56C4">
        <w:t>were in total 136</w:t>
      </w:r>
      <w:r w:rsidR="003C73A7">
        <w:t>3, and have been split up as follows:</w:t>
      </w:r>
    </w:p>
    <w:p w:rsidR="00157C0A" w:rsidRDefault="003D440E" w:rsidP="009D1C61">
      <w:r>
        <w:fldChar w:fldCharType="begin"/>
      </w:r>
      <w:r>
        <w:instrText xml:space="preserve"> LINK Excel.Sheet.8 "Macintosh HD:Users:merilinsimons:Scriptie:goedgekeurde resultaten:indexReview table20120818_new.xlsx!overview!R10C43:R16C47" "" \a \p </w:instrText>
      </w:r>
      <w:r>
        <w:fldChar w:fldCharType="separate"/>
      </w:r>
      <w:r>
        <w:object w:dxaOrig="12400" w:dyaOrig="2120">
          <v:shape id="_x0000_i1035" type="#_x0000_t75" style="width:430.4pt;height:73.6pt">
            <v:imagedata r:id="rId23" o:title=""/>
          </v:shape>
        </w:object>
      </w:r>
      <w:r>
        <w:fldChar w:fldCharType="end"/>
      </w:r>
      <w:r w:rsidR="00686042">
        <w:t xml:space="preserve"> </w:t>
      </w:r>
    </w:p>
    <w:p w:rsidR="009D1C61" w:rsidRDefault="009D1C61" w:rsidP="009D1C61">
      <w:r>
        <w:t xml:space="preserve">The MSCI EM data set contains data of all countries that were included in index during the period of 2004 until 2010, including Argentina, Pakistan and Israel. </w:t>
      </w:r>
    </w:p>
    <w:p w:rsidR="001071FF" w:rsidRDefault="009D1C61" w:rsidP="009D1C61">
      <w:r>
        <w:t xml:space="preserve">The </w:t>
      </w:r>
      <w:r w:rsidR="001071FF">
        <w:t>research data set</w:t>
      </w:r>
      <w:r>
        <w:t xml:space="preserve"> consists of daily total return data on</w:t>
      </w:r>
      <w:r w:rsidR="00AB4B29">
        <w:t xml:space="preserve"> </w:t>
      </w:r>
      <w:r>
        <w:t>1</w:t>
      </w:r>
      <w:r w:rsidR="001071FF">
        <w:t>108</w:t>
      </w:r>
      <w:r>
        <w:t xml:space="preserve"> companie</w:t>
      </w:r>
      <w:r w:rsidR="000E1A0F">
        <w:t>s for 41 days. In this sample 674</w:t>
      </w:r>
      <w:r>
        <w:t xml:space="preserve"> companies ha</w:t>
      </w:r>
      <w:r w:rsidR="000E1A0F">
        <w:t>ve entered the index and 48</w:t>
      </w:r>
      <w:r>
        <w:t xml:space="preserve">5 companies were deleted from the index. The remaining 51 stock </w:t>
      </w:r>
      <w:r w:rsidR="00AB4B29">
        <w:t>observations</w:t>
      </w:r>
      <w:r w:rsidR="001071FF">
        <w:t xml:space="preserve"> of</w:t>
      </w:r>
      <w:r w:rsidR="00EE1204">
        <w:t xml:space="preserve"> </w:t>
      </w:r>
      <w:r w:rsidR="001071FF">
        <w:t>SAIR &amp; QIR</w:t>
      </w:r>
      <w:r>
        <w:t xml:space="preserve"> </w:t>
      </w:r>
      <w:r w:rsidR="001071FF">
        <w:t xml:space="preserve">sample (1159) </w:t>
      </w:r>
      <w:r>
        <w:t xml:space="preserve">had incomplete daily total return data and were not used for this research. </w:t>
      </w:r>
    </w:p>
    <w:p w:rsidR="009D1C61" w:rsidRDefault="009D1C61" w:rsidP="009D1C61">
      <w:r>
        <w:t>For each stock a maximum of 41 daily total return observations are used .</w:t>
      </w:r>
    </w:p>
    <w:p w:rsidR="009D1C61" w:rsidRDefault="009D1C61" w:rsidP="009D1C61">
      <w:r>
        <w:t xml:space="preserve">For the </w:t>
      </w:r>
      <w:r w:rsidR="006E7670">
        <w:t>beta</w:t>
      </w:r>
      <w:r>
        <w:t xml:space="preserve"> research I have reduced the sample to 4 countries in the MSCI Index and HSBC Index. Originally the </w:t>
      </w:r>
      <w:r w:rsidR="006E7670">
        <w:t>beta</w:t>
      </w:r>
      <w:r>
        <w:t xml:space="preserve"> calculations were made based on the BRIC countries (Brazil, Russia, India, China). H</w:t>
      </w:r>
      <w:r w:rsidR="000E1A0F">
        <w:t xml:space="preserve">owever, during the analysis </w:t>
      </w:r>
      <w:r>
        <w:t>Russia</w:t>
      </w:r>
      <w:r w:rsidR="00EE1204">
        <w:t xml:space="preserve"> </w:t>
      </w:r>
      <w:r w:rsidR="000E1A0F">
        <w:t xml:space="preserve">had very little daily return data, because of a change from RTS index to </w:t>
      </w:r>
      <w:r w:rsidR="00BB32BA">
        <w:t>Moscow Interbank Currency Exchange</w:t>
      </w:r>
      <w:r>
        <w:t xml:space="preserve">. Therefore, it was decided to swap this country for </w:t>
      </w:r>
      <w:r w:rsidR="001071FF">
        <w:t>another EMEA country.</w:t>
      </w:r>
      <w:r w:rsidR="00566A85">
        <w:t xml:space="preserve"> EMEA stands for Europe, Middle East and Africa.</w:t>
      </w:r>
      <w:r w:rsidR="00EE1204">
        <w:t xml:space="preserve"> </w:t>
      </w:r>
      <w:r>
        <w:t>Turkey</w:t>
      </w:r>
      <w:r w:rsidR="001071FF">
        <w:t xml:space="preserve"> had the largest sample from the EMEA countries that is still in the index</w:t>
      </w:r>
      <w:r>
        <w:t>.</w:t>
      </w:r>
    </w:p>
    <w:p w:rsidR="004D2996" w:rsidRDefault="004D2996" w:rsidP="00513E7A"/>
    <w:p w:rsidR="004D2996" w:rsidRDefault="004D2996" w:rsidP="004D2996">
      <w:r>
        <w:t xml:space="preserve">A summary of the data set is as follows: </w:t>
      </w:r>
    </w:p>
    <w:p w:rsidR="00AB4B29" w:rsidRDefault="004D2996" w:rsidP="004D2996">
      <w:pPr>
        <w:spacing w:after="0"/>
        <w:ind w:left="2880" w:hanging="2880"/>
      </w:pPr>
      <w:r>
        <w:t>Universe</w:t>
      </w:r>
      <w:r w:rsidR="00AB4B29">
        <w:t xml:space="preserve"> for price effects</w:t>
      </w:r>
      <w:r w:rsidR="00D2458B">
        <w:t xml:space="preserve">: </w:t>
      </w:r>
      <w:r w:rsidR="00D2458B">
        <w:tab/>
      </w:r>
      <w:r>
        <w:t>MSCI Emerging Markets</w:t>
      </w:r>
      <w:r w:rsidR="00D2458B">
        <w:t>,</w:t>
      </w:r>
      <w:r w:rsidR="00FE0025">
        <w:t xml:space="preserve"> MSCI Brazil, MSCI China, MSCI China, MSCI India, </w:t>
      </w:r>
      <w:r w:rsidR="00D2458B">
        <w:t>MSCI Turkey</w:t>
      </w:r>
      <w:r>
        <w:t xml:space="preserve"> </w:t>
      </w:r>
    </w:p>
    <w:p w:rsidR="004D2996" w:rsidRDefault="00AB4B29" w:rsidP="004D2996">
      <w:pPr>
        <w:spacing w:after="0"/>
        <w:ind w:left="2880" w:hanging="2880"/>
      </w:pPr>
      <w:r>
        <w:t>Universe for co-movements:</w:t>
      </w:r>
      <w:r>
        <w:tab/>
      </w:r>
      <w:r w:rsidR="00D2458B">
        <w:t xml:space="preserve">MSCI Emerging Markets, </w:t>
      </w:r>
      <w:r w:rsidR="004D2996">
        <w:t>MSCI Brazil, MSCI China, MSCI India, MSCI Turkey. HSBC Brazil, HSBC China, HSBC India, HSBC Turkey</w:t>
      </w:r>
    </w:p>
    <w:p w:rsidR="004D2996" w:rsidRDefault="00AB4B29" w:rsidP="004D2996">
      <w:pPr>
        <w:spacing w:after="0"/>
        <w:ind w:left="2880" w:hanging="2880"/>
      </w:pPr>
      <w:r>
        <w:t xml:space="preserve">MSCI EM </w:t>
      </w:r>
      <w:r w:rsidR="004D2996">
        <w:t xml:space="preserve">Index </w:t>
      </w:r>
      <w:r>
        <w:t>review</w:t>
      </w:r>
      <w:r w:rsidR="000645F6">
        <w:t xml:space="preserve"> frequency: </w:t>
      </w:r>
      <w:r w:rsidR="004D2996">
        <w:t>On a quarterly and semi-annual base changes within the Index are announced. Changes outside of the quarterly announcements are not taken into account.</w:t>
      </w:r>
    </w:p>
    <w:p w:rsidR="004D2996" w:rsidRDefault="004D2996" w:rsidP="004D2996">
      <w:pPr>
        <w:spacing w:after="0"/>
        <w:ind w:left="2880" w:hanging="2880"/>
      </w:pPr>
      <w:r>
        <w:t xml:space="preserve">Sample period: </w:t>
      </w:r>
      <w:r>
        <w:tab/>
        <w:t>March 2004 and ending in December 2010</w:t>
      </w:r>
    </w:p>
    <w:p w:rsidR="004D2996" w:rsidRDefault="004D2996" w:rsidP="004D2996">
      <w:pPr>
        <w:spacing w:after="0"/>
        <w:ind w:left="2880" w:hanging="2880"/>
      </w:pPr>
      <w:r>
        <w:t>Event studies:</w:t>
      </w:r>
      <w:r>
        <w:tab/>
        <w:t>Twenty days before and twenty days after the entering or exiting of a stock to or from the Index</w:t>
      </w:r>
    </w:p>
    <w:p w:rsidR="004D2996" w:rsidRDefault="004D2996" w:rsidP="003340F8">
      <w:pPr>
        <w:spacing w:after="0"/>
        <w:ind w:left="2880" w:hanging="2880"/>
      </w:pPr>
      <w:r>
        <w:t xml:space="preserve">Return data: </w:t>
      </w:r>
      <w:r>
        <w:tab/>
        <w:t xml:space="preserve">MSCI </w:t>
      </w:r>
      <w:r w:rsidR="00AB4B29">
        <w:t>EM</w:t>
      </w:r>
      <w:r>
        <w:t xml:space="preserve">/ FACTSET </w:t>
      </w:r>
      <w:r w:rsidR="00AB4B29">
        <w:t>2004-2010</w:t>
      </w:r>
      <w:r w:rsidR="003340F8">
        <w:t xml:space="preserve"> on a daily frequenc</w:t>
      </w:r>
      <w:r w:rsidR="000645F6">
        <w:t>y</w:t>
      </w:r>
    </w:p>
    <w:p w:rsidR="001D2966" w:rsidRDefault="001D2966" w:rsidP="001D2966">
      <w:pPr>
        <w:rPr>
          <w:b/>
        </w:rPr>
      </w:pPr>
    </w:p>
    <w:p w:rsidR="001D2966" w:rsidRDefault="001D2966" w:rsidP="001D2966">
      <w:pPr>
        <w:rPr>
          <w:b/>
        </w:rPr>
      </w:pPr>
    </w:p>
    <w:p w:rsidR="001D2966" w:rsidRDefault="001D2966" w:rsidP="001D2966">
      <w:pPr>
        <w:rPr>
          <w:b/>
        </w:rPr>
      </w:pPr>
    </w:p>
    <w:p w:rsidR="001D2966" w:rsidRDefault="001D2966" w:rsidP="001D2966">
      <w:pPr>
        <w:rPr>
          <w:b/>
        </w:rPr>
      </w:pPr>
      <w:r>
        <w:rPr>
          <w:b/>
        </w:rPr>
        <w:t>Table 3.4</w:t>
      </w:r>
      <w:r w:rsidRPr="00D86594">
        <w:rPr>
          <w:b/>
        </w:rPr>
        <w:t>.1</w:t>
      </w:r>
      <w:r>
        <w:rPr>
          <w:b/>
        </w:rPr>
        <w:t xml:space="preserve"> Overview Additions and Deletions per Country</w:t>
      </w:r>
    </w:p>
    <w:p w:rsidR="004D2996" w:rsidRDefault="00D2458B" w:rsidP="00513E7A">
      <w:pPr>
        <w:rPr>
          <w:sz w:val="16"/>
          <w:szCs w:val="16"/>
        </w:rPr>
      </w:pPr>
      <w:r w:rsidRPr="00D2458B">
        <w:rPr>
          <w:sz w:val="16"/>
          <w:szCs w:val="16"/>
        </w:rPr>
        <w:t>This</w:t>
      </w:r>
      <w:r>
        <w:rPr>
          <w:sz w:val="16"/>
          <w:szCs w:val="16"/>
        </w:rPr>
        <w:t xml:space="preserve"> table illustrates a </w:t>
      </w:r>
      <w:r w:rsidR="006922B6">
        <w:rPr>
          <w:sz w:val="16"/>
          <w:szCs w:val="16"/>
        </w:rPr>
        <w:t>breakdown</w:t>
      </w:r>
      <w:r w:rsidR="006922B6" w:rsidRPr="00D2458B">
        <w:rPr>
          <w:sz w:val="16"/>
          <w:szCs w:val="16"/>
        </w:rPr>
        <w:t xml:space="preserve"> </w:t>
      </w:r>
      <w:r w:rsidR="006922B6">
        <w:rPr>
          <w:sz w:val="16"/>
          <w:szCs w:val="16"/>
        </w:rPr>
        <w:t>of</w:t>
      </w:r>
      <w:r>
        <w:rPr>
          <w:sz w:val="16"/>
          <w:szCs w:val="16"/>
        </w:rPr>
        <w:t xml:space="preserve"> all additions (A) and deletions (D) for all countries of the MSCI Emerging Markets for the period of 2004 till 2010. Furthermore the table gives an indication on a country level of removed data </w:t>
      </w:r>
      <w:r w:rsidR="006922B6">
        <w:rPr>
          <w:sz w:val="16"/>
          <w:szCs w:val="16"/>
        </w:rPr>
        <w:t xml:space="preserve"> on A or D </w:t>
      </w:r>
      <w:r>
        <w:rPr>
          <w:sz w:val="16"/>
          <w:szCs w:val="16"/>
        </w:rPr>
        <w:t xml:space="preserve">from  sample used for this study. </w:t>
      </w:r>
      <w:r w:rsidR="003D440E">
        <w:rPr>
          <w:sz w:val="16"/>
          <w:szCs w:val="16"/>
        </w:rPr>
        <w:fldChar w:fldCharType="begin"/>
      </w:r>
      <w:r w:rsidR="003D440E">
        <w:rPr>
          <w:sz w:val="16"/>
          <w:szCs w:val="16"/>
        </w:rPr>
        <w:instrText xml:space="preserve"> LINK Excel.Sheet.8 "Macintosh HD:Users:merilinsimons:Scriptie:goedgekeurde resultaten:indexReview table20120818_new.xlsx!overview!R6C17:R37C35" "" \a \p </w:instrText>
      </w:r>
      <w:r w:rsidR="003D440E">
        <w:rPr>
          <w:sz w:val="16"/>
          <w:szCs w:val="16"/>
        </w:rPr>
        <w:fldChar w:fldCharType="separate"/>
      </w:r>
      <w:r w:rsidR="003D440E" w:rsidRPr="003D440E">
        <w:rPr>
          <w:sz w:val="16"/>
          <w:szCs w:val="16"/>
        </w:rPr>
        <w:object w:dxaOrig="15460" w:dyaOrig="10420">
          <v:shape id="_x0000_i1036" type="#_x0000_t75" style="width:430.4pt;height:290.7pt">
            <v:imagedata r:id="rId24" o:title=""/>
          </v:shape>
        </w:object>
      </w:r>
      <w:r w:rsidR="003D440E">
        <w:rPr>
          <w:sz w:val="16"/>
          <w:szCs w:val="16"/>
        </w:rPr>
        <w:fldChar w:fldCharType="end"/>
      </w:r>
      <w:r w:rsidR="001D2966" w:rsidRPr="001D2966">
        <w:rPr>
          <w:sz w:val="16"/>
          <w:szCs w:val="16"/>
        </w:rPr>
        <w:t>S</w:t>
      </w:r>
      <w:r w:rsidR="004D2996" w:rsidRPr="0095476D">
        <w:rPr>
          <w:sz w:val="16"/>
          <w:szCs w:val="16"/>
        </w:rPr>
        <w:t>ource:indexreviewtable20120818_new.xlsx</w:t>
      </w:r>
    </w:p>
    <w:p w:rsidR="00A702BB" w:rsidRDefault="00A702BB" w:rsidP="00513E7A"/>
    <w:p w:rsidR="00513E7A" w:rsidRDefault="00513E7A" w:rsidP="00997E77">
      <w:pPr>
        <w:pStyle w:val="Heading2"/>
      </w:pPr>
      <w:bookmarkStart w:id="11" w:name="_Toc214519187"/>
      <w:r>
        <w:t>Exclusions from the data</w:t>
      </w:r>
      <w:bookmarkEnd w:id="11"/>
      <w:r>
        <w:t xml:space="preserve"> </w:t>
      </w:r>
    </w:p>
    <w:p w:rsidR="0057266D" w:rsidRPr="00041EB3" w:rsidRDefault="0057266D" w:rsidP="0057266D">
      <w:pPr>
        <w:pStyle w:val="Heading3"/>
      </w:pPr>
      <w:r w:rsidRPr="00041EB3">
        <w:t xml:space="preserve">Exclusion </w:t>
      </w:r>
      <w:r>
        <w:t xml:space="preserve">and exceptions </w:t>
      </w:r>
      <w:r w:rsidRPr="00041EB3">
        <w:t>from the data set</w:t>
      </w:r>
    </w:p>
    <w:p w:rsidR="0057266D" w:rsidRDefault="0057266D" w:rsidP="0057266D">
      <w:r>
        <w:t>Additions and deletions that happened outside of the quarterly and semi- annual review dates were excluded from this research; often acquisitions, spinoffs or mergers triggered these additions or deletions. These changes are excluded of the data set because these situations usually occur because of a change in cash flow. A change in cash flow is a fundamental change for a company and therefore not representative for this study.</w:t>
      </w:r>
    </w:p>
    <w:p w:rsidR="0057266D" w:rsidRDefault="0057266D" w:rsidP="0057266D">
      <w:r>
        <w:t xml:space="preserve">MSCI Russia had lots of incomplete total return data because the price source was changed from Russian Trading System (RTS) to the Moscow Interbank Currency Exchange (MICEX). Therefor 24 additions and 6 deletions were removed from the research data set. The missing return </w:t>
      </w:r>
      <w:r w:rsidR="00966539">
        <w:t>data</w:t>
      </w:r>
      <w:r>
        <w:t xml:space="preserve"> was </w:t>
      </w:r>
      <w:r w:rsidR="00247421">
        <w:t>in the years 2005 (3), 2006 (5)</w:t>
      </w:r>
      <w:r>
        <w:t>, 2007 (4), 2008 (</w:t>
      </w:r>
      <w:r w:rsidR="00247421">
        <w:t>8)</w:t>
      </w:r>
      <w:r>
        <w:t xml:space="preserve"> and 2009</w:t>
      </w:r>
      <w:r w:rsidR="00247421">
        <w:t xml:space="preserve"> (10)</w:t>
      </w:r>
      <w:r>
        <w:t>.</w:t>
      </w:r>
    </w:p>
    <w:p w:rsidR="0057266D" w:rsidRDefault="0057266D" w:rsidP="0057266D">
      <w:r>
        <w:t xml:space="preserve">HSBC countries also coped with unavailable total return data for the individual country indices. The HSBC index data was used to calculate the </w:t>
      </w:r>
      <w:r w:rsidR="006E7670">
        <w:t>beta</w:t>
      </w:r>
      <w:r w:rsidR="006922B6">
        <w:t xml:space="preserve"> of</w:t>
      </w:r>
      <w:r>
        <w:t xml:space="preserve"> </w:t>
      </w:r>
      <w:r w:rsidR="006922B6">
        <w:t xml:space="preserve">a stock against </w:t>
      </w:r>
      <w:r>
        <w:t xml:space="preserve">the country indices. Unavailable return data has been removed and the </w:t>
      </w:r>
      <w:r w:rsidR="006E7670">
        <w:t>beta</w:t>
      </w:r>
      <w:r>
        <w:t xml:space="preserve"> is calculated based on the actual number of</w:t>
      </w:r>
      <w:r w:rsidR="00EE1204">
        <w:t xml:space="preserve"> </w:t>
      </w:r>
      <w:r>
        <w:t xml:space="preserve">available “n”. </w:t>
      </w:r>
    </w:p>
    <w:p w:rsidR="0057266D" w:rsidRDefault="0057266D" w:rsidP="0057266D">
      <w:r>
        <w:t>Semi annual reviews also contain country changes, this information is not in the scope of this study, but there have been some country changes in the period between 2004 and 2010. These changes have no impact on the data set used for this research. The country changes for the MSCI EM were:</w:t>
      </w:r>
    </w:p>
    <w:p w:rsidR="0057266D" w:rsidRDefault="0057266D" w:rsidP="0057266D">
      <w:pPr>
        <w:pStyle w:val="ListParagraph"/>
        <w:numPr>
          <w:ilvl w:val="0"/>
          <w:numId w:val="23"/>
        </w:numPr>
      </w:pPr>
      <w:r>
        <w:t>Venezuela exited the MSCI EM index in May 2006 and became a stand alone country index</w:t>
      </w:r>
    </w:p>
    <w:p w:rsidR="0057266D" w:rsidRDefault="0057266D" w:rsidP="0057266D">
      <w:pPr>
        <w:pStyle w:val="ListParagraph"/>
        <w:numPr>
          <w:ilvl w:val="0"/>
          <w:numId w:val="23"/>
        </w:numPr>
      </w:pPr>
      <w:r>
        <w:t>Pakistan exited the MSCI EM index in December 2008 and also became a stand alone country index</w:t>
      </w:r>
    </w:p>
    <w:p w:rsidR="0057266D" w:rsidRDefault="0057266D" w:rsidP="0057266D">
      <w:pPr>
        <w:pStyle w:val="ListParagraph"/>
        <w:numPr>
          <w:ilvl w:val="0"/>
          <w:numId w:val="23"/>
        </w:numPr>
      </w:pPr>
      <w:r>
        <w:t>Argentina left the MSCI EM index for Frontier Markets index in May 2009</w:t>
      </w:r>
    </w:p>
    <w:p w:rsidR="0057266D" w:rsidRDefault="0057266D" w:rsidP="0057266D">
      <w:pPr>
        <w:pStyle w:val="ListParagraph"/>
        <w:numPr>
          <w:ilvl w:val="0"/>
          <w:numId w:val="23"/>
        </w:numPr>
      </w:pPr>
      <w:r>
        <w:t>Israel went from MSCI EM index to MSCI Developed Market index in May 2010</w:t>
      </w:r>
    </w:p>
    <w:p w:rsidR="0057266D" w:rsidRDefault="0057266D" w:rsidP="0057266D">
      <w:pPr>
        <w:ind w:left="360"/>
      </w:pPr>
    </w:p>
    <w:p w:rsidR="004D6E11" w:rsidRDefault="004D6E11" w:rsidP="00512E4C">
      <w:pPr>
        <w:pStyle w:val="Heading1"/>
        <w:sectPr w:rsidR="004D6E11" w:rsidSect="009B21AE">
          <w:pgSz w:w="11900" w:h="16840"/>
          <w:pgMar w:top="1440" w:right="1800" w:bottom="1440" w:left="1800" w:header="708" w:footer="708" w:gutter="0"/>
          <w:cols w:space="708"/>
          <w:titlePg/>
          <w:docGrid w:linePitch="360"/>
        </w:sectPr>
      </w:pPr>
    </w:p>
    <w:p w:rsidR="00512E4C" w:rsidRDefault="00512E4C" w:rsidP="00512E4C">
      <w:pPr>
        <w:pStyle w:val="Heading1"/>
      </w:pPr>
      <w:bookmarkStart w:id="12" w:name="_Toc214519188"/>
      <w:r>
        <w:t>Methodology</w:t>
      </w:r>
      <w:bookmarkEnd w:id="12"/>
    </w:p>
    <w:p w:rsidR="00512E4C" w:rsidRDefault="00512E4C" w:rsidP="00512E4C"/>
    <w:p w:rsidR="00512E4C" w:rsidRDefault="00512E4C" w:rsidP="00B36E55">
      <w:pPr>
        <w:pStyle w:val="Heading2"/>
      </w:pPr>
      <w:bookmarkStart w:id="13" w:name="_Toc214519189"/>
      <w:r>
        <w:t>Methodology</w:t>
      </w:r>
      <w:bookmarkEnd w:id="13"/>
    </w:p>
    <w:p w:rsidR="00B809BD" w:rsidRDefault="00B809BD" w:rsidP="002F32D2">
      <w:pPr>
        <w:pStyle w:val="Heading3"/>
      </w:pPr>
      <w:r>
        <w:t>Event study</w:t>
      </w:r>
    </w:p>
    <w:p w:rsidR="00B36E55" w:rsidRDefault="00B36E55" w:rsidP="00B36E55">
      <w:r>
        <w:t xml:space="preserve">Information on the price </w:t>
      </w:r>
      <w:r w:rsidR="009055CC">
        <w:t>changes</w:t>
      </w:r>
      <w:r>
        <w:t xml:space="preserve"> </w:t>
      </w:r>
      <w:r w:rsidR="008240BB">
        <w:t>can</w:t>
      </w:r>
      <w:r w:rsidR="006E1CFF">
        <w:t xml:space="preserve"> </w:t>
      </w:r>
      <w:r>
        <w:t>be gathered by making an event study on the additions and deletions that happen during an index review.</w:t>
      </w:r>
      <w:r w:rsidR="00EE1204">
        <w:t xml:space="preserve"> </w:t>
      </w:r>
      <w:r>
        <w:t>By creating different timelines</w:t>
      </w:r>
      <w:r w:rsidR="008240BB">
        <w:t xml:space="preserve"> the</w:t>
      </w:r>
      <w:r>
        <w:t xml:space="preserve"> return performance can be calculated and analyzed. </w:t>
      </w:r>
      <w:r w:rsidR="008240BB">
        <w:t>E</w:t>
      </w:r>
      <w:r>
        <w:t>vent stud</w:t>
      </w:r>
      <w:r w:rsidR="008240BB">
        <w:t>ies</w:t>
      </w:r>
      <w:r>
        <w:t xml:space="preserve"> </w:t>
      </w:r>
      <w:r w:rsidR="008240BB">
        <w:t>give</w:t>
      </w:r>
      <w:r>
        <w:t xml:space="preserve"> </w:t>
      </w:r>
      <w:r w:rsidR="00CA6ED6">
        <w:t xml:space="preserve">an </w:t>
      </w:r>
      <w:r w:rsidR="008240BB">
        <w:t xml:space="preserve"> insight in</w:t>
      </w:r>
      <w:r>
        <w:t xml:space="preserve"> the price develop</w:t>
      </w:r>
      <w:r w:rsidR="009055CC">
        <w:t>ment</w:t>
      </w:r>
      <w:r>
        <w:t xml:space="preserve"> of stocks around these review events and </w:t>
      </w:r>
      <w:r w:rsidR="008240BB">
        <w:t xml:space="preserve">provide </w:t>
      </w:r>
      <w:r>
        <w:t>an overall understanding of how financial markets work.</w:t>
      </w:r>
    </w:p>
    <w:p w:rsidR="00B809BD" w:rsidRDefault="00B809BD" w:rsidP="00B809BD">
      <w:r>
        <w:t xml:space="preserve">In this </w:t>
      </w:r>
      <w:r w:rsidR="004A166C">
        <w:t>study</w:t>
      </w:r>
      <w:r>
        <w:t xml:space="preserve"> the research will be done through an event study methodology. The index changes that will be studied are based on daily average abnormal returns. This method is based on the method of</w:t>
      </w:r>
      <w:r w:rsidR="00EE1204">
        <w:t xml:space="preserve"> </w:t>
      </w:r>
      <w:r w:rsidR="001333EE">
        <w:t xml:space="preserve">Fama, </w:t>
      </w:r>
      <w:r>
        <w:t>Fisher, Jensen and Roll (1969)</w:t>
      </w:r>
      <w:r w:rsidR="00556CAD">
        <w:t xml:space="preserve"> and Sar (1998)</w:t>
      </w:r>
      <w:r>
        <w:t xml:space="preserve">. Both </w:t>
      </w:r>
      <w:r w:rsidR="00527C07">
        <w:t>papers</w:t>
      </w:r>
      <w:r>
        <w:t xml:space="preserve"> show the importance of return performance in different timelines, </w:t>
      </w:r>
      <w:r w:rsidR="00F42C62">
        <w:t xml:space="preserve">such as in this paper occurs, naming the event before inclusion, and the period after the event. </w:t>
      </w:r>
    </w:p>
    <w:p w:rsidR="002413A9" w:rsidRDefault="00B66218" w:rsidP="002413A9">
      <w:pPr>
        <w:pStyle w:val="Heading3"/>
      </w:pPr>
      <w:r>
        <w:t xml:space="preserve">Calculating </w:t>
      </w:r>
      <w:r w:rsidR="002413A9">
        <w:t>Abnormal</w:t>
      </w:r>
      <w:r>
        <w:t xml:space="preserve"> Return</w:t>
      </w:r>
      <w:r w:rsidR="007475BC">
        <w:t>s</w:t>
      </w:r>
      <w:r>
        <w:t xml:space="preserve"> </w:t>
      </w:r>
    </w:p>
    <w:p w:rsidR="006F3861" w:rsidRDefault="006F3861" w:rsidP="006F3861">
      <w:r>
        <w:t xml:space="preserve">Abnormal returns (AR) are differences between the expected return of a security and the actual return over a set period of time. The study will calculate abnormal returns on securities added to and deleted from the index. </w:t>
      </w:r>
    </w:p>
    <w:p w:rsidR="006E406D" w:rsidRDefault="002413A9" w:rsidP="002413A9">
      <w:r>
        <w:t>The Ab</w:t>
      </w:r>
      <w:r w:rsidR="00B66218">
        <w:t>normal Re</w:t>
      </w:r>
      <w:r w:rsidR="008076B0">
        <w:t xml:space="preserve">turns </w:t>
      </w:r>
      <w:r w:rsidR="006F3861">
        <w:t xml:space="preserve">are </w:t>
      </w:r>
      <w:r>
        <w:t xml:space="preserve">calculated </w:t>
      </w:r>
      <w:r w:rsidR="008076B0">
        <w:t>as follows:</w:t>
      </w:r>
      <w:r>
        <w:t xml:space="preserve"> </w:t>
      </w:r>
    </w:p>
    <w:p w:rsidR="006E406D" w:rsidRDefault="006E406D" w:rsidP="006E406D">
      <w:r>
        <w:tab/>
      </w:r>
      <w:r>
        <w:tab/>
      </w:r>
      <m:oMath>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R</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R</m:t>
                </m:r>
              </m:e>
            </m:acc>
          </m:e>
          <m:sub>
            <m:r>
              <w:rPr>
                <w:rFonts w:ascii="Cambria Math" w:hAnsi="Cambria Math"/>
                <w:lang w:val="en-GB"/>
              </w:rPr>
              <m:t>M,t</m:t>
            </m:r>
          </m:sub>
        </m:sSub>
      </m:oMath>
    </w:p>
    <w:p w:rsidR="000B2CDF" w:rsidRDefault="002413A9" w:rsidP="002413A9">
      <w:r>
        <w:t>Where :</w:t>
      </w:r>
      <w:r w:rsidR="008076B0">
        <w:t xml:space="preserve"> </w:t>
      </w:r>
    </w:p>
    <w:p w:rsidR="000B2CDF" w:rsidRDefault="000B2CDF" w:rsidP="002413A9">
      <w:r>
        <w:t xml:space="preserve">-The </w:t>
      </w:r>
      <w:r w:rsidRPr="007D1DBE">
        <w:rPr>
          <w:i/>
        </w:rPr>
        <w:t>i</w:t>
      </w:r>
      <w:r>
        <w:t xml:space="preserve"> stands for the stock</w:t>
      </w:r>
      <w:r w:rsidR="00EE1204">
        <w:t xml:space="preserve"> </w:t>
      </w:r>
      <w:r>
        <w:t>and</w:t>
      </w:r>
      <w:r w:rsidR="008076B0">
        <w:t xml:space="preserve"> (</w:t>
      </w:r>
      <w:r w:rsidR="008076B0" w:rsidRPr="007D1DBE">
        <w:rPr>
          <w:i/>
        </w:rPr>
        <w:t>i</w:t>
      </w:r>
      <w:r w:rsidR="008076B0">
        <w:t xml:space="preserve">=1,..,N, where N stands for the number of </w:t>
      </w:r>
      <w:r>
        <w:t xml:space="preserve">stocks </w:t>
      </w:r>
      <w:r w:rsidR="008076B0">
        <w:t>in the sample population)</w:t>
      </w:r>
    </w:p>
    <w:p w:rsidR="002413A9" w:rsidRDefault="000B2CDF" w:rsidP="002413A9">
      <w:r>
        <w:t>-Th</w:t>
      </w:r>
      <w:r w:rsidR="008076B0">
        <w:t xml:space="preserve">e </w:t>
      </w:r>
      <w:r w:rsidR="008076B0" w:rsidRPr="007D1DBE">
        <w:rPr>
          <w:i/>
        </w:rPr>
        <w:t>t</w:t>
      </w:r>
      <w:r>
        <w:t xml:space="preserve"> stands for day (period with respect to event-day)</w:t>
      </w:r>
    </w:p>
    <w:p w:rsidR="000B2CDF" w:rsidRDefault="000B2CDF" w:rsidP="002413A9">
      <w:pPr>
        <w:rPr>
          <w:lang w:val="en-GB"/>
        </w:rPr>
      </w:pPr>
      <w:r>
        <w:t xml:space="preserve">- </w:t>
      </w:r>
      <m:oMath>
        <m:sSub>
          <m:sSubPr>
            <m:ctrlPr>
              <w:rPr>
                <w:rFonts w:ascii="Cambria Math" w:hAnsi="Cambria Math"/>
                <w:i/>
                <w:lang w:val="en-GB"/>
              </w:rPr>
            </m:ctrlPr>
          </m:sSubPr>
          <m:e>
            <m:r>
              <w:rPr>
                <w:rFonts w:ascii="Cambria Math" w:hAnsi="Cambria Math"/>
                <w:lang w:val="en-GB"/>
              </w:rPr>
              <m:t>R</m:t>
            </m:r>
          </m:e>
          <m:sub>
            <m:r>
              <w:rPr>
                <w:rFonts w:ascii="Cambria Math" w:hAnsi="Cambria Math"/>
                <w:lang w:val="en-GB"/>
              </w:rPr>
              <m:t>i,t</m:t>
            </m:r>
          </m:sub>
        </m:sSub>
      </m:oMath>
      <w:r>
        <w:rPr>
          <w:lang w:val="en-GB"/>
        </w:rPr>
        <w:t xml:space="preserve"> stands for total daily returns of stock </w:t>
      </w:r>
      <w:r w:rsidRPr="007D1DBE">
        <w:rPr>
          <w:i/>
          <w:lang w:val="en-GB"/>
        </w:rPr>
        <w:t>i</w:t>
      </w:r>
      <w:r>
        <w:rPr>
          <w:lang w:val="en-GB"/>
        </w:rPr>
        <w:t xml:space="preserve"> on day </w:t>
      </w:r>
      <w:r w:rsidRPr="007D1DBE">
        <w:rPr>
          <w:i/>
          <w:lang w:val="en-GB"/>
        </w:rPr>
        <w:t>t</w:t>
      </w:r>
      <w:r>
        <w:rPr>
          <w:lang w:val="en-GB"/>
        </w:rPr>
        <w:t>.</w:t>
      </w:r>
    </w:p>
    <w:p w:rsidR="000B2CDF" w:rsidRDefault="00DD2D27" w:rsidP="002413A9">
      <w:pPr>
        <w:rPr>
          <w:lang w:val="en-GB"/>
        </w:rPr>
      </w:pPr>
      <w:r>
        <w:rPr>
          <w:lang w:val="en-GB"/>
        </w:rPr>
        <w:t xml:space="preserve">-And </w:t>
      </w:r>
      <m:oMath>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R</m:t>
                </m:r>
              </m:e>
            </m:acc>
          </m:e>
          <m:sub>
            <m:r>
              <w:rPr>
                <w:rFonts w:ascii="Cambria Math" w:hAnsi="Cambria Math"/>
                <w:lang w:val="en-GB"/>
              </w:rPr>
              <m:t>M,t</m:t>
            </m:r>
          </m:sub>
        </m:sSub>
      </m:oMath>
      <w:r>
        <w:rPr>
          <w:lang w:val="en-GB"/>
        </w:rPr>
        <w:t xml:space="preserve"> stands for average total daily return of </w:t>
      </w:r>
      <w:r w:rsidR="00AD706A">
        <w:rPr>
          <w:lang w:val="en-GB"/>
        </w:rPr>
        <w:t>the Market M</w:t>
      </w:r>
      <w:r>
        <w:rPr>
          <w:lang w:val="en-GB"/>
        </w:rPr>
        <w:t xml:space="preserve"> on day </w:t>
      </w:r>
      <w:r w:rsidRPr="007D1DBE">
        <w:rPr>
          <w:i/>
          <w:lang w:val="en-GB"/>
        </w:rPr>
        <w:t>t</w:t>
      </w:r>
      <w:r w:rsidR="00EA1E9E">
        <w:rPr>
          <w:i/>
          <w:lang w:val="en-GB"/>
        </w:rPr>
        <w:t>.</w:t>
      </w:r>
    </w:p>
    <w:p w:rsidR="00B66218" w:rsidRDefault="00FC19C8" w:rsidP="002413A9">
      <w:r>
        <w:t xml:space="preserve">This equation represents the level of excess </w:t>
      </w:r>
      <w:r w:rsidR="001D1494">
        <w:t>return from</w:t>
      </w:r>
      <w:r>
        <w:t xml:space="preserve"> stock </w:t>
      </w:r>
      <w:r w:rsidR="001D1494" w:rsidRPr="007D1DBE">
        <w:rPr>
          <w:i/>
        </w:rPr>
        <w:t>i</w:t>
      </w:r>
      <w:r w:rsidR="001D1494">
        <w:t xml:space="preserve"> during</w:t>
      </w:r>
      <w:r>
        <w:t xml:space="preserve"> day </w:t>
      </w:r>
      <w:r w:rsidRPr="007D1DBE">
        <w:rPr>
          <w:i/>
        </w:rPr>
        <w:t>t</w:t>
      </w:r>
      <w:r>
        <w:t xml:space="preserve">. This is </w:t>
      </w:r>
      <w:r w:rsidR="001D1494">
        <w:t>the difference in return that would not have happened on a normal day outside of the event-period.</w:t>
      </w:r>
    </w:p>
    <w:p w:rsidR="002E2E5F" w:rsidRPr="007475BC" w:rsidRDefault="002E2E5F" w:rsidP="0062796A">
      <w:pPr>
        <w:pStyle w:val="Heading3"/>
      </w:pPr>
      <w:r w:rsidRPr="007475BC">
        <w:t>Calculating Cumulative Abnormal Returns</w:t>
      </w:r>
    </w:p>
    <w:p w:rsidR="006F3861" w:rsidRDefault="006F3861" w:rsidP="006F3861">
      <w:r>
        <w:t>The Cumulative Abnormal Returns (CAR) is the sum of all abnormal returns calculated over a certain period. In this case the CAR will be calculated 20 days before index review changes are implemented and 20</w:t>
      </w:r>
      <w:r w:rsidR="00AC159C">
        <w:t xml:space="preserve"> days after the implementation </w:t>
      </w:r>
      <w:r>
        <w:t>day. The CAR is used as evidence to show that compounded daily abnormal returns could create bias in research results.</w:t>
      </w:r>
    </w:p>
    <w:p w:rsidR="006F3861" w:rsidRDefault="006F3861" w:rsidP="00D56157"/>
    <w:p w:rsidR="00D56157" w:rsidRPr="00D56157" w:rsidRDefault="000433CA" w:rsidP="00D56157">
      <w:r>
        <w:t>The CAR can be calculated by using the AR data.</w:t>
      </w:r>
      <w:r w:rsidR="00EE1204">
        <w:t xml:space="preserve"> </w:t>
      </w:r>
      <w:r w:rsidR="00D56157">
        <w:t>The</w:t>
      </w:r>
      <w:r w:rsidR="00D56157">
        <w:rPr>
          <w:lang w:val="en-GB"/>
        </w:rPr>
        <w:t xml:space="preserve"> CAR is calculated by</w:t>
      </w:r>
    </w:p>
    <w:p w:rsidR="00D56157" w:rsidRDefault="003D440E" w:rsidP="00D56157">
      <m:oMathPara>
        <m:oMath>
          <m:sSub>
            <m:sSubPr>
              <m:ctrlPr>
                <w:rPr>
                  <w:rFonts w:ascii="Cambria Math" w:hAnsi="Cambria Math"/>
                  <w:i/>
                  <w:lang w:val="en-GB"/>
                </w:rPr>
              </m:ctrlPr>
            </m:sSubPr>
            <m:e>
              <m:r>
                <w:rPr>
                  <w:rFonts w:ascii="Cambria Math" w:hAnsi="Cambria Math"/>
                  <w:lang w:val="en-GB"/>
                </w:rPr>
                <m:t>CAR</m:t>
              </m:r>
            </m:e>
            <m:sub>
              <m:r>
                <w:rPr>
                  <w:rFonts w:ascii="Cambria Math" w:hAnsi="Cambria Math"/>
                  <w:lang w:val="en-GB"/>
                </w:rPr>
                <m:t>(t1,t2)</m:t>
              </m:r>
            </m:sub>
          </m:sSub>
          <m:r>
            <w:rPr>
              <w:rFonts w:ascii="Cambria Math" w:hAnsi="Cambria Math"/>
              <w:lang w:val="en-GB"/>
            </w:rPr>
            <m:t xml:space="preserve">= </m:t>
          </m:r>
          <m:nary>
            <m:naryPr>
              <m:chr m:val="∑"/>
              <m:limLoc m:val="undOvr"/>
              <m:ctrlPr>
                <w:rPr>
                  <w:rFonts w:ascii="Cambria Math" w:hAnsi="Cambria Math"/>
                  <w:i/>
                  <w:lang w:val="en-GB"/>
                </w:rPr>
              </m:ctrlPr>
            </m:naryPr>
            <m:sub>
              <m:r>
                <w:rPr>
                  <w:rFonts w:ascii="Cambria Math" w:hAnsi="Cambria Math"/>
                  <w:lang w:val="en-GB"/>
                </w:rPr>
                <m:t>t=t1</m:t>
              </m:r>
            </m:sub>
            <m:sup>
              <m:r>
                <w:rPr>
                  <w:rFonts w:ascii="Cambria Math" w:hAnsi="Cambria Math"/>
                  <w:lang w:val="en-GB"/>
                </w:rPr>
                <m:t>t2</m:t>
              </m:r>
            </m:sup>
            <m:e>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t</m:t>
                  </m:r>
                </m:sub>
              </m:sSub>
            </m:e>
          </m:nary>
        </m:oMath>
      </m:oMathPara>
    </w:p>
    <w:p w:rsidR="00AC159C" w:rsidRDefault="00AC159C" w:rsidP="00AC159C">
      <w:r>
        <w:t>Where:</w:t>
      </w:r>
    </w:p>
    <w:p w:rsidR="00AC159C" w:rsidRDefault="00AC159C" w:rsidP="00AC159C">
      <w:pPr>
        <w:ind w:firstLine="360"/>
        <w:rPr>
          <w:lang w:val="en-GB"/>
        </w:rPr>
      </w:pPr>
      <w:r>
        <w:rPr>
          <w:lang w:val="en-GB"/>
        </w:rPr>
        <w:t xml:space="preserve">- </w:t>
      </w:r>
      <m:oMath>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t</m:t>
            </m:r>
          </m:sub>
        </m:sSub>
      </m:oMath>
      <w:r>
        <w:rPr>
          <w:lang w:val="en-GB"/>
        </w:rPr>
        <w:t xml:space="preserve"> stands for abnormal return on day </w:t>
      </w:r>
      <w:r w:rsidRPr="007D1DBE">
        <w:rPr>
          <w:i/>
          <w:lang w:val="en-GB"/>
        </w:rPr>
        <w:t>t</w:t>
      </w:r>
      <w:r>
        <w:rPr>
          <w:lang w:val="en-GB"/>
        </w:rPr>
        <w:t>.</w:t>
      </w:r>
    </w:p>
    <w:p w:rsidR="00AC159C" w:rsidRDefault="00AC159C" w:rsidP="00AC159C">
      <w:pPr>
        <w:ind w:left="360"/>
      </w:pPr>
      <w:r>
        <w:rPr>
          <w:lang w:val="en-GB"/>
        </w:rPr>
        <w:t>-</w:t>
      </w:r>
      <m:oMath>
        <m:sSub>
          <m:sSubPr>
            <m:ctrlPr>
              <w:rPr>
                <w:rFonts w:ascii="Cambria Math" w:hAnsi="Cambria Math"/>
                <w:i/>
                <w:lang w:val="en-GB"/>
              </w:rPr>
            </m:ctrlPr>
          </m:sSubPr>
          <m:e>
            <m:r>
              <w:rPr>
                <w:rFonts w:ascii="Cambria Math" w:hAnsi="Cambria Math"/>
                <w:lang w:val="en-GB"/>
              </w:rPr>
              <m:t>CAR</m:t>
            </m:r>
          </m:e>
          <m:sub>
            <m:r>
              <w:rPr>
                <w:rFonts w:ascii="Cambria Math" w:hAnsi="Cambria Math"/>
                <w:lang w:val="en-GB"/>
              </w:rPr>
              <m:t>(t1,t2)</m:t>
            </m:r>
          </m:sub>
        </m:sSub>
      </m:oMath>
      <w:r w:rsidRPr="00467C9C">
        <w:rPr>
          <w:lang w:val="en-GB"/>
        </w:rPr>
        <w:t xml:space="preserve"> </w:t>
      </w:r>
      <w:r>
        <w:rPr>
          <w:lang w:val="en-GB"/>
        </w:rPr>
        <w:t>stands for c</w:t>
      </w:r>
      <w:r w:rsidRPr="00467C9C">
        <w:rPr>
          <w:lang w:val="en-GB"/>
        </w:rPr>
        <w:t xml:space="preserve">umulative abnormal return on day </w:t>
      </w:r>
      <w:r w:rsidRPr="007D1DBE">
        <w:rPr>
          <w:i/>
          <w:lang w:val="en-GB"/>
        </w:rPr>
        <w:t>t</w:t>
      </w:r>
      <w:r w:rsidRPr="00467C9C">
        <w:rPr>
          <w:lang w:val="en-GB"/>
        </w:rPr>
        <w:t xml:space="preserve">1 and </w:t>
      </w:r>
      <w:r w:rsidRPr="007D1DBE">
        <w:rPr>
          <w:i/>
          <w:lang w:val="en-GB"/>
        </w:rPr>
        <w:t>t</w:t>
      </w:r>
      <w:r w:rsidRPr="00467C9C">
        <w:rPr>
          <w:lang w:val="en-GB"/>
        </w:rPr>
        <w:t>2.</w:t>
      </w:r>
      <m:oMath>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CAR</m:t>
            </m:r>
          </m:e>
          <m:sub>
            <m:r>
              <w:rPr>
                <w:rFonts w:ascii="Cambria Math" w:hAnsi="Cambria Math"/>
                <w:lang w:val="en-GB"/>
              </w:rPr>
              <m:t>t</m:t>
            </m:r>
          </m:sub>
        </m:sSub>
      </m:oMath>
      <w:r w:rsidRPr="00467C9C">
        <w:rPr>
          <w:lang w:val="en-GB"/>
        </w:rPr>
        <w:t xml:space="preserve"> </w:t>
      </w:r>
      <w:r>
        <w:t>is the sum of</w:t>
      </w:r>
      <w:r w:rsidR="00EE1204">
        <w:t xml:space="preserve"> </w:t>
      </w:r>
      <m:oMath>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t-1+t</m:t>
            </m:r>
          </m:sub>
        </m:sSub>
      </m:oMath>
      <w:r>
        <w:t xml:space="preserve">. </w:t>
      </w:r>
    </w:p>
    <w:p w:rsidR="000433CA" w:rsidRDefault="008B6712" w:rsidP="00B66218">
      <w:r>
        <w:t>Continued</w:t>
      </w:r>
      <w:r w:rsidR="000433CA">
        <w:t xml:space="preserve"> </w:t>
      </w:r>
      <w:r w:rsidR="00D56157">
        <w:t xml:space="preserve">the </w:t>
      </w:r>
      <w:r w:rsidR="000433CA">
        <w:t>average abnormal return</w:t>
      </w:r>
      <w:r>
        <w:t xml:space="preserve"> (AAR)</w:t>
      </w:r>
      <w:r w:rsidR="00D56157">
        <w:t xml:space="preserve"> is calculated</w:t>
      </w:r>
      <w:r w:rsidR="000433CA">
        <w:t>.</w:t>
      </w:r>
    </w:p>
    <w:p w:rsidR="008B6712" w:rsidRDefault="00EE1204" w:rsidP="00915685">
      <w:pPr>
        <w:ind w:left="2160" w:firstLine="720"/>
        <w:rPr>
          <w:lang w:val="en-GB"/>
        </w:rPr>
      </w:pPr>
      <w:r>
        <w:t xml:space="preserve"> </w:t>
      </w:r>
      <m:oMath>
        <m:sSub>
          <m:sSubPr>
            <m:ctrlPr>
              <w:rPr>
                <w:rFonts w:ascii="Cambria Math" w:hAnsi="Cambria Math"/>
                <w:i/>
                <w:lang w:val="en-GB"/>
              </w:rPr>
            </m:ctrlPr>
          </m:sSubPr>
          <m:e>
            <m:r>
              <w:rPr>
                <w:rFonts w:ascii="Cambria Math" w:hAnsi="Cambria Math"/>
                <w:lang w:val="en-GB"/>
              </w:rPr>
              <m:t>AAR</m:t>
            </m:r>
          </m:e>
          <m:sub>
            <m:r>
              <w:rPr>
                <w:rFonts w:ascii="Cambria Math" w:hAnsi="Cambria Math"/>
                <w:lang w:val="en-GB"/>
              </w:rPr>
              <m:t>t=</m:t>
            </m:r>
          </m:sub>
        </m:sSub>
        <m:f>
          <m:fPr>
            <m:ctrlPr>
              <w:rPr>
                <w:rFonts w:ascii="Cambria Math" w:hAnsi="Cambria Math"/>
                <w:i/>
                <w:lang w:val="en-GB"/>
              </w:rPr>
            </m:ctrlPr>
          </m:fPr>
          <m:num>
            <m:r>
              <w:rPr>
                <w:rFonts w:ascii="Cambria Math" w:hAnsi="Cambria Math"/>
                <w:lang w:val="en-GB"/>
              </w:rPr>
              <m:t>1</m:t>
            </m:r>
          </m:num>
          <m:den>
            <m:r>
              <w:rPr>
                <w:rFonts w:ascii="Cambria Math" w:hAnsi="Cambria Math"/>
                <w:lang w:val="en-GB"/>
              </w:rPr>
              <m:t>N</m:t>
            </m:r>
          </m:den>
        </m:f>
        <m:r>
          <w:rPr>
            <w:rFonts w:ascii="Cambria Math" w:hAnsi="Cambria Math"/>
            <w:lang w:val="en-GB"/>
          </w:rPr>
          <m:t xml:space="preserve"> </m:t>
        </m:r>
        <m:nary>
          <m:naryPr>
            <m:chr m:val="∑"/>
            <m:limLoc m:val="undOvr"/>
            <m:ctrlPr>
              <w:rPr>
                <w:rFonts w:ascii="Cambria Math" w:hAnsi="Cambria Math"/>
                <w:i/>
                <w:lang w:val="en-GB"/>
              </w:rPr>
            </m:ctrlPr>
          </m:naryPr>
          <m:sub>
            <m:r>
              <w:rPr>
                <w:rFonts w:ascii="Cambria Math" w:hAnsi="Cambria Math"/>
                <w:lang w:val="en-GB"/>
              </w:rPr>
              <m:t>i=1</m:t>
            </m:r>
          </m:sub>
          <m:sup>
            <m:r>
              <w:rPr>
                <w:rFonts w:ascii="Cambria Math" w:hAnsi="Cambria Math"/>
                <w:lang w:val="en-GB"/>
              </w:rPr>
              <m:t>N</m:t>
            </m:r>
          </m:sup>
          <m:e>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i,t</m:t>
                </m:r>
              </m:sub>
            </m:sSub>
          </m:e>
        </m:nary>
      </m:oMath>
    </w:p>
    <w:p w:rsidR="00D56157" w:rsidRDefault="00D56157" w:rsidP="00915685">
      <w:r>
        <w:t>Where:</w:t>
      </w:r>
    </w:p>
    <w:p w:rsidR="00915685" w:rsidRDefault="00915685" w:rsidP="00A54CCA">
      <w:pPr>
        <w:ind w:firstLine="360"/>
        <w:rPr>
          <w:lang w:val="en-GB"/>
        </w:rPr>
      </w:pPr>
      <w:r>
        <w:rPr>
          <w:lang w:val="en-GB"/>
        </w:rPr>
        <w:t xml:space="preserve">- </w:t>
      </w:r>
      <m:oMath>
        <m:sSub>
          <m:sSubPr>
            <m:ctrlPr>
              <w:rPr>
                <w:rFonts w:ascii="Cambria Math" w:hAnsi="Cambria Math"/>
                <w:i/>
                <w:lang w:val="en-GB"/>
              </w:rPr>
            </m:ctrlPr>
          </m:sSubPr>
          <m:e>
            <m:r>
              <w:rPr>
                <w:rFonts w:ascii="Cambria Math" w:hAnsi="Cambria Math"/>
                <w:lang w:val="en-GB"/>
              </w:rPr>
              <m:t>AAR</m:t>
            </m:r>
          </m:e>
          <m:sub>
            <m:r>
              <w:rPr>
                <w:rFonts w:ascii="Cambria Math" w:hAnsi="Cambria Math"/>
                <w:lang w:val="en-GB"/>
              </w:rPr>
              <m:t>t</m:t>
            </m:r>
          </m:sub>
        </m:sSub>
      </m:oMath>
      <w:r>
        <w:rPr>
          <w:lang w:val="en-GB"/>
        </w:rPr>
        <w:t xml:space="preserve"> stands for average abnormal return on day </w:t>
      </w:r>
      <w:r w:rsidRPr="007D1DBE">
        <w:rPr>
          <w:i/>
          <w:lang w:val="en-GB"/>
        </w:rPr>
        <w:t>t</w:t>
      </w:r>
      <w:r w:rsidR="00EA1E9E">
        <w:rPr>
          <w:lang w:val="en-GB"/>
        </w:rPr>
        <w:t>.</w:t>
      </w:r>
    </w:p>
    <w:p w:rsidR="00467C9C" w:rsidRDefault="00467C9C" w:rsidP="00467C9C">
      <w:r>
        <w:t xml:space="preserve">Using these ARs, I have calculated the average abnormal return for day </w:t>
      </w:r>
      <w:r w:rsidRPr="007D1DBE">
        <w:rPr>
          <w:i/>
        </w:rPr>
        <w:t>t</w:t>
      </w:r>
      <w:r w:rsidR="00284FFF">
        <w:t>, with</w:t>
      </w:r>
      <w:r>
        <w:t xml:space="preserve"> the </w:t>
      </w:r>
      <w:r w:rsidR="002A1FB1">
        <w:t xml:space="preserve">implementation </w:t>
      </w:r>
      <w:r>
        <w:t xml:space="preserve">day being on day </w:t>
      </w:r>
      <w:r w:rsidRPr="007D1DBE">
        <w:rPr>
          <w:i/>
        </w:rPr>
        <w:t>t</w:t>
      </w:r>
      <w:r>
        <w:t>=0. The cumulative abnormal returns have been tested for the significance of ARs in each sub –event window</w:t>
      </w:r>
      <w:r w:rsidR="00850165">
        <w:t>.</w:t>
      </w:r>
    </w:p>
    <w:p w:rsidR="002E2E5F" w:rsidRPr="007475BC" w:rsidRDefault="002E2E5F" w:rsidP="0062796A">
      <w:pPr>
        <w:pStyle w:val="Heading3"/>
      </w:pPr>
      <w:r w:rsidRPr="007475BC">
        <w:t>Calculation of the Test Statistic</w:t>
      </w:r>
    </w:p>
    <w:p w:rsidR="002E2E5F" w:rsidRDefault="00B66218" w:rsidP="002E2E5F">
      <w:r>
        <w:t xml:space="preserve">A test statistic is </w:t>
      </w:r>
      <w:r w:rsidR="00E315B0">
        <w:t xml:space="preserve">a </w:t>
      </w:r>
      <w:r w:rsidR="00284FFF">
        <w:t xml:space="preserve">calculated </w:t>
      </w:r>
      <w:r w:rsidR="00E315B0">
        <w:t>quantity</w:t>
      </w:r>
      <w:r w:rsidR="00284FFF">
        <w:t>,</w:t>
      </w:r>
      <w:r w:rsidR="00E315B0">
        <w:t xml:space="preserve"> based on a sample, whose value is the basis for deciding whether or not to reject the null hypothesis. It is </w:t>
      </w:r>
      <w:r>
        <w:t xml:space="preserve">the basis for the </w:t>
      </w:r>
      <w:r w:rsidR="00284FFF">
        <w:t>significance</w:t>
      </w:r>
      <w:r>
        <w:t xml:space="preserve"> drawn in event studies, naming the ratio of the </w:t>
      </w:r>
      <w:r w:rsidR="00284FFF">
        <w:t>average</w:t>
      </w:r>
      <w:r>
        <w:t xml:space="preserve"> excess return to its estimated standard deviation. This </w:t>
      </w:r>
      <w:r w:rsidR="00284FFF">
        <w:t>study</w:t>
      </w:r>
      <w:r>
        <w:t xml:space="preserve"> uses simulation procedures by using actual stock return data to investigate the distribution of excess returns and the empirical properties of the test statistics.</w:t>
      </w:r>
    </w:p>
    <w:p w:rsidR="002E2E5F" w:rsidRDefault="000F6CCC" w:rsidP="002E2E5F">
      <w:r>
        <w:t>T</w:t>
      </w:r>
      <w:r w:rsidR="00850165">
        <w:t xml:space="preserve">he </w:t>
      </w:r>
      <w:r w:rsidR="0087738F">
        <w:t xml:space="preserve">statistical significance of the event </w:t>
      </w:r>
      <w:r>
        <w:t xml:space="preserve">windows excess </w:t>
      </w:r>
      <w:r w:rsidR="00130CEF">
        <w:t>return</w:t>
      </w:r>
      <w:r w:rsidR="0087738F">
        <w:t xml:space="preserve"> is </w:t>
      </w:r>
      <w:r>
        <w:t>calculated. T</w:t>
      </w:r>
      <w:r w:rsidR="0087738F">
        <w:t xml:space="preserve">he null hypothesis </w:t>
      </w:r>
      <w:r w:rsidR="00850165">
        <w:t xml:space="preserve">that </w:t>
      </w:r>
      <w:r w:rsidR="0087738F">
        <w:t>will be tested is</w:t>
      </w:r>
      <w:r>
        <w:t>,</w:t>
      </w:r>
      <w:r w:rsidR="0087738F">
        <w:t xml:space="preserve"> </w:t>
      </w:r>
      <w:r>
        <w:t xml:space="preserve">if </w:t>
      </w:r>
      <w:r w:rsidR="0087738F">
        <w:t xml:space="preserve">the </w:t>
      </w:r>
      <w:r w:rsidR="003151C7">
        <w:t>average</w:t>
      </w:r>
      <w:r w:rsidR="0087738F">
        <w:t xml:space="preserve"> day ‘0</w:t>
      </w:r>
      <w:r w:rsidR="00850165">
        <w:t>’ excess is equal to zero. This</w:t>
      </w:r>
      <w:r w:rsidR="0087738F">
        <w:t xml:space="preserve"> concerns the average</w:t>
      </w:r>
      <w:r w:rsidR="002F38F5">
        <w:t xml:space="preserve"> affect of an event on returns </w:t>
      </w:r>
      <w:r w:rsidR="0087738F">
        <w:t>o</w:t>
      </w:r>
      <w:r w:rsidR="002F38F5">
        <w:t>f</w:t>
      </w:r>
      <w:r w:rsidR="0087738F">
        <w:t xml:space="preserve"> s</w:t>
      </w:r>
      <w:r w:rsidR="00850165">
        <w:t>tock</w:t>
      </w:r>
      <w:r w:rsidR="0087738F">
        <w:t xml:space="preserve">s. The test statistics is the ratio of the day ‘0’ mean excess return to its estimated standard deviation. The standard deviation is estimated from the </w:t>
      </w:r>
      <w:r w:rsidR="003151C7">
        <w:t>event window</w:t>
      </w:r>
      <w:r w:rsidR="0087738F">
        <w:t xml:space="preserve"> of </w:t>
      </w:r>
      <w:r w:rsidR="003151C7">
        <w:t>average</w:t>
      </w:r>
      <w:r w:rsidR="0087738F">
        <w:t xml:space="preserve"> excess returns. The tes</w:t>
      </w:r>
      <w:r w:rsidR="00850165">
        <w:t xml:space="preserve">t statistic for any event day </w:t>
      </w:r>
      <w:r w:rsidR="00850165" w:rsidRPr="007D1DBE">
        <w:rPr>
          <w:i/>
        </w:rPr>
        <w:t>t</w:t>
      </w:r>
      <w:r w:rsidR="0087738F">
        <w:t xml:space="preserve">, where in this case </w:t>
      </w:r>
      <w:r w:rsidR="0087738F" w:rsidRPr="007D1DBE">
        <w:rPr>
          <w:i/>
        </w:rPr>
        <w:t>t</w:t>
      </w:r>
      <w:r w:rsidR="0087738F">
        <w:t>=0 is</w:t>
      </w:r>
      <w:r w:rsidR="009733FF">
        <w:t>:</w:t>
      </w:r>
    </w:p>
    <w:p w:rsidR="002E2E5F" w:rsidRDefault="002E2E5F" w:rsidP="002E2E5F">
      <w:r>
        <w:tab/>
      </w:r>
      <w:r>
        <w:tab/>
      </w:r>
      <w:r>
        <w:tab/>
      </w:r>
      <w:r>
        <w:tab/>
      </w:r>
      <w:r>
        <w:tab/>
      </w:r>
    </w:p>
    <w:p w:rsidR="002E2E5F" w:rsidRDefault="002E2E5F" w:rsidP="002E2E5F">
      <w:r>
        <w:rPr>
          <w:rFonts w:hint="eastAsia"/>
        </w:rPr>
        <w:tab/>
      </w:r>
      <w:r>
        <w:rPr>
          <w:rFonts w:hint="eastAsia"/>
        </w:rPr>
        <w:tab/>
      </w:r>
      <w:r>
        <w:rPr>
          <w:rFonts w:hint="eastAsia"/>
        </w:rPr>
        <w:tab/>
      </w:r>
      <w:r w:rsidRPr="002C487B">
        <w:tab/>
      </w:r>
      <w:r>
        <w:rPr>
          <w:rFonts w:hint="eastAsia"/>
        </w:rPr>
        <w:tab/>
      </w:r>
      <m:oMath>
        <m:r>
          <w:rPr>
            <w:rFonts w:ascii="Cambria Math" w:hAnsi="Cambria Math" w:cs="Arial"/>
            <w:lang w:val="en-GB"/>
          </w:rPr>
          <m:t>T-stat=</m:t>
        </m:r>
        <m:rad>
          <m:radPr>
            <m:degHide m:val="on"/>
            <m:ctrlPr>
              <w:rPr>
                <w:rFonts w:ascii="Cambria Math" w:hAnsi="Cambria Math" w:cs="Arial"/>
                <w:i/>
                <w:lang w:val="en-GB"/>
              </w:rPr>
            </m:ctrlPr>
          </m:radPr>
          <m:deg/>
          <m:e>
            <m:r>
              <w:rPr>
                <w:rFonts w:ascii="Cambria Math" w:hAnsi="Cambria Math" w:cs="Arial"/>
                <w:lang w:val="en-GB"/>
              </w:rPr>
              <m:t>N</m:t>
            </m:r>
          </m:e>
        </m:rad>
        <m:r>
          <w:rPr>
            <w:rFonts w:ascii="Cambria Math" w:hAnsi="Cambria Math" w:cs="Arial"/>
            <w:lang w:val="en-GB"/>
          </w:rPr>
          <m:t>*</m:t>
        </m:r>
        <m:f>
          <m:fPr>
            <m:ctrlPr>
              <w:rPr>
                <w:rFonts w:ascii="Cambria Math" w:hAnsi="Cambria Math" w:cs="Arial"/>
                <w:i/>
                <w:lang w:val="en-GB"/>
              </w:rPr>
            </m:ctrlPr>
          </m:fPr>
          <m:num>
            <m:r>
              <w:rPr>
                <w:rFonts w:ascii="Cambria Math" w:hAnsi="Cambria Math" w:cs="Arial"/>
                <w:lang w:val="en-GB"/>
              </w:rPr>
              <m:t>μ</m:t>
            </m:r>
          </m:num>
          <m:den>
            <m:r>
              <w:rPr>
                <w:rFonts w:ascii="Cambria Math" w:hAnsi="Cambria Math" w:cs="Arial"/>
                <w:lang w:val="en-GB"/>
              </w:rPr>
              <m:t>σ</m:t>
            </m:r>
          </m:den>
        </m:f>
      </m:oMath>
      <w:r w:rsidR="00EE1204">
        <w:rPr>
          <w:lang w:val="en-GB"/>
        </w:rPr>
        <w:t xml:space="preserve"> </w:t>
      </w:r>
      <w:r>
        <w:rPr>
          <w:rFonts w:hint="eastAsia"/>
        </w:rPr>
        <w:tab/>
      </w:r>
    </w:p>
    <w:p w:rsidR="007475BC" w:rsidRDefault="007475BC" w:rsidP="007475BC">
      <w:r>
        <w:t xml:space="preserve">Where : </w:t>
      </w:r>
    </w:p>
    <w:p w:rsidR="007475BC" w:rsidRDefault="007475BC" w:rsidP="007475BC">
      <w:r>
        <w:t xml:space="preserve">-The </w:t>
      </w:r>
      <m:oMath>
        <m:rad>
          <m:radPr>
            <m:degHide m:val="on"/>
            <m:ctrlPr>
              <w:rPr>
                <w:rFonts w:ascii="Cambria Math" w:hAnsi="Cambria Math" w:cs="Arial"/>
                <w:i/>
                <w:lang w:val="en-GB"/>
              </w:rPr>
            </m:ctrlPr>
          </m:radPr>
          <m:deg/>
          <m:e>
            <m:r>
              <w:rPr>
                <w:rFonts w:ascii="Cambria Math" w:hAnsi="Cambria Math" w:cs="Arial"/>
                <w:lang w:val="en-GB"/>
              </w:rPr>
              <m:t>N</m:t>
            </m:r>
          </m:e>
        </m:rad>
      </m:oMath>
      <w:r>
        <w:t xml:space="preserve"> stands for the square </w:t>
      </w:r>
      <w:r w:rsidR="003151C7">
        <w:t xml:space="preserve">root </w:t>
      </w:r>
      <w:r>
        <w:t>of the sample population</w:t>
      </w:r>
    </w:p>
    <w:p w:rsidR="007475BC" w:rsidRDefault="007475BC" w:rsidP="007475BC">
      <w:r>
        <w:t xml:space="preserve">-The </w:t>
      </w:r>
      <m:oMath>
        <m:r>
          <w:rPr>
            <w:rFonts w:ascii="Cambria Math" w:hAnsi="Cambria Math" w:cs="Arial"/>
            <w:lang w:val="en-GB"/>
          </w:rPr>
          <m:t>μ</m:t>
        </m:r>
      </m:oMath>
      <w:r>
        <w:t xml:space="preserve"> stands for mean </w:t>
      </w:r>
    </w:p>
    <w:p w:rsidR="007475BC" w:rsidRDefault="007475BC" w:rsidP="007475BC">
      <w:pPr>
        <w:rPr>
          <w:lang w:val="en-GB"/>
        </w:rPr>
      </w:pPr>
      <w:r>
        <w:rPr>
          <w:lang w:val="en-GB"/>
        </w:rPr>
        <w:t xml:space="preserve">-And </w:t>
      </w:r>
      <m:oMath>
        <m:r>
          <w:rPr>
            <w:rFonts w:ascii="Cambria Math" w:hAnsi="Cambria Math" w:cs="Arial"/>
            <w:lang w:val="en-GB"/>
          </w:rPr>
          <m:t>σ</m:t>
        </m:r>
      </m:oMath>
      <w:r>
        <w:rPr>
          <w:lang w:val="en-GB"/>
        </w:rPr>
        <w:t xml:space="preserve"> stands for the standard deviation</w:t>
      </w:r>
    </w:p>
    <w:p w:rsidR="007475BC" w:rsidRPr="00940EDC" w:rsidRDefault="00E962B0" w:rsidP="0062796A">
      <w:pPr>
        <w:pStyle w:val="Heading3"/>
      </w:pPr>
      <w:r w:rsidRPr="00940EDC">
        <w:t>Calculating Co-movements</w:t>
      </w:r>
    </w:p>
    <w:p w:rsidR="00E962B0" w:rsidRDefault="00E962B0" w:rsidP="00B66218">
      <w:r>
        <w:t>For the calculation of the co</w:t>
      </w:r>
      <w:r w:rsidR="00F33D2C">
        <w:t>-</w:t>
      </w:r>
      <w:r>
        <w:t>movement</w:t>
      </w:r>
      <w:r w:rsidR="002D0229">
        <w:t xml:space="preserve"> or beta</w:t>
      </w:r>
      <w:r>
        <w:t>, the univariate model is used.</w:t>
      </w:r>
    </w:p>
    <w:p w:rsidR="00524461" w:rsidRDefault="002D0229" w:rsidP="00E962B0">
      <w:r>
        <w:t>For each stock the beta is separately calculated for the event window of before the stock</w:t>
      </w:r>
      <w:r w:rsidR="00412898">
        <w:t>s</w:t>
      </w:r>
      <w:r>
        <w:t xml:space="preserve"> inclusion to (exclusion from) the index has taken place. For the second window, the beta is calculated from the inclusion (exclusion) day till 20 days after.</w:t>
      </w:r>
      <w:r w:rsidR="00786ED3">
        <w:t xml:space="preserve"> </w:t>
      </w:r>
      <w:r w:rsidR="00E962B0">
        <w:t>Th</w:t>
      </w:r>
      <w:r w:rsidR="006E1CFF">
        <w:t>e beta will be calculated based on the stock return again</w:t>
      </w:r>
      <w:r w:rsidR="00524461">
        <w:t>st</w:t>
      </w:r>
      <w:r w:rsidR="006E1CFF">
        <w:t xml:space="preserve"> the index return</w:t>
      </w:r>
      <w:r w:rsidR="00524461">
        <w:t>.</w:t>
      </w:r>
    </w:p>
    <w:p w:rsidR="00C65C34" w:rsidRDefault="00524461" w:rsidP="00E962B0">
      <w:r>
        <w:t>T</w:t>
      </w:r>
      <w:r w:rsidR="00E962B0">
        <w:t>he univariate model</w:t>
      </w:r>
      <w:r w:rsidR="00C65C34" w:rsidRPr="00C65C34">
        <w:rPr>
          <w:b/>
        </w:rPr>
        <w:t xml:space="preserve"> </w:t>
      </w:r>
      <w:r w:rsidR="00C65C34" w:rsidRPr="00C65C34">
        <w:t>(also named</w:t>
      </w:r>
      <w:r w:rsidR="00C65C34">
        <w:t xml:space="preserve"> m</w:t>
      </w:r>
      <w:r w:rsidR="00C65C34" w:rsidRPr="00C65C34">
        <w:t>arket model):</w:t>
      </w:r>
    </w:p>
    <w:p w:rsidR="00E962B0" w:rsidRDefault="003D440E" w:rsidP="00E962B0">
      <m:oMathPara>
        <m:oMath>
          <m:sSub>
            <m:sSubPr>
              <m:ctrlPr>
                <w:rPr>
                  <w:rFonts w:ascii="Cambria Math" w:hAnsi="Cambria Math"/>
                  <w:i/>
                </w:rPr>
              </m:ctrlPr>
            </m:sSubPr>
            <m:e>
              <m:r>
                <w:rPr>
                  <w:rFonts w:ascii="Cambria Math" w:hAnsi="Cambria Math"/>
                </w:rPr>
                <m:t>R</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i</m:t>
              </m:r>
            </m:sub>
          </m:sSub>
          <m:sSub>
            <m:sSubPr>
              <m:ctrlPr>
                <w:rPr>
                  <w:rFonts w:ascii="Cambria Math" w:hAnsi="Cambria Math"/>
                  <w:i/>
                </w:rPr>
              </m:ctrlPr>
            </m:sSubPr>
            <m:e>
              <m:r>
                <w:rPr>
                  <w:rFonts w:ascii="Cambria Math" w:hAnsi="Cambria Math"/>
                </w:rPr>
                <m:t>R</m:t>
              </m:r>
            </m:e>
            <m:sub>
              <m:r>
                <w:rPr>
                  <w:rFonts w:ascii="Cambria Math" w:hAnsi="Cambria Math"/>
                </w:rPr>
                <m:t>MI,t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i,t</m:t>
              </m:r>
            </m:sub>
          </m:sSub>
        </m:oMath>
      </m:oMathPara>
    </w:p>
    <w:p w:rsidR="00F33D2C" w:rsidRDefault="00073F1E" w:rsidP="00F33D2C">
      <w:r>
        <w:t>Where:</w:t>
      </w:r>
      <w:r w:rsidR="00F33D2C">
        <w:t xml:space="preserve"> </w:t>
      </w:r>
    </w:p>
    <w:p w:rsidR="00F33D2C" w:rsidRDefault="00F33D2C" w:rsidP="00F33D2C">
      <w:r>
        <w:t xml:space="preserve">-The </w:t>
      </w:r>
      <m:oMath>
        <m:sSub>
          <m:sSubPr>
            <m:ctrlPr>
              <w:rPr>
                <w:rFonts w:ascii="Cambria Math" w:hAnsi="Cambria Math"/>
                <w:i/>
              </w:rPr>
            </m:ctrlPr>
          </m:sSubPr>
          <m:e>
            <m:r>
              <w:rPr>
                <w:rFonts w:ascii="Cambria Math" w:hAnsi="Cambria Math"/>
              </w:rPr>
              <m:t>R</m:t>
            </m:r>
          </m:e>
          <m:sub>
            <m:r>
              <w:rPr>
                <w:rFonts w:ascii="Cambria Math" w:hAnsi="Cambria Math"/>
              </w:rPr>
              <m:t>i,t</m:t>
            </m:r>
          </m:sub>
        </m:sSub>
      </m:oMath>
      <w:r w:rsidR="00EE1204">
        <w:rPr>
          <w:sz w:val="16"/>
          <w:szCs w:val="16"/>
          <w:lang w:val="en-GB"/>
        </w:rPr>
        <w:t xml:space="preserve"> </w:t>
      </w:r>
      <w:r>
        <w:t xml:space="preserve">stands for the return on stock </w:t>
      </w:r>
      <w:r w:rsidR="00C65C34" w:rsidRPr="007D1DBE">
        <w:rPr>
          <w:i/>
        </w:rPr>
        <w:t>i</w:t>
      </w:r>
      <w:r>
        <w:t xml:space="preserve"> for day </w:t>
      </w:r>
      <w:r w:rsidRPr="007D1DBE">
        <w:rPr>
          <w:i/>
        </w:rPr>
        <w:t>t</w:t>
      </w:r>
    </w:p>
    <w:p w:rsidR="00F33D2C" w:rsidRDefault="00F33D2C" w:rsidP="00F33D2C">
      <w:r>
        <w:t xml:space="preserve">-The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00986D47">
        <w:t xml:space="preserve"> </w:t>
      </w:r>
      <w:r>
        <w:t xml:space="preserve">stands for </w:t>
      </w:r>
      <w:r w:rsidR="00986D47">
        <w:t>part of the stock return with a fixed character</w:t>
      </w:r>
    </w:p>
    <w:p w:rsidR="00F33D2C" w:rsidRPr="000A4F41" w:rsidRDefault="00F33D2C" w:rsidP="00F33D2C">
      <w:pPr>
        <w:rPr>
          <w:b/>
          <w:lang w:val="en-GB"/>
        </w:rPr>
      </w:pPr>
      <w:r>
        <w:rPr>
          <w:lang w:val="en-GB"/>
        </w:rPr>
        <w:t>-</w:t>
      </w:r>
      <w:r w:rsidR="00BE75CC">
        <w:rPr>
          <w:lang w:val="en-GB"/>
        </w:rPr>
        <w:t xml:space="preserve"> </w:t>
      </w:r>
      <m:oMath>
        <m:sSub>
          <m:sSubPr>
            <m:ctrlPr>
              <w:rPr>
                <w:rFonts w:ascii="Cambria Math" w:hAnsi="Cambria Math"/>
                <w:sz w:val="24"/>
                <w:szCs w:val="24"/>
                <w:lang w:val="en-GB"/>
              </w:rPr>
            </m:ctrlPr>
          </m:sSubPr>
          <m:e>
            <m:r>
              <m:rPr>
                <m:sty m:val="p"/>
              </m:rPr>
              <w:rPr>
                <w:rFonts w:ascii="Cambria Math" w:hAnsi="Cambria Math"/>
                <w:sz w:val="24"/>
                <w:szCs w:val="24"/>
                <w:lang w:val="en-GB"/>
              </w:rPr>
              <m:t>b</m:t>
            </m:r>
          </m:e>
          <m:sub>
            <m:r>
              <w:rPr>
                <w:rFonts w:ascii="Cambria Math" w:hAnsi="Cambria Math"/>
                <w:sz w:val="24"/>
                <w:szCs w:val="24"/>
                <w:lang w:val="en-GB"/>
              </w:rPr>
              <m:t>i</m:t>
            </m:r>
          </m:sub>
        </m:sSub>
        <m:sSub>
          <m:sSubPr>
            <m:ctrlPr>
              <w:rPr>
                <w:rFonts w:ascii="Cambria Math" w:hAnsi="Cambria Math"/>
                <w:sz w:val="24"/>
                <w:szCs w:val="24"/>
                <w:lang w:val="en-GB"/>
              </w:rPr>
            </m:ctrlPr>
          </m:sSubPr>
          <m:e>
            <m:r>
              <m:rPr>
                <m:sty m:val="p"/>
              </m:rPr>
              <w:rPr>
                <w:rFonts w:ascii="Cambria Math" w:hAnsi="Cambria Math"/>
                <w:sz w:val="24"/>
                <w:szCs w:val="24"/>
                <w:lang w:val="en-GB"/>
              </w:rPr>
              <m:t>R</m:t>
            </m:r>
          </m:e>
          <m:sub>
            <m:r>
              <w:rPr>
                <w:rFonts w:ascii="Cambria Math" w:hAnsi="Cambria Math"/>
                <w:sz w:val="24"/>
                <w:szCs w:val="24"/>
                <w:lang w:val="en-GB"/>
              </w:rPr>
              <m:t>MIt</m:t>
            </m:r>
          </m:sub>
        </m:sSub>
        <m:r>
          <m:rPr>
            <m:sty m:val="p"/>
          </m:rPr>
          <w:rPr>
            <w:rFonts w:ascii="Cambria Math" w:hAnsi="Cambria Math"/>
            <w:sz w:val="24"/>
            <w:szCs w:val="24"/>
            <w:lang w:val="en-GB"/>
          </w:rPr>
          <m:t xml:space="preserve"> </m:t>
        </m:r>
      </m:oMath>
      <w:r>
        <w:rPr>
          <w:lang w:val="en-GB"/>
        </w:rPr>
        <w:t xml:space="preserve">stands </w:t>
      </w:r>
      <w:r w:rsidR="00C65C34">
        <w:rPr>
          <w:lang w:val="en-GB"/>
        </w:rPr>
        <w:t xml:space="preserve">for </w:t>
      </w:r>
      <w:r w:rsidR="00986D47">
        <w:rPr>
          <w:lang w:val="en-GB"/>
        </w:rPr>
        <w:t>slope coefficient</w:t>
      </w:r>
      <w:r w:rsidR="000B49B3">
        <w:rPr>
          <w:lang w:val="en-GB"/>
        </w:rPr>
        <w:t xml:space="preserve"> times </w:t>
      </w:r>
      <w:r w:rsidR="00C65C34">
        <w:rPr>
          <w:lang w:val="en-GB"/>
        </w:rPr>
        <w:t>Return on M</w:t>
      </w:r>
      <w:r w:rsidR="00B36810">
        <w:rPr>
          <w:lang w:val="en-GB"/>
        </w:rPr>
        <w:t>arket index on day t</w:t>
      </w:r>
      <w:r w:rsidR="000B49B3" w:rsidRPr="000A4F41">
        <w:rPr>
          <w:lang w:val="en-GB"/>
        </w:rPr>
        <w:t xml:space="preserve">. The </w:t>
      </w:r>
      <m:oMath>
        <m:sSub>
          <m:sSubPr>
            <m:ctrlPr>
              <w:rPr>
                <w:rFonts w:ascii="Cambria Math" w:hAnsi="Cambria Math"/>
                <w:lang w:val="en-GB"/>
              </w:rPr>
            </m:ctrlPr>
          </m:sSubPr>
          <m:e>
            <m:r>
              <m:rPr>
                <m:sty m:val="p"/>
              </m:rPr>
              <w:rPr>
                <w:rFonts w:ascii="Cambria Math" w:hAnsi="Cambria Math"/>
                <w:lang w:val="en-GB"/>
              </w:rPr>
              <m:t>b</m:t>
            </m:r>
          </m:e>
          <m:sub>
            <m:r>
              <w:rPr>
                <w:rFonts w:ascii="Cambria Math" w:hAnsi="Cambria Math"/>
                <w:lang w:val="en-GB"/>
              </w:rPr>
              <m:t>i</m:t>
            </m:r>
          </m:sub>
        </m:sSub>
      </m:oMath>
      <w:r w:rsidR="000B49B3" w:rsidRPr="000A4F41">
        <w:rPr>
          <w:lang w:val="en-GB"/>
        </w:rPr>
        <w:t xml:space="preserve"> reflects the sensitiveness of the return on stock i for the market index and is also know</w:t>
      </w:r>
      <w:r w:rsidR="002D0229">
        <w:rPr>
          <w:lang w:val="en-GB"/>
        </w:rPr>
        <w:t>n</w:t>
      </w:r>
      <w:r w:rsidR="000B49B3" w:rsidRPr="000A4F41">
        <w:rPr>
          <w:lang w:val="en-GB"/>
        </w:rPr>
        <w:t xml:space="preserve"> as β (beta) risk</w:t>
      </w:r>
      <w:r w:rsidR="000A4F41" w:rsidRPr="000A4F41">
        <w:rPr>
          <w:lang w:val="en-GB"/>
        </w:rPr>
        <w:t>.</w:t>
      </w:r>
    </w:p>
    <w:p w:rsidR="00F33D2C" w:rsidRDefault="00F33D2C" w:rsidP="00F33D2C">
      <w:pPr>
        <w:rPr>
          <w:lang w:val="en-GB"/>
        </w:rPr>
      </w:pPr>
      <w:r>
        <w:rPr>
          <w:lang w:val="en-GB"/>
        </w:rPr>
        <w:t xml:space="preserve">- </w:t>
      </w:r>
      <w:r w:rsidR="00986D47">
        <w:rPr>
          <w:sz w:val="28"/>
          <w:szCs w:val="28"/>
          <w:lang w:val="en-GB"/>
        </w:rPr>
        <w:t>u</w:t>
      </w:r>
      <w:r w:rsidRPr="00182DD5">
        <w:rPr>
          <w:sz w:val="16"/>
          <w:szCs w:val="16"/>
          <w:lang w:val="en-GB"/>
        </w:rPr>
        <w:t>,t</w:t>
      </w:r>
      <w:r>
        <w:rPr>
          <w:lang w:val="en-GB"/>
        </w:rPr>
        <w:t xml:space="preserve"> stands for the error</w:t>
      </w:r>
      <w:r w:rsidR="00986D47">
        <w:rPr>
          <w:lang w:val="en-GB"/>
        </w:rPr>
        <w:t xml:space="preserve"> term</w:t>
      </w:r>
    </w:p>
    <w:p w:rsidR="00F33D2C" w:rsidRPr="00524461" w:rsidRDefault="00524461" w:rsidP="00E962B0">
      <w:r>
        <w:t>T</w:t>
      </w:r>
      <w:r w:rsidR="00786ED3">
        <w:t xml:space="preserve">o calculate the beta on a country level, the same formula is used on </w:t>
      </w:r>
      <w:r w:rsidR="00FC4D0D">
        <w:t xml:space="preserve">Market data of the MSCI EM index, </w:t>
      </w:r>
      <w:r>
        <w:t>MSCI Countries ind</w:t>
      </w:r>
      <w:r w:rsidR="00FC4D0D">
        <w:t>ex and the HSBC Countries index</w:t>
      </w:r>
      <w:r>
        <w:t>.</w:t>
      </w:r>
      <w:r w:rsidR="00FC4D0D">
        <w:t xml:space="preserve"> </w:t>
      </w:r>
      <w:r w:rsidR="007960FF">
        <w:t>For each index a separate formula has been made, but the interpretation stays the same, and therefore will not be explained separately again.</w:t>
      </w:r>
    </w:p>
    <w:p w:rsidR="00E962B0" w:rsidRDefault="00E962B0" w:rsidP="00E962B0">
      <w:pPr>
        <w:rPr>
          <w:lang w:val="en-GB"/>
        </w:rPr>
      </w:pPr>
      <w:r>
        <w:rPr>
          <w:lang w:val="en-GB"/>
        </w:rPr>
        <w:t>R</w:t>
      </w:r>
      <w:r w:rsidRPr="00182DD5">
        <w:rPr>
          <w:sz w:val="16"/>
          <w:szCs w:val="16"/>
          <w:lang w:val="en-GB"/>
        </w:rPr>
        <w:t>,</w:t>
      </w:r>
      <w:r w:rsidR="004371DF">
        <w:rPr>
          <w:sz w:val="16"/>
          <w:szCs w:val="16"/>
          <w:lang w:val="en-GB"/>
        </w:rPr>
        <w:t>i,</w:t>
      </w:r>
      <w:r w:rsidR="004371DF" w:rsidRPr="00182DD5">
        <w:rPr>
          <w:sz w:val="16"/>
          <w:szCs w:val="16"/>
          <w:lang w:val="en-GB"/>
        </w:rPr>
        <w:t>t</w:t>
      </w:r>
      <w:r w:rsidRPr="00182DD5">
        <w:rPr>
          <w:sz w:val="16"/>
          <w:szCs w:val="16"/>
          <w:lang w:val="en-GB"/>
        </w:rPr>
        <w:t xml:space="preserve"> </w:t>
      </w:r>
      <w:r>
        <w:rPr>
          <w:lang w:val="en-GB"/>
        </w:rPr>
        <w:t>=</w:t>
      </w:r>
      <w:r w:rsidR="00EE1204">
        <w:rPr>
          <w:lang w:val="en-GB"/>
        </w:rPr>
        <w:t xml:space="preserve"> </w:t>
      </w:r>
      <w:r w:rsidRPr="00182DD5">
        <w:rPr>
          <w:sz w:val="28"/>
          <w:szCs w:val="28"/>
          <w:lang w:val="en-GB"/>
        </w:rPr>
        <w:t>α</w:t>
      </w:r>
      <w:r w:rsidRPr="00182DD5">
        <w:rPr>
          <w:sz w:val="16"/>
          <w:szCs w:val="16"/>
          <w:lang w:val="en-GB"/>
        </w:rPr>
        <w:t>j</w:t>
      </w:r>
      <w:r>
        <w:rPr>
          <w:lang w:val="en-GB"/>
        </w:rPr>
        <w:t xml:space="preserve"> +</w:t>
      </w:r>
      <w:r w:rsidRPr="00182DD5">
        <w:rPr>
          <w:sz w:val="28"/>
          <w:szCs w:val="28"/>
          <w:lang w:val="en-GB"/>
        </w:rPr>
        <w:t xml:space="preserve"> β</w:t>
      </w:r>
      <w:r w:rsidR="00E14270">
        <w:rPr>
          <w:lang w:val="en-GB"/>
        </w:rPr>
        <w:t>*</w:t>
      </w:r>
      <w:r>
        <w:rPr>
          <w:lang w:val="en-GB"/>
        </w:rPr>
        <w:t xml:space="preserve"> R </w:t>
      </w:r>
      <w:r w:rsidRPr="00182DD5">
        <w:rPr>
          <w:sz w:val="16"/>
          <w:szCs w:val="16"/>
          <w:lang w:val="en-GB"/>
        </w:rPr>
        <w:t>MSCI EM,t</w:t>
      </w:r>
      <w:r>
        <w:rPr>
          <w:lang w:val="en-GB"/>
        </w:rPr>
        <w:t xml:space="preserve"> + </w:t>
      </w:r>
      <w:r w:rsidRPr="00182DD5">
        <w:rPr>
          <w:sz w:val="28"/>
          <w:szCs w:val="28"/>
          <w:lang w:val="en-GB"/>
        </w:rPr>
        <w:t>υ</w:t>
      </w:r>
      <w:r w:rsidR="00F309BD">
        <w:rPr>
          <w:sz w:val="16"/>
          <w:szCs w:val="16"/>
          <w:lang w:val="en-GB"/>
        </w:rPr>
        <w:t>i</w:t>
      </w:r>
      <w:r w:rsidRPr="00182DD5">
        <w:rPr>
          <w:sz w:val="16"/>
          <w:szCs w:val="16"/>
          <w:lang w:val="en-GB"/>
        </w:rPr>
        <w:t>,t</w:t>
      </w:r>
      <w:r w:rsidR="00EE1204">
        <w:rPr>
          <w:lang w:val="en-GB"/>
        </w:rPr>
        <w:t xml:space="preserve"> </w:t>
      </w:r>
      <w:r>
        <w:rPr>
          <w:lang w:val="en-GB"/>
        </w:rPr>
        <w:tab/>
      </w:r>
    </w:p>
    <w:p w:rsidR="00E962B0" w:rsidRDefault="00E962B0" w:rsidP="00E962B0">
      <w:pPr>
        <w:rPr>
          <w:lang w:val="en-GB"/>
        </w:rPr>
      </w:pPr>
      <w:r>
        <w:rPr>
          <w:lang w:val="en-GB"/>
        </w:rPr>
        <w:t>R</w:t>
      </w:r>
      <w:r w:rsidR="00F309BD">
        <w:rPr>
          <w:sz w:val="16"/>
          <w:szCs w:val="16"/>
          <w:lang w:val="en-GB"/>
        </w:rPr>
        <w:t>i</w:t>
      </w:r>
      <w:r w:rsidRPr="00182DD5">
        <w:rPr>
          <w:sz w:val="16"/>
          <w:szCs w:val="16"/>
          <w:lang w:val="en-GB"/>
        </w:rPr>
        <w:t xml:space="preserve">,t </w:t>
      </w:r>
      <w:r>
        <w:rPr>
          <w:lang w:val="en-GB"/>
        </w:rPr>
        <w:t>=</w:t>
      </w:r>
      <w:r w:rsidR="00EE1204">
        <w:rPr>
          <w:lang w:val="en-GB"/>
        </w:rPr>
        <w:t xml:space="preserve"> </w:t>
      </w:r>
      <w:r w:rsidRPr="00182DD5">
        <w:rPr>
          <w:sz w:val="28"/>
          <w:szCs w:val="28"/>
          <w:lang w:val="en-GB"/>
        </w:rPr>
        <w:t>α</w:t>
      </w:r>
      <w:r w:rsidRPr="00182DD5">
        <w:rPr>
          <w:sz w:val="16"/>
          <w:szCs w:val="16"/>
          <w:lang w:val="en-GB"/>
        </w:rPr>
        <w:t>j</w:t>
      </w:r>
      <w:r>
        <w:rPr>
          <w:lang w:val="en-GB"/>
        </w:rPr>
        <w:t xml:space="preserve"> +</w:t>
      </w:r>
      <w:r w:rsidRPr="00182DD5">
        <w:rPr>
          <w:sz w:val="28"/>
          <w:szCs w:val="28"/>
          <w:lang w:val="en-GB"/>
        </w:rPr>
        <w:t xml:space="preserve"> β</w:t>
      </w:r>
      <w:r w:rsidR="00E14270">
        <w:rPr>
          <w:lang w:val="en-GB"/>
        </w:rPr>
        <w:t>*</w:t>
      </w:r>
      <w:r>
        <w:rPr>
          <w:lang w:val="en-GB"/>
        </w:rPr>
        <w:t xml:space="preserve"> R </w:t>
      </w:r>
      <w:r w:rsidRPr="00182DD5">
        <w:rPr>
          <w:sz w:val="16"/>
          <w:szCs w:val="16"/>
          <w:lang w:val="en-GB"/>
        </w:rPr>
        <w:t xml:space="preserve">MSCI </w:t>
      </w:r>
      <w:r w:rsidR="00292CD8">
        <w:rPr>
          <w:sz w:val="16"/>
          <w:szCs w:val="16"/>
          <w:lang w:val="en-GB"/>
        </w:rPr>
        <w:t>Country</w:t>
      </w:r>
      <w:r w:rsidRPr="00182DD5">
        <w:rPr>
          <w:sz w:val="16"/>
          <w:szCs w:val="16"/>
          <w:lang w:val="en-GB"/>
        </w:rPr>
        <w:t>,t</w:t>
      </w:r>
      <w:r>
        <w:rPr>
          <w:lang w:val="en-GB"/>
        </w:rPr>
        <w:t xml:space="preserve"> + </w:t>
      </w:r>
      <w:r w:rsidRPr="00182DD5">
        <w:rPr>
          <w:sz w:val="28"/>
          <w:szCs w:val="28"/>
          <w:lang w:val="en-GB"/>
        </w:rPr>
        <w:t>υ</w:t>
      </w:r>
      <w:r w:rsidR="00F309BD">
        <w:rPr>
          <w:sz w:val="16"/>
          <w:szCs w:val="16"/>
          <w:lang w:val="en-GB"/>
        </w:rPr>
        <w:t>i</w:t>
      </w:r>
      <w:r w:rsidRPr="00182DD5">
        <w:rPr>
          <w:sz w:val="16"/>
          <w:szCs w:val="16"/>
          <w:lang w:val="en-GB"/>
        </w:rPr>
        <w:t>,t</w:t>
      </w:r>
      <w:r>
        <w:rPr>
          <w:sz w:val="16"/>
          <w:szCs w:val="16"/>
          <w:lang w:val="en-GB"/>
        </w:rPr>
        <w:t xml:space="preserve"> </w:t>
      </w:r>
      <w:r>
        <w:rPr>
          <w:sz w:val="16"/>
          <w:szCs w:val="16"/>
          <w:lang w:val="en-GB"/>
        </w:rPr>
        <w:tab/>
      </w:r>
    </w:p>
    <w:p w:rsidR="00E962B0" w:rsidRDefault="00E962B0" w:rsidP="00E962B0">
      <w:pPr>
        <w:rPr>
          <w:lang w:val="en-GB"/>
        </w:rPr>
      </w:pPr>
      <w:r>
        <w:rPr>
          <w:lang w:val="en-GB"/>
        </w:rPr>
        <w:t>R</w:t>
      </w:r>
      <w:r w:rsidR="00F309BD">
        <w:rPr>
          <w:sz w:val="16"/>
          <w:szCs w:val="16"/>
          <w:lang w:val="en-GB"/>
        </w:rPr>
        <w:t>i</w:t>
      </w:r>
      <w:r w:rsidRPr="00182DD5">
        <w:rPr>
          <w:sz w:val="16"/>
          <w:szCs w:val="16"/>
          <w:lang w:val="en-GB"/>
        </w:rPr>
        <w:t xml:space="preserve">,t </w:t>
      </w:r>
      <w:r>
        <w:rPr>
          <w:lang w:val="en-GB"/>
        </w:rPr>
        <w:t>=</w:t>
      </w:r>
      <w:r w:rsidR="00EE1204">
        <w:rPr>
          <w:lang w:val="en-GB"/>
        </w:rPr>
        <w:t xml:space="preserve"> </w:t>
      </w:r>
      <w:r w:rsidRPr="00182DD5">
        <w:rPr>
          <w:sz w:val="28"/>
          <w:szCs w:val="28"/>
          <w:lang w:val="en-GB"/>
        </w:rPr>
        <w:t>α</w:t>
      </w:r>
      <w:r w:rsidRPr="00182DD5">
        <w:rPr>
          <w:sz w:val="16"/>
          <w:szCs w:val="16"/>
          <w:lang w:val="en-GB"/>
        </w:rPr>
        <w:t>j</w:t>
      </w:r>
      <w:r>
        <w:rPr>
          <w:lang w:val="en-GB"/>
        </w:rPr>
        <w:t xml:space="preserve"> +</w:t>
      </w:r>
      <w:r w:rsidRPr="00182DD5">
        <w:rPr>
          <w:sz w:val="28"/>
          <w:szCs w:val="28"/>
          <w:lang w:val="en-GB"/>
        </w:rPr>
        <w:t xml:space="preserve"> β</w:t>
      </w:r>
      <w:r w:rsidR="00E14270">
        <w:rPr>
          <w:lang w:val="en-GB"/>
        </w:rPr>
        <w:t>*</w:t>
      </w:r>
      <w:r>
        <w:rPr>
          <w:lang w:val="en-GB"/>
        </w:rPr>
        <w:t xml:space="preserve"> R </w:t>
      </w:r>
      <w:r>
        <w:rPr>
          <w:sz w:val="16"/>
          <w:szCs w:val="16"/>
          <w:lang w:val="en-GB"/>
        </w:rPr>
        <w:t>HSBC</w:t>
      </w:r>
      <w:r w:rsidRPr="00182DD5">
        <w:rPr>
          <w:sz w:val="16"/>
          <w:szCs w:val="16"/>
          <w:lang w:val="en-GB"/>
        </w:rPr>
        <w:t xml:space="preserve"> </w:t>
      </w:r>
      <w:r w:rsidR="00292CD8">
        <w:rPr>
          <w:sz w:val="16"/>
          <w:szCs w:val="16"/>
          <w:lang w:val="en-GB"/>
        </w:rPr>
        <w:t>Country</w:t>
      </w:r>
      <w:r w:rsidRPr="00182DD5">
        <w:rPr>
          <w:sz w:val="16"/>
          <w:szCs w:val="16"/>
          <w:lang w:val="en-GB"/>
        </w:rPr>
        <w:t>,t</w:t>
      </w:r>
      <w:r>
        <w:rPr>
          <w:lang w:val="en-GB"/>
        </w:rPr>
        <w:t xml:space="preserve"> + </w:t>
      </w:r>
      <w:r w:rsidRPr="00182DD5">
        <w:rPr>
          <w:sz w:val="28"/>
          <w:szCs w:val="28"/>
          <w:lang w:val="en-GB"/>
        </w:rPr>
        <w:t>υ</w:t>
      </w:r>
      <w:r w:rsidR="00F309BD">
        <w:rPr>
          <w:sz w:val="16"/>
          <w:szCs w:val="16"/>
          <w:lang w:val="en-GB"/>
        </w:rPr>
        <w:t>i</w:t>
      </w:r>
      <w:r w:rsidRPr="00182DD5">
        <w:rPr>
          <w:sz w:val="16"/>
          <w:szCs w:val="16"/>
          <w:lang w:val="en-GB"/>
        </w:rPr>
        <w:t>,t</w:t>
      </w:r>
      <w:r>
        <w:rPr>
          <w:sz w:val="16"/>
          <w:szCs w:val="16"/>
          <w:lang w:val="en-GB"/>
        </w:rPr>
        <w:tab/>
      </w:r>
    </w:p>
    <w:p w:rsidR="0006708D" w:rsidRPr="000A4F41" w:rsidRDefault="000436DF" w:rsidP="0006708D">
      <w:pPr>
        <w:rPr>
          <w:b/>
          <w:lang w:val="en-GB"/>
        </w:rPr>
      </w:pPr>
      <w:r>
        <w:rPr>
          <w:lang w:val="en-GB"/>
        </w:rPr>
        <w:br w:type="page"/>
      </w:r>
    </w:p>
    <w:p w:rsidR="00512E4C" w:rsidRDefault="00512E4C" w:rsidP="000436DF">
      <w:pPr>
        <w:pStyle w:val="Heading1"/>
      </w:pPr>
      <w:bookmarkStart w:id="14" w:name="_Toc214519190"/>
      <w:r>
        <w:t>Results</w:t>
      </w:r>
      <w:bookmarkEnd w:id="14"/>
    </w:p>
    <w:p w:rsidR="00340082" w:rsidRDefault="00340082" w:rsidP="00B553F7"/>
    <w:p w:rsidR="003928FC" w:rsidRDefault="003928FC" w:rsidP="003928FC">
      <w:pPr>
        <w:rPr>
          <w:lang w:val="en-GB"/>
        </w:rPr>
      </w:pPr>
      <w:r>
        <w:rPr>
          <w:lang w:val="en-GB"/>
        </w:rPr>
        <w:t>The purpose of this research is to find out if there is and impact on the price effect of stocks that enter or exit the MSCI Emerging market index, when an index review by the MSCI BARRA is held.</w:t>
      </w:r>
    </w:p>
    <w:p w:rsidR="003928FC" w:rsidRDefault="003928FC" w:rsidP="003928FC">
      <w:pPr>
        <w:rPr>
          <w:lang w:val="en-GB"/>
        </w:rPr>
      </w:pPr>
      <w:r>
        <w:rPr>
          <w:lang w:val="en-GB"/>
        </w:rPr>
        <w:t xml:space="preserve">In this research the null hypothesis states that: </w:t>
      </w:r>
    </w:p>
    <w:p w:rsidR="00762605" w:rsidRPr="00762605" w:rsidRDefault="00762605" w:rsidP="003928FC">
      <w:pPr>
        <w:rPr>
          <w:lang w:val="en-GB"/>
        </w:rPr>
      </w:pPr>
      <w:r w:rsidRPr="00762605">
        <w:rPr>
          <w:lang w:val="en-GB"/>
        </w:rPr>
        <w:t>Research question 1</w:t>
      </w:r>
    </w:p>
    <w:p w:rsidR="003928FC" w:rsidRPr="003928FC" w:rsidRDefault="00762605" w:rsidP="003928FC">
      <w:pPr>
        <w:rPr>
          <w:b/>
          <w:i/>
          <w:lang w:val="en-GB"/>
        </w:rPr>
      </w:pPr>
      <w:r>
        <w:rPr>
          <w:b/>
          <w:i/>
          <w:lang w:val="en-GB"/>
        </w:rPr>
        <w:t>-</w:t>
      </w:r>
      <w:r w:rsidR="003928FC">
        <w:rPr>
          <w:b/>
          <w:i/>
          <w:lang w:val="en-GB"/>
        </w:rPr>
        <w:t>“</w:t>
      </w:r>
      <w:r w:rsidR="001F4124">
        <w:rPr>
          <w:b/>
          <w:i/>
          <w:lang w:val="en-GB"/>
        </w:rPr>
        <w:t xml:space="preserve"> </w:t>
      </w:r>
      <w:r w:rsidR="003928FC" w:rsidRPr="003928FC">
        <w:rPr>
          <w:b/>
          <w:i/>
          <w:lang w:val="en-GB"/>
        </w:rPr>
        <w:t>there is zero</w:t>
      </w:r>
      <w:r w:rsidR="00EE1204">
        <w:rPr>
          <w:b/>
          <w:i/>
          <w:lang w:val="en-GB"/>
        </w:rPr>
        <w:t xml:space="preserve"> </w:t>
      </w:r>
      <w:r w:rsidR="003928FC" w:rsidRPr="003928FC">
        <w:rPr>
          <w:b/>
          <w:i/>
          <w:lang w:val="en-GB"/>
        </w:rPr>
        <w:t xml:space="preserve">effect on the price of the stock, </w:t>
      </w:r>
      <w:r w:rsidR="003928FC">
        <w:rPr>
          <w:b/>
          <w:i/>
          <w:lang w:val="en-GB"/>
        </w:rPr>
        <w:t>when</w:t>
      </w:r>
      <w:r w:rsidR="003928FC" w:rsidRPr="003928FC">
        <w:rPr>
          <w:b/>
          <w:i/>
          <w:lang w:val="en-GB"/>
        </w:rPr>
        <w:t xml:space="preserve"> this stock is included into </w:t>
      </w:r>
      <w:r w:rsidR="003928FC">
        <w:rPr>
          <w:b/>
          <w:i/>
          <w:lang w:val="en-GB"/>
        </w:rPr>
        <w:t xml:space="preserve">(or excluded from) </w:t>
      </w:r>
      <w:r w:rsidR="003928FC" w:rsidRPr="003928FC">
        <w:rPr>
          <w:b/>
          <w:i/>
          <w:lang w:val="en-GB"/>
        </w:rPr>
        <w:t>the MSCI EM index</w:t>
      </w:r>
      <w:r w:rsidR="003928FC">
        <w:rPr>
          <w:b/>
          <w:i/>
          <w:lang w:val="en-GB"/>
        </w:rPr>
        <w:t xml:space="preserve"> during an index review</w:t>
      </w:r>
      <w:r w:rsidR="003928FC" w:rsidRPr="003928FC">
        <w:rPr>
          <w:b/>
          <w:i/>
          <w:lang w:val="en-GB"/>
        </w:rPr>
        <w:t xml:space="preserve"> </w:t>
      </w:r>
      <w:r w:rsidR="003928FC">
        <w:rPr>
          <w:b/>
          <w:i/>
          <w:lang w:val="en-GB"/>
        </w:rPr>
        <w:t>“</w:t>
      </w:r>
    </w:p>
    <w:p w:rsidR="00762605" w:rsidRPr="00762605" w:rsidRDefault="00762605" w:rsidP="00762605">
      <w:pPr>
        <w:rPr>
          <w:lang w:val="en-GB"/>
        </w:rPr>
      </w:pPr>
      <w:r w:rsidRPr="00762605">
        <w:rPr>
          <w:lang w:val="en-GB"/>
        </w:rPr>
        <w:t>Research question 2</w:t>
      </w:r>
    </w:p>
    <w:p w:rsidR="00762605" w:rsidRPr="00272942" w:rsidRDefault="00762605" w:rsidP="003928FC">
      <w:pPr>
        <w:rPr>
          <w:b/>
          <w:i/>
          <w:lang w:val="en-GB"/>
        </w:rPr>
      </w:pPr>
      <w:r>
        <w:rPr>
          <w:b/>
          <w:i/>
          <w:lang w:val="en-GB"/>
        </w:rPr>
        <w:t xml:space="preserve">-“ </w:t>
      </w:r>
      <w:r w:rsidRPr="003928FC">
        <w:rPr>
          <w:b/>
          <w:i/>
          <w:lang w:val="en-GB"/>
        </w:rPr>
        <w:t xml:space="preserve">there is </w:t>
      </w:r>
      <w:r>
        <w:rPr>
          <w:b/>
          <w:i/>
          <w:lang w:val="en-GB"/>
        </w:rPr>
        <w:t xml:space="preserve">no change in beta of added or deleted stocks when measured before and after the implementation of the index review changes to </w:t>
      </w:r>
      <w:r w:rsidRPr="003928FC">
        <w:rPr>
          <w:b/>
          <w:i/>
          <w:lang w:val="en-GB"/>
        </w:rPr>
        <w:t>the MSCI EM</w:t>
      </w:r>
      <w:r>
        <w:rPr>
          <w:b/>
          <w:i/>
          <w:lang w:val="en-GB"/>
        </w:rPr>
        <w:t>“</w:t>
      </w:r>
    </w:p>
    <w:p w:rsidR="003928FC" w:rsidRDefault="003928FC" w:rsidP="003928FC">
      <w:pPr>
        <w:rPr>
          <w:lang w:val="en-GB"/>
        </w:rPr>
      </w:pPr>
      <w:r>
        <w:rPr>
          <w:lang w:val="en-GB"/>
        </w:rPr>
        <w:t xml:space="preserve">The alternative hypothesis is defined as: </w:t>
      </w:r>
    </w:p>
    <w:p w:rsidR="003928FC" w:rsidRDefault="00762605" w:rsidP="003928FC">
      <w:pPr>
        <w:rPr>
          <w:b/>
          <w:i/>
          <w:lang w:val="en-GB"/>
        </w:rPr>
      </w:pPr>
      <w:r>
        <w:rPr>
          <w:b/>
          <w:i/>
          <w:lang w:val="en-GB"/>
        </w:rPr>
        <w:t>-</w:t>
      </w:r>
      <w:r w:rsidR="003928FC" w:rsidRPr="001F4124">
        <w:rPr>
          <w:b/>
          <w:i/>
          <w:lang w:val="en-GB"/>
        </w:rPr>
        <w:t>“</w:t>
      </w:r>
      <w:r w:rsidR="001F4124">
        <w:rPr>
          <w:b/>
          <w:i/>
          <w:lang w:val="en-GB"/>
        </w:rPr>
        <w:t xml:space="preserve"> </w:t>
      </w:r>
      <w:r w:rsidR="00566A85">
        <w:rPr>
          <w:b/>
          <w:i/>
          <w:lang w:val="en-GB"/>
        </w:rPr>
        <w:t>a</w:t>
      </w:r>
      <w:r w:rsidR="003928FC" w:rsidRPr="001F4124">
        <w:rPr>
          <w:b/>
          <w:i/>
          <w:lang w:val="en-GB"/>
        </w:rPr>
        <w:t xml:space="preserve"> change in the stock price that is not equal to zero.”</w:t>
      </w:r>
    </w:p>
    <w:p w:rsidR="00762605" w:rsidRDefault="00762605" w:rsidP="00762605">
      <w:pPr>
        <w:rPr>
          <w:b/>
          <w:i/>
          <w:lang w:val="en-GB"/>
        </w:rPr>
      </w:pPr>
      <w:r>
        <w:rPr>
          <w:b/>
          <w:i/>
          <w:lang w:val="en-GB"/>
        </w:rPr>
        <w:t>-</w:t>
      </w:r>
      <w:r w:rsidRPr="001F4124">
        <w:rPr>
          <w:b/>
          <w:i/>
          <w:lang w:val="en-GB"/>
        </w:rPr>
        <w:t>“</w:t>
      </w:r>
      <w:r>
        <w:rPr>
          <w:b/>
          <w:i/>
          <w:lang w:val="en-GB"/>
        </w:rPr>
        <w:t xml:space="preserve"> </w:t>
      </w:r>
      <w:r w:rsidR="00566A85">
        <w:rPr>
          <w:b/>
          <w:i/>
          <w:lang w:val="en-GB"/>
        </w:rPr>
        <w:t>a</w:t>
      </w:r>
      <w:r w:rsidRPr="001F4124">
        <w:rPr>
          <w:b/>
          <w:i/>
          <w:lang w:val="en-GB"/>
        </w:rPr>
        <w:t xml:space="preserve"> </w:t>
      </w:r>
      <w:r w:rsidR="001D3268">
        <w:rPr>
          <w:b/>
          <w:i/>
          <w:lang w:val="en-GB"/>
        </w:rPr>
        <w:t xml:space="preserve">change in beta of added </w:t>
      </w:r>
      <w:r w:rsidR="003C7E13">
        <w:rPr>
          <w:b/>
          <w:i/>
          <w:lang w:val="en-GB"/>
        </w:rPr>
        <w:t xml:space="preserve"> </w:t>
      </w:r>
      <w:r w:rsidR="001D3268">
        <w:rPr>
          <w:b/>
          <w:i/>
          <w:lang w:val="en-GB"/>
        </w:rPr>
        <w:t xml:space="preserve">or deleted stocks when measured before and after the implementation of the index review changes to </w:t>
      </w:r>
      <w:r w:rsidR="001D3268" w:rsidRPr="003928FC">
        <w:rPr>
          <w:b/>
          <w:i/>
          <w:lang w:val="en-GB"/>
        </w:rPr>
        <w:t>the MSCI EM</w:t>
      </w:r>
      <w:r w:rsidR="001D3268">
        <w:rPr>
          <w:b/>
          <w:i/>
          <w:lang w:val="en-GB"/>
        </w:rPr>
        <w:t xml:space="preserve"> </w:t>
      </w:r>
      <w:r w:rsidRPr="001F4124">
        <w:rPr>
          <w:b/>
          <w:i/>
          <w:lang w:val="en-GB"/>
        </w:rPr>
        <w:t>t</w:t>
      </w:r>
      <w:r w:rsidR="00272942">
        <w:rPr>
          <w:b/>
          <w:i/>
          <w:lang w:val="en-GB"/>
        </w:rPr>
        <w:t xml:space="preserve">hat </w:t>
      </w:r>
      <w:r w:rsidRPr="001F4124">
        <w:rPr>
          <w:b/>
          <w:i/>
          <w:lang w:val="en-GB"/>
        </w:rPr>
        <w:t>is not equal to zero.”</w:t>
      </w:r>
    </w:p>
    <w:p w:rsidR="00486CF0" w:rsidRDefault="001F4124" w:rsidP="00486CF0">
      <w:pPr>
        <w:rPr>
          <w:lang w:val="en-GB"/>
        </w:rPr>
      </w:pPr>
      <w:r>
        <w:rPr>
          <w:lang w:val="en-GB"/>
        </w:rPr>
        <w:t>Paragraph 5.1 will elaborate on the price effe</w:t>
      </w:r>
      <w:r w:rsidR="00486CF0">
        <w:rPr>
          <w:lang w:val="en-GB"/>
        </w:rPr>
        <w:t>ct of additions in to the index. This paragraph elaborates on the results on the main research question, which are the results on additions to MSCI Emerging Market.</w:t>
      </w:r>
      <w:r w:rsidR="00925375">
        <w:rPr>
          <w:lang w:val="en-GB"/>
        </w:rPr>
        <w:t xml:space="preserve"> Next the </w:t>
      </w:r>
      <w:r w:rsidR="0059243B">
        <w:rPr>
          <w:lang w:val="en-GB"/>
        </w:rPr>
        <w:t>results that focus</w:t>
      </w:r>
      <w:r w:rsidR="00925375">
        <w:rPr>
          <w:lang w:val="en-GB"/>
        </w:rPr>
        <w:t xml:space="preserve"> on the additions from Brazil, Turkey, India and </w:t>
      </w:r>
      <w:r w:rsidR="0042261F">
        <w:rPr>
          <w:lang w:val="en-GB"/>
        </w:rPr>
        <w:t>China will</w:t>
      </w:r>
      <w:r w:rsidR="00925375">
        <w:rPr>
          <w:lang w:val="en-GB"/>
        </w:rPr>
        <w:t xml:space="preserve"> be explained.</w:t>
      </w:r>
    </w:p>
    <w:p w:rsidR="00486CF0" w:rsidRDefault="00925375" w:rsidP="001F4124">
      <w:pPr>
        <w:rPr>
          <w:lang w:val="en-GB"/>
        </w:rPr>
      </w:pPr>
      <w:r>
        <w:rPr>
          <w:lang w:val="en-GB"/>
        </w:rPr>
        <w:t xml:space="preserve">Paragraph 5.2 will focus on the deletions from the MSCI EM, which is the second part of the main research question. Followed by the results </w:t>
      </w:r>
      <w:r w:rsidR="002C17D0">
        <w:rPr>
          <w:lang w:val="en-GB"/>
        </w:rPr>
        <w:t>on the countries named i</w:t>
      </w:r>
      <w:r>
        <w:rPr>
          <w:lang w:val="en-GB"/>
        </w:rPr>
        <w:t>n paragraph 5.1</w:t>
      </w:r>
    </w:p>
    <w:p w:rsidR="00965E0E" w:rsidRDefault="001F4124" w:rsidP="001F4124">
      <w:r>
        <w:t xml:space="preserve">Paragraph 5.3 will </w:t>
      </w:r>
      <w:r w:rsidR="003578E0">
        <w:t>concentrate</w:t>
      </w:r>
      <w:r>
        <w:t xml:space="preserve"> </w:t>
      </w:r>
      <w:r w:rsidR="00762605">
        <w:t xml:space="preserve">on </w:t>
      </w:r>
      <w:r w:rsidR="003578E0">
        <w:t>the second research question, where</w:t>
      </w:r>
      <w:r w:rsidR="004517D2">
        <w:t xml:space="preserve"> </w:t>
      </w:r>
      <w:r w:rsidR="0042261F">
        <w:t xml:space="preserve">in the first </w:t>
      </w:r>
      <w:r w:rsidR="004517D2">
        <w:t>part emphasis</w:t>
      </w:r>
      <w:r w:rsidR="003578E0">
        <w:t xml:space="preserve"> lies on the MSCI Emerging </w:t>
      </w:r>
      <w:r w:rsidR="0042261F">
        <w:t>M</w:t>
      </w:r>
      <w:r w:rsidR="003578E0">
        <w:t xml:space="preserve">arket index, continued with </w:t>
      </w:r>
      <w:r w:rsidR="004517D2">
        <w:t>explanation on</w:t>
      </w:r>
      <w:r w:rsidR="00EE1204">
        <w:t xml:space="preserve"> </w:t>
      </w:r>
      <w:r w:rsidR="00965E0E">
        <w:t xml:space="preserve">the beta changes </w:t>
      </w:r>
      <w:r w:rsidR="003578E0">
        <w:t xml:space="preserve">on </w:t>
      </w:r>
      <w:r w:rsidR="00965E0E">
        <w:t>the four countries, based on MSCI and HSBC indices.</w:t>
      </w:r>
    </w:p>
    <w:p w:rsidR="00EA0575" w:rsidRPr="00073F1E" w:rsidRDefault="00925375" w:rsidP="001F4124">
      <w:pPr>
        <w:rPr>
          <w:lang w:val="en-GB"/>
        </w:rPr>
      </w:pPr>
      <w:r>
        <w:t xml:space="preserve"> </w:t>
      </w:r>
      <w:r w:rsidR="008E54BA">
        <w:t>All T</w:t>
      </w:r>
      <w:r w:rsidR="007E64C9">
        <w:t>-statistic calculations in this chapter are based on a significance level of five percent.</w:t>
      </w:r>
    </w:p>
    <w:p w:rsidR="000E3AA8" w:rsidRPr="00073F1E" w:rsidRDefault="00B553F7" w:rsidP="00B82F53">
      <w:pPr>
        <w:pStyle w:val="Heading2"/>
        <w:rPr>
          <w:lang w:val="en-GB"/>
        </w:rPr>
      </w:pPr>
      <w:bookmarkStart w:id="15" w:name="_Toc214519191"/>
      <w:r w:rsidRPr="00147C22">
        <w:rPr>
          <w:lang w:val="en-GB"/>
        </w:rPr>
        <w:t xml:space="preserve">The </w:t>
      </w:r>
      <w:r w:rsidR="00340082">
        <w:rPr>
          <w:lang w:val="en-GB"/>
        </w:rPr>
        <w:t>results on the p</w:t>
      </w:r>
      <w:r>
        <w:rPr>
          <w:lang w:val="en-GB"/>
        </w:rPr>
        <w:t>rice effects on additions</w:t>
      </w:r>
      <w:bookmarkEnd w:id="15"/>
      <w:r>
        <w:rPr>
          <w:lang w:val="en-GB"/>
        </w:rPr>
        <w:t xml:space="preserve"> </w:t>
      </w:r>
    </w:p>
    <w:p w:rsidR="00B82F53" w:rsidRDefault="006E5963" w:rsidP="00F95AC5">
      <w:pPr>
        <w:pStyle w:val="Heading3"/>
        <w:rPr>
          <w:lang w:val="en-GB"/>
        </w:rPr>
      </w:pPr>
      <w:r>
        <w:rPr>
          <w:lang w:val="en-GB"/>
        </w:rPr>
        <w:t>Data collection and analysis</w:t>
      </w:r>
    </w:p>
    <w:p w:rsidR="0029057F" w:rsidRDefault="00340082" w:rsidP="0029057F">
      <w:pPr>
        <w:rPr>
          <w:lang w:val="en-GB"/>
        </w:rPr>
      </w:pPr>
      <w:r>
        <w:rPr>
          <w:lang w:val="en-GB"/>
        </w:rPr>
        <w:t xml:space="preserve">To determine the correct days of each index review event, data on the </w:t>
      </w:r>
      <w:r w:rsidR="0079240D">
        <w:rPr>
          <w:lang w:val="en-GB"/>
        </w:rPr>
        <w:t xml:space="preserve">index review </w:t>
      </w:r>
      <w:r>
        <w:rPr>
          <w:lang w:val="en-GB"/>
        </w:rPr>
        <w:t>dates were collected from the MSCI website.</w:t>
      </w:r>
      <w:r w:rsidR="00EE1204">
        <w:rPr>
          <w:lang w:val="en-GB"/>
        </w:rPr>
        <w:t xml:space="preserve"> </w:t>
      </w:r>
    </w:p>
    <w:p w:rsidR="005E7C0D" w:rsidRDefault="0079240D" w:rsidP="0029057F">
      <w:pPr>
        <w:rPr>
          <w:lang w:val="en-GB"/>
        </w:rPr>
      </w:pPr>
      <w:r>
        <w:rPr>
          <w:lang w:val="en-GB"/>
        </w:rPr>
        <w:t xml:space="preserve">The </w:t>
      </w:r>
      <w:r w:rsidR="00B82F53">
        <w:rPr>
          <w:lang w:val="en-GB"/>
        </w:rPr>
        <w:t xml:space="preserve">return data on all companies that entered and exited the index during the index reviews from </w:t>
      </w:r>
      <w:r w:rsidR="0029057F">
        <w:rPr>
          <w:lang w:val="en-GB"/>
        </w:rPr>
        <w:t xml:space="preserve">the year </w:t>
      </w:r>
      <w:r w:rsidR="00B82F53">
        <w:rPr>
          <w:lang w:val="en-GB"/>
        </w:rPr>
        <w:t>2004 till 2010</w:t>
      </w:r>
      <w:r w:rsidRPr="0079240D">
        <w:rPr>
          <w:lang w:val="en-GB"/>
        </w:rPr>
        <w:t xml:space="preserve"> </w:t>
      </w:r>
      <w:r>
        <w:rPr>
          <w:lang w:val="en-GB"/>
        </w:rPr>
        <w:t>was collected from Factset</w:t>
      </w:r>
      <w:r w:rsidR="00340082">
        <w:rPr>
          <w:lang w:val="en-GB"/>
        </w:rPr>
        <w:t xml:space="preserve">. </w:t>
      </w:r>
      <w:r>
        <w:rPr>
          <w:lang w:val="en-GB"/>
        </w:rPr>
        <w:t>Furthermore</w:t>
      </w:r>
      <w:r w:rsidR="00340082">
        <w:rPr>
          <w:lang w:val="en-GB"/>
        </w:rPr>
        <w:t xml:space="preserve"> a download on the total return data of the MSCI Emerging markets, and</w:t>
      </w:r>
      <w:r w:rsidR="00EE1204">
        <w:rPr>
          <w:lang w:val="en-GB"/>
        </w:rPr>
        <w:t xml:space="preserve"> </w:t>
      </w:r>
      <w:r w:rsidR="00340082">
        <w:rPr>
          <w:lang w:val="en-GB"/>
        </w:rPr>
        <w:t xml:space="preserve">MSCI Brazil, MSCI Turkey, MSCI India and MSCI China </w:t>
      </w:r>
      <w:r w:rsidR="0029057F">
        <w:rPr>
          <w:lang w:val="en-GB"/>
        </w:rPr>
        <w:t xml:space="preserve">index </w:t>
      </w:r>
      <w:r w:rsidR="00340082">
        <w:rPr>
          <w:lang w:val="en-GB"/>
        </w:rPr>
        <w:t>was made over the same period.</w:t>
      </w:r>
      <w:r w:rsidR="00EE1204">
        <w:rPr>
          <w:lang w:val="en-GB"/>
        </w:rPr>
        <w:t xml:space="preserve"> </w:t>
      </w:r>
    </w:p>
    <w:p w:rsidR="00223F0A" w:rsidRDefault="0029057F" w:rsidP="0029057F">
      <w:pPr>
        <w:rPr>
          <w:lang w:val="en-GB"/>
        </w:rPr>
      </w:pPr>
      <w:r>
        <w:rPr>
          <w:lang w:val="en-GB"/>
        </w:rPr>
        <w:t xml:space="preserve">The Index review days were then </w:t>
      </w:r>
      <w:r w:rsidR="0079240D">
        <w:rPr>
          <w:lang w:val="en-GB"/>
        </w:rPr>
        <w:t>put n</w:t>
      </w:r>
      <w:r>
        <w:rPr>
          <w:lang w:val="en-GB"/>
        </w:rPr>
        <w:t>ext to the same index days to determine the correct index dates in order to compute the excess return</w:t>
      </w:r>
      <w:r w:rsidR="0074446C">
        <w:rPr>
          <w:lang w:val="en-GB"/>
        </w:rPr>
        <w:t xml:space="preserve"> of the stocks against the MSCI EM index</w:t>
      </w:r>
      <w:r w:rsidR="005E7C0D">
        <w:rPr>
          <w:lang w:val="en-GB"/>
        </w:rPr>
        <w:t>.</w:t>
      </w:r>
      <w:r w:rsidR="00EE1204">
        <w:rPr>
          <w:lang w:val="en-GB"/>
        </w:rPr>
        <w:t xml:space="preserve"> </w:t>
      </w:r>
      <w:r w:rsidR="005E7C0D">
        <w:rPr>
          <w:lang w:val="en-GB"/>
        </w:rPr>
        <w:t>In order to calculate the excess return for the sub question on price effects</w:t>
      </w:r>
      <w:r w:rsidR="00E3756A">
        <w:rPr>
          <w:lang w:val="en-GB"/>
        </w:rPr>
        <w:t>, the</w:t>
      </w:r>
      <w:r w:rsidR="005E7C0D">
        <w:rPr>
          <w:lang w:val="en-GB"/>
        </w:rPr>
        <w:t xml:space="preserve"> return of the stocks was held against the </w:t>
      </w:r>
      <w:r w:rsidR="00E3756A">
        <w:rPr>
          <w:lang w:val="en-GB"/>
        </w:rPr>
        <w:t>MSCI Country index</w:t>
      </w:r>
      <w:r w:rsidR="0059243B">
        <w:rPr>
          <w:lang w:val="en-GB"/>
        </w:rPr>
        <w:t xml:space="preserve">. </w:t>
      </w:r>
    </w:p>
    <w:p w:rsidR="00C64FCA" w:rsidRDefault="00223F0A" w:rsidP="0029057F">
      <w:pPr>
        <w:rPr>
          <w:lang w:val="en-GB"/>
        </w:rPr>
      </w:pPr>
      <w:r>
        <w:rPr>
          <w:lang w:val="en-GB"/>
        </w:rPr>
        <w:t>As mentioned in chapter 3</w:t>
      </w:r>
      <w:r w:rsidR="007A576A">
        <w:rPr>
          <w:lang w:val="en-GB"/>
        </w:rPr>
        <w:t>, six</w:t>
      </w:r>
      <w:r w:rsidR="0074446C">
        <w:rPr>
          <w:lang w:val="en-GB"/>
        </w:rPr>
        <w:t xml:space="preserve"> </w:t>
      </w:r>
      <w:r>
        <w:rPr>
          <w:lang w:val="en-GB"/>
        </w:rPr>
        <w:t>different event windows were made</w:t>
      </w:r>
      <w:r w:rsidR="0074446C">
        <w:rPr>
          <w:lang w:val="en-GB"/>
        </w:rPr>
        <w:t xml:space="preserve">, and of these six event windows, two events were a one day event, naming the period t-1 and t=0. For these two event days </w:t>
      </w:r>
      <w:r w:rsidR="00E14270">
        <w:rPr>
          <w:lang w:val="en-GB"/>
        </w:rPr>
        <w:t>only the</w:t>
      </w:r>
      <w:r w:rsidR="0074446C">
        <w:rPr>
          <w:lang w:val="en-GB"/>
        </w:rPr>
        <w:t xml:space="preserve"> Abnormal Return was </w:t>
      </w:r>
      <w:r w:rsidR="00E14270">
        <w:rPr>
          <w:lang w:val="en-GB"/>
        </w:rPr>
        <w:t>calculated</w:t>
      </w:r>
      <w:r w:rsidR="0074446C">
        <w:rPr>
          <w:lang w:val="en-GB"/>
        </w:rPr>
        <w:t xml:space="preserve">. For the remaining four event windows the </w:t>
      </w:r>
      <w:r w:rsidR="007A576A">
        <w:rPr>
          <w:lang w:val="en-GB"/>
        </w:rPr>
        <w:t xml:space="preserve">both the abnormal return and </w:t>
      </w:r>
      <w:r w:rsidR="0074446C">
        <w:rPr>
          <w:lang w:val="en-GB"/>
        </w:rPr>
        <w:t xml:space="preserve">cumulative abnormal </w:t>
      </w:r>
      <w:r w:rsidR="007A576A">
        <w:rPr>
          <w:lang w:val="en-GB"/>
        </w:rPr>
        <w:t>return were</w:t>
      </w:r>
      <w:r w:rsidR="00C64FCA">
        <w:rPr>
          <w:lang w:val="en-GB"/>
        </w:rPr>
        <w:t xml:space="preserve"> calculated.</w:t>
      </w:r>
    </w:p>
    <w:p w:rsidR="00C64FCA" w:rsidRDefault="00C64FCA" w:rsidP="0029057F">
      <w:pPr>
        <w:rPr>
          <w:lang w:val="en-GB"/>
        </w:rPr>
      </w:pPr>
      <w:r>
        <w:rPr>
          <w:lang w:val="en-GB"/>
        </w:rPr>
        <w:t>The abnormal return was computed on a stock level by deducting the return of the index on day</w:t>
      </w:r>
      <w:r w:rsidRPr="004F7A59">
        <w:rPr>
          <w:sz w:val="16"/>
          <w:szCs w:val="16"/>
          <w:lang w:val="en-GB"/>
        </w:rPr>
        <w:t>t</w:t>
      </w:r>
      <w:r>
        <w:rPr>
          <w:lang w:val="en-GB"/>
        </w:rPr>
        <w:t xml:space="preserve"> from the total return of day t of the stock. This was done for all stocks of all countries </w:t>
      </w:r>
      <w:r w:rsidR="00454C39">
        <w:rPr>
          <w:lang w:val="en-GB"/>
        </w:rPr>
        <w:t>on</w:t>
      </w:r>
      <w:r>
        <w:rPr>
          <w:lang w:val="en-GB"/>
        </w:rPr>
        <w:t xml:space="preserve"> the additions to the index as well as the deletions from the index.</w:t>
      </w:r>
    </w:p>
    <w:p w:rsidR="007A576A" w:rsidRDefault="00EB2744" w:rsidP="0029057F">
      <w:pPr>
        <w:rPr>
          <w:lang w:val="en-GB"/>
        </w:rPr>
      </w:pPr>
      <w:r>
        <w:rPr>
          <w:lang w:val="en-GB"/>
        </w:rPr>
        <w:t>Stock</w:t>
      </w:r>
      <w:r w:rsidR="007A576A">
        <w:rPr>
          <w:lang w:val="en-GB"/>
        </w:rPr>
        <w:t xml:space="preserve"> </w:t>
      </w:r>
      <w:r>
        <w:rPr>
          <w:lang w:val="en-GB"/>
        </w:rPr>
        <w:t>additions</w:t>
      </w:r>
      <w:r w:rsidR="007A576A">
        <w:rPr>
          <w:lang w:val="en-GB"/>
        </w:rPr>
        <w:t xml:space="preserve"> </w:t>
      </w:r>
      <w:r>
        <w:rPr>
          <w:lang w:val="en-GB"/>
        </w:rPr>
        <w:t xml:space="preserve">(deletion) </w:t>
      </w:r>
      <w:r w:rsidR="007A576A">
        <w:rPr>
          <w:lang w:val="en-GB"/>
        </w:rPr>
        <w:t>effect is studied by analysing the abnormal returns around the announcement date and the inclusion</w:t>
      </w:r>
      <w:r>
        <w:rPr>
          <w:lang w:val="en-GB"/>
        </w:rPr>
        <w:t xml:space="preserve"> </w:t>
      </w:r>
      <w:r w:rsidR="007A576A">
        <w:rPr>
          <w:lang w:val="en-GB"/>
        </w:rPr>
        <w:t>(exclusion) date. The daily abnormal returns are calculated as the stocks excess return on day t over the index return.</w:t>
      </w:r>
    </w:p>
    <w:p w:rsidR="00C43A14" w:rsidRDefault="007A576A" w:rsidP="0029057F">
      <w:pPr>
        <w:rPr>
          <w:lang w:val="en-GB"/>
        </w:rPr>
      </w:pPr>
      <w:r>
        <w:rPr>
          <w:lang w:val="en-GB"/>
        </w:rPr>
        <w:t>The a</w:t>
      </w:r>
      <w:r w:rsidR="008E50D7">
        <w:rPr>
          <w:lang w:val="en-GB"/>
        </w:rPr>
        <w:t xml:space="preserve">bnormal return, </w:t>
      </w:r>
      <w:r w:rsidR="00C43A14">
        <w:rPr>
          <w:lang w:val="en-GB"/>
        </w:rPr>
        <w:t xml:space="preserve">was </w:t>
      </w:r>
      <w:r w:rsidR="00454C39">
        <w:rPr>
          <w:lang w:val="en-GB"/>
        </w:rPr>
        <w:t xml:space="preserve">then </w:t>
      </w:r>
      <w:r w:rsidR="00C43A14">
        <w:rPr>
          <w:lang w:val="en-GB"/>
        </w:rPr>
        <w:t>computed on a total</w:t>
      </w:r>
      <w:r w:rsidR="00454C39">
        <w:rPr>
          <w:lang w:val="en-GB"/>
        </w:rPr>
        <w:t xml:space="preserve"> level</w:t>
      </w:r>
      <w:r w:rsidR="00C43A14">
        <w:rPr>
          <w:lang w:val="en-GB"/>
        </w:rPr>
        <w:t xml:space="preserve"> for the MSCI Emerging market and on the different country levels.</w:t>
      </w:r>
      <w:r w:rsidR="00B11461">
        <w:rPr>
          <w:lang w:val="en-GB"/>
        </w:rPr>
        <w:t xml:space="preserve"> This was done using the equation:</w:t>
      </w:r>
      <w:r w:rsidR="00EE1204">
        <w:rPr>
          <w:lang w:val="en-GB"/>
        </w:rPr>
        <w:t xml:space="preserve"> </w:t>
      </w:r>
    </w:p>
    <w:p w:rsidR="00B11461" w:rsidRDefault="003D440E" w:rsidP="00B11461">
      <m:oMathPara>
        <m:oMath>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R</m:t>
              </m:r>
            </m:e>
            <m:sub>
              <m:r>
                <w:rPr>
                  <w:rFonts w:ascii="Cambria Math" w:hAnsi="Cambria Math"/>
                  <w:lang w:val="en-GB"/>
                </w:rPr>
                <m:t>i,t</m:t>
              </m:r>
            </m:sub>
          </m:sSub>
          <m:r>
            <w:rPr>
              <w:rFonts w:ascii="Cambria Math" w:hAnsi="Cambria Math"/>
              <w:lang w:val="en-GB"/>
            </w:rPr>
            <m:t>-</m:t>
          </m:r>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R</m:t>
                  </m:r>
                </m:e>
              </m:acc>
            </m:e>
            <m:sub>
              <m:r>
                <w:rPr>
                  <w:rFonts w:ascii="Cambria Math" w:hAnsi="Cambria Math"/>
                  <w:lang w:val="en-GB"/>
                </w:rPr>
                <m:t>M,t</m:t>
              </m:r>
            </m:sub>
          </m:sSub>
        </m:oMath>
      </m:oMathPara>
    </w:p>
    <w:p w:rsidR="00F94A8E" w:rsidRDefault="007A576A" w:rsidP="00F94A8E">
      <w:r>
        <w:t xml:space="preserve">Where </w:t>
      </w:r>
      <w:r w:rsidR="00EB2744">
        <w:t>:</w:t>
      </w:r>
    </w:p>
    <w:p w:rsidR="00EB2744" w:rsidRDefault="00EB2744" w:rsidP="00F94A8E">
      <w:pPr>
        <w:rPr>
          <w:lang w:val="en-GB"/>
        </w:rPr>
      </w:pPr>
      <w:r>
        <w:t>-</w:t>
      </w:r>
      <m:oMath>
        <m:sSub>
          <m:sSubPr>
            <m:ctrlPr>
              <w:rPr>
                <w:rFonts w:ascii="Cambria Math" w:hAnsi="Cambria Math"/>
                <w:i/>
                <w:lang w:val="en-GB"/>
              </w:rPr>
            </m:ctrlPr>
          </m:sSubPr>
          <m:e>
            <m:r>
              <w:rPr>
                <w:rFonts w:ascii="Cambria Math" w:hAnsi="Cambria Math"/>
                <w:lang w:val="en-GB"/>
              </w:rPr>
              <m:t>AR</m:t>
            </m:r>
          </m:e>
          <m:sub>
            <m:r>
              <w:rPr>
                <w:rFonts w:ascii="Cambria Math" w:hAnsi="Cambria Math"/>
                <w:lang w:val="en-GB"/>
              </w:rPr>
              <m:t>i,t</m:t>
            </m:r>
          </m:sub>
        </m:sSub>
      </m:oMath>
      <w:r>
        <w:rPr>
          <w:lang w:val="en-GB"/>
        </w:rPr>
        <w:t>stands for abnormal return</w:t>
      </w:r>
    </w:p>
    <w:p w:rsidR="00EB2744" w:rsidRPr="00EB2744" w:rsidRDefault="003D440E" w:rsidP="00F94A8E">
      <w:pPr>
        <w:rPr>
          <w:lang w:val="en-GB"/>
        </w:rPr>
      </w:pPr>
      <m:oMath>
        <m:sSub>
          <m:sSubPr>
            <m:ctrlPr>
              <w:rPr>
                <w:rFonts w:ascii="Cambria Math" w:hAnsi="Cambria Math"/>
                <w:i/>
                <w:lang w:val="en-GB"/>
              </w:rPr>
            </m:ctrlPr>
          </m:sSubPr>
          <m:e>
            <m:r>
              <w:rPr>
                <w:rFonts w:ascii="Cambria Math" w:hAnsi="Cambria Math"/>
                <w:lang w:val="en-GB"/>
              </w:rPr>
              <m:t>R</m:t>
            </m:r>
          </m:e>
          <m:sub>
            <m:r>
              <w:rPr>
                <w:rFonts w:ascii="Cambria Math" w:hAnsi="Cambria Math"/>
                <w:lang w:val="en-GB"/>
              </w:rPr>
              <m:t>i,t</m:t>
            </m:r>
          </m:sub>
        </m:sSub>
      </m:oMath>
      <w:r w:rsidR="00EB2744">
        <w:rPr>
          <w:lang w:val="en-GB"/>
        </w:rPr>
        <w:t xml:space="preserve"> stands for the stock return and </w:t>
      </w:r>
      <m:oMath>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R</m:t>
                </m:r>
              </m:e>
            </m:acc>
          </m:e>
          <m:sub>
            <m:r>
              <w:rPr>
                <w:rFonts w:ascii="Cambria Math" w:hAnsi="Cambria Math"/>
                <w:lang w:val="en-GB"/>
              </w:rPr>
              <m:t>M,t</m:t>
            </m:r>
          </m:sub>
        </m:sSub>
      </m:oMath>
      <w:r w:rsidR="00EB2744">
        <w:rPr>
          <w:lang w:val="en-GB"/>
        </w:rPr>
        <w:t xml:space="preserve"> for MSCI index return on day t.</w:t>
      </w:r>
    </w:p>
    <w:p w:rsidR="00EB2744" w:rsidRDefault="0059243B" w:rsidP="00F94A8E">
      <w:r>
        <w:t xml:space="preserve">First the results on the price effect </w:t>
      </w:r>
      <w:r w:rsidR="004958F0">
        <w:t>for MSCI</w:t>
      </w:r>
      <w:r>
        <w:t xml:space="preserve"> Emerging Markets will be elaborated on, followed by price effect results done on four emerging markets countries. </w:t>
      </w:r>
    </w:p>
    <w:p w:rsidR="0059243B" w:rsidRDefault="0059243B" w:rsidP="00F95AC5">
      <w:pPr>
        <w:pStyle w:val="Heading3"/>
        <w:rPr>
          <w:lang w:val="en-GB"/>
        </w:rPr>
      </w:pPr>
    </w:p>
    <w:p w:rsidR="0059243B" w:rsidRDefault="0059243B" w:rsidP="00F95AC5">
      <w:pPr>
        <w:pStyle w:val="Heading3"/>
        <w:rPr>
          <w:lang w:val="en-GB"/>
        </w:rPr>
      </w:pPr>
    </w:p>
    <w:p w:rsidR="00F95AC5" w:rsidRDefault="00F95AC5" w:rsidP="00F95AC5">
      <w:pPr>
        <w:pStyle w:val="Heading3"/>
        <w:rPr>
          <w:lang w:val="en-GB"/>
        </w:rPr>
      </w:pPr>
      <w:r>
        <w:rPr>
          <w:lang w:val="en-GB"/>
        </w:rPr>
        <w:t>The results on additions</w:t>
      </w:r>
    </w:p>
    <w:p w:rsidR="00B11461" w:rsidRDefault="006F10F7" w:rsidP="00B553F7">
      <w:pPr>
        <w:rPr>
          <w:lang w:val="en-GB"/>
        </w:rPr>
      </w:pPr>
      <w:r>
        <w:rPr>
          <w:lang w:val="en-GB"/>
        </w:rPr>
        <w:t xml:space="preserve">The </w:t>
      </w:r>
      <w:r w:rsidRPr="00F95AC5">
        <w:rPr>
          <w:lang w:val="en-GB"/>
        </w:rPr>
        <w:t>table 5.1</w:t>
      </w:r>
      <w:r w:rsidR="00A546FC" w:rsidRPr="00F95AC5">
        <w:rPr>
          <w:lang w:val="en-GB"/>
        </w:rPr>
        <w:t>.1</w:t>
      </w:r>
      <w:r w:rsidR="00EE1204">
        <w:rPr>
          <w:lang w:val="en-GB"/>
        </w:rPr>
        <w:t xml:space="preserve"> </w:t>
      </w:r>
      <w:r w:rsidR="00A546FC" w:rsidRPr="00F95AC5">
        <w:rPr>
          <w:lang w:val="en-GB"/>
        </w:rPr>
        <w:t>and chart 5.1.1.</w:t>
      </w:r>
      <w:r w:rsidR="00A546FC">
        <w:rPr>
          <w:lang w:val="en-GB"/>
        </w:rPr>
        <w:t xml:space="preserve"> below show</w:t>
      </w:r>
      <w:r>
        <w:rPr>
          <w:lang w:val="en-GB"/>
        </w:rPr>
        <w:t xml:space="preserve"> the results on the price effect of additions into the MSCI Emerging Markets index.</w:t>
      </w:r>
    </w:p>
    <w:p w:rsidR="003E7FF5" w:rsidRDefault="006F10F7" w:rsidP="00B553F7">
      <w:pPr>
        <w:rPr>
          <w:b/>
          <w:lang w:val="en-GB"/>
        </w:rPr>
      </w:pPr>
      <w:r w:rsidRPr="006F10F7">
        <w:rPr>
          <w:b/>
          <w:lang w:val="en-GB"/>
        </w:rPr>
        <w:t>Table 5.1</w:t>
      </w:r>
      <w:r>
        <w:rPr>
          <w:b/>
          <w:lang w:val="en-GB"/>
        </w:rPr>
        <w:t>.1.</w:t>
      </w:r>
      <w:r w:rsidR="00B72B13">
        <w:rPr>
          <w:b/>
          <w:lang w:val="en-GB"/>
        </w:rPr>
        <w:t xml:space="preserve"> Additions to the MSCI EM</w:t>
      </w:r>
    </w:p>
    <w:p w:rsidR="00C33383" w:rsidRPr="00A52F55" w:rsidRDefault="00C33383" w:rsidP="00B553F7">
      <w:pPr>
        <w:rPr>
          <w:rFonts w:ascii="Calibri" w:eastAsia="Times New Roman" w:hAnsi="Calibri" w:cs="Times New Roman"/>
          <w:color w:val="000000"/>
          <w:sz w:val="16"/>
          <w:szCs w:val="16"/>
        </w:rPr>
      </w:pPr>
      <w:r w:rsidRPr="00CB4BAE">
        <w:rPr>
          <w:rFonts w:ascii="Calibri" w:eastAsia="Times New Roman" w:hAnsi="Calibri" w:cs="Times New Roman"/>
          <w:color w:val="000000"/>
          <w:sz w:val="16"/>
          <w:szCs w:val="16"/>
        </w:rPr>
        <w:t xml:space="preserve">All T-stat calculations are based on a significance level of 5%. The sample size is based on </w:t>
      </w:r>
      <w:r>
        <w:rPr>
          <w:rFonts w:ascii="Calibri" w:eastAsia="Times New Roman" w:hAnsi="Calibri" w:cs="Times New Roman"/>
          <w:color w:val="000000"/>
          <w:sz w:val="16"/>
          <w:szCs w:val="16"/>
        </w:rPr>
        <w:t xml:space="preserve">all </w:t>
      </w:r>
      <w:r w:rsidRPr="00CB4BAE">
        <w:rPr>
          <w:rFonts w:ascii="Calibri" w:eastAsia="Times New Roman" w:hAnsi="Calibri" w:cs="Times New Roman"/>
          <w:color w:val="000000"/>
          <w:sz w:val="16"/>
          <w:szCs w:val="16"/>
        </w:rPr>
        <w:t xml:space="preserve">additions </w:t>
      </w:r>
      <w:r>
        <w:rPr>
          <w:rFonts w:ascii="Calibri" w:eastAsia="Times New Roman" w:hAnsi="Calibri" w:cs="Times New Roman"/>
          <w:color w:val="000000"/>
          <w:sz w:val="16"/>
          <w:szCs w:val="16"/>
        </w:rPr>
        <w:t xml:space="preserve">of all countries within the MSCI Emerging Markets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xml:space="preserve">. The </w:t>
      </w:r>
      <w:r w:rsidR="00A52F55">
        <w:rPr>
          <w:rFonts w:ascii="Calibri" w:eastAsia="Times New Roman" w:hAnsi="Calibri" w:cs="Times New Roman"/>
          <w:color w:val="000000"/>
          <w:sz w:val="16"/>
          <w:szCs w:val="16"/>
        </w:rPr>
        <w:t xml:space="preserve">t stands for number of days, or a time line between different days. AR </w:t>
      </w:r>
      <w:r>
        <w:rPr>
          <w:rFonts w:ascii="Calibri" w:eastAsia="Times New Roman" w:hAnsi="Calibri" w:cs="Times New Roman"/>
          <w:color w:val="000000"/>
          <w:sz w:val="16"/>
          <w:szCs w:val="16"/>
        </w:rPr>
        <w:t xml:space="preserve">average </w:t>
      </w:r>
      <w:r w:rsidR="00A52F55">
        <w:rPr>
          <w:rFonts w:ascii="Calibri" w:eastAsia="Times New Roman" w:hAnsi="Calibri" w:cs="Times New Roman"/>
          <w:color w:val="000000"/>
          <w:sz w:val="16"/>
          <w:szCs w:val="16"/>
        </w:rPr>
        <w:t>is Average abnormal return of the event window. CAR is the cumulative abnormal return of the event window.</w:t>
      </w:r>
      <w:r w:rsidR="00EB2744">
        <w:rPr>
          <w:rFonts w:ascii="Calibri" w:eastAsia="Times New Roman" w:hAnsi="Calibri" w:cs="Times New Roman"/>
          <w:color w:val="000000"/>
          <w:sz w:val="16"/>
          <w:szCs w:val="16"/>
        </w:rPr>
        <w:t xml:space="preserve"> </w:t>
      </w:r>
      <w:r w:rsidR="007A576A">
        <w:rPr>
          <w:rFonts w:ascii="Calibri" w:eastAsia="Times New Roman" w:hAnsi="Calibri" w:cs="Times New Roman"/>
          <w:color w:val="000000"/>
          <w:sz w:val="16"/>
          <w:szCs w:val="16"/>
        </w:rPr>
        <w:t>The CAR of all sample stocks are combined and averaged over the event window to calculate the overall CAR for the complete sample.</w:t>
      </w:r>
      <w:r w:rsidR="00A52F55">
        <w:rPr>
          <w:rFonts w:ascii="Calibri" w:eastAsia="Times New Roman" w:hAnsi="Calibri" w:cs="Times New Roman"/>
          <w:color w:val="000000"/>
          <w:sz w:val="16"/>
          <w:szCs w:val="16"/>
        </w:rPr>
        <w:t xml:space="preserve"> </w:t>
      </w:r>
    </w:p>
    <w:p w:rsidR="00C33383" w:rsidRDefault="00C33383" w:rsidP="00B553F7">
      <w:pPr>
        <w:rPr>
          <w:b/>
          <w:lang w:val="en-GB"/>
        </w:rPr>
      </w:pPr>
    </w:p>
    <w:p w:rsidR="00C33383" w:rsidRDefault="00C33383" w:rsidP="00B553F7">
      <w:pPr>
        <w:rPr>
          <w:b/>
          <w:lang w:val="en-GB"/>
        </w:rPr>
      </w:pPr>
    </w:p>
    <w:p w:rsidR="00173AB3" w:rsidRDefault="00C33383" w:rsidP="006F10F7">
      <w:pPr>
        <w:rPr>
          <w:b/>
          <w:lang w:val="en-GB"/>
        </w:rPr>
      </w:pPr>
      <w:r>
        <w:rPr>
          <w:noProof/>
        </w:rPr>
        <w:drawing>
          <wp:anchor distT="0" distB="0" distL="114300" distR="114300" simplePos="0" relativeHeight="251665408" behindDoc="0" locked="0" layoutInCell="1" allowOverlap="1">
            <wp:simplePos x="0" y="0"/>
            <wp:positionH relativeFrom="column">
              <wp:posOffset>-228600</wp:posOffset>
            </wp:positionH>
            <wp:positionV relativeFrom="paragraph">
              <wp:posOffset>-571500</wp:posOffset>
            </wp:positionV>
            <wp:extent cx="5782310" cy="1260475"/>
            <wp:effectExtent l="0" t="0" r="8890" b="9525"/>
            <wp:wrapThrough wrapText="bothSides">
              <wp:wrapPolygon edited="0">
                <wp:start x="0" y="0"/>
                <wp:lineTo x="0" y="21328"/>
                <wp:lineTo x="759" y="21328"/>
                <wp:lineTo x="9014" y="21328"/>
                <wp:lineTo x="21159" y="21328"/>
                <wp:lineTo x="21254" y="15670"/>
                <wp:lineTo x="20400" y="14364"/>
                <wp:lineTo x="19736" y="13928"/>
                <wp:lineTo x="21349" y="10882"/>
                <wp:lineTo x="21538" y="5658"/>
                <wp:lineTo x="2153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782310" cy="1260475"/>
                    </a:xfrm>
                    <a:prstGeom prst="rect">
                      <a:avLst/>
                    </a:prstGeom>
                    <a:noFill/>
                  </pic:spPr>
                </pic:pic>
              </a:graphicData>
            </a:graphic>
          </wp:anchor>
        </w:drawing>
      </w:r>
      <w:r w:rsidR="00173AB3" w:rsidRPr="00173AB3">
        <w:rPr>
          <w:b/>
          <w:lang w:val="en-GB"/>
        </w:rPr>
        <w:t>Chart 5.1.1.</w:t>
      </w:r>
      <w:r w:rsidR="00B72B13">
        <w:rPr>
          <w:b/>
          <w:lang w:val="en-GB"/>
        </w:rPr>
        <w:t xml:space="preserve"> Additions to the MSCI EM</w:t>
      </w:r>
    </w:p>
    <w:p w:rsidR="00A52F55" w:rsidRPr="00173AB3" w:rsidRDefault="005F21B2" w:rsidP="006F10F7">
      <w:pPr>
        <w:rPr>
          <w:b/>
          <w:lang w:val="en-GB"/>
        </w:rPr>
      </w:pPr>
      <w:r w:rsidRPr="00CB4BAE">
        <w:rPr>
          <w:rFonts w:ascii="Calibri" w:eastAsia="Times New Roman" w:hAnsi="Calibri" w:cs="Times New Roman"/>
          <w:color w:val="000000"/>
          <w:sz w:val="16"/>
          <w:szCs w:val="16"/>
        </w:rPr>
        <w:t xml:space="preserve">The </w:t>
      </w:r>
      <w:r w:rsidR="00201326">
        <w:rPr>
          <w:rFonts w:ascii="Calibri" w:eastAsia="Times New Roman" w:hAnsi="Calibri" w:cs="Times New Roman"/>
          <w:color w:val="000000"/>
          <w:sz w:val="16"/>
          <w:szCs w:val="16"/>
        </w:rPr>
        <w:t xml:space="preserve">chart is based on the complete </w:t>
      </w:r>
      <w:r w:rsidRPr="00CB4BAE">
        <w:rPr>
          <w:rFonts w:ascii="Calibri" w:eastAsia="Times New Roman" w:hAnsi="Calibri" w:cs="Times New Roman"/>
          <w:color w:val="000000"/>
          <w:sz w:val="16"/>
          <w:szCs w:val="16"/>
        </w:rPr>
        <w:t xml:space="preserve">sample size is </w:t>
      </w:r>
      <w:r w:rsidR="00201326">
        <w:rPr>
          <w:rFonts w:ascii="Calibri" w:eastAsia="Times New Roman" w:hAnsi="Calibri" w:cs="Times New Roman"/>
          <w:color w:val="000000"/>
          <w:sz w:val="16"/>
          <w:szCs w:val="16"/>
        </w:rPr>
        <w:t>of</w:t>
      </w:r>
      <w:r w:rsidRPr="00CB4BAE">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 xml:space="preserve">all </w:t>
      </w:r>
      <w:r w:rsidRPr="00CB4BAE">
        <w:rPr>
          <w:rFonts w:ascii="Calibri" w:eastAsia="Times New Roman" w:hAnsi="Calibri" w:cs="Times New Roman"/>
          <w:color w:val="000000"/>
          <w:sz w:val="16"/>
          <w:szCs w:val="16"/>
        </w:rPr>
        <w:t xml:space="preserve">additions </w:t>
      </w:r>
      <w:r>
        <w:rPr>
          <w:rFonts w:ascii="Calibri" w:eastAsia="Times New Roman" w:hAnsi="Calibri" w:cs="Times New Roman"/>
          <w:color w:val="000000"/>
          <w:sz w:val="16"/>
          <w:szCs w:val="16"/>
        </w:rPr>
        <w:t xml:space="preserve">of all countries within the MSCI Emerging Markets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Th</w:t>
      </w:r>
      <w:r w:rsidR="00201326">
        <w:rPr>
          <w:rFonts w:ascii="Calibri" w:eastAsia="Times New Roman" w:hAnsi="Calibri" w:cs="Times New Roman"/>
          <w:color w:val="000000"/>
          <w:sz w:val="16"/>
          <w:szCs w:val="16"/>
        </w:rPr>
        <w:t>e t stands for number of days.</w:t>
      </w:r>
      <w:r>
        <w:rPr>
          <w:rFonts w:ascii="Calibri" w:eastAsia="Times New Roman" w:hAnsi="Calibri" w:cs="Times New Roman"/>
          <w:color w:val="000000"/>
          <w:sz w:val="16"/>
          <w:szCs w:val="16"/>
        </w:rPr>
        <w:t xml:space="preserve"> CAR is the cumulative abnormal return of the </w:t>
      </w:r>
      <w:r w:rsidR="00201326">
        <w:rPr>
          <w:rFonts w:ascii="Calibri" w:eastAsia="Times New Roman" w:hAnsi="Calibri" w:cs="Times New Roman"/>
          <w:color w:val="000000"/>
          <w:sz w:val="16"/>
          <w:szCs w:val="16"/>
        </w:rPr>
        <w:t xml:space="preserve">complete </w:t>
      </w:r>
      <w:r>
        <w:rPr>
          <w:rFonts w:ascii="Calibri" w:eastAsia="Times New Roman" w:hAnsi="Calibri" w:cs="Times New Roman"/>
          <w:color w:val="000000"/>
          <w:sz w:val="16"/>
          <w:szCs w:val="16"/>
        </w:rPr>
        <w:t>event window</w:t>
      </w:r>
      <w:r w:rsidR="00201326">
        <w:rPr>
          <w:rFonts w:ascii="Calibri" w:eastAsia="Times New Roman" w:hAnsi="Calibri" w:cs="Times New Roman"/>
          <w:color w:val="000000"/>
          <w:sz w:val="16"/>
          <w:szCs w:val="16"/>
        </w:rPr>
        <w:t>, starting 20 days before the inclusion and 20 days after</w:t>
      </w:r>
      <w:r>
        <w:rPr>
          <w:rFonts w:ascii="Calibri" w:eastAsia="Times New Roman" w:hAnsi="Calibri" w:cs="Times New Roman"/>
          <w:color w:val="000000"/>
          <w:sz w:val="16"/>
          <w:szCs w:val="16"/>
        </w:rPr>
        <w:t>. The CAR of all sample stocks are combined and averaged over the event window to calculate the overall CAR for the complete sample.</w:t>
      </w:r>
      <w:r w:rsidR="00201326">
        <w:rPr>
          <w:rFonts w:ascii="Calibri" w:eastAsia="Times New Roman" w:hAnsi="Calibri" w:cs="Times New Roman"/>
          <w:color w:val="000000"/>
          <w:sz w:val="16"/>
          <w:szCs w:val="16"/>
        </w:rPr>
        <w:t xml:space="preserve"> On t=0 all index review implementations are included in the MSCI EM index. T-Stat is based on the CAR.</w:t>
      </w:r>
      <w:r w:rsidR="00EF2295">
        <w:rPr>
          <w:rFonts w:ascii="Calibri" w:eastAsia="Times New Roman" w:hAnsi="Calibri" w:cs="Times New Roman"/>
          <w:color w:val="000000"/>
          <w:sz w:val="16"/>
          <w:szCs w:val="16"/>
        </w:rPr>
        <w:t xml:space="preserve"> The y-axis stands for the excess return in percentages, x-</w:t>
      </w:r>
      <w:r w:rsidR="00900C97">
        <w:rPr>
          <w:rFonts w:ascii="Calibri" w:eastAsia="Times New Roman" w:hAnsi="Calibri" w:cs="Times New Roman"/>
          <w:color w:val="000000"/>
          <w:sz w:val="16"/>
          <w:szCs w:val="16"/>
        </w:rPr>
        <w:t>axis stands</w:t>
      </w:r>
      <w:r w:rsidR="00EF2295">
        <w:rPr>
          <w:rFonts w:ascii="Calibri" w:eastAsia="Times New Roman" w:hAnsi="Calibri" w:cs="Times New Roman"/>
          <w:color w:val="000000"/>
          <w:sz w:val="16"/>
          <w:szCs w:val="16"/>
        </w:rPr>
        <w:t xml:space="preserve"> for days in time.</w:t>
      </w:r>
    </w:p>
    <w:p w:rsidR="00173AB3" w:rsidRDefault="003D440E" w:rsidP="006F10F7">
      <w:pPr>
        <w:rPr>
          <w:lang w:val="en-GB"/>
        </w:rPr>
      </w:pPr>
      <w:r>
        <w:rPr>
          <w:lang w:val="en-GB"/>
        </w:rPr>
        <w:fldChar w:fldCharType="begin"/>
      </w:r>
      <w:r w:rsidR="0054615D">
        <w:rPr>
          <w:lang w:val="en-GB"/>
        </w:rPr>
        <w:instrText xml:space="preserve"> LINK Excel.Sheet.8 "USB DISK:Thesis:definitieve versies:H 5 Results:data analyse table additions msci em20120715_gecorrigeerd_t-1_20120817.xlsx!table results![data analyse table additions msci em20120715_gecorrigeerd_t-1_20120817.xlsx]table results Chart 2" "" \a \p </w:instrText>
      </w:r>
      <w:r>
        <w:rPr>
          <w:lang w:val="en-GB"/>
        </w:rPr>
        <w:fldChar w:fldCharType="separate"/>
      </w:r>
      <w:r w:rsidR="002C487B" w:rsidRPr="003D440E">
        <w:rPr>
          <w:lang w:val="en-GB"/>
        </w:rPr>
        <w:object w:dxaOrig="13898" w:dyaOrig="5119">
          <v:shape id="_x0000_i1037" type="#_x0000_t75" style="width:466.95pt;height:163.9pt">
            <v:imagedata r:id="rId26" o:title=""/>
          </v:shape>
        </w:object>
      </w:r>
      <w:r>
        <w:rPr>
          <w:lang w:val="en-GB"/>
        </w:rPr>
        <w:fldChar w:fldCharType="end"/>
      </w:r>
      <w:r w:rsidR="00173AB3" w:rsidRPr="00173AB3">
        <w:rPr>
          <w:sz w:val="16"/>
          <w:szCs w:val="16"/>
          <w:lang w:val="en-GB"/>
        </w:rPr>
        <w:t xml:space="preserve"> </w:t>
      </w:r>
      <w:r w:rsidR="00173AB3">
        <w:rPr>
          <w:sz w:val="16"/>
          <w:szCs w:val="16"/>
          <w:lang w:val="en-GB"/>
        </w:rPr>
        <w:t>S</w:t>
      </w:r>
      <w:r w:rsidR="00173AB3" w:rsidRPr="00DA4281">
        <w:rPr>
          <w:sz w:val="16"/>
          <w:szCs w:val="16"/>
          <w:lang w:val="en-GB"/>
        </w:rPr>
        <w:t>ource: data analyse table additions msci em20120715 gecorrigeerd t-1 20120817.xlsx</w:t>
      </w:r>
    </w:p>
    <w:p w:rsidR="00A55026" w:rsidRDefault="00A55026" w:rsidP="00A55026">
      <w:pPr>
        <w:rPr>
          <w:lang w:val="en-GB"/>
        </w:rPr>
      </w:pPr>
      <w:r>
        <w:t xml:space="preserve">Starting with chart 5.1.1 </w:t>
      </w:r>
      <w:r w:rsidR="006E437C">
        <w:t xml:space="preserve">that </w:t>
      </w:r>
      <w:r>
        <w:t>shows the</w:t>
      </w:r>
      <w:r w:rsidR="006E437C">
        <w:t xml:space="preserve"> i</w:t>
      </w:r>
      <w:r>
        <w:t>mpact on the price of stocks that are included into the MSCI EM index, show</w:t>
      </w:r>
      <w:r w:rsidR="006E437C">
        <w:t>s</w:t>
      </w:r>
      <w:r>
        <w:t xml:space="preserve"> a spike around t-1 of a cumulative abnormal return of more than 6%. </w:t>
      </w:r>
    </w:p>
    <w:p w:rsidR="006E437C" w:rsidRDefault="006E437C" w:rsidP="006E437C">
      <w:pPr>
        <w:rPr>
          <w:lang w:val="en-GB"/>
        </w:rPr>
      </w:pPr>
      <w:r>
        <w:rPr>
          <w:lang w:val="en-GB"/>
        </w:rPr>
        <w:t xml:space="preserve">The null hypothesis in this paragraph means that the price effect on a stock that is included in the MSCI EM index does not have a significant impact and therefore should not be significantly different from zero. </w:t>
      </w:r>
    </w:p>
    <w:p w:rsidR="00F755AD" w:rsidRDefault="005B0B93" w:rsidP="00F755AD">
      <w:r>
        <w:rPr>
          <w:lang w:val="en-GB"/>
        </w:rPr>
        <w:t xml:space="preserve">As shown </w:t>
      </w:r>
      <w:r w:rsidR="0009399B">
        <w:rPr>
          <w:lang w:val="en-GB"/>
        </w:rPr>
        <w:t xml:space="preserve">in table 5.1.1 </w:t>
      </w:r>
      <w:r w:rsidR="00F5172A">
        <w:rPr>
          <w:lang w:val="en-GB"/>
        </w:rPr>
        <w:t>of this research</w:t>
      </w:r>
      <w:r w:rsidR="0009399B">
        <w:rPr>
          <w:lang w:val="en-GB"/>
        </w:rPr>
        <w:t>,</w:t>
      </w:r>
      <w:r w:rsidR="00EE1204">
        <w:rPr>
          <w:lang w:val="en-GB"/>
        </w:rPr>
        <w:t xml:space="preserve"> </w:t>
      </w:r>
      <w:r w:rsidR="001F3255">
        <w:rPr>
          <w:lang w:val="en-GB"/>
        </w:rPr>
        <w:t>“</w:t>
      </w:r>
      <w:r w:rsidR="00F5172A">
        <w:rPr>
          <w:lang w:val="en-GB"/>
        </w:rPr>
        <w:t>before i</w:t>
      </w:r>
      <w:r w:rsidR="0078048E">
        <w:rPr>
          <w:lang w:val="en-GB"/>
        </w:rPr>
        <w:t xml:space="preserve">nclusion window” </w:t>
      </w:r>
      <w:r w:rsidR="0009399B">
        <w:rPr>
          <w:lang w:val="en-GB"/>
        </w:rPr>
        <w:t xml:space="preserve">stands for </w:t>
      </w:r>
      <w:r w:rsidR="001F3255">
        <w:rPr>
          <w:lang w:val="en-GB"/>
        </w:rPr>
        <w:t xml:space="preserve">the period </w:t>
      </w:r>
      <w:r w:rsidR="0078048E">
        <w:rPr>
          <w:lang w:val="en-GB"/>
        </w:rPr>
        <w:t>before the inclusion of the stock into the index</w:t>
      </w:r>
      <w:r>
        <w:rPr>
          <w:lang w:val="en-GB"/>
        </w:rPr>
        <w:t>. The “Complete period” stands for whole period of 41 days beginning 20 days before the inclusion, and ending 20 days the inclusion. These two events showed a</w:t>
      </w:r>
      <w:r w:rsidR="00E56520">
        <w:rPr>
          <w:lang w:val="en-GB"/>
        </w:rPr>
        <w:t>n</w:t>
      </w:r>
      <w:r>
        <w:rPr>
          <w:lang w:val="en-GB"/>
        </w:rPr>
        <w:t xml:space="preserve"> </w:t>
      </w:r>
      <w:r>
        <w:t>excess return</w:t>
      </w:r>
      <w:r w:rsidR="00F755AD">
        <w:t xml:space="preserve"> </w:t>
      </w:r>
      <w:r w:rsidR="00F755AD">
        <w:rPr>
          <w:lang w:val="en-GB"/>
        </w:rPr>
        <w:t>of 6.2%</w:t>
      </w:r>
      <w:r>
        <w:rPr>
          <w:lang w:val="en-GB"/>
        </w:rPr>
        <w:t xml:space="preserve"> before the inclusion of the </w:t>
      </w:r>
      <w:r w:rsidR="00E56520">
        <w:rPr>
          <w:lang w:val="en-GB"/>
        </w:rPr>
        <w:t>stock and</w:t>
      </w:r>
      <w:r w:rsidR="00AE1347">
        <w:rPr>
          <w:lang w:val="en-GB"/>
        </w:rPr>
        <w:t xml:space="preserve"> </w:t>
      </w:r>
      <w:r>
        <w:rPr>
          <w:lang w:val="en-GB"/>
        </w:rPr>
        <w:t xml:space="preserve">excess return of </w:t>
      </w:r>
      <w:r w:rsidR="00AE1347">
        <w:rPr>
          <w:lang w:val="en-GB"/>
        </w:rPr>
        <w:t xml:space="preserve">2.8% for the complete period, </w:t>
      </w:r>
      <w:r>
        <w:t>both</w:t>
      </w:r>
      <w:r w:rsidR="00AE1347">
        <w:t xml:space="preserve"> of </w:t>
      </w:r>
      <w:r w:rsidR="00F755AD">
        <w:t>the</w:t>
      </w:r>
      <w:r>
        <w:t>se</w:t>
      </w:r>
      <w:r w:rsidR="00F755AD">
        <w:t xml:space="preserve"> return</w:t>
      </w:r>
      <w:r>
        <w:t>s</w:t>
      </w:r>
      <w:r w:rsidR="00F755AD">
        <w:t xml:space="preserve"> are significantly positive. </w:t>
      </w:r>
      <w:r>
        <w:t>This means that the</w:t>
      </w:r>
      <w:r w:rsidR="00286EF8">
        <w:t xml:space="preserve"> E</w:t>
      </w:r>
      <w:r w:rsidR="00F755AD">
        <w:t xml:space="preserve">fficient Market Theory (EMT) does not apply </w:t>
      </w:r>
      <w:r w:rsidR="00AE5C5A">
        <w:t>with the scope of</w:t>
      </w:r>
      <w:r w:rsidR="00F755AD">
        <w:t xml:space="preserve"> this </w:t>
      </w:r>
      <w:r w:rsidR="00AE5C5A">
        <w:t xml:space="preserve">specific </w:t>
      </w:r>
      <w:r w:rsidR="00F755AD">
        <w:t xml:space="preserve">case. </w:t>
      </w:r>
      <w:r>
        <w:t>Because</w:t>
      </w:r>
      <w:r w:rsidR="00F755AD">
        <w:t xml:space="preserve">, the implementation of the index changes caused an abnormal return </w:t>
      </w:r>
      <w:r>
        <w:t xml:space="preserve">that is greater than zero </w:t>
      </w:r>
      <w:r w:rsidR="00F755AD">
        <w:t>and can be assumed that the market is semi-strong inefficient.</w:t>
      </w:r>
      <w:r w:rsidR="006E437C">
        <w:t xml:space="preserve"> </w:t>
      </w:r>
      <w:r>
        <w:t xml:space="preserve">Therefore the </w:t>
      </w:r>
      <w:r w:rsidR="006E437C">
        <w:t xml:space="preserve">null </w:t>
      </w:r>
      <w:r w:rsidR="008D7ED2">
        <w:t>hypothesis,</w:t>
      </w:r>
      <w:r>
        <w:t xml:space="preserve"> th</w:t>
      </w:r>
      <w:r w:rsidR="00FA30E3">
        <w:t xml:space="preserve">at says that there is zero effect </w:t>
      </w:r>
      <w:r>
        <w:t>on the price</w:t>
      </w:r>
      <w:r w:rsidR="00FA30E3">
        <w:t xml:space="preserve"> of a stock, s</w:t>
      </w:r>
      <w:r w:rsidR="006E437C">
        <w:t>hould be rejected.</w:t>
      </w:r>
      <w:r w:rsidR="00AE5C5A">
        <w:t xml:space="preserve">  This research is also based on a short term price effect, not taking inconsideration what might happen to the price effect in 60 days, or with test cases where there  might be differences in risk factors between stocks that are included in to the index.</w:t>
      </w:r>
    </w:p>
    <w:p w:rsidR="008D7ED2" w:rsidRDefault="0078048E" w:rsidP="00CF091C">
      <w:pPr>
        <w:rPr>
          <w:lang w:val="en-GB"/>
        </w:rPr>
      </w:pPr>
      <w:r>
        <w:rPr>
          <w:lang w:val="en-GB"/>
        </w:rPr>
        <w:t xml:space="preserve">The second result is the run up window and stands for the period between the announcement day and the inclusion of the stock in to the index. </w:t>
      </w:r>
      <w:r w:rsidR="009D0233">
        <w:rPr>
          <w:lang w:val="en-GB"/>
        </w:rPr>
        <w:t>The days after the announcement day of t-10 and before inclusion of stocks into the index ha</w:t>
      </w:r>
      <w:r w:rsidR="00A835BA">
        <w:rPr>
          <w:lang w:val="en-GB"/>
        </w:rPr>
        <w:t>ve</w:t>
      </w:r>
      <w:r w:rsidR="009D0233">
        <w:rPr>
          <w:lang w:val="en-GB"/>
        </w:rPr>
        <w:t xml:space="preserve"> a significant cumulative abnormal return of 4.6%.</w:t>
      </w:r>
      <w:r w:rsidR="00EE1204">
        <w:rPr>
          <w:lang w:val="en-GB"/>
        </w:rPr>
        <w:t xml:space="preserve"> </w:t>
      </w:r>
      <w:r>
        <w:rPr>
          <w:lang w:val="en-GB"/>
        </w:rPr>
        <w:t>As you can clearly see in the chart the announcement day</w:t>
      </w:r>
      <w:r w:rsidR="009D0233">
        <w:rPr>
          <w:lang w:val="en-GB"/>
        </w:rPr>
        <w:t xml:space="preserve"> (after t-10)</w:t>
      </w:r>
      <w:r>
        <w:rPr>
          <w:lang w:val="en-GB"/>
        </w:rPr>
        <w:t xml:space="preserve"> </w:t>
      </w:r>
      <w:r w:rsidR="009D0233">
        <w:rPr>
          <w:lang w:val="en-GB"/>
        </w:rPr>
        <w:t>shows a</w:t>
      </w:r>
      <w:r w:rsidR="00484D91">
        <w:rPr>
          <w:lang w:val="en-GB"/>
        </w:rPr>
        <w:t>n</w:t>
      </w:r>
      <w:r w:rsidR="009D0233">
        <w:rPr>
          <w:lang w:val="en-GB"/>
        </w:rPr>
        <w:t xml:space="preserve"> increasing line </w:t>
      </w:r>
      <w:r w:rsidR="00101BE9">
        <w:rPr>
          <w:lang w:val="en-GB"/>
        </w:rPr>
        <w:t xml:space="preserve">and spiking </w:t>
      </w:r>
      <w:r w:rsidR="009D0233">
        <w:rPr>
          <w:lang w:val="en-GB"/>
        </w:rPr>
        <w:t>around t-1</w:t>
      </w:r>
      <w:r w:rsidR="00101BE9">
        <w:rPr>
          <w:lang w:val="en-GB"/>
        </w:rPr>
        <w:t>,</w:t>
      </w:r>
      <w:r w:rsidR="009D0233">
        <w:rPr>
          <w:lang w:val="en-GB"/>
        </w:rPr>
        <w:t xml:space="preserve"> which is the day before the inclusion of the stocks into the MSCI Emerging index. On the inclusion day the decrease</w:t>
      </w:r>
      <w:r w:rsidR="008D7ED2">
        <w:rPr>
          <w:lang w:val="en-GB"/>
        </w:rPr>
        <w:t xml:space="preserve"> </w:t>
      </w:r>
      <w:r w:rsidR="009D0233">
        <w:rPr>
          <w:lang w:val="en-GB"/>
        </w:rPr>
        <w:t>starts and reaches its new equilibrium around ten days after the</w:t>
      </w:r>
      <w:r w:rsidR="00280C38">
        <w:rPr>
          <w:lang w:val="en-GB"/>
        </w:rPr>
        <w:t xml:space="preserve"> </w:t>
      </w:r>
      <w:r w:rsidR="00A60D5A">
        <w:rPr>
          <w:lang w:val="en-GB"/>
        </w:rPr>
        <w:t>implementation the</w:t>
      </w:r>
      <w:r w:rsidR="00280C38">
        <w:rPr>
          <w:lang w:val="en-GB"/>
        </w:rPr>
        <w:t xml:space="preserve"> additions into the index.</w:t>
      </w:r>
      <w:r w:rsidR="00EE1204">
        <w:rPr>
          <w:lang w:val="en-GB"/>
        </w:rPr>
        <w:t xml:space="preserve"> </w:t>
      </w:r>
      <w:r w:rsidR="008D7ED2">
        <w:rPr>
          <w:lang w:val="en-GB"/>
        </w:rPr>
        <w:t>After the inclusion of the stock into the index a decrease of</w:t>
      </w:r>
      <w:r w:rsidR="00EE1204">
        <w:rPr>
          <w:lang w:val="en-GB"/>
        </w:rPr>
        <w:t xml:space="preserve"> </w:t>
      </w:r>
      <w:r w:rsidR="008D7ED2">
        <w:rPr>
          <w:lang w:val="en-GB"/>
        </w:rPr>
        <w:t xml:space="preserve">-3.3% happens, although number is significant, the new price </w:t>
      </w:r>
      <w:r w:rsidR="00F95AC5">
        <w:rPr>
          <w:lang w:val="en-GB"/>
        </w:rPr>
        <w:t>level remains</w:t>
      </w:r>
      <w:r w:rsidR="008D7ED2">
        <w:rPr>
          <w:lang w:val="en-GB"/>
        </w:rPr>
        <w:t xml:space="preserve"> above zero.</w:t>
      </w:r>
    </w:p>
    <w:p w:rsidR="00CF091C" w:rsidRDefault="00C24351" w:rsidP="00CF091C">
      <w:pPr>
        <w:rPr>
          <w:lang w:val="en-GB"/>
        </w:rPr>
      </w:pPr>
      <w:r>
        <w:rPr>
          <w:lang w:val="en-GB"/>
        </w:rPr>
        <w:t xml:space="preserve">The chart </w:t>
      </w:r>
      <w:r w:rsidR="00A60D5A">
        <w:rPr>
          <w:lang w:val="en-GB"/>
        </w:rPr>
        <w:t xml:space="preserve">shows in </w:t>
      </w:r>
      <w:r w:rsidR="00101BE9">
        <w:rPr>
          <w:lang w:val="en-GB"/>
        </w:rPr>
        <w:t xml:space="preserve">the interval of </w:t>
      </w:r>
      <w:r w:rsidR="00A60D5A">
        <w:rPr>
          <w:lang w:val="en-GB"/>
        </w:rPr>
        <w:t>day</w:t>
      </w:r>
      <w:r>
        <w:rPr>
          <w:lang w:val="en-GB"/>
        </w:rPr>
        <w:t xml:space="preserve"> t-20</w:t>
      </w:r>
      <w:r w:rsidR="00280C38">
        <w:rPr>
          <w:lang w:val="en-GB"/>
        </w:rPr>
        <w:t xml:space="preserve"> </w:t>
      </w:r>
      <w:r w:rsidR="00A60D5A">
        <w:rPr>
          <w:lang w:val="en-GB"/>
        </w:rPr>
        <w:t>until t-1</w:t>
      </w:r>
      <w:r w:rsidR="008D7ED2">
        <w:rPr>
          <w:lang w:val="en-GB"/>
        </w:rPr>
        <w:t>5</w:t>
      </w:r>
      <w:r w:rsidR="00101BE9">
        <w:rPr>
          <w:lang w:val="en-GB"/>
        </w:rPr>
        <w:t>,</w:t>
      </w:r>
      <w:r w:rsidR="00A60D5A">
        <w:rPr>
          <w:lang w:val="en-GB"/>
        </w:rPr>
        <w:t xml:space="preserve"> </w:t>
      </w:r>
      <w:r w:rsidR="00101BE9">
        <w:rPr>
          <w:lang w:val="en-GB"/>
        </w:rPr>
        <w:t>a</w:t>
      </w:r>
      <w:r w:rsidR="00A60D5A">
        <w:rPr>
          <w:lang w:val="en-GB"/>
        </w:rPr>
        <w:t xml:space="preserve"> </w:t>
      </w:r>
      <w:r w:rsidR="00101BE9">
        <w:rPr>
          <w:lang w:val="en-GB"/>
        </w:rPr>
        <w:t>cumulative abnormal return that is</w:t>
      </w:r>
      <w:r w:rsidR="00A60D5A">
        <w:rPr>
          <w:lang w:val="en-GB"/>
        </w:rPr>
        <w:t xml:space="preserve"> close to zero, </w:t>
      </w:r>
      <w:r w:rsidR="00101BE9">
        <w:rPr>
          <w:lang w:val="en-GB"/>
        </w:rPr>
        <w:t xml:space="preserve">this </w:t>
      </w:r>
      <w:r w:rsidR="00A60D5A">
        <w:rPr>
          <w:lang w:val="en-GB"/>
        </w:rPr>
        <w:t xml:space="preserve">suggests that there was no anticipation of investors prior to the announcement day. The slightly </w:t>
      </w:r>
      <w:r w:rsidR="00CF091C">
        <w:rPr>
          <w:lang w:val="en-GB"/>
        </w:rPr>
        <w:t xml:space="preserve">increase in excess return around t-14 and t-13, could </w:t>
      </w:r>
      <w:r w:rsidR="006541BF">
        <w:rPr>
          <w:lang w:val="en-GB"/>
        </w:rPr>
        <w:t>indicate leakage</w:t>
      </w:r>
      <w:r w:rsidR="00CF091C">
        <w:rPr>
          <w:lang w:val="en-GB"/>
        </w:rPr>
        <w:t xml:space="preserve"> of information before the official announcement, but in this research is it caused by the announcement day happening 13 days prior to the inclusion day of the index changes. Most of the official announcement days within this research happened between 10 and 13 day prior to the inclusion day. The exception of 19 days and 18 days prior to the inclusion day, were on semi-annual index review of three December 2007 when the index had 111 inclusions, and the 18 days happened on the semi</w:t>
      </w:r>
      <w:r w:rsidR="00C14BDD">
        <w:rPr>
          <w:lang w:val="en-GB"/>
        </w:rPr>
        <w:t>-annual index review</w:t>
      </w:r>
      <w:r w:rsidR="00CF091C">
        <w:rPr>
          <w:lang w:val="en-GB"/>
        </w:rPr>
        <w:t xml:space="preserve"> of June second 2008 when there were 179 deletions from the index. A possible reason could be to give investors more time to implement these changes and reduce the price impact caused by this. </w:t>
      </w:r>
    </w:p>
    <w:p w:rsidR="00282304" w:rsidRDefault="006F10F7" w:rsidP="006F10F7">
      <w:pPr>
        <w:rPr>
          <w:lang w:val="en-GB"/>
        </w:rPr>
      </w:pPr>
      <w:r>
        <w:rPr>
          <w:lang w:val="en-GB"/>
        </w:rPr>
        <w:t xml:space="preserve">The results </w:t>
      </w:r>
      <w:r w:rsidR="00C14BDD">
        <w:rPr>
          <w:lang w:val="en-GB"/>
        </w:rPr>
        <w:t xml:space="preserve">of this study </w:t>
      </w:r>
      <w:r>
        <w:rPr>
          <w:lang w:val="en-GB"/>
        </w:rPr>
        <w:t xml:space="preserve">are consistent with the findings of previous research, where in general is shown that if </w:t>
      </w:r>
      <w:r w:rsidR="00101BE9">
        <w:rPr>
          <w:lang w:val="en-GB"/>
        </w:rPr>
        <w:t>a stock</w:t>
      </w:r>
      <w:r>
        <w:rPr>
          <w:lang w:val="en-GB"/>
        </w:rPr>
        <w:t xml:space="preserve"> enters the index a permanent price increase occurs.</w:t>
      </w:r>
      <w:r w:rsidR="00EE1204">
        <w:rPr>
          <w:lang w:val="en-GB"/>
        </w:rPr>
        <w:t xml:space="preserve"> </w:t>
      </w:r>
      <w:r>
        <w:rPr>
          <w:lang w:val="en-GB"/>
        </w:rPr>
        <w:t xml:space="preserve">But as Shleifer (1986) mentions in his research </w:t>
      </w:r>
      <w:r w:rsidR="00101BE9">
        <w:rPr>
          <w:lang w:val="en-GB"/>
        </w:rPr>
        <w:t xml:space="preserve">that </w:t>
      </w:r>
      <w:r>
        <w:rPr>
          <w:lang w:val="en-GB"/>
        </w:rPr>
        <w:t xml:space="preserve">the announcement date also plays an important role that (partly) contributes to significantly positive excess returns of stocks that are included into the S&amp;P 500. </w:t>
      </w:r>
      <w:r w:rsidR="00F157DA">
        <w:rPr>
          <w:lang w:val="en-GB"/>
        </w:rPr>
        <w:t xml:space="preserve">In Chen et al. (2003) </w:t>
      </w:r>
      <w:r w:rsidR="0026722B">
        <w:rPr>
          <w:lang w:val="en-GB"/>
        </w:rPr>
        <w:t xml:space="preserve">research </w:t>
      </w:r>
      <w:r w:rsidR="00F157DA">
        <w:rPr>
          <w:lang w:val="en-GB"/>
        </w:rPr>
        <w:t xml:space="preserve">it is </w:t>
      </w:r>
      <w:r w:rsidR="0026722B">
        <w:rPr>
          <w:lang w:val="en-GB"/>
        </w:rPr>
        <w:t>also mentioned</w:t>
      </w:r>
      <w:r w:rsidR="00F157DA">
        <w:rPr>
          <w:lang w:val="en-GB"/>
        </w:rPr>
        <w:t xml:space="preserve"> that </w:t>
      </w:r>
      <w:r w:rsidR="00282304">
        <w:rPr>
          <w:lang w:val="en-GB"/>
        </w:rPr>
        <w:t>the announcement</w:t>
      </w:r>
      <w:r w:rsidR="00F157DA">
        <w:rPr>
          <w:lang w:val="en-GB"/>
        </w:rPr>
        <w:t xml:space="preserve"> date starts playing an important role in the S</w:t>
      </w:r>
      <w:r w:rsidR="00F5172A">
        <w:rPr>
          <w:lang w:val="en-GB"/>
        </w:rPr>
        <w:t>&amp;</w:t>
      </w:r>
      <w:r w:rsidR="00F157DA">
        <w:rPr>
          <w:lang w:val="en-GB"/>
        </w:rPr>
        <w:t>P</w:t>
      </w:r>
      <w:r w:rsidR="00F5172A">
        <w:rPr>
          <w:lang w:val="en-GB"/>
        </w:rPr>
        <w:t xml:space="preserve"> </w:t>
      </w:r>
      <w:r w:rsidR="00F157DA">
        <w:rPr>
          <w:lang w:val="en-GB"/>
        </w:rPr>
        <w:t>500</w:t>
      </w:r>
      <w:r w:rsidR="0026722B">
        <w:rPr>
          <w:lang w:val="en-GB"/>
        </w:rPr>
        <w:t>, what</w:t>
      </w:r>
      <w:r w:rsidR="00F157DA">
        <w:rPr>
          <w:lang w:val="en-GB"/>
        </w:rPr>
        <w:t xml:space="preserve"> impacts the </w:t>
      </w:r>
      <w:r w:rsidR="00282304">
        <w:rPr>
          <w:lang w:val="en-GB"/>
        </w:rPr>
        <w:t xml:space="preserve">excess return of </w:t>
      </w:r>
      <w:r w:rsidR="0026722B">
        <w:rPr>
          <w:lang w:val="en-GB"/>
        </w:rPr>
        <w:t xml:space="preserve">a </w:t>
      </w:r>
      <w:r w:rsidR="00282304">
        <w:rPr>
          <w:lang w:val="en-GB"/>
        </w:rPr>
        <w:t>stock positively.</w:t>
      </w:r>
      <w:r w:rsidR="00A35748">
        <w:rPr>
          <w:lang w:val="en-GB"/>
        </w:rPr>
        <w:t xml:space="preserve"> Chart 5.1.1. clearly shows a positive movement</w:t>
      </w:r>
      <w:r w:rsidR="00EE1204">
        <w:rPr>
          <w:lang w:val="en-GB"/>
        </w:rPr>
        <w:t xml:space="preserve"> </w:t>
      </w:r>
      <w:r w:rsidR="00A35748">
        <w:rPr>
          <w:lang w:val="en-GB"/>
        </w:rPr>
        <w:t>in the excess return starting around t-10, which stands for the announcement date of the MSCI. On this day the MSCI publishes which securities will be included into the index</w:t>
      </w:r>
      <w:r w:rsidR="0026722B">
        <w:rPr>
          <w:lang w:val="en-GB"/>
        </w:rPr>
        <w:t>, after this announcement the positive price effect starts</w:t>
      </w:r>
      <w:r w:rsidR="00A35748">
        <w:rPr>
          <w:lang w:val="en-GB"/>
        </w:rPr>
        <w:t>.</w:t>
      </w:r>
      <w:r w:rsidR="00EE1204">
        <w:rPr>
          <w:lang w:val="en-GB"/>
        </w:rPr>
        <w:t xml:space="preserve"> </w:t>
      </w:r>
    </w:p>
    <w:p w:rsidR="00B902BE" w:rsidRDefault="006F10F7" w:rsidP="006F10F7">
      <w:pPr>
        <w:rPr>
          <w:lang w:val="en-GB"/>
        </w:rPr>
      </w:pPr>
      <w:r>
        <w:rPr>
          <w:lang w:val="en-GB"/>
        </w:rPr>
        <w:t xml:space="preserve">After the inclusion a reversal of the price takes place, but remains with a significant price increase of 2.9% </w:t>
      </w:r>
      <w:r w:rsidR="0026722B">
        <w:rPr>
          <w:lang w:val="en-GB"/>
        </w:rPr>
        <w:t>twenty days after</w:t>
      </w:r>
      <w:r>
        <w:rPr>
          <w:lang w:val="en-GB"/>
        </w:rPr>
        <w:t xml:space="preserve"> the inclusion.</w:t>
      </w:r>
      <w:r w:rsidR="00EE1204">
        <w:rPr>
          <w:lang w:val="en-GB"/>
        </w:rPr>
        <w:t xml:space="preserve"> </w:t>
      </w:r>
      <w:r w:rsidR="0026722B">
        <w:rPr>
          <w:lang w:val="en-GB"/>
        </w:rPr>
        <w:t xml:space="preserve">As mentioned in chapter two, as well for developed markets as emerging markets the cumulative abnormal returns were significant when a stock was entered into the index. </w:t>
      </w:r>
      <w:r>
        <w:rPr>
          <w:lang w:val="en-GB"/>
        </w:rPr>
        <w:t>These results were inline with Doeswijk (2007)</w:t>
      </w:r>
      <w:r w:rsidR="00EE1204">
        <w:rPr>
          <w:lang w:val="en-GB"/>
        </w:rPr>
        <w:t xml:space="preserve"> </w:t>
      </w:r>
      <w:r>
        <w:rPr>
          <w:lang w:val="en-GB"/>
        </w:rPr>
        <w:t>on the AEX and Chen et al. (2003) on the S&amp;P 500 for the years after 1976.</w:t>
      </w:r>
      <w:r w:rsidR="00A35748">
        <w:rPr>
          <w:lang w:val="en-GB"/>
        </w:rPr>
        <w:t xml:space="preserve"> Zhou (2011) concluded somewhat the same in his research on the S&amp;P 500.</w:t>
      </w:r>
      <w:r w:rsidR="00EE1204">
        <w:rPr>
          <w:lang w:val="en-GB"/>
        </w:rPr>
        <w:t xml:space="preserve"> </w:t>
      </w:r>
      <w:r w:rsidR="00182423">
        <w:rPr>
          <w:lang w:val="en-GB"/>
        </w:rPr>
        <w:t>Masse et al.(2000) who studied TSE300 also experienced a net positive result regardless of when the announcement takes place.</w:t>
      </w:r>
      <w:r w:rsidR="00202F4D">
        <w:rPr>
          <w:lang w:val="en-GB"/>
        </w:rPr>
        <w:t xml:space="preserve"> </w:t>
      </w:r>
    </w:p>
    <w:p w:rsidR="006541BF" w:rsidRDefault="006541BF" w:rsidP="006F10F7">
      <w:pPr>
        <w:rPr>
          <w:lang w:val="en-GB"/>
        </w:rPr>
      </w:pPr>
      <w:r>
        <w:rPr>
          <w:lang w:val="en-GB"/>
        </w:rPr>
        <w:t>When comparing these results to prior research done on Emerging markets from Hacibedel (2007) and on the Indian index from Parthasarathy</w:t>
      </w:r>
      <w:r w:rsidR="00236605">
        <w:rPr>
          <w:lang w:val="en-GB"/>
        </w:rPr>
        <w:t xml:space="preserve"> (2010)</w:t>
      </w:r>
      <w:r>
        <w:rPr>
          <w:lang w:val="en-GB"/>
        </w:rPr>
        <w:t xml:space="preserve">, </w:t>
      </w:r>
      <w:r w:rsidR="00392F53">
        <w:rPr>
          <w:lang w:val="en-GB"/>
        </w:rPr>
        <w:t>although both researches show a positive price effect,</w:t>
      </w:r>
      <w:r>
        <w:rPr>
          <w:lang w:val="en-GB"/>
        </w:rPr>
        <w:t xml:space="preserve"> </w:t>
      </w:r>
      <w:r w:rsidR="00392F53">
        <w:rPr>
          <w:lang w:val="en-GB"/>
        </w:rPr>
        <w:t xml:space="preserve">the </w:t>
      </w:r>
      <w:r>
        <w:rPr>
          <w:lang w:val="en-GB"/>
        </w:rPr>
        <w:t xml:space="preserve">results from this research show a far more positive </w:t>
      </w:r>
      <w:r w:rsidR="00EA47A1">
        <w:rPr>
          <w:lang w:val="en-GB"/>
        </w:rPr>
        <w:t>impact</w:t>
      </w:r>
      <w:r w:rsidR="00392F53">
        <w:rPr>
          <w:lang w:val="en-GB"/>
        </w:rPr>
        <w:t xml:space="preserve">. </w:t>
      </w:r>
    </w:p>
    <w:p w:rsidR="00F95AC5" w:rsidRPr="00F95AC5" w:rsidRDefault="00F95AC5" w:rsidP="00F95AC5">
      <w:pPr>
        <w:pStyle w:val="Heading3"/>
        <w:rPr>
          <w:lang w:val="en-GB"/>
        </w:rPr>
      </w:pPr>
      <w:r w:rsidRPr="00F95AC5">
        <w:t>MSCI EM additions between 2007 and 201</w:t>
      </w:r>
      <w:r w:rsidRPr="00F95AC5">
        <w:rPr>
          <w:lang w:val="en-GB"/>
        </w:rPr>
        <w:t>0</w:t>
      </w:r>
    </w:p>
    <w:p w:rsidR="00B902BE" w:rsidRDefault="00B902BE" w:rsidP="006F10F7">
      <w:pPr>
        <w:rPr>
          <w:b/>
          <w:lang w:val="en-GB"/>
        </w:rPr>
      </w:pPr>
      <w:r w:rsidRPr="00B902BE">
        <w:rPr>
          <w:b/>
          <w:lang w:val="en-GB"/>
        </w:rPr>
        <w:t>Table 5.1.2. Additions to the MSCI EM between 2007 and 2010</w:t>
      </w:r>
    </w:p>
    <w:p w:rsidR="003C7E13" w:rsidRPr="00B902BE" w:rsidRDefault="003C7E13" w:rsidP="006F10F7">
      <w:pPr>
        <w:rPr>
          <w:b/>
          <w:lang w:val="en-GB"/>
        </w:rPr>
      </w:pPr>
      <w:r w:rsidRPr="00CB4BAE">
        <w:rPr>
          <w:rFonts w:ascii="Calibri" w:eastAsia="Times New Roman" w:hAnsi="Calibri" w:cs="Times New Roman"/>
          <w:color w:val="000000"/>
          <w:sz w:val="16"/>
          <w:szCs w:val="16"/>
        </w:rPr>
        <w:t xml:space="preserve">All T-stat calculations are based on a significance level of 5%. The sample size is based on </w:t>
      </w:r>
      <w:r>
        <w:rPr>
          <w:rFonts w:ascii="Calibri" w:eastAsia="Times New Roman" w:hAnsi="Calibri" w:cs="Times New Roman"/>
          <w:color w:val="000000"/>
          <w:sz w:val="16"/>
          <w:szCs w:val="16"/>
        </w:rPr>
        <w:t xml:space="preserve">all </w:t>
      </w:r>
      <w:r w:rsidRPr="00CB4BAE">
        <w:rPr>
          <w:rFonts w:ascii="Calibri" w:eastAsia="Times New Roman" w:hAnsi="Calibri" w:cs="Times New Roman"/>
          <w:color w:val="000000"/>
          <w:sz w:val="16"/>
          <w:szCs w:val="16"/>
        </w:rPr>
        <w:t xml:space="preserve">additions </w:t>
      </w:r>
      <w:r>
        <w:rPr>
          <w:rFonts w:ascii="Calibri" w:eastAsia="Times New Roman" w:hAnsi="Calibri" w:cs="Times New Roman"/>
          <w:color w:val="000000"/>
          <w:sz w:val="16"/>
          <w:szCs w:val="16"/>
        </w:rPr>
        <w:t xml:space="preserve">of all countries within the MSCI Emerging Markets from </w:t>
      </w:r>
      <w:r w:rsidRPr="00CB4BAE">
        <w:rPr>
          <w:rFonts w:ascii="Calibri" w:eastAsia="Times New Roman" w:hAnsi="Calibri" w:cs="Times New Roman"/>
          <w:color w:val="000000"/>
          <w:sz w:val="16"/>
          <w:szCs w:val="16"/>
        </w:rPr>
        <w:t>200</w:t>
      </w:r>
      <w:r>
        <w:rPr>
          <w:rFonts w:ascii="Calibri" w:eastAsia="Times New Roman" w:hAnsi="Calibri" w:cs="Times New Roman"/>
          <w:color w:val="000000"/>
          <w:sz w:val="16"/>
          <w:szCs w:val="16"/>
        </w:rPr>
        <w:t>7</w:t>
      </w:r>
      <w:r w:rsidRPr="00CB4BAE">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The t stands for number of days, or a time line between different days. AR average is Average abnormal return of the event window. CAR is the cumulative abnormal return of the event window. The CAR of 363 sample stocks are combined and averaged over the event window to calculate the overall CAR for the complete sample.</w:t>
      </w:r>
    </w:p>
    <w:p w:rsidR="002F20A2" w:rsidRDefault="003D440E" w:rsidP="006F10F7">
      <w:pPr>
        <w:rPr>
          <w:sz w:val="16"/>
          <w:szCs w:val="16"/>
          <w:lang w:val="en-GB"/>
        </w:rPr>
      </w:pPr>
      <w:r>
        <w:rPr>
          <w:sz w:val="16"/>
          <w:szCs w:val="16"/>
          <w:lang w:val="en-GB"/>
        </w:rPr>
        <w:fldChar w:fldCharType="begin"/>
      </w:r>
      <w:r>
        <w:rPr>
          <w:sz w:val="16"/>
          <w:szCs w:val="16"/>
          <w:lang w:val="en-GB"/>
        </w:rPr>
        <w:instrText xml:space="preserve"> LINK Excel.Sheet.8 "USB DISK:Thesis:definitieve versies:H 5 Results:data analyse table additions msci em20121103_2007-2010.xlsx!table results!R2C2:R9C7" "" \a \p </w:instrText>
      </w:r>
      <w:r>
        <w:rPr>
          <w:sz w:val="16"/>
          <w:szCs w:val="16"/>
          <w:lang w:val="en-GB"/>
        </w:rPr>
        <w:fldChar w:fldCharType="separate"/>
      </w:r>
      <w:r w:rsidRPr="003D440E">
        <w:rPr>
          <w:sz w:val="16"/>
          <w:szCs w:val="16"/>
          <w:lang w:val="en-GB"/>
        </w:rPr>
        <w:object w:dxaOrig="9940" w:dyaOrig="2420">
          <v:shape id="_x0000_i1038" type="#_x0000_t75" style="width:388.5pt;height:94.55pt">
            <v:imagedata r:id="rId27" o:title=""/>
          </v:shape>
        </w:object>
      </w:r>
      <w:r>
        <w:rPr>
          <w:sz w:val="16"/>
          <w:szCs w:val="16"/>
          <w:lang w:val="en-GB"/>
        </w:rPr>
        <w:fldChar w:fldCharType="end"/>
      </w:r>
    </w:p>
    <w:p w:rsidR="00DE5483" w:rsidRPr="00242A5A" w:rsidRDefault="00242A5A" w:rsidP="006F10F7">
      <w:pPr>
        <w:rPr>
          <w:sz w:val="16"/>
          <w:szCs w:val="16"/>
          <w:lang w:val="en-GB"/>
        </w:rPr>
      </w:pPr>
      <w:r w:rsidRPr="00242A5A">
        <w:rPr>
          <w:sz w:val="16"/>
          <w:szCs w:val="16"/>
          <w:lang w:val="en-GB"/>
        </w:rPr>
        <w:t>Source: data analyse table additions msci em 20121103_2007-2010.xlsx</w:t>
      </w:r>
    </w:p>
    <w:p w:rsidR="003E786B" w:rsidRDefault="003E786B" w:rsidP="006F10F7">
      <w:pPr>
        <w:rPr>
          <w:lang w:val="en-GB"/>
        </w:rPr>
      </w:pPr>
      <w:r>
        <w:rPr>
          <w:lang w:val="en-GB"/>
        </w:rPr>
        <w:t xml:space="preserve">Table 5.1.2. Shows the cumulative abnormal returns of stocks added to the MSCI Emerging Markets during the year 2007 till 2010. </w:t>
      </w:r>
      <w:r w:rsidR="00E01F8C">
        <w:rPr>
          <w:lang w:val="en-GB"/>
        </w:rPr>
        <w:t>Even though the world financial crisis is not in the scope of this study, t</w:t>
      </w:r>
      <w:r>
        <w:rPr>
          <w:lang w:val="en-GB"/>
        </w:rPr>
        <w:t xml:space="preserve">his table was made to get a view of the price effects that happened around the period </w:t>
      </w:r>
      <w:r w:rsidR="00E01F8C">
        <w:rPr>
          <w:lang w:val="en-GB"/>
        </w:rPr>
        <w:t>started in (July) 2007 till the end of 2010</w:t>
      </w:r>
      <w:r>
        <w:rPr>
          <w:lang w:val="en-GB"/>
        </w:rPr>
        <w:t xml:space="preserve">. This table </w:t>
      </w:r>
      <w:r w:rsidR="00E01F8C">
        <w:rPr>
          <w:lang w:val="en-GB"/>
        </w:rPr>
        <w:t xml:space="preserve">is in </w:t>
      </w:r>
      <w:r w:rsidR="00F95AC5">
        <w:rPr>
          <w:lang w:val="en-GB"/>
        </w:rPr>
        <w:t>line with</w:t>
      </w:r>
      <w:r w:rsidR="00E01F8C">
        <w:rPr>
          <w:lang w:val="en-GB"/>
        </w:rPr>
        <w:t xml:space="preserve"> the results of the table </w:t>
      </w:r>
      <w:r w:rsidR="00F95AC5">
        <w:rPr>
          <w:lang w:val="en-GB"/>
        </w:rPr>
        <w:t>5.1.1 and</w:t>
      </w:r>
      <w:r w:rsidR="00E01F8C">
        <w:rPr>
          <w:lang w:val="en-GB"/>
        </w:rPr>
        <w:t xml:space="preserve"> </w:t>
      </w:r>
      <w:r>
        <w:rPr>
          <w:lang w:val="en-GB"/>
        </w:rPr>
        <w:t xml:space="preserve">shows an even stronger positive </w:t>
      </w:r>
      <w:r w:rsidR="00E01F8C">
        <w:rPr>
          <w:lang w:val="en-GB"/>
        </w:rPr>
        <w:t>cumulative abnormal return.</w:t>
      </w:r>
    </w:p>
    <w:p w:rsidR="006F10F7" w:rsidRDefault="00202F4D" w:rsidP="006F10F7">
      <w:pPr>
        <w:rPr>
          <w:lang w:val="en-GB"/>
        </w:rPr>
      </w:pPr>
      <w:r>
        <w:rPr>
          <w:lang w:val="en-GB"/>
        </w:rPr>
        <w:t>Parthasarathy (201</w:t>
      </w:r>
      <w:r w:rsidR="00236605">
        <w:rPr>
          <w:lang w:val="en-GB"/>
        </w:rPr>
        <w:t>0</w:t>
      </w:r>
      <w:r>
        <w:rPr>
          <w:lang w:val="en-GB"/>
        </w:rPr>
        <w:t>)</w:t>
      </w:r>
      <w:r w:rsidR="002642E4">
        <w:rPr>
          <w:lang w:val="en-GB"/>
        </w:rPr>
        <w:t xml:space="preserve"> who did his research on S&amp;P CNX Nifty index also found similar results as in the developed markets, but when he made different intervals in his data</w:t>
      </w:r>
      <w:r w:rsidR="00E079B9">
        <w:rPr>
          <w:lang w:val="en-GB"/>
        </w:rPr>
        <w:t xml:space="preserve"> </w:t>
      </w:r>
      <w:r w:rsidR="002642E4">
        <w:rPr>
          <w:lang w:val="en-GB"/>
        </w:rPr>
        <w:t>set</w:t>
      </w:r>
      <w:r w:rsidR="00EE1204">
        <w:rPr>
          <w:lang w:val="en-GB"/>
        </w:rPr>
        <w:t xml:space="preserve"> </w:t>
      </w:r>
      <w:r w:rsidR="002642E4">
        <w:rPr>
          <w:lang w:val="en-GB"/>
        </w:rPr>
        <w:t>he concluded that excess return</w:t>
      </w:r>
      <w:r w:rsidR="00F645D9">
        <w:rPr>
          <w:lang w:val="en-GB"/>
        </w:rPr>
        <w:t xml:space="preserve"> for the run up window</w:t>
      </w:r>
      <w:r w:rsidR="002642E4">
        <w:rPr>
          <w:lang w:val="en-GB"/>
        </w:rPr>
        <w:t xml:space="preserve"> </w:t>
      </w:r>
      <w:r w:rsidR="00F645D9">
        <w:rPr>
          <w:lang w:val="en-GB"/>
        </w:rPr>
        <w:t>was</w:t>
      </w:r>
      <w:r w:rsidR="00EE1204">
        <w:rPr>
          <w:lang w:val="en-GB"/>
        </w:rPr>
        <w:t xml:space="preserve"> </w:t>
      </w:r>
      <w:r w:rsidR="00B902BE">
        <w:rPr>
          <w:lang w:val="en-GB"/>
        </w:rPr>
        <w:t>n</w:t>
      </w:r>
      <w:r w:rsidR="002642E4">
        <w:rPr>
          <w:lang w:val="en-GB"/>
        </w:rPr>
        <w:t xml:space="preserve">egative </w:t>
      </w:r>
      <w:r w:rsidR="00F645D9">
        <w:rPr>
          <w:lang w:val="en-GB"/>
        </w:rPr>
        <w:t xml:space="preserve">with -2.4% </w:t>
      </w:r>
      <w:r w:rsidR="002642E4">
        <w:rPr>
          <w:lang w:val="en-GB"/>
        </w:rPr>
        <w:t>in the period</w:t>
      </w:r>
      <w:r w:rsidR="00EE1204">
        <w:rPr>
          <w:lang w:val="en-GB"/>
        </w:rPr>
        <w:t xml:space="preserve"> </w:t>
      </w:r>
      <w:r w:rsidR="002642E4">
        <w:rPr>
          <w:lang w:val="en-GB"/>
        </w:rPr>
        <w:t>between 2007 and 2010.</w:t>
      </w:r>
      <w:r w:rsidR="00EE1204">
        <w:rPr>
          <w:lang w:val="en-GB"/>
        </w:rPr>
        <w:t xml:space="preserve"> </w:t>
      </w:r>
      <w:r w:rsidR="00F645D9">
        <w:rPr>
          <w:lang w:val="en-GB"/>
        </w:rPr>
        <w:t xml:space="preserve">These results </w:t>
      </w:r>
      <w:r w:rsidR="000177BA">
        <w:rPr>
          <w:lang w:val="en-GB"/>
        </w:rPr>
        <w:t>are</w:t>
      </w:r>
      <w:r w:rsidR="00F645D9">
        <w:rPr>
          <w:lang w:val="en-GB"/>
        </w:rPr>
        <w:t xml:space="preserve"> not supported by this study. With the data set brought inline with that of Parthasarathy the results remained significantly positive for the MSCI Emerging Markets index </w:t>
      </w:r>
      <w:r w:rsidR="008F3B64">
        <w:rPr>
          <w:lang w:val="en-GB"/>
        </w:rPr>
        <w:t>with 5.5% for the run up window and 7.5% cumulative excess return for the period before inclusion of stocks into the index. After the inclusion the excess return remained</w:t>
      </w:r>
      <w:r w:rsidR="00EE1204">
        <w:rPr>
          <w:lang w:val="en-GB"/>
        </w:rPr>
        <w:t xml:space="preserve"> </w:t>
      </w:r>
      <w:r w:rsidR="008F3B64">
        <w:rPr>
          <w:lang w:val="en-GB"/>
        </w:rPr>
        <w:t>significantly positive with almost 4%.</w:t>
      </w:r>
    </w:p>
    <w:p w:rsidR="00B11461" w:rsidRPr="00CA1DDF" w:rsidRDefault="005E72AD" w:rsidP="00F95AC5">
      <w:pPr>
        <w:pStyle w:val="Heading3"/>
        <w:rPr>
          <w:lang w:val="en-GB"/>
        </w:rPr>
      </w:pPr>
      <w:r w:rsidRPr="00CA1DDF">
        <w:rPr>
          <w:lang w:val="en-GB"/>
        </w:rPr>
        <w:t>Results on</w:t>
      </w:r>
      <w:r w:rsidR="0067105C">
        <w:rPr>
          <w:lang w:val="en-GB"/>
        </w:rPr>
        <w:t xml:space="preserve"> additions</w:t>
      </w:r>
      <w:r w:rsidRPr="00CA1DDF">
        <w:rPr>
          <w:lang w:val="en-GB"/>
        </w:rPr>
        <w:t xml:space="preserve"> </w:t>
      </w:r>
      <w:r w:rsidR="0067105C">
        <w:rPr>
          <w:lang w:val="en-GB"/>
        </w:rPr>
        <w:t xml:space="preserve">to the </w:t>
      </w:r>
      <w:r w:rsidRPr="00CA1DDF">
        <w:rPr>
          <w:lang w:val="en-GB"/>
        </w:rPr>
        <w:t>MSCI Countries</w:t>
      </w:r>
    </w:p>
    <w:p w:rsidR="00BE28A9" w:rsidRDefault="005E72AD" w:rsidP="00B553F7">
      <w:pPr>
        <w:rPr>
          <w:lang w:val="en-GB"/>
        </w:rPr>
      </w:pPr>
      <w:r>
        <w:rPr>
          <w:lang w:val="en-GB"/>
        </w:rPr>
        <w:t>To get an impression on how the price effect was on a country level, four countries were selected for this Paragraph. The selection was based on the BRIC countries, but because of insufficient data on Russia</w:t>
      </w:r>
      <w:r w:rsidR="00CA1DDF">
        <w:rPr>
          <w:lang w:val="en-GB"/>
        </w:rPr>
        <w:t>, Tu</w:t>
      </w:r>
      <w:r>
        <w:rPr>
          <w:lang w:val="en-GB"/>
        </w:rPr>
        <w:t>rk</w:t>
      </w:r>
      <w:r w:rsidR="00CA1DDF">
        <w:rPr>
          <w:lang w:val="en-GB"/>
        </w:rPr>
        <w:t>e</w:t>
      </w:r>
      <w:r>
        <w:rPr>
          <w:lang w:val="en-GB"/>
        </w:rPr>
        <w:t xml:space="preserve">y was </w:t>
      </w:r>
      <w:r w:rsidR="00CA1DDF">
        <w:rPr>
          <w:lang w:val="en-GB"/>
        </w:rPr>
        <w:t>chosen</w:t>
      </w:r>
      <w:r>
        <w:rPr>
          <w:lang w:val="en-GB"/>
        </w:rPr>
        <w:t xml:space="preserve"> </w:t>
      </w:r>
      <w:r w:rsidR="00456800">
        <w:rPr>
          <w:lang w:val="en-GB"/>
        </w:rPr>
        <w:t xml:space="preserve">to replace Russia </w:t>
      </w:r>
      <w:r>
        <w:rPr>
          <w:lang w:val="en-GB"/>
        </w:rPr>
        <w:t xml:space="preserve">as an alternative due to </w:t>
      </w:r>
      <w:r w:rsidR="00456800">
        <w:rPr>
          <w:lang w:val="en-GB"/>
        </w:rPr>
        <w:t xml:space="preserve">the same </w:t>
      </w:r>
      <w:r>
        <w:rPr>
          <w:lang w:val="en-GB"/>
        </w:rPr>
        <w:t>geographical location</w:t>
      </w:r>
      <w:r w:rsidR="00456800">
        <w:rPr>
          <w:lang w:val="en-GB"/>
        </w:rPr>
        <w:t xml:space="preserve"> of EMEA</w:t>
      </w:r>
      <w:r>
        <w:rPr>
          <w:lang w:val="en-GB"/>
        </w:rPr>
        <w:t>.</w:t>
      </w:r>
      <w:r w:rsidR="00EE1204">
        <w:rPr>
          <w:lang w:val="en-GB"/>
        </w:rPr>
        <w:t xml:space="preserve"> </w:t>
      </w:r>
    </w:p>
    <w:p w:rsidR="00792D63" w:rsidRDefault="00792D63" w:rsidP="00B553F7">
      <w:pPr>
        <w:rPr>
          <w:lang w:val="en-GB"/>
        </w:rPr>
      </w:pPr>
      <w:r>
        <w:rPr>
          <w:lang w:val="en-GB"/>
        </w:rPr>
        <w:t>The MSCI country indices belong to the MSCI Index family and therefore were seen a</w:t>
      </w:r>
      <w:r w:rsidR="009011FD">
        <w:rPr>
          <w:lang w:val="en-GB"/>
        </w:rPr>
        <w:t>s a</w:t>
      </w:r>
      <w:r>
        <w:rPr>
          <w:lang w:val="en-GB"/>
        </w:rPr>
        <w:t xml:space="preserve"> representative </w:t>
      </w:r>
      <w:r w:rsidR="009011FD">
        <w:rPr>
          <w:lang w:val="en-GB"/>
        </w:rPr>
        <w:t xml:space="preserve">example </w:t>
      </w:r>
      <w:r>
        <w:rPr>
          <w:lang w:val="en-GB"/>
        </w:rPr>
        <w:t>to see how these additions react to the local indices.</w:t>
      </w:r>
      <w:r w:rsidR="00EE1204">
        <w:rPr>
          <w:lang w:val="en-GB"/>
        </w:rPr>
        <w:t xml:space="preserve"> </w:t>
      </w:r>
      <w:r w:rsidR="009011FD">
        <w:rPr>
          <w:lang w:val="en-GB"/>
        </w:rPr>
        <w:t xml:space="preserve">This test is done to see </w:t>
      </w:r>
      <w:r w:rsidR="00223962">
        <w:rPr>
          <w:lang w:val="en-GB"/>
        </w:rPr>
        <w:t>if there is a price effect.</w:t>
      </w:r>
    </w:p>
    <w:p w:rsidR="00BE28A9" w:rsidRDefault="00BE28A9" w:rsidP="00B553F7">
      <w:pPr>
        <w:rPr>
          <w:lang w:val="en-GB"/>
        </w:rPr>
      </w:pPr>
      <w:r>
        <w:rPr>
          <w:lang w:val="en-GB"/>
        </w:rPr>
        <w:t>The next tables show the results on additions into a MSCI Country index.</w:t>
      </w:r>
      <w:r w:rsidR="00EE1204">
        <w:rPr>
          <w:lang w:val="en-GB"/>
        </w:rPr>
        <w:t xml:space="preserve"> </w:t>
      </w:r>
      <w:r>
        <w:rPr>
          <w:lang w:val="en-GB"/>
        </w:rPr>
        <w:t>These additions are the same as from the MSCI Emerging markets, but this time only Brazil was filtered out of the complete sample and then put next to the MSCI Brazil index. This was done to get an impression on a country level of what the impact is on stocks that were added to index. The same procedure was then repeated for Turkey, India and China.</w:t>
      </w:r>
      <w:r w:rsidR="00792D63">
        <w:rPr>
          <w:lang w:val="en-GB"/>
        </w:rPr>
        <w:t xml:space="preserve"> </w:t>
      </w:r>
    </w:p>
    <w:p w:rsidR="005E72AD" w:rsidRDefault="00456800" w:rsidP="00B553F7">
      <w:pPr>
        <w:rPr>
          <w:lang w:val="en-GB"/>
        </w:rPr>
      </w:pPr>
      <w:r>
        <w:rPr>
          <w:lang w:val="en-GB"/>
        </w:rPr>
        <w:t xml:space="preserve">The charts show the price effect of </w:t>
      </w:r>
      <w:r w:rsidR="00BE28A9">
        <w:rPr>
          <w:lang w:val="en-GB"/>
        </w:rPr>
        <w:t xml:space="preserve">the </w:t>
      </w:r>
      <w:r>
        <w:rPr>
          <w:lang w:val="en-GB"/>
        </w:rPr>
        <w:t xml:space="preserve">additions </w:t>
      </w:r>
      <w:r w:rsidR="00BE28A9">
        <w:rPr>
          <w:lang w:val="en-GB"/>
        </w:rPr>
        <w:t xml:space="preserve">into </w:t>
      </w:r>
      <w:r>
        <w:rPr>
          <w:lang w:val="en-GB"/>
        </w:rPr>
        <w:t>the MSCI Emerging Markets</w:t>
      </w:r>
      <w:r w:rsidR="00EE1204">
        <w:rPr>
          <w:lang w:val="en-GB"/>
        </w:rPr>
        <w:t xml:space="preserve"> </w:t>
      </w:r>
      <w:r w:rsidR="00BE28A9">
        <w:rPr>
          <w:lang w:val="en-GB"/>
        </w:rPr>
        <w:t>versus the price effect of the additions into the MSCI Country. As if the stock would be included into this country index.</w:t>
      </w:r>
    </w:p>
    <w:p w:rsidR="003538E2" w:rsidRDefault="00E11E78" w:rsidP="00512E4C">
      <w:pPr>
        <w:rPr>
          <w:b/>
          <w:lang w:val="en-GB"/>
        </w:rPr>
      </w:pPr>
      <w:r>
        <w:rPr>
          <w:b/>
          <w:lang w:val="en-GB"/>
        </w:rPr>
        <w:t>Table 5.1.3</w:t>
      </w:r>
      <w:r w:rsidR="00792D63">
        <w:rPr>
          <w:b/>
          <w:lang w:val="en-GB"/>
        </w:rPr>
        <w:t>. Additions to the MSCI BRAZIL</w:t>
      </w:r>
    </w:p>
    <w:p w:rsidR="003C7E13" w:rsidRDefault="003C7E13" w:rsidP="00512E4C">
      <w:r w:rsidRPr="00CB4BAE">
        <w:rPr>
          <w:rFonts w:ascii="Calibri" w:eastAsia="Times New Roman" w:hAnsi="Calibri" w:cs="Times New Roman"/>
          <w:color w:val="000000"/>
          <w:sz w:val="16"/>
          <w:szCs w:val="16"/>
        </w:rPr>
        <w:t xml:space="preserve">All T-stat calculations are based on a significance level of 5%. The sample size is based on additions </w:t>
      </w:r>
      <w:r>
        <w:rPr>
          <w:rFonts w:ascii="Calibri" w:eastAsia="Times New Roman" w:hAnsi="Calibri" w:cs="Times New Roman"/>
          <w:color w:val="000000"/>
          <w:sz w:val="16"/>
          <w:szCs w:val="16"/>
        </w:rPr>
        <w:t xml:space="preserve">of only Brazil within the MSCI </w:t>
      </w:r>
      <w:r w:rsidR="00C93198">
        <w:rPr>
          <w:rFonts w:ascii="Calibri" w:eastAsia="Times New Roman" w:hAnsi="Calibri" w:cs="Times New Roman"/>
          <w:color w:val="000000"/>
          <w:sz w:val="16"/>
          <w:szCs w:val="16"/>
        </w:rPr>
        <w:t>Brazil</w:t>
      </w:r>
      <w:r>
        <w:rPr>
          <w:rFonts w:ascii="Calibri" w:eastAsia="Times New Roman" w:hAnsi="Calibri" w:cs="Times New Roman"/>
          <w:color w:val="000000"/>
          <w:sz w:val="16"/>
          <w:szCs w:val="16"/>
        </w:rPr>
        <w:t xml:space="preserve">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The t stands for number of days, or a time line between different days. AR average is Average abnormal return of the event window. CAR is the cumulative abnormal return of the event window. The CAR of all sample stocks are combined and averaged over the event window to calculate the overall CAR for the complete sample.</w:t>
      </w:r>
    </w:p>
    <w:p w:rsidR="00404F9D" w:rsidRDefault="003D440E" w:rsidP="00512E4C">
      <w:pPr>
        <w:rPr>
          <w:sz w:val="16"/>
          <w:szCs w:val="16"/>
        </w:rPr>
      </w:pPr>
      <w:r>
        <w:rPr>
          <w:sz w:val="16"/>
          <w:szCs w:val="16"/>
        </w:rPr>
        <w:fldChar w:fldCharType="begin"/>
      </w:r>
      <w:r>
        <w:rPr>
          <w:sz w:val="16"/>
          <w:szCs w:val="16"/>
        </w:rPr>
        <w:instrText xml:space="preserve"> LINK Excel.Sheet.8 "Macintosh HD:Users:merilinsimons:Scriptie:goedgekeurde resultaten:Chapter 5 Results:Price effect_data analyse CAR_BRAZIL20121014.xlsx!results!R7C2:R14C7" "" \a \p </w:instrText>
      </w:r>
      <w:r>
        <w:rPr>
          <w:sz w:val="16"/>
          <w:szCs w:val="16"/>
        </w:rPr>
        <w:fldChar w:fldCharType="separate"/>
      </w:r>
      <w:r w:rsidRPr="003D440E">
        <w:rPr>
          <w:sz w:val="16"/>
          <w:szCs w:val="16"/>
        </w:rPr>
        <w:object w:dxaOrig="10360" w:dyaOrig="2420">
          <v:shape id="_x0000_i1039" type="#_x0000_t75" style="width:427.7pt;height:99.95pt">
            <v:imagedata r:id="rId28" o:title=""/>
          </v:shape>
        </w:object>
      </w:r>
      <w:r>
        <w:rPr>
          <w:sz w:val="16"/>
          <w:szCs w:val="16"/>
        </w:rPr>
        <w:fldChar w:fldCharType="end"/>
      </w:r>
    </w:p>
    <w:p w:rsidR="00F95AC5" w:rsidRDefault="00FE473C" w:rsidP="00512E4C">
      <w:pPr>
        <w:rPr>
          <w:sz w:val="16"/>
          <w:szCs w:val="16"/>
        </w:rPr>
      </w:pPr>
      <w:r w:rsidRPr="007A4946">
        <w:rPr>
          <w:sz w:val="16"/>
          <w:szCs w:val="16"/>
        </w:rPr>
        <w:t>source: Copyof Price effect_data analyse CAR_Brazil20121014.xls</w:t>
      </w:r>
      <w:r w:rsidR="007A4946">
        <w:rPr>
          <w:sz w:val="16"/>
          <w:szCs w:val="16"/>
        </w:rPr>
        <w:t>x</w:t>
      </w:r>
    </w:p>
    <w:p w:rsidR="00792D63" w:rsidRDefault="00223962" w:rsidP="00512E4C">
      <w:pPr>
        <w:rPr>
          <w:b/>
          <w:lang w:val="en-GB"/>
        </w:rPr>
      </w:pPr>
      <w:r>
        <w:rPr>
          <w:b/>
          <w:lang w:val="en-GB"/>
        </w:rPr>
        <w:t>Chart</w:t>
      </w:r>
      <w:r w:rsidRPr="006F10F7">
        <w:rPr>
          <w:b/>
          <w:lang w:val="en-GB"/>
        </w:rPr>
        <w:t xml:space="preserve"> 5.</w:t>
      </w:r>
      <w:r w:rsidR="00E11E78">
        <w:rPr>
          <w:b/>
          <w:lang w:val="en-GB"/>
        </w:rPr>
        <w:t>1</w:t>
      </w:r>
      <w:r>
        <w:rPr>
          <w:b/>
          <w:lang w:val="en-GB"/>
        </w:rPr>
        <w:t>.</w:t>
      </w:r>
      <w:r w:rsidR="00E11E78">
        <w:rPr>
          <w:b/>
          <w:lang w:val="en-GB"/>
        </w:rPr>
        <w:t>2</w:t>
      </w:r>
      <w:r>
        <w:rPr>
          <w:b/>
          <w:lang w:val="en-GB"/>
        </w:rPr>
        <w:t>. Additions to the MSCI BRAZIL</w:t>
      </w:r>
    </w:p>
    <w:p w:rsidR="00C93198" w:rsidRDefault="00C93198" w:rsidP="00512E4C">
      <w:r w:rsidRPr="00CB4BAE">
        <w:rPr>
          <w:rFonts w:ascii="Calibri" w:eastAsia="Times New Roman" w:hAnsi="Calibri" w:cs="Times New Roman"/>
          <w:color w:val="000000"/>
          <w:sz w:val="16"/>
          <w:szCs w:val="16"/>
        </w:rPr>
        <w:t xml:space="preserve">The </w:t>
      </w:r>
      <w:r>
        <w:rPr>
          <w:rFonts w:ascii="Calibri" w:eastAsia="Times New Roman" w:hAnsi="Calibri" w:cs="Times New Roman"/>
          <w:color w:val="000000"/>
          <w:sz w:val="16"/>
          <w:szCs w:val="16"/>
        </w:rPr>
        <w:t xml:space="preserve">chart is based on the complete </w:t>
      </w:r>
      <w:r w:rsidRPr="00CB4BAE">
        <w:rPr>
          <w:rFonts w:ascii="Calibri" w:eastAsia="Times New Roman" w:hAnsi="Calibri" w:cs="Times New Roman"/>
          <w:color w:val="000000"/>
          <w:sz w:val="16"/>
          <w:szCs w:val="16"/>
        </w:rPr>
        <w:t xml:space="preserve">sample size is </w:t>
      </w:r>
      <w:r>
        <w:rPr>
          <w:rFonts w:ascii="Calibri" w:eastAsia="Times New Roman" w:hAnsi="Calibri" w:cs="Times New Roman"/>
          <w:color w:val="000000"/>
          <w:sz w:val="16"/>
          <w:szCs w:val="16"/>
        </w:rPr>
        <w:t>of</w:t>
      </w:r>
      <w:r w:rsidRPr="00CB4BAE">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 xml:space="preserve">all </w:t>
      </w:r>
      <w:r w:rsidRPr="00CB4BAE">
        <w:rPr>
          <w:rFonts w:ascii="Calibri" w:eastAsia="Times New Roman" w:hAnsi="Calibri" w:cs="Times New Roman"/>
          <w:color w:val="000000"/>
          <w:sz w:val="16"/>
          <w:szCs w:val="16"/>
        </w:rPr>
        <w:t xml:space="preserve">additions </w:t>
      </w:r>
      <w:r>
        <w:rPr>
          <w:rFonts w:ascii="Calibri" w:eastAsia="Times New Roman" w:hAnsi="Calibri" w:cs="Times New Roman"/>
          <w:color w:val="000000"/>
          <w:sz w:val="16"/>
          <w:szCs w:val="16"/>
        </w:rPr>
        <w:t xml:space="preserve">of Brazil within the MSCI Emerging Markets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The t stands for number of days. CAR is the cumulative abnormal return of the complete event window, starting 20 days before the inclusion and 20 days after. The CAR of all sample stocks are combined and averaged over the event window to calculate the overall CAR for the complete sample. On t=0 all index review implementations are included in the MSCI EM index. T-Stat is based on the CAR. The y-axis stands for the excess return in percentages, x-axis stands for days in time</w:t>
      </w:r>
    </w:p>
    <w:p w:rsidR="003538E2" w:rsidRDefault="00433F53" w:rsidP="00512E4C">
      <w:r>
        <w:rPr>
          <w:noProof/>
        </w:rPr>
        <w:drawing>
          <wp:inline distT="0" distB="0" distL="0" distR="0">
            <wp:extent cx="5826894" cy="2270125"/>
            <wp:effectExtent l="0" t="0" r="15240" b="1587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B447FB" w:rsidRDefault="00223962" w:rsidP="00512E4C">
      <w:r>
        <w:t>The results on additions to the MSCI Brazil</w:t>
      </w:r>
      <w:r w:rsidR="006B7712">
        <w:t xml:space="preserve"> in the period before the inclusion of the stocks into the index , show a cumulative abnormal return of 7.1% and is mostly in line with the previous</w:t>
      </w:r>
      <w:r>
        <w:t xml:space="preserve"> results from the MSCI EM</w:t>
      </w:r>
      <w:r w:rsidR="006B7712">
        <w:t xml:space="preserve"> of 6.2%</w:t>
      </w:r>
      <w:r>
        <w:t>.</w:t>
      </w:r>
      <w:r w:rsidR="00EE1204">
        <w:t xml:space="preserve"> </w:t>
      </w:r>
      <w:r w:rsidR="006B7712">
        <w:t>Slightly different is the steep decline on the inclusion day, that shortly recovers after the second day after inclusion of the stock had taken place.</w:t>
      </w:r>
      <w:r w:rsidR="00AC770E">
        <w:t xml:space="preserve"> This could show signs of new demand that impact the price of the stocks positively. Overall the additions experiences a decrease in excess return of -3.7% after the inclusion day. Over the complete period price effect on the additions to MSCI Brazil have </w:t>
      </w:r>
      <w:r w:rsidR="00B447FB">
        <w:t>reached a</w:t>
      </w:r>
      <w:r w:rsidR="00AC770E">
        <w:t xml:space="preserve"> significant cumulative abnormal return of 3.4 %</w:t>
      </w:r>
      <w:r w:rsidR="00B447FB">
        <w:t>, while the additions on the MSCI EM was 2.8% but also significant.</w:t>
      </w:r>
      <w:r w:rsidR="00AC770E">
        <w:t xml:space="preserve"> </w:t>
      </w:r>
    </w:p>
    <w:p w:rsidR="00AE2598" w:rsidRDefault="00AE2598" w:rsidP="00512E4C">
      <w:pPr>
        <w:rPr>
          <w:b/>
          <w:lang w:val="en-GB"/>
        </w:rPr>
      </w:pPr>
    </w:p>
    <w:p w:rsidR="00792D63" w:rsidRDefault="00792D63" w:rsidP="00512E4C">
      <w:pPr>
        <w:rPr>
          <w:b/>
          <w:lang w:val="en-GB"/>
        </w:rPr>
      </w:pPr>
      <w:r w:rsidRPr="006F10F7">
        <w:rPr>
          <w:b/>
          <w:lang w:val="en-GB"/>
        </w:rPr>
        <w:t>Table 5.</w:t>
      </w:r>
      <w:r w:rsidR="00E11E78">
        <w:rPr>
          <w:b/>
          <w:lang w:val="en-GB"/>
        </w:rPr>
        <w:t>1</w:t>
      </w:r>
      <w:r>
        <w:rPr>
          <w:b/>
          <w:lang w:val="en-GB"/>
        </w:rPr>
        <w:t>.</w:t>
      </w:r>
      <w:r w:rsidR="00E11E78">
        <w:rPr>
          <w:b/>
          <w:lang w:val="en-GB"/>
        </w:rPr>
        <w:t>4</w:t>
      </w:r>
      <w:r>
        <w:rPr>
          <w:b/>
          <w:lang w:val="en-GB"/>
        </w:rPr>
        <w:t>. Additions to the MSCI TURKEY</w:t>
      </w:r>
    </w:p>
    <w:p w:rsidR="00C93198" w:rsidRDefault="00C93198" w:rsidP="00512E4C">
      <w:r w:rsidRPr="00CB4BAE">
        <w:rPr>
          <w:rFonts w:ascii="Calibri" w:eastAsia="Times New Roman" w:hAnsi="Calibri" w:cs="Times New Roman"/>
          <w:color w:val="000000"/>
          <w:sz w:val="16"/>
          <w:szCs w:val="16"/>
        </w:rPr>
        <w:t>All T-stat calculations are based on a significance level of 5%</w:t>
      </w:r>
      <w:r>
        <w:rPr>
          <w:rFonts w:ascii="Calibri" w:eastAsia="Times New Roman" w:hAnsi="Calibri" w:cs="Times New Roman"/>
          <w:color w:val="000000"/>
          <w:sz w:val="16"/>
          <w:szCs w:val="16"/>
        </w:rPr>
        <w:t>. Please revert to the table of Brazil for additional explanation about the table.</w:t>
      </w:r>
    </w:p>
    <w:p w:rsidR="00651ADE" w:rsidRDefault="003D440E" w:rsidP="00512E4C">
      <w:r>
        <w:fldChar w:fldCharType="begin"/>
      </w:r>
      <w:r>
        <w:instrText xml:space="preserve"> LINK Excel.Sheet.8 "Macintosh HD:Users:merilinsimons:Scriptie:goedgekeurde resultaten:Chapter 5 Results:Copy of Price effect_data analyse CAR_Turkey20121028.xlsx!results!R4C3:R11C8" "" \a \p </w:instrText>
      </w:r>
      <w:r>
        <w:fldChar w:fldCharType="separate"/>
      </w:r>
      <w:r>
        <w:object w:dxaOrig="10240" w:dyaOrig="2420">
          <v:shape id="_x0000_i1040" type="#_x0000_t75" style="width:412.65pt;height:97.8pt">
            <v:imagedata r:id="rId30" o:title=""/>
          </v:shape>
        </w:object>
      </w:r>
      <w:r>
        <w:fldChar w:fldCharType="end"/>
      </w:r>
      <w:r w:rsidR="0054615D" w:rsidRPr="007A4946">
        <w:rPr>
          <w:sz w:val="16"/>
          <w:szCs w:val="16"/>
        </w:rPr>
        <w:t>source: Copy</w:t>
      </w:r>
      <w:r w:rsidR="005338C2">
        <w:rPr>
          <w:sz w:val="16"/>
          <w:szCs w:val="16"/>
        </w:rPr>
        <w:t xml:space="preserve"> </w:t>
      </w:r>
      <w:r w:rsidR="0054615D" w:rsidRPr="007A4946">
        <w:rPr>
          <w:sz w:val="16"/>
          <w:szCs w:val="16"/>
        </w:rPr>
        <w:t>of Price effect_data analyse CAR_</w:t>
      </w:r>
      <w:r w:rsidR="0054615D">
        <w:rPr>
          <w:sz w:val="16"/>
          <w:szCs w:val="16"/>
        </w:rPr>
        <w:t>Turkey</w:t>
      </w:r>
      <w:r w:rsidR="00AE2598">
        <w:rPr>
          <w:sz w:val="16"/>
          <w:szCs w:val="16"/>
        </w:rPr>
        <w:t xml:space="preserve"> Plot</w:t>
      </w:r>
      <w:r w:rsidR="0054615D" w:rsidRPr="007A4946">
        <w:rPr>
          <w:sz w:val="16"/>
          <w:szCs w:val="16"/>
        </w:rPr>
        <w:t>20121</w:t>
      </w:r>
      <w:r w:rsidR="00AE2598">
        <w:rPr>
          <w:sz w:val="16"/>
          <w:szCs w:val="16"/>
        </w:rPr>
        <w:t>104</w:t>
      </w:r>
      <w:r w:rsidR="0054615D" w:rsidRPr="007A4946">
        <w:rPr>
          <w:sz w:val="16"/>
          <w:szCs w:val="16"/>
        </w:rPr>
        <w:t>.x</w:t>
      </w:r>
      <w:r w:rsidR="0054615D">
        <w:rPr>
          <w:sz w:val="16"/>
          <w:szCs w:val="16"/>
        </w:rPr>
        <w:t>lsx</w:t>
      </w:r>
    </w:p>
    <w:p w:rsidR="00E11E78" w:rsidRDefault="00E11E78" w:rsidP="00512E4C">
      <w:r>
        <w:rPr>
          <w:b/>
          <w:lang w:val="en-GB"/>
        </w:rPr>
        <w:t>Chart</w:t>
      </w:r>
      <w:r w:rsidRPr="006F10F7">
        <w:rPr>
          <w:b/>
          <w:lang w:val="en-GB"/>
        </w:rPr>
        <w:t xml:space="preserve"> 5.</w:t>
      </w:r>
      <w:r>
        <w:rPr>
          <w:b/>
          <w:lang w:val="en-GB"/>
        </w:rPr>
        <w:t xml:space="preserve">1.3. Additions to the MSCI </w:t>
      </w:r>
      <w:r w:rsidR="00C93198">
        <w:rPr>
          <w:b/>
          <w:lang w:val="en-GB"/>
        </w:rPr>
        <w:t>Turkey</w:t>
      </w:r>
    </w:p>
    <w:p w:rsidR="00872847" w:rsidRDefault="00872847" w:rsidP="00512E4C">
      <w:r>
        <w:rPr>
          <w:noProof/>
        </w:rPr>
        <w:drawing>
          <wp:inline distT="0" distB="0" distL="0" distR="0">
            <wp:extent cx="6055494" cy="2597785"/>
            <wp:effectExtent l="0" t="0" r="15240" b="1841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422E9F" w:rsidRPr="00C93198" w:rsidRDefault="00B447FB" w:rsidP="00512E4C">
      <w:r>
        <w:t xml:space="preserve">MSCI Turkey shows a somewhat different chart than </w:t>
      </w:r>
      <w:r w:rsidR="008A7255">
        <w:t xml:space="preserve">prior example of the MSCI </w:t>
      </w:r>
      <w:r>
        <w:t xml:space="preserve">Brazil, </w:t>
      </w:r>
      <w:r w:rsidR="008A7255">
        <w:t>of course</w:t>
      </w:r>
      <w:r>
        <w:t xml:space="preserve"> the smaller sample size of -/+ 15 companies should be taken into account.</w:t>
      </w:r>
      <w:r w:rsidR="008A7255">
        <w:t xml:space="preserve"> Still th</w:t>
      </w:r>
      <w:r w:rsidR="00577C39">
        <w:t>e differences with the MSCI EM remain</w:t>
      </w:r>
      <w:r w:rsidR="008A7255">
        <w:t xml:space="preserve"> great.</w:t>
      </w:r>
      <w:r w:rsidR="00E11E78">
        <w:t xml:space="preserve"> </w:t>
      </w:r>
    </w:p>
    <w:p w:rsidR="00E11E78" w:rsidRDefault="00E11E78" w:rsidP="00512E4C">
      <w:pPr>
        <w:rPr>
          <w:b/>
          <w:lang w:val="en-GB"/>
        </w:rPr>
      </w:pPr>
      <w:r>
        <w:rPr>
          <w:b/>
          <w:lang w:val="en-GB"/>
        </w:rPr>
        <w:t>Chart</w:t>
      </w:r>
      <w:r w:rsidRPr="006F10F7">
        <w:rPr>
          <w:b/>
          <w:lang w:val="en-GB"/>
        </w:rPr>
        <w:t xml:space="preserve"> 5.</w:t>
      </w:r>
      <w:r>
        <w:rPr>
          <w:b/>
          <w:lang w:val="en-GB"/>
        </w:rPr>
        <w:t xml:space="preserve">1.4. </w:t>
      </w:r>
      <w:r w:rsidR="00AC4956">
        <w:rPr>
          <w:b/>
          <w:lang w:val="en-GB"/>
        </w:rPr>
        <w:t>Plot: addition Turkish companies</w:t>
      </w:r>
      <w:r w:rsidR="00C20CB5">
        <w:rPr>
          <w:b/>
          <w:lang w:val="en-GB"/>
        </w:rPr>
        <w:t xml:space="preserve"> t-20, t-1</w:t>
      </w:r>
      <w:r w:rsidR="00AC4956">
        <w:rPr>
          <w:b/>
          <w:lang w:val="en-GB"/>
        </w:rPr>
        <w:t xml:space="preserve"> </w:t>
      </w:r>
    </w:p>
    <w:p w:rsidR="00DE726B" w:rsidRDefault="00DE726B" w:rsidP="00512E4C">
      <w:r>
        <w:rPr>
          <w:rFonts w:ascii="Calibri" w:eastAsia="Times New Roman" w:hAnsi="Calibri" w:cs="Times New Roman"/>
          <w:color w:val="000000"/>
          <w:sz w:val="16"/>
          <w:szCs w:val="16"/>
        </w:rPr>
        <w:t>The y-axis stands for the daily abnormal return and</w:t>
      </w:r>
      <w:r w:rsidR="00EE1204">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x-axis stands for the sample size (number of Turkish companies).</w:t>
      </w:r>
      <w:r w:rsidR="0090656F" w:rsidRPr="0090656F">
        <w:rPr>
          <w:rFonts w:ascii="Calibri" w:eastAsia="Times New Roman" w:hAnsi="Calibri" w:cs="Times New Roman"/>
          <w:color w:val="000000"/>
          <w:sz w:val="16"/>
          <w:szCs w:val="16"/>
        </w:rPr>
        <w:t xml:space="preserve"> </w:t>
      </w:r>
      <w:r w:rsidR="0090656F">
        <w:rPr>
          <w:rFonts w:ascii="Calibri" w:eastAsia="Times New Roman" w:hAnsi="Calibri" w:cs="Times New Roman"/>
          <w:color w:val="000000"/>
          <w:sz w:val="16"/>
          <w:szCs w:val="16"/>
        </w:rPr>
        <w:t>For the “Before Inclusion</w:t>
      </w:r>
      <w:r w:rsidR="00B95143">
        <w:rPr>
          <w:rFonts w:ascii="Calibri" w:eastAsia="Times New Roman" w:hAnsi="Calibri" w:cs="Times New Roman"/>
          <w:color w:val="000000"/>
          <w:sz w:val="16"/>
          <w:szCs w:val="16"/>
        </w:rPr>
        <w:t xml:space="preserve"> </w:t>
      </w:r>
      <w:r w:rsidR="0090656F">
        <w:rPr>
          <w:rFonts w:ascii="Calibri" w:eastAsia="Times New Roman" w:hAnsi="Calibri" w:cs="Times New Roman"/>
          <w:color w:val="000000"/>
          <w:sz w:val="16"/>
          <w:szCs w:val="16"/>
        </w:rPr>
        <w:t>window “event window.</w:t>
      </w:r>
    </w:p>
    <w:p w:rsidR="00E11E78" w:rsidRDefault="00E11E78" w:rsidP="00512E4C">
      <w:r>
        <w:rPr>
          <w:noProof/>
        </w:rPr>
        <w:drawing>
          <wp:inline distT="0" distB="0" distL="0" distR="0">
            <wp:extent cx="2971396" cy="1714500"/>
            <wp:effectExtent l="0" t="0" r="26035" b="1270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AE2598" w:rsidRPr="00AE2598" w:rsidRDefault="00AE2598" w:rsidP="00512E4C">
      <w:pPr>
        <w:rPr>
          <w:sz w:val="16"/>
          <w:szCs w:val="16"/>
        </w:rPr>
      </w:pPr>
      <w:r w:rsidRPr="00AE2598">
        <w:rPr>
          <w:sz w:val="16"/>
          <w:szCs w:val="16"/>
        </w:rPr>
        <w:t>source: Copy of Price effect_data analyse CAR_Turkey Plot20121104.xlsx</w:t>
      </w:r>
    </w:p>
    <w:p w:rsidR="00577C39" w:rsidRDefault="00577C39" w:rsidP="00504E0B">
      <w:r>
        <w:t>The plot chart gives an indication of the daily abnormal returns for the period of before the different Turkish companies were included into the index.</w:t>
      </w:r>
      <w:r w:rsidR="00EE1204">
        <w:t xml:space="preserve"> </w:t>
      </w:r>
      <w:r w:rsidR="00D533D8">
        <w:t xml:space="preserve">The six </w:t>
      </w:r>
      <w:r w:rsidR="003362AA">
        <w:t>outlier</w:t>
      </w:r>
      <w:r w:rsidR="00D533D8">
        <w:t>s cause results to sharply increase.</w:t>
      </w:r>
    </w:p>
    <w:p w:rsidR="00651ADE" w:rsidRDefault="008A7255" w:rsidP="00504E0B">
      <w:r>
        <w:t xml:space="preserve">The results on additions to the MSCI Turkey in the period before the inclusion of the stocks into the </w:t>
      </w:r>
      <w:r w:rsidR="001751C4">
        <w:t xml:space="preserve">index, </w:t>
      </w:r>
      <w:r>
        <w:t>show a cumulative abnormal return of 11.0% which is almost a double of the</w:t>
      </w:r>
      <w:r w:rsidR="00786C5F">
        <w:t xml:space="preserve"> previous 6.2% from the MSCI EM.</w:t>
      </w:r>
      <w:r>
        <w:t xml:space="preserve"> </w:t>
      </w:r>
      <w:r w:rsidR="00786C5F">
        <w:t>Although</w:t>
      </w:r>
      <w:r>
        <w:t xml:space="preserve"> </w:t>
      </w:r>
      <w:r w:rsidR="00786C5F">
        <w:t>the MSCI Turkey decreases after the inclusion day, with a significant negative daily abnormal return of -0.8%,</w:t>
      </w:r>
      <w:r w:rsidR="00EE1204">
        <w:t xml:space="preserve"> </w:t>
      </w:r>
      <w:r w:rsidR="00786C5F">
        <w:t xml:space="preserve">the chart shows that </w:t>
      </w:r>
      <w:r w:rsidR="00504E0B">
        <w:t xml:space="preserve">with a cumulative abnormal return of 12.3%, </w:t>
      </w:r>
      <w:r w:rsidR="00786C5F">
        <w:t xml:space="preserve">a permanent price </w:t>
      </w:r>
      <w:r w:rsidR="00504E0B">
        <w:t xml:space="preserve">increase </w:t>
      </w:r>
      <w:r w:rsidR="00786C5F">
        <w:t xml:space="preserve">has </w:t>
      </w:r>
      <w:r w:rsidR="00504E0B">
        <w:t>occurred</w:t>
      </w:r>
      <w:r w:rsidR="00786C5F">
        <w:t xml:space="preserve"> over the complete period </w:t>
      </w:r>
      <w:r w:rsidR="00504E0B">
        <w:t>versus the 2.8% of the MSCI EM.</w:t>
      </w:r>
    </w:p>
    <w:p w:rsidR="00982BB4" w:rsidRDefault="00792D63" w:rsidP="00512E4C">
      <w:pPr>
        <w:rPr>
          <w:b/>
          <w:lang w:val="en-GB"/>
        </w:rPr>
      </w:pPr>
      <w:r w:rsidRPr="006F10F7">
        <w:rPr>
          <w:b/>
          <w:lang w:val="en-GB"/>
        </w:rPr>
        <w:t>Table 5.1</w:t>
      </w:r>
      <w:r w:rsidR="00460F36">
        <w:rPr>
          <w:b/>
          <w:lang w:val="en-GB"/>
        </w:rPr>
        <w:t>.5</w:t>
      </w:r>
      <w:r>
        <w:rPr>
          <w:b/>
          <w:lang w:val="en-GB"/>
        </w:rPr>
        <w:t>. Additions to the MSCI INDIA</w:t>
      </w:r>
    </w:p>
    <w:p w:rsidR="00C93198" w:rsidRDefault="00C93198" w:rsidP="00512E4C">
      <w:pPr>
        <w:rPr>
          <w:b/>
          <w:lang w:val="en-GB"/>
        </w:rPr>
      </w:pPr>
      <w:r w:rsidRPr="00CB4BAE">
        <w:rPr>
          <w:rFonts w:ascii="Calibri" w:eastAsia="Times New Roman" w:hAnsi="Calibri" w:cs="Times New Roman"/>
          <w:color w:val="000000"/>
          <w:sz w:val="16"/>
          <w:szCs w:val="16"/>
        </w:rPr>
        <w:t>All T-stat calculations are based on a significance level of 5%</w:t>
      </w:r>
      <w:r>
        <w:rPr>
          <w:rFonts w:ascii="Calibri" w:eastAsia="Times New Roman" w:hAnsi="Calibri" w:cs="Times New Roman"/>
          <w:color w:val="000000"/>
          <w:sz w:val="16"/>
          <w:szCs w:val="16"/>
        </w:rPr>
        <w:t>. Please revert to the table of Brazil for additional explanation about the table</w:t>
      </w:r>
    </w:p>
    <w:p w:rsidR="00B277A7" w:rsidRDefault="003D440E" w:rsidP="00512E4C">
      <w:r>
        <w:rPr>
          <w:b/>
          <w:lang w:val="en-GB"/>
        </w:rPr>
        <w:fldChar w:fldCharType="begin"/>
      </w:r>
      <w:r>
        <w:rPr>
          <w:b/>
          <w:lang w:val="en-GB"/>
        </w:rPr>
        <w:instrText xml:space="preserve"> LINK Excel.Sheet.8 "Macintosh HD:Users:merilinsimons:Scriptie:goedgekeurde resultaten:Chapter 5 Results:Copy of Price effect_data analyse CAR_India20121028.xlsx!Results!R7C2:R14C7" "" \a \p </w:instrText>
      </w:r>
      <w:r>
        <w:rPr>
          <w:b/>
          <w:lang w:val="en-GB"/>
        </w:rPr>
        <w:fldChar w:fldCharType="separate"/>
      </w:r>
      <w:r w:rsidRPr="003D440E">
        <w:rPr>
          <w:b/>
          <w:lang w:val="en-GB"/>
        </w:rPr>
        <w:object w:dxaOrig="11040" w:dyaOrig="2420">
          <v:shape id="_x0000_i1041" type="#_x0000_t75" style="width:434.7pt;height:95.65pt">
            <v:imagedata r:id="rId33" o:title=""/>
          </v:shape>
        </w:object>
      </w:r>
      <w:r>
        <w:rPr>
          <w:b/>
          <w:lang w:val="en-GB"/>
        </w:rPr>
        <w:fldChar w:fldCharType="end"/>
      </w:r>
    </w:p>
    <w:p w:rsidR="00422E9F" w:rsidRPr="00C93198" w:rsidRDefault="0054615D" w:rsidP="00512E4C">
      <w:pPr>
        <w:rPr>
          <w:sz w:val="16"/>
          <w:szCs w:val="16"/>
        </w:rPr>
      </w:pPr>
      <w:r w:rsidRPr="007A4946">
        <w:rPr>
          <w:sz w:val="16"/>
          <w:szCs w:val="16"/>
        </w:rPr>
        <w:t>source: Copyof Price effect_data analyse CAR_</w:t>
      </w:r>
      <w:r>
        <w:rPr>
          <w:sz w:val="16"/>
          <w:szCs w:val="16"/>
        </w:rPr>
        <w:t>India</w:t>
      </w:r>
      <w:r w:rsidRPr="007A4946">
        <w:rPr>
          <w:sz w:val="16"/>
          <w:szCs w:val="16"/>
        </w:rPr>
        <w:t>201210</w:t>
      </w:r>
      <w:r>
        <w:rPr>
          <w:sz w:val="16"/>
          <w:szCs w:val="16"/>
        </w:rPr>
        <w:t>28</w:t>
      </w:r>
      <w:r w:rsidRPr="007A4946">
        <w:rPr>
          <w:sz w:val="16"/>
          <w:szCs w:val="16"/>
        </w:rPr>
        <w:t>.x</w:t>
      </w:r>
      <w:r w:rsidR="00C93198">
        <w:rPr>
          <w:sz w:val="16"/>
          <w:szCs w:val="16"/>
        </w:rPr>
        <w:t>ls</w:t>
      </w:r>
    </w:p>
    <w:p w:rsidR="00460F36" w:rsidRDefault="00460F36" w:rsidP="00512E4C">
      <w:r>
        <w:rPr>
          <w:b/>
          <w:lang w:val="en-GB"/>
        </w:rPr>
        <w:t>Chart</w:t>
      </w:r>
      <w:r w:rsidRPr="006F10F7">
        <w:rPr>
          <w:b/>
          <w:lang w:val="en-GB"/>
        </w:rPr>
        <w:t xml:space="preserve"> 5.1</w:t>
      </w:r>
      <w:r>
        <w:rPr>
          <w:b/>
          <w:lang w:val="en-GB"/>
        </w:rPr>
        <w:t>.5. Additions to the MSCI INDIA</w:t>
      </w:r>
    </w:p>
    <w:p w:rsidR="00982BB4" w:rsidRDefault="00982BB4" w:rsidP="00512E4C">
      <w:r>
        <w:rPr>
          <w:noProof/>
        </w:rPr>
        <w:drawing>
          <wp:inline distT="0" distB="0" distL="0" distR="0">
            <wp:extent cx="6169794" cy="2275205"/>
            <wp:effectExtent l="0" t="0" r="27940" b="3619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651ADE" w:rsidRDefault="00477B99" w:rsidP="00512E4C">
      <w:r>
        <w:t>The re</w:t>
      </w:r>
      <w:r w:rsidR="009011FD">
        <w:t>sults on additions to the MSCI I</w:t>
      </w:r>
      <w:r>
        <w:t xml:space="preserve">ndia in the period before the inclusion of the stocks into the index , show a cumulative abnormal return of 7.0% which is almost similar tot the excess return of 7.1% from the MSCI Brazil and in line with the results from the MSCI EM of 6.2%. </w:t>
      </w:r>
      <w:r w:rsidR="003843FA">
        <w:t xml:space="preserve">The results show more activity after the announcement period, but before the inclusion of stocks into the MSCI India. Partasarathy (2010) had like wise results in his research on the Indian Nifty index. He came 3.8% in the period of 1999-2006 and 5.1% between 2007-2010.The cumulative abnormal return </w:t>
      </w:r>
      <w:r w:rsidR="008B6726">
        <w:t>decrease</w:t>
      </w:r>
      <w:r w:rsidR="003843FA">
        <w:t>d</w:t>
      </w:r>
      <w:r w:rsidR="008B6726">
        <w:t xml:space="preserve"> after </w:t>
      </w:r>
      <w:r w:rsidR="003843FA">
        <w:t>the stocks had been</w:t>
      </w:r>
      <w:r w:rsidR="008B6726">
        <w:t xml:space="preserve"> included into the index.</w:t>
      </w:r>
      <w:r>
        <w:t xml:space="preserve"> </w:t>
      </w:r>
      <w:r w:rsidR="008B6726">
        <w:t xml:space="preserve">Different than the prior results found of Brazil and Turkey, here the new price </w:t>
      </w:r>
      <w:r w:rsidR="003724EE">
        <w:t>equilibrium for</w:t>
      </w:r>
      <w:r w:rsidR="008B6726">
        <w:t xml:space="preserve"> the complet</w:t>
      </w:r>
      <w:r w:rsidR="003724EE">
        <w:t>e period of twenty days before t</w:t>
      </w:r>
      <w:r w:rsidR="008B6726">
        <w:t>he inclusion day until 20</w:t>
      </w:r>
      <w:r w:rsidR="003724EE">
        <w:t xml:space="preserve"> days after. This was respectively a</w:t>
      </w:r>
      <w:r w:rsidR="008B6726">
        <w:t xml:space="preserve"> cumulative abnormal return</w:t>
      </w:r>
      <w:r w:rsidR="003724EE">
        <w:t xml:space="preserve"> of 2.5%, which was not significant versus the</w:t>
      </w:r>
      <w:r w:rsidR="008B6726">
        <w:t xml:space="preserve"> </w:t>
      </w:r>
      <w:r w:rsidR="003724EE">
        <w:t xml:space="preserve">significant cumulative abnormal return of 2.8% </w:t>
      </w:r>
      <w:r w:rsidR="008B6726">
        <w:t>f</w:t>
      </w:r>
      <w:r w:rsidR="003724EE">
        <w:t>rom</w:t>
      </w:r>
      <w:r w:rsidR="008B6726">
        <w:t xml:space="preserve"> the MSCI EM. </w:t>
      </w:r>
    </w:p>
    <w:p w:rsidR="00792D63" w:rsidRDefault="00792D63" w:rsidP="00512E4C">
      <w:pPr>
        <w:rPr>
          <w:b/>
          <w:lang w:val="en-GB"/>
        </w:rPr>
      </w:pPr>
      <w:r w:rsidRPr="006F10F7">
        <w:rPr>
          <w:b/>
          <w:lang w:val="en-GB"/>
        </w:rPr>
        <w:t>Table 5.1</w:t>
      </w:r>
      <w:r>
        <w:rPr>
          <w:b/>
          <w:lang w:val="en-GB"/>
        </w:rPr>
        <w:t>.</w:t>
      </w:r>
      <w:r w:rsidR="00460F36">
        <w:rPr>
          <w:b/>
          <w:lang w:val="en-GB"/>
        </w:rPr>
        <w:t>6</w:t>
      </w:r>
      <w:r>
        <w:rPr>
          <w:b/>
          <w:lang w:val="en-GB"/>
        </w:rPr>
        <w:t>. Additions to the MSCI</w:t>
      </w:r>
      <w:r w:rsidR="00EE1204">
        <w:rPr>
          <w:b/>
          <w:lang w:val="en-GB"/>
        </w:rPr>
        <w:t xml:space="preserve"> </w:t>
      </w:r>
      <w:r>
        <w:rPr>
          <w:b/>
          <w:lang w:val="en-GB"/>
        </w:rPr>
        <w:t>CHINA</w:t>
      </w:r>
    </w:p>
    <w:p w:rsidR="00C93198" w:rsidRDefault="00C93198" w:rsidP="00512E4C">
      <w:r w:rsidRPr="00CB4BAE">
        <w:rPr>
          <w:rFonts w:ascii="Calibri" w:eastAsia="Times New Roman" w:hAnsi="Calibri" w:cs="Times New Roman"/>
          <w:color w:val="000000"/>
          <w:sz w:val="16"/>
          <w:szCs w:val="16"/>
        </w:rPr>
        <w:t>All T-stat calculations are based on a significance level of 5%</w:t>
      </w:r>
      <w:r>
        <w:rPr>
          <w:rFonts w:ascii="Calibri" w:eastAsia="Times New Roman" w:hAnsi="Calibri" w:cs="Times New Roman"/>
          <w:color w:val="000000"/>
          <w:sz w:val="16"/>
          <w:szCs w:val="16"/>
        </w:rPr>
        <w:t>. Please revert to the table of Brazil for additional explanation about the table</w:t>
      </w:r>
    </w:p>
    <w:p w:rsidR="00EF4BD8" w:rsidRDefault="003D440E" w:rsidP="00512E4C">
      <w:r>
        <w:fldChar w:fldCharType="begin"/>
      </w:r>
      <w:r>
        <w:instrText xml:space="preserve"> LINK Excel.Sheet.8 "Macintosh HD:Users:merilinsimons:Scriptie:goedgekeurde resultaten:Chapter 5 Results:Copy of Price effect_data analyse CAR_CHINA20121028.xlsx!results!R7C2:R14C7" "" \a \p </w:instrText>
      </w:r>
      <w:r>
        <w:fldChar w:fldCharType="separate"/>
      </w:r>
      <w:r>
        <w:object w:dxaOrig="10460" w:dyaOrig="2420">
          <v:shape id="_x0000_i1042" type="#_x0000_t75" style="width:379.35pt;height:87.6pt">
            <v:imagedata r:id="rId35" o:title=""/>
          </v:shape>
        </w:object>
      </w:r>
      <w:r>
        <w:fldChar w:fldCharType="end"/>
      </w:r>
    </w:p>
    <w:p w:rsidR="003538E2" w:rsidRPr="00EF4BD8" w:rsidRDefault="00651ADE" w:rsidP="00512E4C">
      <w:r w:rsidRPr="007A4946">
        <w:rPr>
          <w:sz w:val="16"/>
          <w:szCs w:val="16"/>
        </w:rPr>
        <w:t>source: Copy</w:t>
      </w:r>
      <w:r>
        <w:rPr>
          <w:sz w:val="16"/>
          <w:szCs w:val="16"/>
        </w:rPr>
        <w:t xml:space="preserve"> </w:t>
      </w:r>
      <w:r w:rsidRPr="007A4946">
        <w:rPr>
          <w:sz w:val="16"/>
          <w:szCs w:val="16"/>
        </w:rPr>
        <w:t>of Pric</w:t>
      </w:r>
      <w:r>
        <w:rPr>
          <w:sz w:val="16"/>
          <w:szCs w:val="16"/>
        </w:rPr>
        <w:t>e effect_data analyse CAR_China</w:t>
      </w:r>
      <w:r w:rsidRPr="007A4946">
        <w:rPr>
          <w:sz w:val="16"/>
          <w:szCs w:val="16"/>
        </w:rPr>
        <w:t>201210</w:t>
      </w:r>
      <w:r>
        <w:rPr>
          <w:sz w:val="16"/>
          <w:szCs w:val="16"/>
        </w:rPr>
        <w:t>28</w:t>
      </w:r>
      <w:r w:rsidRPr="007A4946">
        <w:rPr>
          <w:sz w:val="16"/>
          <w:szCs w:val="16"/>
        </w:rPr>
        <w:t>.xls</w:t>
      </w:r>
      <w:r>
        <w:rPr>
          <w:sz w:val="16"/>
          <w:szCs w:val="16"/>
        </w:rPr>
        <w:t>x</w:t>
      </w:r>
    </w:p>
    <w:p w:rsidR="00460F36" w:rsidRDefault="00460F36" w:rsidP="00512E4C">
      <w:r>
        <w:rPr>
          <w:b/>
          <w:lang w:val="en-GB"/>
        </w:rPr>
        <w:t>Chart</w:t>
      </w:r>
      <w:r w:rsidRPr="006F10F7">
        <w:rPr>
          <w:b/>
          <w:lang w:val="en-GB"/>
        </w:rPr>
        <w:t xml:space="preserve"> 5.1</w:t>
      </w:r>
      <w:r>
        <w:rPr>
          <w:b/>
          <w:lang w:val="en-GB"/>
        </w:rPr>
        <w:t>.6. Additions to the MSCI</w:t>
      </w:r>
      <w:r w:rsidR="00EE1204">
        <w:rPr>
          <w:b/>
          <w:lang w:val="en-GB"/>
        </w:rPr>
        <w:t xml:space="preserve"> </w:t>
      </w:r>
      <w:r>
        <w:rPr>
          <w:b/>
          <w:lang w:val="en-GB"/>
        </w:rPr>
        <w:t>CHINA</w:t>
      </w:r>
    </w:p>
    <w:p w:rsidR="00C34115" w:rsidRDefault="00C34115" w:rsidP="00512E4C">
      <w:r>
        <w:rPr>
          <w:noProof/>
        </w:rPr>
        <w:drawing>
          <wp:inline distT="0" distB="0" distL="0" distR="0">
            <wp:extent cx="5941194" cy="2249170"/>
            <wp:effectExtent l="0" t="0" r="27940" b="3683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F63BCF" w:rsidRDefault="00F63BCF" w:rsidP="00512E4C">
      <w:r>
        <w:t>The results on additions to the MSCI China in the period before the inclusion of the stocks into the index , show a cumulative abnormal return of 8.3% which is a bit higher than the results from the MSCI EM of 6.2%.</w:t>
      </w:r>
      <w:r w:rsidR="00EE1204">
        <w:t xml:space="preserve"> </w:t>
      </w:r>
      <w:r>
        <w:t>The decrease on the inclusion day of -1.1% is the same for both the additions</w:t>
      </w:r>
      <w:r w:rsidR="00EE1204">
        <w:t xml:space="preserve"> </w:t>
      </w:r>
      <w:r>
        <w:t>to the MSCI China as to MSCI EM. Although the silhouette of these two lines appear the same</w:t>
      </w:r>
      <w:r w:rsidR="00153940">
        <w:t xml:space="preserve">, the decrease of cumulative abnormal return stayed limited for the MSCI China with -3.3% again, same as 3.3% from the MSCI EM. </w:t>
      </w:r>
      <w:r w:rsidR="001200EC">
        <w:t>A possible reason for these same outcomes is</w:t>
      </w:r>
      <w:r w:rsidR="00153940">
        <w:t xml:space="preserve"> because of the sample size of the companies of China that were included into the index. Last but not least is aexcess return over the complete period for China, where this table shows a cumulative abnormal return of 4.8</w:t>
      </w:r>
      <w:r w:rsidR="001200EC">
        <w:t>% versus</w:t>
      </w:r>
      <w:r w:rsidR="00153940">
        <w:t xml:space="preserve"> the 2.8% of the MSCI EM, both of these amounts were s significant.</w:t>
      </w:r>
    </w:p>
    <w:p w:rsidR="00F95AC5" w:rsidRDefault="0019451C" w:rsidP="00512E4C">
      <w:r>
        <w:t>Overall the results of</w:t>
      </w:r>
      <w:r w:rsidR="00EE1204">
        <w:t xml:space="preserve"> </w:t>
      </w:r>
      <w:r w:rsidR="00236605">
        <w:t>these</w:t>
      </w:r>
      <w:r w:rsidR="00F63BCF">
        <w:t xml:space="preserve"> four</w:t>
      </w:r>
      <w:r w:rsidR="00236605">
        <w:t xml:space="preserve"> countries were inline with those of developed markets and prior research </w:t>
      </w:r>
      <w:r w:rsidR="008D3FB6">
        <w:t>from</w:t>
      </w:r>
      <w:r w:rsidR="00236605">
        <w:t xml:space="preserve"> Hacibedel </w:t>
      </w:r>
      <w:r w:rsidR="009E2E5F">
        <w:t xml:space="preserve">(2007) </w:t>
      </w:r>
      <w:r w:rsidR="008D3FB6">
        <w:t xml:space="preserve">on emerging markets </w:t>
      </w:r>
      <w:r w:rsidR="00236605">
        <w:t>and Parthasarathy (2010)</w:t>
      </w:r>
      <w:r w:rsidR="008D3FB6">
        <w:t xml:space="preserve"> on the Indian index.</w:t>
      </w:r>
    </w:p>
    <w:p w:rsidR="00F95AC5" w:rsidRDefault="00F95AC5" w:rsidP="00512E4C"/>
    <w:p w:rsidR="00A1169D" w:rsidRDefault="00A1169D" w:rsidP="00B72B13">
      <w:pPr>
        <w:pStyle w:val="Heading2"/>
      </w:pPr>
      <w:bookmarkStart w:id="16" w:name="_Toc214519192"/>
      <w:r w:rsidRPr="00003410">
        <w:t xml:space="preserve">Results on </w:t>
      </w:r>
      <w:r>
        <w:t>deletions</w:t>
      </w:r>
      <w:bookmarkEnd w:id="16"/>
    </w:p>
    <w:p w:rsidR="003538E2" w:rsidRDefault="002A2D19" w:rsidP="00A1169D">
      <w:pPr>
        <w:rPr>
          <w:lang w:val="en-GB"/>
        </w:rPr>
      </w:pPr>
      <w:r>
        <w:rPr>
          <w:lang w:val="en-GB"/>
        </w:rPr>
        <w:t xml:space="preserve">Next to the </w:t>
      </w:r>
      <w:r w:rsidR="008F068A">
        <w:rPr>
          <w:lang w:val="en-GB"/>
        </w:rPr>
        <w:t xml:space="preserve">additions, this research also looked at the price effect on deletions from the MSCI Emerging index. </w:t>
      </w:r>
    </w:p>
    <w:p w:rsidR="00C93F65" w:rsidRDefault="008906ED" w:rsidP="00A1169D">
      <w:pPr>
        <w:rPr>
          <w:lang w:val="en-GB"/>
        </w:rPr>
      </w:pPr>
      <w:r>
        <w:rPr>
          <w:lang w:val="en-GB"/>
        </w:rPr>
        <w:t>The Hypothesis on the deletions for this study states that: “</w:t>
      </w:r>
      <w:r w:rsidR="00C93F65" w:rsidRPr="008906ED">
        <w:rPr>
          <w:i/>
          <w:lang w:val="en-GB"/>
        </w:rPr>
        <w:t xml:space="preserve">The null hypothesis for the price effect on a stock that is deleted from the MSCI EM index does not have a significant impact and therefore should not be significantly different from zero. </w:t>
      </w:r>
      <w:r>
        <w:rPr>
          <w:i/>
          <w:lang w:val="en-GB"/>
        </w:rPr>
        <w:t>“</w:t>
      </w:r>
    </w:p>
    <w:p w:rsidR="003538E2" w:rsidRDefault="003538E2" w:rsidP="00A1169D">
      <w:pPr>
        <w:rPr>
          <w:lang w:val="en-GB"/>
        </w:rPr>
      </w:pPr>
      <w:r>
        <w:rPr>
          <w:lang w:val="en-GB"/>
        </w:rPr>
        <w:t xml:space="preserve">Table 5.2.1. </w:t>
      </w:r>
      <w:r w:rsidR="008906ED">
        <w:rPr>
          <w:lang w:val="en-GB"/>
        </w:rPr>
        <w:t xml:space="preserve">and chart 5.2.1. </w:t>
      </w:r>
      <w:r>
        <w:rPr>
          <w:lang w:val="en-GB"/>
        </w:rPr>
        <w:t>show the results on the price effect of deletions from the MSCI Emerging Market index.</w:t>
      </w:r>
      <w:r w:rsidR="00622434">
        <w:rPr>
          <w:lang w:val="en-GB"/>
        </w:rPr>
        <w:t xml:space="preserve"> The event windows on the deletions are analysed following the same methodology as for the additions.</w:t>
      </w:r>
    </w:p>
    <w:p w:rsidR="003538E2" w:rsidRPr="002A2D19" w:rsidRDefault="003538E2" w:rsidP="00A1169D">
      <w:pPr>
        <w:rPr>
          <w:b/>
          <w:vertAlign w:val="subscript"/>
          <w:lang w:val="en-GB"/>
        </w:rPr>
      </w:pPr>
      <w:r w:rsidRPr="002A2D19">
        <w:rPr>
          <w:b/>
          <w:lang w:val="en-GB"/>
        </w:rPr>
        <w:t>Table 5.2.1</w:t>
      </w:r>
      <w:r w:rsidR="00C0159B">
        <w:rPr>
          <w:b/>
          <w:lang w:val="en-GB"/>
        </w:rPr>
        <w:t xml:space="preserve"> </w:t>
      </w:r>
      <w:r w:rsidR="00E6525B">
        <w:rPr>
          <w:b/>
          <w:lang w:val="en-GB"/>
        </w:rPr>
        <w:t>Deletions from the MSCI EM</w:t>
      </w:r>
    </w:p>
    <w:p w:rsidR="00263116" w:rsidRDefault="003D440E" w:rsidP="00A1169D">
      <w:pPr>
        <w:rPr>
          <w:sz w:val="16"/>
          <w:szCs w:val="16"/>
          <w:lang w:val="en-GB"/>
        </w:rPr>
      </w:pPr>
      <w:r>
        <w:rPr>
          <w:sz w:val="16"/>
          <w:szCs w:val="16"/>
          <w:lang w:val="en-GB"/>
        </w:rPr>
        <w:fldChar w:fldCharType="begin"/>
      </w:r>
      <w:r>
        <w:rPr>
          <w:sz w:val="16"/>
          <w:szCs w:val="16"/>
          <w:lang w:val="en-GB"/>
        </w:rPr>
        <w:instrText xml:space="preserve"> LINK Excel.Sheet.8 "USB DISK:Thesis:definitieve versies:H 5 Results:data analyse table additions msci em20120715_gecorrigeerd_t-1_20120817.xlsx!table results!R2C2:R9C7" "" \a \p </w:instrText>
      </w:r>
      <w:r>
        <w:rPr>
          <w:sz w:val="16"/>
          <w:szCs w:val="16"/>
          <w:lang w:val="en-GB"/>
        </w:rPr>
        <w:fldChar w:fldCharType="separate"/>
      </w:r>
      <w:r w:rsidRPr="003D440E">
        <w:rPr>
          <w:sz w:val="16"/>
          <w:szCs w:val="16"/>
          <w:lang w:val="en-GB"/>
        </w:rPr>
        <w:object w:dxaOrig="9940" w:dyaOrig="2420">
          <v:shape id="_x0000_i1043" type="#_x0000_t75" style="width:397.6pt;height:96.7pt">
            <v:imagedata r:id="rId37" o:title=""/>
          </v:shape>
        </w:object>
      </w:r>
      <w:r>
        <w:rPr>
          <w:sz w:val="16"/>
          <w:szCs w:val="16"/>
          <w:lang w:val="en-GB"/>
        </w:rPr>
        <w:fldChar w:fldCharType="end"/>
      </w:r>
    </w:p>
    <w:p w:rsidR="006A277D" w:rsidRDefault="006A277D" w:rsidP="00A1169D">
      <w:pPr>
        <w:rPr>
          <w:b/>
        </w:rPr>
      </w:pPr>
      <w:r w:rsidRPr="006A277D">
        <w:rPr>
          <w:sz w:val="16"/>
          <w:szCs w:val="16"/>
          <w:lang w:val="en-GB"/>
        </w:rPr>
        <w:t xml:space="preserve"> </w:t>
      </w:r>
      <w:r w:rsidR="003538E2" w:rsidRPr="00DA4281">
        <w:rPr>
          <w:sz w:val="16"/>
          <w:szCs w:val="16"/>
          <w:lang w:val="en-GB"/>
        </w:rPr>
        <w:t>Source: data analyse table additions msci em20120715 gecorrigeerd t-1 20120817.xlsx</w:t>
      </w:r>
    </w:p>
    <w:p w:rsidR="003538E2" w:rsidRDefault="008F068A" w:rsidP="00A1169D">
      <w:pPr>
        <w:rPr>
          <w:b/>
        </w:rPr>
      </w:pPr>
      <w:r>
        <w:rPr>
          <w:b/>
        </w:rPr>
        <w:t>Chart 5.2.1.</w:t>
      </w:r>
      <w:r w:rsidR="00E6525B">
        <w:rPr>
          <w:b/>
        </w:rPr>
        <w:t xml:space="preserve"> Deletions from the MSCI EM</w:t>
      </w:r>
    </w:p>
    <w:p w:rsidR="00A1169D" w:rsidRPr="00C0159B" w:rsidRDefault="00C0159B" w:rsidP="00512E4C">
      <w:pPr>
        <w:rPr>
          <w:b/>
        </w:rPr>
      </w:pPr>
      <w:r>
        <w:rPr>
          <w:noProof/>
        </w:rPr>
        <w:drawing>
          <wp:inline distT="0" distB="0" distL="0" distR="0">
            <wp:extent cx="6055494" cy="2151380"/>
            <wp:effectExtent l="0" t="0" r="15240" b="3302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sidR="00F72CAB">
        <w:rPr>
          <w:sz w:val="16"/>
          <w:szCs w:val="16"/>
          <w:lang w:val="en-GB"/>
        </w:rPr>
        <w:t>S</w:t>
      </w:r>
      <w:r w:rsidR="00F72CAB" w:rsidRPr="00DA4281">
        <w:rPr>
          <w:sz w:val="16"/>
          <w:szCs w:val="16"/>
          <w:lang w:val="en-GB"/>
        </w:rPr>
        <w:t>ource: data analyse table additions msci em20120715 gecorrigeerd t-1 20120817.xlsx</w:t>
      </w:r>
    </w:p>
    <w:p w:rsidR="00293A6C" w:rsidRDefault="00577F85" w:rsidP="002C5E7F">
      <w:r>
        <w:rPr>
          <w:lang w:val="en-GB"/>
        </w:rPr>
        <w:t xml:space="preserve"> The </w:t>
      </w:r>
      <w:r w:rsidR="008906ED">
        <w:rPr>
          <w:lang w:val="en-GB"/>
        </w:rPr>
        <w:t>first window, called</w:t>
      </w:r>
      <w:r w:rsidR="00962D9D">
        <w:rPr>
          <w:lang w:val="en-GB"/>
        </w:rPr>
        <w:t xml:space="preserve"> “</w:t>
      </w:r>
      <w:r>
        <w:rPr>
          <w:lang w:val="en-GB"/>
        </w:rPr>
        <w:t>before deletion window</w:t>
      </w:r>
      <w:r w:rsidR="00773ECB">
        <w:rPr>
          <w:lang w:val="en-GB"/>
        </w:rPr>
        <w:t>” shows</w:t>
      </w:r>
      <w:r>
        <w:rPr>
          <w:lang w:val="en-GB"/>
        </w:rPr>
        <w:t xml:space="preserve"> a significant</w:t>
      </w:r>
      <w:r w:rsidR="00C93F65">
        <w:rPr>
          <w:lang w:val="en-GB"/>
        </w:rPr>
        <w:t xml:space="preserve"> </w:t>
      </w:r>
      <w:r w:rsidR="008906ED">
        <w:rPr>
          <w:lang w:val="en-GB"/>
        </w:rPr>
        <w:t>negative abnormal return</w:t>
      </w:r>
      <w:r>
        <w:t xml:space="preserve"> </w:t>
      </w:r>
      <w:r>
        <w:rPr>
          <w:lang w:val="en-GB"/>
        </w:rPr>
        <w:t>of -7</w:t>
      </w:r>
      <w:r w:rsidR="00C93F65">
        <w:rPr>
          <w:lang w:val="en-GB"/>
        </w:rPr>
        <w:t>.</w:t>
      </w:r>
      <w:r>
        <w:rPr>
          <w:lang w:val="en-GB"/>
        </w:rPr>
        <w:t>8</w:t>
      </w:r>
      <w:r w:rsidR="00C93F65">
        <w:rPr>
          <w:lang w:val="en-GB"/>
        </w:rPr>
        <w:t xml:space="preserve">% before the </w:t>
      </w:r>
      <w:r>
        <w:rPr>
          <w:lang w:val="en-GB"/>
        </w:rPr>
        <w:t>ex</w:t>
      </w:r>
      <w:r w:rsidR="00C93F65">
        <w:rPr>
          <w:lang w:val="en-GB"/>
        </w:rPr>
        <w:t xml:space="preserve">clusion </w:t>
      </w:r>
      <w:r>
        <w:rPr>
          <w:lang w:val="en-GB"/>
        </w:rPr>
        <w:t>of a</w:t>
      </w:r>
      <w:r w:rsidR="00C93F65">
        <w:rPr>
          <w:lang w:val="en-GB"/>
        </w:rPr>
        <w:t xml:space="preserve"> stock</w:t>
      </w:r>
      <w:r>
        <w:rPr>
          <w:lang w:val="en-GB"/>
        </w:rPr>
        <w:t xml:space="preserve"> from the MSCI EM index.</w:t>
      </w:r>
      <w:r w:rsidR="00C93F65">
        <w:rPr>
          <w:lang w:val="en-GB"/>
        </w:rPr>
        <w:t xml:space="preserve"> </w:t>
      </w:r>
      <w:r>
        <w:rPr>
          <w:lang w:val="en-GB"/>
        </w:rPr>
        <w:t>And end</w:t>
      </w:r>
      <w:r w:rsidR="00962D9D">
        <w:rPr>
          <w:lang w:val="en-GB"/>
        </w:rPr>
        <w:t>s</w:t>
      </w:r>
      <w:r w:rsidR="00C93F65">
        <w:rPr>
          <w:lang w:val="en-GB"/>
        </w:rPr>
        <w:t xml:space="preserve"> </w:t>
      </w:r>
      <w:r>
        <w:rPr>
          <w:lang w:val="en-GB"/>
        </w:rPr>
        <w:t xml:space="preserve">with a not significant negative </w:t>
      </w:r>
      <w:r w:rsidR="00C93F65">
        <w:rPr>
          <w:lang w:val="en-GB"/>
        </w:rPr>
        <w:t xml:space="preserve">excess return of </w:t>
      </w:r>
      <w:r>
        <w:rPr>
          <w:lang w:val="en-GB"/>
        </w:rPr>
        <w:t>-1.8</w:t>
      </w:r>
      <w:r w:rsidR="00C93F65">
        <w:rPr>
          <w:lang w:val="en-GB"/>
        </w:rPr>
        <w:t>% for the complete period</w:t>
      </w:r>
      <w:r>
        <w:rPr>
          <w:lang w:val="en-GB"/>
        </w:rPr>
        <w:t>.</w:t>
      </w:r>
      <w:r w:rsidR="00C93F65">
        <w:t xml:space="preserve"> </w:t>
      </w:r>
      <w:r w:rsidR="008906ED">
        <w:t xml:space="preserve">This result for the complete period is inline with prior results from Hacibedel (2007) who also found that </w:t>
      </w:r>
      <w:r w:rsidR="00293A6C">
        <w:t>for the stocks deleted from the MSCI Emerging Markets</w:t>
      </w:r>
      <w:r w:rsidR="00962D9D">
        <w:t>,</w:t>
      </w:r>
      <w:r w:rsidR="00293A6C">
        <w:t xml:space="preserve"> no complete price reversal takes place.</w:t>
      </w:r>
      <w:r w:rsidR="003271FB">
        <w:t xml:space="preserve"> These results are </w:t>
      </w:r>
      <w:r w:rsidR="00056858">
        <w:t>also</w:t>
      </w:r>
      <w:r w:rsidR="003271FB">
        <w:t xml:space="preserve"> </w:t>
      </w:r>
      <w:r w:rsidR="001B28D5">
        <w:t>inline with research from Zhou (2011) and Chen et al. (2003) on deletions from the S&amp;P500 from developed markets.</w:t>
      </w:r>
    </w:p>
    <w:p w:rsidR="00C73256" w:rsidRDefault="00A21F43" w:rsidP="002C5E7F">
      <w:r>
        <w:t>The</w:t>
      </w:r>
      <w:r w:rsidR="008F068A">
        <w:t xml:space="preserve"> results of this research</w:t>
      </w:r>
      <w:r w:rsidR="00F46B37">
        <w:t>, that</w:t>
      </w:r>
      <w:r w:rsidR="008F068A">
        <w:t xml:space="preserve"> sho</w:t>
      </w:r>
      <w:r w:rsidR="00EA2339">
        <w:t xml:space="preserve">wed of </w:t>
      </w:r>
      <w:r w:rsidR="00BD6914">
        <w:t>-</w:t>
      </w:r>
      <w:r w:rsidR="00EA2339">
        <w:t>7.8%</w:t>
      </w:r>
      <w:r>
        <w:t xml:space="preserve"> in period before the deletion of the stocks from the MSCI EM index,</w:t>
      </w:r>
    </w:p>
    <w:p w:rsidR="002C5E7F" w:rsidRDefault="00A21F43" w:rsidP="002C5E7F">
      <w:r>
        <w:t xml:space="preserve"> </w:t>
      </w:r>
      <w:r w:rsidR="00C73256">
        <w:t xml:space="preserve">A significant negative excess return of </w:t>
      </w:r>
      <w:r>
        <w:t>-7.2% happened after the announcement day of the deletions were made but be</w:t>
      </w:r>
      <w:r w:rsidR="00C73256">
        <w:t>fore the actual exclusion day. On t</w:t>
      </w:r>
      <w:r>
        <w:t xml:space="preserve">he </w:t>
      </w:r>
      <w:r w:rsidR="00C73256">
        <w:t xml:space="preserve">actual </w:t>
      </w:r>
      <w:r>
        <w:t>exclusion</w:t>
      </w:r>
      <w:r w:rsidR="00C73256">
        <w:t xml:space="preserve"> day,</w:t>
      </w:r>
      <w:r>
        <w:t xml:space="preserve"> day zero</w:t>
      </w:r>
      <w:r w:rsidR="00C73256">
        <w:t>,</w:t>
      </w:r>
      <w:r>
        <w:t xml:space="preserve"> the stocks </w:t>
      </w:r>
      <w:r w:rsidR="002C5E7F">
        <w:t>immediately</w:t>
      </w:r>
      <w:r>
        <w:t xml:space="preserve"> started to recover with a significant positive daily abnormal return of </w:t>
      </w:r>
      <w:r w:rsidR="002C5E7F">
        <w:t xml:space="preserve">1.6%. </w:t>
      </w:r>
      <w:r w:rsidR="00C73256">
        <w:t>T</w:t>
      </w:r>
      <w:r w:rsidR="002C5E7F">
        <w:t>he next 20 days kept showing a recovery of which result</w:t>
      </w:r>
      <w:r w:rsidR="00C73256">
        <w:t>ed</w:t>
      </w:r>
      <w:r w:rsidR="002C5E7F">
        <w:t xml:space="preserve"> </w:t>
      </w:r>
      <w:r w:rsidR="00C73256">
        <w:t>an</w:t>
      </w:r>
      <w:r w:rsidR="002C5E7F">
        <w:t xml:space="preserve"> </w:t>
      </w:r>
      <w:r w:rsidR="00C73256">
        <w:t xml:space="preserve">insignificant </w:t>
      </w:r>
      <w:r w:rsidR="002C5E7F">
        <w:t xml:space="preserve">negative excess return </w:t>
      </w:r>
      <w:r w:rsidR="00C73256">
        <w:t xml:space="preserve">of </w:t>
      </w:r>
      <w:r w:rsidR="002C5E7F">
        <w:t>-1.8%</w:t>
      </w:r>
      <w:r w:rsidR="00C73256">
        <w:t>.</w:t>
      </w:r>
      <w:r w:rsidR="002C5E7F">
        <w:t xml:space="preserve"> </w:t>
      </w:r>
      <w:r w:rsidR="00EA2339">
        <w:t>Meaning t</w:t>
      </w:r>
      <w:r w:rsidR="00C73256">
        <w:t>hat even though the stocks were</w:t>
      </w:r>
      <w:r w:rsidR="00EA2339">
        <w:t xml:space="preserve"> hammered </w:t>
      </w:r>
      <w:r w:rsidR="00F46B37">
        <w:t xml:space="preserve">in the period after announcement but before </w:t>
      </w:r>
      <w:r w:rsidR="00EA2339">
        <w:t>deletion</w:t>
      </w:r>
      <w:r w:rsidR="00F46B37">
        <w:t xml:space="preserve"> </w:t>
      </w:r>
      <w:r w:rsidR="002C5E7F">
        <w:t xml:space="preserve">from </w:t>
      </w:r>
      <w:r w:rsidR="00F46B37">
        <w:t>the index</w:t>
      </w:r>
      <w:r w:rsidR="00EA2339">
        <w:t xml:space="preserve">, </w:t>
      </w:r>
      <w:r w:rsidR="00C73256">
        <w:t xml:space="preserve">the price effect of </w:t>
      </w:r>
      <w:r w:rsidR="00EA2339">
        <w:t>the</w:t>
      </w:r>
      <w:r w:rsidR="00F46B37">
        <w:t>se stocks</w:t>
      </w:r>
      <w:r w:rsidR="00EA2339">
        <w:t xml:space="preserve"> almost fully </w:t>
      </w:r>
      <w:r w:rsidR="00241D18">
        <w:t>recovered</w:t>
      </w:r>
      <w:r w:rsidR="00EA2339">
        <w:t xml:space="preserve"> after twenty days</w:t>
      </w:r>
      <w:r w:rsidR="00241D18">
        <w:t xml:space="preserve"> after these stocks had exited the MSCI EM index.</w:t>
      </w:r>
      <w:r w:rsidR="00BD6914">
        <w:t xml:space="preserve"> </w:t>
      </w:r>
      <w:r w:rsidR="002C5E7F">
        <w:t xml:space="preserve">The results from Chen et al (2003) on the S&amp;P500 experienced also significant negative result of -8.5 % </w:t>
      </w:r>
      <w:r w:rsidR="00C73256">
        <w:t>before exclusion from index</w:t>
      </w:r>
      <w:r w:rsidR="00056858">
        <w:t xml:space="preserve">, </w:t>
      </w:r>
      <w:r w:rsidR="002C5E7F">
        <w:t>in their res</w:t>
      </w:r>
      <w:r w:rsidR="00C73256">
        <w:t>earch</w:t>
      </w:r>
      <w:r w:rsidR="002C5E7F">
        <w:t xml:space="preserve"> from the period between 1989 and the year 2000.</w:t>
      </w:r>
      <w:r w:rsidR="00EE1204">
        <w:t xml:space="preserve"> </w:t>
      </w:r>
    </w:p>
    <w:p w:rsidR="00B00E07" w:rsidRDefault="00505226" w:rsidP="00512E4C">
      <w:r>
        <w:t>Chen et al. (2003) also noticed that the negative effect of the deletions disappeared after 60 days. In</w:t>
      </w:r>
      <w:r w:rsidR="00F82EDC">
        <w:t xml:space="preserve"> their results the decline stayed at -1.7% whi</w:t>
      </w:r>
      <w:r w:rsidR="002C5E7F">
        <w:t xml:space="preserve">ch is in line with the results of </w:t>
      </w:r>
      <w:r w:rsidR="00F82EDC">
        <w:t>this paper.</w:t>
      </w:r>
      <w:r w:rsidR="00EE1204">
        <w:t xml:space="preserve"> </w:t>
      </w:r>
      <w:r w:rsidR="00F46B37">
        <w:t xml:space="preserve">Zhou (2011) who also researched the S&amp;P500, made a distinction between pure deletions, which stands for </w:t>
      </w:r>
      <w:r w:rsidR="005F1750">
        <w:t>stocks that are deleted from the S&amp;P Family altogether,</w:t>
      </w:r>
      <w:r w:rsidR="00F46B37">
        <w:t xml:space="preserve"> and downward deletions</w:t>
      </w:r>
      <w:r w:rsidR="005F1750">
        <w:t xml:space="preserve"> that stand for stocks that are downgraded to a lesser know</w:t>
      </w:r>
      <w:r w:rsidR="00056858">
        <w:t>n</w:t>
      </w:r>
      <w:r w:rsidR="005F1750">
        <w:t xml:space="preserve"> S&amp;P index. In his research Zhou noticed that the pure deletions which had a negative excess return of -15.9% changed into a positive 1.6% after 20 days after the index exclusion. </w:t>
      </w:r>
      <w:r w:rsidR="007079E3">
        <w:t>T</w:t>
      </w:r>
      <w:r w:rsidR="005F1750">
        <w:t>he downward deletions</w:t>
      </w:r>
      <w:r w:rsidR="00BE67F9">
        <w:t xml:space="preserve"> had a negative excess return of -7.4% between announcement day and exclusion day</w:t>
      </w:r>
      <w:r w:rsidR="007079E3">
        <w:t>.</w:t>
      </w:r>
      <w:r w:rsidR="00BE67F9">
        <w:t xml:space="preserve"> </w:t>
      </w:r>
      <w:r w:rsidR="007079E3">
        <w:t xml:space="preserve">The results </w:t>
      </w:r>
      <w:r w:rsidR="00BE67F9">
        <w:t>remained negative at -2.5% after 20 days. The</w:t>
      </w:r>
      <w:r w:rsidR="00D902F4">
        <w:t>se</w:t>
      </w:r>
      <w:r w:rsidR="00BE67F9">
        <w:t xml:space="preserve"> downward deletion results were more inline with the results of this paper and of those from Chen et al.(2003).</w:t>
      </w:r>
      <w:r w:rsidR="00D902F4">
        <w:t xml:space="preserve"> </w:t>
      </w:r>
    </w:p>
    <w:p w:rsidR="00CB3FB6" w:rsidRDefault="00D63488" w:rsidP="00512E4C">
      <w:r>
        <w:t xml:space="preserve">A slightly </w:t>
      </w:r>
      <w:r w:rsidR="008E1579">
        <w:t xml:space="preserve">smaller </w:t>
      </w:r>
      <w:r>
        <w:t xml:space="preserve">impact on </w:t>
      </w:r>
      <w:r w:rsidR="008E1579">
        <w:t xml:space="preserve">the price effect of </w:t>
      </w:r>
      <w:r>
        <w:t>deletions</w:t>
      </w:r>
      <w:r w:rsidR="008E1579">
        <w:t>, were</w:t>
      </w:r>
      <w:r>
        <w:t xml:space="preserve"> from Doeswijk (2007) and Masse et al. (2000).</w:t>
      </w:r>
      <w:r w:rsidR="002C5E7F">
        <w:t xml:space="preserve"> </w:t>
      </w:r>
      <w:r w:rsidR="0042169E">
        <w:t>Doeswijk (2007)</w:t>
      </w:r>
      <w:r>
        <w:t xml:space="preserve"> </w:t>
      </w:r>
      <w:r w:rsidR="0042169E">
        <w:t>found</w:t>
      </w:r>
      <w:r>
        <w:t xml:space="preserve"> a small </w:t>
      </w:r>
      <w:r w:rsidR="00B103D5">
        <w:t>negative</w:t>
      </w:r>
      <w:r>
        <w:t xml:space="preserve"> excess return of </w:t>
      </w:r>
      <w:r w:rsidR="00B103D5">
        <w:t xml:space="preserve">-0.7% </w:t>
      </w:r>
      <w:r w:rsidR="00804A4C">
        <w:t xml:space="preserve">on the change-weighted portfolio (and 0.1% for the equal weighted portfolio) </w:t>
      </w:r>
      <w:r w:rsidR="00B103D5">
        <w:t xml:space="preserve">of the stocks before exclusion </w:t>
      </w:r>
      <w:r>
        <w:t>f</w:t>
      </w:r>
      <w:r w:rsidR="00B103D5">
        <w:t>rom</w:t>
      </w:r>
      <w:r>
        <w:t xml:space="preserve"> the </w:t>
      </w:r>
      <w:r w:rsidR="0042169E">
        <w:t xml:space="preserve">AEX </w:t>
      </w:r>
      <w:r>
        <w:t xml:space="preserve">index. Also the results from Masse et al.(2000) on the TSE 300 </w:t>
      </w:r>
      <w:r w:rsidR="00D354B7">
        <w:t>were</w:t>
      </w:r>
      <w:r w:rsidR="00D902F4">
        <w:t xml:space="preserve"> </w:t>
      </w:r>
      <w:r w:rsidR="00D354B7">
        <w:t xml:space="preserve">less extreme, </w:t>
      </w:r>
      <w:r w:rsidR="00056858">
        <w:t>than</w:t>
      </w:r>
      <w:r>
        <w:t xml:space="preserve"> the negative excess return </w:t>
      </w:r>
      <w:r w:rsidR="00056858">
        <w:t xml:space="preserve">of </w:t>
      </w:r>
      <w:r>
        <w:t xml:space="preserve">-7.8% mentioned in this paper. </w:t>
      </w:r>
      <w:r w:rsidR="0042169E">
        <w:t>Masse et al.(2000) had</w:t>
      </w:r>
      <w:r w:rsidR="00B00E07">
        <w:t xml:space="preserve"> a negative daily abnormal return of -1.35% on the announcement day, a</w:t>
      </w:r>
      <w:r>
        <w:t>nd</w:t>
      </w:r>
      <w:r w:rsidR="00B00E07">
        <w:t xml:space="preserve"> negative cumulative abnormal return of -2.34% before the </w:t>
      </w:r>
      <w:r>
        <w:t xml:space="preserve">day of </w:t>
      </w:r>
      <w:r w:rsidR="00B00E07">
        <w:t>exclusion from TSE300</w:t>
      </w:r>
      <w:r>
        <w:t>. After the exclusion of the stock from the TSE300 index the negative excess return reversed and became</w:t>
      </w:r>
      <w:r w:rsidR="00B00E07">
        <w:t xml:space="preserve"> a positive cumulative abnormal return of 4.8 % after 30 days. </w:t>
      </w:r>
      <w:r w:rsidR="00C87420">
        <w:t xml:space="preserve">In the period after the deletion of the stock from the index, an insignificant negative result </w:t>
      </w:r>
      <w:r w:rsidR="008F51D1">
        <w:t xml:space="preserve">of -0.9% </w:t>
      </w:r>
      <w:r w:rsidR="00804A4C">
        <w:t>(and -0.7% on the equal-weighted portfolio) was found</w:t>
      </w:r>
      <w:r w:rsidR="00C87420">
        <w:t xml:space="preserve"> in Doeswijk ‘s research.</w:t>
      </w:r>
    </w:p>
    <w:p w:rsidR="000C63E0" w:rsidRDefault="000C63E0" w:rsidP="00512E4C">
      <w:r>
        <w:t xml:space="preserve">Although the results of this study are more less in the same direction than previous research done on the MSCI Emerging Markets by Hacibedel (2007), the price impact after the announcement </w:t>
      </w:r>
      <w:r w:rsidR="0014722D">
        <w:t xml:space="preserve">in this study </w:t>
      </w:r>
      <w:r>
        <w:t>was much more severe with -7</w:t>
      </w:r>
      <w:r w:rsidR="0014722D">
        <w:t>.2% versus -2.2% from Hacibedel, both results were significant. Also the results on the complete period were different. This study showed almost a complete recovery of the price effect</w:t>
      </w:r>
      <w:r w:rsidR="00EE1204">
        <w:t xml:space="preserve"> </w:t>
      </w:r>
      <w:r w:rsidR="0014722D">
        <w:t xml:space="preserve">where the </w:t>
      </w:r>
      <w:r w:rsidR="008A7667">
        <w:t>negative</w:t>
      </w:r>
      <w:r w:rsidR="0014722D">
        <w:t xml:space="preserve"> abnormal return recovered from </w:t>
      </w:r>
      <w:r w:rsidR="008A7667">
        <w:t xml:space="preserve">significant </w:t>
      </w:r>
      <w:r w:rsidR="0014722D">
        <w:t>-7.8</w:t>
      </w:r>
      <w:r w:rsidR="008A7667">
        <w:t xml:space="preserve">%, to a insignificant -1.8%. While Hacibedel results </w:t>
      </w:r>
      <w:r w:rsidR="00D523AD">
        <w:t xml:space="preserve">still </w:t>
      </w:r>
      <w:r w:rsidR="008A7667">
        <w:t>showed a significant negative abnormal return for the same period of -3.4%.</w:t>
      </w:r>
      <w:r w:rsidR="00EE1204">
        <w:t xml:space="preserve"> </w:t>
      </w:r>
      <w:r w:rsidR="00D523AD">
        <w:t>Her long run event window which stands for the period of twenty days before the exclusion and sixty days after the exclusion day showed an insignificant negative cumulative abnormal return of -1.0</w:t>
      </w:r>
      <w:r w:rsidR="009E75AF">
        <w:t>%. Meaning that in the period of 1996 till 2006 the price of a deleted stock almost also completely recovered, but after sixty days instead of twenty.</w:t>
      </w:r>
      <w:r w:rsidR="00D523AD">
        <w:t xml:space="preserve"> </w:t>
      </w:r>
    </w:p>
    <w:p w:rsidR="00CB3FB6" w:rsidRDefault="002677BE" w:rsidP="00512E4C">
      <w:r>
        <w:t>Concluding that over the years the results on deletions from the MSCI Emerging Markets are taking shape towards the results of develop</w:t>
      </w:r>
      <w:r w:rsidR="009E75AF">
        <w:t>ed markets, when translating these results</w:t>
      </w:r>
      <w:r>
        <w:t xml:space="preserve"> into the null hypothesis mentioned </w:t>
      </w:r>
      <w:r w:rsidR="00D523AD">
        <w:t>earlier</w:t>
      </w:r>
      <w:r>
        <w:t xml:space="preserve"> in this chapter and study. </w:t>
      </w:r>
      <w:r w:rsidR="00064962">
        <w:t xml:space="preserve">The Efficient Market Theory (EMT) </w:t>
      </w:r>
      <w:r>
        <w:t>would</w:t>
      </w:r>
      <w:r w:rsidR="00064962">
        <w:t xml:space="preserve"> not apply in </w:t>
      </w:r>
      <w:r>
        <w:t xml:space="preserve">the period between the announcement day and the day of exclusion, because of </w:t>
      </w:r>
      <w:r w:rsidR="0096509C">
        <w:t xml:space="preserve">the significant negative abnormal returns. </w:t>
      </w:r>
      <w:r w:rsidR="000B09CA">
        <w:t>W</w:t>
      </w:r>
      <w:r w:rsidR="0096509C">
        <w:t xml:space="preserve">hen looked at the complete period of before the announcement was done until twenty days after the exclusions </w:t>
      </w:r>
      <w:r w:rsidR="000B09CA">
        <w:t xml:space="preserve">haven taken place, the price effect is </w:t>
      </w:r>
      <w:r w:rsidR="0096509C">
        <w:t xml:space="preserve">insignificant. This is </w:t>
      </w:r>
      <w:r w:rsidR="000B09CA">
        <w:t xml:space="preserve">also </w:t>
      </w:r>
      <w:r w:rsidR="0096509C">
        <w:t xml:space="preserve">not inline with the </w:t>
      </w:r>
      <w:r w:rsidR="000B09CA">
        <w:t xml:space="preserve">market </w:t>
      </w:r>
      <w:r w:rsidR="0096509C">
        <w:t xml:space="preserve">expectations </w:t>
      </w:r>
      <w:r w:rsidR="000B09CA">
        <w:t xml:space="preserve">assuming that </w:t>
      </w:r>
      <w:r w:rsidR="0096509C">
        <w:t>when a stock is removed from the index its price should drop.</w:t>
      </w:r>
    </w:p>
    <w:p w:rsidR="0067105C" w:rsidRPr="00CA1DDF" w:rsidRDefault="0067105C" w:rsidP="0067105C">
      <w:pPr>
        <w:pStyle w:val="Heading3"/>
        <w:rPr>
          <w:lang w:val="en-GB"/>
        </w:rPr>
      </w:pPr>
      <w:r w:rsidRPr="00CA1DDF">
        <w:rPr>
          <w:lang w:val="en-GB"/>
        </w:rPr>
        <w:t>Results on</w:t>
      </w:r>
      <w:r>
        <w:rPr>
          <w:lang w:val="en-GB"/>
        </w:rPr>
        <w:t xml:space="preserve"> deletions</w:t>
      </w:r>
      <w:r w:rsidRPr="00CA1DDF">
        <w:rPr>
          <w:lang w:val="en-GB"/>
        </w:rPr>
        <w:t xml:space="preserve"> </w:t>
      </w:r>
      <w:r>
        <w:rPr>
          <w:lang w:val="en-GB"/>
        </w:rPr>
        <w:t xml:space="preserve">from the </w:t>
      </w:r>
      <w:r w:rsidRPr="00CA1DDF">
        <w:rPr>
          <w:lang w:val="en-GB"/>
        </w:rPr>
        <w:t>MSCI Countries</w:t>
      </w:r>
    </w:p>
    <w:p w:rsidR="0047242C" w:rsidRDefault="0047242C" w:rsidP="0047242C">
      <w:pPr>
        <w:rPr>
          <w:lang w:val="en-GB"/>
        </w:rPr>
      </w:pPr>
      <w:r>
        <w:rPr>
          <w:lang w:val="en-GB"/>
        </w:rPr>
        <w:t xml:space="preserve">As previously done for the additions, this paragraph shows the price effect on exclusions from the index, on a country level, for Brazil, Turkey, India and China. </w:t>
      </w:r>
    </w:p>
    <w:p w:rsidR="00460F36" w:rsidRDefault="0047242C" w:rsidP="00460F36">
      <w:r>
        <w:rPr>
          <w:lang w:val="en-GB"/>
        </w:rPr>
        <w:t xml:space="preserve">The next tables show the results on deletions from a MSCI Country index. The charts show the price effect of the deletions </w:t>
      </w:r>
      <w:r w:rsidR="00C77A98">
        <w:rPr>
          <w:lang w:val="en-GB"/>
        </w:rPr>
        <w:t xml:space="preserve">from the MSCI Emerging Markets </w:t>
      </w:r>
      <w:r>
        <w:rPr>
          <w:lang w:val="en-GB"/>
        </w:rPr>
        <w:t>versus the price effect of the deletions from the MSCI Country</w:t>
      </w:r>
      <w:r w:rsidR="00C77A98">
        <w:rPr>
          <w:lang w:val="en-GB"/>
        </w:rPr>
        <w:t xml:space="preserve"> indices</w:t>
      </w:r>
      <w:r>
        <w:rPr>
          <w:lang w:val="en-GB"/>
        </w:rPr>
        <w:t xml:space="preserve">. </w:t>
      </w:r>
    </w:p>
    <w:p w:rsidR="00460F36" w:rsidRDefault="00460F36" w:rsidP="00512E4C">
      <w:r w:rsidRPr="006F10F7">
        <w:rPr>
          <w:b/>
          <w:lang w:val="en-GB"/>
        </w:rPr>
        <w:t>Table 5.</w:t>
      </w:r>
      <w:r w:rsidR="00C77A98">
        <w:rPr>
          <w:b/>
          <w:lang w:val="en-GB"/>
        </w:rPr>
        <w:t>2</w:t>
      </w:r>
      <w:r>
        <w:rPr>
          <w:b/>
          <w:lang w:val="en-GB"/>
        </w:rPr>
        <w:t>.2. Deletions from the MSCI</w:t>
      </w:r>
      <w:r w:rsidR="00EE1204">
        <w:rPr>
          <w:b/>
          <w:lang w:val="en-GB"/>
        </w:rPr>
        <w:t xml:space="preserve"> </w:t>
      </w:r>
      <w:r>
        <w:rPr>
          <w:b/>
          <w:lang w:val="en-GB"/>
        </w:rPr>
        <w:t>BRAZIL</w:t>
      </w:r>
    </w:p>
    <w:p w:rsidR="0067105C" w:rsidRDefault="003D440E" w:rsidP="00512E4C">
      <w:pPr>
        <w:rPr>
          <w:sz w:val="16"/>
          <w:szCs w:val="16"/>
        </w:rPr>
      </w:pPr>
      <w:r>
        <w:rPr>
          <w:sz w:val="16"/>
          <w:szCs w:val="16"/>
        </w:rPr>
        <w:fldChar w:fldCharType="begin"/>
      </w:r>
      <w:r>
        <w:rPr>
          <w:sz w:val="16"/>
          <w:szCs w:val="16"/>
        </w:rPr>
        <w:instrText xml:space="preserve"> LINK Excel.Sheet.8 "Macintosh HD:Users:merilinsimons:Scriptie:goedgekeurde resultaten:Chapter 5 Results:Price effect_data analyse CAR_BRAZIL20121014.xlsx!results!R20C2:R27C7" "" \a \p </w:instrText>
      </w:r>
      <w:r>
        <w:rPr>
          <w:sz w:val="16"/>
          <w:szCs w:val="16"/>
        </w:rPr>
        <w:fldChar w:fldCharType="separate"/>
      </w:r>
      <w:r w:rsidRPr="003D440E">
        <w:rPr>
          <w:sz w:val="16"/>
          <w:szCs w:val="16"/>
        </w:rPr>
        <w:object w:dxaOrig="10360" w:dyaOrig="2420">
          <v:shape id="_x0000_i1044" type="#_x0000_t75" style="width:419.1pt;height:97.8pt">
            <v:imagedata r:id="rId39" o:title=""/>
          </v:shape>
        </w:object>
      </w:r>
      <w:r>
        <w:rPr>
          <w:sz w:val="16"/>
          <w:szCs w:val="16"/>
        </w:rPr>
        <w:fldChar w:fldCharType="end"/>
      </w:r>
      <w:r w:rsidR="0067105C" w:rsidRPr="007A4946">
        <w:rPr>
          <w:sz w:val="16"/>
          <w:szCs w:val="16"/>
        </w:rPr>
        <w:t>source: Copyof Price effect_data analyse CAR_Brazil20121014.xls</w:t>
      </w:r>
      <w:r w:rsidR="007A4946">
        <w:rPr>
          <w:sz w:val="16"/>
          <w:szCs w:val="16"/>
        </w:rPr>
        <w:t>x</w:t>
      </w:r>
    </w:p>
    <w:p w:rsidR="0067764D" w:rsidRPr="0067764D" w:rsidRDefault="0067764D" w:rsidP="00512E4C">
      <w:pPr>
        <w:rPr>
          <w:sz w:val="16"/>
          <w:szCs w:val="16"/>
        </w:rPr>
      </w:pPr>
      <w:r>
        <w:rPr>
          <w:b/>
          <w:lang w:val="en-GB"/>
        </w:rPr>
        <w:t>Chart</w:t>
      </w:r>
      <w:r w:rsidR="00C77A98">
        <w:rPr>
          <w:b/>
          <w:lang w:val="en-GB"/>
        </w:rPr>
        <w:t xml:space="preserve"> 5.2</w:t>
      </w:r>
      <w:r>
        <w:rPr>
          <w:b/>
          <w:lang w:val="en-GB"/>
        </w:rPr>
        <w:t>.2. Deletions from the MSCI</w:t>
      </w:r>
      <w:r w:rsidR="00EE1204">
        <w:rPr>
          <w:b/>
          <w:lang w:val="en-GB"/>
        </w:rPr>
        <w:t xml:space="preserve"> </w:t>
      </w:r>
      <w:r>
        <w:rPr>
          <w:b/>
          <w:lang w:val="en-GB"/>
        </w:rPr>
        <w:t>BRAZIL</w:t>
      </w:r>
    </w:p>
    <w:p w:rsidR="0067105C" w:rsidRDefault="0067105C" w:rsidP="00512E4C">
      <w:r>
        <w:rPr>
          <w:noProof/>
        </w:rPr>
        <w:drawing>
          <wp:inline distT="0" distB="0" distL="0" distR="0">
            <wp:extent cx="6055494" cy="2216150"/>
            <wp:effectExtent l="0" t="0" r="15240" b="190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67105C" w:rsidRDefault="0067105C" w:rsidP="00512E4C"/>
    <w:p w:rsidR="00BC3794" w:rsidRDefault="008D3FB6" w:rsidP="00512E4C">
      <w:r>
        <w:t>The results on deletions from the MSCI Brazil in the period before the exclusion of the stocks from the index , show a positive cumulative abnormal return of 2.8% which is actually odd, since</w:t>
      </w:r>
      <w:r w:rsidR="00EE1204">
        <w:t xml:space="preserve"> </w:t>
      </w:r>
      <w:r>
        <w:t>the results from the MSCI EM showed a significant negative cumulative abnormal return of -7.</w:t>
      </w:r>
      <w:r w:rsidR="00BC3794">
        <w:t>8</w:t>
      </w:r>
      <w:r>
        <w:t>%.</w:t>
      </w:r>
      <w:r w:rsidR="00EE1204">
        <w:t xml:space="preserve"> </w:t>
      </w:r>
      <w:r w:rsidR="00BC3794">
        <w:t xml:space="preserve">Due to the small sample size a plot was made get a better view on the </w:t>
      </w:r>
      <w:r w:rsidR="00B066E0">
        <w:t>positioning of the different stocks in the period before they were excluded from the index.</w:t>
      </w:r>
    </w:p>
    <w:p w:rsidR="00840484" w:rsidRDefault="00840484" w:rsidP="00512E4C">
      <w:pPr>
        <w:rPr>
          <w:b/>
          <w:lang w:val="en-GB"/>
        </w:rPr>
      </w:pPr>
      <w:r>
        <w:rPr>
          <w:b/>
          <w:lang w:val="en-GB"/>
        </w:rPr>
        <w:t>Chart</w:t>
      </w:r>
      <w:r w:rsidRPr="006F10F7">
        <w:rPr>
          <w:b/>
          <w:lang w:val="en-GB"/>
        </w:rPr>
        <w:t xml:space="preserve"> 5.</w:t>
      </w:r>
      <w:r>
        <w:rPr>
          <w:b/>
          <w:lang w:val="en-GB"/>
        </w:rPr>
        <w:t>2.3</w:t>
      </w:r>
      <w:r w:rsidR="00356AEF">
        <w:rPr>
          <w:b/>
          <w:lang w:val="en-GB"/>
        </w:rPr>
        <w:t>a</w:t>
      </w:r>
      <w:r>
        <w:rPr>
          <w:b/>
          <w:lang w:val="en-GB"/>
        </w:rPr>
        <w:t>. Plot: deletion Brazilian companies</w:t>
      </w:r>
      <w:r w:rsidR="00356AEF">
        <w:rPr>
          <w:b/>
          <w:lang w:val="en-GB"/>
        </w:rPr>
        <w:t xml:space="preserve"> t-20, t-1</w:t>
      </w:r>
    </w:p>
    <w:p w:rsidR="00DE726B" w:rsidRDefault="00DE726B" w:rsidP="00512E4C">
      <w:r>
        <w:rPr>
          <w:rFonts w:ascii="Calibri" w:eastAsia="Times New Roman" w:hAnsi="Calibri" w:cs="Times New Roman"/>
          <w:color w:val="000000"/>
          <w:sz w:val="16"/>
          <w:szCs w:val="16"/>
        </w:rPr>
        <w:t>The y-axis stands for the daily abnormal return and x-axis stands for the sample size (number of Brazilian companies). For the “Before Deletion “event window.</w:t>
      </w:r>
    </w:p>
    <w:p w:rsidR="00356AEF" w:rsidRDefault="00840484" w:rsidP="00B066E0">
      <w:r>
        <w:rPr>
          <w:noProof/>
        </w:rPr>
        <w:drawing>
          <wp:inline distT="0" distB="0" distL="0" distR="0">
            <wp:extent cx="2626764" cy="1426079"/>
            <wp:effectExtent l="0" t="0" r="15240" b="222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356AEF" w:rsidRDefault="00356AEF" w:rsidP="00B066E0">
      <w:pPr>
        <w:rPr>
          <w:b/>
          <w:lang w:val="en-GB"/>
        </w:rPr>
      </w:pPr>
      <w:r>
        <w:rPr>
          <w:b/>
          <w:lang w:val="en-GB"/>
        </w:rPr>
        <w:t>Chart</w:t>
      </w:r>
      <w:r w:rsidRPr="006F10F7">
        <w:rPr>
          <w:b/>
          <w:lang w:val="en-GB"/>
        </w:rPr>
        <w:t xml:space="preserve"> 5.</w:t>
      </w:r>
      <w:r>
        <w:rPr>
          <w:b/>
          <w:lang w:val="en-GB"/>
        </w:rPr>
        <w:t>2.3b. Plot: deletion Brazilian companies t=0, t+20</w:t>
      </w:r>
    </w:p>
    <w:p w:rsidR="00DE726B" w:rsidRDefault="00DE726B" w:rsidP="00B066E0">
      <w:r>
        <w:rPr>
          <w:rFonts w:ascii="Calibri" w:eastAsia="Times New Roman" w:hAnsi="Calibri" w:cs="Times New Roman"/>
          <w:color w:val="000000"/>
          <w:sz w:val="16"/>
          <w:szCs w:val="16"/>
        </w:rPr>
        <w:t>The y-axis stands for the daily abnormal return and</w:t>
      </w:r>
      <w:r w:rsidR="00EE1204">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x-axis stands for the sample size (number of Brazilian companies). For the “Price reversal</w:t>
      </w:r>
      <w:r w:rsidR="0090656F">
        <w:rPr>
          <w:rFonts w:ascii="Calibri" w:eastAsia="Times New Roman" w:hAnsi="Calibri" w:cs="Times New Roman"/>
          <w:color w:val="000000"/>
          <w:sz w:val="16"/>
          <w:szCs w:val="16"/>
        </w:rPr>
        <w:t xml:space="preserve"> window</w:t>
      </w:r>
      <w:r>
        <w:rPr>
          <w:rFonts w:ascii="Calibri" w:eastAsia="Times New Roman" w:hAnsi="Calibri" w:cs="Times New Roman"/>
          <w:color w:val="000000"/>
          <w:sz w:val="16"/>
          <w:szCs w:val="16"/>
        </w:rPr>
        <w:t xml:space="preserve"> “event window</w:t>
      </w:r>
      <w:r w:rsidR="0090656F">
        <w:rPr>
          <w:rFonts w:ascii="Calibri" w:eastAsia="Times New Roman" w:hAnsi="Calibri" w:cs="Times New Roman"/>
          <w:color w:val="000000"/>
          <w:sz w:val="16"/>
          <w:szCs w:val="16"/>
        </w:rPr>
        <w:t>.</w:t>
      </w:r>
    </w:p>
    <w:p w:rsidR="00C77A98" w:rsidRDefault="00356AEF" w:rsidP="00B066E0">
      <w:r>
        <w:rPr>
          <w:noProof/>
        </w:rPr>
        <w:drawing>
          <wp:inline distT="0" distB="0" distL="0" distR="0">
            <wp:extent cx="2631036" cy="1708091"/>
            <wp:effectExtent l="0" t="0" r="36195" b="1968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tab/>
      </w:r>
    </w:p>
    <w:p w:rsidR="00C77A98" w:rsidRDefault="00C77A98" w:rsidP="00B066E0">
      <w:r w:rsidRPr="00AE2598">
        <w:rPr>
          <w:sz w:val="16"/>
          <w:szCs w:val="16"/>
        </w:rPr>
        <w:t>source: Copy of Price effect_data analyse CAR_Turkey Plot20121104.xlsx</w:t>
      </w:r>
    </w:p>
    <w:p w:rsidR="00C77A98" w:rsidRDefault="00C77A98" w:rsidP="00B066E0">
      <w:r>
        <w:t>The plot</w:t>
      </w:r>
      <w:r w:rsidR="00356AEF">
        <w:t xml:space="preserve"> 5.2.3</w:t>
      </w:r>
      <w:r w:rsidR="00941719">
        <w:t>a</w:t>
      </w:r>
      <w:r>
        <w:t xml:space="preserve"> clarifies the results and shows, that 3 companies had an extreme positive result, which cause</w:t>
      </w:r>
      <w:r w:rsidR="00941719">
        <w:t>d</w:t>
      </w:r>
      <w:r>
        <w:t xml:space="preserve"> the </w:t>
      </w:r>
      <w:r w:rsidR="00941719">
        <w:t xml:space="preserve">cumulative abnormal return for stocks deleted from Brazilian index to </w:t>
      </w:r>
      <w:r>
        <w:t xml:space="preserve">become positive. </w:t>
      </w:r>
      <w:r w:rsidR="00941719">
        <w:t xml:space="preserve">Most of the </w:t>
      </w:r>
      <w:r w:rsidR="009A4F93">
        <w:t>companies’</w:t>
      </w:r>
      <w:r w:rsidR="00941719">
        <w:t xml:space="preserve"> results have a</w:t>
      </w:r>
      <w:r>
        <w:t xml:space="preserve"> negative cumulative daily abnormal return between zero and -1%. </w:t>
      </w:r>
    </w:p>
    <w:p w:rsidR="00941719" w:rsidRDefault="00941719" w:rsidP="00B066E0">
      <w:r>
        <w:t>The price reversal window shows a recovery with a significant positive cumulative abnormal return of 13.4%, indicating almost results of as stocks added to the instead of being deleted.</w:t>
      </w:r>
      <w:r w:rsidR="00EE1204">
        <w:t xml:space="preserve"> </w:t>
      </w:r>
      <w:r w:rsidR="009A4F93">
        <w:t xml:space="preserve">Although there is one extreme </w:t>
      </w:r>
      <w:r w:rsidR="003362AA">
        <w:t>outlier</w:t>
      </w:r>
      <w:r w:rsidR="009A4F93">
        <w:t xml:space="preserve"> shown in</w:t>
      </w:r>
      <w:r w:rsidR="00EE1204">
        <w:t xml:space="preserve"> </w:t>
      </w:r>
      <w:r w:rsidR="009A4F93">
        <w:t>plot</w:t>
      </w:r>
      <w:r w:rsidR="00EE1204">
        <w:t xml:space="preserve"> </w:t>
      </w:r>
      <w:r w:rsidR="009A4F93">
        <w:t>5.2.3b,</w:t>
      </w:r>
      <w:r w:rsidR="000F4C83">
        <w:t xml:space="preserve"> most of the stocks had a positive daily abnormal return that was higher than 0.22% for the MSCI EM.</w:t>
      </w:r>
      <w:r w:rsidR="009A4F93">
        <w:t xml:space="preserve"> </w:t>
      </w:r>
      <w:r w:rsidR="000F4C83">
        <w:t>T</w:t>
      </w:r>
      <w:r w:rsidR="009A4F93">
        <w:t xml:space="preserve">hese </w:t>
      </w:r>
      <w:r w:rsidR="000F4C83">
        <w:t xml:space="preserve">results </w:t>
      </w:r>
      <w:r w:rsidR="009A4F93">
        <w:t>might indicate that that investors investing in the local market might think differently of the price of Brazilian stocks that are deleted from the MSCI EM index</w:t>
      </w:r>
      <w:r w:rsidR="000F4C83">
        <w:t>, which causes a price increase for the deletions instead of the expected price decrease</w:t>
      </w:r>
      <w:r w:rsidR="009A4F93">
        <w:t>.</w:t>
      </w:r>
    </w:p>
    <w:p w:rsidR="00B066E0" w:rsidRDefault="009A4F93" w:rsidP="00B066E0">
      <w:r>
        <w:t xml:space="preserve">For the complete period the </w:t>
      </w:r>
      <w:r w:rsidR="00B066E0">
        <w:t xml:space="preserve">price effect on </w:t>
      </w:r>
      <w:r>
        <w:t>deletions from MSCI Brazil have reached an in</w:t>
      </w:r>
      <w:r w:rsidR="00B066E0">
        <w:t xml:space="preserve">significant </w:t>
      </w:r>
      <w:r>
        <w:t xml:space="preserve">positive </w:t>
      </w:r>
      <w:r w:rsidR="00B066E0">
        <w:t xml:space="preserve">cumulative abnormal return of </w:t>
      </w:r>
      <w:r>
        <w:t>16</w:t>
      </w:r>
      <w:r w:rsidR="00B066E0">
        <w:t>.</w:t>
      </w:r>
      <w:r w:rsidR="0081156E">
        <w:t>3</w:t>
      </w:r>
      <w:r w:rsidR="00B066E0">
        <w:t xml:space="preserve">%, while the MSCI EM </w:t>
      </w:r>
      <w:r w:rsidR="0081156E">
        <w:t>had an insignificant negative cumulative abnormal return of -1</w:t>
      </w:r>
      <w:r w:rsidR="00B066E0">
        <w:t xml:space="preserve">.8% </w:t>
      </w:r>
      <w:r w:rsidR="0081156E">
        <w:t>on the stock deletions</w:t>
      </w:r>
      <w:r w:rsidR="00B066E0">
        <w:t>.</w:t>
      </w:r>
    </w:p>
    <w:p w:rsidR="00B066E0" w:rsidRDefault="00B066E0" w:rsidP="00512E4C"/>
    <w:p w:rsidR="00413F51" w:rsidRDefault="00413F51">
      <w:pPr>
        <w:rPr>
          <w:b/>
          <w:lang w:val="en-GB"/>
        </w:rPr>
      </w:pPr>
      <w:r>
        <w:rPr>
          <w:b/>
          <w:lang w:val="en-GB"/>
        </w:rPr>
        <w:br w:type="page"/>
      </w:r>
    </w:p>
    <w:p w:rsidR="0067764D" w:rsidRDefault="00C67DE7" w:rsidP="00512E4C">
      <w:r>
        <w:rPr>
          <w:b/>
          <w:lang w:val="en-GB"/>
        </w:rPr>
        <w:t>Table 5.2</w:t>
      </w:r>
      <w:r w:rsidR="0067764D">
        <w:rPr>
          <w:b/>
          <w:lang w:val="en-GB"/>
        </w:rPr>
        <w:t>.3. Deletions from the MSCI</w:t>
      </w:r>
      <w:r w:rsidR="00EE1204">
        <w:rPr>
          <w:b/>
          <w:lang w:val="en-GB"/>
        </w:rPr>
        <w:t xml:space="preserve"> </w:t>
      </w:r>
      <w:r w:rsidR="0067764D">
        <w:rPr>
          <w:b/>
          <w:lang w:val="en-GB"/>
        </w:rPr>
        <w:t>TURKEY</w:t>
      </w:r>
    </w:p>
    <w:p w:rsidR="00CB3FB6" w:rsidRPr="00B55DAE" w:rsidRDefault="003D440E" w:rsidP="00512E4C">
      <w:r>
        <w:fldChar w:fldCharType="begin"/>
      </w:r>
      <w:r>
        <w:instrText xml:space="preserve"> LINK Excel.Sheet.8 "Macintosh HD:Users:merilinsimons:Scriptie:goedgekeurde resultaten:Chapter 5 Results:Copy of Price effect_data analyse CAR_Turkey20121028.xlsx!results!R17C3:R24C8" "" \a \p </w:instrText>
      </w:r>
      <w:r>
        <w:fldChar w:fldCharType="separate"/>
      </w:r>
      <w:r>
        <w:object w:dxaOrig="10240" w:dyaOrig="2420">
          <v:shape id="_x0000_i1045" type="#_x0000_t75" style="width:403.5pt;height:95.65pt">
            <v:imagedata r:id="rId43" o:title=""/>
          </v:shape>
        </w:object>
      </w:r>
      <w:r>
        <w:fldChar w:fldCharType="end"/>
      </w:r>
      <w:r w:rsidR="0054615D" w:rsidRPr="007A4946">
        <w:rPr>
          <w:sz w:val="16"/>
          <w:szCs w:val="16"/>
        </w:rPr>
        <w:t>source: Copyof</w:t>
      </w:r>
      <w:r w:rsidR="0054615D">
        <w:rPr>
          <w:sz w:val="16"/>
          <w:szCs w:val="16"/>
        </w:rPr>
        <w:t xml:space="preserve"> Price effect_data analyse CAR_Turkey</w:t>
      </w:r>
      <w:r w:rsidR="0054615D" w:rsidRPr="007A4946">
        <w:rPr>
          <w:sz w:val="16"/>
          <w:szCs w:val="16"/>
        </w:rPr>
        <w:t>201210</w:t>
      </w:r>
      <w:r w:rsidR="0054615D">
        <w:rPr>
          <w:sz w:val="16"/>
          <w:szCs w:val="16"/>
        </w:rPr>
        <w:t>28</w:t>
      </w:r>
      <w:r w:rsidR="0054615D" w:rsidRPr="007A4946">
        <w:rPr>
          <w:sz w:val="16"/>
          <w:szCs w:val="16"/>
        </w:rPr>
        <w:t>.x</w:t>
      </w:r>
      <w:r w:rsidR="0054615D">
        <w:rPr>
          <w:sz w:val="16"/>
          <w:szCs w:val="16"/>
        </w:rPr>
        <w:t>lsx</w:t>
      </w:r>
    </w:p>
    <w:p w:rsidR="0067764D" w:rsidRDefault="0067764D" w:rsidP="00512E4C">
      <w:r>
        <w:rPr>
          <w:b/>
          <w:lang w:val="en-GB"/>
        </w:rPr>
        <w:t>Chart</w:t>
      </w:r>
      <w:r w:rsidRPr="006F10F7">
        <w:rPr>
          <w:b/>
          <w:lang w:val="en-GB"/>
        </w:rPr>
        <w:t xml:space="preserve"> 5.</w:t>
      </w:r>
      <w:r w:rsidR="00C67DE7">
        <w:rPr>
          <w:b/>
          <w:lang w:val="en-GB"/>
        </w:rPr>
        <w:t>2</w:t>
      </w:r>
      <w:r>
        <w:rPr>
          <w:b/>
          <w:lang w:val="en-GB"/>
        </w:rPr>
        <w:t>.3. Deletions from the MSCI</w:t>
      </w:r>
      <w:r w:rsidR="00EE1204">
        <w:rPr>
          <w:b/>
          <w:lang w:val="en-GB"/>
        </w:rPr>
        <w:t xml:space="preserve"> </w:t>
      </w:r>
      <w:r>
        <w:rPr>
          <w:b/>
          <w:lang w:val="en-GB"/>
        </w:rPr>
        <w:t>TURKEY</w:t>
      </w:r>
    </w:p>
    <w:p w:rsidR="00872847" w:rsidRDefault="00872847" w:rsidP="00512E4C">
      <w:r>
        <w:rPr>
          <w:noProof/>
        </w:rPr>
        <w:drawing>
          <wp:inline distT="0" distB="0" distL="0" distR="0">
            <wp:extent cx="5941194" cy="2519045"/>
            <wp:effectExtent l="0" t="0" r="27940" b="2095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872847" w:rsidRDefault="00383AB8" w:rsidP="00512E4C">
      <w:r>
        <w:t xml:space="preserve">Different than as seen with results on Brazil, Turkey shows a more in line trend with the results on deletion from the MSCI EM. For the period before the exclusion from the index, the deletions on the MSCI EM showed a negative cumulative abnormal return of -7.8%, this number was much smaller with -2.9% and was not significant. </w:t>
      </w:r>
      <w:r w:rsidR="004D0C91">
        <w:t xml:space="preserve">The </w:t>
      </w:r>
      <w:r w:rsidR="00D710FD">
        <w:t>run up window</w:t>
      </w:r>
      <w:r w:rsidR="004D0C91">
        <w:t xml:space="preserve"> results on both indices showed a significant negative</w:t>
      </w:r>
      <w:r w:rsidR="00263116">
        <w:t xml:space="preserve"> cumulative abnormal return of -</w:t>
      </w:r>
      <w:r w:rsidR="004D0C91">
        <w:t xml:space="preserve">6.0% and respectively </w:t>
      </w:r>
      <w:r w:rsidR="00263116">
        <w:t>-</w:t>
      </w:r>
      <w:r w:rsidR="004D0C91">
        <w:t>7.2% for the MSCI EM.</w:t>
      </w:r>
      <w:r w:rsidR="00263116">
        <w:t xml:space="preserve"> Wh</w:t>
      </w:r>
      <w:r w:rsidR="00D710FD">
        <w:t>ile</w:t>
      </w:r>
      <w:r w:rsidR="00EE1204">
        <w:t xml:space="preserve"> </w:t>
      </w:r>
      <w:r w:rsidR="00263116">
        <w:t>the price reve</w:t>
      </w:r>
      <w:r w:rsidR="00D710FD">
        <w:t>r</w:t>
      </w:r>
      <w:r w:rsidR="00263116">
        <w:t>sal window showed</w:t>
      </w:r>
      <w:r w:rsidR="00EE1204">
        <w:t xml:space="preserve"> </w:t>
      </w:r>
      <w:r w:rsidR="00263116">
        <w:t>a sign</w:t>
      </w:r>
      <w:r w:rsidR="00D710FD">
        <w:t xml:space="preserve">ificant positive excess return of 6.0% </w:t>
      </w:r>
      <w:r w:rsidR="00263116">
        <w:t>for</w:t>
      </w:r>
      <w:r w:rsidR="00EE1204">
        <w:t xml:space="preserve"> </w:t>
      </w:r>
      <w:r w:rsidR="00D710FD">
        <w:t>the stocks that were deleted from the MSCI EM,</w:t>
      </w:r>
      <w:r w:rsidR="00EE1204">
        <w:t xml:space="preserve"> </w:t>
      </w:r>
      <w:r w:rsidR="00D710FD">
        <w:t>the return on stocks that were deleted from the MSCI Turkey lagged and reached an insignificant negative return of -1.4%. Both indices had a insignificant cumulative abnormal return for the complete period, naming -4.3% fro the stocks deleted from the MSCI Turkey and -1.8% for stocks excluded from the MSCI EM.</w:t>
      </w:r>
      <w:r w:rsidR="00EE1204">
        <w:t xml:space="preserve"> </w:t>
      </w:r>
      <w:r w:rsidR="00DD3764">
        <w:t xml:space="preserve">Where most of the researches indicate signs of a price recovery after the deletion of the stock, this hardly the case for Turkish stocks that lagged on recovery after the deletion. A possible reason could be the absence of information transparency as mentioned by Hacibedel(2007) in het research, which incentivize investors to sell and keep away from stocks that are deleted from the index. </w:t>
      </w:r>
      <w:r w:rsidR="00B95770">
        <w:t xml:space="preserve">Turkey has a small weight </w:t>
      </w:r>
      <w:r w:rsidR="002D0A29">
        <w:t xml:space="preserve">of 1.5% </w:t>
      </w:r>
      <w:r w:rsidR="00B95770">
        <w:t>in the index, this might make it un attractive to be followed by analysts and other investors. (please revert to the appendix for table of MSCI Emerging markets weights on a country level.)</w:t>
      </w:r>
    </w:p>
    <w:p w:rsidR="00982BB4" w:rsidRDefault="00982BB4" w:rsidP="00512E4C"/>
    <w:p w:rsidR="00053AB1" w:rsidRDefault="00053AB1" w:rsidP="00512E4C">
      <w:pPr>
        <w:rPr>
          <w:b/>
          <w:lang w:val="en-GB"/>
        </w:rPr>
      </w:pPr>
    </w:p>
    <w:p w:rsidR="00053AB1" w:rsidRDefault="0067764D" w:rsidP="00512E4C">
      <w:r>
        <w:rPr>
          <w:b/>
          <w:lang w:val="en-GB"/>
        </w:rPr>
        <w:t>TABLE</w:t>
      </w:r>
      <w:r w:rsidRPr="006F10F7">
        <w:rPr>
          <w:b/>
          <w:lang w:val="en-GB"/>
        </w:rPr>
        <w:t xml:space="preserve"> 5.</w:t>
      </w:r>
      <w:r w:rsidR="00C67DE7">
        <w:rPr>
          <w:b/>
          <w:lang w:val="en-GB"/>
        </w:rPr>
        <w:t>2</w:t>
      </w:r>
      <w:r>
        <w:rPr>
          <w:b/>
          <w:lang w:val="en-GB"/>
        </w:rPr>
        <w:t>.4. Deletions from the MSCI</w:t>
      </w:r>
      <w:r w:rsidR="00EE1204">
        <w:rPr>
          <w:b/>
          <w:lang w:val="en-GB"/>
        </w:rPr>
        <w:t xml:space="preserve"> </w:t>
      </w:r>
      <w:r>
        <w:rPr>
          <w:b/>
          <w:lang w:val="en-GB"/>
        </w:rPr>
        <w:t>INDIA</w:t>
      </w:r>
    </w:p>
    <w:p w:rsidR="00CB3FB6" w:rsidRDefault="003D440E" w:rsidP="00512E4C">
      <w:pPr>
        <w:rPr>
          <w:sz w:val="16"/>
          <w:szCs w:val="16"/>
        </w:rPr>
      </w:pPr>
      <w:r>
        <w:rPr>
          <w:sz w:val="16"/>
          <w:szCs w:val="16"/>
        </w:rPr>
        <w:fldChar w:fldCharType="begin"/>
      </w:r>
      <w:r>
        <w:rPr>
          <w:sz w:val="16"/>
          <w:szCs w:val="16"/>
        </w:rPr>
        <w:instrText xml:space="preserve"> LINK Excel.Sheet.8 "Macintosh HD:Users:merilinsimons:Scriptie:goedgekeurde resultaten:Chapter 5 Results:Copy of Price effect_data analyse CAR_India20121028.xlsx!Results!R20C2:R27C7" "" \a \p </w:instrText>
      </w:r>
      <w:r>
        <w:rPr>
          <w:sz w:val="16"/>
          <w:szCs w:val="16"/>
        </w:rPr>
        <w:fldChar w:fldCharType="separate"/>
      </w:r>
      <w:r w:rsidRPr="003D440E">
        <w:rPr>
          <w:sz w:val="16"/>
          <w:szCs w:val="16"/>
        </w:rPr>
        <w:object w:dxaOrig="11040" w:dyaOrig="2420">
          <v:shape id="_x0000_i1046" type="#_x0000_t75" style="width:434.7pt;height:95.65pt">
            <v:imagedata r:id="rId45" o:title=""/>
          </v:shape>
        </w:object>
      </w:r>
      <w:r>
        <w:rPr>
          <w:sz w:val="16"/>
          <w:szCs w:val="16"/>
        </w:rPr>
        <w:fldChar w:fldCharType="end"/>
      </w:r>
      <w:r w:rsidR="0054615D" w:rsidRPr="007A4946">
        <w:rPr>
          <w:sz w:val="16"/>
          <w:szCs w:val="16"/>
        </w:rPr>
        <w:t>source: Copy</w:t>
      </w:r>
      <w:r w:rsidR="0054615D">
        <w:rPr>
          <w:sz w:val="16"/>
          <w:szCs w:val="16"/>
        </w:rPr>
        <w:t xml:space="preserve"> </w:t>
      </w:r>
      <w:r w:rsidR="0054615D" w:rsidRPr="007A4946">
        <w:rPr>
          <w:sz w:val="16"/>
          <w:szCs w:val="16"/>
        </w:rPr>
        <w:t>of Price effect_data analyse CAR_</w:t>
      </w:r>
      <w:r w:rsidR="0054615D">
        <w:rPr>
          <w:sz w:val="16"/>
          <w:szCs w:val="16"/>
        </w:rPr>
        <w:t>India</w:t>
      </w:r>
      <w:r w:rsidR="0054615D" w:rsidRPr="007A4946">
        <w:rPr>
          <w:sz w:val="16"/>
          <w:szCs w:val="16"/>
        </w:rPr>
        <w:t>20121014.x</w:t>
      </w:r>
      <w:r w:rsidR="0054615D">
        <w:rPr>
          <w:sz w:val="16"/>
          <w:szCs w:val="16"/>
        </w:rPr>
        <w:t>lsx</w:t>
      </w:r>
    </w:p>
    <w:p w:rsidR="0067764D" w:rsidRDefault="0067764D" w:rsidP="00512E4C">
      <w:r>
        <w:rPr>
          <w:b/>
          <w:lang w:val="en-GB"/>
        </w:rPr>
        <w:t>Chart</w:t>
      </w:r>
      <w:r w:rsidR="00C67DE7">
        <w:rPr>
          <w:b/>
          <w:lang w:val="en-GB"/>
        </w:rPr>
        <w:t xml:space="preserve"> 5.2</w:t>
      </w:r>
      <w:r>
        <w:rPr>
          <w:b/>
          <w:lang w:val="en-GB"/>
        </w:rPr>
        <w:t>.4. Deletions from the MSCI</w:t>
      </w:r>
      <w:r w:rsidR="00EE1204">
        <w:rPr>
          <w:b/>
          <w:lang w:val="en-GB"/>
        </w:rPr>
        <w:t xml:space="preserve"> </w:t>
      </w:r>
      <w:r>
        <w:rPr>
          <w:b/>
          <w:lang w:val="en-GB"/>
        </w:rPr>
        <w:t>INDIA</w:t>
      </w:r>
    </w:p>
    <w:p w:rsidR="00982BB4" w:rsidRDefault="008B4954" w:rsidP="00512E4C">
      <w:r>
        <w:rPr>
          <w:noProof/>
        </w:rPr>
        <w:drawing>
          <wp:inline distT="0" distB="0" distL="0" distR="0">
            <wp:extent cx="6055494" cy="2298700"/>
            <wp:effectExtent l="0" t="0" r="15240" b="1270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C0025E" w:rsidRDefault="00C34D7F" w:rsidP="00512E4C">
      <w:r>
        <w:t>Starting with before deletion window, the deletions from the MSCI India show an insignificant negative abnormal return of -1.1% versus a significant-7.8% from the MSCI EM index</w:t>
      </w:r>
      <w:r w:rsidR="00CD41F2">
        <w:t xml:space="preserve">. Although the run up window had a small insignificant negative abnormal return of -1.9% for stocks deleted from the MSCI India, the daily abnormal return -2.0% versus a -3.6% from the MSCI EM, did reach a significant level on the day before exclusion from the index. </w:t>
      </w:r>
      <w:r w:rsidR="003B78DE">
        <w:t>For the complete period an insignificant positive cumulative abnormal return of 5.2%was found for stocks deleted from the MSCI India index versus an insignificant negative cumulative abnormal return of</w:t>
      </w:r>
      <w:r w:rsidR="00EE1204">
        <w:t xml:space="preserve"> </w:t>
      </w:r>
      <w:r w:rsidR="003B78DE">
        <w:t>-1.8% from stocks deleted from the MSCI EM.</w:t>
      </w:r>
      <w:r w:rsidR="00C0025E">
        <w:t xml:space="preserve"> </w:t>
      </w:r>
    </w:p>
    <w:p w:rsidR="00982BB4" w:rsidRDefault="00C0025E" w:rsidP="00512E4C">
      <w:r>
        <w:t>This indicates that the price for deletions from the MSCI India index do recover after twenty days. This was not the case for stocks deleted from the MSCI Turkey index.</w:t>
      </w:r>
    </w:p>
    <w:p w:rsidR="00EF4BD8" w:rsidRDefault="0067764D" w:rsidP="00512E4C">
      <w:r>
        <w:rPr>
          <w:b/>
          <w:lang w:val="en-GB"/>
        </w:rPr>
        <w:t>TABLE</w:t>
      </w:r>
      <w:r w:rsidR="00C67DE7">
        <w:rPr>
          <w:b/>
          <w:lang w:val="en-GB"/>
        </w:rPr>
        <w:t xml:space="preserve"> 5.2</w:t>
      </w:r>
      <w:r>
        <w:rPr>
          <w:b/>
          <w:lang w:val="en-GB"/>
        </w:rPr>
        <w:t>.5. Deletions from the MSCI</w:t>
      </w:r>
      <w:r w:rsidR="00EE1204">
        <w:rPr>
          <w:b/>
          <w:lang w:val="en-GB"/>
        </w:rPr>
        <w:t xml:space="preserve"> </w:t>
      </w:r>
      <w:r>
        <w:rPr>
          <w:b/>
          <w:lang w:val="en-GB"/>
        </w:rPr>
        <w:t>CHINA</w:t>
      </w:r>
      <w:r>
        <w:t xml:space="preserve"> </w:t>
      </w:r>
    </w:p>
    <w:p w:rsidR="00EF4BD8" w:rsidRDefault="003D440E" w:rsidP="00512E4C">
      <w:r>
        <w:fldChar w:fldCharType="begin"/>
      </w:r>
      <w:r>
        <w:instrText xml:space="preserve"> LINK Excel.Sheet.8 "Macintosh HD:Users:merilinsimons:Scriptie:goedgekeurde resultaten:Chapter 5 Results:Copy of Price effect_data analyse CAR_CHINA20121028.xlsx!results!R20C2:R27C7" "" \a \p </w:instrText>
      </w:r>
      <w:r>
        <w:fldChar w:fldCharType="separate"/>
      </w:r>
      <w:r>
        <w:object w:dxaOrig="10460" w:dyaOrig="2420">
          <v:shape id="_x0000_i1047" type="#_x0000_t75" style="width:405.65pt;height:94.05pt">
            <v:imagedata r:id="rId47" o:title=""/>
          </v:shape>
        </w:object>
      </w:r>
      <w:r>
        <w:fldChar w:fldCharType="end"/>
      </w:r>
    </w:p>
    <w:p w:rsidR="0067764D" w:rsidRDefault="0054615D" w:rsidP="00512E4C">
      <w:pPr>
        <w:rPr>
          <w:sz w:val="16"/>
          <w:szCs w:val="16"/>
        </w:rPr>
      </w:pPr>
      <w:r w:rsidRPr="007A4946">
        <w:rPr>
          <w:sz w:val="16"/>
          <w:szCs w:val="16"/>
        </w:rPr>
        <w:t>source: Copyof Price effect_data analyse CAR_</w:t>
      </w:r>
      <w:r>
        <w:rPr>
          <w:sz w:val="16"/>
          <w:szCs w:val="16"/>
        </w:rPr>
        <w:t>China</w:t>
      </w:r>
      <w:r w:rsidRPr="007A4946">
        <w:rPr>
          <w:sz w:val="16"/>
          <w:szCs w:val="16"/>
        </w:rPr>
        <w:t>201210</w:t>
      </w:r>
      <w:r>
        <w:rPr>
          <w:sz w:val="16"/>
          <w:szCs w:val="16"/>
        </w:rPr>
        <w:t>28</w:t>
      </w:r>
      <w:r w:rsidRPr="007A4946">
        <w:rPr>
          <w:sz w:val="16"/>
          <w:szCs w:val="16"/>
        </w:rPr>
        <w:t>.x</w:t>
      </w:r>
      <w:r>
        <w:rPr>
          <w:sz w:val="16"/>
          <w:szCs w:val="16"/>
        </w:rPr>
        <w:t>lsx</w:t>
      </w:r>
    </w:p>
    <w:p w:rsidR="0067764D" w:rsidRDefault="0067764D" w:rsidP="00512E4C">
      <w:r>
        <w:rPr>
          <w:b/>
          <w:lang w:val="en-GB"/>
        </w:rPr>
        <w:t>Chart</w:t>
      </w:r>
      <w:r w:rsidRPr="006F10F7">
        <w:rPr>
          <w:b/>
          <w:lang w:val="en-GB"/>
        </w:rPr>
        <w:t xml:space="preserve"> 5.1</w:t>
      </w:r>
      <w:r>
        <w:rPr>
          <w:b/>
          <w:lang w:val="en-GB"/>
        </w:rPr>
        <w:t>.5. Deletions from the MSCI</w:t>
      </w:r>
      <w:r w:rsidR="00EE1204">
        <w:rPr>
          <w:b/>
          <w:lang w:val="en-GB"/>
        </w:rPr>
        <w:t xml:space="preserve"> </w:t>
      </w:r>
      <w:r>
        <w:rPr>
          <w:b/>
          <w:lang w:val="en-GB"/>
        </w:rPr>
        <w:t>CHINA</w:t>
      </w:r>
    </w:p>
    <w:p w:rsidR="00867263" w:rsidRDefault="00867263" w:rsidP="00512E4C">
      <w:r>
        <w:rPr>
          <w:noProof/>
        </w:rPr>
        <w:drawing>
          <wp:inline distT="0" distB="0" distL="0" distR="0">
            <wp:extent cx="6169794" cy="2202180"/>
            <wp:effectExtent l="0" t="0" r="27940" b="3302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867263" w:rsidRDefault="0013417E" w:rsidP="00512E4C">
      <w:r>
        <w:t xml:space="preserve">Again overall the results on the MSCI China </w:t>
      </w:r>
      <w:r w:rsidR="00333B7C">
        <w:t>are inline</w:t>
      </w:r>
      <w:r>
        <w:t xml:space="preserve"> with the results from the MSCI EM. For both indices stocks show a </w:t>
      </w:r>
      <w:r w:rsidR="00333B7C">
        <w:t>significant negative cumulative abnormal return of</w:t>
      </w:r>
      <w:r w:rsidR="00EE1204">
        <w:t xml:space="preserve"> </w:t>
      </w:r>
      <w:r w:rsidR="00333B7C">
        <w:t>-6.1% versus -7.8% for stocks deleted from the MSCI EM. As for the run up window an the day before the exclusion Chinese stocks experience a significant price drop, where negative cumulative abnormal returns reach a level of</w:t>
      </w:r>
      <w:r w:rsidR="00EE1204">
        <w:t xml:space="preserve"> </w:t>
      </w:r>
      <w:r w:rsidR="00333B7C">
        <w:t xml:space="preserve">-12.7%, and a negative daily abnormal return of -7.4% for the MSCI China. The MSCI EM </w:t>
      </w:r>
      <w:r w:rsidR="006B312A">
        <w:t xml:space="preserve">also </w:t>
      </w:r>
      <w:r w:rsidR="00333B7C">
        <w:t xml:space="preserve">reached </w:t>
      </w:r>
      <w:r w:rsidR="006B312A">
        <w:t xml:space="preserve">significant </w:t>
      </w:r>
      <w:r w:rsidR="00333B7C">
        <w:t>levels of -7.2%, respectatively-3.6%. for the same events.</w:t>
      </w:r>
      <w:r w:rsidR="00883DD3">
        <w:t xml:space="preserve"> Continuing with the price reversal window, where stocks deleted from the MSCI China were significantly positive with an excess return of 13.8% versus a significant 6.0% from the MSCI EM. Last but not least table </w:t>
      </w:r>
      <w:r w:rsidR="00C67DE7">
        <w:t xml:space="preserve">5.2.5 </w:t>
      </w:r>
      <w:r w:rsidR="00883DD3">
        <w:t xml:space="preserve">shows </w:t>
      </w:r>
      <w:r w:rsidR="00693311">
        <w:t>a insignificant cumulative abnormal return of</w:t>
      </w:r>
      <w:r w:rsidR="00EE1204">
        <w:t xml:space="preserve"> </w:t>
      </w:r>
      <w:r w:rsidR="00693311">
        <w:t>7.6% for the deletions from MSCI China index, versus an insignificant -1.8%, indicating that while the stocks from MSCI China fully recovered, those deleted from the MSCI almost recovered.</w:t>
      </w:r>
    </w:p>
    <w:p w:rsidR="00693311" w:rsidRDefault="00064962" w:rsidP="00064962">
      <w:r>
        <w:t xml:space="preserve">A </w:t>
      </w:r>
      <w:r w:rsidR="001507C2">
        <w:t>surprising</w:t>
      </w:r>
      <w:r>
        <w:t xml:space="preserve"> result is that from the larger and most popular countries such a Brazil, India and China the price effect of the deleted stoc</w:t>
      </w:r>
      <w:r w:rsidR="00693311">
        <w:t>k does show a complete recovery.</w:t>
      </w:r>
      <w:r w:rsidR="00EE1204">
        <w:t xml:space="preserve"> </w:t>
      </w:r>
      <w:r w:rsidR="00693311">
        <w:t xml:space="preserve">The slightly negative results for the deletions </w:t>
      </w:r>
      <w:r>
        <w:t xml:space="preserve">on </w:t>
      </w:r>
      <w:r w:rsidR="00693311">
        <w:t>the MSCI Emerging Markets index, could indicate on less positive for excess returns for the rest of the (smaller) countries from the MSCI EM which are held outside of the scope of this MSCI Country research.</w:t>
      </w:r>
      <w:r>
        <w:t xml:space="preserve"> </w:t>
      </w:r>
    </w:p>
    <w:p w:rsidR="00693311" w:rsidRDefault="00064962" w:rsidP="00064962">
      <w:r>
        <w:t xml:space="preserve">These MSCI country results show </w:t>
      </w:r>
      <w:r w:rsidR="0049474C">
        <w:t xml:space="preserve">a bit </w:t>
      </w:r>
      <w:r>
        <w:t xml:space="preserve">more </w:t>
      </w:r>
      <w:r w:rsidR="0049474C">
        <w:t>resemblance with</w:t>
      </w:r>
      <w:r>
        <w:t xml:space="preserve"> the results of developed markets</w:t>
      </w:r>
      <w:r w:rsidR="0049474C">
        <w:t xml:space="preserve"> then the MSCI EM index</w:t>
      </w:r>
      <w:r>
        <w:t xml:space="preserve">. </w:t>
      </w:r>
    </w:p>
    <w:p w:rsidR="00693311" w:rsidRDefault="00693311" w:rsidP="00064962"/>
    <w:p w:rsidR="00512E4C" w:rsidRDefault="00512E4C" w:rsidP="00EB433B">
      <w:pPr>
        <w:pStyle w:val="Heading2"/>
      </w:pPr>
      <w:bookmarkStart w:id="17" w:name="_Toc214519193"/>
      <w:r>
        <w:t xml:space="preserve">Results on </w:t>
      </w:r>
      <w:r w:rsidR="00FF45DD">
        <w:t>the Beta change</w:t>
      </w:r>
      <w:bookmarkEnd w:id="17"/>
    </w:p>
    <w:p w:rsidR="001F34C5" w:rsidRPr="00B81403" w:rsidRDefault="006138F7" w:rsidP="00335CC4">
      <w:pPr>
        <w:rPr>
          <w:lang w:val="en-GB"/>
        </w:rPr>
      </w:pPr>
      <w:r>
        <w:rPr>
          <w:lang w:val="en-GB"/>
        </w:rPr>
        <w:t xml:space="preserve">The second research </w:t>
      </w:r>
      <w:r w:rsidR="00AB4F8B">
        <w:rPr>
          <w:lang w:val="en-GB"/>
        </w:rPr>
        <w:t>studies</w:t>
      </w:r>
      <w:r>
        <w:rPr>
          <w:lang w:val="en-GB"/>
        </w:rPr>
        <w:t xml:space="preserve"> the </w:t>
      </w:r>
      <w:r w:rsidR="00FF45DD">
        <w:rPr>
          <w:lang w:val="en-GB"/>
        </w:rPr>
        <w:t>beta change</w:t>
      </w:r>
      <w:r>
        <w:rPr>
          <w:lang w:val="en-GB"/>
        </w:rPr>
        <w:t xml:space="preserve"> of the </w:t>
      </w:r>
      <w:r w:rsidR="00FF45DD">
        <w:rPr>
          <w:lang w:val="en-GB"/>
        </w:rPr>
        <w:t>additions to and</w:t>
      </w:r>
      <w:r>
        <w:rPr>
          <w:lang w:val="en-GB"/>
        </w:rPr>
        <w:t xml:space="preserve"> delet</w:t>
      </w:r>
      <w:r w:rsidR="00FF45DD">
        <w:rPr>
          <w:lang w:val="en-GB"/>
        </w:rPr>
        <w:t xml:space="preserve">ions from </w:t>
      </w:r>
      <w:r>
        <w:rPr>
          <w:lang w:val="en-GB"/>
        </w:rPr>
        <w:t xml:space="preserve">the index. Assuming that </w:t>
      </w:r>
      <w:r w:rsidR="00AB4F8B">
        <w:rPr>
          <w:lang w:val="en-GB"/>
        </w:rPr>
        <w:t>null hypothesis expect</w:t>
      </w:r>
      <w:r>
        <w:rPr>
          <w:lang w:val="en-GB"/>
        </w:rPr>
        <w:t xml:space="preserve">s no </w:t>
      </w:r>
      <w:r w:rsidR="001F34C5">
        <w:rPr>
          <w:lang w:val="en-GB"/>
        </w:rPr>
        <w:t>beta change</w:t>
      </w:r>
      <w:r w:rsidR="00B81403">
        <w:rPr>
          <w:lang w:val="en-GB"/>
        </w:rPr>
        <w:t>.</w:t>
      </w:r>
      <w:r w:rsidR="00335CC4">
        <w:t xml:space="preserve"> </w:t>
      </w:r>
    </w:p>
    <w:p w:rsidR="00335CC4" w:rsidRDefault="00335CC4" w:rsidP="00335CC4">
      <w:r>
        <w:t xml:space="preserve">The </w:t>
      </w:r>
      <w:r w:rsidR="00B81403">
        <w:t>alternative</w:t>
      </w:r>
      <w:r>
        <w:t xml:space="preserve"> hypothesis predicts that stocks that will enter the index will co-move more with other stocks from the index after the inclusion of the index.</w:t>
      </w:r>
      <w:r w:rsidR="00EE1204">
        <w:t xml:space="preserve"> </w:t>
      </w:r>
      <w:r>
        <w:t xml:space="preserve">For the deletions this would mean that when a stock is removed from the index it </w:t>
      </w:r>
      <w:r w:rsidR="002C36A3">
        <w:t>would</w:t>
      </w:r>
      <w:r>
        <w:t xml:space="preserve"> co-move less with other stocks from the index after the moment of exclusion from the index.</w:t>
      </w:r>
    </w:p>
    <w:p w:rsidR="00B81403" w:rsidRDefault="00335CC4" w:rsidP="00EB433B">
      <w:r>
        <w:t xml:space="preserve">The </w:t>
      </w:r>
      <w:r w:rsidR="00AB4F8B">
        <w:t>study</w:t>
      </w:r>
      <w:r>
        <w:t xml:space="preserve"> includes stocks that are added to and deleted from the MSCI E</w:t>
      </w:r>
      <w:r w:rsidR="00AB4F8B">
        <w:t xml:space="preserve">merging </w:t>
      </w:r>
      <w:r>
        <w:t>M</w:t>
      </w:r>
      <w:r w:rsidR="00AB4F8B">
        <w:t>arket</w:t>
      </w:r>
      <w:r>
        <w:t xml:space="preserve"> index from January 2004 till December 2010. </w:t>
      </w:r>
    </w:p>
    <w:p w:rsidR="002C36A3" w:rsidRPr="006138F7" w:rsidRDefault="00B81403" w:rsidP="00EB433B">
      <w:r>
        <w:t xml:space="preserve">The </w:t>
      </w:r>
      <w:r w:rsidR="00745169">
        <w:t xml:space="preserve">MSCI Emerging markets additions and deletions are compared to different indices, such as MSCI India index and a HSBC India index regardless of their own index reviews. </w:t>
      </w:r>
    </w:p>
    <w:p w:rsidR="00365F65" w:rsidRDefault="002C36A3" w:rsidP="00EB433B">
      <w:pPr>
        <w:rPr>
          <w:lang w:val="en-GB"/>
        </w:rPr>
      </w:pPr>
      <w:r>
        <w:t xml:space="preserve">For the univariate regression model, two </w:t>
      </w:r>
      <w:r w:rsidR="003E0E48">
        <w:t>columns</w:t>
      </w:r>
      <w:r>
        <w:t xml:space="preserve"> were made, in order to examine the difference between the moment </w:t>
      </w:r>
      <w:r w:rsidR="003E0E48">
        <w:t>“</w:t>
      </w:r>
      <w:r>
        <w:t>before the inclusion or deletion</w:t>
      </w:r>
      <w:r w:rsidR="003E0E48">
        <w:t>”</w:t>
      </w:r>
      <w:r>
        <w:t xml:space="preserve"> period and </w:t>
      </w:r>
      <w:r w:rsidR="003E0E48">
        <w:t>“</w:t>
      </w:r>
      <w:r>
        <w:t>after the inclusion to or deletion</w:t>
      </w:r>
      <w:r w:rsidR="003E0E48">
        <w:t>”</w:t>
      </w:r>
      <w:r>
        <w:t xml:space="preserve"> from the index. </w:t>
      </w:r>
      <w:r w:rsidR="00365F65">
        <w:rPr>
          <w:lang w:val="en-GB"/>
        </w:rPr>
        <w:t xml:space="preserve">For each stock the beta before inclusion and the beta after inclusion is calculated. This has also been done for the exclusions from the index. </w:t>
      </w:r>
      <w:r w:rsidR="00EB433B">
        <w:rPr>
          <w:lang w:val="en-GB"/>
        </w:rPr>
        <w:t>The beta</w:t>
      </w:r>
      <w:r w:rsidR="003E0E48">
        <w:rPr>
          <w:lang w:val="en-GB"/>
        </w:rPr>
        <w:t xml:space="preserve"> of the</w:t>
      </w:r>
      <w:r w:rsidR="00EE1204">
        <w:rPr>
          <w:lang w:val="en-GB"/>
        </w:rPr>
        <w:t xml:space="preserve"> </w:t>
      </w:r>
      <w:r w:rsidR="003E0E48">
        <w:rPr>
          <w:lang w:val="en-GB"/>
        </w:rPr>
        <w:t>“</w:t>
      </w:r>
      <w:r w:rsidR="00EB433B">
        <w:rPr>
          <w:lang w:val="en-GB"/>
        </w:rPr>
        <w:t>before inclusion</w:t>
      </w:r>
      <w:r w:rsidR="003E0E48">
        <w:rPr>
          <w:lang w:val="en-GB"/>
        </w:rPr>
        <w:t>”</w:t>
      </w:r>
      <w:r w:rsidR="009D51F3">
        <w:rPr>
          <w:lang w:val="en-GB"/>
        </w:rPr>
        <w:t xml:space="preserve"> window includes the returns of 20 days and the </w:t>
      </w:r>
      <w:r w:rsidR="003E0E48">
        <w:rPr>
          <w:lang w:val="en-GB"/>
        </w:rPr>
        <w:t>“</w:t>
      </w:r>
      <w:r w:rsidR="009D51F3">
        <w:rPr>
          <w:lang w:val="en-GB"/>
        </w:rPr>
        <w:t>after inclusion</w:t>
      </w:r>
      <w:r w:rsidR="003E0E48">
        <w:rPr>
          <w:lang w:val="en-GB"/>
        </w:rPr>
        <w:t>”</w:t>
      </w:r>
      <w:r w:rsidR="009D51F3">
        <w:rPr>
          <w:lang w:val="en-GB"/>
        </w:rPr>
        <w:t xml:space="preserve"> window consists of 21 days. </w:t>
      </w:r>
    </w:p>
    <w:p w:rsidR="00CB4BAE" w:rsidRPr="00CB4BAE" w:rsidRDefault="005E1939" w:rsidP="00CB4BAE">
      <w:pPr>
        <w:rPr>
          <w:rFonts w:ascii="Calibri" w:eastAsia="Times New Roman" w:hAnsi="Calibri" w:cs="Times New Roman"/>
          <w:color w:val="000000"/>
          <w:sz w:val="16"/>
          <w:szCs w:val="16"/>
        </w:rPr>
      </w:pPr>
      <w:r>
        <w:rPr>
          <w:lang w:val="en-GB"/>
        </w:rPr>
        <w:t xml:space="preserve">The next </w:t>
      </w:r>
      <w:r w:rsidR="00365F65">
        <w:rPr>
          <w:lang w:val="en-GB"/>
        </w:rPr>
        <w:t>t</w:t>
      </w:r>
      <w:r w:rsidR="006138F7">
        <w:rPr>
          <w:lang w:val="en-GB"/>
        </w:rPr>
        <w:t>able</w:t>
      </w:r>
      <w:r>
        <w:rPr>
          <w:lang w:val="en-GB"/>
        </w:rPr>
        <w:t xml:space="preserve">s </w:t>
      </w:r>
      <w:r w:rsidR="00365F65">
        <w:rPr>
          <w:lang w:val="en-GB"/>
        </w:rPr>
        <w:t xml:space="preserve">in this paragraph </w:t>
      </w:r>
      <w:r>
        <w:rPr>
          <w:lang w:val="en-GB"/>
        </w:rPr>
        <w:t>show</w:t>
      </w:r>
      <w:r w:rsidR="006138F7">
        <w:rPr>
          <w:lang w:val="en-GB"/>
        </w:rPr>
        <w:t xml:space="preserve"> basic tests of significance of the change in beta of the additions and deletions. </w:t>
      </w:r>
    </w:p>
    <w:p w:rsidR="001B1177" w:rsidRDefault="005F7D66" w:rsidP="00512E4C">
      <w:pPr>
        <w:rPr>
          <w:b/>
          <w:lang w:val="en-GB"/>
        </w:rPr>
      </w:pPr>
      <w:r>
        <w:rPr>
          <w:b/>
          <w:lang w:val="en-GB"/>
        </w:rPr>
        <w:t xml:space="preserve">TABLE 5.3.1. </w:t>
      </w:r>
      <w:r w:rsidR="00214016">
        <w:rPr>
          <w:b/>
          <w:lang w:val="en-GB"/>
        </w:rPr>
        <w:t>Beta r</w:t>
      </w:r>
      <w:r w:rsidR="00B4158A">
        <w:rPr>
          <w:b/>
          <w:lang w:val="en-GB"/>
        </w:rPr>
        <w:t>esults on the MSCI EM</w:t>
      </w:r>
    </w:p>
    <w:p w:rsidR="00A255E2" w:rsidRPr="000E4037" w:rsidRDefault="00CB4BAE" w:rsidP="00512E4C">
      <w:pPr>
        <w:rPr>
          <w:rFonts w:ascii="Calibri" w:eastAsia="Times New Roman" w:hAnsi="Calibri" w:cs="Times New Roman"/>
          <w:color w:val="000000"/>
          <w:sz w:val="16"/>
          <w:szCs w:val="16"/>
        </w:rPr>
      </w:pPr>
      <w:r w:rsidRPr="00CB4BAE">
        <w:rPr>
          <w:rFonts w:ascii="Calibri" w:eastAsia="Times New Roman" w:hAnsi="Calibri" w:cs="Times New Roman"/>
          <w:color w:val="000000"/>
          <w:sz w:val="16"/>
          <w:szCs w:val="16"/>
        </w:rPr>
        <w:t xml:space="preserve">All T-stat calculations are based on a significance level of 5%. The sample size is based on </w:t>
      </w:r>
      <w:r>
        <w:rPr>
          <w:rFonts w:ascii="Calibri" w:eastAsia="Times New Roman" w:hAnsi="Calibri" w:cs="Times New Roman"/>
          <w:color w:val="000000"/>
          <w:sz w:val="16"/>
          <w:szCs w:val="16"/>
        </w:rPr>
        <w:t xml:space="preserve">all </w:t>
      </w:r>
      <w:r w:rsidRPr="00CB4BAE">
        <w:rPr>
          <w:rFonts w:ascii="Calibri" w:eastAsia="Times New Roman" w:hAnsi="Calibri" w:cs="Times New Roman"/>
          <w:color w:val="000000"/>
          <w:sz w:val="16"/>
          <w:szCs w:val="16"/>
        </w:rPr>
        <w:t xml:space="preserve">additions </w:t>
      </w:r>
      <w:r>
        <w:rPr>
          <w:rFonts w:ascii="Calibri" w:eastAsia="Times New Roman" w:hAnsi="Calibri" w:cs="Times New Roman"/>
          <w:color w:val="000000"/>
          <w:sz w:val="16"/>
          <w:szCs w:val="16"/>
        </w:rPr>
        <w:t xml:space="preserve">of all countries within the MSCI Emerging Markets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xml:space="preserve">. The beta inclusion stands </w:t>
      </w:r>
      <w:r w:rsidRPr="00CB4BAE">
        <w:rPr>
          <w:rFonts w:ascii="Calibri" w:eastAsia="Times New Roman" w:hAnsi="Calibri" w:cs="Times New Roman"/>
          <w:color w:val="000000"/>
          <w:sz w:val="16"/>
          <w:szCs w:val="16"/>
        </w:rPr>
        <w:t xml:space="preserve">for </w:t>
      </w:r>
      <w:r>
        <w:rPr>
          <w:rFonts w:ascii="Calibri" w:eastAsia="Times New Roman" w:hAnsi="Calibri" w:cs="Times New Roman"/>
          <w:color w:val="000000"/>
          <w:sz w:val="16"/>
          <w:szCs w:val="16"/>
        </w:rPr>
        <w:t xml:space="preserve">the average beta of all stocks for the time-line of 20 days before till one day before the index review change takes place. The beta after inclusion stands for the first </w:t>
      </w:r>
      <w:r w:rsidR="000E4037">
        <w:rPr>
          <w:rFonts w:ascii="Calibri" w:eastAsia="Times New Roman" w:hAnsi="Calibri" w:cs="Times New Roman"/>
          <w:color w:val="000000"/>
          <w:sz w:val="16"/>
          <w:szCs w:val="16"/>
        </w:rPr>
        <w:t xml:space="preserve">day after the implementation of the index changes have taken place. The beta change stands for the difference between Beta before inclusion and Beta after inclusion. Idem for the </w:t>
      </w:r>
      <w:r w:rsidR="00E542D1">
        <w:rPr>
          <w:rFonts w:ascii="Calibri" w:eastAsia="Times New Roman" w:hAnsi="Calibri" w:cs="Times New Roman"/>
          <w:color w:val="000000"/>
          <w:sz w:val="16"/>
          <w:szCs w:val="16"/>
        </w:rPr>
        <w:t xml:space="preserve">Beta </w:t>
      </w:r>
      <w:r w:rsidR="000E4037">
        <w:rPr>
          <w:rFonts w:ascii="Calibri" w:eastAsia="Times New Roman" w:hAnsi="Calibri" w:cs="Times New Roman"/>
          <w:color w:val="000000"/>
          <w:sz w:val="16"/>
          <w:szCs w:val="16"/>
        </w:rPr>
        <w:t>Deletions</w:t>
      </w:r>
      <w:r w:rsidR="00E542D1">
        <w:rPr>
          <w:rFonts w:ascii="Calibri" w:eastAsia="Times New Roman" w:hAnsi="Calibri" w:cs="Times New Roman"/>
          <w:color w:val="000000"/>
          <w:sz w:val="16"/>
          <w:szCs w:val="16"/>
        </w:rPr>
        <w:t xml:space="preserve"> in Panel B</w:t>
      </w:r>
      <w:r w:rsidR="000E4037">
        <w:rPr>
          <w:rFonts w:ascii="Calibri" w:eastAsia="Times New Roman" w:hAnsi="Calibri" w:cs="Times New Roman"/>
          <w:color w:val="000000"/>
          <w:sz w:val="16"/>
          <w:szCs w:val="16"/>
        </w:rPr>
        <w:t>.</w:t>
      </w:r>
    </w:p>
    <w:p w:rsidR="001B1177" w:rsidRDefault="003D440E" w:rsidP="00512E4C">
      <w:pPr>
        <w:rPr>
          <w:lang w:val="en-GB"/>
        </w:rPr>
      </w:pPr>
      <w:r>
        <w:rPr>
          <w:lang w:val="en-GB"/>
        </w:rPr>
        <w:fldChar w:fldCharType="begin"/>
      </w:r>
      <w:r w:rsidR="00B2525D">
        <w:rPr>
          <w:lang w:val="en-GB"/>
        </w:rPr>
        <w:instrText xml:space="preserve"> LINK Excel.Sheet.8 "USB DISK:Thesis:definitieve versies:H 5 Results:Bet MSCI EM_latest version.xlsx!Results!R7C3:R17C10" "" \a \p </w:instrText>
      </w:r>
      <w:r>
        <w:rPr>
          <w:lang w:val="en-GB"/>
        </w:rPr>
        <w:fldChar w:fldCharType="separate"/>
      </w:r>
      <w:r w:rsidR="002C487B" w:rsidRPr="003D440E">
        <w:rPr>
          <w:lang w:val="en-GB"/>
        </w:rPr>
        <w:object w:dxaOrig="12382" w:dyaOrig="3297">
          <v:shape id="_x0000_i1048" type="#_x0000_t75" style="width:420.2pt;height:112.85pt">
            <v:imagedata r:id="rId49" o:title=""/>
          </v:shape>
        </w:object>
      </w:r>
      <w:r>
        <w:rPr>
          <w:lang w:val="en-GB"/>
        </w:rPr>
        <w:fldChar w:fldCharType="end"/>
      </w:r>
      <w:r w:rsidR="001B1177" w:rsidRPr="005F7D66">
        <w:rPr>
          <w:sz w:val="16"/>
          <w:szCs w:val="16"/>
          <w:lang w:val="en-GB"/>
        </w:rPr>
        <w:t>Source: Bet MSCI EM_latest</w:t>
      </w:r>
      <w:r w:rsidR="00A57AE2" w:rsidRPr="005F7D66">
        <w:rPr>
          <w:sz w:val="16"/>
          <w:szCs w:val="16"/>
          <w:lang w:val="en-GB"/>
        </w:rPr>
        <w:t xml:space="preserve"> version.xlsx</w:t>
      </w:r>
    </w:p>
    <w:p w:rsidR="00150E8E" w:rsidRDefault="00150E8E" w:rsidP="00512E4C">
      <w:r>
        <w:t>The results from table 5.3.1. are based on the complete sample of</w:t>
      </w:r>
      <w:r w:rsidR="00EE1204">
        <w:t xml:space="preserve"> </w:t>
      </w:r>
      <w:r>
        <w:t>633 stock additions that entered the index</w:t>
      </w:r>
      <w:r w:rsidR="00EE1204">
        <w:t xml:space="preserve"> </w:t>
      </w:r>
      <w:r>
        <w:t>in the period of 2004 till 2010.</w:t>
      </w:r>
      <w:r w:rsidR="00EE1204">
        <w:t xml:space="preserve"> </w:t>
      </w:r>
      <w:r>
        <w:t xml:space="preserve">These 633 additions are the sum of all stocks of all countries that were added to the MSCI EM due to index review between 2004 and 2010. </w:t>
      </w:r>
    </w:p>
    <w:p w:rsidR="00150E8E" w:rsidRDefault="00A80949" w:rsidP="00512E4C">
      <w:r>
        <w:t>The beta change on additions to the MS</w:t>
      </w:r>
      <w:r w:rsidR="00CA6ED6">
        <w:t>C</w:t>
      </w:r>
      <w:r>
        <w:t>I Emerging Markets showed a decrease</w:t>
      </w:r>
      <w:r w:rsidR="009B26F3">
        <w:t xml:space="preserve"> of -0.0</w:t>
      </w:r>
      <w:r>
        <w:t>4, although this result is not significant, they do not support the results found in prior research done on S&amp;P 500 and Nikkei</w:t>
      </w:r>
      <w:r w:rsidR="008B1669">
        <w:t xml:space="preserve"> 225 index.</w:t>
      </w:r>
    </w:p>
    <w:p w:rsidR="00512E4C" w:rsidRDefault="008B1669" w:rsidP="00512E4C">
      <w:r>
        <w:t>Panel B in the same table shows the results on all deletions from the MSCI Emerging markets for the period from 2004 till 2010.</w:t>
      </w:r>
      <w:r w:rsidR="00EE1204">
        <w:t xml:space="preserve"> </w:t>
      </w:r>
      <w:r>
        <w:t xml:space="preserve">The beta change shows </w:t>
      </w:r>
      <w:r w:rsidR="00B2525D">
        <w:t xml:space="preserve">a significant </w:t>
      </w:r>
      <w:r w:rsidR="009B26F3">
        <w:t xml:space="preserve">increase of 0.10 </w:t>
      </w:r>
      <w:r>
        <w:t>for the deletions.</w:t>
      </w:r>
      <w:r w:rsidR="00243982">
        <w:t xml:space="preserve"> </w:t>
      </w:r>
      <w:r>
        <w:t>T</w:t>
      </w:r>
      <w:r w:rsidR="009B26F3">
        <w:t xml:space="preserve">hese </w:t>
      </w:r>
      <w:r w:rsidR="00B2525D">
        <w:t xml:space="preserve">results </w:t>
      </w:r>
      <w:r>
        <w:t xml:space="preserve">are </w:t>
      </w:r>
      <w:r w:rsidR="00061F05">
        <w:t>dissimilar</w:t>
      </w:r>
      <w:r>
        <w:t xml:space="preserve"> </w:t>
      </w:r>
      <w:r w:rsidR="00061F05">
        <w:t>to</w:t>
      </w:r>
      <w:r>
        <w:t xml:space="preserve"> those of Barberis et al (2002) and Vijh (1994) who both experienced a beta decrease for stocks that were deleted from the index.</w:t>
      </w:r>
      <w:r w:rsidR="00881052">
        <w:t xml:space="preserve"> </w:t>
      </w:r>
    </w:p>
    <w:p w:rsidR="00CF50CF" w:rsidRDefault="00CF50CF" w:rsidP="00512E4C">
      <w:r>
        <w:t>The beta decrease on the additions to the MSCI Emerging Markets was a surprising outcome. This could indicate that there are no signs of a Category based or Habitat based model</w:t>
      </w:r>
      <w:r w:rsidR="006A688B">
        <w:t xml:space="preserve"> from Barberis et al.(2002)</w:t>
      </w:r>
      <w:r>
        <w:t xml:space="preserve">, were increased co-movement could be caused by trading actions of index funds. Since this study did not </w:t>
      </w:r>
      <w:r w:rsidR="006A688B">
        <w:t>analyze</w:t>
      </w:r>
      <w:r>
        <w:t xml:space="preserve"> the trading volume of the days around the index reviews this </w:t>
      </w:r>
      <w:r w:rsidR="006A688B">
        <w:t>answer is only an assumption.</w:t>
      </w:r>
    </w:p>
    <w:p w:rsidR="009548C3" w:rsidRDefault="009548C3" w:rsidP="00512E4C">
      <w:r>
        <w:t>A possible reason for the increased beta changes for deleted stocks is the investors’ awareness explained by Hacibedel</w:t>
      </w:r>
      <w:r w:rsidR="0052522B">
        <w:t xml:space="preserve"> </w:t>
      </w:r>
      <w:r>
        <w:t xml:space="preserve">(2007). </w:t>
      </w:r>
      <w:r w:rsidR="0052522B">
        <w:t xml:space="preserve">She mentions that the information transparency for Emerging markets is much less than for developed markets. If a stock enters the index is becomes visible to investors. Stocks entering the MSCI Emerging markets or other indices must comply with certain rules and regulations. </w:t>
      </w:r>
      <w:r>
        <w:t xml:space="preserve"> A stock deleted from the index might </w:t>
      </w:r>
      <w:r w:rsidR="0052522B">
        <w:t xml:space="preserve">then </w:t>
      </w:r>
      <w:r>
        <w:t>not necessarily be a bad stock, the decrease of market cap of a sto</w:t>
      </w:r>
      <w:r w:rsidR="0052522B">
        <w:t>ck might already be a reason based on regulations and rules,</w:t>
      </w:r>
      <w:r>
        <w:t xml:space="preserve"> to remove the stock from the index.  For some investment strategi</w:t>
      </w:r>
      <w:r w:rsidR="0052522B">
        <w:t xml:space="preserve">es this stock might still be an attractive investment opportunity, or a stock to keep in their portfolio. </w:t>
      </w:r>
    </w:p>
    <w:p w:rsidR="002C36A3" w:rsidRDefault="00881052" w:rsidP="00512E4C">
      <w:r>
        <w:t xml:space="preserve">Next to the results on change in beta for the MSCI Emerging markets index this study also </w:t>
      </w:r>
      <w:r w:rsidR="00243982">
        <w:t xml:space="preserve">studied </w:t>
      </w:r>
      <w:r w:rsidR="00214016">
        <w:t xml:space="preserve">the beta change of </w:t>
      </w:r>
      <w:r w:rsidR="00243982">
        <w:t xml:space="preserve">the same </w:t>
      </w:r>
      <w:r w:rsidR="00214016">
        <w:t>four individual c</w:t>
      </w:r>
      <w:r w:rsidR="00243982">
        <w:t>ountries that were mentioned</w:t>
      </w:r>
      <w:r w:rsidR="00214016">
        <w:t xml:space="preserve"> the previous paragraph. </w:t>
      </w:r>
    </w:p>
    <w:p w:rsidR="005C6703" w:rsidRDefault="00170F9D" w:rsidP="00170F9D">
      <w:pPr>
        <w:pStyle w:val="Heading3"/>
      </w:pPr>
      <w:r>
        <w:t>Beta Change on Additions for Brazil, Turkey, India and China</w:t>
      </w:r>
    </w:p>
    <w:p w:rsidR="00494893" w:rsidRDefault="0080123C" w:rsidP="00512E4C">
      <w:r>
        <w:t xml:space="preserve">In this </w:t>
      </w:r>
      <w:r w:rsidR="00077400">
        <w:t>paragraph the</w:t>
      </w:r>
      <w:r>
        <w:t xml:space="preserve"> beta of stocks from before the inclusion in to the index will be compared with </w:t>
      </w:r>
      <w:r w:rsidR="006A4EA2">
        <w:t xml:space="preserve">the </w:t>
      </w:r>
      <w:r>
        <w:t>beta of stocks after the inclusion in to index. Different th</w:t>
      </w:r>
      <w:r w:rsidR="006A4EA2">
        <w:t>a</w:t>
      </w:r>
      <w:r>
        <w:t xml:space="preserve">n in the previous paragraph the </w:t>
      </w:r>
      <w:r w:rsidR="00077400">
        <w:t xml:space="preserve">sample </w:t>
      </w:r>
      <w:r w:rsidR="006A4EA2">
        <w:t xml:space="preserve">size </w:t>
      </w:r>
      <w:r w:rsidR="00077400">
        <w:t>of the added stocks comes from</w:t>
      </w:r>
      <w:r>
        <w:t xml:space="preserve"> one country</w:t>
      </w:r>
      <w:r w:rsidR="00077400">
        <w:t xml:space="preserve">. Meaning that each table only consists of stocks related to Brazil or Turkey or India or China. </w:t>
      </w:r>
      <w:r w:rsidR="00B47827">
        <w:t xml:space="preserve">The </w:t>
      </w:r>
      <w:r w:rsidR="00077400">
        <w:t xml:space="preserve">time line for the </w:t>
      </w:r>
      <w:r w:rsidR="00B47827">
        <w:t>pre-</w:t>
      </w:r>
      <w:r w:rsidR="00077400">
        <w:t>event and a post event window remains the same.</w:t>
      </w:r>
      <w:r w:rsidR="00B47827">
        <w:t xml:space="preserve"> </w:t>
      </w:r>
    </w:p>
    <w:p w:rsidR="00B47827" w:rsidRDefault="00494893" w:rsidP="00512E4C">
      <w:r>
        <w:t>The next t</w:t>
      </w:r>
      <w:r w:rsidR="00B47827">
        <w:t>able show</w:t>
      </w:r>
      <w:r>
        <w:t>s</w:t>
      </w:r>
      <w:r w:rsidR="00B47827">
        <w:t xml:space="preserve"> the results on </w:t>
      </w:r>
      <w:r w:rsidR="00F15FE1">
        <w:t>the beta changes f</w:t>
      </w:r>
      <w:r>
        <w:t>rom Brazil</w:t>
      </w:r>
      <w:r w:rsidR="006A4EA2">
        <w:t>ian stocks</w:t>
      </w:r>
      <w:r>
        <w:t xml:space="preserve">, based on the additions from </w:t>
      </w:r>
      <w:r w:rsidR="005552D7">
        <w:t xml:space="preserve">index review from </w:t>
      </w:r>
      <w:r>
        <w:t>the MSCI</w:t>
      </w:r>
      <w:r w:rsidR="005552D7">
        <w:t xml:space="preserve"> BARRA</w:t>
      </w:r>
      <w:r w:rsidR="00F15FE1">
        <w:t>.</w:t>
      </w:r>
      <w:r>
        <w:t xml:space="preserve"> The</w:t>
      </w:r>
      <w:r w:rsidR="005552D7">
        <w:t xml:space="preserve">se Brazilian </w:t>
      </w:r>
      <w:r>
        <w:t>additions are compared to the</w:t>
      </w:r>
      <w:r w:rsidR="005552D7">
        <w:t xml:space="preserve"> MSCI Emerging Markets </w:t>
      </w:r>
      <w:r w:rsidR="004F2B2B">
        <w:t>index,</w:t>
      </w:r>
      <w:r>
        <w:t xml:space="preserve"> MSCI Brazil index</w:t>
      </w:r>
      <w:r w:rsidR="00EE1204">
        <w:t xml:space="preserve"> </w:t>
      </w:r>
      <w:r>
        <w:t xml:space="preserve">and the HSBC Brazil index. This </w:t>
      </w:r>
      <w:r w:rsidR="00CA1D07">
        <w:t xml:space="preserve">comparison is made </w:t>
      </w:r>
      <w:r>
        <w:t xml:space="preserve">to determine if </w:t>
      </w:r>
      <w:r w:rsidR="004F2B2B">
        <w:t>it makes a difference</w:t>
      </w:r>
      <w:r w:rsidR="00CA1D07">
        <w:t xml:space="preserve">, when </w:t>
      </w:r>
      <w:r w:rsidR="004F2B2B">
        <w:t>investors focus</w:t>
      </w:r>
      <w:r w:rsidR="00CA1D07">
        <w:t xml:space="preserve"> on different indices.</w:t>
      </w:r>
      <w:r w:rsidR="00724859">
        <w:t xml:space="preserve"> The Beta results on Emerging markets index in the next tables, is not the same </w:t>
      </w:r>
      <w:r w:rsidR="00370613">
        <w:t xml:space="preserve">sample size as </w:t>
      </w:r>
      <w:r w:rsidR="006A4EA2">
        <w:t xml:space="preserve">for </w:t>
      </w:r>
      <w:r w:rsidR="00370613">
        <w:t xml:space="preserve">the original research done in the prior </w:t>
      </w:r>
      <w:r w:rsidR="006A4EA2">
        <w:t xml:space="preserve">paragraph. </w:t>
      </w:r>
    </w:p>
    <w:p w:rsidR="00214016" w:rsidRDefault="00214016" w:rsidP="00512E4C">
      <w:pPr>
        <w:rPr>
          <w:b/>
          <w:lang w:val="en-GB"/>
        </w:rPr>
      </w:pPr>
      <w:r>
        <w:rPr>
          <w:b/>
          <w:lang w:val="en-GB"/>
        </w:rPr>
        <w:t>TABLE 5.3.</w:t>
      </w:r>
      <w:r w:rsidR="000947BF">
        <w:rPr>
          <w:b/>
          <w:lang w:val="en-GB"/>
        </w:rPr>
        <w:t>2</w:t>
      </w:r>
      <w:r>
        <w:rPr>
          <w:b/>
          <w:lang w:val="en-GB"/>
        </w:rPr>
        <w:t xml:space="preserve">. Beta results on </w:t>
      </w:r>
      <w:r w:rsidR="00A21876">
        <w:rPr>
          <w:b/>
          <w:lang w:val="en-GB"/>
        </w:rPr>
        <w:t>a C</w:t>
      </w:r>
      <w:r w:rsidR="00322730">
        <w:rPr>
          <w:b/>
          <w:lang w:val="en-GB"/>
        </w:rPr>
        <w:t>ountry level</w:t>
      </w:r>
    </w:p>
    <w:p w:rsidR="00C251F1" w:rsidRPr="00C251F1" w:rsidRDefault="00C251F1" w:rsidP="00512E4C">
      <w:pPr>
        <w:rPr>
          <w:rFonts w:ascii="Calibri" w:eastAsia="Times New Roman" w:hAnsi="Calibri" w:cs="Times New Roman"/>
          <w:color w:val="000000"/>
          <w:sz w:val="16"/>
          <w:szCs w:val="16"/>
        </w:rPr>
      </w:pPr>
      <w:r w:rsidRPr="00CB4BAE">
        <w:rPr>
          <w:rFonts w:ascii="Calibri" w:eastAsia="Times New Roman" w:hAnsi="Calibri" w:cs="Times New Roman"/>
          <w:color w:val="000000"/>
          <w:sz w:val="16"/>
          <w:szCs w:val="16"/>
        </w:rPr>
        <w:t xml:space="preserve">All T-stat calculations are based on a significance level of 5%. The sample size is based on </w:t>
      </w:r>
      <w:r>
        <w:rPr>
          <w:rFonts w:ascii="Calibri" w:eastAsia="Times New Roman" w:hAnsi="Calibri" w:cs="Times New Roman"/>
          <w:color w:val="000000"/>
          <w:sz w:val="16"/>
          <w:szCs w:val="16"/>
        </w:rPr>
        <w:t xml:space="preserve">stock </w:t>
      </w:r>
      <w:r w:rsidRPr="00CB4BAE">
        <w:rPr>
          <w:rFonts w:ascii="Calibri" w:eastAsia="Times New Roman" w:hAnsi="Calibri" w:cs="Times New Roman"/>
          <w:color w:val="000000"/>
          <w:sz w:val="16"/>
          <w:szCs w:val="16"/>
        </w:rPr>
        <w:t xml:space="preserve">additions </w:t>
      </w:r>
      <w:r>
        <w:rPr>
          <w:rFonts w:ascii="Calibri" w:eastAsia="Times New Roman" w:hAnsi="Calibri" w:cs="Times New Roman"/>
          <w:color w:val="000000"/>
          <w:sz w:val="16"/>
          <w:szCs w:val="16"/>
        </w:rPr>
        <w:t xml:space="preserve">from Brazil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xml:space="preserve">. The beta inclusion stands </w:t>
      </w:r>
      <w:r w:rsidRPr="00CB4BAE">
        <w:rPr>
          <w:rFonts w:ascii="Calibri" w:eastAsia="Times New Roman" w:hAnsi="Calibri" w:cs="Times New Roman"/>
          <w:color w:val="000000"/>
          <w:sz w:val="16"/>
          <w:szCs w:val="16"/>
        </w:rPr>
        <w:t xml:space="preserve">for </w:t>
      </w:r>
      <w:r>
        <w:rPr>
          <w:rFonts w:ascii="Calibri" w:eastAsia="Times New Roman" w:hAnsi="Calibri" w:cs="Times New Roman"/>
          <w:color w:val="000000"/>
          <w:sz w:val="16"/>
          <w:szCs w:val="16"/>
        </w:rPr>
        <w:t>the average beta of all stocks for the time-line of 20 days before till one day before the index review change takes place. The beta after inclusion stands for the first day after the implementation of the index changes have taken place. The beta change stands for the difference between Beta before inclusion and Beta after inclusion. The Brazilian</w:t>
      </w:r>
      <w:r w:rsidR="00322730">
        <w:rPr>
          <w:rFonts w:ascii="Calibri" w:eastAsia="Times New Roman" w:hAnsi="Calibri" w:cs="Times New Roman"/>
          <w:color w:val="000000"/>
          <w:sz w:val="16"/>
          <w:szCs w:val="16"/>
        </w:rPr>
        <w:t>, Turkish, Indian or Chinese</w:t>
      </w:r>
      <w:r>
        <w:rPr>
          <w:rFonts w:ascii="Calibri" w:eastAsia="Times New Roman" w:hAnsi="Calibri" w:cs="Times New Roman"/>
          <w:color w:val="000000"/>
          <w:sz w:val="16"/>
          <w:szCs w:val="16"/>
        </w:rPr>
        <w:t xml:space="preserve"> additions are compared against, index data from the MSCI Emerging Markets, MSCI </w:t>
      </w:r>
      <w:r w:rsidR="00322730">
        <w:rPr>
          <w:rFonts w:ascii="Calibri" w:eastAsia="Times New Roman" w:hAnsi="Calibri" w:cs="Times New Roman"/>
          <w:color w:val="000000"/>
          <w:sz w:val="16"/>
          <w:szCs w:val="16"/>
        </w:rPr>
        <w:t>Country</w:t>
      </w:r>
      <w:r w:rsidR="00A21876">
        <w:rPr>
          <w:rFonts w:ascii="Calibri" w:eastAsia="Times New Roman" w:hAnsi="Calibri" w:cs="Times New Roman"/>
          <w:color w:val="000000"/>
          <w:sz w:val="16"/>
          <w:szCs w:val="16"/>
        </w:rPr>
        <w:t xml:space="preserve"> index</w:t>
      </w:r>
      <w:r>
        <w:rPr>
          <w:rFonts w:ascii="Calibri" w:eastAsia="Times New Roman" w:hAnsi="Calibri" w:cs="Times New Roman"/>
          <w:color w:val="000000"/>
          <w:sz w:val="16"/>
          <w:szCs w:val="16"/>
        </w:rPr>
        <w:t xml:space="preserve"> and the HSBC </w:t>
      </w:r>
      <w:r w:rsidR="00322730">
        <w:rPr>
          <w:rFonts w:ascii="Calibri" w:eastAsia="Times New Roman" w:hAnsi="Calibri" w:cs="Times New Roman"/>
          <w:color w:val="000000"/>
          <w:sz w:val="16"/>
          <w:szCs w:val="16"/>
        </w:rPr>
        <w:t>Country</w:t>
      </w:r>
      <w:r w:rsidR="00A21876">
        <w:rPr>
          <w:rFonts w:ascii="Calibri" w:eastAsia="Times New Roman" w:hAnsi="Calibri" w:cs="Times New Roman"/>
          <w:color w:val="000000"/>
          <w:sz w:val="16"/>
          <w:szCs w:val="16"/>
        </w:rPr>
        <w:t xml:space="preserve"> index</w:t>
      </w:r>
    </w:p>
    <w:p w:rsidR="00373003" w:rsidRDefault="003D440E" w:rsidP="00512E4C">
      <w:r>
        <w:fldChar w:fldCharType="begin"/>
      </w:r>
      <w:r>
        <w:instrText xml:space="preserve"> LINK Excel.Sheet.8 "Macintosh HD:Users:merilinsimons:Scriptie:goedgekeurde resultaten:Chapter 5 Results:Beta_BR_IN_CN_TR_20121110.xlsx!results!R13C4:R18C11" "" \a \p </w:instrText>
      </w:r>
      <w:r>
        <w:fldChar w:fldCharType="separate"/>
      </w:r>
      <w:r>
        <w:object w:dxaOrig="12520" w:dyaOrig="1820">
          <v:shape id="_x0000_i1049" type="#_x0000_t75" style="width:473.35pt;height:69.85pt">
            <v:imagedata r:id="rId50" o:title=""/>
          </v:shape>
        </w:object>
      </w:r>
      <w:r>
        <w:fldChar w:fldCharType="end"/>
      </w:r>
    </w:p>
    <w:p w:rsidR="00373003" w:rsidRDefault="003D440E" w:rsidP="00512E4C">
      <w:r>
        <w:fldChar w:fldCharType="begin"/>
      </w:r>
      <w:r>
        <w:instrText xml:space="preserve"> LINK Excel.Sheet.8 "Macintosh HD:Users:merilinsimons:Scriptie:goedgekeurde resultaten:Chapter 5 Results:Beta_BR_IN_CN_TR_20121110.xlsx!results!R21C4:R26C11" "" \a \p </w:instrText>
      </w:r>
      <w:r>
        <w:fldChar w:fldCharType="separate"/>
      </w:r>
      <w:r>
        <w:object w:dxaOrig="12520" w:dyaOrig="1820">
          <v:shape id="_x0000_i1050" type="#_x0000_t75" style="width:464.25pt;height:67.15pt">
            <v:imagedata r:id="rId51" o:title=""/>
          </v:shape>
        </w:object>
      </w:r>
      <w:r>
        <w:fldChar w:fldCharType="end"/>
      </w:r>
      <w:r w:rsidR="009F08FD" w:rsidRPr="009F08FD">
        <w:rPr>
          <w:sz w:val="16"/>
          <w:szCs w:val="16"/>
        </w:rPr>
        <w:t xml:space="preserve"> </w:t>
      </w:r>
    </w:p>
    <w:p w:rsidR="001A3912" w:rsidRDefault="003D440E" w:rsidP="00322730">
      <w:r>
        <w:fldChar w:fldCharType="begin"/>
      </w:r>
      <w:r>
        <w:instrText xml:space="preserve"> LINK Excel.Sheet.8 "Macintosh HD:Users:merilinsimons:Scriptie:goedgekeurde resultaten:Chapter 5 Results:Beta_BR_IN_CN_TR_20121110.xlsx!results!R29C4:R34C11" "" \a \p </w:instrText>
      </w:r>
      <w:r>
        <w:fldChar w:fldCharType="separate"/>
      </w:r>
      <w:r>
        <w:object w:dxaOrig="12520" w:dyaOrig="1820">
          <v:shape id="_x0000_i1051" type="#_x0000_t75" style="width:468pt;height:69.85pt">
            <v:imagedata r:id="rId52" o:title=""/>
          </v:shape>
        </w:object>
      </w:r>
      <w:r>
        <w:fldChar w:fldCharType="end"/>
      </w:r>
    </w:p>
    <w:p w:rsidR="00170F9D" w:rsidRDefault="003D440E" w:rsidP="00512E4C">
      <w:r>
        <w:fldChar w:fldCharType="begin"/>
      </w:r>
      <w:r>
        <w:instrText xml:space="preserve"> LINK Excel.Sheet.8 "Macintosh HD:Users:merilinsimons:Scriptie:goedgekeurde resultaten:Chapter 5 Results:Beta_BR_IN_CN_TR_20121110.xlsx!results!R37C4:R42C11" "" \a \p </w:instrText>
      </w:r>
      <w:r>
        <w:fldChar w:fldCharType="separate"/>
      </w:r>
      <w:r>
        <w:object w:dxaOrig="12520" w:dyaOrig="1820">
          <v:shape id="_x0000_i1052" type="#_x0000_t75" style="width:473.35pt;height:69.85pt">
            <v:imagedata r:id="rId53" o:title=""/>
          </v:shape>
        </w:object>
      </w:r>
      <w:r>
        <w:fldChar w:fldCharType="end"/>
      </w:r>
      <w:r w:rsidR="009F08FD" w:rsidRPr="009F08FD">
        <w:rPr>
          <w:sz w:val="16"/>
          <w:szCs w:val="16"/>
        </w:rPr>
        <w:t xml:space="preserve"> </w:t>
      </w:r>
      <w:r w:rsidR="009F08FD">
        <w:rPr>
          <w:sz w:val="16"/>
          <w:szCs w:val="16"/>
        </w:rPr>
        <w:t>Source: B</w:t>
      </w:r>
      <w:r w:rsidR="009F08FD" w:rsidRPr="00C82BDD">
        <w:rPr>
          <w:sz w:val="16"/>
          <w:szCs w:val="16"/>
        </w:rPr>
        <w:t>eta_BR_IN_CN_TR_201211</w:t>
      </w:r>
      <w:r w:rsidR="009F08FD">
        <w:rPr>
          <w:sz w:val="16"/>
          <w:szCs w:val="16"/>
        </w:rPr>
        <w:t>1</w:t>
      </w:r>
      <w:r w:rsidR="009F08FD" w:rsidRPr="00C82BDD">
        <w:rPr>
          <w:sz w:val="16"/>
          <w:szCs w:val="16"/>
        </w:rPr>
        <w:t>0.xlsx</w:t>
      </w:r>
    </w:p>
    <w:p w:rsidR="000F5A2F" w:rsidRPr="008E422F" w:rsidRDefault="000F5A2F" w:rsidP="000F5A2F">
      <w:pPr>
        <w:rPr>
          <w:b/>
        </w:rPr>
      </w:pPr>
      <w:r w:rsidRPr="008E422F">
        <w:rPr>
          <w:b/>
        </w:rPr>
        <w:t>Brazil</w:t>
      </w:r>
    </w:p>
    <w:p w:rsidR="000F5A2F" w:rsidRDefault="000F5A2F" w:rsidP="000F5A2F">
      <w:r>
        <w:t>A total amount of 67 Brazilian stocks was added to the MSCI Emerging market index during the period of 2004 till 2010.</w:t>
      </w:r>
    </w:p>
    <w:p w:rsidR="000F5A2F" w:rsidRDefault="000F5A2F" w:rsidP="000F5A2F">
      <w:r>
        <w:t>For Brazilian stocks compared to the MSCI Emerging Markets, the beta change showed an insignificant increase of 0.06. When the same additions were then compared to the MSCI Brazil index, the beta showed a decrease of -0.02. The comparison with the HSBC index showed a beta increase of 0.05, which was in line with the results of the MSCI Emerging Markets index.</w:t>
      </w:r>
    </w:p>
    <w:p w:rsidR="000F5A2F" w:rsidRPr="008E422F" w:rsidRDefault="000F5A2F" w:rsidP="000F5A2F">
      <w:pPr>
        <w:rPr>
          <w:b/>
        </w:rPr>
      </w:pPr>
      <w:r w:rsidRPr="008E422F">
        <w:rPr>
          <w:b/>
        </w:rPr>
        <w:t>Turkey</w:t>
      </w:r>
    </w:p>
    <w:p w:rsidR="000F5A2F" w:rsidRDefault="000F5A2F" w:rsidP="000F5A2F">
      <w:r>
        <w:t>The Turkish stocks showed an insignificant decrease in beta of around -0.20 for all three indices, indicating to be inline with the results as shown in table 5.3.1 from the on all additions compared to the MSCI Emerging markets index.</w:t>
      </w:r>
    </w:p>
    <w:p w:rsidR="000F5A2F" w:rsidRPr="008E422F" w:rsidRDefault="000F5A2F" w:rsidP="000F5A2F">
      <w:pPr>
        <w:rPr>
          <w:b/>
        </w:rPr>
      </w:pPr>
      <w:r w:rsidRPr="008E422F">
        <w:rPr>
          <w:b/>
        </w:rPr>
        <w:t>India</w:t>
      </w:r>
    </w:p>
    <w:p w:rsidR="000F5A2F" w:rsidRDefault="000F5A2F" w:rsidP="000F5A2F">
      <w:r>
        <w:t xml:space="preserve">For the Indian stocks compared to the MSCI Emerging Markets, the beta change showed an insignificant decrease of -0.08. After comparing the same additions to the MSCI India index, the beta change showed an increase of 0.05. This positive result was supported by the results of the HSBC India index that also showed positive beta change of 0.02. The positive beta change from the MSCI India index and HSBC India, although not significant, support the results of Parthasarathy’s (2011) study on the S&amp;P CNX Nifty index. </w:t>
      </w:r>
    </w:p>
    <w:p w:rsidR="000F5A2F" w:rsidRPr="008E422F" w:rsidRDefault="000F5A2F" w:rsidP="000F5A2F">
      <w:pPr>
        <w:rPr>
          <w:b/>
        </w:rPr>
      </w:pPr>
      <w:r w:rsidRPr="008E422F">
        <w:rPr>
          <w:b/>
        </w:rPr>
        <w:t>China</w:t>
      </w:r>
    </w:p>
    <w:p w:rsidR="000F5A2F" w:rsidRPr="008E422F" w:rsidRDefault="000F5A2F" w:rsidP="008E422F">
      <w:r>
        <w:t>The beta change of Chinese stocks compared over the period before they were included and after the inclusion showed for all three indices decrease of respectively -0.14 for the MSCI EM, -0.08 for the MSCI China and -0.02 for the HSBC China. These results were although not significant, inline with the results showed in table 5.3.1. on the MSCI Emerging Markets index. The result on China and Turkey experienced both a decrease for on all indices.</w:t>
      </w:r>
    </w:p>
    <w:p w:rsidR="002E558A" w:rsidRDefault="005C6703" w:rsidP="005C6703">
      <w:pPr>
        <w:pStyle w:val="Heading3"/>
      </w:pPr>
      <w:r>
        <w:rPr>
          <w:lang w:val="en-GB"/>
        </w:rPr>
        <w:t xml:space="preserve">Beta change </w:t>
      </w:r>
      <w:r w:rsidRPr="00CA1DDF">
        <w:rPr>
          <w:lang w:val="en-GB"/>
        </w:rPr>
        <w:t>on</w:t>
      </w:r>
      <w:r>
        <w:rPr>
          <w:lang w:val="en-GB"/>
        </w:rPr>
        <w:t xml:space="preserve"> deletions</w:t>
      </w:r>
      <w:r w:rsidRPr="00CA1DDF">
        <w:rPr>
          <w:lang w:val="en-GB"/>
        </w:rPr>
        <w:t xml:space="preserve"> </w:t>
      </w:r>
      <w:r>
        <w:rPr>
          <w:lang w:val="en-GB"/>
        </w:rPr>
        <w:t>from Brazil, Turkey, India and China</w:t>
      </w:r>
    </w:p>
    <w:p w:rsidR="00B20B72" w:rsidRDefault="00B20B72" w:rsidP="00512E4C">
      <w:r>
        <w:t>To calculate the beta change of the deletions on a country level, the same methodology as for the additions was used.</w:t>
      </w:r>
    </w:p>
    <w:p w:rsidR="00B20B72" w:rsidRDefault="00B20B72" w:rsidP="00512E4C">
      <w:pPr>
        <w:rPr>
          <w:b/>
          <w:lang w:val="en-GB"/>
        </w:rPr>
      </w:pPr>
      <w:r>
        <w:rPr>
          <w:b/>
          <w:lang w:val="en-GB"/>
        </w:rPr>
        <w:t>TABLE 5.3.</w:t>
      </w:r>
      <w:r w:rsidR="00B063C6">
        <w:rPr>
          <w:b/>
          <w:lang w:val="en-GB"/>
        </w:rPr>
        <w:t>3</w:t>
      </w:r>
      <w:r>
        <w:rPr>
          <w:b/>
          <w:lang w:val="en-GB"/>
        </w:rPr>
        <w:t xml:space="preserve">. Beta results on deletions </w:t>
      </w:r>
      <w:r w:rsidR="00A21876">
        <w:rPr>
          <w:b/>
          <w:lang w:val="en-GB"/>
        </w:rPr>
        <w:t>on a C</w:t>
      </w:r>
      <w:r w:rsidR="008E422F">
        <w:rPr>
          <w:b/>
          <w:lang w:val="en-GB"/>
        </w:rPr>
        <w:t>ountry level</w:t>
      </w:r>
    </w:p>
    <w:p w:rsidR="001A3912" w:rsidRDefault="001A3912" w:rsidP="00512E4C">
      <w:r w:rsidRPr="00CB4BAE">
        <w:rPr>
          <w:rFonts w:ascii="Calibri" w:eastAsia="Times New Roman" w:hAnsi="Calibri" w:cs="Times New Roman"/>
          <w:color w:val="000000"/>
          <w:sz w:val="16"/>
          <w:szCs w:val="16"/>
        </w:rPr>
        <w:t xml:space="preserve">All T-stat calculations are based on a significance level of 5%. The sample size is based on </w:t>
      </w:r>
      <w:r>
        <w:rPr>
          <w:rFonts w:ascii="Calibri" w:eastAsia="Times New Roman" w:hAnsi="Calibri" w:cs="Times New Roman"/>
          <w:color w:val="000000"/>
          <w:sz w:val="16"/>
          <w:szCs w:val="16"/>
        </w:rPr>
        <w:t>stock deletions</w:t>
      </w:r>
      <w:r w:rsidRPr="00CB4BAE">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 xml:space="preserve">from Brazil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xml:space="preserve">. The beta exclusion stands </w:t>
      </w:r>
      <w:r w:rsidRPr="00CB4BAE">
        <w:rPr>
          <w:rFonts w:ascii="Calibri" w:eastAsia="Times New Roman" w:hAnsi="Calibri" w:cs="Times New Roman"/>
          <w:color w:val="000000"/>
          <w:sz w:val="16"/>
          <w:szCs w:val="16"/>
        </w:rPr>
        <w:t xml:space="preserve">for </w:t>
      </w:r>
      <w:r>
        <w:rPr>
          <w:rFonts w:ascii="Calibri" w:eastAsia="Times New Roman" w:hAnsi="Calibri" w:cs="Times New Roman"/>
          <w:color w:val="000000"/>
          <w:sz w:val="16"/>
          <w:szCs w:val="16"/>
        </w:rPr>
        <w:t>the average beta of all stocks for the time-line of 20 days before till one day before the index review change takes place. The beta after exclusion stands for the first day after the implementation of the index changes have taken place. The beta change stands for the difference between Beta before exclusion and Beta after exclusion. The Brazilian</w:t>
      </w:r>
      <w:r w:rsidR="00A21876">
        <w:rPr>
          <w:rFonts w:ascii="Calibri" w:eastAsia="Times New Roman" w:hAnsi="Calibri" w:cs="Times New Roman"/>
          <w:color w:val="000000"/>
          <w:sz w:val="16"/>
          <w:szCs w:val="16"/>
        </w:rPr>
        <w:t>, Turkish, Indian, or Chinese</w:t>
      </w:r>
      <w:r>
        <w:rPr>
          <w:rFonts w:ascii="Calibri" w:eastAsia="Times New Roman" w:hAnsi="Calibri" w:cs="Times New Roman"/>
          <w:color w:val="000000"/>
          <w:sz w:val="16"/>
          <w:szCs w:val="16"/>
        </w:rPr>
        <w:t xml:space="preserve"> deletions are compared against, index data from the MSCI Emerging Markets, MSCI </w:t>
      </w:r>
      <w:r w:rsidR="00A21876">
        <w:rPr>
          <w:rFonts w:ascii="Calibri" w:eastAsia="Times New Roman" w:hAnsi="Calibri" w:cs="Times New Roman"/>
          <w:color w:val="000000"/>
          <w:sz w:val="16"/>
          <w:szCs w:val="16"/>
        </w:rPr>
        <w:t xml:space="preserve">Country index </w:t>
      </w:r>
      <w:r>
        <w:rPr>
          <w:rFonts w:ascii="Calibri" w:eastAsia="Times New Roman" w:hAnsi="Calibri" w:cs="Times New Roman"/>
          <w:color w:val="000000"/>
          <w:sz w:val="16"/>
          <w:szCs w:val="16"/>
        </w:rPr>
        <w:t xml:space="preserve">and the HSBC </w:t>
      </w:r>
      <w:r w:rsidR="00A21876">
        <w:rPr>
          <w:rFonts w:ascii="Calibri" w:eastAsia="Times New Roman" w:hAnsi="Calibri" w:cs="Times New Roman"/>
          <w:color w:val="000000"/>
          <w:sz w:val="16"/>
          <w:szCs w:val="16"/>
        </w:rPr>
        <w:t>Country index</w:t>
      </w:r>
      <w:r>
        <w:rPr>
          <w:rFonts w:ascii="Calibri" w:eastAsia="Times New Roman" w:hAnsi="Calibri" w:cs="Times New Roman"/>
          <w:color w:val="000000"/>
          <w:sz w:val="16"/>
          <w:szCs w:val="16"/>
        </w:rPr>
        <w:t>.</w:t>
      </w:r>
    </w:p>
    <w:p w:rsidR="005D6FC1" w:rsidRDefault="003D440E" w:rsidP="00512E4C">
      <w:r>
        <w:fldChar w:fldCharType="begin"/>
      </w:r>
      <w:r>
        <w:instrText xml:space="preserve"> LINK Excel.Sheet.8 "Macintosh HD:Users:merilinsimons:Scriptie:goedgekeurde resultaten:Chapter 5 Results:Beta_BR_IN_CN_TR_20121110.xlsx!results!R13C16:R18C23" "" \a \p </w:instrText>
      </w:r>
      <w:r>
        <w:fldChar w:fldCharType="separate"/>
      </w:r>
      <w:r>
        <w:object w:dxaOrig="12280" w:dyaOrig="1820">
          <v:shape id="_x0000_i1053" type="#_x0000_t75" style="width:470.7pt;height:69.85pt">
            <v:imagedata r:id="rId54" o:title=""/>
          </v:shape>
        </w:object>
      </w:r>
      <w:r>
        <w:fldChar w:fldCharType="end"/>
      </w:r>
      <w:r w:rsidR="009F08FD" w:rsidRPr="009F08FD">
        <w:rPr>
          <w:sz w:val="16"/>
          <w:szCs w:val="16"/>
        </w:rPr>
        <w:t xml:space="preserve"> </w:t>
      </w:r>
    </w:p>
    <w:p w:rsidR="005D6FC1" w:rsidRDefault="003D440E" w:rsidP="00512E4C">
      <w:r>
        <w:fldChar w:fldCharType="begin"/>
      </w:r>
      <w:r>
        <w:instrText xml:space="preserve"> LINK Excel.Sheet.8 "Macintosh HD:Users:merilinsimons:Scriptie:goedgekeurde resultaten:Chapter 5 Results:Beta_BR_IN_CN_TR_20121110.xlsx!results!R21C16:R26C23" "" \a \p </w:instrText>
      </w:r>
      <w:r>
        <w:fldChar w:fldCharType="separate"/>
      </w:r>
      <w:r>
        <w:object w:dxaOrig="12280" w:dyaOrig="1820">
          <v:shape id="_x0000_i1054" type="#_x0000_t75" style="width:478.75pt;height:1in">
            <v:imagedata r:id="rId55" o:title=""/>
          </v:shape>
        </w:object>
      </w:r>
      <w:r>
        <w:fldChar w:fldCharType="end"/>
      </w:r>
      <w:r w:rsidR="009F08FD" w:rsidRPr="009F08FD">
        <w:rPr>
          <w:sz w:val="16"/>
          <w:szCs w:val="16"/>
        </w:rPr>
        <w:t xml:space="preserve"> </w:t>
      </w:r>
    </w:p>
    <w:p w:rsidR="00AF164F" w:rsidRDefault="003D440E" w:rsidP="00512E4C">
      <w:r>
        <w:fldChar w:fldCharType="begin"/>
      </w:r>
      <w:r>
        <w:instrText xml:space="preserve"> LINK Excel.Sheet.8 "Macintosh HD:Users:merilinsimons:Scriptie:goedgekeurde resultaten:Chapter 5 Results:Beta_BR_IN_CN_TR_20121110.xlsx!results!R29C16:R34C23" "" \a \p </w:instrText>
      </w:r>
      <w:r>
        <w:fldChar w:fldCharType="separate"/>
      </w:r>
      <w:r>
        <w:object w:dxaOrig="12280" w:dyaOrig="1820">
          <v:shape id="_x0000_i1055" type="#_x0000_t75" style="width:477.15pt;height:1in">
            <v:imagedata r:id="rId56" o:title=""/>
          </v:shape>
        </w:object>
      </w:r>
      <w:r>
        <w:fldChar w:fldCharType="end"/>
      </w:r>
    </w:p>
    <w:p w:rsidR="005D6FC1" w:rsidRDefault="003D440E" w:rsidP="00512E4C">
      <w:r>
        <w:rPr>
          <w:sz w:val="16"/>
          <w:szCs w:val="16"/>
        </w:rPr>
        <w:fldChar w:fldCharType="begin"/>
      </w:r>
      <w:r>
        <w:rPr>
          <w:sz w:val="16"/>
          <w:szCs w:val="16"/>
        </w:rPr>
        <w:instrText xml:space="preserve"> LINK Excel.Sheet.8 "Macintosh HD:Users:merilinsimons:Scriptie:goedgekeurde resultaten:Chapter 5 Results:Beta_BR_IN_CN_TR_20121110.xlsx!results!R37C16:R42C23" "" \a \p </w:instrText>
      </w:r>
      <w:r>
        <w:rPr>
          <w:sz w:val="16"/>
          <w:szCs w:val="16"/>
        </w:rPr>
        <w:fldChar w:fldCharType="separate"/>
      </w:r>
      <w:r w:rsidRPr="003D440E">
        <w:rPr>
          <w:sz w:val="16"/>
          <w:szCs w:val="16"/>
        </w:rPr>
        <w:object w:dxaOrig="12280" w:dyaOrig="1820">
          <v:shape id="_x0000_i1056" type="#_x0000_t75" style="width:477.15pt;height:73.6pt">
            <v:imagedata r:id="rId57" o:title=""/>
          </v:shape>
        </w:object>
      </w:r>
      <w:r>
        <w:rPr>
          <w:sz w:val="16"/>
          <w:szCs w:val="16"/>
        </w:rPr>
        <w:fldChar w:fldCharType="end"/>
      </w:r>
      <w:r w:rsidR="009F08FD">
        <w:rPr>
          <w:sz w:val="16"/>
          <w:szCs w:val="16"/>
        </w:rPr>
        <w:t>Source: B</w:t>
      </w:r>
      <w:r w:rsidR="00C82BDD" w:rsidRPr="00C82BDD">
        <w:rPr>
          <w:sz w:val="16"/>
          <w:szCs w:val="16"/>
        </w:rPr>
        <w:t>eta_BR_IN_CN_TR_201211</w:t>
      </w:r>
      <w:r w:rsidR="009F08FD">
        <w:rPr>
          <w:sz w:val="16"/>
          <w:szCs w:val="16"/>
        </w:rPr>
        <w:t>1</w:t>
      </w:r>
      <w:r w:rsidR="00C82BDD" w:rsidRPr="00C82BDD">
        <w:rPr>
          <w:sz w:val="16"/>
          <w:szCs w:val="16"/>
        </w:rPr>
        <w:t>0.xlsx</w:t>
      </w:r>
    </w:p>
    <w:p w:rsidR="00011BCD" w:rsidRPr="00011BCD" w:rsidRDefault="00011BCD" w:rsidP="00011BCD">
      <w:pPr>
        <w:rPr>
          <w:b/>
        </w:rPr>
      </w:pPr>
      <w:r w:rsidRPr="00011BCD">
        <w:rPr>
          <w:b/>
        </w:rPr>
        <w:t>Brazil</w:t>
      </w:r>
    </w:p>
    <w:p w:rsidR="00011BCD" w:rsidRDefault="00011BCD" w:rsidP="00011BCD">
      <w:r>
        <w:t>A total amount of 16 Brazilian stocks was deleted from the MSCI Emerging Markets index during the period of 2004 till 2010.</w:t>
      </w:r>
    </w:p>
    <w:p w:rsidR="00011BCD" w:rsidRDefault="00011BCD" w:rsidP="00011BCD">
      <w:r>
        <w:t>The beta change compared to the MSCI Emerging Markets, showed an insignificant decrease of -0.14. The beta compared to the MSCI Brazil index, showed an increase of 0.08. And for the HSBC Brazil index a beta increase of 0.13 was found. The results of the MSCI Brazil and HSBC Brazil were in line with the original results (of the complete deletion sample) of the MSCI Emerging Markets index of table 5.3.1.</w:t>
      </w:r>
    </w:p>
    <w:p w:rsidR="00011BCD" w:rsidRPr="00011BCD" w:rsidRDefault="00011BCD" w:rsidP="00011BCD">
      <w:pPr>
        <w:rPr>
          <w:b/>
        </w:rPr>
      </w:pPr>
      <w:r w:rsidRPr="00011BCD">
        <w:rPr>
          <w:b/>
        </w:rPr>
        <w:t>Turkey</w:t>
      </w:r>
    </w:p>
    <w:p w:rsidR="00011BCD" w:rsidRDefault="00011BCD" w:rsidP="00011BCD">
      <w:r>
        <w:t xml:space="preserve">The beta change of the Turkish stocks for the window before they were excluded from the index and window after the exclusion from the index, showed mixed results. </w:t>
      </w:r>
    </w:p>
    <w:p w:rsidR="00011BCD" w:rsidRDefault="00011BCD" w:rsidP="00011BCD">
      <w:r>
        <w:t xml:space="preserve">The MSCI Turkey showed a beta increase of 0.05 and the HSBC Turkey showed an increase of 0.02. Both of these results were insignificantly positive and inline with the results showed in table 5.3.1. on the MSCI Emerging Markets index. </w:t>
      </w:r>
    </w:p>
    <w:p w:rsidR="00011BCD" w:rsidRDefault="00011BCD" w:rsidP="00011BCD">
      <w:r>
        <w:t>However if the calculation is made only with Turkish stocks compared to MSCI EM index, the prior positive beta increase turns into a significant beta decrease of -0.30.</w:t>
      </w:r>
    </w:p>
    <w:p w:rsidR="00011BCD" w:rsidRPr="00011BCD" w:rsidRDefault="00011BCD" w:rsidP="00011BCD">
      <w:pPr>
        <w:rPr>
          <w:b/>
        </w:rPr>
      </w:pPr>
      <w:r w:rsidRPr="00011BCD">
        <w:rPr>
          <w:b/>
        </w:rPr>
        <w:t>India</w:t>
      </w:r>
    </w:p>
    <w:p w:rsidR="00011BCD" w:rsidRDefault="00011BCD" w:rsidP="00011BCD">
      <w:r>
        <w:t xml:space="preserve">For the deleted Indian stocks, no evidence on a decreased beta was found. Instead the deletions experienced a beta increase. Both MSCI India index as HSBC India Index had significant beta increase of 0.21 and 0.40. These results are also supported by Parthasarathy’s (2011) study on the S&amp;P CNX Nifty index. </w:t>
      </w:r>
    </w:p>
    <w:p w:rsidR="00011BCD" w:rsidRPr="00011BCD" w:rsidRDefault="00011BCD" w:rsidP="00011BCD">
      <w:pPr>
        <w:rPr>
          <w:b/>
        </w:rPr>
      </w:pPr>
      <w:r w:rsidRPr="00011BCD">
        <w:rPr>
          <w:b/>
        </w:rPr>
        <w:t>China</w:t>
      </w:r>
    </w:p>
    <w:p w:rsidR="00011BCD" w:rsidRDefault="00011BCD" w:rsidP="00011BCD">
      <w:r>
        <w:t xml:space="preserve">Again, no evidence of a decreased beta between deleted stocks and MSCI EM, MSCI China or HSCB China was found. The beta increase of 0.33 for the MSCI EM, 0.52 for the MSCI China and 0.35 for the HSBC China were all significantly positive. </w:t>
      </w:r>
    </w:p>
    <w:p w:rsidR="008E422F" w:rsidRDefault="00011BCD" w:rsidP="00512E4C">
      <w:pPr>
        <w:rPr>
          <w:b/>
          <w:lang w:val="en-GB"/>
        </w:rPr>
      </w:pPr>
      <w:r>
        <w:t>At last analysis was done on the average beta calculated on the four countries. Were all additions (deletions) were summed</w:t>
      </w:r>
      <w:r w:rsidR="00D44146">
        <w:t>.</w:t>
      </w: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11BCD" w:rsidRDefault="00011BCD" w:rsidP="00512E4C">
      <w:pPr>
        <w:rPr>
          <w:b/>
          <w:lang w:val="en-GB"/>
        </w:rPr>
      </w:pPr>
    </w:p>
    <w:p w:rsidR="00046C47" w:rsidRDefault="00B063C6" w:rsidP="00512E4C">
      <w:pPr>
        <w:rPr>
          <w:b/>
          <w:lang w:val="en-GB"/>
        </w:rPr>
      </w:pPr>
      <w:r>
        <w:rPr>
          <w:b/>
          <w:lang w:val="en-GB"/>
        </w:rPr>
        <w:t>TABLE 5.3.4</w:t>
      </w:r>
      <w:r w:rsidR="00046C47">
        <w:rPr>
          <w:b/>
          <w:lang w:val="en-GB"/>
        </w:rPr>
        <w:t>. Beta results averaged of Brazil, Turkey, India, China</w:t>
      </w:r>
    </w:p>
    <w:p w:rsidR="00115F2E" w:rsidRDefault="00115F2E" w:rsidP="00512E4C">
      <w:r w:rsidRPr="00CB4BAE">
        <w:rPr>
          <w:rFonts w:ascii="Calibri" w:eastAsia="Times New Roman" w:hAnsi="Calibri" w:cs="Times New Roman"/>
          <w:color w:val="000000"/>
          <w:sz w:val="16"/>
          <w:szCs w:val="16"/>
        </w:rPr>
        <w:t xml:space="preserve">All T-stat calculations are based on a significance level of 5%. The sample size is based on </w:t>
      </w:r>
      <w:r w:rsidR="001441E3">
        <w:rPr>
          <w:rFonts w:ascii="Calibri" w:eastAsia="Times New Roman" w:hAnsi="Calibri" w:cs="Times New Roman"/>
          <w:color w:val="000000"/>
          <w:sz w:val="16"/>
          <w:szCs w:val="16"/>
        </w:rPr>
        <w:t xml:space="preserve">the sum of </w:t>
      </w:r>
      <w:r>
        <w:rPr>
          <w:rFonts w:ascii="Calibri" w:eastAsia="Times New Roman" w:hAnsi="Calibri" w:cs="Times New Roman"/>
          <w:color w:val="000000"/>
          <w:sz w:val="16"/>
          <w:szCs w:val="16"/>
        </w:rPr>
        <w:t xml:space="preserve">stock </w:t>
      </w:r>
      <w:r w:rsidR="001441E3">
        <w:rPr>
          <w:rFonts w:ascii="Calibri" w:eastAsia="Times New Roman" w:hAnsi="Calibri" w:cs="Times New Roman"/>
          <w:color w:val="000000"/>
          <w:sz w:val="16"/>
          <w:szCs w:val="16"/>
        </w:rPr>
        <w:t>additions</w:t>
      </w:r>
      <w:r w:rsidRPr="00CB4BAE">
        <w:rPr>
          <w:rFonts w:ascii="Calibri" w:eastAsia="Times New Roman" w:hAnsi="Calibri" w:cs="Times New Roman"/>
          <w:color w:val="000000"/>
          <w:sz w:val="16"/>
          <w:szCs w:val="16"/>
        </w:rPr>
        <w:t xml:space="preserve"> </w:t>
      </w:r>
      <w:r>
        <w:rPr>
          <w:rFonts w:ascii="Calibri" w:eastAsia="Times New Roman" w:hAnsi="Calibri" w:cs="Times New Roman"/>
          <w:color w:val="000000"/>
          <w:sz w:val="16"/>
          <w:szCs w:val="16"/>
        </w:rPr>
        <w:t>from Brazil</w:t>
      </w:r>
      <w:r w:rsidR="001441E3">
        <w:rPr>
          <w:rFonts w:ascii="Calibri" w:eastAsia="Times New Roman" w:hAnsi="Calibri" w:cs="Times New Roman"/>
          <w:color w:val="000000"/>
          <w:sz w:val="16"/>
          <w:szCs w:val="16"/>
        </w:rPr>
        <w:t>, Turkey, India and China</w:t>
      </w:r>
      <w:r>
        <w:rPr>
          <w:rFonts w:ascii="Calibri" w:eastAsia="Times New Roman" w:hAnsi="Calibri" w:cs="Times New Roman"/>
          <w:color w:val="000000"/>
          <w:sz w:val="16"/>
          <w:szCs w:val="16"/>
        </w:rPr>
        <w:t xml:space="preserve"> from </w:t>
      </w:r>
      <w:r w:rsidRPr="00CB4BAE">
        <w:rPr>
          <w:rFonts w:ascii="Calibri" w:eastAsia="Times New Roman" w:hAnsi="Calibri" w:cs="Times New Roman"/>
          <w:color w:val="000000"/>
          <w:sz w:val="16"/>
          <w:szCs w:val="16"/>
        </w:rPr>
        <w:t xml:space="preserve">2004 </w:t>
      </w:r>
      <w:r>
        <w:rPr>
          <w:rFonts w:ascii="Calibri" w:eastAsia="Times New Roman" w:hAnsi="Calibri" w:cs="Times New Roman"/>
          <w:color w:val="000000"/>
          <w:sz w:val="16"/>
          <w:szCs w:val="16"/>
        </w:rPr>
        <w:t>till</w:t>
      </w:r>
      <w:r w:rsidRPr="00CB4BAE">
        <w:rPr>
          <w:rFonts w:ascii="Calibri" w:eastAsia="Times New Roman" w:hAnsi="Calibri" w:cs="Times New Roman"/>
          <w:color w:val="000000"/>
          <w:sz w:val="16"/>
          <w:szCs w:val="16"/>
        </w:rPr>
        <w:t xml:space="preserve"> 2010</w:t>
      </w:r>
      <w:r>
        <w:rPr>
          <w:rFonts w:ascii="Calibri" w:eastAsia="Times New Roman" w:hAnsi="Calibri" w:cs="Times New Roman"/>
          <w:color w:val="000000"/>
          <w:sz w:val="16"/>
          <w:szCs w:val="16"/>
        </w:rPr>
        <w:t xml:space="preserve">. The beta </w:t>
      </w:r>
      <w:r w:rsidR="001441E3">
        <w:rPr>
          <w:rFonts w:ascii="Calibri" w:eastAsia="Times New Roman" w:hAnsi="Calibri" w:cs="Times New Roman"/>
          <w:color w:val="000000"/>
          <w:sz w:val="16"/>
          <w:szCs w:val="16"/>
        </w:rPr>
        <w:t>in</w:t>
      </w:r>
      <w:r>
        <w:rPr>
          <w:rFonts w:ascii="Calibri" w:eastAsia="Times New Roman" w:hAnsi="Calibri" w:cs="Times New Roman"/>
          <w:color w:val="000000"/>
          <w:sz w:val="16"/>
          <w:szCs w:val="16"/>
        </w:rPr>
        <w:t xml:space="preserve">clusion stands </w:t>
      </w:r>
      <w:r w:rsidRPr="00CB4BAE">
        <w:rPr>
          <w:rFonts w:ascii="Calibri" w:eastAsia="Times New Roman" w:hAnsi="Calibri" w:cs="Times New Roman"/>
          <w:color w:val="000000"/>
          <w:sz w:val="16"/>
          <w:szCs w:val="16"/>
        </w:rPr>
        <w:t xml:space="preserve">for </w:t>
      </w:r>
      <w:r>
        <w:rPr>
          <w:rFonts w:ascii="Calibri" w:eastAsia="Times New Roman" w:hAnsi="Calibri" w:cs="Times New Roman"/>
          <w:color w:val="000000"/>
          <w:sz w:val="16"/>
          <w:szCs w:val="16"/>
        </w:rPr>
        <w:t xml:space="preserve">the average beta of all stocks for the time-line of 20 days before till one day before the index review change takes place. The beta after </w:t>
      </w:r>
      <w:r w:rsidR="001441E3">
        <w:rPr>
          <w:rFonts w:ascii="Calibri" w:eastAsia="Times New Roman" w:hAnsi="Calibri" w:cs="Times New Roman"/>
          <w:color w:val="000000"/>
          <w:sz w:val="16"/>
          <w:szCs w:val="16"/>
        </w:rPr>
        <w:t>in</w:t>
      </w:r>
      <w:r>
        <w:rPr>
          <w:rFonts w:ascii="Calibri" w:eastAsia="Times New Roman" w:hAnsi="Calibri" w:cs="Times New Roman"/>
          <w:color w:val="000000"/>
          <w:sz w:val="16"/>
          <w:szCs w:val="16"/>
        </w:rPr>
        <w:t>clusion stands for the first day after the implementation of the index changes have taken place. The beta change stands for the difference between Beta before exclusion and Beta after exclusion. The Brazilian deletions are compared against, index data from the MSCI Emerging Markets, MSCI Brazil and the HSBC Brazil.</w:t>
      </w:r>
      <w:r w:rsidR="001441E3">
        <w:rPr>
          <w:rFonts w:ascii="Calibri" w:eastAsia="Times New Roman" w:hAnsi="Calibri" w:cs="Times New Roman"/>
          <w:color w:val="000000"/>
          <w:sz w:val="16"/>
          <w:szCs w:val="16"/>
        </w:rPr>
        <w:t xml:space="preserve"> Idem for the Beta deletions in panel B.</w:t>
      </w:r>
    </w:p>
    <w:p w:rsidR="00C042FC" w:rsidRDefault="003D440E" w:rsidP="00512E4C">
      <w:r>
        <w:fldChar w:fldCharType="begin"/>
      </w:r>
      <w:r>
        <w:instrText xml:space="preserve"> LINK Excel.Sheet.8 "Macintosh HD:Users:merilinsimons:Scriptie:goedgekeurde resultaten:Chapter 5 Results:Beta_BR_IN_CN_TR_20121110.xlsx!results!R4C4:R9C11" "" \a \p </w:instrText>
      </w:r>
      <w:r>
        <w:fldChar w:fldCharType="separate"/>
      </w:r>
      <w:r>
        <w:object w:dxaOrig="12520" w:dyaOrig="2720">
          <v:shape id="_x0000_i1057" type="#_x0000_t75" style="width:481.45pt;height:104.25pt">
            <v:imagedata r:id="rId58" o:title=""/>
          </v:shape>
        </w:object>
      </w:r>
      <w:r>
        <w:fldChar w:fldCharType="end"/>
      </w:r>
      <w:r>
        <w:fldChar w:fldCharType="begin"/>
      </w:r>
      <w:r>
        <w:instrText xml:space="preserve"> LINK Excel.Sheet.8 "Macintosh HD:Users:merilinsimons:Scriptie:goedgekeurde resultaten:Chapter 5 Results:Beta_BR_IN_CN_TR_20121110.xlsx!results!R4C16:R9C23" "" \a \p </w:instrText>
      </w:r>
      <w:r>
        <w:fldChar w:fldCharType="separate"/>
      </w:r>
      <w:r>
        <w:object w:dxaOrig="12280" w:dyaOrig="2720">
          <v:shape id="_x0000_i1058" type="#_x0000_t75" style="width:478.75pt;height:105.3pt">
            <v:imagedata r:id="rId59" o:title=""/>
          </v:shape>
        </w:object>
      </w:r>
      <w:r>
        <w:fldChar w:fldCharType="end"/>
      </w:r>
      <w:r w:rsidR="009F08FD" w:rsidRPr="009F08FD">
        <w:rPr>
          <w:sz w:val="16"/>
          <w:szCs w:val="16"/>
        </w:rPr>
        <w:t xml:space="preserve"> </w:t>
      </w:r>
      <w:r w:rsidR="009F08FD">
        <w:rPr>
          <w:sz w:val="16"/>
          <w:szCs w:val="16"/>
        </w:rPr>
        <w:t>Source: B</w:t>
      </w:r>
      <w:r w:rsidR="009F08FD" w:rsidRPr="00C82BDD">
        <w:rPr>
          <w:sz w:val="16"/>
          <w:szCs w:val="16"/>
        </w:rPr>
        <w:t>eta_BR_IN_CN_TR_201211</w:t>
      </w:r>
      <w:r w:rsidR="009F08FD">
        <w:rPr>
          <w:sz w:val="16"/>
          <w:szCs w:val="16"/>
        </w:rPr>
        <w:t>1</w:t>
      </w:r>
      <w:r w:rsidR="009F08FD" w:rsidRPr="00C82BDD">
        <w:rPr>
          <w:sz w:val="16"/>
          <w:szCs w:val="16"/>
        </w:rPr>
        <w:t>0.xlsx</w:t>
      </w:r>
    </w:p>
    <w:p w:rsidR="002509E4" w:rsidRDefault="002509E4" w:rsidP="002509E4">
      <w:r>
        <w:t>Starting with the additions, a beta decrease was revealed</w:t>
      </w:r>
      <w:r w:rsidR="004B65C6">
        <w:t xml:space="preserve"> instead of a beta increase</w:t>
      </w:r>
      <w:r>
        <w:t>.</w:t>
      </w:r>
      <w:r w:rsidR="00EE1204">
        <w:t xml:space="preserve"> </w:t>
      </w:r>
      <w:r>
        <w:t>Although not significant, the decrease was in line with the earlier findings of this study on the additions to the Emerging Markets index. These findings are not in line with prior research done from developed markets.</w:t>
      </w:r>
    </w:p>
    <w:p w:rsidR="002509E4" w:rsidRDefault="002509E4" w:rsidP="002509E4">
      <w:r>
        <w:t xml:space="preserve">Further more </w:t>
      </w:r>
      <w:r w:rsidR="008252B0">
        <w:t>an increased</w:t>
      </w:r>
      <w:r>
        <w:t xml:space="preserve"> beta between deleted stocks and MSCI EM, MSCI Countries and HSBC </w:t>
      </w:r>
      <w:r w:rsidR="008252B0">
        <w:t>Countries</w:t>
      </w:r>
      <w:r>
        <w:t xml:space="preserve"> was found.</w:t>
      </w:r>
      <w:r w:rsidR="00EE1204">
        <w:t xml:space="preserve"> </w:t>
      </w:r>
      <w:r w:rsidR="00D56966">
        <w:t>Again this was in line with the prior findings on deletions from the MSCI Emerging markets index.</w:t>
      </w:r>
    </w:p>
    <w:p w:rsidR="00C042FC" w:rsidRDefault="00C042FC" w:rsidP="00512E4C"/>
    <w:p w:rsidR="00C042FC" w:rsidRDefault="00C042FC" w:rsidP="00512E4C"/>
    <w:p w:rsidR="00C042FC" w:rsidRDefault="00C042FC" w:rsidP="00512E4C"/>
    <w:p w:rsidR="00C042FC" w:rsidRDefault="00C042FC" w:rsidP="00512E4C"/>
    <w:p w:rsidR="00074F59" w:rsidRDefault="00074F59" w:rsidP="00512E4C"/>
    <w:p w:rsidR="00413F51" w:rsidRDefault="00413F51">
      <w:r>
        <w:br w:type="page"/>
      </w:r>
    </w:p>
    <w:p w:rsidR="00512E4C" w:rsidRDefault="00A2584D" w:rsidP="00512E4C">
      <w:pPr>
        <w:pStyle w:val="Heading1"/>
      </w:pPr>
      <w:bookmarkStart w:id="18" w:name="_Toc214519194"/>
      <w:r>
        <w:t xml:space="preserve">Summary of results and </w:t>
      </w:r>
      <w:r w:rsidR="00512E4C">
        <w:t>Conclusion</w:t>
      </w:r>
      <w:r w:rsidR="00FD78A1">
        <w:t>s</w:t>
      </w:r>
      <w:bookmarkEnd w:id="18"/>
    </w:p>
    <w:p w:rsidR="00A53C6C" w:rsidRDefault="00A53C6C" w:rsidP="00512E4C"/>
    <w:p w:rsidR="006814B6" w:rsidRDefault="006814B6" w:rsidP="004E3F10">
      <w:pPr>
        <w:pStyle w:val="Heading3"/>
      </w:pPr>
      <w:r>
        <w:t>Price effect</w:t>
      </w:r>
    </w:p>
    <w:p w:rsidR="00EF0BA6" w:rsidRDefault="00EF0BA6" w:rsidP="00EF0BA6">
      <w:r>
        <w:t>Prior studies have all have shown that a positive price impact is created when a stock is added to the index.</w:t>
      </w:r>
      <w:r w:rsidR="00EE1204">
        <w:t xml:space="preserve"> </w:t>
      </w:r>
      <w:r>
        <w:t>Doeswij</w:t>
      </w:r>
      <w:r w:rsidR="00D153E4">
        <w:t>k (2007) on the AEX, Chen et al</w:t>
      </w:r>
      <w:r>
        <w:t xml:space="preserve"> ( 2003)</w:t>
      </w:r>
      <w:r w:rsidR="00D153E4">
        <w:t xml:space="preserve"> and</w:t>
      </w:r>
      <w:r>
        <w:t xml:space="preserve"> Zhou (2011)</w:t>
      </w:r>
      <w:r w:rsidR="00D153E4">
        <w:t xml:space="preserve"> on the S&amp;P 500 and Masse et a</w:t>
      </w:r>
      <w:r>
        <w:t xml:space="preserve">l on the former TSE300 agreed on these positive price effect results. </w:t>
      </w:r>
    </w:p>
    <w:p w:rsidR="00EF0BA6" w:rsidRDefault="004B5CF4" w:rsidP="00EF0BA6">
      <w:r>
        <w:t xml:space="preserve">It’s a </w:t>
      </w:r>
      <w:r w:rsidR="00EF0BA6">
        <w:t xml:space="preserve">different story </w:t>
      </w:r>
      <w:r>
        <w:t>when it comes to</w:t>
      </w:r>
      <w:r w:rsidR="00EF0BA6">
        <w:t xml:space="preserve"> stocks </w:t>
      </w:r>
      <w:r>
        <w:t xml:space="preserve">that are deleted </w:t>
      </w:r>
      <w:r w:rsidR="00EF0BA6">
        <w:t xml:space="preserve">from the index. </w:t>
      </w:r>
      <w:r w:rsidR="00254201">
        <w:t xml:space="preserve">The </w:t>
      </w:r>
      <w:r w:rsidR="00EF0BA6">
        <w:t xml:space="preserve">results from indices from developed markets showed a price decrease on stocks that were deleted from the index, or downgraded to a smaller index, and </w:t>
      </w:r>
      <w:r w:rsidR="00254201">
        <w:t>a</w:t>
      </w:r>
      <w:r w:rsidR="00EF0BA6">
        <w:t xml:space="preserve"> price that (almost) fully recovered after a short period </w:t>
      </w:r>
      <w:r w:rsidR="00254201">
        <w:t>of time.</w:t>
      </w:r>
      <w:r w:rsidR="00EF0BA6">
        <w:t xml:space="preserve"> Indices from emerging markets </w:t>
      </w:r>
      <w:r w:rsidR="00254201">
        <w:t xml:space="preserve">however </w:t>
      </w:r>
      <w:r w:rsidR="00EF0BA6">
        <w:t>showed a price decrease, where the price was not fully recovered to its initial price of before the index exclusion. Hacibedel (2007) revealed these results on the Emerging Markets index and Parthasarthy</w:t>
      </w:r>
      <w:r w:rsidR="00254201">
        <w:t xml:space="preserve"> </w:t>
      </w:r>
      <w:r w:rsidR="00EF0BA6">
        <w:t xml:space="preserve">(2010) showed the lagging price recoveries on deletions on </w:t>
      </w:r>
      <w:r w:rsidR="00254201">
        <w:t xml:space="preserve">the </w:t>
      </w:r>
      <w:r w:rsidR="00EF0BA6">
        <w:t>Indian stock market.</w:t>
      </w:r>
    </w:p>
    <w:p w:rsidR="00EF0BA6" w:rsidRDefault="00EF0BA6" w:rsidP="00EF0BA6">
      <w:r>
        <w:t>The purpose of this study was to find out if the</w:t>
      </w:r>
      <w:r w:rsidR="00872BFD">
        <w:t>re</w:t>
      </w:r>
      <w:r>
        <w:t xml:space="preserve"> is an impact on t</w:t>
      </w:r>
      <w:r w:rsidR="00D153E4">
        <w:t xml:space="preserve">he price effect when a stock </w:t>
      </w:r>
      <w:r w:rsidR="007F38DB">
        <w:t>enters or leaves the</w:t>
      </w:r>
      <w:r>
        <w:t xml:space="preserve"> MSCI Emerging Markets index. This study included stocks that were added and deleted due to index reviews from the MSCI Emerging Markets index from January 2004 till December 2010</w:t>
      </w:r>
      <w:r w:rsidR="007F38DB">
        <w:t xml:space="preserve"> and</w:t>
      </w:r>
      <w:r>
        <w:t xml:space="preserve"> reflect</w:t>
      </w:r>
      <w:r w:rsidR="007F38DB">
        <w:t>s</w:t>
      </w:r>
      <w:r>
        <w:t xml:space="preserve"> a period of twenty days before the inclusion (exclusion) and twenty days after the inclusion (exclusion) from the index.</w:t>
      </w:r>
    </w:p>
    <w:p w:rsidR="00EF0BA6" w:rsidRDefault="00EF0BA6" w:rsidP="00EF0BA6">
      <w:r>
        <w:t>The results on this s</w:t>
      </w:r>
      <w:r w:rsidR="00E20821">
        <w:t>tudy showed that indeed there i</w:t>
      </w:r>
      <w:r>
        <w:t xml:space="preserve">s a positive price effect on additions into the MSCI Emerging markets index. The study of Hacibedel (2007) showed an insignificant price increase of 1.9% on the short term, this study proved to have a statistically significant positive excess return of 2.8% on the short term for additions to the index. </w:t>
      </w:r>
    </w:p>
    <w:p w:rsidR="00EF0BA6" w:rsidRDefault="006604B8" w:rsidP="00EF0BA6">
      <w:r>
        <w:t>Next to additions, I investigated</w:t>
      </w:r>
      <w:r w:rsidR="00EF0BA6">
        <w:t xml:space="preserve"> the price effect on deletions from the MSCI Emerging Markets. Stocks that were deleted from the index showed a statistically significant negative excess return of -7.8% after the announcement day of the deletion. This </w:t>
      </w:r>
      <w:r w:rsidR="00D06695">
        <w:t>decrease</w:t>
      </w:r>
      <w:r w:rsidR="00EF0BA6">
        <w:t xml:space="preserve"> partly recover</w:t>
      </w:r>
      <w:r w:rsidR="00D06695">
        <w:t xml:space="preserve">ed to an insignificant underperformance </w:t>
      </w:r>
      <w:r w:rsidR="00EF0BA6">
        <w:t xml:space="preserve"> of -1.8% in the next twenty days after the exclusion from the MSCI Emerging Markets index. T</w:t>
      </w:r>
      <w:r w:rsidR="006D30D4">
        <w:t xml:space="preserve">he </w:t>
      </w:r>
      <w:r w:rsidR="00EF0BA6">
        <w:t xml:space="preserve">negative excess return experienced </w:t>
      </w:r>
      <w:r w:rsidR="006D30D4">
        <w:t xml:space="preserve">after the announcement was </w:t>
      </w:r>
      <w:r w:rsidR="00EF0BA6">
        <w:t xml:space="preserve">in line with findings from Chen et al (2003) and Zhou (2011) who did their study on the S&amp;P 500. Although both researches that were done on the MSCI Emerging Markets showed similar results, Hacibedel’s (2007) </w:t>
      </w:r>
      <w:r w:rsidR="006D30D4">
        <w:t xml:space="preserve">found that </w:t>
      </w:r>
      <w:r w:rsidR="00EF0BA6">
        <w:t>negative excess return</w:t>
      </w:r>
      <w:r w:rsidR="006D30D4">
        <w:t>s</w:t>
      </w:r>
      <w:r w:rsidR="00EF0BA6">
        <w:t xml:space="preserve"> on stocks deleted from the index, worsened within twenty days after the exclusion was implemented, whereas this study in that same timeframe experienced a recovery.</w:t>
      </w:r>
      <w:r w:rsidR="00EE1204">
        <w:t xml:space="preserve"> </w:t>
      </w:r>
      <w:r w:rsidR="00EF0BA6">
        <w:t xml:space="preserve">In a time frame of 60 days after the implementation of deletion Hacibedel (2007) negative excess return became statistically insignificant at -1.0%. </w:t>
      </w:r>
    </w:p>
    <w:p w:rsidR="00EF0BA6" w:rsidRDefault="006604B8" w:rsidP="00EF0BA6">
      <w:r>
        <w:t xml:space="preserve">I also chose </w:t>
      </w:r>
      <w:r w:rsidR="00EF0BA6">
        <w:t xml:space="preserve">to </w:t>
      </w:r>
      <w:r>
        <w:t>study</w:t>
      </w:r>
      <w:r w:rsidR="00EF0BA6">
        <w:t xml:space="preserve"> the price effect of additions and deletions from </w:t>
      </w:r>
      <w:r>
        <w:t>the index on a country level. The reason for this</w:t>
      </w:r>
      <w:r w:rsidR="00EF0BA6">
        <w:t xml:space="preserve"> </w:t>
      </w:r>
      <w:r>
        <w:t xml:space="preserve">is to </w:t>
      </w:r>
      <w:r w:rsidR="00EF0BA6">
        <w:t>d</w:t>
      </w:r>
      <w:r>
        <w:t>etermine if the outcome on the price effects of the MSCI EM i</w:t>
      </w:r>
      <w:r w:rsidR="00EF0BA6">
        <w:t xml:space="preserve">s also representative for the underlying countries in MSCI EM. </w:t>
      </w:r>
      <w:r>
        <w:t xml:space="preserve">I focussed </w:t>
      </w:r>
      <w:r w:rsidR="00EF0BA6">
        <w:t>on the more popular countries of the Emerging Markets, naming Brazil, India, China and less popular Turkey. The results on the price effect on additions into the index were all statistically significant positive for the complete period of t-20, t+20 studied, except</w:t>
      </w:r>
      <w:r w:rsidR="00D311F0">
        <w:t xml:space="preserve"> for</w:t>
      </w:r>
      <w:r w:rsidR="00EE1204">
        <w:t xml:space="preserve"> </w:t>
      </w:r>
      <w:r w:rsidR="00EF0BA6">
        <w:t>India wh</w:t>
      </w:r>
      <w:r w:rsidR="00D311F0">
        <w:t>ich</w:t>
      </w:r>
      <w:r w:rsidR="00EF0BA6">
        <w:t xml:space="preserve"> ended with an insignificant positive excess return after the inclusion. Overall</w:t>
      </w:r>
      <w:r w:rsidR="00D311F0">
        <w:t>,</w:t>
      </w:r>
      <w:r w:rsidR="00EF0BA6">
        <w:t xml:space="preserve"> the</w:t>
      </w:r>
      <w:r w:rsidR="00D311F0">
        <w:t xml:space="preserve"> popular</w:t>
      </w:r>
      <w:r w:rsidR="00EF0BA6">
        <w:t xml:space="preserve"> countries outperformed the excess returns that were achieved by stocks that were added to the MSCI Emerging Markets index.</w:t>
      </w:r>
    </w:p>
    <w:p w:rsidR="00EF0BA6" w:rsidRDefault="004114FC" w:rsidP="00EF0BA6">
      <w:r>
        <w:t>A</w:t>
      </w:r>
      <w:r w:rsidR="00EF0BA6">
        <w:t xml:space="preserve"> surprising result </w:t>
      </w:r>
      <w:r>
        <w:t>come</w:t>
      </w:r>
      <w:r w:rsidR="00EF0BA6">
        <w:t xml:space="preserve">s from </w:t>
      </w:r>
      <w:r>
        <w:t xml:space="preserve">the </w:t>
      </w:r>
      <w:r w:rsidR="00EF0BA6">
        <w:t xml:space="preserve">larger and more popular countries as Brazil, India and China that experienced a complete price recovery on the deleted stocks after the exclusion from index. </w:t>
      </w:r>
      <w:r w:rsidR="00EF0BA6" w:rsidRPr="008E4CE7">
        <w:t xml:space="preserve">The slightly negative excess return of deletions from MSCI Emerging Markets </w:t>
      </w:r>
      <w:r w:rsidR="00B27A5E" w:rsidRPr="008E4CE7">
        <w:t>comes from</w:t>
      </w:r>
      <w:r w:rsidR="00EF0BA6" w:rsidRPr="008E4CE7">
        <w:t xml:space="preserve"> the presence of more countries such </w:t>
      </w:r>
      <w:r w:rsidR="00B27A5E" w:rsidRPr="008E4CE7">
        <w:t xml:space="preserve">as </w:t>
      </w:r>
      <w:r w:rsidR="00EF0BA6" w:rsidRPr="008E4CE7">
        <w:t>Turkey, that do not show a price recovery of stocks deleted from the index.</w:t>
      </w:r>
      <w:r w:rsidR="00EE1204">
        <w:t xml:space="preserve"> </w:t>
      </w:r>
      <w:r w:rsidR="00EF0BA6" w:rsidRPr="008E4CE7">
        <w:t>For example due to a smaller marketcap weight of the in country in the index, or less coverage on a certain country by analyst.</w:t>
      </w:r>
    </w:p>
    <w:p w:rsidR="00EF0BA6" w:rsidRDefault="00EF0BA6" w:rsidP="00EF0BA6">
      <w:pPr>
        <w:pStyle w:val="Heading3"/>
      </w:pPr>
      <w:r>
        <w:t>Beta change</w:t>
      </w:r>
    </w:p>
    <w:p w:rsidR="00EF0BA6" w:rsidRDefault="00EF0BA6" w:rsidP="00EF0BA6">
      <w:r>
        <w:t>Traditionally</w:t>
      </w:r>
      <w:r w:rsidR="004114FC">
        <w:t>,</w:t>
      </w:r>
      <w:r>
        <w:t xml:space="preserve"> investors traded because of changes on fundamental value or because of news that newly entered the market. An example of a reason for trading that does not come from fundamental news is an index review.</w:t>
      </w:r>
    </w:p>
    <w:p w:rsidR="00EF0BA6" w:rsidRDefault="00AC4EF8" w:rsidP="00EF0BA6">
      <w:r>
        <w:t>Analysis of</w:t>
      </w:r>
      <w:r w:rsidR="00EF0BA6">
        <w:t xml:space="preserve"> the co-movement behind index changes is done by comparing the beta of an inclusion (exclusion) of a stock before and after entering or exiting the index. Most of the research such as Barberis et al.(2002)</w:t>
      </w:r>
      <w:r w:rsidR="00EE1204">
        <w:t xml:space="preserve"> </w:t>
      </w:r>
      <w:r w:rsidR="00EF0BA6">
        <w:t>and Vijh(1994) has been done on the S&amp;P and other indices from developed markets, where findings show a statistically significant increase in stock betas after inclusion and stock betas decrease after a stock is excluded from the index. Vijh(1994) mentioned the price pressure hypothesis in his study. This hypothesis predicts that newly added stocks cause an increase in covariance with the market returns. This reaction causes the beta of individual stocks to increase regardless of what the trading volume does. Both researchers experienced that increased betas from inclusions are caused by increased trading frequency of stocks in the S&amp;P 500 due to shifts in demand and supply.</w:t>
      </w:r>
    </w:p>
    <w:p w:rsidR="00EF0BA6" w:rsidRDefault="00EF0BA6" w:rsidP="00EF0BA6">
      <w:r>
        <w:t>The results of this study showed a statistically insign</w:t>
      </w:r>
      <w:r w:rsidR="00AC4EF8">
        <w:t>ificant beta decrease of -0.04. Although this number i</w:t>
      </w:r>
      <w:r>
        <w:t>s not significant</w:t>
      </w:r>
      <w:r w:rsidR="00AC4EF8">
        <w:t>,</w:t>
      </w:r>
      <w:r>
        <w:t xml:space="preserve"> i</w:t>
      </w:r>
      <w:r w:rsidR="00AC4EF8">
        <w:t>t</w:t>
      </w:r>
      <w:r>
        <w:t xml:space="preserve"> </w:t>
      </w:r>
      <w:r w:rsidR="00AC4EF8">
        <w:t>differs from</w:t>
      </w:r>
      <w:r>
        <w:t xml:space="preserve"> prior research done </w:t>
      </w:r>
      <w:r w:rsidR="00AC4EF8">
        <w:t xml:space="preserve">on </w:t>
      </w:r>
      <w:r>
        <w:t>other index reviews mainly on developed markets.</w:t>
      </w:r>
      <w:r w:rsidR="00EE1204">
        <w:t xml:space="preserve"> </w:t>
      </w:r>
      <w:r>
        <w:t>The outcome on deletion</w:t>
      </w:r>
      <w:r w:rsidR="00AC4EF8">
        <w:t>s from the index also showed an</w:t>
      </w:r>
      <w:r>
        <w:t xml:space="preserve"> opposite effect than was experienced in developed markets. For the deleted stocks from the index a statistically significant beta increase of 0.10 was </w:t>
      </w:r>
      <w:r w:rsidR="00AC4EF8">
        <w:t>determined</w:t>
      </w:r>
      <w:r>
        <w:t>.</w:t>
      </w:r>
    </w:p>
    <w:p w:rsidR="00EF0BA6" w:rsidRDefault="00EF0BA6" w:rsidP="00EF0BA6">
      <w:r>
        <w:t xml:space="preserve">Furthermore this study also analyzed the beta results on four countries that were highlighted in the price effect study. The beta changes were calculated based on the additions or deletions of separate countries, which were set against MSCI and HSBC Country indices. </w:t>
      </w:r>
    </w:p>
    <w:p w:rsidR="00EF0BA6" w:rsidRDefault="00EF0BA6" w:rsidP="00EF0BA6">
      <w:r>
        <w:t>Based on the analysis MSCI Country index, Brazil, China and Turkey showed a beta decrease of -0.02, -0.08 and -0.26 for stocks that were added to index. This result was in</w:t>
      </w:r>
      <w:r w:rsidR="00B83285">
        <w:t xml:space="preserve"> </w:t>
      </w:r>
      <w:r>
        <w:t>line with the analysis on additions for MSCI Emerging Markets. India experienced a result of an increased beta of 0.05. Although this number was not statistically significant, it has more characteristics of a positive beta change o</w:t>
      </w:r>
      <w:r w:rsidR="00B83285">
        <w:t>f developed markets instead of e</w:t>
      </w:r>
      <w:r>
        <w:t xml:space="preserve">merging </w:t>
      </w:r>
      <w:r w:rsidR="00B83285">
        <w:t>m</w:t>
      </w:r>
      <w:r>
        <w:t xml:space="preserve">arkets. </w:t>
      </w:r>
    </w:p>
    <w:p w:rsidR="00EF0BA6" w:rsidRDefault="00EF0BA6" w:rsidP="00EF0BA6">
      <w:r>
        <w:t>The analysis on beta change for deletions on the MSCI Country level showed a positive beta increase for all four countries.</w:t>
      </w:r>
      <w:r w:rsidR="00EE1204">
        <w:t xml:space="preserve"> </w:t>
      </w:r>
      <w:r>
        <w:t>The beta change</w:t>
      </w:r>
      <w:r w:rsidR="00B83285">
        <w:t xml:space="preserve"> for deleted stocks from China </w:t>
      </w:r>
      <w:r>
        <w:t xml:space="preserve">and India was statistically significant with an increase of 0.52 and 0.21. The positive results of an increased beta of 0.08 for Brazil and 0.05 for Turkey were insignificant. </w:t>
      </w:r>
      <w:r w:rsidR="00B83285">
        <w:t>Again,</w:t>
      </w:r>
      <w:r w:rsidR="00EE1204">
        <w:t xml:space="preserve"> </w:t>
      </w:r>
      <w:r>
        <w:t>these results do not support prior research done on indices of developed markets, w</w:t>
      </w:r>
      <w:r w:rsidR="00B83285">
        <w:t>here a deletion</w:t>
      </w:r>
      <w:r>
        <w:t xml:space="preserve"> from the index results in a signif</w:t>
      </w:r>
      <w:r w:rsidR="00B83285">
        <w:t>icant beta decrease instead of the</w:t>
      </w:r>
      <w:r>
        <w:t xml:space="preserve"> beta increase that was </w:t>
      </w:r>
      <w:r w:rsidR="00B83285">
        <w:t>found</w:t>
      </w:r>
      <w:r>
        <w:t xml:space="preserve"> in this study.</w:t>
      </w:r>
    </w:p>
    <w:p w:rsidR="00EF0BA6" w:rsidRDefault="00EF0BA6" w:rsidP="00EF0BA6">
      <w:r>
        <w:t>Returning to the two research questions that were analyzed in this study, this study did find a price effect of additions and or deletions from index, and experienced a opposite beta change for emerging markets indices versus developed markets indices.</w:t>
      </w:r>
    </w:p>
    <w:p w:rsidR="00EF0BA6" w:rsidRDefault="00EF0BA6" w:rsidP="00EF0BA6">
      <w:pPr>
        <w:pStyle w:val="Heading3"/>
      </w:pPr>
      <w:r>
        <w:t>Possible future research</w:t>
      </w:r>
    </w:p>
    <w:p w:rsidR="00EF0BA6" w:rsidRDefault="00EF0BA6" w:rsidP="00EF0BA6">
      <w:r>
        <w:t>Suggestions for further research on this topic would be linking these price effects to the trading volume of the stocks that are added to or deleted from the index based on the models from Vij(1994) and Barberis et al. (2002). This could determine whether these price effects were initiated by excessive trading of index funds during the announcement day, and inclusion/exclusion day.</w:t>
      </w:r>
    </w:p>
    <w:p w:rsidR="00EF0BA6" w:rsidRDefault="00EF0BA6" w:rsidP="00EF0BA6">
      <w:r>
        <w:t>Another suggestion would be to make a distinction between stocks that enter the index for the first time and stocks that make a reentry into the Emerging Market index. Prior research from Zhou (2011) on the S&amp;P 500 has shown that that newly added stocks experience a much greater permanent price increase than re-entered stocks.</w:t>
      </w:r>
    </w:p>
    <w:p w:rsidR="00EF0BA6" w:rsidRDefault="00EF0BA6" w:rsidP="00DF46C6"/>
    <w:p w:rsidR="00EF0BA6" w:rsidRDefault="00EF0BA6" w:rsidP="00DF46C6"/>
    <w:p w:rsidR="00EF0BA6" w:rsidRDefault="00EF0BA6" w:rsidP="00DF46C6"/>
    <w:p w:rsidR="00EF0BA6" w:rsidRDefault="00EF0BA6" w:rsidP="00DF46C6"/>
    <w:p w:rsidR="00B35BC5" w:rsidRDefault="00B35BC5">
      <w:pPr>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br w:type="page"/>
      </w:r>
    </w:p>
    <w:p w:rsidR="00512E4C" w:rsidRDefault="00A53C6C" w:rsidP="00302379">
      <w:pPr>
        <w:pStyle w:val="Heading1"/>
        <w:numPr>
          <w:ilvl w:val="0"/>
          <w:numId w:val="0"/>
        </w:numPr>
        <w:ind w:left="432" w:hanging="432"/>
      </w:pPr>
      <w:bookmarkStart w:id="19" w:name="_Toc214519195"/>
      <w:r>
        <w:t>References</w:t>
      </w:r>
      <w:bookmarkEnd w:id="19"/>
    </w:p>
    <w:p w:rsidR="00512E4C" w:rsidRDefault="00512E4C" w:rsidP="00512E4C"/>
    <w:p w:rsidR="00FA3DC2" w:rsidRPr="00EA78F2" w:rsidRDefault="00FA3DC2" w:rsidP="00FA3DC2">
      <w:pPr>
        <w:jc w:val="both"/>
        <w:rPr>
          <w:lang w:val="en-GB"/>
        </w:rPr>
      </w:pPr>
      <w:r w:rsidRPr="00EA78F2">
        <w:rPr>
          <w:lang w:val="en-GB"/>
        </w:rPr>
        <w:t xml:space="preserve">Beneish, Messod D., and Robert E. Whaley. 1996. “An Anatomy of the ‘S&amp;P Game’ : the effects of Changing the Rules.” </w:t>
      </w:r>
      <w:r w:rsidRPr="00EA78F2">
        <w:rPr>
          <w:i/>
          <w:iCs/>
          <w:lang w:val="en-GB"/>
        </w:rPr>
        <w:t>Journal of Finance</w:t>
      </w:r>
      <w:r w:rsidRPr="00EA78F2">
        <w:rPr>
          <w:lang w:val="en-GB"/>
        </w:rPr>
        <w:t>, vol</w:t>
      </w:r>
      <w:r w:rsidR="00D9297A">
        <w:rPr>
          <w:lang w:val="en-GB"/>
        </w:rPr>
        <w:t>.51, no.5 (December): 1909-1930</w:t>
      </w:r>
    </w:p>
    <w:p w:rsidR="00FA3DC2" w:rsidRPr="00EA78F2" w:rsidRDefault="00FA3DC2" w:rsidP="00FA3DC2">
      <w:pPr>
        <w:jc w:val="both"/>
        <w:rPr>
          <w:lang w:val="en-GB"/>
        </w:rPr>
      </w:pPr>
      <w:r w:rsidRPr="00EA78F2">
        <w:rPr>
          <w:lang w:val="en-GB"/>
        </w:rPr>
        <w:t>Barberis,B., Shleifer, A., Wurgler J., 2002, Co</w:t>
      </w:r>
      <w:r>
        <w:rPr>
          <w:lang w:val="en-GB"/>
        </w:rPr>
        <w:t>-</w:t>
      </w:r>
      <w:r w:rsidRPr="00EA78F2">
        <w:rPr>
          <w:lang w:val="en-GB"/>
        </w:rPr>
        <w:t>movement, Working Paper</w:t>
      </w:r>
      <w:r w:rsidR="00EE1204">
        <w:rPr>
          <w:lang w:val="en-GB"/>
        </w:rPr>
        <w:t xml:space="preserve"> </w:t>
      </w:r>
      <w:r w:rsidRPr="00EA78F2">
        <w:rPr>
          <w:lang w:val="en-GB"/>
        </w:rPr>
        <w:t>8895,</w:t>
      </w:r>
      <w:r w:rsidR="007E0E62">
        <w:rPr>
          <w:lang w:val="en-GB"/>
        </w:rPr>
        <w:t xml:space="preserve"> </w:t>
      </w:r>
      <w:r w:rsidRPr="00EA78F2">
        <w:rPr>
          <w:lang w:val="en-GB"/>
        </w:rPr>
        <w:t>National Burea</w:t>
      </w:r>
      <w:r w:rsidR="00D9297A">
        <w:rPr>
          <w:lang w:val="en-GB"/>
        </w:rPr>
        <w:t>u of Economic Research</w:t>
      </w:r>
    </w:p>
    <w:p w:rsidR="00FA3DC2" w:rsidRPr="00EA78F2" w:rsidRDefault="00FA3DC2" w:rsidP="00FA3DC2">
      <w:pPr>
        <w:jc w:val="both"/>
        <w:rPr>
          <w:lang w:val="en-GB"/>
        </w:rPr>
      </w:pPr>
      <w:r w:rsidRPr="00EA78F2">
        <w:rPr>
          <w:lang w:val="en-GB"/>
        </w:rPr>
        <w:t xml:space="preserve">Brown, Stephen J., and Jerold B. Warner, 1985, Using Daily Stock returns: The case of Event studies, </w:t>
      </w:r>
      <w:r w:rsidRPr="00EA78F2">
        <w:rPr>
          <w:i/>
          <w:iCs/>
          <w:lang w:val="en-GB"/>
        </w:rPr>
        <w:t>Journal of Financial Economics</w:t>
      </w:r>
      <w:r w:rsidRPr="00EA78F2">
        <w:rPr>
          <w:lang w:val="en-GB"/>
        </w:rPr>
        <w:t xml:space="preserve"> 14, 3-31</w:t>
      </w:r>
    </w:p>
    <w:p w:rsidR="00FA3DC2" w:rsidRPr="00EA78F2" w:rsidRDefault="00FA3DC2" w:rsidP="00FA3DC2">
      <w:pPr>
        <w:jc w:val="both"/>
        <w:rPr>
          <w:lang w:val="en-GB"/>
        </w:rPr>
      </w:pPr>
      <w:r w:rsidRPr="00EA78F2">
        <w:rPr>
          <w:lang w:val="en-GB"/>
        </w:rPr>
        <w:t>Chen, Honghui, Gregory Noronha, and Vijay</w:t>
      </w:r>
      <w:r w:rsidR="002F5174">
        <w:rPr>
          <w:lang w:val="en-GB"/>
        </w:rPr>
        <w:t xml:space="preserve"> Singal. 2003</w:t>
      </w:r>
      <w:r w:rsidRPr="00EA78F2">
        <w:rPr>
          <w:lang w:val="en-GB"/>
        </w:rPr>
        <w:t xml:space="preserve">. “ The price response to S&amp;P 500 Index Additions and Deletions: Evidence of Asymmetry and a New Explanation.” </w:t>
      </w:r>
      <w:r w:rsidRPr="00EA78F2">
        <w:rPr>
          <w:i/>
          <w:iCs/>
          <w:lang w:val="en-GB"/>
        </w:rPr>
        <w:t>Journal of Finance</w:t>
      </w:r>
      <w:r w:rsidRPr="00EA78F2">
        <w:rPr>
          <w:lang w:val="en-GB"/>
        </w:rPr>
        <w:t>, vol. 59, no. 4 (August): 1901-1930</w:t>
      </w:r>
    </w:p>
    <w:p w:rsidR="00FA3DC2" w:rsidRPr="00EA78F2" w:rsidRDefault="00FA3DC2" w:rsidP="00FA3DC2">
      <w:pPr>
        <w:jc w:val="both"/>
        <w:rPr>
          <w:lang w:val="en-GB"/>
        </w:rPr>
      </w:pPr>
      <w:r>
        <w:rPr>
          <w:lang w:val="en-GB"/>
        </w:rPr>
        <w:t xml:space="preserve">Corrado, </w:t>
      </w:r>
      <w:r w:rsidRPr="00EA78F2">
        <w:rPr>
          <w:lang w:val="en-GB"/>
        </w:rPr>
        <w:t xml:space="preserve">Chales J.,1989, A Nonparemetric Test for Abnormal Security-Price Performance in Event Studies, </w:t>
      </w:r>
      <w:r w:rsidRPr="00EA78F2">
        <w:rPr>
          <w:i/>
          <w:iCs/>
          <w:lang w:val="en-GB"/>
        </w:rPr>
        <w:t>Journal of Financial Economics</w:t>
      </w:r>
      <w:r w:rsidRPr="00EA78F2">
        <w:rPr>
          <w:lang w:val="en-GB"/>
        </w:rPr>
        <w:t xml:space="preserve"> 23, 385-395</w:t>
      </w:r>
    </w:p>
    <w:p w:rsidR="00FA3DC2" w:rsidRDefault="00FA3DC2" w:rsidP="00FA3DC2">
      <w:pPr>
        <w:jc w:val="both"/>
        <w:rPr>
          <w:lang w:val="en-GB"/>
        </w:rPr>
      </w:pPr>
      <w:r w:rsidRPr="00EA78F2">
        <w:rPr>
          <w:lang w:val="en-GB"/>
        </w:rPr>
        <w:t xml:space="preserve">Doeswijk, R. (2007). </w:t>
      </w:r>
      <w:r w:rsidR="00751C8E">
        <w:rPr>
          <w:lang w:val="en-GB"/>
        </w:rPr>
        <w:t>“</w:t>
      </w:r>
      <w:r w:rsidRPr="00EA78F2">
        <w:rPr>
          <w:lang w:val="en-GB"/>
        </w:rPr>
        <w:t>Ape or Art – Investment Strategies</w:t>
      </w:r>
      <w:r w:rsidR="00751C8E">
        <w:rPr>
          <w:lang w:val="en-GB"/>
        </w:rPr>
        <w:t>”</w:t>
      </w:r>
      <w:r w:rsidRPr="00EA78F2">
        <w:rPr>
          <w:lang w:val="en-GB"/>
        </w:rPr>
        <w:t>, Alblasserdam</w:t>
      </w:r>
    </w:p>
    <w:p w:rsidR="008E1D6A" w:rsidRDefault="008E1D6A" w:rsidP="00FA3DC2">
      <w:pPr>
        <w:jc w:val="both"/>
        <w:rPr>
          <w:lang w:val="en-GB"/>
        </w:rPr>
      </w:pPr>
      <w:r>
        <w:rPr>
          <w:lang w:val="en-GB"/>
        </w:rPr>
        <w:t>Greenwo</w:t>
      </w:r>
      <w:r w:rsidR="00A77E2A">
        <w:rPr>
          <w:lang w:val="en-GB"/>
        </w:rPr>
        <w:t>o</w:t>
      </w:r>
      <w:r>
        <w:rPr>
          <w:lang w:val="en-GB"/>
        </w:rPr>
        <w:t>d,R.,</w:t>
      </w:r>
      <w:r w:rsidR="00D473CB">
        <w:rPr>
          <w:lang w:val="en-GB"/>
        </w:rPr>
        <w:t xml:space="preserve"> and N. Sosner (2002), “Where Do Betas Come From?”, Workin</w:t>
      </w:r>
      <w:r w:rsidR="00A77E2A">
        <w:rPr>
          <w:lang w:val="en-GB"/>
        </w:rPr>
        <w:t>g</w:t>
      </w:r>
      <w:r w:rsidR="00D473CB">
        <w:rPr>
          <w:lang w:val="en-GB"/>
        </w:rPr>
        <w:t xml:space="preserve"> Pa</w:t>
      </w:r>
      <w:r w:rsidR="00A77E2A">
        <w:rPr>
          <w:lang w:val="en-GB"/>
        </w:rPr>
        <w:t>p</w:t>
      </w:r>
      <w:r w:rsidR="00D473CB">
        <w:rPr>
          <w:lang w:val="en-GB"/>
        </w:rPr>
        <w:t xml:space="preserve">er, Harvard </w:t>
      </w:r>
      <w:r w:rsidR="00A77E2A">
        <w:rPr>
          <w:lang w:val="en-GB"/>
        </w:rPr>
        <w:t>University</w:t>
      </w:r>
      <w:r w:rsidR="00E92CD8">
        <w:rPr>
          <w:lang w:val="en-GB"/>
        </w:rPr>
        <w:t xml:space="preserve"> </w:t>
      </w:r>
    </w:p>
    <w:p w:rsidR="00363BB6" w:rsidRDefault="00363BB6" w:rsidP="00FA3DC2">
      <w:pPr>
        <w:jc w:val="both"/>
        <w:rPr>
          <w:lang w:val="en-GB"/>
        </w:rPr>
      </w:pPr>
      <w:r>
        <w:rPr>
          <w:lang w:val="en-GB"/>
        </w:rPr>
        <w:t>Fama</w:t>
      </w:r>
      <w:r w:rsidRPr="00EA78F2">
        <w:rPr>
          <w:lang w:val="en-GB"/>
        </w:rPr>
        <w:t>,</w:t>
      </w:r>
      <w:r>
        <w:rPr>
          <w:lang w:val="en-GB"/>
        </w:rPr>
        <w:t xml:space="preserve"> Eugene F.,</w:t>
      </w:r>
      <w:r w:rsidRPr="00EA78F2">
        <w:rPr>
          <w:lang w:val="en-GB"/>
        </w:rPr>
        <w:t xml:space="preserve"> </w:t>
      </w:r>
      <w:r>
        <w:rPr>
          <w:lang w:val="en-GB"/>
        </w:rPr>
        <w:t>Lawrence Fisher, Michael C. Jensen</w:t>
      </w:r>
      <w:r w:rsidR="004734C0">
        <w:rPr>
          <w:lang w:val="en-GB"/>
        </w:rPr>
        <w:t xml:space="preserve"> </w:t>
      </w:r>
      <w:r w:rsidRPr="00EA78F2">
        <w:rPr>
          <w:lang w:val="en-GB"/>
        </w:rPr>
        <w:t xml:space="preserve">and </w:t>
      </w:r>
      <w:r w:rsidR="004734C0">
        <w:rPr>
          <w:lang w:val="en-GB"/>
        </w:rPr>
        <w:t>Richard Roll</w:t>
      </w:r>
      <w:r w:rsidRPr="00EA78F2">
        <w:rPr>
          <w:lang w:val="en-GB"/>
        </w:rPr>
        <w:t>. 196</w:t>
      </w:r>
      <w:r w:rsidR="004734C0">
        <w:rPr>
          <w:lang w:val="en-GB"/>
        </w:rPr>
        <w:t>9</w:t>
      </w:r>
      <w:r w:rsidRPr="00EA78F2">
        <w:rPr>
          <w:lang w:val="en-GB"/>
        </w:rPr>
        <w:t>.”</w:t>
      </w:r>
      <w:r w:rsidR="004734C0">
        <w:rPr>
          <w:lang w:val="en-GB"/>
        </w:rPr>
        <w:t>The adjustment of stock prices to new Information.</w:t>
      </w:r>
      <w:r w:rsidRPr="00EA78F2">
        <w:rPr>
          <w:lang w:val="en-GB"/>
        </w:rPr>
        <w:t xml:space="preserve">” </w:t>
      </w:r>
      <w:r w:rsidR="004734C0" w:rsidRPr="004734C0">
        <w:rPr>
          <w:i/>
          <w:lang w:val="en-GB"/>
        </w:rPr>
        <w:t>International Economic Review</w:t>
      </w:r>
      <w:r w:rsidRPr="00EA78F2">
        <w:rPr>
          <w:i/>
          <w:iCs/>
          <w:lang w:val="en-GB"/>
        </w:rPr>
        <w:t>, vol.</w:t>
      </w:r>
      <w:r w:rsidR="004734C0">
        <w:rPr>
          <w:lang w:val="en-GB"/>
        </w:rPr>
        <w:t>10, no. 1</w:t>
      </w:r>
      <w:r w:rsidRPr="00EA78F2">
        <w:rPr>
          <w:lang w:val="en-GB"/>
        </w:rPr>
        <w:t xml:space="preserve"> (</w:t>
      </w:r>
      <w:r w:rsidR="004734C0">
        <w:rPr>
          <w:lang w:val="en-GB"/>
        </w:rPr>
        <w:t>Feb.</w:t>
      </w:r>
      <w:r w:rsidRPr="00EA78F2">
        <w:rPr>
          <w:lang w:val="en-GB"/>
        </w:rPr>
        <w:t xml:space="preserve">): </w:t>
      </w:r>
      <w:r w:rsidR="004734C0">
        <w:rPr>
          <w:lang w:val="en-GB"/>
        </w:rPr>
        <w:t>1</w:t>
      </w:r>
      <w:r w:rsidRPr="00EA78F2">
        <w:rPr>
          <w:lang w:val="en-GB"/>
        </w:rPr>
        <w:t>-</w:t>
      </w:r>
      <w:r w:rsidR="004734C0">
        <w:rPr>
          <w:lang w:val="en-GB"/>
        </w:rPr>
        <w:t>21</w:t>
      </w:r>
    </w:p>
    <w:p w:rsidR="00363BB6" w:rsidRDefault="00363BB6" w:rsidP="00FA3DC2">
      <w:pPr>
        <w:jc w:val="both"/>
        <w:rPr>
          <w:lang w:val="en-GB"/>
        </w:rPr>
      </w:pPr>
      <w:r w:rsidRPr="00EA78F2">
        <w:rPr>
          <w:lang w:val="en-GB"/>
        </w:rPr>
        <w:t>Hacibedel,</w:t>
      </w:r>
      <w:r>
        <w:rPr>
          <w:lang w:val="en-GB"/>
        </w:rPr>
        <w:t xml:space="preserve"> </w:t>
      </w:r>
      <w:r w:rsidRPr="00EA78F2">
        <w:rPr>
          <w:lang w:val="en-GB"/>
        </w:rPr>
        <w:t>Burcu “Why Do Index Changes Have Price Effects?” (Not published)</w:t>
      </w:r>
    </w:p>
    <w:p w:rsidR="00FA3DC2" w:rsidRPr="00EA78F2" w:rsidRDefault="00FA3DC2" w:rsidP="00FA3DC2">
      <w:pPr>
        <w:jc w:val="both"/>
        <w:rPr>
          <w:lang w:val="en-GB"/>
        </w:rPr>
      </w:pPr>
      <w:r w:rsidRPr="00EA78F2">
        <w:rPr>
          <w:lang w:val="en-GB"/>
        </w:rPr>
        <w:t xml:space="preserve">Harris, Lawrence and Eitan Gurel. 1986.”Price and Volume effects Associated with changes in the S&amp;P 500 list: New Evidence for the Existence of Price Pressures.” </w:t>
      </w:r>
      <w:r w:rsidRPr="00EA78F2">
        <w:rPr>
          <w:i/>
          <w:iCs/>
          <w:lang w:val="en-GB"/>
        </w:rPr>
        <w:t>Journal of Finance, vol.</w:t>
      </w:r>
      <w:r w:rsidRPr="00EA78F2">
        <w:rPr>
          <w:lang w:val="en-GB"/>
        </w:rPr>
        <w:t>41, no. 4 (September): 815-829</w:t>
      </w:r>
    </w:p>
    <w:p w:rsidR="00FA3DC2" w:rsidRDefault="00FA3DC2" w:rsidP="00FA3DC2">
      <w:pPr>
        <w:jc w:val="both"/>
        <w:rPr>
          <w:lang w:val="en-GB"/>
        </w:rPr>
      </w:pPr>
      <w:r w:rsidRPr="00EA78F2">
        <w:rPr>
          <w:lang w:val="en-GB"/>
        </w:rPr>
        <w:t xml:space="preserve">Hegde Shantaram P. and John B. Mc Dermott. 2003, The Liquidity Effects of Revisions to the S&amp;P500 Index: An Empirical Analysis, </w:t>
      </w:r>
      <w:r w:rsidRPr="00F7663F">
        <w:rPr>
          <w:i/>
          <w:lang w:val="en-GB"/>
        </w:rPr>
        <w:t>Journal of Financial Markets</w:t>
      </w:r>
      <w:r w:rsidRPr="00EA78F2">
        <w:rPr>
          <w:lang w:val="en-GB"/>
        </w:rPr>
        <w:t>, 6(3), 413-459</w:t>
      </w:r>
    </w:p>
    <w:p w:rsidR="00FA3DC2" w:rsidRPr="00EA78F2" w:rsidRDefault="00A77E2A" w:rsidP="00FA3DC2">
      <w:pPr>
        <w:jc w:val="both"/>
        <w:rPr>
          <w:lang w:val="en-GB"/>
        </w:rPr>
      </w:pPr>
      <w:r>
        <w:rPr>
          <w:lang w:val="en-GB"/>
        </w:rPr>
        <w:t>Jain, Prem C. 1987. “ T</w:t>
      </w:r>
      <w:r w:rsidR="00FA3DC2" w:rsidRPr="00EA78F2">
        <w:rPr>
          <w:lang w:val="en-GB"/>
        </w:rPr>
        <w:t xml:space="preserve">he effect on Stock price of Inclusion in or Exclusion from the S&amp;P500.” </w:t>
      </w:r>
      <w:r w:rsidR="00FA3DC2" w:rsidRPr="00EA78F2">
        <w:rPr>
          <w:i/>
          <w:iCs/>
          <w:lang w:val="en-GB"/>
        </w:rPr>
        <w:t>Financial Analysts Journal</w:t>
      </w:r>
      <w:r w:rsidR="00FA3DC2" w:rsidRPr="00EA78F2">
        <w:rPr>
          <w:lang w:val="en-GB"/>
        </w:rPr>
        <w:t>, vol.43</w:t>
      </w:r>
      <w:r w:rsidR="00D9297A">
        <w:rPr>
          <w:lang w:val="en-GB"/>
        </w:rPr>
        <w:t xml:space="preserve"> no.1 (January/ February) 58-65</w:t>
      </w:r>
    </w:p>
    <w:p w:rsidR="00FA3DC2" w:rsidRDefault="00FA3DC2" w:rsidP="00FA3DC2">
      <w:pPr>
        <w:jc w:val="both"/>
        <w:rPr>
          <w:lang w:val="en-GB"/>
        </w:rPr>
      </w:pPr>
      <w:r w:rsidRPr="00EA78F2">
        <w:rPr>
          <w:lang w:val="en-GB"/>
        </w:rPr>
        <w:t>L</w:t>
      </w:r>
      <w:r w:rsidR="00751C8E">
        <w:rPr>
          <w:lang w:val="en-GB"/>
        </w:rPr>
        <w:t>ev</w:t>
      </w:r>
      <w:r w:rsidRPr="00EA78F2">
        <w:rPr>
          <w:lang w:val="en-GB"/>
        </w:rPr>
        <w:t>y</w:t>
      </w:r>
      <w:r w:rsidR="00751C8E">
        <w:rPr>
          <w:lang w:val="en-GB"/>
        </w:rPr>
        <w:t xml:space="preserve">, Haim </w:t>
      </w:r>
      <w:r w:rsidRPr="00EA78F2">
        <w:rPr>
          <w:lang w:val="en-GB"/>
        </w:rPr>
        <w:t xml:space="preserve">and </w:t>
      </w:r>
      <w:r w:rsidR="00751C8E">
        <w:rPr>
          <w:lang w:val="en-GB"/>
        </w:rPr>
        <w:t>Thierry Post. 2005.</w:t>
      </w:r>
      <w:r w:rsidRPr="00EA78F2">
        <w:rPr>
          <w:lang w:val="en-GB"/>
        </w:rPr>
        <w:t xml:space="preserve"> </w:t>
      </w:r>
      <w:r w:rsidR="00751C8E">
        <w:rPr>
          <w:lang w:val="en-GB"/>
        </w:rPr>
        <w:t>“Investments” Pearson Education Limited, England, 177-178</w:t>
      </w:r>
    </w:p>
    <w:p w:rsidR="00751C8E" w:rsidRPr="00EA78F2" w:rsidRDefault="00751C8E" w:rsidP="00751C8E">
      <w:pPr>
        <w:jc w:val="both"/>
        <w:rPr>
          <w:lang w:val="en-GB"/>
        </w:rPr>
      </w:pPr>
      <w:r w:rsidRPr="00EA78F2">
        <w:rPr>
          <w:lang w:val="en-GB"/>
        </w:rPr>
        <w:t xml:space="preserve">Lynch, Anthony W., and Richard R.Mendenhall.1997.” New Evidence on Stock Price Effects Associated with Changes in the S&amp;P 500 Index.” </w:t>
      </w:r>
      <w:r w:rsidRPr="00EA78F2">
        <w:rPr>
          <w:i/>
          <w:iCs/>
          <w:lang w:val="en-GB"/>
        </w:rPr>
        <w:t>Journal of Business, vol.</w:t>
      </w:r>
      <w:r w:rsidRPr="00EA78F2">
        <w:rPr>
          <w:lang w:val="en-GB"/>
        </w:rPr>
        <w:t xml:space="preserve"> 70, no. 3 (July): 351-383</w:t>
      </w:r>
    </w:p>
    <w:p w:rsidR="00751C8E" w:rsidRPr="00EA78F2" w:rsidRDefault="00751C8E" w:rsidP="00FA3DC2">
      <w:pPr>
        <w:jc w:val="both"/>
        <w:rPr>
          <w:lang w:val="en-GB"/>
        </w:rPr>
      </w:pPr>
    </w:p>
    <w:p w:rsidR="00FA3DC2" w:rsidRDefault="002F5174" w:rsidP="00FA3DC2">
      <w:pPr>
        <w:jc w:val="both"/>
        <w:rPr>
          <w:lang w:val="en-GB"/>
        </w:rPr>
      </w:pPr>
      <w:r>
        <w:rPr>
          <w:lang w:val="en-GB"/>
        </w:rPr>
        <w:t>Masse</w:t>
      </w:r>
      <w:r w:rsidR="00FA3DC2" w:rsidRPr="00EA78F2">
        <w:rPr>
          <w:lang w:val="en-GB"/>
        </w:rPr>
        <w:t xml:space="preserve">, </w:t>
      </w:r>
      <w:r>
        <w:rPr>
          <w:lang w:val="en-GB"/>
        </w:rPr>
        <w:t>Isidore, Hanrahan, Robert, Kushner,Joseph and Martinello</w:t>
      </w:r>
      <w:r w:rsidR="001022B0">
        <w:rPr>
          <w:lang w:val="en-GB"/>
        </w:rPr>
        <w:t>, Felice</w:t>
      </w:r>
      <w:r w:rsidR="00FA3DC2" w:rsidRPr="00EA78F2">
        <w:rPr>
          <w:lang w:val="en-GB"/>
        </w:rPr>
        <w:t xml:space="preserve">. </w:t>
      </w:r>
      <w:r w:rsidR="001022B0">
        <w:rPr>
          <w:lang w:val="en-GB"/>
        </w:rPr>
        <w:t>2000</w:t>
      </w:r>
      <w:r w:rsidR="00FA3DC2" w:rsidRPr="00EA78F2">
        <w:rPr>
          <w:lang w:val="en-GB"/>
        </w:rPr>
        <w:t>.</w:t>
      </w:r>
      <w:r w:rsidR="00FA3DC2">
        <w:rPr>
          <w:lang w:val="en-GB"/>
        </w:rPr>
        <w:t xml:space="preserve"> “</w:t>
      </w:r>
      <w:r w:rsidR="001022B0">
        <w:rPr>
          <w:lang w:val="en-GB"/>
        </w:rPr>
        <w:t xml:space="preserve"> The effect of additions to or deletions from TSE300 Index on Canadian share prices</w:t>
      </w:r>
      <w:r w:rsidR="00FA3DC2" w:rsidRPr="00EA78F2">
        <w:rPr>
          <w:lang w:val="en-GB"/>
        </w:rPr>
        <w:t>.”</w:t>
      </w:r>
      <w:r w:rsidR="00FA3DC2">
        <w:rPr>
          <w:lang w:val="en-GB"/>
        </w:rPr>
        <w:t xml:space="preserve"> </w:t>
      </w:r>
      <w:r w:rsidR="001022B0" w:rsidRPr="001022B0">
        <w:rPr>
          <w:i/>
          <w:lang w:val="en-GB"/>
        </w:rPr>
        <w:t>Canadian</w:t>
      </w:r>
      <w:r w:rsidR="001022B0">
        <w:rPr>
          <w:lang w:val="en-GB"/>
        </w:rPr>
        <w:t xml:space="preserve"> </w:t>
      </w:r>
      <w:r w:rsidR="00FA3DC2" w:rsidRPr="00EA78F2">
        <w:rPr>
          <w:i/>
          <w:iCs/>
          <w:lang w:val="en-GB"/>
        </w:rPr>
        <w:t xml:space="preserve">Journal of </w:t>
      </w:r>
      <w:r w:rsidR="001022B0">
        <w:rPr>
          <w:i/>
          <w:iCs/>
          <w:lang w:val="en-GB"/>
        </w:rPr>
        <w:t>Economics</w:t>
      </w:r>
      <w:r w:rsidR="00FA3DC2" w:rsidRPr="00EA78F2">
        <w:rPr>
          <w:lang w:val="en-GB"/>
        </w:rPr>
        <w:t xml:space="preserve">, Vol. </w:t>
      </w:r>
      <w:r w:rsidR="001022B0">
        <w:rPr>
          <w:lang w:val="en-GB"/>
        </w:rPr>
        <w:t>33</w:t>
      </w:r>
      <w:r w:rsidR="00FA3DC2" w:rsidRPr="00EA78F2">
        <w:rPr>
          <w:lang w:val="en-GB"/>
        </w:rPr>
        <w:t>, no</w:t>
      </w:r>
      <w:r w:rsidR="001022B0">
        <w:rPr>
          <w:lang w:val="en-GB"/>
        </w:rPr>
        <w:t>2</w:t>
      </w:r>
      <w:r w:rsidR="00FA3DC2" w:rsidRPr="00EA78F2">
        <w:rPr>
          <w:lang w:val="en-GB"/>
        </w:rPr>
        <w:t xml:space="preserve"> ( </w:t>
      </w:r>
      <w:r w:rsidR="001022B0">
        <w:rPr>
          <w:lang w:val="en-GB"/>
        </w:rPr>
        <w:t>May</w:t>
      </w:r>
      <w:r w:rsidR="00FA3DC2" w:rsidRPr="00EA78F2">
        <w:rPr>
          <w:lang w:val="en-GB"/>
        </w:rPr>
        <w:t>)</w:t>
      </w:r>
    </w:p>
    <w:p w:rsidR="002F5174" w:rsidRPr="00EA78F2" w:rsidRDefault="002F5174" w:rsidP="002F5174">
      <w:pPr>
        <w:jc w:val="both"/>
        <w:rPr>
          <w:lang w:val="en-GB"/>
        </w:rPr>
      </w:pPr>
      <w:r w:rsidRPr="00EA78F2">
        <w:rPr>
          <w:lang w:val="en-GB"/>
        </w:rPr>
        <w:t>Merton, Robert C. 1987.</w:t>
      </w:r>
      <w:r>
        <w:rPr>
          <w:lang w:val="en-GB"/>
        </w:rPr>
        <w:t xml:space="preserve"> “</w:t>
      </w:r>
      <w:r w:rsidRPr="00EA78F2">
        <w:rPr>
          <w:lang w:val="en-GB"/>
        </w:rPr>
        <w:t>A Simple Model of Capital Market Equilibrium with Incomplete Information.”</w:t>
      </w:r>
      <w:r>
        <w:rPr>
          <w:lang w:val="en-GB"/>
        </w:rPr>
        <w:t xml:space="preserve"> </w:t>
      </w:r>
      <w:r w:rsidRPr="00EA78F2">
        <w:rPr>
          <w:i/>
          <w:iCs/>
          <w:lang w:val="en-GB"/>
        </w:rPr>
        <w:t>Journal of Finance</w:t>
      </w:r>
      <w:r w:rsidRPr="00EA78F2">
        <w:rPr>
          <w:lang w:val="en-GB"/>
        </w:rPr>
        <w:t>, Vol. 42, no3 ( July):483-510</w:t>
      </w:r>
    </w:p>
    <w:p w:rsidR="002F5174" w:rsidRPr="00EA78F2" w:rsidRDefault="00236605" w:rsidP="00FA3DC2">
      <w:pPr>
        <w:jc w:val="both"/>
        <w:rPr>
          <w:lang w:val="en-GB"/>
        </w:rPr>
      </w:pPr>
      <w:r>
        <w:rPr>
          <w:lang w:val="en-GB"/>
        </w:rPr>
        <w:t xml:space="preserve">Parthasarathy, Srikanth. 2010 “Price and Volume Effects Associated with </w:t>
      </w:r>
      <w:r w:rsidR="00841D21">
        <w:rPr>
          <w:lang w:val="en-GB"/>
        </w:rPr>
        <w:t xml:space="preserve">Index Additions: Evidence from the </w:t>
      </w:r>
      <w:r>
        <w:rPr>
          <w:lang w:val="en-GB"/>
        </w:rPr>
        <w:t xml:space="preserve">Indian Stock Market” </w:t>
      </w:r>
      <w:r w:rsidRPr="00F7663F">
        <w:rPr>
          <w:i/>
          <w:lang w:val="en-GB"/>
        </w:rPr>
        <w:t>Asian Journal of Finance &amp; Accounting</w:t>
      </w:r>
      <w:r>
        <w:rPr>
          <w:lang w:val="en-GB"/>
        </w:rPr>
        <w:t xml:space="preserve">, Vol. </w:t>
      </w:r>
      <w:r w:rsidR="00841D21">
        <w:rPr>
          <w:lang w:val="en-GB"/>
        </w:rPr>
        <w:t>2, no2</w:t>
      </w:r>
      <w:r>
        <w:rPr>
          <w:lang w:val="en-GB"/>
        </w:rPr>
        <w:t>:</w:t>
      </w:r>
      <w:r w:rsidR="00841D21">
        <w:rPr>
          <w:lang w:val="en-GB"/>
        </w:rPr>
        <w:t xml:space="preserve"> </w:t>
      </w:r>
      <w:r>
        <w:rPr>
          <w:lang w:val="en-GB"/>
        </w:rPr>
        <w:t>E</w:t>
      </w:r>
      <w:r w:rsidR="00841D21">
        <w:rPr>
          <w:lang w:val="en-GB"/>
        </w:rPr>
        <w:t>4</w:t>
      </w:r>
    </w:p>
    <w:p w:rsidR="00131095" w:rsidRDefault="00131095" w:rsidP="00FA3DC2">
      <w:pPr>
        <w:jc w:val="both"/>
        <w:rPr>
          <w:lang w:val="en-GB"/>
        </w:rPr>
      </w:pPr>
      <w:r>
        <w:rPr>
          <w:lang w:val="en-GB"/>
        </w:rPr>
        <w:t>Parthasarathy</w:t>
      </w:r>
      <w:r w:rsidR="000150EA">
        <w:rPr>
          <w:lang w:val="en-GB"/>
        </w:rPr>
        <w:t>,</w:t>
      </w:r>
      <w:r>
        <w:rPr>
          <w:lang w:val="en-GB"/>
        </w:rPr>
        <w:t xml:space="preserve"> Srikanth</w:t>
      </w:r>
      <w:r w:rsidR="000150EA">
        <w:rPr>
          <w:lang w:val="en-GB"/>
        </w:rPr>
        <w:t xml:space="preserve">. 2011 “Co-Movement and Index Changes- Evidence from The Emerging Indian Stock Market” </w:t>
      </w:r>
      <w:r w:rsidR="000150EA" w:rsidRPr="00F7663F">
        <w:rPr>
          <w:i/>
          <w:lang w:val="en-GB"/>
        </w:rPr>
        <w:t>Asian Journal of Finance &amp; Accounting</w:t>
      </w:r>
      <w:r w:rsidR="000150EA">
        <w:rPr>
          <w:lang w:val="en-GB"/>
        </w:rPr>
        <w:t>, Vol. 3, no1:E12</w:t>
      </w:r>
      <w:r>
        <w:rPr>
          <w:lang w:val="en-GB"/>
        </w:rPr>
        <w:t xml:space="preserve"> </w:t>
      </w:r>
    </w:p>
    <w:p w:rsidR="00FA3DC2" w:rsidRDefault="00FA3DC2" w:rsidP="00FA3DC2">
      <w:pPr>
        <w:jc w:val="both"/>
        <w:rPr>
          <w:lang w:val="en-GB"/>
        </w:rPr>
      </w:pPr>
      <w:r w:rsidRPr="00EA78F2">
        <w:rPr>
          <w:lang w:val="en-GB"/>
        </w:rPr>
        <w:t xml:space="preserve">Pindyck, Robert </w:t>
      </w:r>
      <w:r>
        <w:rPr>
          <w:lang w:val="en-GB"/>
        </w:rPr>
        <w:t>S. and Rotemberg Julio J.1993. “</w:t>
      </w:r>
      <w:r w:rsidRPr="00EA78F2">
        <w:rPr>
          <w:lang w:val="en-GB"/>
        </w:rPr>
        <w:t>The Co</w:t>
      </w:r>
      <w:r>
        <w:rPr>
          <w:lang w:val="en-GB"/>
        </w:rPr>
        <w:t>-</w:t>
      </w:r>
      <w:r w:rsidRPr="00EA78F2">
        <w:rPr>
          <w:lang w:val="en-GB"/>
        </w:rPr>
        <w:t>movement of Stock Prices”</w:t>
      </w:r>
      <w:r>
        <w:rPr>
          <w:lang w:val="en-GB"/>
        </w:rPr>
        <w:t xml:space="preserve"> </w:t>
      </w:r>
      <w:r w:rsidRPr="00F7663F">
        <w:rPr>
          <w:i/>
          <w:lang w:val="en-GB"/>
        </w:rPr>
        <w:t>The Quarterly Journal of Economics</w:t>
      </w:r>
      <w:r w:rsidRPr="00EA78F2">
        <w:rPr>
          <w:lang w:val="en-GB"/>
        </w:rPr>
        <w:t>, Vol. 108,No.4 (Nov) :1073-1104</w:t>
      </w:r>
    </w:p>
    <w:p w:rsidR="004734C0" w:rsidRPr="008A5639" w:rsidRDefault="004734C0" w:rsidP="00FA3DC2">
      <w:pPr>
        <w:jc w:val="both"/>
        <w:rPr>
          <w:lang w:val="en-GB"/>
        </w:rPr>
      </w:pPr>
      <w:r>
        <w:rPr>
          <w:lang w:val="en-GB"/>
        </w:rPr>
        <w:t xml:space="preserve">Sar, Nico L. van der. 1998. “ Event-Studies: Methodologische Aspecten.” </w:t>
      </w:r>
      <w:r>
        <w:rPr>
          <w:i/>
          <w:lang w:val="en-GB"/>
        </w:rPr>
        <w:t>Vakgroep Financiering en Beleggingen</w:t>
      </w:r>
      <w:r w:rsidR="008A5639">
        <w:rPr>
          <w:i/>
          <w:lang w:val="en-GB"/>
        </w:rPr>
        <w:t>,</w:t>
      </w:r>
      <w:r>
        <w:rPr>
          <w:i/>
          <w:lang w:val="en-GB"/>
        </w:rPr>
        <w:t xml:space="preserve"> </w:t>
      </w:r>
      <w:r w:rsidRPr="008A5639">
        <w:rPr>
          <w:lang w:val="en-GB"/>
        </w:rPr>
        <w:t>Erasmus Universiteit Rotterdam</w:t>
      </w:r>
    </w:p>
    <w:p w:rsidR="00F7663F" w:rsidRPr="00EA78F2" w:rsidRDefault="00F7663F" w:rsidP="00FA3DC2">
      <w:pPr>
        <w:jc w:val="both"/>
        <w:rPr>
          <w:lang w:val="en-GB"/>
        </w:rPr>
      </w:pPr>
      <w:r>
        <w:rPr>
          <w:lang w:val="en-GB"/>
        </w:rPr>
        <w:t xml:space="preserve">Scholes, Myron and Williams, Joseph. 1977. “ Estimating Betas from Nonsynchronous Data.” </w:t>
      </w:r>
      <w:r w:rsidRPr="00F7663F">
        <w:rPr>
          <w:i/>
          <w:lang w:val="en-GB"/>
        </w:rPr>
        <w:t>Journal of Financial Economics</w:t>
      </w:r>
      <w:r w:rsidR="00D9297A">
        <w:rPr>
          <w:lang w:val="en-GB"/>
        </w:rPr>
        <w:t>, 5, 309-327</w:t>
      </w:r>
    </w:p>
    <w:p w:rsidR="00FA3DC2" w:rsidRPr="00EA78F2" w:rsidRDefault="00FA3DC2" w:rsidP="00FA3DC2">
      <w:pPr>
        <w:jc w:val="both"/>
        <w:rPr>
          <w:lang w:val="en-GB"/>
        </w:rPr>
      </w:pPr>
      <w:r w:rsidRPr="00EA78F2">
        <w:rPr>
          <w:lang w:val="en-GB"/>
        </w:rPr>
        <w:t>Shankar, S. Gowri, and James M.Miller.2006.”Market Reaction to Changes in the S&amp;P SmallCap 600</w:t>
      </w:r>
      <w:r w:rsidR="0027259A">
        <w:rPr>
          <w:lang w:val="en-GB"/>
        </w:rPr>
        <w:t xml:space="preserve"> </w:t>
      </w:r>
      <w:r w:rsidRPr="00EA78F2">
        <w:rPr>
          <w:lang w:val="en-GB"/>
        </w:rPr>
        <w:t xml:space="preserve">Index.” </w:t>
      </w:r>
      <w:r w:rsidRPr="00EA78F2">
        <w:rPr>
          <w:i/>
          <w:iCs/>
          <w:lang w:val="en-GB"/>
        </w:rPr>
        <w:t>Financial Review, vol</w:t>
      </w:r>
      <w:r w:rsidR="00D9297A">
        <w:rPr>
          <w:lang w:val="en-GB"/>
        </w:rPr>
        <w:t>.41, no. 3 (August): 339-360</w:t>
      </w:r>
    </w:p>
    <w:p w:rsidR="00FA3DC2" w:rsidRDefault="00FA3DC2" w:rsidP="00FA3DC2">
      <w:pPr>
        <w:jc w:val="both"/>
        <w:rPr>
          <w:lang w:val="en-GB"/>
        </w:rPr>
      </w:pPr>
      <w:r w:rsidRPr="00EA78F2">
        <w:rPr>
          <w:lang w:val="en-GB"/>
        </w:rPr>
        <w:t xml:space="preserve">Shleifer, Andrei. 1986.” Do Demand Curves for Stocks Slope Down?” </w:t>
      </w:r>
      <w:r w:rsidRPr="00EA78F2">
        <w:rPr>
          <w:i/>
          <w:iCs/>
          <w:lang w:val="en-GB"/>
        </w:rPr>
        <w:t>Journal of Finance,</w:t>
      </w:r>
      <w:r w:rsidRPr="00EA78F2">
        <w:rPr>
          <w:lang w:val="en-GB"/>
        </w:rPr>
        <w:t xml:space="preserve"> 41 (3), 579-590</w:t>
      </w:r>
    </w:p>
    <w:p w:rsidR="00E92CD8" w:rsidRDefault="00E92CD8" w:rsidP="00FA3DC2">
      <w:pPr>
        <w:jc w:val="both"/>
        <w:rPr>
          <w:lang w:val="en-GB"/>
        </w:rPr>
      </w:pPr>
      <w:r>
        <w:rPr>
          <w:lang w:val="en-GB"/>
        </w:rPr>
        <w:t>Vijh, A. (1994), “S&amp;P500 Trading Strategies and Stock</w:t>
      </w:r>
      <w:r w:rsidR="002D1D9A">
        <w:rPr>
          <w:lang w:val="en-GB"/>
        </w:rPr>
        <w:t xml:space="preserve"> Betas,” Review </w:t>
      </w:r>
      <w:r w:rsidR="00D9297A">
        <w:rPr>
          <w:lang w:val="en-GB"/>
        </w:rPr>
        <w:t>of Financial Studies 7, 215-251</w:t>
      </w:r>
    </w:p>
    <w:p w:rsidR="00074F59" w:rsidRDefault="00BB0209" w:rsidP="00FA3DC2">
      <w:pPr>
        <w:jc w:val="both"/>
        <w:rPr>
          <w:lang w:val="en-GB"/>
        </w:rPr>
      </w:pPr>
      <w:r w:rsidRPr="00EA78F2">
        <w:rPr>
          <w:lang w:val="en-GB"/>
        </w:rPr>
        <w:t>Zhou</w:t>
      </w:r>
      <w:r>
        <w:rPr>
          <w:lang w:val="en-GB"/>
        </w:rPr>
        <w:t xml:space="preserve">, </w:t>
      </w:r>
      <w:r w:rsidRPr="00EA78F2">
        <w:rPr>
          <w:lang w:val="en-GB"/>
        </w:rPr>
        <w:t>Haigang</w:t>
      </w:r>
      <w:r>
        <w:rPr>
          <w:lang w:val="en-GB"/>
        </w:rPr>
        <w:t>.</w:t>
      </w:r>
      <w:r w:rsidRPr="00EA78F2">
        <w:rPr>
          <w:lang w:val="en-GB"/>
        </w:rPr>
        <w:t xml:space="preserve"> 2011 “Asymmetric Changes in stock prices and Investor Recognition around Revisions to the S&amp;P 500 Index.” </w:t>
      </w:r>
      <w:r w:rsidRPr="00EA78F2">
        <w:rPr>
          <w:i/>
          <w:iCs/>
          <w:lang w:val="en-GB"/>
        </w:rPr>
        <w:t>Financial Analysts Journal, vol.</w:t>
      </w:r>
      <w:r w:rsidRPr="00EA78F2">
        <w:rPr>
          <w:lang w:val="en-GB"/>
        </w:rPr>
        <w:t xml:space="preserve"> 67, no. 1</w:t>
      </w:r>
      <w:r>
        <w:rPr>
          <w:lang w:val="en-GB"/>
        </w:rPr>
        <w:t xml:space="preserve"> </w:t>
      </w:r>
      <w:r w:rsidRPr="00EA78F2">
        <w:rPr>
          <w:lang w:val="en-GB"/>
        </w:rPr>
        <w:t>(January): 72-84</w:t>
      </w:r>
    </w:p>
    <w:p w:rsidR="00074F59" w:rsidRPr="00074F59" w:rsidRDefault="00074F59" w:rsidP="00FA3DC2">
      <w:pPr>
        <w:jc w:val="both"/>
        <w:rPr>
          <w:lang w:val="en-GB"/>
        </w:rPr>
      </w:pPr>
    </w:p>
    <w:p w:rsidR="009D7EA1" w:rsidRPr="00EA78F2" w:rsidRDefault="003D440E" w:rsidP="00FA3DC2">
      <w:pPr>
        <w:jc w:val="both"/>
        <w:rPr>
          <w:lang w:val="en-GB"/>
        </w:rPr>
      </w:pPr>
      <w:hyperlink r:id="rId60" w:history="1">
        <w:r w:rsidR="009D7EA1" w:rsidRPr="00B854AE">
          <w:rPr>
            <w:rStyle w:val="Hyperlink"/>
            <w:lang w:val="en-GB"/>
          </w:rPr>
          <w:t>http://en.wikipedia.org</w:t>
        </w:r>
      </w:hyperlink>
    </w:p>
    <w:p w:rsidR="009D7EA1" w:rsidRDefault="003D440E" w:rsidP="00FA3DC2">
      <w:pPr>
        <w:jc w:val="both"/>
        <w:rPr>
          <w:lang w:val="en-GB"/>
        </w:rPr>
      </w:pPr>
      <w:hyperlink r:id="rId61" w:history="1">
        <w:r w:rsidR="009D7EA1" w:rsidRPr="00B854AE">
          <w:rPr>
            <w:rStyle w:val="Hyperlink"/>
            <w:lang w:val="en-GB"/>
          </w:rPr>
          <w:t>http://www.investopedia.com</w:t>
        </w:r>
      </w:hyperlink>
    </w:p>
    <w:p w:rsidR="00512E4C" w:rsidRDefault="003D440E" w:rsidP="009D7EA1">
      <w:pPr>
        <w:jc w:val="both"/>
        <w:rPr>
          <w:lang w:val="en-GB"/>
        </w:rPr>
      </w:pPr>
      <w:hyperlink r:id="rId62" w:history="1">
        <w:r w:rsidR="009D7EA1" w:rsidRPr="00B854AE">
          <w:rPr>
            <w:rStyle w:val="Hyperlink"/>
            <w:lang w:val="en-GB"/>
          </w:rPr>
          <w:t>http://www.msci.com</w:t>
        </w:r>
      </w:hyperlink>
    </w:p>
    <w:p w:rsidR="00997643" w:rsidRDefault="003D440E" w:rsidP="00997643">
      <w:pPr>
        <w:jc w:val="both"/>
        <w:rPr>
          <w:lang w:val="en-GB"/>
        </w:rPr>
      </w:pPr>
      <w:hyperlink r:id="rId63" w:history="1">
        <w:r w:rsidR="00E12F68" w:rsidRPr="009754D2">
          <w:rPr>
            <w:rStyle w:val="Hyperlink"/>
            <w:lang w:val="en-GB"/>
          </w:rPr>
          <w:t>http://www.hsbc.com</w:t>
        </w:r>
      </w:hyperlink>
    </w:p>
    <w:p w:rsidR="00997643" w:rsidRDefault="003D440E" w:rsidP="00997643">
      <w:pPr>
        <w:jc w:val="both"/>
        <w:rPr>
          <w:lang w:val="en-GB"/>
        </w:rPr>
      </w:pPr>
      <w:hyperlink r:id="rId64" w:history="1">
        <w:r w:rsidR="00997643">
          <w:rPr>
            <w:rStyle w:val="Hyperlink"/>
            <w:lang w:val="en-GB"/>
          </w:rPr>
          <w:t>http://www.tmx</w:t>
        </w:r>
        <w:r w:rsidR="00997643" w:rsidRPr="00B854AE">
          <w:rPr>
            <w:rStyle w:val="Hyperlink"/>
            <w:lang w:val="en-GB"/>
          </w:rPr>
          <w:t>.com</w:t>
        </w:r>
      </w:hyperlink>
    </w:p>
    <w:p w:rsidR="00997643" w:rsidRDefault="003D440E" w:rsidP="00997643">
      <w:pPr>
        <w:jc w:val="both"/>
        <w:rPr>
          <w:lang w:val="en-GB"/>
        </w:rPr>
      </w:pPr>
      <w:hyperlink r:id="rId65" w:history="1">
        <w:r w:rsidR="00796465" w:rsidRPr="009754D2">
          <w:rPr>
            <w:rStyle w:val="Hyperlink"/>
            <w:lang w:val="en-GB"/>
          </w:rPr>
          <w:t>http://www.standardandpoors.com</w:t>
        </w:r>
      </w:hyperlink>
    </w:p>
    <w:p w:rsidR="009D7EA1" w:rsidRDefault="009D7EA1" w:rsidP="009D7EA1">
      <w:pPr>
        <w:jc w:val="both"/>
        <w:rPr>
          <w:lang w:val="en-GB"/>
        </w:rPr>
      </w:pPr>
    </w:p>
    <w:p w:rsidR="00B35BC5" w:rsidRDefault="00B35BC5">
      <w:r>
        <w:br w:type="page"/>
      </w:r>
    </w:p>
    <w:p w:rsidR="009D7EA1" w:rsidRDefault="00B35BC5" w:rsidP="00302379">
      <w:pPr>
        <w:pStyle w:val="Heading1"/>
        <w:numPr>
          <w:ilvl w:val="0"/>
          <w:numId w:val="0"/>
        </w:numPr>
        <w:ind w:left="432" w:hanging="432"/>
      </w:pPr>
      <w:bookmarkStart w:id="20" w:name="_Toc214519196"/>
      <w:r>
        <w:t>Appendices</w:t>
      </w:r>
      <w:bookmarkEnd w:id="20"/>
    </w:p>
    <w:p w:rsidR="001567AA" w:rsidRPr="00796C1E" w:rsidRDefault="001567AA" w:rsidP="00796C1E">
      <w:pPr>
        <w:pStyle w:val="Title"/>
        <w:rPr>
          <w:rStyle w:val="Strong"/>
          <w:b w:val="0"/>
        </w:rPr>
      </w:pPr>
      <w:r w:rsidRPr="00796C1E">
        <w:rPr>
          <w:rStyle w:val="Strong"/>
          <w:b w:val="0"/>
        </w:rPr>
        <w:t>Appendix</w:t>
      </w:r>
      <w:r w:rsidR="000F7442" w:rsidRPr="00796C1E">
        <w:rPr>
          <w:rStyle w:val="Strong"/>
          <w:b w:val="0"/>
        </w:rPr>
        <w:t xml:space="preserve"> MSCI</w:t>
      </w:r>
      <w:r w:rsidR="00EE1204">
        <w:rPr>
          <w:rStyle w:val="Strong"/>
          <w:b w:val="0"/>
        </w:rPr>
        <w:t xml:space="preserve"> </w:t>
      </w:r>
    </w:p>
    <w:p w:rsidR="00DA7711" w:rsidRDefault="00DA7711" w:rsidP="00C65E24">
      <w:pPr>
        <w:pStyle w:val="Heading3"/>
      </w:pPr>
      <w:r>
        <w:t>Investabil</w:t>
      </w:r>
      <w:r w:rsidR="00C65E24">
        <w:t>i</w:t>
      </w:r>
      <w:r>
        <w:t xml:space="preserve">ty screens </w:t>
      </w:r>
      <w:r w:rsidR="00C65E24">
        <w:t>from the MSCI</w:t>
      </w:r>
    </w:p>
    <w:p w:rsidR="00C65E24" w:rsidRDefault="00C65E24" w:rsidP="00C65E24">
      <w:r>
        <w:t>The investability screens that the MSCI uses several requirements in order to determine their investable equity universe in each market. The screenings that happen on a security level are:</w:t>
      </w:r>
    </w:p>
    <w:p w:rsidR="00C65E24" w:rsidRDefault="00C65E24" w:rsidP="00C65E24">
      <w:pPr>
        <w:pStyle w:val="ListParagraph"/>
        <w:numPr>
          <w:ilvl w:val="0"/>
          <w:numId w:val="13"/>
        </w:numPr>
      </w:pPr>
      <w:r>
        <w:t>Equity universe minimum size requirement</w:t>
      </w:r>
    </w:p>
    <w:p w:rsidR="00C65E24" w:rsidRDefault="00C65E24" w:rsidP="00C65E24">
      <w:pPr>
        <w:pStyle w:val="ListParagraph"/>
        <w:numPr>
          <w:ilvl w:val="0"/>
          <w:numId w:val="13"/>
        </w:numPr>
      </w:pPr>
      <w:r>
        <w:t>Equity Universe minimum free float adjusted market capitalization requirement</w:t>
      </w:r>
    </w:p>
    <w:p w:rsidR="00C65E24" w:rsidRDefault="00C65E24" w:rsidP="00C65E24">
      <w:pPr>
        <w:pStyle w:val="ListParagraph"/>
        <w:numPr>
          <w:ilvl w:val="0"/>
          <w:numId w:val="13"/>
        </w:numPr>
      </w:pPr>
      <w:r>
        <w:t>Emerging markets minimum liquidity requirement</w:t>
      </w:r>
    </w:p>
    <w:p w:rsidR="00C65E24" w:rsidRDefault="00C65E24" w:rsidP="00C65E24">
      <w:pPr>
        <w:pStyle w:val="ListParagraph"/>
        <w:numPr>
          <w:ilvl w:val="0"/>
          <w:numId w:val="13"/>
        </w:numPr>
      </w:pPr>
      <w:r>
        <w:t>Global minimum Foreign Inclusion Factor requirement (FIF)</w:t>
      </w:r>
    </w:p>
    <w:p w:rsidR="00C65E24" w:rsidRDefault="00C65E24" w:rsidP="00C65E24">
      <w:pPr>
        <w:pStyle w:val="ListParagraph"/>
        <w:numPr>
          <w:ilvl w:val="0"/>
          <w:numId w:val="13"/>
        </w:numPr>
      </w:pPr>
      <w:r>
        <w:t>Minimum length of trading requirement</w:t>
      </w:r>
    </w:p>
    <w:p w:rsidR="00C65E24" w:rsidRDefault="00C65E24" w:rsidP="00C65E24">
      <w:pPr>
        <w:pStyle w:val="Heading4"/>
      </w:pPr>
      <w:r>
        <w:t>Ad 1. Equity universe minimum size requirement</w:t>
      </w:r>
    </w:p>
    <w:p w:rsidR="00C65E24" w:rsidRDefault="00C65E24" w:rsidP="00C65E24">
      <w:r>
        <w:t>A requirement is that the company must have minimum full market capitalization. Minimum full market capitalization is referred to as the equity universe minimum size requirement. This is applied as follows:</w:t>
      </w:r>
    </w:p>
    <w:p w:rsidR="00C65E24" w:rsidRDefault="00C65E24" w:rsidP="00C65E24">
      <w:r>
        <w:t xml:space="preserve">The companies are sorted in descending order of full market capitalization and the cumulative coverage of the free float-adjusted market capitalization of the EM equity universe is calculated at each company. Each company’s free float-adjusted market capitalization is represented by the aggregation of the free float-adjusted market capitalization of the securities of that company in the universe. </w:t>
      </w:r>
    </w:p>
    <w:p w:rsidR="00C65E24" w:rsidRDefault="00C65E24" w:rsidP="00C65E24">
      <w:r>
        <w:t xml:space="preserve">Secondly, when this cumulative free float- adjusted market capitalization coverage of 99% of the sorted EM equity universe is achieved, the full market capitalization of the company at that point defines the equity universe minimum size requirement. </w:t>
      </w:r>
    </w:p>
    <w:p w:rsidR="00C65E24" w:rsidRDefault="00C65E24" w:rsidP="00C65E24">
      <w:r>
        <w:t>At last the rank of the company by descending order of full market capitalization with in the EM equity universe is noted and will be used in determining the equity universe minimum size requirement at the next rebalance.</w:t>
      </w:r>
    </w:p>
    <w:p w:rsidR="00C65E24" w:rsidRDefault="00C65E24" w:rsidP="00C65E24">
      <w:r>
        <w:t>The equity universe minimum size requirement is reviewed and when needed revised at the semi-annual index reviews. Companies with a full market capitalization below the USD 150 million are not included in the investable equity universe.</w:t>
      </w:r>
    </w:p>
    <w:p w:rsidR="00C65E24" w:rsidRDefault="00C65E24" w:rsidP="00C65E24">
      <w:pPr>
        <w:pStyle w:val="Heading4"/>
      </w:pPr>
      <w:r>
        <w:t>Ad 2. Equity Universe minimum free float adjusted market capitalization requirement</w:t>
      </w:r>
    </w:p>
    <w:p w:rsidR="00C65E24" w:rsidRDefault="00C65E24" w:rsidP="00C65E24">
      <w:r>
        <w:t>In order to be taken into account for inclusion in the EM market investable equity universe a security must have a free float adjusted market capitalization equal to or higher than 50% of the equity universe minimum size requirement.</w:t>
      </w:r>
    </w:p>
    <w:p w:rsidR="00C65E24" w:rsidRDefault="00C65E24" w:rsidP="00C65E24">
      <w:pPr>
        <w:pStyle w:val="Heading4"/>
      </w:pPr>
      <w:r>
        <w:t>Ad 3. Emerging markets minimum liquidity requirement</w:t>
      </w:r>
    </w:p>
    <w:p w:rsidR="00C65E24" w:rsidRDefault="00C65E24" w:rsidP="00C65E24">
      <w:r>
        <w:t>The screening of a minimum liquidity happens on individual security level. The liquidity is measured by a twelve-month and three-month Annual Traded Value Ratio (ATVR). Followed by a three-month frequency of trading.</w:t>
      </w:r>
    </w:p>
    <w:p w:rsidR="00C65E24" w:rsidRDefault="00C65E24" w:rsidP="00C65E24">
      <w:r>
        <w:t>Requirements for a company in the Emerging Market investable equity universe needs to have a minimum liquidity level of 15% of 3 month ATVR and 80% of 3 month frequency of trading. This has to be over the last four consecutive quarters as well as 15% of 12 month ATVR is required for the inclusion of the company.</w:t>
      </w:r>
    </w:p>
    <w:p w:rsidR="00C65E24" w:rsidRDefault="00C65E24" w:rsidP="00C65E24">
      <w:r>
        <w:t>A special note is made for Russian liquid ADR’s, which may be considered for inclusion in the market investable equity Universe despite trading in a different time zone.</w:t>
      </w:r>
    </w:p>
    <w:p w:rsidR="00C65E24" w:rsidRDefault="00C65E24" w:rsidP="00C65E24">
      <w:pPr>
        <w:pStyle w:val="Heading4"/>
      </w:pPr>
      <w:r>
        <w:t>Ad 4. Global minimum Foreign Inclusion Factor requirement (FIF)</w:t>
      </w:r>
    </w:p>
    <w:p w:rsidR="00C65E24" w:rsidRDefault="00C65E24" w:rsidP="00C65E24">
      <w:r>
        <w:t>Screening for global minimum Foreign Inclusion Factor (FIF) requirements is done on security level. To be qualified for inclusion in the EM investable equity market a securities Foreign Inclusion Factor must reach a certain threshold. The Foreign Inclusion Factor of a security is defined as the proportion of shares outstanding that is available for purchasing in the public equity markets by international investors. This proportion accounts for the available free float and or the foreign ownership limits applicable to a specific company. In general a company must have a FIF equal to or larger than 0.15 to be eligible for inclusion factor requirement.</w:t>
      </w:r>
    </w:p>
    <w:p w:rsidR="00C65E24" w:rsidRDefault="00C65E24" w:rsidP="00C65E24">
      <w:pPr>
        <w:pStyle w:val="Heading4"/>
      </w:pPr>
      <w:r>
        <w:t>Ad 5. Minimum length of trading requirement</w:t>
      </w:r>
    </w:p>
    <w:p w:rsidR="00C65E24" w:rsidRDefault="00C65E24" w:rsidP="00C65E24">
      <w:r>
        <w:t>The last requirement is the minimum length of trading. A new issue such as a IPO must have started trading at least 4 months before the implementation of the initial construction of the index or at least three months before implementation of a semi-annual index review. This requirement also applies to small new issues in all markets.</w:t>
      </w:r>
    </w:p>
    <w:p w:rsidR="00C65E24" w:rsidRDefault="00C65E24" w:rsidP="00C65E24">
      <w:r>
        <w:t>Large IPO’s are not subject to minimum length of trading requirement and may be included in a market investable equity standard index outside of a quarterly or semi-annual index review.</w:t>
      </w:r>
    </w:p>
    <w:p w:rsidR="00C65E24" w:rsidRDefault="00C65E24" w:rsidP="00C65E24">
      <w:pPr>
        <w:pStyle w:val="Heading3"/>
      </w:pPr>
      <w:r>
        <w:t>Rebalancing</w:t>
      </w:r>
    </w:p>
    <w:p w:rsidR="00C65E24" w:rsidRDefault="00C65E24" w:rsidP="00C65E24">
      <w:r>
        <w:t>Rebalancing refers to the weights of the constituent securities in the index. To maintain the weight of each security consistent with the index weighting method, the index provider rebalances the index by adjusting the weights of the constituent securities on a regularly scheduled basis. Rebalancing dates are usually quarterly) Rebalancing is necessary because the weights of the constituent securities change as their market price change.</w:t>
      </w:r>
    </w:p>
    <w:p w:rsidR="00C65E24" w:rsidRPr="007D1DBE" w:rsidRDefault="00C65E24" w:rsidP="00C65E24">
      <w:pPr>
        <w:rPr>
          <w:b/>
        </w:rPr>
      </w:pPr>
      <w:r w:rsidRPr="007D1DBE">
        <w:rPr>
          <w:b/>
        </w:rPr>
        <w:t xml:space="preserve">Example: </w:t>
      </w:r>
    </w:p>
    <w:p w:rsidR="00C65E24" w:rsidRDefault="00C65E24" w:rsidP="00C65E24">
      <w:r>
        <w:t>Equal weighted index: If the equal weight of the securities should be 20, then the stocks above 20 should decrease and the stocks below 20 should increase. So rebalancing creates turnover within an index.</w:t>
      </w:r>
    </w:p>
    <w:p w:rsidR="00C65E24" w:rsidRDefault="00C65E24" w:rsidP="00C65E24">
      <w:r>
        <w:t>Price weighted index: Are not rebalanced because the price of each constituent security is determined by price.</w:t>
      </w:r>
    </w:p>
    <w:p w:rsidR="00C65E24" w:rsidRDefault="00C65E24" w:rsidP="00C65E24">
      <w:r>
        <w:t>Market Capitalization weighted indices: Rebalancing is less of a concern because these indices largely rebalance themselves. Market Capitalization weights are only adjusted to reflect mergers, acquisitions, liquidations or other corporate actions between rebalancing dates.</w:t>
      </w:r>
    </w:p>
    <w:p w:rsidR="00074F59" w:rsidRDefault="00074F59" w:rsidP="00074F59">
      <w:pPr>
        <w:pStyle w:val="Title"/>
      </w:pPr>
      <w:r>
        <w:t>Appendix charts MSCI Countries</w:t>
      </w:r>
    </w:p>
    <w:p w:rsidR="00074F59" w:rsidRDefault="00074F59" w:rsidP="00074F59">
      <w:pPr>
        <w:pStyle w:val="NoSpacing"/>
      </w:pPr>
    </w:p>
    <w:p w:rsidR="00074F59" w:rsidRDefault="00074F59" w:rsidP="00074F59">
      <w:pPr>
        <w:pStyle w:val="NoSpacing"/>
      </w:pPr>
      <w:r>
        <w:t>A comparison of the total return of the MSCI Countries versus the Indexed total return of these countries.</w:t>
      </w:r>
    </w:p>
    <w:p w:rsidR="00074F59" w:rsidRDefault="00074F59" w:rsidP="00074F59">
      <w:pPr>
        <w:pStyle w:val="NoSpacing"/>
      </w:pPr>
    </w:p>
    <w:p w:rsidR="00074F59" w:rsidRDefault="00074F59" w:rsidP="00C65E24"/>
    <w:p w:rsidR="00C65E24" w:rsidRDefault="002C487B" w:rsidP="00C65E24">
      <w:pPr>
        <w:pStyle w:val="NoSpacing"/>
      </w:pPr>
      <w:r>
        <w:pict>
          <v:shape id="_x0000_i1059" type="#_x0000_t75" style="width:462.1pt;height:126.8pt">
            <v:imagedata r:id="rId66" o:title=""/>
          </v:shape>
        </w:pict>
      </w:r>
    </w:p>
    <w:p w:rsidR="00C65E24" w:rsidRDefault="00C65E24" w:rsidP="00C65E24">
      <w:pPr>
        <w:pStyle w:val="NoSpacing"/>
      </w:pPr>
    </w:p>
    <w:p w:rsidR="00796465" w:rsidRDefault="002C487B" w:rsidP="00C65E24">
      <w:pPr>
        <w:pStyle w:val="NoSpacing"/>
      </w:pPr>
      <w:r>
        <w:pict>
          <v:shape id="_x0000_i1060" type="#_x0000_t75" style="width:468.55pt;height:130.55pt">
            <v:imagedata r:id="rId67" o:title=""/>
          </v:shape>
        </w:pict>
      </w:r>
    </w:p>
    <w:p w:rsidR="00FE20D0" w:rsidRDefault="00FE20D0" w:rsidP="00C65E24">
      <w:pPr>
        <w:pStyle w:val="NoSpacing"/>
      </w:pPr>
    </w:p>
    <w:p w:rsidR="00FE20D0" w:rsidRDefault="00FE20D0" w:rsidP="00C65E24">
      <w:pPr>
        <w:pStyle w:val="NoSpacing"/>
      </w:pPr>
    </w:p>
    <w:p w:rsidR="00FE20D0" w:rsidRDefault="00FE20D0" w:rsidP="00C65E24">
      <w:pPr>
        <w:pStyle w:val="NoSpacing"/>
      </w:pPr>
    </w:p>
    <w:p w:rsidR="007D22E5" w:rsidRDefault="007D22E5" w:rsidP="00C65E24">
      <w:pPr>
        <w:pStyle w:val="NoSpacing"/>
      </w:pPr>
    </w:p>
    <w:p w:rsidR="007D22E5" w:rsidRDefault="007D22E5" w:rsidP="00C65E24">
      <w:pPr>
        <w:pStyle w:val="NoSpacing"/>
      </w:pPr>
    </w:p>
    <w:p w:rsidR="007D22E5" w:rsidRDefault="007D22E5" w:rsidP="00C65E24">
      <w:pPr>
        <w:pStyle w:val="NoSpacing"/>
      </w:pPr>
    </w:p>
    <w:p w:rsidR="007D22E5" w:rsidRDefault="007D22E5" w:rsidP="00C65E24">
      <w:pPr>
        <w:pStyle w:val="NoSpacing"/>
      </w:pPr>
    </w:p>
    <w:p w:rsidR="007D22E5" w:rsidRDefault="007D22E5" w:rsidP="00C65E24">
      <w:pPr>
        <w:pStyle w:val="NoSpacing"/>
      </w:pPr>
    </w:p>
    <w:p w:rsidR="00074F59" w:rsidRDefault="00074F59">
      <w:pPr>
        <w:rPr>
          <w:rFonts w:asciiTheme="majorHAnsi" w:eastAsiaTheme="majorEastAsia" w:hAnsiTheme="majorHAnsi" w:cstheme="majorBidi"/>
          <w:color w:val="17365D" w:themeColor="text2" w:themeShade="BF"/>
          <w:spacing w:val="5"/>
          <w:kern w:val="28"/>
          <w:sz w:val="52"/>
          <w:szCs w:val="52"/>
        </w:rPr>
      </w:pPr>
      <w:r>
        <w:br w:type="page"/>
      </w:r>
    </w:p>
    <w:p w:rsidR="007D22E5" w:rsidRDefault="007D22E5" w:rsidP="007D22E5">
      <w:pPr>
        <w:pStyle w:val="Title"/>
      </w:pPr>
      <w:r>
        <w:t>Appendix table MSCI Emerging Markets index weight</w:t>
      </w:r>
    </w:p>
    <w:p w:rsidR="007D22E5" w:rsidRDefault="00C93198" w:rsidP="00C65E24">
      <w:pPr>
        <w:pStyle w:val="NoSpacing"/>
      </w:pPr>
      <w:r>
        <w:t>All countries that were in the MSCI Emerging Markets on 31 December 2010, with their number of stocks and index weight.</w:t>
      </w:r>
    </w:p>
    <w:p w:rsidR="00C34470" w:rsidRDefault="00C34470" w:rsidP="00C65E24">
      <w:pPr>
        <w:pStyle w:val="NoSpacing"/>
      </w:pPr>
    </w:p>
    <w:p w:rsidR="00692D8A" w:rsidRDefault="00692D8A" w:rsidP="00C65E24">
      <w:pPr>
        <w:pStyle w:val="NoSpacing"/>
      </w:pPr>
    </w:p>
    <w:p w:rsidR="00692D8A" w:rsidRDefault="003D440E" w:rsidP="00C65E24">
      <w:pPr>
        <w:pStyle w:val="NoSpacing"/>
        <w:sectPr w:rsidR="00692D8A" w:rsidSect="009B21AE">
          <w:pgSz w:w="11900" w:h="16840"/>
          <w:pgMar w:top="1440" w:right="1800" w:bottom="1440" w:left="1800" w:header="708" w:footer="708" w:gutter="0"/>
          <w:cols w:space="708"/>
          <w:titlePg/>
          <w:docGrid w:linePitch="360"/>
        </w:sectPr>
      </w:pPr>
      <w:r>
        <w:fldChar w:fldCharType="begin"/>
      </w:r>
      <w:r>
        <w:instrText xml:space="preserve"> LINK Excel.Sheet.8 "Macintosh HD:Users:merilinsimons:Scriptie:goedgekeurde resultaten:tabel_overzichtindexen compleet.xlsx!country breakdown!R3C1:R28C3" "" \a \p </w:instrText>
      </w:r>
      <w:r>
        <w:fldChar w:fldCharType="separate"/>
      </w:r>
      <w:r>
        <w:object w:dxaOrig="5280" w:dyaOrig="7820">
          <v:shape id="_x0000_i1061" type="#_x0000_t75" style="width:204.7pt;height:303.05pt">
            <v:imagedata r:id="rId68" o:title=""/>
          </v:shape>
        </w:object>
      </w:r>
      <w:r>
        <w:fldChar w:fldCharType="end"/>
      </w:r>
    </w:p>
    <w:p w:rsidR="00296226" w:rsidRDefault="00296226" w:rsidP="00C65E24">
      <w:pPr>
        <w:pStyle w:val="NoSpacing"/>
      </w:pPr>
    </w:p>
    <w:p w:rsidR="000F7442" w:rsidRDefault="000F7442" w:rsidP="000F7442">
      <w:pPr>
        <w:pStyle w:val="Title"/>
      </w:pPr>
      <w:r>
        <w:t>Appendix charts HSBC Countries</w:t>
      </w:r>
    </w:p>
    <w:p w:rsidR="000F7442" w:rsidRDefault="000F7442" w:rsidP="000F7442">
      <w:pPr>
        <w:pStyle w:val="NoSpacing"/>
      </w:pPr>
    </w:p>
    <w:p w:rsidR="000F7442" w:rsidRDefault="000F7442" w:rsidP="000F7442">
      <w:pPr>
        <w:pStyle w:val="NoSpacing"/>
      </w:pPr>
      <w:r>
        <w:t>A comparison of the total return of the HSBC Countries</w:t>
      </w:r>
      <w:r w:rsidR="00EE1204">
        <w:t xml:space="preserve"> </w:t>
      </w:r>
      <w:r>
        <w:t>versus the Indexed total return of these countries.</w:t>
      </w:r>
    </w:p>
    <w:p w:rsidR="00296226" w:rsidRDefault="00296226" w:rsidP="00C65E24">
      <w:pPr>
        <w:pStyle w:val="NoSpacing"/>
      </w:pPr>
    </w:p>
    <w:p w:rsidR="00296226" w:rsidRDefault="00296226" w:rsidP="00C65E24">
      <w:pPr>
        <w:pStyle w:val="NoSpacing"/>
      </w:pPr>
    </w:p>
    <w:p w:rsidR="00296226" w:rsidRDefault="00074F59" w:rsidP="00C65E24">
      <w:pPr>
        <w:pStyle w:val="NoSpacing"/>
      </w:pPr>
      <w:r>
        <w:rPr>
          <w:noProof/>
        </w:rPr>
        <w:drawing>
          <wp:inline distT="0" distB="0" distL="0" distR="0">
            <wp:extent cx="5270500" cy="1457037"/>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6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270500" cy="1457037"/>
                    </a:xfrm>
                    <a:prstGeom prst="rect">
                      <a:avLst/>
                    </a:prstGeom>
                    <a:noFill/>
                    <a:ln>
                      <a:noFill/>
                    </a:ln>
                  </pic:spPr>
                </pic:pic>
              </a:graphicData>
            </a:graphic>
          </wp:inline>
        </w:drawing>
      </w:r>
    </w:p>
    <w:p w:rsidR="00074F59" w:rsidRDefault="00074F59" w:rsidP="00C65E24">
      <w:pPr>
        <w:pStyle w:val="NoSpacing"/>
      </w:pPr>
    </w:p>
    <w:p w:rsidR="00296226" w:rsidRDefault="00296226" w:rsidP="00C65E24">
      <w:pPr>
        <w:pStyle w:val="NoSpacing"/>
      </w:pPr>
    </w:p>
    <w:p w:rsidR="00296226" w:rsidRDefault="00074F59" w:rsidP="00C65E24">
      <w:pPr>
        <w:pStyle w:val="NoSpacing"/>
      </w:pPr>
      <w:r>
        <w:rPr>
          <w:noProof/>
        </w:rPr>
        <w:drawing>
          <wp:inline distT="0" distB="0" distL="0" distR="0">
            <wp:extent cx="5270500" cy="1460284"/>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270500" cy="1460284"/>
                    </a:xfrm>
                    <a:prstGeom prst="rect">
                      <a:avLst/>
                    </a:prstGeom>
                    <a:noFill/>
                    <a:ln>
                      <a:noFill/>
                    </a:ln>
                  </pic:spPr>
                </pic:pic>
              </a:graphicData>
            </a:graphic>
          </wp:inline>
        </w:drawing>
      </w: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296226" w:rsidRDefault="00296226" w:rsidP="00C65E24">
      <w:pPr>
        <w:pStyle w:val="NoSpacing"/>
      </w:pPr>
    </w:p>
    <w:p w:rsidR="00DA7711" w:rsidRDefault="00C65E24" w:rsidP="00EF1080">
      <w:pPr>
        <w:pStyle w:val="Title"/>
      </w:pPr>
      <w:r>
        <w:t>Definitions</w:t>
      </w:r>
    </w:p>
    <w:p w:rsidR="001567AA" w:rsidRDefault="001567AA" w:rsidP="001567AA">
      <w:pPr>
        <w:pStyle w:val="Heading3"/>
      </w:pPr>
      <w:r>
        <w:t>Market Capitalization weighting</w:t>
      </w:r>
    </w:p>
    <w:p w:rsidR="001567AA" w:rsidRDefault="001567AA" w:rsidP="001567AA">
      <w:r>
        <w:t xml:space="preserve"> MSCI uses the Market Capitalization weighting. In Market Capitalization weighting or value weighting, the weight on each constituent security is determined by dividing its market capitalization by the total market capitalization (sum of the market capitalization) of all the securities in the index. Market capitalization or value is calculated by multiplying the number of shares outstanding by the market price per share.</w:t>
      </w:r>
    </w:p>
    <w:p w:rsidR="001567AA" w:rsidRDefault="001567AA" w:rsidP="001567AA">
      <w:pPr>
        <w:pStyle w:val="Heading3"/>
      </w:pPr>
      <w:r>
        <w:t>Float- Adjusted Market Capitalization Weighting</w:t>
      </w:r>
    </w:p>
    <w:p w:rsidR="001567AA" w:rsidRDefault="001567AA" w:rsidP="001567AA">
      <w:r>
        <w:t xml:space="preserve">In float adjusted market capitalization weighting, the weight on each constituent security is determined by adjusting </w:t>
      </w:r>
      <w:r w:rsidR="00AA0194">
        <w:t>its</w:t>
      </w:r>
      <w:r>
        <w:t xml:space="preserve"> market capitalization for its market float. Typically, market float is the number of shares of the constituent security that are available to the investing public. In addition to excluding shares, held by controlling share holders, most float- adjusted market- capitalization weighted indices also exclude shares held by other corporations and governments. And excluding shares that are not available to foreigner investors. Index providers revert to these indices as free float adjusted market capitalization weighted indices.</w:t>
      </w:r>
    </w:p>
    <w:p w:rsidR="001567AA" w:rsidRDefault="001567AA" w:rsidP="001567AA">
      <w:r>
        <w:t>Float adjusted market capitalization weighted indices reflect the shares available for public trading by multiplying the market price per share by the number of shares available to the investing public (=float adjusted market capitalization), rather than the total number of shares outstanding (= total market capitalization)</w:t>
      </w:r>
    </w:p>
    <w:p w:rsidR="00512E4C" w:rsidRDefault="001567AA" w:rsidP="001567AA">
      <w:r>
        <w:t>Currently, most market capitalization weighted indices are float adjusted. Meaning that market capitalization” weighting” refers to float adjusted Market Capitalization weighting. The advantage of this method is that constituent securities are held in proportion to their value in the target market. A disadvantage is that the constituent securities whose prices have risen the most or fallen the most, have greater or lower weight in the index. For example, as a security price rises relative to other securities in the index, its weight increases and as its price decreases in value relative to other securities in the index, its weight decreases. This weighting method leads to overweighting stocks that have declined in price and may be undervalued now.</w:t>
      </w:r>
    </w:p>
    <w:p w:rsidR="00512E4C" w:rsidRPr="00AA0194" w:rsidRDefault="00512E4C" w:rsidP="008F6F89">
      <w:pPr>
        <w:pStyle w:val="Heading3"/>
      </w:pPr>
      <w:r w:rsidRPr="00AA0194">
        <w:t>Correlation Coefficient</w:t>
      </w:r>
    </w:p>
    <w:p w:rsidR="00512E4C" w:rsidRDefault="00512E4C" w:rsidP="00512E4C">
      <w:r>
        <w:t>Correlation coefficient varies between -1 and 1. If the correlation coefficient is positive it means that, in the case that 2 stock markets, an upward or downward movement in one tends to be accompanied by an upward or downward movement in the other. A negative correlation coefficient means that the upward or downward movement in the other. A negative correlation coefficient means that 2 markets tend to move in opposite directions.</w:t>
      </w:r>
    </w:p>
    <w:p w:rsidR="00637DE1" w:rsidRDefault="00637DE1" w:rsidP="00074F59">
      <w:pPr>
        <w:pStyle w:val="Heading3"/>
      </w:pPr>
      <w:r>
        <w:t>MSCI</w:t>
      </w:r>
    </w:p>
    <w:p w:rsidR="00637DE1" w:rsidRDefault="00637DE1" w:rsidP="00512E4C">
      <w:r>
        <w:t>Morgan Stanley Capital International, a company that constructs a variety of indices covering many different asset classes, countries and regions</w:t>
      </w:r>
    </w:p>
    <w:p w:rsidR="00637DE1" w:rsidRDefault="00637DE1" w:rsidP="00074F59">
      <w:pPr>
        <w:pStyle w:val="Heading3"/>
      </w:pPr>
      <w:r>
        <w:t>MSCI Index</w:t>
      </w:r>
    </w:p>
    <w:p w:rsidR="0094559B" w:rsidRDefault="0094559B" w:rsidP="00512E4C">
      <w:r>
        <w:t>Morgan Stanley Capital International index</w:t>
      </w:r>
      <w:r w:rsidR="00D436AA">
        <w:t xml:space="preserve"> serves</w:t>
      </w:r>
      <w:r>
        <w:t xml:space="preserve"> to measure the relatively risky emerging global markets</w:t>
      </w:r>
      <w:r w:rsidR="00D436AA">
        <w:t xml:space="preserve"> equity performance,</w:t>
      </w:r>
      <w:r>
        <w:t xml:space="preserve"> consist</w:t>
      </w:r>
      <w:r w:rsidR="00D436AA">
        <w:t>ing</w:t>
      </w:r>
      <w:r>
        <w:t xml:space="preserve"> of indices in 26 emerging economies around the world. Emerging markets are effected by economies, politics and currency fluctuations, and can be included as part of overall investment portfolio as a </w:t>
      </w:r>
      <w:r w:rsidR="00D436AA">
        <w:t>way</w:t>
      </w:r>
      <w:r>
        <w:t xml:space="preserve"> of diversifying risk. </w:t>
      </w:r>
      <w:r w:rsidR="00D436AA">
        <w:t>These</w:t>
      </w:r>
      <w:r>
        <w:t xml:space="preserve"> emerging economies are considered to be extremely risky with the potential for either large profits or large losses.</w:t>
      </w:r>
    </w:p>
    <w:p w:rsidR="005926CF" w:rsidRDefault="005926CF" w:rsidP="00074F59">
      <w:pPr>
        <w:pStyle w:val="Heading3"/>
      </w:pPr>
      <w:r>
        <w:t>HSBC</w:t>
      </w:r>
    </w:p>
    <w:p w:rsidR="005926CF" w:rsidRDefault="00637DE1" w:rsidP="00512E4C">
      <w:r>
        <w:t>HSBC stands for Hong Kong and Shanghai Banking Corporation. It is a public banking institution, which was originally established to assist with financial needs related to trading between China and Europe.</w:t>
      </w:r>
    </w:p>
    <w:p w:rsidR="00512E4C" w:rsidRDefault="00512E4C" w:rsidP="00512E4C"/>
    <w:p w:rsidR="00512E4C" w:rsidRDefault="00512E4C" w:rsidP="00512E4C"/>
    <w:p w:rsidR="006C034E" w:rsidRDefault="006C034E"/>
    <w:p w:rsidR="0022472A" w:rsidRDefault="0022472A"/>
    <w:sectPr w:rsidR="0022472A" w:rsidSect="009B21AE">
      <w:pgSz w:w="11900" w:h="16840"/>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701" w:rsidRDefault="00E96701" w:rsidP="00327A44">
      <w:pPr>
        <w:spacing w:after="0" w:line="240" w:lineRule="auto"/>
      </w:pPr>
      <w:r>
        <w:separator/>
      </w:r>
    </w:p>
  </w:endnote>
  <w:endnote w:type="continuationSeparator" w:id="0">
    <w:p w:rsidR="00E96701" w:rsidRDefault="00E96701" w:rsidP="00327A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770" w:rsidRDefault="003D440E" w:rsidP="003C4950">
    <w:pPr>
      <w:pStyle w:val="Footer"/>
      <w:framePr w:wrap="around" w:vAnchor="text" w:hAnchor="margin" w:xAlign="right" w:y="1"/>
      <w:rPr>
        <w:rStyle w:val="PageNumber"/>
      </w:rPr>
    </w:pPr>
    <w:r>
      <w:rPr>
        <w:rStyle w:val="PageNumber"/>
      </w:rPr>
      <w:fldChar w:fldCharType="begin"/>
    </w:r>
    <w:r w:rsidR="00B95770">
      <w:rPr>
        <w:rStyle w:val="PageNumber"/>
      </w:rPr>
      <w:instrText xml:space="preserve">PAGE  </w:instrText>
    </w:r>
    <w:r>
      <w:rPr>
        <w:rStyle w:val="PageNumber"/>
      </w:rPr>
      <w:fldChar w:fldCharType="end"/>
    </w:r>
  </w:p>
  <w:p w:rsidR="00B95770" w:rsidRDefault="00B95770" w:rsidP="003C4950">
    <w:pPr>
      <w:pStyle w:val="Footer"/>
      <w:framePr w:wrap="around" w:vAnchor="text" w:hAnchor="margin" w:xAlign="right" w:y="1"/>
      <w:rPr>
        <w:rStyle w:val="PageNumber"/>
      </w:rPr>
    </w:pPr>
    <w: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770" w:rsidRDefault="003D440E" w:rsidP="003C4950">
    <w:pPr>
      <w:pStyle w:val="Footer"/>
      <w:framePr w:wrap="around" w:vAnchor="text" w:hAnchor="page" w:x="9901" w:y="31"/>
      <w:rPr>
        <w:rStyle w:val="PageNumber"/>
      </w:rPr>
    </w:pPr>
    <w:r>
      <w:rPr>
        <w:rStyle w:val="PageNumber"/>
      </w:rPr>
      <w:fldChar w:fldCharType="begin"/>
    </w:r>
    <w:r w:rsidR="00B95770">
      <w:rPr>
        <w:rStyle w:val="PageNumber"/>
      </w:rPr>
      <w:instrText xml:space="preserve">PAGE  </w:instrText>
    </w:r>
    <w:r>
      <w:rPr>
        <w:rStyle w:val="PageNumber"/>
      </w:rPr>
      <w:fldChar w:fldCharType="separate"/>
    </w:r>
    <w:r w:rsidR="002C487B">
      <w:rPr>
        <w:rStyle w:val="PageNumber"/>
        <w:noProof/>
      </w:rPr>
      <w:t>22</w:t>
    </w:r>
    <w:r>
      <w:rPr>
        <w:rStyle w:val="PageNumber"/>
      </w:rPr>
      <w:fldChar w:fldCharType="end"/>
    </w:r>
  </w:p>
  <w:p w:rsidR="00B95770" w:rsidRDefault="00B95770" w:rsidP="00E577BE">
    <w:pP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770" w:rsidRDefault="003D440E" w:rsidP="003C4950">
    <w:pPr>
      <w:pStyle w:val="Footer"/>
      <w:framePr w:wrap="around" w:vAnchor="text" w:hAnchor="page" w:x="9901" w:y="1"/>
      <w:rPr>
        <w:rStyle w:val="PageNumber"/>
      </w:rPr>
    </w:pPr>
    <w:r>
      <w:rPr>
        <w:rStyle w:val="PageNumber"/>
      </w:rPr>
      <w:fldChar w:fldCharType="begin"/>
    </w:r>
    <w:r w:rsidR="00B95770">
      <w:rPr>
        <w:rStyle w:val="PageNumber"/>
      </w:rPr>
      <w:instrText xml:space="preserve">PAGE  </w:instrText>
    </w:r>
    <w:r>
      <w:rPr>
        <w:rStyle w:val="PageNumber"/>
      </w:rPr>
      <w:fldChar w:fldCharType="separate"/>
    </w:r>
    <w:r w:rsidR="002C487B">
      <w:rPr>
        <w:rStyle w:val="PageNumber"/>
        <w:noProof/>
      </w:rPr>
      <w:t>23</w:t>
    </w:r>
    <w:r>
      <w:rPr>
        <w:rStyle w:val="PageNumber"/>
      </w:rPr>
      <w:fldChar w:fldCharType="end"/>
    </w:r>
  </w:p>
  <w:p w:rsidR="00B95770" w:rsidRPr="003C4950" w:rsidRDefault="00B95770" w:rsidP="003C495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701" w:rsidRDefault="00E96701" w:rsidP="00327A44">
      <w:pPr>
        <w:spacing w:after="0" w:line="240" w:lineRule="auto"/>
      </w:pPr>
      <w:r>
        <w:separator/>
      </w:r>
    </w:p>
  </w:footnote>
  <w:footnote w:type="continuationSeparator" w:id="0">
    <w:p w:rsidR="00E96701" w:rsidRDefault="00E96701" w:rsidP="00327A4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E56D2"/>
    <w:multiLevelType w:val="hybridMultilevel"/>
    <w:tmpl w:val="0BDA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1A0C77"/>
    <w:multiLevelType w:val="hybridMultilevel"/>
    <w:tmpl w:val="EC44B4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763534"/>
    <w:multiLevelType w:val="multilevel"/>
    <w:tmpl w:val="5880C150"/>
    <w:lvl w:ilvl="0">
      <w:start w:val="1"/>
      <w:numFmt w:val="decimal"/>
      <w:pStyle w:val="Heading1"/>
      <w:lvlText w:val="Chapter %1: "/>
      <w:lvlJc w:val="left"/>
      <w:pPr>
        <w:ind w:left="432" w:hanging="432"/>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nsid w:val="06325EC2"/>
    <w:multiLevelType w:val="hybridMultilevel"/>
    <w:tmpl w:val="2144B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CA2309"/>
    <w:multiLevelType w:val="hybridMultilevel"/>
    <w:tmpl w:val="89C01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B95D95"/>
    <w:multiLevelType w:val="hybridMultilevel"/>
    <w:tmpl w:val="1690E56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3A12DC"/>
    <w:multiLevelType w:val="hybridMultilevel"/>
    <w:tmpl w:val="6A244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573BA2"/>
    <w:multiLevelType w:val="hybridMultilevel"/>
    <w:tmpl w:val="1054D59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B54575"/>
    <w:multiLevelType w:val="hybridMultilevel"/>
    <w:tmpl w:val="9D788C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A291809"/>
    <w:multiLevelType w:val="hybridMultilevel"/>
    <w:tmpl w:val="67685F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C597E03"/>
    <w:multiLevelType w:val="hybridMultilevel"/>
    <w:tmpl w:val="1EB0B2AC"/>
    <w:lvl w:ilvl="0" w:tplc="225EE18A">
      <w:start w:val="2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D524F49"/>
    <w:multiLevelType w:val="multilevel"/>
    <w:tmpl w:val="A3F699F8"/>
    <w:lvl w:ilvl="0">
      <w:start w:val="1"/>
      <w:numFmt w:val="decimal"/>
      <w:lvlText w:val="Chapter %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nsid w:val="2D5550E4"/>
    <w:multiLevelType w:val="hybridMultilevel"/>
    <w:tmpl w:val="0A84B43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27F69BF"/>
    <w:multiLevelType w:val="multilevel"/>
    <w:tmpl w:val="E9CE1DF8"/>
    <w:lvl w:ilvl="0">
      <w:start w:val="1"/>
      <w:numFmt w:val="decimal"/>
      <w:lvlText w:val="Chapter %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nsid w:val="34781860"/>
    <w:multiLevelType w:val="hybridMultilevel"/>
    <w:tmpl w:val="B2B436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77B1CE4"/>
    <w:multiLevelType w:val="multilevel"/>
    <w:tmpl w:val="A3F699F8"/>
    <w:lvl w:ilvl="0">
      <w:start w:val="1"/>
      <w:numFmt w:val="decimal"/>
      <w:lvlText w:val="Chapter %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nsid w:val="40B051A9"/>
    <w:multiLevelType w:val="multilevel"/>
    <w:tmpl w:val="5880C150"/>
    <w:lvl w:ilvl="0">
      <w:start w:val="1"/>
      <w:numFmt w:val="decimal"/>
      <w:lvlText w:val="Chapter %1: "/>
      <w:lvlJc w:val="left"/>
      <w:pPr>
        <w:ind w:left="432" w:hanging="432"/>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445F26FF"/>
    <w:multiLevelType w:val="hybridMultilevel"/>
    <w:tmpl w:val="8E2811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7AB2A74"/>
    <w:multiLevelType w:val="hybridMultilevel"/>
    <w:tmpl w:val="B3BA55B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87E4246"/>
    <w:multiLevelType w:val="multilevel"/>
    <w:tmpl w:val="A3F699F8"/>
    <w:lvl w:ilvl="0">
      <w:start w:val="1"/>
      <w:numFmt w:val="decimal"/>
      <w:lvlText w:val="Chapter %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nsid w:val="4B651CDE"/>
    <w:multiLevelType w:val="multilevel"/>
    <w:tmpl w:val="619E56BC"/>
    <w:lvl w:ilvl="0">
      <w:start w:val="1"/>
      <w:numFmt w:val="decimal"/>
      <w:lvlText w:val="Chapter %1: "/>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nsid w:val="4C0D46C3"/>
    <w:multiLevelType w:val="hybridMultilevel"/>
    <w:tmpl w:val="E090A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267838"/>
    <w:multiLevelType w:val="hybridMultilevel"/>
    <w:tmpl w:val="9BA21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C8F2597"/>
    <w:multiLevelType w:val="hybridMultilevel"/>
    <w:tmpl w:val="B2B09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D4570AD"/>
    <w:multiLevelType w:val="hybridMultilevel"/>
    <w:tmpl w:val="9BA21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BB7713"/>
    <w:multiLevelType w:val="multilevel"/>
    <w:tmpl w:val="A3F699F8"/>
    <w:lvl w:ilvl="0">
      <w:start w:val="1"/>
      <w:numFmt w:val="decimal"/>
      <w:lvlText w:val="Chapter %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DA47DAA"/>
    <w:multiLevelType w:val="multilevel"/>
    <w:tmpl w:val="A3F699F8"/>
    <w:lvl w:ilvl="0">
      <w:start w:val="1"/>
      <w:numFmt w:val="decimal"/>
      <w:lvlText w:val="Chapter %1: "/>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nsid w:val="6DF7759E"/>
    <w:multiLevelType w:val="hybridMultilevel"/>
    <w:tmpl w:val="E4CAD6E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74692A4D"/>
    <w:multiLevelType w:val="hybridMultilevel"/>
    <w:tmpl w:val="12C80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6A4610"/>
    <w:multiLevelType w:val="hybridMultilevel"/>
    <w:tmpl w:val="228A6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7E389B"/>
    <w:multiLevelType w:val="hybridMultilevel"/>
    <w:tmpl w:val="8BC45F12"/>
    <w:lvl w:ilvl="0" w:tplc="B5FAE9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6"/>
  </w:num>
  <w:num w:numId="3">
    <w:abstractNumId w:val="25"/>
  </w:num>
  <w:num w:numId="4">
    <w:abstractNumId w:val="0"/>
  </w:num>
  <w:num w:numId="5">
    <w:abstractNumId w:val="6"/>
  </w:num>
  <w:num w:numId="6">
    <w:abstractNumId w:val="17"/>
  </w:num>
  <w:num w:numId="7">
    <w:abstractNumId w:val="22"/>
  </w:num>
  <w:num w:numId="8">
    <w:abstractNumId w:val="23"/>
  </w:num>
  <w:num w:numId="9">
    <w:abstractNumId w:val="7"/>
  </w:num>
  <w:num w:numId="10">
    <w:abstractNumId w:val="27"/>
  </w:num>
  <w:num w:numId="11">
    <w:abstractNumId w:val="8"/>
  </w:num>
  <w:num w:numId="12">
    <w:abstractNumId w:val="9"/>
  </w:num>
  <w:num w:numId="13">
    <w:abstractNumId w:val="18"/>
  </w:num>
  <w:num w:numId="14">
    <w:abstractNumId w:val="12"/>
  </w:num>
  <w:num w:numId="15">
    <w:abstractNumId w:val="14"/>
  </w:num>
  <w:num w:numId="16">
    <w:abstractNumId w:val="10"/>
  </w:num>
  <w:num w:numId="17">
    <w:abstractNumId w:val="24"/>
  </w:num>
  <w:num w:numId="18">
    <w:abstractNumId w:val="29"/>
  </w:num>
  <w:num w:numId="19">
    <w:abstractNumId w:val="5"/>
  </w:num>
  <w:num w:numId="20">
    <w:abstractNumId w:val="1"/>
  </w:num>
  <w:num w:numId="21">
    <w:abstractNumId w:val="28"/>
  </w:num>
  <w:num w:numId="22">
    <w:abstractNumId w:val="4"/>
  </w:num>
  <w:num w:numId="23">
    <w:abstractNumId w:val="3"/>
  </w:num>
  <w:num w:numId="24">
    <w:abstractNumId w:val="21"/>
  </w:num>
  <w:num w:numId="25">
    <w:abstractNumId w:val="30"/>
  </w:num>
  <w:num w:numId="26">
    <w:abstractNumId w:val="11"/>
  </w:num>
  <w:num w:numId="27">
    <w:abstractNumId w:val="15"/>
  </w:num>
  <w:num w:numId="28">
    <w:abstractNumId w:val="13"/>
  </w:num>
  <w:num w:numId="29">
    <w:abstractNumId w:val="19"/>
  </w:num>
  <w:num w:numId="30">
    <w:abstractNumId w:val="2"/>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TrackMoves/>
  <w:defaultTabStop w:val="720"/>
  <w:characterSpacingControl w:val="doNotCompress"/>
  <w:hdrShapeDefaults>
    <o:shapedefaults v:ext="edit" spidmax="4097"/>
  </w:hdrShapeDefaults>
  <w:footnotePr>
    <w:footnote w:id="-1"/>
    <w:footnote w:id="0"/>
  </w:footnotePr>
  <w:endnotePr>
    <w:endnote w:id="-1"/>
    <w:endnote w:id="0"/>
  </w:endnotePr>
  <w:compat>
    <w:useFELayout/>
    <w:doNotAutofitConstrainedTables/>
    <w:splitPgBreakAndParaMark/>
  </w:compat>
  <w:rsids>
    <w:rsidRoot w:val="00512E4C"/>
    <w:rsid w:val="00001878"/>
    <w:rsid w:val="00003410"/>
    <w:rsid w:val="0000346F"/>
    <w:rsid w:val="00011BCD"/>
    <w:rsid w:val="000150EA"/>
    <w:rsid w:val="00015D60"/>
    <w:rsid w:val="00016357"/>
    <w:rsid w:val="000177BA"/>
    <w:rsid w:val="00017C23"/>
    <w:rsid w:val="00020BE3"/>
    <w:rsid w:val="000225FA"/>
    <w:rsid w:val="00023878"/>
    <w:rsid w:val="00023FB8"/>
    <w:rsid w:val="00026B2F"/>
    <w:rsid w:val="00027196"/>
    <w:rsid w:val="00030104"/>
    <w:rsid w:val="0003266D"/>
    <w:rsid w:val="00041EB3"/>
    <w:rsid w:val="00042C37"/>
    <w:rsid w:val="000433CA"/>
    <w:rsid w:val="000436DF"/>
    <w:rsid w:val="00043F36"/>
    <w:rsid w:val="0004548D"/>
    <w:rsid w:val="000459FA"/>
    <w:rsid w:val="00045BB6"/>
    <w:rsid w:val="00045C07"/>
    <w:rsid w:val="00046C47"/>
    <w:rsid w:val="00046FBF"/>
    <w:rsid w:val="0005011F"/>
    <w:rsid w:val="00053AB1"/>
    <w:rsid w:val="000548FB"/>
    <w:rsid w:val="00054EF6"/>
    <w:rsid w:val="0005582E"/>
    <w:rsid w:val="00056858"/>
    <w:rsid w:val="00060A73"/>
    <w:rsid w:val="000618A4"/>
    <w:rsid w:val="00061F05"/>
    <w:rsid w:val="00062100"/>
    <w:rsid w:val="00062B25"/>
    <w:rsid w:val="000645D3"/>
    <w:rsid w:val="000645F6"/>
    <w:rsid w:val="00064962"/>
    <w:rsid w:val="000657CB"/>
    <w:rsid w:val="0006708D"/>
    <w:rsid w:val="00071746"/>
    <w:rsid w:val="00072D20"/>
    <w:rsid w:val="00072FCB"/>
    <w:rsid w:val="00073F1E"/>
    <w:rsid w:val="00074F59"/>
    <w:rsid w:val="00075D41"/>
    <w:rsid w:val="00077400"/>
    <w:rsid w:val="00085D77"/>
    <w:rsid w:val="00087850"/>
    <w:rsid w:val="00092F15"/>
    <w:rsid w:val="0009399B"/>
    <w:rsid w:val="000947BF"/>
    <w:rsid w:val="00096CB7"/>
    <w:rsid w:val="000A0BC4"/>
    <w:rsid w:val="000A1CDB"/>
    <w:rsid w:val="000A21B2"/>
    <w:rsid w:val="000A31E1"/>
    <w:rsid w:val="000A4F41"/>
    <w:rsid w:val="000A5D24"/>
    <w:rsid w:val="000A6308"/>
    <w:rsid w:val="000B09CA"/>
    <w:rsid w:val="000B1729"/>
    <w:rsid w:val="000B1BE1"/>
    <w:rsid w:val="000B2CDF"/>
    <w:rsid w:val="000B2D36"/>
    <w:rsid w:val="000B31F7"/>
    <w:rsid w:val="000B49B3"/>
    <w:rsid w:val="000B52AA"/>
    <w:rsid w:val="000C2930"/>
    <w:rsid w:val="000C3E90"/>
    <w:rsid w:val="000C63E0"/>
    <w:rsid w:val="000C7B02"/>
    <w:rsid w:val="000C7FE1"/>
    <w:rsid w:val="000D396F"/>
    <w:rsid w:val="000D6A30"/>
    <w:rsid w:val="000E1A0F"/>
    <w:rsid w:val="000E1B8C"/>
    <w:rsid w:val="000E2FB1"/>
    <w:rsid w:val="000E3AA8"/>
    <w:rsid w:val="000E3BD1"/>
    <w:rsid w:val="000E4037"/>
    <w:rsid w:val="000E4264"/>
    <w:rsid w:val="000E6844"/>
    <w:rsid w:val="000E6CD7"/>
    <w:rsid w:val="000E70C1"/>
    <w:rsid w:val="000F31AF"/>
    <w:rsid w:val="000F48A3"/>
    <w:rsid w:val="000F4C83"/>
    <w:rsid w:val="000F5A2F"/>
    <w:rsid w:val="000F6CCC"/>
    <w:rsid w:val="000F7442"/>
    <w:rsid w:val="00101BE9"/>
    <w:rsid w:val="001022B0"/>
    <w:rsid w:val="001036E5"/>
    <w:rsid w:val="001044F4"/>
    <w:rsid w:val="001045C6"/>
    <w:rsid w:val="00104AA2"/>
    <w:rsid w:val="001071FF"/>
    <w:rsid w:val="00107F67"/>
    <w:rsid w:val="0011192E"/>
    <w:rsid w:val="00115925"/>
    <w:rsid w:val="00115D9B"/>
    <w:rsid w:val="00115F2E"/>
    <w:rsid w:val="001173F5"/>
    <w:rsid w:val="001200EC"/>
    <w:rsid w:val="001308C7"/>
    <w:rsid w:val="00130CEF"/>
    <w:rsid w:val="00131095"/>
    <w:rsid w:val="00132A93"/>
    <w:rsid w:val="001333EE"/>
    <w:rsid w:val="0013417E"/>
    <w:rsid w:val="0013534F"/>
    <w:rsid w:val="00136FF6"/>
    <w:rsid w:val="0013742C"/>
    <w:rsid w:val="001441E3"/>
    <w:rsid w:val="0014722D"/>
    <w:rsid w:val="00147C22"/>
    <w:rsid w:val="001507C2"/>
    <w:rsid w:val="00150E8E"/>
    <w:rsid w:val="0015245C"/>
    <w:rsid w:val="00153564"/>
    <w:rsid w:val="00153940"/>
    <w:rsid w:val="00153C10"/>
    <w:rsid w:val="00155942"/>
    <w:rsid w:val="001567AA"/>
    <w:rsid w:val="00157C0A"/>
    <w:rsid w:val="0016235E"/>
    <w:rsid w:val="00164B26"/>
    <w:rsid w:val="00164CDF"/>
    <w:rsid w:val="0016798F"/>
    <w:rsid w:val="00170F9D"/>
    <w:rsid w:val="00170FD3"/>
    <w:rsid w:val="00171521"/>
    <w:rsid w:val="001721A0"/>
    <w:rsid w:val="00173AB3"/>
    <w:rsid w:val="00174BBC"/>
    <w:rsid w:val="001751C4"/>
    <w:rsid w:val="00175AD9"/>
    <w:rsid w:val="00176222"/>
    <w:rsid w:val="00176E50"/>
    <w:rsid w:val="00176EA6"/>
    <w:rsid w:val="00177221"/>
    <w:rsid w:val="001808A1"/>
    <w:rsid w:val="00182000"/>
    <w:rsid w:val="00182423"/>
    <w:rsid w:val="001838D4"/>
    <w:rsid w:val="00184318"/>
    <w:rsid w:val="0018575B"/>
    <w:rsid w:val="00185D12"/>
    <w:rsid w:val="001873AA"/>
    <w:rsid w:val="00192285"/>
    <w:rsid w:val="00192C6F"/>
    <w:rsid w:val="0019451C"/>
    <w:rsid w:val="0019482A"/>
    <w:rsid w:val="001975AD"/>
    <w:rsid w:val="001977FF"/>
    <w:rsid w:val="00197FE1"/>
    <w:rsid w:val="001A0F7A"/>
    <w:rsid w:val="001A1AEB"/>
    <w:rsid w:val="001A3912"/>
    <w:rsid w:val="001A702C"/>
    <w:rsid w:val="001B0CAA"/>
    <w:rsid w:val="001B1177"/>
    <w:rsid w:val="001B28D5"/>
    <w:rsid w:val="001B2C22"/>
    <w:rsid w:val="001B4BB3"/>
    <w:rsid w:val="001B51DD"/>
    <w:rsid w:val="001B7411"/>
    <w:rsid w:val="001B77FB"/>
    <w:rsid w:val="001C2E7F"/>
    <w:rsid w:val="001C36A3"/>
    <w:rsid w:val="001C6C98"/>
    <w:rsid w:val="001D1494"/>
    <w:rsid w:val="001D1D61"/>
    <w:rsid w:val="001D2966"/>
    <w:rsid w:val="001D3268"/>
    <w:rsid w:val="001D378C"/>
    <w:rsid w:val="001D6946"/>
    <w:rsid w:val="001D6D13"/>
    <w:rsid w:val="001E2380"/>
    <w:rsid w:val="001E390C"/>
    <w:rsid w:val="001F2B81"/>
    <w:rsid w:val="001F3255"/>
    <w:rsid w:val="001F34C5"/>
    <w:rsid w:val="001F4124"/>
    <w:rsid w:val="002006FE"/>
    <w:rsid w:val="00200CFD"/>
    <w:rsid w:val="00201326"/>
    <w:rsid w:val="00202F4D"/>
    <w:rsid w:val="0020379B"/>
    <w:rsid w:val="002060F8"/>
    <w:rsid w:val="00207553"/>
    <w:rsid w:val="00214016"/>
    <w:rsid w:val="002176F5"/>
    <w:rsid w:val="00217B51"/>
    <w:rsid w:val="00217F57"/>
    <w:rsid w:val="00221776"/>
    <w:rsid w:val="00221D2A"/>
    <w:rsid w:val="00223962"/>
    <w:rsid w:val="00223F0A"/>
    <w:rsid w:val="0022472A"/>
    <w:rsid w:val="00225DB0"/>
    <w:rsid w:val="002266D2"/>
    <w:rsid w:val="00230484"/>
    <w:rsid w:val="00230C3F"/>
    <w:rsid w:val="002329EB"/>
    <w:rsid w:val="002348D2"/>
    <w:rsid w:val="00236605"/>
    <w:rsid w:val="00241274"/>
    <w:rsid w:val="002413A9"/>
    <w:rsid w:val="00241D18"/>
    <w:rsid w:val="00242A5A"/>
    <w:rsid w:val="00243982"/>
    <w:rsid w:val="0024628E"/>
    <w:rsid w:val="002467B0"/>
    <w:rsid w:val="00247421"/>
    <w:rsid w:val="00247AEC"/>
    <w:rsid w:val="00247D66"/>
    <w:rsid w:val="002509E4"/>
    <w:rsid w:val="00250D5D"/>
    <w:rsid w:val="00252F35"/>
    <w:rsid w:val="00254201"/>
    <w:rsid w:val="0025737B"/>
    <w:rsid w:val="002609E4"/>
    <w:rsid w:val="00263116"/>
    <w:rsid w:val="00263B9A"/>
    <w:rsid w:val="002642E4"/>
    <w:rsid w:val="00264C63"/>
    <w:rsid w:val="00265128"/>
    <w:rsid w:val="0026722B"/>
    <w:rsid w:val="002677BE"/>
    <w:rsid w:val="00271DCA"/>
    <w:rsid w:val="00272570"/>
    <w:rsid w:val="0027259A"/>
    <w:rsid w:val="0027287B"/>
    <w:rsid w:val="00272942"/>
    <w:rsid w:val="00273003"/>
    <w:rsid w:val="00273167"/>
    <w:rsid w:val="00274260"/>
    <w:rsid w:val="002750B2"/>
    <w:rsid w:val="00280C38"/>
    <w:rsid w:val="002810B1"/>
    <w:rsid w:val="00281865"/>
    <w:rsid w:val="00282304"/>
    <w:rsid w:val="002833B4"/>
    <w:rsid w:val="00283F66"/>
    <w:rsid w:val="00284D0F"/>
    <w:rsid w:val="00284FFF"/>
    <w:rsid w:val="00286EF8"/>
    <w:rsid w:val="0029057F"/>
    <w:rsid w:val="0029186B"/>
    <w:rsid w:val="00292CD8"/>
    <w:rsid w:val="00293A6C"/>
    <w:rsid w:val="00296226"/>
    <w:rsid w:val="002A1FB1"/>
    <w:rsid w:val="002A2D19"/>
    <w:rsid w:val="002A325B"/>
    <w:rsid w:val="002A5A1E"/>
    <w:rsid w:val="002A5C22"/>
    <w:rsid w:val="002A7780"/>
    <w:rsid w:val="002B11D8"/>
    <w:rsid w:val="002B1AB2"/>
    <w:rsid w:val="002B1FE9"/>
    <w:rsid w:val="002B31C4"/>
    <w:rsid w:val="002B527A"/>
    <w:rsid w:val="002B621C"/>
    <w:rsid w:val="002C17D0"/>
    <w:rsid w:val="002C2099"/>
    <w:rsid w:val="002C36A3"/>
    <w:rsid w:val="002C40D0"/>
    <w:rsid w:val="002C4269"/>
    <w:rsid w:val="002C487B"/>
    <w:rsid w:val="002C5E7F"/>
    <w:rsid w:val="002C600E"/>
    <w:rsid w:val="002C763A"/>
    <w:rsid w:val="002D0229"/>
    <w:rsid w:val="002D0A29"/>
    <w:rsid w:val="002D1D9A"/>
    <w:rsid w:val="002E2E5F"/>
    <w:rsid w:val="002E37AE"/>
    <w:rsid w:val="002E558A"/>
    <w:rsid w:val="002E6014"/>
    <w:rsid w:val="002E7355"/>
    <w:rsid w:val="002E7EBF"/>
    <w:rsid w:val="002F0025"/>
    <w:rsid w:val="002F20A2"/>
    <w:rsid w:val="002F32D2"/>
    <w:rsid w:val="002F38F5"/>
    <w:rsid w:val="002F5174"/>
    <w:rsid w:val="002F6DD2"/>
    <w:rsid w:val="00302379"/>
    <w:rsid w:val="00306241"/>
    <w:rsid w:val="003110D2"/>
    <w:rsid w:val="0031232E"/>
    <w:rsid w:val="003151C7"/>
    <w:rsid w:val="00320711"/>
    <w:rsid w:val="003210A7"/>
    <w:rsid w:val="00321942"/>
    <w:rsid w:val="00322730"/>
    <w:rsid w:val="00323641"/>
    <w:rsid w:val="003253C6"/>
    <w:rsid w:val="00325CFF"/>
    <w:rsid w:val="003267EE"/>
    <w:rsid w:val="00326AB7"/>
    <w:rsid w:val="003271FB"/>
    <w:rsid w:val="00327A44"/>
    <w:rsid w:val="00330469"/>
    <w:rsid w:val="00333B7C"/>
    <w:rsid w:val="003340F8"/>
    <w:rsid w:val="003345D6"/>
    <w:rsid w:val="0033509D"/>
    <w:rsid w:val="00335CC4"/>
    <w:rsid w:val="003362AA"/>
    <w:rsid w:val="00336BD3"/>
    <w:rsid w:val="00340082"/>
    <w:rsid w:val="003432AA"/>
    <w:rsid w:val="0034697C"/>
    <w:rsid w:val="00347352"/>
    <w:rsid w:val="00347BD5"/>
    <w:rsid w:val="00352539"/>
    <w:rsid w:val="003525C5"/>
    <w:rsid w:val="003538E2"/>
    <w:rsid w:val="00356AEF"/>
    <w:rsid w:val="003578E0"/>
    <w:rsid w:val="00357B23"/>
    <w:rsid w:val="003600C9"/>
    <w:rsid w:val="0036011F"/>
    <w:rsid w:val="00361ECA"/>
    <w:rsid w:val="00363BB6"/>
    <w:rsid w:val="00365F65"/>
    <w:rsid w:val="00370613"/>
    <w:rsid w:val="003724EE"/>
    <w:rsid w:val="0037288C"/>
    <w:rsid w:val="00373003"/>
    <w:rsid w:val="00373E15"/>
    <w:rsid w:val="0037576B"/>
    <w:rsid w:val="00375E95"/>
    <w:rsid w:val="00376D0E"/>
    <w:rsid w:val="00377165"/>
    <w:rsid w:val="00377507"/>
    <w:rsid w:val="00377965"/>
    <w:rsid w:val="00377BAE"/>
    <w:rsid w:val="0038090A"/>
    <w:rsid w:val="00381617"/>
    <w:rsid w:val="00382324"/>
    <w:rsid w:val="003836F0"/>
    <w:rsid w:val="00383AB8"/>
    <w:rsid w:val="003842DA"/>
    <w:rsid w:val="003843FA"/>
    <w:rsid w:val="003928FC"/>
    <w:rsid w:val="00392F53"/>
    <w:rsid w:val="003A2025"/>
    <w:rsid w:val="003A33C2"/>
    <w:rsid w:val="003A6E6C"/>
    <w:rsid w:val="003B0EFC"/>
    <w:rsid w:val="003B4BEB"/>
    <w:rsid w:val="003B6E08"/>
    <w:rsid w:val="003B78DE"/>
    <w:rsid w:val="003C1151"/>
    <w:rsid w:val="003C4455"/>
    <w:rsid w:val="003C4950"/>
    <w:rsid w:val="003C5FC8"/>
    <w:rsid w:val="003C73A7"/>
    <w:rsid w:val="003C7E13"/>
    <w:rsid w:val="003D01B3"/>
    <w:rsid w:val="003D0ADE"/>
    <w:rsid w:val="003D167C"/>
    <w:rsid w:val="003D2FFD"/>
    <w:rsid w:val="003D440E"/>
    <w:rsid w:val="003D4539"/>
    <w:rsid w:val="003E0E48"/>
    <w:rsid w:val="003E1C39"/>
    <w:rsid w:val="003E3126"/>
    <w:rsid w:val="003E4A05"/>
    <w:rsid w:val="003E676F"/>
    <w:rsid w:val="003E786B"/>
    <w:rsid w:val="003E7FF5"/>
    <w:rsid w:val="003F0816"/>
    <w:rsid w:val="003F0BC9"/>
    <w:rsid w:val="003F0F78"/>
    <w:rsid w:val="003F5148"/>
    <w:rsid w:val="003F60AF"/>
    <w:rsid w:val="003F7249"/>
    <w:rsid w:val="00404A36"/>
    <w:rsid w:val="00404F9D"/>
    <w:rsid w:val="0040671D"/>
    <w:rsid w:val="004114FC"/>
    <w:rsid w:val="00412898"/>
    <w:rsid w:val="00413F2D"/>
    <w:rsid w:val="00413F51"/>
    <w:rsid w:val="00414224"/>
    <w:rsid w:val="004174AB"/>
    <w:rsid w:val="004177C9"/>
    <w:rsid w:val="0042142F"/>
    <w:rsid w:val="004215F2"/>
    <w:rsid w:val="0042169E"/>
    <w:rsid w:val="0042261F"/>
    <w:rsid w:val="00422E9F"/>
    <w:rsid w:val="00423552"/>
    <w:rsid w:val="00424C77"/>
    <w:rsid w:val="00425818"/>
    <w:rsid w:val="00425CE0"/>
    <w:rsid w:val="00426A49"/>
    <w:rsid w:val="00426B50"/>
    <w:rsid w:val="004329AD"/>
    <w:rsid w:val="00433F53"/>
    <w:rsid w:val="00434D83"/>
    <w:rsid w:val="004362AA"/>
    <w:rsid w:val="004366A3"/>
    <w:rsid w:val="00436CE3"/>
    <w:rsid w:val="004371DF"/>
    <w:rsid w:val="0043756A"/>
    <w:rsid w:val="0043758D"/>
    <w:rsid w:val="00440335"/>
    <w:rsid w:val="00443AF0"/>
    <w:rsid w:val="00445AA4"/>
    <w:rsid w:val="004502C4"/>
    <w:rsid w:val="00450B69"/>
    <w:rsid w:val="004517D2"/>
    <w:rsid w:val="00454C39"/>
    <w:rsid w:val="00456800"/>
    <w:rsid w:val="00456D16"/>
    <w:rsid w:val="00457143"/>
    <w:rsid w:val="004603E9"/>
    <w:rsid w:val="00460F36"/>
    <w:rsid w:val="00467C9C"/>
    <w:rsid w:val="0047242C"/>
    <w:rsid w:val="004734C0"/>
    <w:rsid w:val="00473A64"/>
    <w:rsid w:val="00474AD1"/>
    <w:rsid w:val="00475FB8"/>
    <w:rsid w:val="00477B99"/>
    <w:rsid w:val="00481FB1"/>
    <w:rsid w:val="00484D91"/>
    <w:rsid w:val="00485BD1"/>
    <w:rsid w:val="00486CF0"/>
    <w:rsid w:val="00490642"/>
    <w:rsid w:val="00490BC7"/>
    <w:rsid w:val="00493424"/>
    <w:rsid w:val="0049474C"/>
    <w:rsid w:val="00494893"/>
    <w:rsid w:val="00494B60"/>
    <w:rsid w:val="004958F0"/>
    <w:rsid w:val="00496902"/>
    <w:rsid w:val="0049766D"/>
    <w:rsid w:val="004A166C"/>
    <w:rsid w:val="004A1CBD"/>
    <w:rsid w:val="004A2758"/>
    <w:rsid w:val="004A4A4B"/>
    <w:rsid w:val="004A5186"/>
    <w:rsid w:val="004A6A0E"/>
    <w:rsid w:val="004B0858"/>
    <w:rsid w:val="004B0EFD"/>
    <w:rsid w:val="004B2A06"/>
    <w:rsid w:val="004B4550"/>
    <w:rsid w:val="004B4C92"/>
    <w:rsid w:val="004B5399"/>
    <w:rsid w:val="004B5CF4"/>
    <w:rsid w:val="004B606F"/>
    <w:rsid w:val="004B65C6"/>
    <w:rsid w:val="004C27A4"/>
    <w:rsid w:val="004C5987"/>
    <w:rsid w:val="004C719E"/>
    <w:rsid w:val="004C7BD7"/>
    <w:rsid w:val="004D082D"/>
    <w:rsid w:val="004D0A54"/>
    <w:rsid w:val="004D0C91"/>
    <w:rsid w:val="004D1BBB"/>
    <w:rsid w:val="004D2996"/>
    <w:rsid w:val="004D312C"/>
    <w:rsid w:val="004D4BB1"/>
    <w:rsid w:val="004D5798"/>
    <w:rsid w:val="004D6086"/>
    <w:rsid w:val="004D66A2"/>
    <w:rsid w:val="004D6E11"/>
    <w:rsid w:val="004E20BE"/>
    <w:rsid w:val="004E3F10"/>
    <w:rsid w:val="004E5BDE"/>
    <w:rsid w:val="004E7EEF"/>
    <w:rsid w:val="004F2B2B"/>
    <w:rsid w:val="004F656B"/>
    <w:rsid w:val="004F7A59"/>
    <w:rsid w:val="00501DAA"/>
    <w:rsid w:val="00504E0B"/>
    <w:rsid w:val="00505226"/>
    <w:rsid w:val="00505763"/>
    <w:rsid w:val="005113EB"/>
    <w:rsid w:val="00512E4C"/>
    <w:rsid w:val="00513E7A"/>
    <w:rsid w:val="005163A0"/>
    <w:rsid w:val="00520B7A"/>
    <w:rsid w:val="00521AD0"/>
    <w:rsid w:val="00523B54"/>
    <w:rsid w:val="00524313"/>
    <w:rsid w:val="00524461"/>
    <w:rsid w:val="00524FEE"/>
    <w:rsid w:val="0052522B"/>
    <w:rsid w:val="0052626F"/>
    <w:rsid w:val="005267DF"/>
    <w:rsid w:val="00527C07"/>
    <w:rsid w:val="00527FB8"/>
    <w:rsid w:val="005301A8"/>
    <w:rsid w:val="0053203A"/>
    <w:rsid w:val="00532545"/>
    <w:rsid w:val="005338C2"/>
    <w:rsid w:val="00533976"/>
    <w:rsid w:val="005364D1"/>
    <w:rsid w:val="00536653"/>
    <w:rsid w:val="005444DD"/>
    <w:rsid w:val="0054615D"/>
    <w:rsid w:val="0055115A"/>
    <w:rsid w:val="00553660"/>
    <w:rsid w:val="005545CF"/>
    <w:rsid w:val="005552D7"/>
    <w:rsid w:val="00556CAD"/>
    <w:rsid w:val="00560324"/>
    <w:rsid w:val="005630A5"/>
    <w:rsid w:val="00565C39"/>
    <w:rsid w:val="00566A85"/>
    <w:rsid w:val="00567C34"/>
    <w:rsid w:val="005719A4"/>
    <w:rsid w:val="0057266D"/>
    <w:rsid w:val="00572792"/>
    <w:rsid w:val="0057424E"/>
    <w:rsid w:val="00577C39"/>
    <w:rsid w:val="00577F85"/>
    <w:rsid w:val="00580569"/>
    <w:rsid w:val="00586477"/>
    <w:rsid w:val="00586867"/>
    <w:rsid w:val="00587154"/>
    <w:rsid w:val="005902DA"/>
    <w:rsid w:val="0059243B"/>
    <w:rsid w:val="005926CF"/>
    <w:rsid w:val="00595B08"/>
    <w:rsid w:val="005A33F3"/>
    <w:rsid w:val="005A442B"/>
    <w:rsid w:val="005A4DE4"/>
    <w:rsid w:val="005B0B93"/>
    <w:rsid w:val="005B12EC"/>
    <w:rsid w:val="005B16AB"/>
    <w:rsid w:val="005B3691"/>
    <w:rsid w:val="005B7A86"/>
    <w:rsid w:val="005C4F0B"/>
    <w:rsid w:val="005C6703"/>
    <w:rsid w:val="005C7541"/>
    <w:rsid w:val="005D227B"/>
    <w:rsid w:val="005D36F4"/>
    <w:rsid w:val="005D6153"/>
    <w:rsid w:val="005D6FC1"/>
    <w:rsid w:val="005E1939"/>
    <w:rsid w:val="005E72AD"/>
    <w:rsid w:val="005E7C0D"/>
    <w:rsid w:val="005F1750"/>
    <w:rsid w:val="005F21B2"/>
    <w:rsid w:val="005F5350"/>
    <w:rsid w:val="005F7B2B"/>
    <w:rsid w:val="005F7D66"/>
    <w:rsid w:val="00602837"/>
    <w:rsid w:val="006030D7"/>
    <w:rsid w:val="006038BE"/>
    <w:rsid w:val="00604D2B"/>
    <w:rsid w:val="006138F7"/>
    <w:rsid w:val="00615CE8"/>
    <w:rsid w:val="006200C7"/>
    <w:rsid w:val="00620804"/>
    <w:rsid w:val="00622434"/>
    <w:rsid w:val="00623443"/>
    <w:rsid w:val="00627014"/>
    <w:rsid w:val="00627367"/>
    <w:rsid w:val="0062796A"/>
    <w:rsid w:val="00631672"/>
    <w:rsid w:val="0063305B"/>
    <w:rsid w:val="00635FB7"/>
    <w:rsid w:val="006365E3"/>
    <w:rsid w:val="00637DE1"/>
    <w:rsid w:val="00640EEE"/>
    <w:rsid w:val="0064175D"/>
    <w:rsid w:val="00643288"/>
    <w:rsid w:val="006439EC"/>
    <w:rsid w:val="006440A2"/>
    <w:rsid w:val="00647C98"/>
    <w:rsid w:val="00651921"/>
    <w:rsid w:val="00651ADE"/>
    <w:rsid w:val="0065213F"/>
    <w:rsid w:val="006541BF"/>
    <w:rsid w:val="0065581A"/>
    <w:rsid w:val="00655B86"/>
    <w:rsid w:val="006562FA"/>
    <w:rsid w:val="0065673A"/>
    <w:rsid w:val="00657CEB"/>
    <w:rsid w:val="006604B8"/>
    <w:rsid w:val="00661EC8"/>
    <w:rsid w:val="0066331D"/>
    <w:rsid w:val="0067105C"/>
    <w:rsid w:val="00676445"/>
    <w:rsid w:val="0067764D"/>
    <w:rsid w:val="00677CC4"/>
    <w:rsid w:val="006814B6"/>
    <w:rsid w:val="006837E1"/>
    <w:rsid w:val="00685DA7"/>
    <w:rsid w:val="00686042"/>
    <w:rsid w:val="0068660E"/>
    <w:rsid w:val="00687AF1"/>
    <w:rsid w:val="006922B6"/>
    <w:rsid w:val="00692D8A"/>
    <w:rsid w:val="00693297"/>
    <w:rsid w:val="00693311"/>
    <w:rsid w:val="00695706"/>
    <w:rsid w:val="00696BC5"/>
    <w:rsid w:val="006A1942"/>
    <w:rsid w:val="006A1A0D"/>
    <w:rsid w:val="006A277D"/>
    <w:rsid w:val="006A44AA"/>
    <w:rsid w:val="006A4EA2"/>
    <w:rsid w:val="006A5868"/>
    <w:rsid w:val="006A688B"/>
    <w:rsid w:val="006A6FFA"/>
    <w:rsid w:val="006A7688"/>
    <w:rsid w:val="006B1DB1"/>
    <w:rsid w:val="006B312A"/>
    <w:rsid w:val="006B630B"/>
    <w:rsid w:val="006B7712"/>
    <w:rsid w:val="006C034E"/>
    <w:rsid w:val="006C0BFC"/>
    <w:rsid w:val="006C3B3B"/>
    <w:rsid w:val="006C3E1A"/>
    <w:rsid w:val="006C4CBD"/>
    <w:rsid w:val="006C7352"/>
    <w:rsid w:val="006C7F35"/>
    <w:rsid w:val="006D0B9D"/>
    <w:rsid w:val="006D30D4"/>
    <w:rsid w:val="006D598C"/>
    <w:rsid w:val="006D5C24"/>
    <w:rsid w:val="006D60EC"/>
    <w:rsid w:val="006D7641"/>
    <w:rsid w:val="006E0556"/>
    <w:rsid w:val="006E1609"/>
    <w:rsid w:val="006E1CFF"/>
    <w:rsid w:val="006E241F"/>
    <w:rsid w:val="006E406D"/>
    <w:rsid w:val="006E437C"/>
    <w:rsid w:val="006E5641"/>
    <w:rsid w:val="006E5963"/>
    <w:rsid w:val="006E5C45"/>
    <w:rsid w:val="006E7670"/>
    <w:rsid w:val="006F05C0"/>
    <w:rsid w:val="006F10F7"/>
    <w:rsid w:val="006F3861"/>
    <w:rsid w:val="006F3A52"/>
    <w:rsid w:val="006F3D2C"/>
    <w:rsid w:val="006F460E"/>
    <w:rsid w:val="0070636E"/>
    <w:rsid w:val="0070711C"/>
    <w:rsid w:val="00707205"/>
    <w:rsid w:val="007079E3"/>
    <w:rsid w:val="00711A53"/>
    <w:rsid w:val="00713B12"/>
    <w:rsid w:val="0071425F"/>
    <w:rsid w:val="007158A3"/>
    <w:rsid w:val="00716886"/>
    <w:rsid w:val="00717998"/>
    <w:rsid w:val="00724859"/>
    <w:rsid w:val="00725928"/>
    <w:rsid w:val="007267F1"/>
    <w:rsid w:val="00727A9D"/>
    <w:rsid w:val="00730E66"/>
    <w:rsid w:val="00731EDD"/>
    <w:rsid w:val="00734A60"/>
    <w:rsid w:val="00735890"/>
    <w:rsid w:val="00737A3A"/>
    <w:rsid w:val="0074446C"/>
    <w:rsid w:val="00745169"/>
    <w:rsid w:val="0074691E"/>
    <w:rsid w:val="00746EDF"/>
    <w:rsid w:val="007475BC"/>
    <w:rsid w:val="00747997"/>
    <w:rsid w:val="00750C6E"/>
    <w:rsid w:val="00751C8E"/>
    <w:rsid w:val="0075644D"/>
    <w:rsid w:val="00757D2F"/>
    <w:rsid w:val="00757F45"/>
    <w:rsid w:val="00762605"/>
    <w:rsid w:val="0077151C"/>
    <w:rsid w:val="007731B7"/>
    <w:rsid w:val="007738EE"/>
    <w:rsid w:val="00773ECB"/>
    <w:rsid w:val="007769E3"/>
    <w:rsid w:val="0078048E"/>
    <w:rsid w:val="0078324A"/>
    <w:rsid w:val="0078495B"/>
    <w:rsid w:val="007854E3"/>
    <w:rsid w:val="00786C5F"/>
    <w:rsid w:val="00786ED3"/>
    <w:rsid w:val="007916CD"/>
    <w:rsid w:val="0079240D"/>
    <w:rsid w:val="00792D63"/>
    <w:rsid w:val="007960FF"/>
    <w:rsid w:val="00796465"/>
    <w:rsid w:val="00796C1E"/>
    <w:rsid w:val="007971FB"/>
    <w:rsid w:val="007977B6"/>
    <w:rsid w:val="007A4946"/>
    <w:rsid w:val="007A576A"/>
    <w:rsid w:val="007A6EA7"/>
    <w:rsid w:val="007B1163"/>
    <w:rsid w:val="007B1236"/>
    <w:rsid w:val="007B18B0"/>
    <w:rsid w:val="007B1B55"/>
    <w:rsid w:val="007B2CD6"/>
    <w:rsid w:val="007B6849"/>
    <w:rsid w:val="007B695E"/>
    <w:rsid w:val="007C67A1"/>
    <w:rsid w:val="007C6A07"/>
    <w:rsid w:val="007D006C"/>
    <w:rsid w:val="007D02A6"/>
    <w:rsid w:val="007D033A"/>
    <w:rsid w:val="007D0756"/>
    <w:rsid w:val="007D1DBE"/>
    <w:rsid w:val="007D1F72"/>
    <w:rsid w:val="007D22E5"/>
    <w:rsid w:val="007D4E92"/>
    <w:rsid w:val="007D5AB7"/>
    <w:rsid w:val="007D5BD2"/>
    <w:rsid w:val="007D7575"/>
    <w:rsid w:val="007E0E62"/>
    <w:rsid w:val="007E1453"/>
    <w:rsid w:val="007E2E36"/>
    <w:rsid w:val="007E573D"/>
    <w:rsid w:val="007E64C9"/>
    <w:rsid w:val="007F1107"/>
    <w:rsid w:val="007F20F8"/>
    <w:rsid w:val="007F36AB"/>
    <w:rsid w:val="007F38DB"/>
    <w:rsid w:val="007F3F2D"/>
    <w:rsid w:val="00800ABE"/>
    <w:rsid w:val="0080123C"/>
    <w:rsid w:val="00801B3F"/>
    <w:rsid w:val="00801F54"/>
    <w:rsid w:val="008026EF"/>
    <w:rsid w:val="00804A4C"/>
    <w:rsid w:val="00804B19"/>
    <w:rsid w:val="008076B0"/>
    <w:rsid w:val="00810DDD"/>
    <w:rsid w:val="0081156E"/>
    <w:rsid w:val="00812FF5"/>
    <w:rsid w:val="008165FE"/>
    <w:rsid w:val="008218BD"/>
    <w:rsid w:val="00823F75"/>
    <w:rsid w:val="008240BB"/>
    <w:rsid w:val="008252B0"/>
    <w:rsid w:val="00825672"/>
    <w:rsid w:val="008271C7"/>
    <w:rsid w:val="00831396"/>
    <w:rsid w:val="00831758"/>
    <w:rsid w:val="00832459"/>
    <w:rsid w:val="00835F9A"/>
    <w:rsid w:val="00840484"/>
    <w:rsid w:val="00840D46"/>
    <w:rsid w:val="00841D21"/>
    <w:rsid w:val="00841E00"/>
    <w:rsid w:val="0084316E"/>
    <w:rsid w:val="00843192"/>
    <w:rsid w:val="00850165"/>
    <w:rsid w:val="008520B3"/>
    <w:rsid w:val="00852AFC"/>
    <w:rsid w:val="0085389F"/>
    <w:rsid w:val="00855C6F"/>
    <w:rsid w:val="008617BD"/>
    <w:rsid w:val="008631B9"/>
    <w:rsid w:val="008631BA"/>
    <w:rsid w:val="00865AAE"/>
    <w:rsid w:val="00867263"/>
    <w:rsid w:val="00867BB9"/>
    <w:rsid w:val="00872847"/>
    <w:rsid w:val="00872BFD"/>
    <w:rsid w:val="00873BA1"/>
    <w:rsid w:val="00876219"/>
    <w:rsid w:val="0087738F"/>
    <w:rsid w:val="00880494"/>
    <w:rsid w:val="00881052"/>
    <w:rsid w:val="00883506"/>
    <w:rsid w:val="00883DD3"/>
    <w:rsid w:val="008906ED"/>
    <w:rsid w:val="0089543E"/>
    <w:rsid w:val="00896630"/>
    <w:rsid w:val="00896B02"/>
    <w:rsid w:val="008A042A"/>
    <w:rsid w:val="008A04BD"/>
    <w:rsid w:val="008A5639"/>
    <w:rsid w:val="008A7255"/>
    <w:rsid w:val="008A7667"/>
    <w:rsid w:val="008B1669"/>
    <w:rsid w:val="008B4954"/>
    <w:rsid w:val="008B4C62"/>
    <w:rsid w:val="008B5C99"/>
    <w:rsid w:val="008B5F08"/>
    <w:rsid w:val="008B6712"/>
    <w:rsid w:val="008B6726"/>
    <w:rsid w:val="008C195D"/>
    <w:rsid w:val="008C3A0C"/>
    <w:rsid w:val="008C70DA"/>
    <w:rsid w:val="008D31A2"/>
    <w:rsid w:val="008D3FB6"/>
    <w:rsid w:val="008D5E52"/>
    <w:rsid w:val="008D7ED2"/>
    <w:rsid w:val="008E0BE5"/>
    <w:rsid w:val="008E1579"/>
    <w:rsid w:val="008E1D6A"/>
    <w:rsid w:val="008E207D"/>
    <w:rsid w:val="008E2886"/>
    <w:rsid w:val="008E422F"/>
    <w:rsid w:val="008E4CE7"/>
    <w:rsid w:val="008E50D7"/>
    <w:rsid w:val="008E54BA"/>
    <w:rsid w:val="008F068A"/>
    <w:rsid w:val="008F0AA4"/>
    <w:rsid w:val="008F1C95"/>
    <w:rsid w:val="008F264C"/>
    <w:rsid w:val="008F28BA"/>
    <w:rsid w:val="008F3281"/>
    <w:rsid w:val="008F3B64"/>
    <w:rsid w:val="008F4DCF"/>
    <w:rsid w:val="008F51D1"/>
    <w:rsid w:val="008F6F89"/>
    <w:rsid w:val="00900C97"/>
    <w:rsid w:val="009011FD"/>
    <w:rsid w:val="009055CC"/>
    <w:rsid w:val="0090656F"/>
    <w:rsid w:val="0090663B"/>
    <w:rsid w:val="009076A6"/>
    <w:rsid w:val="00910950"/>
    <w:rsid w:val="009144FE"/>
    <w:rsid w:val="009147FA"/>
    <w:rsid w:val="00915685"/>
    <w:rsid w:val="00915777"/>
    <w:rsid w:val="00915A73"/>
    <w:rsid w:val="00917717"/>
    <w:rsid w:val="009214BF"/>
    <w:rsid w:val="00921F5F"/>
    <w:rsid w:val="00922796"/>
    <w:rsid w:val="00925375"/>
    <w:rsid w:val="00926E4F"/>
    <w:rsid w:val="00933572"/>
    <w:rsid w:val="00936D5A"/>
    <w:rsid w:val="00937972"/>
    <w:rsid w:val="00940EDC"/>
    <w:rsid w:val="00941719"/>
    <w:rsid w:val="009419C9"/>
    <w:rsid w:val="009420C4"/>
    <w:rsid w:val="009441B6"/>
    <w:rsid w:val="009447D4"/>
    <w:rsid w:val="00944CFD"/>
    <w:rsid w:val="0094559B"/>
    <w:rsid w:val="00945716"/>
    <w:rsid w:val="009465F3"/>
    <w:rsid w:val="00947236"/>
    <w:rsid w:val="00951B03"/>
    <w:rsid w:val="00953D3B"/>
    <w:rsid w:val="0095476D"/>
    <w:rsid w:val="009548C3"/>
    <w:rsid w:val="009555B5"/>
    <w:rsid w:val="00955C39"/>
    <w:rsid w:val="0095780B"/>
    <w:rsid w:val="00957C34"/>
    <w:rsid w:val="00962C9D"/>
    <w:rsid w:val="00962D9D"/>
    <w:rsid w:val="00964D09"/>
    <w:rsid w:val="0096509C"/>
    <w:rsid w:val="00965AF3"/>
    <w:rsid w:val="00965E0E"/>
    <w:rsid w:val="00966539"/>
    <w:rsid w:val="00967A6E"/>
    <w:rsid w:val="0097221D"/>
    <w:rsid w:val="009733FF"/>
    <w:rsid w:val="009761F6"/>
    <w:rsid w:val="00981836"/>
    <w:rsid w:val="00981F63"/>
    <w:rsid w:val="00982BB4"/>
    <w:rsid w:val="00984002"/>
    <w:rsid w:val="00986D47"/>
    <w:rsid w:val="00991E81"/>
    <w:rsid w:val="009923DC"/>
    <w:rsid w:val="00993627"/>
    <w:rsid w:val="0099382A"/>
    <w:rsid w:val="0099575B"/>
    <w:rsid w:val="00997643"/>
    <w:rsid w:val="00997E77"/>
    <w:rsid w:val="009A2623"/>
    <w:rsid w:val="009A48E2"/>
    <w:rsid w:val="009A4F93"/>
    <w:rsid w:val="009A6192"/>
    <w:rsid w:val="009A6208"/>
    <w:rsid w:val="009B17F4"/>
    <w:rsid w:val="009B1C96"/>
    <w:rsid w:val="009B21AE"/>
    <w:rsid w:val="009B26F3"/>
    <w:rsid w:val="009B5E86"/>
    <w:rsid w:val="009C13B8"/>
    <w:rsid w:val="009C146F"/>
    <w:rsid w:val="009C24CE"/>
    <w:rsid w:val="009C3C70"/>
    <w:rsid w:val="009D0233"/>
    <w:rsid w:val="009D1A4A"/>
    <w:rsid w:val="009D1C61"/>
    <w:rsid w:val="009D51F3"/>
    <w:rsid w:val="009D6B4F"/>
    <w:rsid w:val="009D7EA1"/>
    <w:rsid w:val="009E2E5F"/>
    <w:rsid w:val="009E6DDF"/>
    <w:rsid w:val="009E704B"/>
    <w:rsid w:val="009E75AF"/>
    <w:rsid w:val="009E7A05"/>
    <w:rsid w:val="009E7B37"/>
    <w:rsid w:val="009F08FD"/>
    <w:rsid w:val="009F0E93"/>
    <w:rsid w:val="009F12AB"/>
    <w:rsid w:val="00A01D11"/>
    <w:rsid w:val="00A03698"/>
    <w:rsid w:val="00A07C4F"/>
    <w:rsid w:val="00A1146D"/>
    <w:rsid w:val="00A1169D"/>
    <w:rsid w:val="00A15AC9"/>
    <w:rsid w:val="00A17445"/>
    <w:rsid w:val="00A21876"/>
    <w:rsid w:val="00A21F43"/>
    <w:rsid w:val="00A2256D"/>
    <w:rsid w:val="00A2295D"/>
    <w:rsid w:val="00A23D8F"/>
    <w:rsid w:val="00A255E2"/>
    <w:rsid w:val="00A2584D"/>
    <w:rsid w:val="00A270F7"/>
    <w:rsid w:val="00A2744F"/>
    <w:rsid w:val="00A30486"/>
    <w:rsid w:val="00A318AC"/>
    <w:rsid w:val="00A35541"/>
    <w:rsid w:val="00A35748"/>
    <w:rsid w:val="00A36763"/>
    <w:rsid w:val="00A3693A"/>
    <w:rsid w:val="00A3730C"/>
    <w:rsid w:val="00A377C4"/>
    <w:rsid w:val="00A40319"/>
    <w:rsid w:val="00A44D61"/>
    <w:rsid w:val="00A5117F"/>
    <w:rsid w:val="00A5189D"/>
    <w:rsid w:val="00A52F55"/>
    <w:rsid w:val="00A53129"/>
    <w:rsid w:val="00A53C6C"/>
    <w:rsid w:val="00A546FC"/>
    <w:rsid w:val="00A54CCA"/>
    <w:rsid w:val="00A55026"/>
    <w:rsid w:val="00A558AD"/>
    <w:rsid w:val="00A57AE2"/>
    <w:rsid w:val="00A60D5A"/>
    <w:rsid w:val="00A6205B"/>
    <w:rsid w:val="00A64C2D"/>
    <w:rsid w:val="00A6592D"/>
    <w:rsid w:val="00A65F8D"/>
    <w:rsid w:val="00A702BB"/>
    <w:rsid w:val="00A72778"/>
    <w:rsid w:val="00A739EB"/>
    <w:rsid w:val="00A73DAE"/>
    <w:rsid w:val="00A76C05"/>
    <w:rsid w:val="00A77E2A"/>
    <w:rsid w:val="00A77F01"/>
    <w:rsid w:val="00A80949"/>
    <w:rsid w:val="00A813EB"/>
    <w:rsid w:val="00A835BA"/>
    <w:rsid w:val="00A90DCE"/>
    <w:rsid w:val="00A97D11"/>
    <w:rsid w:val="00A97F76"/>
    <w:rsid w:val="00A97FE2"/>
    <w:rsid w:val="00AA0194"/>
    <w:rsid w:val="00AA345E"/>
    <w:rsid w:val="00AA3FB9"/>
    <w:rsid w:val="00AA5C9C"/>
    <w:rsid w:val="00AA612D"/>
    <w:rsid w:val="00AA6C2A"/>
    <w:rsid w:val="00AA74B5"/>
    <w:rsid w:val="00AA7AE0"/>
    <w:rsid w:val="00AB008B"/>
    <w:rsid w:val="00AB1925"/>
    <w:rsid w:val="00AB1B8A"/>
    <w:rsid w:val="00AB275F"/>
    <w:rsid w:val="00AB49B4"/>
    <w:rsid w:val="00AB4B29"/>
    <w:rsid w:val="00AB4F8B"/>
    <w:rsid w:val="00AC159C"/>
    <w:rsid w:val="00AC181D"/>
    <w:rsid w:val="00AC4956"/>
    <w:rsid w:val="00AC4EF8"/>
    <w:rsid w:val="00AC5E7D"/>
    <w:rsid w:val="00AC75C8"/>
    <w:rsid w:val="00AC770E"/>
    <w:rsid w:val="00AD1D3E"/>
    <w:rsid w:val="00AD3313"/>
    <w:rsid w:val="00AD706A"/>
    <w:rsid w:val="00AE0C62"/>
    <w:rsid w:val="00AE1347"/>
    <w:rsid w:val="00AE2454"/>
    <w:rsid w:val="00AE2598"/>
    <w:rsid w:val="00AE5C5A"/>
    <w:rsid w:val="00AF164F"/>
    <w:rsid w:val="00AF2E7A"/>
    <w:rsid w:val="00AF495E"/>
    <w:rsid w:val="00AF639A"/>
    <w:rsid w:val="00AF6630"/>
    <w:rsid w:val="00AF6FF3"/>
    <w:rsid w:val="00B00CC3"/>
    <w:rsid w:val="00B00E07"/>
    <w:rsid w:val="00B00FED"/>
    <w:rsid w:val="00B01C09"/>
    <w:rsid w:val="00B0250B"/>
    <w:rsid w:val="00B03F59"/>
    <w:rsid w:val="00B049B8"/>
    <w:rsid w:val="00B056BD"/>
    <w:rsid w:val="00B063C6"/>
    <w:rsid w:val="00B066E0"/>
    <w:rsid w:val="00B06B8C"/>
    <w:rsid w:val="00B103D5"/>
    <w:rsid w:val="00B10507"/>
    <w:rsid w:val="00B109A4"/>
    <w:rsid w:val="00B11461"/>
    <w:rsid w:val="00B11763"/>
    <w:rsid w:val="00B1448C"/>
    <w:rsid w:val="00B15754"/>
    <w:rsid w:val="00B20B72"/>
    <w:rsid w:val="00B2261D"/>
    <w:rsid w:val="00B2525D"/>
    <w:rsid w:val="00B25479"/>
    <w:rsid w:val="00B277A7"/>
    <w:rsid w:val="00B27A5E"/>
    <w:rsid w:val="00B304D2"/>
    <w:rsid w:val="00B312D2"/>
    <w:rsid w:val="00B32394"/>
    <w:rsid w:val="00B34F62"/>
    <w:rsid w:val="00B35BC5"/>
    <w:rsid w:val="00B36268"/>
    <w:rsid w:val="00B36810"/>
    <w:rsid w:val="00B36E55"/>
    <w:rsid w:val="00B4158A"/>
    <w:rsid w:val="00B43163"/>
    <w:rsid w:val="00B447FB"/>
    <w:rsid w:val="00B47030"/>
    <w:rsid w:val="00B47827"/>
    <w:rsid w:val="00B5163C"/>
    <w:rsid w:val="00B51896"/>
    <w:rsid w:val="00B51A38"/>
    <w:rsid w:val="00B53E16"/>
    <w:rsid w:val="00B553F7"/>
    <w:rsid w:val="00B554B7"/>
    <w:rsid w:val="00B55DAE"/>
    <w:rsid w:val="00B5727D"/>
    <w:rsid w:val="00B617E3"/>
    <w:rsid w:val="00B641B2"/>
    <w:rsid w:val="00B6442F"/>
    <w:rsid w:val="00B64919"/>
    <w:rsid w:val="00B66218"/>
    <w:rsid w:val="00B70941"/>
    <w:rsid w:val="00B70A14"/>
    <w:rsid w:val="00B72B13"/>
    <w:rsid w:val="00B73739"/>
    <w:rsid w:val="00B74E77"/>
    <w:rsid w:val="00B75B45"/>
    <w:rsid w:val="00B77FB1"/>
    <w:rsid w:val="00B80693"/>
    <w:rsid w:val="00B809BD"/>
    <w:rsid w:val="00B81403"/>
    <w:rsid w:val="00B820F2"/>
    <w:rsid w:val="00B82F53"/>
    <w:rsid w:val="00B83010"/>
    <w:rsid w:val="00B83285"/>
    <w:rsid w:val="00B8755D"/>
    <w:rsid w:val="00B902BE"/>
    <w:rsid w:val="00B90CCC"/>
    <w:rsid w:val="00B9211B"/>
    <w:rsid w:val="00B9240A"/>
    <w:rsid w:val="00B95143"/>
    <w:rsid w:val="00B95770"/>
    <w:rsid w:val="00B96350"/>
    <w:rsid w:val="00BA01DF"/>
    <w:rsid w:val="00BA1620"/>
    <w:rsid w:val="00BA1E01"/>
    <w:rsid w:val="00BA26A6"/>
    <w:rsid w:val="00BA27F5"/>
    <w:rsid w:val="00BA389F"/>
    <w:rsid w:val="00BA3DD0"/>
    <w:rsid w:val="00BA581B"/>
    <w:rsid w:val="00BA7995"/>
    <w:rsid w:val="00BB0209"/>
    <w:rsid w:val="00BB32BA"/>
    <w:rsid w:val="00BB396B"/>
    <w:rsid w:val="00BB3A11"/>
    <w:rsid w:val="00BB482B"/>
    <w:rsid w:val="00BB7F9B"/>
    <w:rsid w:val="00BC3794"/>
    <w:rsid w:val="00BD1BFA"/>
    <w:rsid w:val="00BD2B2A"/>
    <w:rsid w:val="00BD4303"/>
    <w:rsid w:val="00BD6914"/>
    <w:rsid w:val="00BD6A94"/>
    <w:rsid w:val="00BE0D1A"/>
    <w:rsid w:val="00BE2844"/>
    <w:rsid w:val="00BE28A9"/>
    <w:rsid w:val="00BE3812"/>
    <w:rsid w:val="00BE42B9"/>
    <w:rsid w:val="00BE5EF3"/>
    <w:rsid w:val="00BE67F9"/>
    <w:rsid w:val="00BE6927"/>
    <w:rsid w:val="00BE75CC"/>
    <w:rsid w:val="00BF374E"/>
    <w:rsid w:val="00BF3785"/>
    <w:rsid w:val="00BF3C49"/>
    <w:rsid w:val="00BF5496"/>
    <w:rsid w:val="00BF7973"/>
    <w:rsid w:val="00C0025E"/>
    <w:rsid w:val="00C0159B"/>
    <w:rsid w:val="00C042FC"/>
    <w:rsid w:val="00C04EF6"/>
    <w:rsid w:val="00C06715"/>
    <w:rsid w:val="00C06CCA"/>
    <w:rsid w:val="00C06EE5"/>
    <w:rsid w:val="00C14BDD"/>
    <w:rsid w:val="00C16DA8"/>
    <w:rsid w:val="00C17556"/>
    <w:rsid w:val="00C20CB5"/>
    <w:rsid w:val="00C239C3"/>
    <w:rsid w:val="00C24351"/>
    <w:rsid w:val="00C246CF"/>
    <w:rsid w:val="00C24C61"/>
    <w:rsid w:val="00C251F1"/>
    <w:rsid w:val="00C25BF0"/>
    <w:rsid w:val="00C30C8D"/>
    <w:rsid w:val="00C33383"/>
    <w:rsid w:val="00C34115"/>
    <w:rsid w:val="00C34470"/>
    <w:rsid w:val="00C34D7F"/>
    <w:rsid w:val="00C3784E"/>
    <w:rsid w:val="00C402F6"/>
    <w:rsid w:val="00C40A4F"/>
    <w:rsid w:val="00C435B3"/>
    <w:rsid w:val="00C43A14"/>
    <w:rsid w:val="00C53450"/>
    <w:rsid w:val="00C547BB"/>
    <w:rsid w:val="00C548CE"/>
    <w:rsid w:val="00C55558"/>
    <w:rsid w:val="00C61621"/>
    <w:rsid w:val="00C619F0"/>
    <w:rsid w:val="00C64FCA"/>
    <w:rsid w:val="00C658A8"/>
    <w:rsid w:val="00C65C34"/>
    <w:rsid w:val="00C65E24"/>
    <w:rsid w:val="00C66F39"/>
    <w:rsid w:val="00C67DE7"/>
    <w:rsid w:val="00C70DE6"/>
    <w:rsid w:val="00C73256"/>
    <w:rsid w:val="00C77A98"/>
    <w:rsid w:val="00C804FE"/>
    <w:rsid w:val="00C82BDD"/>
    <w:rsid w:val="00C84AA3"/>
    <w:rsid w:val="00C85DCD"/>
    <w:rsid w:val="00C87420"/>
    <w:rsid w:val="00C9008B"/>
    <w:rsid w:val="00C900B2"/>
    <w:rsid w:val="00C90393"/>
    <w:rsid w:val="00C913F1"/>
    <w:rsid w:val="00C9158B"/>
    <w:rsid w:val="00C93198"/>
    <w:rsid w:val="00C93F65"/>
    <w:rsid w:val="00C95F44"/>
    <w:rsid w:val="00C97B1E"/>
    <w:rsid w:val="00CA040F"/>
    <w:rsid w:val="00CA1D07"/>
    <w:rsid w:val="00CA1DDF"/>
    <w:rsid w:val="00CA2BF6"/>
    <w:rsid w:val="00CA524F"/>
    <w:rsid w:val="00CA5D6A"/>
    <w:rsid w:val="00CA6788"/>
    <w:rsid w:val="00CA6ED6"/>
    <w:rsid w:val="00CA7684"/>
    <w:rsid w:val="00CB0C17"/>
    <w:rsid w:val="00CB1106"/>
    <w:rsid w:val="00CB22C1"/>
    <w:rsid w:val="00CB31F0"/>
    <w:rsid w:val="00CB3FB6"/>
    <w:rsid w:val="00CB4BAE"/>
    <w:rsid w:val="00CB5B7E"/>
    <w:rsid w:val="00CC0347"/>
    <w:rsid w:val="00CC04CF"/>
    <w:rsid w:val="00CC0B7A"/>
    <w:rsid w:val="00CC18FC"/>
    <w:rsid w:val="00CC475B"/>
    <w:rsid w:val="00CC558F"/>
    <w:rsid w:val="00CD1816"/>
    <w:rsid w:val="00CD3482"/>
    <w:rsid w:val="00CD41F2"/>
    <w:rsid w:val="00CD7552"/>
    <w:rsid w:val="00CE2151"/>
    <w:rsid w:val="00CE6325"/>
    <w:rsid w:val="00CE640F"/>
    <w:rsid w:val="00CF091C"/>
    <w:rsid w:val="00CF0BE5"/>
    <w:rsid w:val="00CF50CF"/>
    <w:rsid w:val="00CF56C4"/>
    <w:rsid w:val="00CF604C"/>
    <w:rsid w:val="00CF64C4"/>
    <w:rsid w:val="00CF792A"/>
    <w:rsid w:val="00D02153"/>
    <w:rsid w:val="00D032AA"/>
    <w:rsid w:val="00D03374"/>
    <w:rsid w:val="00D050E8"/>
    <w:rsid w:val="00D06695"/>
    <w:rsid w:val="00D1463F"/>
    <w:rsid w:val="00D153E4"/>
    <w:rsid w:val="00D15A81"/>
    <w:rsid w:val="00D15BF9"/>
    <w:rsid w:val="00D17A63"/>
    <w:rsid w:val="00D215B4"/>
    <w:rsid w:val="00D2458B"/>
    <w:rsid w:val="00D30FA0"/>
    <w:rsid w:val="00D311F0"/>
    <w:rsid w:val="00D3367F"/>
    <w:rsid w:val="00D33E3D"/>
    <w:rsid w:val="00D354B7"/>
    <w:rsid w:val="00D36151"/>
    <w:rsid w:val="00D36DD2"/>
    <w:rsid w:val="00D42607"/>
    <w:rsid w:val="00D436AA"/>
    <w:rsid w:val="00D44146"/>
    <w:rsid w:val="00D473CB"/>
    <w:rsid w:val="00D518DF"/>
    <w:rsid w:val="00D523AD"/>
    <w:rsid w:val="00D52469"/>
    <w:rsid w:val="00D527B2"/>
    <w:rsid w:val="00D52EF1"/>
    <w:rsid w:val="00D533D8"/>
    <w:rsid w:val="00D55068"/>
    <w:rsid w:val="00D56157"/>
    <w:rsid w:val="00D56966"/>
    <w:rsid w:val="00D56F88"/>
    <w:rsid w:val="00D579D3"/>
    <w:rsid w:val="00D60072"/>
    <w:rsid w:val="00D6105F"/>
    <w:rsid w:val="00D62B66"/>
    <w:rsid w:val="00D63488"/>
    <w:rsid w:val="00D63E5E"/>
    <w:rsid w:val="00D65CBC"/>
    <w:rsid w:val="00D66CEF"/>
    <w:rsid w:val="00D705DA"/>
    <w:rsid w:val="00D7084F"/>
    <w:rsid w:val="00D710FD"/>
    <w:rsid w:val="00D7196C"/>
    <w:rsid w:val="00D77FD5"/>
    <w:rsid w:val="00D82FD2"/>
    <w:rsid w:val="00D843BA"/>
    <w:rsid w:val="00D86594"/>
    <w:rsid w:val="00D86BFC"/>
    <w:rsid w:val="00D902F4"/>
    <w:rsid w:val="00D90B52"/>
    <w:rsid w:val="00D90E17"/>
    <w:rsid w:val="00D9297A"/>
    <w:rsid w:val="00D934DE"/>
    <w:rsid w:val="00D942EB"/>
    <w:rsid w:val="00D944BD"/>
    <w:rsid w:val="00D96B62"/>
    <w:rsid w:val="00D97071"/>
    <w:rsid w:val="00DA03BF"/>
    <w:rsid w:val="00DA0B2E"/>
    <w:rsid w:val="00DA26D3"/>
    <w:rsid w:val="00DA390D"/>
    <w:rsid w:val="00DA3FE6"/>
    <w:rsid w:val="00DA4281"/>
    <w:rsid w:val="00DA515F"/>
    <w:rsid w:val="00DA7711"/>
    <w:rsid w:val="00DB1EF3"/>
    <w:rsid w:val="00DB250F"/>
    <w:rsid w:val="00DB42BB"/>
    <w:rsid w:val="00DB4A0E"/>
    <w:rsid w:val="00DB53D1"/>
    <w:rsid w:val="00DC1288"/>
    <w:rsid w:val="00DC3091"/>
    <w:rsid w:val="00DC3D26"/>
    <w:rsid w:val="00DC3FEB"/>
    <w:rsid w:val="00DC5805"/>
    <w:rsid w:val="00DC5C2D"/>
    <w:rsid w:val="00DD0693"/>
    <w:rsid w:val="00DD2D27"/>
    <w:rsid w:val="00DD3764"/>
    <w:rsid w:val="00DD4D1F"/>
    <w:rsid w:val="00DD78D1"/>
    <w:rsid w:val="00DE0593"/>
    <w:rsid w:val="00DE1856"/>
    <w:rsid w:val="00DE1C83"/>
    <w:rsid w:val="00DE2AC2"/>
    <w:rsid w:val="00DE456D"/>
    <w:rsid w:val="00DE460D"/>
    <w:rsid w:val="00DE5483"/>
    <w:rsid w:val="00DE726B"/>
    <w:rsid w:val="00DE7428"/>
    <w:rsid w:val="00DF2EB5"/>
    <w:rsid w:val="00DF43A1"/>
    <w:rsid w:val="00DF46C6"/>
    <w:rsid w:val="00DF4B84"/>
    <w:rsid w:val="00DF73CB"/>
    <w:rsid w:val="00E0047F"/>
    <w:rsid w:val="00E01C94"/>
    <w:rsid w:val="00E01F8C"/>
    <w:rsid w:val="00E04178"/>
    <w:rsid w:val="00E05739"/>
    <w:rsid w:val="00E06442"/>
    <w:rsid w:val="00E079B9"/>
    <w:rsid w:val="00E07A3A"/>
    <w:rsid w:val="00E11E78"/>
    <w:rsid w:val="00E11F68"/>
    <w:rsid w:val="00E12F68"/>
    <w:rsid w:val="00E1310A"/>
    <w:rsid w:val="00E13DF3"/>
    <w:rsid w:val="00E14270"/>
    <w:rsid w:val="00E205E7"/>
    <w:rsid w:val="00E20821"/>
    <w:rsid w:val="00E20A9A"/>
    <w:rsid w:val="00E20FEF"/>
    <w:rsid w:val="00E21254"/>
    <w:rsid w:val="00E21369"/>
    <w:rsid w:val="00E216BB"/>
    <w:rsid w:val="00E262C2"/>
    <w:rsid w:val="00E278B8"/>
    <w:rsid w:val="00E27D69"/>
    <w:rsid w:val="00E315B0"/>
    <w:rsid w:val="00E3448D"/>
    <w:rsid w:val="00E3756A"/>
    <w:rsid w:val="00E40282"/>
    <w:rsid w:val="00E40DE2"/>
    <w:rsid w:val="00E436C0"/>
    <w:rsid w:val="00E4436F"/>
    <w:rsid w:val="00E45AEB"/>
    <w:rsid w:val="00E5269C"/>
    <w:rsid w:val="00E542D1"/>
    <w:rsid w:val="00E562E0"/>
    <w:rsid w:val="00E56520"/>
    <w:rsid w:val="00E577BE"/>
    <w:rsid w:val="00E60B40"/>
    <w:rsid w:val="00E6525B"/>
    <w:rsid w:val="00E73E1F"/>
    <w:rsid w:val="00E75F21"/>
    <w:rsid w:val="00E77D44"/>
    <w:rsid w:val="00E80D30"/>
    <w:rsid w:val="00E843F3"/>
    <w:rsid w:val="00E845F6"/>
    <w:rsid w:val="00E851F4"/>
    <w:rsid w:val="00E870C9"/>
    <w:rsid w:val="00E91D81"/>
    <w:rsid w:val="00E92CD8"/>
    <w:rsid w:val="00E9588C"/>
    <w:rsid w:val="00E962B0"/>
    <w:rsid w:val="00E96701"/>
    <w:rsid w:val="00E972FA"/>
    <w:rsid w:val="00E97BE6"/>
    <w:rsid w:val="00EA0575"/>
    <w:rsid w:val="00EA1453"/>
    <w:rsid w:val="00EA1A78"/>
    <w:rsid w:val="00EA1E9E"/>
    <w:rsid w:val="00EA2339"/>
    <w:rsid w:val="00EA46ED"/>
    <w:rsid w:val="00EA47A1"/>
    <w:rsid w:val="00EA4832"/>
    <w:rsid w:val="00EA6658"/>
    <w:rsid w:val="00EA6A3A"/>
    <w:rsid w:val="00EB0C72"/>
    <w:rsid w:val="00EB1B2C"/>
    <w:rsid w:val="00EB2530"/>
    <w:rsid w:val="00EB2744"/>
    <w:rsid w:val="00EB433B"/>
    <w:rsid w:val="00EB7F53"/>
    <w:rsid w:val="00EC1FCA"/>
    <w:rsid w:val="00EC3920"/>
    <w:rsid w:val="00EC5C37"/>
    <w:rsid w:val="00EC6725"/>
    <w:rsid w:val="00ED1EDD"/>
    <w:rsid w:val="00ED2833"/>
    <w:rsid w:val="00ED345A"/>
    <w:rsid w:val="00ED46E2"/>
    <w:rsid w:val="00EE1204"/>
    <w:rsid w:val="00EE54C5"/>
    <w:rsid w:val="00EE5A9A"/>
    <w:rsid w:val="00EF0815"/>
    <w:rsid w:val="00EF0BA6"/>
    <w:rsid w:val="00EF105C"/>
    <w:rsid w:val="00EF1080"/>
    <w:rsid w:val="00EF2295"/>
    <w:rsid w:val="00EF3B5B"/>
    <w:rsid w:val="00EF4BD8"/>
    <w:rsid w:val="00EF5640"/>
    <w:rsid w:val="00F0453F"/>
    <w:rsid w:val="00F057C7"/>
    <w:rsid w:val="00F05AA8"/>
    <w:rsid w:val="00F06DF3"/>
    <w:rsid w:val="00F07AEF"/>
    <w:rsid w:val="00F13BDF"/>
    <w:rsid w:val="00F145CA"/>
    <w:rsid w:val="00F14B2F"/>
    <w:rsid w:val="00F157DA"/>
    <w:rsid w:val="00F15FE1"/>
    <w:rsid w:val="00F17B3E"/>
    <w:rsid w:val="00F23332"/>
    <w:rsid w:val="00F25316"/>
    <w:rsid w:val="00F2621E"/>
    <w:rsid w:val="00F27F6D"/>
    <w:rsid w:val="00F309BD"/>
    <w:rsid w:val="00F317D9"/>
    <w:rsid w:val="00F33D2C"/>
    <w:rsid w:val="00F33EBE"/>
    <w:rsid w:val="00F34FFA"/>
    <w:rsid w:val="00F367FE"/>
    <w:rsid w:val="00F36860"/>
    <w:rsid w:val="00F41209"/>
    <w:rsid w:val="00F42C62"/>
    <w:rsid w:val="00F43249"/>
    <w:rsid w:val="00F433CB"/>
    <w:rsid w:val="00F46B37"/>
    <w:rsid w:val="00F47DEA"/>
    <w:rsid w:val="00F50FCA"/>
    <w:rsid w:val="00F5172A"/>
    <w:rsid w:val="00F602CE"/>
    <w:rsid w:val="00F63562"/>
    <w:rsid w:val="00F6369A"/>
    <w:rsid w:val="00F63713"/>
    <w:rsid w:val="00F63BCF"/>
    <w:rsid w:val="00F63D8A"/>
    <w:rsid w:val="00F645D9"/>
    <w:rsid w:val="00F66159"/>
    <w:rsid w:val="00F72CAB"/>
    <w:rsid w:val="00F755AD"/>
    <w:rsid w:val="00F7663F"/>
    <w:rsid w:val="00F82EDC"/>
    <w:rsid w:val="00F8561B"/>
    <w:rsid w:val="00F871E1"/>
    <w:rsid w:val="00F873AD"/>
    <w:rsid w:val="00F927A1"/>
    <w:rsid w:val="00F9330B"/>
    <w:rsid w:val="00F93875"/>
    <w:rsid w:val="00F94A8E"/>
    <w:rsid w:val="00F9585A"/>
    <w:rsid w:val="00F95AC5"/>
    <w:rsid w:val="00F96ACC"/>
    <w:rsid w:val="00FA1F9D"/>
    <w:rsid w:val="00FA23C1"/>
    <w:rsid w:val="00FA30E3"/>
    <w:rsid w:val="00FA3260"/>
    <w:rsid w:val="00FA3DC2"/>
    <w:rsid w:val="00FA4CE0"/>
    <w:rsid w:val="00FA629D"/>
    <w:rsid w:val="00FB03EE"/>
    <w:rsid w:val="00FB1AF5"/>
    <w:rsid w:val="00FB1B50"/>
    <w:rsid w:val="00FB2A33"/>
    <w:rsid w:val="00FB3104"/>
    <w:rsid w:val="00FB4AE0"/>
    <w:rsid w:val="00FB59B1"/>
    <w:rsid w:val="00FC19C8"/>
    <w:rsid w:val="00FC1A32"/>
    <w:rsid w:val="00FC227B"/>
    <w:rsid w:val="00FC4D0D"/>
    <w:rsid w:val="00FC5B78"/>
    <w:rsid w:val="00FC7302"/>
    <w:rsid w:val="00FD211C"/>
    <w:rsid w:val="00FD3107"/>
    <w:rsid w:val="00FD3298"/>
    <w:rsid w:val="00FD3FC3"/>
    <w:rsid w:val="00FD5149"/>
    <w:rsid w:val="00FD58E7"/>
    <w:rsid w:val="00FD610D"/>
    <w:rsid w:val="00FD7885"/>
    <w:rsid w:val="00FD78A1"/>
    <w:rsid w:val="00FE0025"/>
    <w:rsid w:val="00FE16DC"/>
    <w:rsid w:val="00FE20D0"/>
    <w:rsid w:val="00FE467D"/>
    <w:rsid w:val="00FE473C"/>
    <w:rsid w:val="00FE5E8F"/>
    <w:rsid w:val="00FE5EA7"/>
    <w:rsid w:val="00FF1065"/>
    <w:rsid w:val="00FF2378"/>
    <w:rsid w:val="00FF3777"/>
    <w:rsid w:val="00FF45DD"/>
    <w:rsid w:val="00FF710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E4C"/>
  </w:style>
  <w:style w:type="paragraph" w:styleId="Heading1">
    <w:name w:val="heading 1"/>
    <w:basedOn w:val="Normal"/>
    <w:next w:val="Normal"/>
    <w:link w:val="Heading1Char"/>
    <w:uiPriority w:val="9"/>
    <w:qFormat/>
    <w:rsid w:val="00302379"/>
    <w:pPr>
      <w:keepNext/>
      <w:keepLines/>
      <w:numPr>
        <w:numId w:val="30"/>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02379"/>
    <w:pPr>
      <w:keepNext/>
      <w:keepLines/>
      <w:numPr>
        <w:ilvl w:val="1"/>
        <w:numId w:val="30"/>
      </w:numPr>
      <w:spacing w:before="200" w:after="0" w:line="480"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16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16B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302379"/>
    <w:pPr>
      <w:keepNext/>
      <w:keepLines/>
      <w:numPr>
        <w:ilvl w:val="4"/>
        <w:numId w:val="30"/>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302379"/>
    <w:pPr>
      <w:keepNext/>
      <w:keepLines/>
      <w:numPr>
        <w:ilvl w:val="5"/>
        <w:numId w:val="30"/>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302379"/>
    <w:pPr>
      <w:keepNext/>
      <w:keepLines/>
      <w:numPr>
        <w:ilvl w:val="6"/>
        <w:numId w:val="3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302379"/>
    <w:pPr>
      <w:keepNext/>
      <w:keepLines/>
      <w:numPr>
        <w:ilvl w:val="7"/>
        <w:numId w:val="30"/>
      </w:numPr>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302379"/>
    <w:pPr>
      <w:keepNext/>
      <w:keepLines/>
      <w:numPr>
        <w:ilvl w:val="8"/>
        <w:numId w:val="3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12E4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12E4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0237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0237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B11D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B11D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30237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30237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30237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302379"/>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30237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512E4C"/>
    <w:pPr>
      <w:spacing w:line="240" w:lineRule="auto"/>
    </w:pPr>
    <w:rPr>
      <w:b/>
      <w:bCs/>
      <w:color w:val="4F81BD" w:themeColor="accent1"/>
      <w:sz w:val="18"/>
      <w:szCs w:val="18"/>
    </w:rPr>
  </w:style>
  <w:style w:type="paragraph" w:styleId="Subtitle">
    <w:name w:val="Subtitle"/>
    <w:basedOn w:val="Normal"/>
    <w:next w:val="Normal"/>
    <w:link w:val="SubtitleChar"/>
    <w:uiPriority w:val="11"/>
    <w:qFormat/>
    <w:rsid w:val="00512E4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12E4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512E4C"/>
    <w:rPr>
      <w:b/>
      <w:bCs/>
    </w:rPr>
  </w:style>
  <w:style w:type="character" w:styleId="Emphasis">
    <w:name w:val="Emphasis"/>
    <w:basedOn w:val="DefaultParagraphFont"/>
    <w:uiPriority w:val="20"/>
    <w:qFormat/>
    <w:rsid w:val="00512E4C"/>
    <w:rPr>
      <w:i/>
      <w:iCs/>
    </w:rPr>
  </w:style>
  <w:style w:type="paragraph" w:styleId="NoSpacing">
    <w:name w:val="No Spacing"/>
    <w:uiPriority w:val="1"/>
    <w:qFormat/>
    <w:rsid w:val="00512E4C"/>
    <w:pPr>
      <w:spacing w:after="0" w:line="240" w:lineRule="auto"/>
    </w:pPr>
  </w:style>
  <w:style w:type="paragraph" w:styleId="ListParagraph">
    <w:name w:val="List Paragraph"/>
    <w:basedOn w:val="Normal"/>
    <w:uiPriority w:val="34"/>
    <w:qFormat/>
    <w:rsid w:val="00512E4C"/>
    <w:pPr>
      <w:ind w:left="720"/>
      <w:contextualSpacing/>
    </w:pPr>
  </w:style>
  <w:style w:type="paragraph" w:styleId="Quote">
    <w:name w:val="Quote"/>
    <w:basedOn w:val="Normal"/>
    <w:next w:val="Normal"/>
    <w:link w:val="QuoteChar"/>
    <w:uiPriority w:val="29"/>
    <w:qFormat/>
    <w:rsid w:val="00512E4C"/>
    <w:rPr>
      <w:i/>
      <w:iCs/>
      <w:color w:val="000000" w:themeColor="text1"/>
    </w:rPr>
  </w:style>
  <w:style w:type="character" w:customStyle="1" w:styleId="QuoteChar">
    <w:name w:val="Quote Char"/>
    <w:basedOn w:val="DefaultParagraphFont"/>
    <w:link w:val="Quote"/>
    <w:uiPriority w:val="29"/>
    <w:rsid w:val="00512E4C"/>
    <w:rPr>
      <w:i/>
      <w:iCs/>
      <w:color w:val="000000" w:themeColor="text1"/>
    </w:rPr>
  </w:style>
  <w:style w:type="paragraph" w:styleId="IntenseQuote">
    <w:name w:val="Intense Quote"/>
    <w:basedOn w:val="Normal"/>
    <w:next w:val="Normal"/>
    <w:link w:val="IntenseQuoteChar"/>
    <w:uiPriority w:val="30"/>
    <w:qFormat/>
    <w:rsid w:val="00512E4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12E4C"/>
    <w:rPr>
      <w:b/>
      <w:bCs/>
      <w:i/>
      <w:iCs/>
      <w:color w:val="4F81BD" w:themeColor="accent1"/>
    </w:rPr>
  </w:style>
  <w:style w:type="character" w:styleId="SubtleEmphasis">
    <w:name w:val="Subtle Emphasis"/>
    <w:basedOn w:val="DefaultParagraphFont"/>
    <w:uiPriority w:val="19"/>
    <w:qFormat/>
    <w:rsid w:val="00512E4C"/>
    <w:rPr>
      <w:i/>
      <w:iCs/>
      <w:color w:val="808080" w:themeColor="text1" w:themeTint="7F"/>
    </w:rPr>
  </w:style>
  <w:style w:type="character" w:styleId="IntenseEmphasis">
    <w:name w:val="Intense Emphasis"/>
    <w:basedOn w:val="DefaultParagraphFont"/>
    <w:uiPriority w:val="21"/>
    <w:qFormat/>
    <w:rsid w:val="00512E4C"/>
    <w:rPr>
      <w:b/>
      <w:bCs/>
      <w:i/>
      <w:iCs/>
      <w:color w:val="4F81BD" w:themeColor="accent1"/>
    </w:rPr>
  </w:style>
  <w:style w:type="character" w:styleId="SubtleReference">
    <w:name w:val="Subtle Reference"/>
    <w:basedOn w:val="DefaultParagraphFont"/>
    <w:uiPriority w:val="31"/>
    <w:qFormat/>
    <w:rsid w:val="00512E4C"/>
    <w:rPr>
      <w:smallCaps/>
      <w:color w:val="C0504D" w:themeColor="accent2"/>
      <w:u w:val="single"/>
    </w:rPr>
  </w:style>
  <w:style w:type="character" w:styleId="IntenseReference">
    <w:name w:val="Intense Reference"/>
    <w:basedOn w:val="DefaultParagraphFont"/>
    <w:uiPriority w:val="32"/>
    <w:qFormat/>
    <w:rsid w:val="00512E4C"/>
    <w:rPr>
      <w:b/>
      <w:bCs/>
      <w:smallCaps/>
      <w:color w:val="C0504D" w:themeColor="accent2"/>
      <w:spacing w:val="5"/>
      <w:u w:val="single"/>
    </w:rPr>
  </w:style>
  <w:style w:type="character" w:styleId="BookTitle">
    <w:name w:val="Book Title"/>
    <w:basedOn w:val="DefaultParagraphFont"/>
    <w:uiPriority w:val="33"/>
    <w:qFormat/>
    <w:rsid w:val="00512E4C"/>
    <w:rPr>
      <w:b/>
      <w:bCs/>
      <w:smallCaps/>
      <w:spacing w:val="5"/>
    </w:rPr>
  </w:style>
  <w:style w:type="paragraph" w:styleId="TOCHeading">
    <w:name w:val="TOC Heading"/>
    <w:basedOn w:val="Heading1"/>
    <w:next w:val="Normal"/>
    <w:uiPriority w:val="39"/>
    <w:unhideWhenUsed/>
    <w:qFormat/>
    <w:rsid w:val="00512E4C"/>
    <w:pPr>
      <w:outlineLvl w:val="9"/>
    </w:pPr>
  </w:style>
  <w:style w:type="paragraph" w:styleId="Footer">
    <w:name w:val="footer"/>
    <w:basedOn w:val="Normal"/>
    <w:link w:val="FooterChar"/>
    <w:uiPriority w:val="99"/>
    <w:unhideWhenUsed/>
    <w:rsid w:val="00327A4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27A44"/>
  </w:style>
  <w:style w:type="character" w:styleId="PageNumber">
    <w:name w:val="page number"/>
    <w:basedOn w:val="DefaultParagraphFont"/>
    <w:uiPriority w:val="99"/>
    <w:semiHidden/>
    <w:unhideWhenUsed/>
    <w:rsid w:val="00327A44"/>
  </w:style>
  <w:style w:type="paragraph" w:styleId="TOC2">
    <w:name w:val="toc 2"/>
    <w:basedOn w:val="Normal"/>
    <w:next w:val="Normal"/>
    <w:autoRedefine/>
    <w:uiPriority w:val="39"/>
    <w:unhideWhenUsed/>
    <w:rsid w:val="00327A44"/>
    <w:pPr>
      <w:spacing w:after="0"/>
      <w:ind w:left="220"/>
    </w:pPr>
    <w:rPr>
      <w:b/>
    </w:rPr>
  </w:style>
  <w:style w:type="paragraph" w:styleId="TOC1">
    <w:name w:val="toc 1"/>
    <w:basedOn w:val="Normal"/>
    <w:next w:val="Normal"/>
    <w:autoRedefine/>
    <w:uiPriority w:val="39"/>
    <w:unhideWhenUsed/>
    <w:rsid w:val="00327A44"/>
    <w:pPr>
      <w:spacing w:before="120" w:after="0"/>
    </w:pPr>
    <w:rPr>
      <w:b/>
      <w:sz w:val="24"/>
      <w:szCs w:val="24"/>
    </w:rPr>
  </w:style>
  <w:style w:type="paragraph" w:styleId="TOC3">
    <w:name w:val="toc 3"/>
    <w:basedOn w:val="Normal"/>
    <w:next w:val="Normal"/>
    <w:autoRedefine/>
    <w:uiPriority w:val="39"/>
    <w:unhideWhenUsed/>
    <w:rsid w:val="00327A44"/>
    <w:pPr>
      <w:spacing w:after="0"/>
      <w:ind w:left="440"/>
    </w:pPr>
  </w:style>
  <w:style w:type="paragraph" w:styleId="TOC4">
    <w:name w:val="toc 4"/>
    <w:basedOn w:val="Normal"/>
    <w:next w:val="Normal"/>
    <w:autoRedefine/>
    <w:uiPriority w:val="39"/>
    <w:unhideWhenUsed/>
    <w:rsid w:val="00327A44"/>
    <w:pPr>
      <w:spacing w:after="0"/>
      <w:ind w:left="660"/>
    </w:pPr>
    <w:rPr>
      <w:sz w:val="20"/>
      <w:szCs w:val="20"/>
    </w:rPr>
  </w:style>
  <w:style w:type="paragraph" w:styleId="TOC5">
    <w:name w:val="toc 5"/>
    <w:basedOn w:val="Normal"/>
    <w:next w:val="Normal"/>
    <w:autoRedefine/>
    <w:uiPriority w:val="39"/>
    <w:unhideWhenUsed/>
    <w:rsid w:val="00327A44"/>
    <w:pPr>
      <w:spacing w:after="0"/>
      <w:ind w:left="880"/>
    </w:pPr>
    <w:rPr>
      <w:sz w:val="20"/>
      <w:szCs w:val="20"/>
    </w:rPr>
  </w:style>
  <w:style w:type="paragraph" w:styleId="TOC6">
    <w:name w:val="toc 6"/>
    <w:basedOn w:val="Normal"/>
    <w:next w:val="Normal"/>
    <w:autoRedefine/>
    <w:uiPriority w:val="39"/>
    <w:unhideWhenUsed/>
    <w:rsid w:val="00327A44"/>
    <w:pPr>
      <w:spacing w:after="0"/>
      <w:ind w:left="1100"/>
    </w:pPr>
    <w:rPr>
      <w:sz w:val="20"/>
      <w:szCs w:val="20"/>
    </w:rPr>
  </w:style>
  <w:style w:type="paragraph" w:styleId="TOC7">
    <w:name w:val="toc 7"/>
    <w:basedOn w:val="Normal"/>
    <w:next w:val="Normal"/>
    <w:autoRedefine/>
    <w:uiPriority w:val="39"/>
    <w:unhideWhenUsed/>
    <w:rsid w:val="00327A44"/>
    <w:pPr>
      <w:spacing w:after="0"/>
      <w:ind w:left="1320"/>
    </w:pPr>
    <w:rPr>
      <w:sz w:val="20"/>
      <w:szCs w:val="20"/>
    </w:rPr>
  </w:style>
  <w:style w:type="paragraph" w:styleId="TOC8">
    <w:name w:val="toc 8"/>
    <w:basedOn w:val="Normal"/>
    <w:next w:val="Normal"/>
    <w:autoRedefine/>
    <w:uiPriority w:val="39"/>
    <w:unhideWhenUsed/>
    <w:rsid w:val="00327A44"/>
    <w:pPr>
      <w:spacing w:after="0"/>
      <w:ind w:left="1540"/>
    </w:pPr>
    <w:rPr>
      <w:sz w:val="20"/>
      <w:szCs w:val="20"/>
    </w:rPr>
  </w:style>
  <w:style w:type="paragraph" w:styleId="TOC9">
    <w:name w:val="toc 9"/>
    <w:basedOn w:val="Normal"/>
    <w:next w:val="Normal"/>
    <w:autoRedefine/>
    <w:uiPriority w:val="39"/>
    <w:unhideWhenUsed/>
    <w:rsid w:val="00327A44"/>
    <w:pPr>
      <w:spacing w:after="0"/>
      <w:ind w:left="1760"/>
    </w:pPr>
    <w:rPr>
      <w:sz w:val="20"/>
      <w:szCs w:val="20"/>
    </w:rPr>
  </w:style>
  <w:style w:type="paragraph" w:styleId="BalloonText">
    <w:name w:val="Balloon Text"/>
    <w:basedOn w:val="Normal"/>
    <w:link w:val="BalloonTextChar"/>
    <w:uiPriority w:val="99"/>
    <w:semiHidden/>
    <w:unhideWhenUsed/>
    <w:rsid w:val="002E37A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37AE"/>
    <w:rPr>
      <w:rFonts w:ascii="Lucida Grande" w:hAnsi="Lucida Grande" w:cs="Lucida Grande"/>
      <w:sz w:val="18"/>
      <w:szCs w:val="18"/>
    </w:rPr>
  </w:style>
  <w:style w:type="character" w:styleId="PlaceholderText">
    <w:name w:val="Placeholder Text"/>
    <w:basedOn w:val="DefaultParagraphFont"/>
    <w:uiPriority w:val="99"/>
    <w:semiHidden/>
    <w:rsid w:val="00D52EF1"/>
    <w:rPr>
      <w:color w:val="808080"/>
    </w:rPr>
  </w:style>
  <w:style w:type="character" w:styleId="CommentReference">
    <w:name w:val="annotation reference"/>
    <w:basedOn w:val="DefaultParagraphFont"/>
    <w:uiPriority w:val="99"/>
    <w:semiHidden/>
    <w:unhideWhenUsed/>
    <w:rsid w:val="00192285"/>
    <w:rPr>
      <w:sz w:val="18"/>
      <w:szCs w:val="18"/>
    </w:rPr>
  </w:style>
  <w:style w:type="paragraph" w:styleId="CommentText">
    <w:name w:val="annotation text"/>
    <w:basedOn w:val="Normal"/>
    <w:link w:val="CommentTextChar"/>
    <w:uiPriority w:val="99"/>
    <w:semiHidden/>
    <w:unhideWhenUsed/>
    <w:rsid w:val="00192285"/>
    <w:pPr>
      <w:spacing w:line="240" w:lineRule="auto"/>
    </w:pPr>
    <w:rPr>
      <w:sz w:val="24"/>
      <w:szCs w:val="24"/>
    </w:rPr>
  </w:style>
  <w:style w:type="character" w:customStyle="1" w:styleId="CommentTextChar">
    <w:name w:val="Comment Text Char"/>
    <w:basedOn w:val="DefaultParagraphFont"/>
    <w:link w:val="CommentText"/>
    <w:uiPriority w:val="99"/>
    <w:semiHidden/>
    <w:rsid w:val="00192285"/>
    <w:rPr>
      <w:sz w:val="24"/>
      <w:szCs w:val="24"/>
    </w:rPr>
  </w:style>
  <w:style w:type="paragraph" w:styleId="CommentSubject">
    <w:name w:val="annotation subject"/>
    <w:basedOn w:val="CommentText"/>
    <w:next w:val="CommentText"/>
    <w:link w:val="CommentSubjectChar"/>
    <w:uiPriority w:val="99"/>
    <w:semiHidden/>
    <w:unhideWhenUsed/>
    <w:rsid w:val="00192285"/>
    <w:rPr>
      <w:b/>
      <w:bCs/>
      <w:sz w:val="20"/>
      <w:szCs w:val="20"/>
    </w:rPr>
  </w:style>
  <w:style w:type="character" w:customStyle="1" w:styleId="CommentSubjectChar">
    <w:name w:val="Comment Subject Char"/>
    <w:basedOn w:val="CommentTextChar"/>
    <w:link w:val="CommentSubject"/>
    <w:uiPriority w:val="99"/>
    <w:semiHidden/>
    <w:rsid w:val="00192285"/>
    <w:rPr>
      <w:b/>
      <w:bCs/>
      <w:sz w:val="20"/>
      <w:szCs w:val="20"/>
    </w:rPr>
  </w:style>
  <w:style w:type="character" w:styleId="Hyperlink">
    <w:name w:val="Hyperlink"/>
    <w:basedOn w:val="DefaultParagraphFont"/>
    <w:uiPriority w:val="99"/>
    <w:unhideWhenUsed/>
    <w:rsid w:val="00015D60"/>
    <w:rPr>
      <w:color w:val="0000FF" w:themeColor="hyperlink"/>
      <w:u w:val="single"/>
    </w:rPr>
  </w:style>
  <w:style w:type="character" w:styleId="FollowedHyperlink">
    <w:name w:val="FollowedHyperlink"/>
    <w:basedOn w:val="DefaultParagraphFont"/>
    <w:uiPriority w:val="99"/>
    <w:semiHidden/>
    <w:unhideWhenUsed/>
    <w:rsid w:val="00015D60"/>
    <w:rPr>
      <w:color w:val="800080" w:themeColor="followedHyperlink"/>
      <w:u w:val="single"/>
    </w:rPr>
  </w:style>
  <w:style w:type="paragraph" w:styleId="Header">
    <w:name w:val="header"/>
    <w:basedOn w:val="Normal"/>
    <w:link w:val="HeaderChar"/>
    <w:uiPriority w:val="99"/>
    <w:unhideWhenUsed/>
    <w:rsid w:val="00C25BF0"/>
    <w:pPr>
      <w:tabs>
        <w:tab w:val="center" w:pos="4320"/>
        <w:tab w:val="right" w:pos="8640"/>
      </w:tabs>
      <w:spacing w:after="0" w:line="240" w:lineRule="auto"/>
    </w:pPr>
  </w:style>
  <w:style w:type="character" w:customStyle="1" w:styleId="HeaderChar">
    <w:name w:val="Header Char"/>
    <w:basedOn w:val="DefaultParagraphFont"/>
    <w:link w:val="Header"/>
    <w:uiPriority w:val="99"/>
    <w:rsid w:val="00C25BF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E4C"/>
  </w:style>
  <w:style w:type="paragraph" w:styleId="Heading1">
    <w:name w:val="heading 1"/>
    <w:basedOn w:val="Normal"/>
    <w:next w:val="Normal"/>
    <w:link w:val="Heading1Char"/>
    <w:uiPriority w:val="9"/>
    <w:qFormat/>
    <w:rsid w:val="00302379"/>
    <w:pPr>
      <w:keepNext/>
      <w:keepLines/>
      <w:numPr>
        <w:numId w:val="30"/>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02379"/>
    <w:pPr>
      <w:keepNext/>
      <w:keepLines/>
      <w:numPr>
        <w:ilvl w:val="1"/>
        <w:numId w:val="30"/>
      </w:numPr>
      <w:spacing w:before="200" w:after="0" w:line="480"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16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16B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302379"/>
    <w:pPr>
      <w:keepNext/>
      <w:keepLines/>
      <w:numPr>
        <w:ilvl w:val="4"/>
        <w:numId w:val="30"/>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302379"/>
    <w:pPr>
      <w:keepNext/>
      <w:keepLines/>
      <w:numPr>
        <w:ilvl w:val="5"/>
        <w:numId w:val="30"/>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302379"/>
    <w:pPr>
      <w:keepNext/>
      <w:keepLines/>
      <w:numPr>
        <w:ilvl w:val="6"/>
        <w:numId w:val="3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302379"/>
    <w:pPr>
      <w:keepNext/>
      <w:keepLines/>
      <w:numPr>
        <w:ilvl w:val="7"/>
        <w:numId w:val="30"/>
      </w:numPr>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302379"/>
    <w:pPr>
      <w:keepNext/>
      <w:keepLines/>
      <w:numPr>
        <w:ilvl w:val="8"/>
        <w:numId w:val="3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12E4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12E4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0237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0237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B11D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B11D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30237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30237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30237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302379"/>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30237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512E4C"/>
    <w:pPr>
      <w:spacing w:line="240" w:lineRule="auto"/>
    </w:pPr>
    <w:rPr>
      <w:b/>
      <w:bCs/>
      <w:color w:val="4F81BD" w:themeColor="accent1"/>
      <w:sz w:val="18"/>
      <w:szCs w:val="18"/>
    </w:rPr>
  </w:style>
  <w:style w:type="paragraph" w:styleId="Subtitle">
    <w:name w:val="Subtitle"/>
    <w:basedOn w:val="Normal"/>
    <w:next w:val="Normal"/>
    <w:link w:val="SubtitleChar"/>
    <w:uiPriority w:val="11"/>
    <w:qFormat/>
    <w:rsid w:val="00512E4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12E4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512E4C"/>
    <w:rPr>
      <w:b/>
      <w:bCs/>
    </w:rPr>
  </w:style>
  <w:style w:type="character" w:styleId="Emphasis">
    <w:name w:val="Emphasis"/>
    <w:basedOn w:val="DefaultParagraphFont"/>
    <w:uiPriority w:val="20"/>
    <w:qFormat/>
    <w:rsid w:val="00512E4C"/>
    <w:rPr>
      <w:i/>
      <w:iCs/>
    </w:rPr>
  </w:style>
  <w:style w:type="paragraph" w:styleId="NoSpacing">
    <w:name w:val="No Spacing"/>
    <w:uiPriority w:val="1"/>
    <w:qFormat/>
    <w:rsid w:val="00512E4C"/>
    <w:pPr>
      <w:spacing w:after="0" w:line="240" w:lineRule="auto"/>
    </w:pPr>
  </w:style>
  <w:style w:type="paragraph" w:styleId="ListParagraph">
    <w:name w:val="List Paragraph"/>
    <w:basedOn w:val="Normal"/>
    <w:uiPriority w:val="34"/>
    <w:qFormat/>
    <w:rsid w:val="00512E4C"/>
    <w:pPr>
      <w:ind w:left="720"/>
      <w:contextualSpacing/>
    </w:pPr>
  </w:style>
  <w:style w:type="paragraph" w:styleId="Quote">
    <w:name w:val="Quote"/>
    <w:basedOn w:val="Normal"/>
    <w:next w:val="Normal"/>
    <w:link w:val="QuoteChar"/>
    <w:uiPriority w:val="29"/>
    <w:qFormat/>
    <w:rsid w:val="00512E4C"/>
    <w:rPr>
      <w:i/>
      <w:iCs/>
      <w:color w:val="000000" w:themeColor="text1"/>
    </w:rPr>
  </w:style>
  <w:style w:type="character" w:customStyle="1" w:styleId="QuoteChar">
    <w:name w:val="Quote Char"/>
    <w:basedOn w:val="DefaultParagraphFont"/>
    <w:link w:val="Quote"/>
    <w:uiPriority w:val="29"/>
    <w:rsid w:val="00512E4C"/>
    <w:rPr>
      <w:i/>
      <w:iCs/>
      <w:color w:val="000000" w:themeColor="text1"/>
    </w:rPr>
  </w:style>
  <w:style w:type="paragraph" w:styleId="IntenseQuote">
    <w:name w:val="Intense Quote"/>
    <w:basedOn w:val="Normal"/>
    <w:next w:val="Normal"/>
    <w:link w:val="IntenseQuoteChar"/>
    <w:uiPriority w:val="30"/>
    <w:qFormat/>
    <w:rsid w:val="00512E4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12E4C"/>
    <w:rPr>
      <w:b/>
      <w:bCs/>
      <w:i/>
      <w:iCs/>
      <w:color w:val="4F81BD" w:themeColor="accent1"/>
    </w:rPr>
  </w:style>
  <w:style w:type="character" w:styleId="SubtleEmphasis">
    <w:name w:val="Subtle Emphasis"/>
    <w:basedOn w:val="DefaultParagraphFont"/>
    <w:uiPriority w:val="19"/>
    <w:qFormat/>
    <w:rsid w:val="00512E4C"/>
    <w:rPr>
      <w:i/>
      <w:iCs/>
      <w:color w:val="808080" w:themeColor="text1" w:themeTint="7F"/>
    </w:rPr>
  </w:style>
  <w:style w:type="character" w:styleId="IntenseEmphasis">
    <w:name w:val="Intense Emphasis"/>
    <w:basedOn w:val="DefaultParagraphFont"/>
    <w:uiPriority w:val="21"/>
    <w:qFormat/>
    <w:rsid w:val="00512E4C"/>
    <w:rPr>
      <w:b/>
      <w:bCs/>
      <w:i/>
      <w:iCs/>
      <w:color w:val="4F81BD" w:themeColor="accent1"/>
    </w:rPr>
  </w:style>
  <w:style w:type="character" w:styleId="SubtleReference">
    <w:name w:val="Subtle Reference"/>
    <w:basedOn w:val="DefaultParagraphFont"/>
    <w:uiPriority w:val="31"/>
    <w:qFormat/>
    <w:rsid w:val="00512E4C"/>
    <w:rPr>
      <w:smallCaps/>
      <w:color w:val="C0504D" w:themeColor="accent2"/>
      <w:u w:val="single"/>
    </w:rPr>
  </w:style>
  <w:style w:type="character" w:styleId="IntenseReference">
    <w:name w:val="Intense Reference"/>
    <w:basedOn w:val="DefaultParagraphFont"/>
    <w:uiPriority w:val="32"/>
    <w:qFormat/>
    <w:rsid w:val="00512E4C"/>
    <w:rPr>
      <w:b/>
      <w:bCs/>
      <w:smallCaps/>
      <w:color w:val="C0504D" w:themeColor="accent2"/>
      <w:spacing w:val="5"/>
      <w:u w:val="single"/>
    </w:rPr>
  </w:style>
  <w:style w:type="character" w:styleId="BookTitle">
    <w:name w:val="Book Title"/>
    <w:basedOn w:val="DefaultParagraphFont"/>
    <w:uiPriority w:val="33"/>
    <w:qFormat/>
    <w:rsid w:val="00512E4C"/>
    <w:rPr>
      <w:b/>
      <w:bCs/>
      <w:smallCaps/>
      <w:spacing w:val="5"/>
    </w:rPr>
  </w:style>
  <w:style w:type="paragraph" w:styleId="TOCHeading">
    <w:name w:val="TOC Heading"/>
    <w:basedOn w:val="Heading1"/>
    <w:next w:val="Normal"/>
    <w:uiPriority w:val="39"/>
    <w:unhideWhenUsed/>
    <w:qFormat/>
    <w:rsid w:val="00512E4C"/>
    <w:pPr>
      <w:outlineLvl w:val="9"/>
    </w:pPr>
  </w:style>
  <w:style w:type="paragraph" w:styleId="Footer">
    <w:name w:val="footer"/>
    <w:basedOn w:val="Normal"/>
    <w:link w:val="FooterChar"/>
    <w:uiPriority w:val="99"/>
    <w:unhideWhenUsed/>
    <w:rsid w:val="00327A4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27A44"/>
  </w:style>
  <w:style w:type="character" w:styleId="PageNumber">
    <w:name w:val="page number"/>
    <w:basedOn w:val="DefaultParagraphFont"/>
    <w:uiPriority w:val="99"/>
    <w:semiHidden/>
    <w:unhideWhenUsed/>
    <w:rsid w:val="00327A44"/>
  </w:style>
  <w:style w:type="paragraph" w:styleId="TOC2">
    <w:name w:val="toc 2"/>
    <w:basedOn w:val="Normal"/>
    <w:next w:val="Normal"/>
    <w:autoRedefine/>
    <w:uiPriority w:val="39"/>
    <w:unhideWhenUsed/>
    <w:rsid w:val="00327A44"/>
    <w:pPr>
      <w:spacing w:after="0"/>
      <w:ind w:left="220"/>
    </w:pPr>
    <w:rPr>
      <w:b/>
    </w:rPr>
  </w:style>
  <w:style w:type="paragraph" w:styleId="TOC1">
    <w:name w:val="toc 1"/>
    <w:basedOn w:val="Normal"/>
    <w:next w:val="Normal"/>
    <w:autoRedefine/>
    <w:uiPriority w:val="39"/>
    <w:unhideWhenUsed/>
    <w:rsid w:val="00327A44"/>
    <w:pPr>
      <w:spacing w:before="120" w:after="0"/>
    </w:pPr>
    <w:rPr>
      <w:b/>
      <w:sz w:val="24"/>
      <w:szCs w:val="24"/>
    </w:rPr>
  </w:style>
  <w:style w:type="paragraph" w:styleId="TOC3">
    <w:name w:val="toc 3"/>
    <w:basedOn w:val="Normal"/>
    <w:next w:val="Normal"/>
    <w:autoRedefine/>
    <w:uiPriority w:val="39"/>
    <w:unhideWhenUsed/>
    <w:rsid w:val="00327A44"/>
    <w:pPr>
      <w:spacing w:after="0"/>
      <w:ind w:left="440"/>
    </w:pPr>
  </w:style>
  <w:style w:type="paragraph" w:styleId="TOC4">
    <w:name w:val="toc 4"/>
    <w:basedOn w:val="Normal"/>
    <w:next w:val="Normal"/>
    <w:autoRedefine/>
    <w:uiPriority w:val="39"/>
    <w:unhideWhenUsed/>
    <w:rsid w:val="00327A44"/>
    <w:pPr>
      <w:spacing w:after="0"/>
      <w:ind w:left="660"/>
    </w:pPr>
    <w:rPr>
      <w:sz w:val="20"/>
      <w:szCs w:val="20"/>
    </w:rPr>
  </w:style>
  <w:style w:type="paragraph" w:styleId="TOC5">
    <w:name w:val="toc 5"/>
    <w:basedOn w:val="Normal"/>
    <w:next w:val="Normal"/>
    <w:autoRedefine/>
    <w:uiPriority w:val="39"/>
    <w:unhideWhenUsed/>
    <w:rsid w:val="00327A44"/>
    <w:pPr>
      <w:spacing w:after="0"/>
      <w:ind w:left="880"/>
    </w:pPr>
    <w:rPr>
      <w:sz w:val="20"/>
      <w:szCs w:val="20"/>
    </w:rPr>
  </w:style>
  <w:style w:type="paragraph" w:styleId="TOC6">
    <w:name w:val="toc 6"/>
    <w:basedOn w:val="Normal"/>
    <w:next w:val="Normal"/>
    <w:autoRedefine/>
    <w:uiPriority w:val="39"/>
    <w:unhideWhenUsed/>
    <w:rsid w:val="00327A44"/>
    <w:pPr>
      <w:spacing w:after="0"/>
      <w:ind w:left="1100"/>
    </w:pPr>
    <w:rPr>
      <w:sz w:val="20"/>
      <w:szCs w:val="20"/>
    </w:rPr>
  </w:style>
  <w:style w:type="paragraph" w:styleId="TOC7">
    <w:name w:val="toc 7"/>
    <w:basedOn w:val="Normal"/>
    <w:next w:val="Normal"/>
    <w:autoRedefine/>
    <w:uiPriority w:val="39"/>
    <w:unhideWhenUsed/>
    <w:rsid w:val="00327A44"/>
    <w:pPr>
      <w:spacing w:after="0"/>
      <w:ind w:left="1320"/>
    </w:pPr>
    <w:rPr>
      <w:sz w:val="20"/>
      <w:szCs w:val="20"/>
    </w:rPr>
  </w:style>
  <w:style w:type="paragraph" w:styleId="TOC8">
    <w:name w:val="toc 8"/>
    <w:basedOn w:val="Normal"/>
    <w:next w:val="Normal"/>
    <w:autoRedefine/>
    <w:uiPriority w:val="39"/>
    <w:unhideWhenUsed/>
    <w:rsid w:val="00327A44"/>
    <w:pPr>
      <w:spacing w:after="0"/>
      <w:ind w:left="1540"/>
    </w:pPr>
    <w:rPr>
      <w:sz w:val="20"/>
      <w:szCs w:val="20"/>
    </w:rPr>
  </w:style>
  <w:style w:type="paragraph" w:styleId="TOC9">
    <w:name w:val="toc 9"/>
    <w:basedOn w:val="Normal"/>
    <w:next w:val="Normal"/>
    <w:autoRedefine/>
    <w:uiPriority w:val="39"/>
    <w:unhideWhenUsed/>
    <w:rsid w:val="00327A44"/>
    <w:pPr>
      <w:spacing w:after="0"/>
      <w:ind w:left="1760"/>
    </w:pPr>
    <w:rPr>
      <w:sz w:val="20"/>
      <w:szCs w:val="20"/>
    </w:rPr>
  </w:style>
  <w:style w:type="paragraph" w:styleId="BalloonText">
    <w:name w:val="Balloon Text"/>
    <w:basedOn w:val="Normal"/>
    <w:link w:val="BalloonTextChar"/>
    <w:uiPriority w:val="99"/>
    <w:semiHidden/>
    <w:unhideWhenUsed/>
    <w:rsid w:val="002E37A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37AE"/>
    <w:rPr>
      <w:rFonts w:ascii="Lucida Grande" w:hAnsi="Lucida Grande" w:cs="Lucida Grande"/>
      <w:sz w:val="18"/>
      <w:szCs w:val="18"/>
    </w:rPr>
  </w:style>
  <w:style w:type="character" w:styleId="PlaceholderText">
    <w:name w:val="Placeholder Text"/>
    <w:basedOn w:val="DefaultParagraphFont"/>
    <w:uiPriority w:val="99"/>
    <w:semiHidden/>
    <w:rsid w:val="00D52EF1"/>
    <w:rPr>
      <w:color w:val="808080"/>
    </w:rPr>
  </w:style>
  <w:style w:type="character" w:styleId="CommentReference">
    <w:name w:val="annotation reference"/>
    <w:basedOn w:val="DefaultParagraphFont"/>
    <w:uiPriority w:val="99"/>
    <w:semiHidden/>
    <w:unhideWhenUsed/>
    <w:rsid w:val="00192285"/>
    <w:rPr>
      <w:sz w:val="18"/>
      <w:szCs w:val="18"/>
    </w:rPr>
  </w:style>
  <w:style w:type="paragraph" w:styleId="CommentText">
    <w:name w:val="annotation text"/>
    <w:basedOn w:val="Normal"/>
    <w:link w:val="CommentTextChar"/>
    <w:uiPriority w:val="99"/>
    <w:semiHidden/>
    <w:unhideWhenUsed/>
    <w:rsid w:val="00192285"/>
    <w:pPr>
      <w:spacing w:line="240" w:lineRule="auto"/>
    </w:pPr>
    <w:rPr>
      <w:sz w:val="24"/>
      <w:szCs w:val="24"/>
    </w:rPr>
  </w:style>
  <w:style w:type="character" w:customStyle="1" w:styleId="CommentTextChar">
    <w:name w:val="Comment Text Char"/>
    <w:basedOn w:val="DefaultParagraphFont"/>
    <w:link w:val="CommentText"/>
    <w:uiPriority w:val="99"/>
    <w:semiHidden/>
    <w:rsid w:val="00192285"/>
    <w:rPr>
      <w:sz w:val="24"/>
      <w:szCs w:val="24"/>
    </w:rPr>
  </w:style>
  <w:style w:type="paragraph" w:styleId="CommentSubject">
    <w:name w:val="annotation subject"/>
    <w:basedOn w:val="CommentText"/>
    <w:next w:val="CommentText"/>
    <w:link w:val="CommentSubjectChar"/>
    <w:uiPriority w:val="99"/>
    <w:semiHidden/>
    <w:unhideWhenUsed/>
    <w:rsid w:val="00192285"/>
    <w:rPr>
      <w:b/>
      <w:bCs/>
      <w:sz w:val="20"/>
      <w:szCs w:val="20"/>
    </w:rPr>
  </w:style>
  <w:style w:type="character" w:customStyle="1" w:styleId="CommentSubjectChar">
    <w:name w:val="Comment Subject Char"/>
    <w:basedOn w:val="CommentTextChar"/>
    <w:link w:val="CommentSubject"/>
    <w:uiPriority w:val="99"/>
    <w:semiHidden/>
    <w:rsid w:val="00192285"/>
    <w:rPr>
      <w:b/>
      <w:bCs/>
      <w:sz w:val="20"/>
      <w:szCs w:val="20"/>
    </w:rPr>
  </w:style>
  <w:style w:type="character" w:styleId="Hyperlink">
    <w:name w:val="Hyperlink"/>
    <w:basedOn w:val="DefaultParagraphFont"/>
    <w:uiPriority w:val="99"/>
    <w:unhideWhenUsed/>
    <w:rsid w:val="00015D60"/>
    <w:rPr>
      <w:color w:val="0000FF" w:themeColor="hyperlink"/>
      <w:u w:val="single"/>
    </w:rPr>
  </w:style>
  <w:style w:type="character" w:styleId="FollowedHyperlink">
    <w:name w:val="FollowedHyperlink"/>
    <w:basedOn w:val="DefaultParagraphFont"/>
    <w:uiPriority w:val="99"/>
    <w:semiHidden/>
    <w:unhideWhenUsed/>
    <w:rsid w:val="00015D60"/>
    <w:rPr>
      <w:color w:val="800080" w:themeColor="followedHyperlink"/>
      <w:u w:val="single"/>
    </w:rPr>
  </w:style>
  <w:style w:type="paragraph" w:styleId="Header">
    <w:name w:val="header"/>
    <w:basedOn w:val="Normal"/>
    <w:link w:val="HeaderChar"/>
    <w:uiPriority w:val="99"/>
    <w:unhideWhenUsed/>
    <w:rsid w:val="00C25BF0"/>
    <w:pPr>
      <w:tabs>
        <w:tab w:val="center" w:pos="4320"/>
        <w:tab w:val="right" w:pos="8640"/>
      </w:tabs>
      <w:spacing w:after="0" w:line="240" w:lineRule="auto"/>
    </w:pPr>
  </w:style>
  <w:style w:type="character" w:customStyle="1" w:styleId="HeaderChar">
    <w:name w:val="Header Char"/>
    <w:basedOn w:val="DefaultParagraphFont"/>
    <w:link w:val="Header"/>
    <w:uiPriority w:val="99"/>
    <w:rsid w:val="00C25BF0"/>
  </w:style>
</w:styles>
</file>

<file path=word/webSettings.xml><?xml version="1.0" encoding="utf-8"?>
<w:webSettings xmlns:r="http://schemas.openxmlformats.org/officeDocument/2006/relationships" xmlns:w="http://schemas.openxmlformats.org/wordprocessingml/2006/main">
  <w:divs>
    <w:div w:id="5715012">
      <w:bodyDiv w:val="1"/>
      <w:marLeft w:val="0"/>
      <w:marRight w:val="0"/>
      <w:marTop w:val="0"/>
      <w:marBottom w:val="0"/>
      <w:divBdr>
        <w:top w:val="none" w:sz="0" w:space="0" w:color="auto"/>
        <w:left w:val="none" w:sz="0" w:space="0" w:color="auto"/>
        <w:bottom w:val="none" w:sz="0" w:space="0" w:color="auto"/>
        <w:right w:val="none" w:sz="0" w:space="0" w:color="auto"/>
      </w:divBdr>
    </w:div>
    <w:div w:id="46531080">
      <w:bodyDiv w:val="1"/>
      <w:marLeft w:val="0"/>
      <w:marRight w:val="0"/>
      <w:marTop w:val="0"/>
      <w:marBottom w:val="0"/>
      <w:divBdr>
        <w:top w:val="none" w:sz="0" w:space="0" w:color="auto"/>
        <w:left w:val="none" w:sz="0" w:space="0" w:color="auto"/>
        <w:bottom w:val="none" w:sz="0" w:space="0" w:color="auto"/>
        <w:right w:val="none" w:sz="0" w:space="0" w:color="auto"/>
      </w:divBdr>
    </w:div>
    <w:div w:id="123282611">
      <w:bodyDiv w:val="1"/>
      <w:marLeft w:val="0"/>
      <w:marRight w:val="0"/>
      <w:marTop w:val="0"/>
      <w:marBottom w:val="0"/>
      <w:divBdr>
        <w:top w:val="none" w:sz="0" w:space="0" w:color="auto"/>
        <w:left w:val="none" w:sz="0" w:space="0" w:color="auto"/>
        <w:bottom w:val="none" w:sz="0" w:space="0" w:color="auto"/>
        <w:right w:val="none" w:sz="0" w:space="0" w:color="auto"/>
      </w:divBdr>
    </w:div>
    <w:div w:id="479077655">
      <w:bodyDiv w:val="1"/>
      <w:marLeft w:val="0"/>
      <w:marRight w:val="0"/>
      <w:marTop w:val="0"/>
      <w:marBottom w:val="0"/>
      <w:divBdr>
        <w:top w:val="none" w:sz="0" w:space="0" w:color="auto"/>
        <w:left w:val="none" w:sz="0" w:space="0" w:color="auto"/>
        <w:bottom w:val="none" w:sz="0" w:space="0" w:color="auto"/>
        <w:right w:val="none" w:sz="0" w:space="0" w:color="auto"/>
      </w:divBdr>
    </w:div>
    <w:div w:id="492962333">
      <w:bodyDiv w:val="1"/>
      <w:marLeft w:val="0"/>
      <w:marRight w:val="0"/>
      <w:marTop w:val="0"/>
      <w:marBottom w:val="0"/>
      <w:divBdr>
        <w:top w:val="none" w:sz="0" w:space="0" w:color="auto"/>
        <w:left w:val="none" w:sz="0" w:space="0" w:color="auto"/>
        <w:bottom w:val="none" w:sz="0" w:space="0" w:color="auto"/>
        <w:right w:val="none" w:sz="0" w:space="0" w:color="auto"/>
      </w:divBdr>
    </w:div>
    <w:div w:id="523329513">
      <w:bodyDiv w:val="1"/>
      <w:marLeft w:val="0"/>
      <w:marRight w:val="0"/>
      <w:marTop w:val="0"/>
      <w:marBottom w:val="0"/>
      <w:divBdr>
        <w:top w:val="none" w:sz="0" w:space="0" w:color="auto"/>
        <w:left w:val="none" w:sz="0" w:space="0" w:color="auto"/>
        <w:bottom w:val="none" w:sz="0" w:space="0" w:color="auto"/>
        <w:right w:val="none" w:sz="0" w:space="0" w:color="auto"/>
      </w:divBdr>
    </w:div>
    <w:div w:id="539512394">
      <w:bodyDiv w:val="1"/>
      <w:marLeft w:val="0"/>
      <w:marRight w:val="0"/>
      <w:marTop w:val="0"/>
      <w:marBottom w:val="0"/>
      <w:divBdr>
        <w:top w:val="none" w:sz="0" w:space="0" w:color="auto"/>
        <w:left w:val="none" w:sz="0" w:space="0" w:color="auto"/>
        <w:bottom w:val="none" w:sz="0" w:space="0" w:color="auto"/>
        <w:right w:val="none" w:sz="0" w:space="0" w:color="auto"/>
      </w:divBdr>
    </w:div>
    <w:div w:id="560556703">
      <w:bodyDiv w:val="1"/>
      <w:marLeft w:val="0"/>
      <w:marRight w:val="0"/>
      <w:marTop w:val="0"/>
      <w:marBottom w:val="0"/>
      <w:divBdr>
        <w:top w:val="none" w:sz="0" w:space="0" w:color="auto"/>
        <w:left w:val="none" w:sz="0" w:space="0" w:color="auto"/>
        <w:bottom w:val="none" w:sz="0" w:space="0" w:color="auto"/>
        <w:right w:val="none" w:sz="0" w:space="0" w:color="auto"/>
      </w:divBdr>
    </w:div>
    <w:div w:id="644050851">
      <w:bodyDiv w:val="1"/>
      <w:marLeft w:val="0"/>
      <w:marRight w:val="0"/>
      <w:marTop w:val="0"/>
      <w:marBottom w:val="0"/>
      <w:divBdr>
        <w:top w:val="none" w:sz="0" w:space="0" w:color="auto"/>
        <w:left w:val="none" w:sz="0" w:space="0" w:color="auto"/>
        <w:bottom w:val="none" w:sz="0" w:space="0" w:color="auto"/>
        <w:right w:val="none" w:sz="0" w:space="0" w:color="auto"/>
      </w:divBdr>
    </w:div>
    <w:div w:id="707801319">
      <w:bodyDiv w:val="1"/>
      <w:marLeft w:val="0"/>
      <w:marRight w:val="0"/>
      <w:marTop w:val="0"/>
      <w:marBottom w:val="0"/>
      <w:divBdr>
        <w:top w:val="none" w:sz="0" w:space="0" w:color="auto"/>
        <w:left w:val="none" w:sz="0" w:space="0" w:color="auto"/>
        <w:bottom w:val="none" w:sz="0" w:space="0" w:color="auto"/>
        <w:right w:val="none" w:sz="0" w:space="0" w:color="auto"/>
      </w:divBdr>
    </w:div>
    <w:div w:id="890922036">
      <w:bodyDiv w:val="1"/>
      <w:marLeft w:val="0"/>
      <w:marRight w:val="0"/>
      <w:marTop w:val="0"/>
      <w:marBottom w:val="0"/>
      <w:divBdr>
        <w:top w:val="none" w:sz="0" w:space="0" w:color="auto"/>
        <w:left w:val="none" w:sz="0" w:space="0" w:color="auto"/>
        <w:bottom w:val="none" w:sz="0" w:space="0" w:color="auto"/>
        <w:right w:val="none" w:sz="0" w:space="0" w:color="auto"/>
      </w:divBdr>
    </w:div>
    <w:div w:id="917518610">
      <w:bodyDiv w:val="1"/>
      <w:marLeft w:val="0"/>
      <w:marRight w:val="0"/>
      <w:marTop w:val="0"/>
      <w:marBottom w:val="0"/>
      <w:divBdr>
        <w:top w:val="none" w:sz="0" w:space="0" w:color="auto"/>
        <w:left w:val="none" w:sz="0" w:space="0" w:color="auto"/>
        <w:bottom w:val="none" w:sz="0" w:space="0" w:color="auto"/>
        <w:right w:val="none" w:sz="0" w:space="0" w:color="auto"/>
      </w:divBdr>
    </w:div>
    <w:div w:id="1430544561">
      <w:bodyDiv w:val="1"/>
      <w:marLeft w:val="0"/>
      <w:marRight w:val="0"/>
      <w:marTop w:val="0"/>
      <w:marBottom w:val="0"/>
      <w:divBdr>
        <w:top w:val="none" w:sz="0" w:space="0" w:color="auto"/>
        <w:left w:val="none" w:sz="0" w:space="0" w:color="auto"/>
        <w:bottom w:val="none" w:sz="0" w:space="0" w:color="auto"/>
        <w:right w:val="none" w:sz="0" w:space="0" w:color="auto"/>
      </w:divBdr>
    </w:div>
    <w:div w:id="1473059852">
      <w:bodyDiv w:val="1"/>
      <w:marLeft w:val="0"/>
      <w:marRight w:val="0"/>
      <w:marTop w:val="0"/>
      <w:marBottom w:val="0"/>
      <w:divBdr>
        <w:top w:val="none" w:sz="0" w:space="0" w:color="auto"/>
        <w:left w:val="none" w:sz="0" w:space="0" w:color="auto"/>
        <w:bottom w:val="none" w:sz="0" w:space="0" w:color="auto"/>
        <w:right w:val="none" w:sz="0" w:space="0" w:color="auto"/>
      </w:divBdr>
    </w:div>
    <w:div w:id="1690715274">
      <w:bodyDiv w:val="1"/>
      <w:marLeft w:val="0"/>
      <w:marRight w:val="0"/>
      <w:marTop w:val="0"/>
      <w:marBottom w:val="0"/>
      <w:divBdr>
        <w:top w:val="none" w:sz="0" w:space="0" w:color="auto"/>
        <w:left w:val="none" w:sz="0" w:space="0" w:color="auto"/>
        <w:bottom w:val="none" w:sz="0" w:space="0" w:color="auto"/>
        <w:right w:val="none" w:sz="0" w:space="0" w:color="auto"/>
      </w:divBdr>
    </w:div>
    <w:div w:id="2011635283">
      <w:bodyDiv w:val="1"/>
      <w:marLeft w:val="0"/>
      <w:marRight w:val="0"/>
      <w:marTop w:val="0"/>
      <w:marBottom w:val="0"/>
      <w:divBdr>
        <w:top w:val="none" w:sz="0" w:space="0" w:color="auto"/>
        <w:left w:val="none" w:sz="0" w:space="0" w:color="auto"/>
        <w:bottom w:val="none" w:sz="0" w:space="0" w:color="auto"/>
        <w:right w:val="none" w:sz="0" w:space="0" w:color="auto"/>
      </w:divBdr>
    </w:div>
    <w:div w:id="2013491315">
      <w:bodyDiv w:val="1"/>
      <w:marLeft w:val="0"/>
      <w:marRight w:val="0"/>
      <w:marTop w:val="0"/>
      <w:marBottom w:val="0"/>
      <w:divBdr>
        <w:top w:val="none" w:sz="0" w:space="0" w:color="auto"/>
        <w:left w:val="none" w:sz="0" w:space="0" w:color="auto"/>
        <w:bottom w:val="none" w:sz="0" w:space="0" w:color="auto"/>
        <w:right w:val="none" w:sz="0" w:space="0" w:color="auto"/>
      </w:divBdr>
    </w:div>
    <w:div w:id="2051765205">
      <w:bodyDiv w:val="1"/>
      <w:marLeft w:val="0"/>
      <w:marRight w:val="0"/>
      <w:marTop w:val="0"/>
      <w:marBottom w:val="0"/>
      <w:divBdr>
        <w:top w:val="none" w:sz="0" w:space="0" w:color="auto"/>
        <w:left w:val="none" w:sz="0" w:space="0" w:color="auto"/>
        <w:bottom w:val="none" w:sz="0" w:space="0" w:color="auto"/>
        <w:right w:val="none" w:sz="0" w:space="0" w:color="auto"/>
      </w:divBdr>
    </w:div>
    <w:div w:id="2080251692">
      <w:bodyDiv w:val="1"/>
      <w:marLeft w:val="0"/>
      <w:marRight w:val="0"/>
      <w:marTop w:val="0"/>
      <w:marBottom w:val="0"/>
      <w:divBdr>
        <w:top w:val="none" w:sz="0" w:space="0" w:color="auto"/>
        <w:left w:val="none" w:sz="0" w:space="0" w:color="auto"/>
        <w:bottom w:val="none" w:sz="0" w:space="0" w:color="auto"/>
        <w:right w:val="none" w:sz="0" w:space="0" w:color="auto"/>
      </w:divBdr>
    </w:div>
    <w:div w:id="21469707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6.png"/><Relationship Id="rId39" Type="http://schemas.openxmlformats.org/officeDocument/2006/relationships/image" Target="media/image23.emf"/><Relationship Id="rId21" Type="http://schemas.openxmlformats.org/officeDocument/2006/relationships/image" Target="media/image11.emf"/><Relationship Id="rId34" Type="http://schemas.openxmlformats.org/officeDocument/2006/relationships/chart" Target="charts/chart4.xml"/><Relationship Id="rId42" Type="http://schemas.openxmlformats.org/officeDocument/2006/relationships/chart" Target="charts/chart9.xml"/><Relationship Id="rId47" Type="http://schemas.openxmlformats.org/officeDocument/2006/relationships/image" Target="media/image26.emf"/><Relationship Id="rId50" Type="http://schemas.openxmlformats.org/officeDocument/2006/relationships/image" Target="media/image28.emf"/><Relationship Id="rId55" Type="http://schemas.openxmlformats.org/officeDocument/2006/relationships/image" Target="media/image33.emf"/><Relationship Id="rId63" Type="http://schemas.openxmlformats.org/officeDocument/2006/relationships/hyperlink" Target="http://www.hsbc.com" TargetMode="External"/><Relationship Id="rId68" Type="http://schemas.openxmlformats.org/officeDocument/2006/relationships/image" Target="media/image40.emf"/><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chart" Target="charts/chart1.xml"/><Relationship Id="rId11" Type="http://schemas.openxmlformats.org/officeDocument/2006/relationships/footer" Target="footer3.xml"/><Relationship Id="rId24" Type="http://schemas.openxmlformats.org/officeDocument/2006/relationships/image" Target="media/image14.emf"/><Relationship Id="rId32" Type="http://schemas.openxmlformats.org/officeDocument/2006/relationships/chart" Target="charts/chart3.xml"/><Relationship Id="rId37" Type="http://schemas.openxmlformats.org/officeDocument/2006/relationships/image" Target="media/image22.emf"/><Relationship Id="rId40" Type="http://schemas.openxmlformats.org/officeDocument/2006/relationships/chart" Target="charts/chart7.xml"/><Relationship Id="rId45" Type="http://schemas.openxmlformats.org/officeDocument/2006/relationships/image" Target="media/image25.emf"/><Relationship Id="rId53" Type="http://schemas.openxmlformats.org/officeDocument/2006/relationships/image" Target="media/image31.emf"/><Relationship Id="rId58" Type="http://schemas.openxmlformats.org/officeDocument/2006/relationships/image" Target="media/image36.emf"/><Relationship Id="rId66" Type="http://schemas.openxmlformats.org/officeDocument/2006/relationships/image" Target="media/image38.emf"/><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chart" Target="charts/chart5.xml"/><Relationship Id="rId49" Type="http://schemas.openxmlformats.org/officeDocument/2006/relationships/image" Target="media/image27.emf"/><Relationship Id="rId57" Type="http://schemas.openxmlformats.org/officeDocument/2006/relationships/image" Target="media/image35.emf"/><Relationship Id="rId61" Type="http://schemas.openxmlformats.org/officeDocument/2006/relationships/hyperlink" Target="http://www.investopedia.com" TargetMode="External"/><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chart" Target="charts/chart2.xml"/><Relationship Id="rId44" Type="http://schemas.openxmlformats.org/officeDocument/2006/relationships/chart" Target="charts/chart10.xml"/><Relationship Id="rId52" Type="http://schemas.openxmlformats.org/officeDocument/2006/relationships/image" Target="media/image30.emf"/><Relationship Id="rId60" Type="http://schemas.openxmlformats.org/officeDocument/2006/relationships/hyperlink" Target="http://en.wikipedia.org" TargetMode="External"/><Relationship Id="rId65" Type="http://schemas.openxmlformats.org/officeDocument/2006/relationships/hyperlink" Target="http://www.standardandpoors.com" TargetMode="External"/><Relationship Id="rId73"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19.emf"/><Relationship Id="rId35" Type="http://schemas.openxmlformats.org/officeDocument/2006/relationships/image" Target="media/image21.emf"/><Relationship Id="rId43" Type="http://schemas.openxmlformats.org/officeDocument/2006/relationships/image" Target="media/image24.emf"/><Relationship Id="rId48" Type="http://schemas.openxmlformats.org/officeDocument/2006/relationships/chart" Target="charts/chart12.xml"/><Relationship Id="rId56" Type="http://schemas.openxmlformats.org/officeDocument/2006/relationships/image" Target="media/image34.emf"/><Relationship Id="rId64" Type="http://schemas.openxmlformats.org/officeDocument/2006/relationships/hyperlink" Target="http://www.msci.com" TargetMode="External"/><Relationship Id="rId69" Type="http://schemas.openxmlformats.org/officeDocument/2006/relationships/image" Target="media/image41.emf"/><Relationship Id="rId8" Type="http://schemas.openxmlformats.org/officeDocument/2006/relationships/image" Target="media/image1.jpeg"/><Relationship Id="rId51" Type="http://schemas.openxmlformats.org/officeDocument/2006/relationships/image" Target="media/image29.emf"/><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0.emf"/><Relationship Id="rId38" Type="http://schemas.openxmlformats.org/officeDocument/2006/relationships/chart" Target="charts/chart6.xml"/><Relationship Id="rId46" Type="http://schemas.openxmlformats.org/officeDocument/2006/relationships/chart" Target="charts/chart11.xml"/><Relationship Id="rId59" Type="http://schemas.openxmlformats.org/officeDocument/2006/relationships/image" Target="media/image37.emf"/><Relationship Id="rId67" Type="http://schemas.openxmlformats.org/officeDocument/2006/relationships/image" Target="media/image39.emf"/><Relationship Id="rId20" Type="http://schemas.openxmlformats.org/officeDocument/2006/relationships/image" Target="media/image10.emf"/><Relationship Id="rId41" Type="http://schemas.openxmlformats.org/officeDocument/2006/relationships/chart" Target="charts/chart8.xml"/><Relationship Id="rId54" Type="http://schemas.openxmlformats.org/officeDocument/2006/relationships/image" Target="media/image32.emf"/><Relationship Id="rId62" Type="http://schemas.openxmlformats.org/officeDocument/2006/relationships/hyperlink" Target="http://www.msci.com" TargetMode="External"/><Relationship Id="rId70" Type="http://schemas.openxmlformats.org/officeDocument/2006/relationships/image" Target="media/image42.emf"/><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BRAZIL2012101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Turkey2012102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Turkey%20plot2012110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India20121028.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CHINA20121028.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USB%20DISK:Thesis:definitieve%20versies:H%205%20Results:data%20analyse%20table%20additions%20msci%20em20120715_gecorrigeerd_t-1_20120817.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BRAZIL20121014.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BRAZIL%20plot20121105.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BRAZIL%20plot20121105.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Turkey20121028.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India20121028.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USB%20DISK:Thesis:definitieve%20versies:H%205%20Results:Copy%20of%20Price%20effect_data%20analyse%20CAR_CHINA2012102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10"/>
  <c:chart>
    <c:title>
      <c:tx>
        <c:rich>
          <a:bodyPr/>
          <a:lstStyle/>
          <a:p>
            <a:pPr>
              <a:defRPr/>
            </a:pPr>
            <a:r>
              <a:rPr lang="en-US"/>
              <a:t>Brazil</a:t>
            </a:r>
          </a:p>
        </c:rich>
      </c:tx>
    </c:title>
    <c:plotArea>
      <c:layout/>
      <c:lineChart>
        <c:grouping val="standard"/>
        <c:ser>
          <c:idx val="0"/>
          <c:order val="0"/>
          <c:tx>
            <c:strRef>
              <c:f>Additions!$BI$71</c:f>
              <c:strCache>
                <c:ptCount val="1"/>
                <c:pt idx="0">
                  <c:v>CAR MSCI Brazil</c:v>
                </c:pt>
              </c:strCache>
            </c:strRef>
          </c:tx>
          <c:spPr>
            <a:ln>
              <a:solidFill>
                <a:schemeClr val="accent1">
                  <a:lumMod val="50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Additions!$BJ$71:$CX$71</c:f>
              <c:numCache>
                <c:formatCode>0.00</c:formatCode>
                <c:ptCount val="41"/>
                <c:pt idx="0">
                  <c:v>-0.29173341197232</c:v>
                </c:pt>
                <c:pt idx="1">
                  <c:v>-0.936772205799139</c:v>
                </c:pt>
                <c:pt idx="2">
                  <c:v>-0.46090276174575012</c:v>
                </c:pt>
                <c:pt idx="3">
                  <c:v>-1.761828078721952</c:v>
                </c:pt>
                <c:pt idx="4">
                  <c:v>-1.5718953103429316</c:v>
                </c:pt>
                <c:pt idx="5">
                  <c:v>-0.66666734964979613</c:v>
                </c:pt>
                <c:pt idx="6">
                  <c:v>-0.15785229316901303</c:v>
                </c:pt>
                <c:pt idx="7">
                  <c:v>0.41409986346587208</c:v>
                </c:pt>
                <c:pt idx="8">
                  <c:v>0.41409986346587208</c:v>
                </c:pt>
                <c:pt idx="9">
                  <c:v>0.874469589544283</c:v>
                </c:pt>
                <c:pt idx="10">
                  <c:v>1.027698922785278</c:v>
                </c:pt>
                <c:pt idx="11">
                  <c:v>0.93176045687575104</c:v>
                </c:pt>
                <c:pt idx="12">
                  <c:v>0.7991795971917911</c:v>
                </c:pt>
                <c:pt idx="13">
                  <c:v>0.86789319147932609</c:v>
                </c:pt>
                <c:pt idx="14">
                  <c:v>1.148971240981989</c:v>
                </c:pt>
                <c:pt idx="15">
                  <c:v>2.0019864285269442</c:v>
                </c:pt>
                <c:pt idx="16">
                  <c:v>2.6667667050697879</c:v>
                </c:pt>
                <c:pt idx="17">
                  <c:v>4.1777513639298496</c:v>
                </c:pt>
                <c:pt idx="18">
                  <c:v>3.9483044278233081</c:v>
                </c:pt>
                <c:pt idx="19">
                  <c:v>7.0763501384779222</c:v>
                </c:pt>
                <c:pt idx="20">
                  <c:v>5.0534205720657761</c:v>
                </c:pt>
                <c:pt idx="21">
                  <c:v>4.8870292041937171</c:v>
                </c:pt>
                <c:pt idx="22">
                  <c:v>4.359141138194639</c:v>
                </c:pt>
                <c:pt idx="23">
                  <c:v>4.7024699372765548</c:v>
                </c:pt>
                <c:pt idx="24">
                  <c:v>5.3699577502513556</c:v>
                </c:pt>
                <c:pt idx="25">
                  <c:v>5.6647944563469004</c:v>
                </c:pt>
                <c:pt idx="26">
                  <c:v>5.1288608849664756</c:v>
                </c:pt>
                <c:pt idx="27">
                  <c:v>4.9186942381158856</c:v>
                </c:pt>
                <c:pt idx="28">
                  <c:v>4.2815892999859075</c:v>
                </c:pt>
                <c:pt idx="29">
                  <c:v>4.1470819934285146</c:v>
                </c:pt>
                <c:pt idx="30">
                  <c:v>3.7721410563444353</c:v>
                </c:pt>
                <c:pt idx="31">
                  <c:v>3.6302489354317431</c:v>
                </c:pt>
                <c:pt idx="32">
                  <c:v>3.5512616782891837</c:v>
                </c:pt>
                <c:pt idx="33">
                  <c:v>3.2641175865862109</c:v>
                </c:pt>
                <c:pt idx="34">
                  <c:v>3.1826148137166732</c:v>
                </c:pt>
                <c:pt idx="35">
                  <c:v>2.6956734250332364</c:v>
                </c:pt>
                <c:pt idx="36">
                  <c:v>3.1005934607852934</c:v>
                </c:pt>
                <c:pt idx="37">
                  <c:v>3.2414621227334397</c:v>
                </c:pt>
                <c:pt idx="38">
                  <c:v>3.4622779854685226</c:v>
                </c:pt>
                <c:pt idx="39">
                  <c:v>3.3328933027738756</c:v>
                </c:pt>
                <c:pt idx="40">
                  <c:v>3.4172613262003901</c:v>
                </c:pt>
              </c:numCache>
            </c:numRef>
          </c:val>
        </c:ser>
        <c:ser>
          <c:idx val="1"/>
          <c:order val="1"/>
          <c:tx>
            <c:strRef>
              <c:f>Additions!$BI$72</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Additions!$BJ$72:$CX$72</c:f>
            </c:numRef>
          </c:val>
        </c:ser>
        <c:ser>
          <c:idx val="2"/>
          <c:order val="2"/>
          <c:tx>
            <c:strRef>
              <c:f>Additions!$BI$73</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Additions!$BJ$73:$CX$73</c:f>
            </c:numRef>
          </c:val>
        </c:ser>
        <c:ser>
          <c:idx val="4"/>
          <c:order val="3"/>
          <c:tx>
            <c:strRef>
              <c:f>Additions!$BI$75</c:f>
              <c:strCache>
                <c:ptCount val="1"/>
                <c:pt idx="0">
                  <c:v>CAR MSCI EM</c:v>
                </c:pt>
              </c:strCache>
            </c:strRef>
          </c:tx>
          <c:spPr>
            <a:ln>
              <a:solidFill>
                <a:schemeClr val="accent3">
                  <a:lumMod val="75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Additions!$BJ$75:$CX$75</c:f>
              <c:numCache>
                <c:formatCode>0.00</c:formatCode>
                <c:ptCount val="41"/>
                <c:pt idx="0">
                  <c:v>8.5298158332561713E-2</c:v>
                </c:pt>
                <c:pt idx="1">
                  <c:v>-0.13218165889276001</c:v>
                </c:pt>
                <c:pt idx="2">
                  <c:v>5.1161740640609611E-2</c:v>
                </c:pt>
                <c:pt idx="3">
                  <c:v>9.5866391575252632E-2</c:v>
                </c:pt>
                <c:pt idx="4">
                  <c:v>3.5444355116403495E-2</c:v>
                </c:pt>
                <c:pt idx="5">
                  <c:v>0.12436080751683101</c:v>
                </c:pt>
                <c:pt idx="6">
                  <c:v>0.36058145268174202</c:v>
                </c:pt>
                <c:pt idx="7">
                  <c:v>0.74068561394887933</c:v>
                </c:pt>
                <c:pt idx="8">
                  <c:v>0.74068561394887933</c:v>
                </c:pt>
                <c:pt idx="9">
                  <c:v>1.5300663857179169</c:v>
                </c:pt>
                <c:pt idx="10">
                  <c:v>1.6965661804277632</c:v>
                </c:pt>
                <c:pt idx="11">
                  <c:v>1.4344057254241358</c:v>
                </c:pt>
                <c:pt idx="12">
                  <c:v>1.5189012883992776</c:v>
                </c:pt>
                <c:pt idx="13">
                  <c:v>1.53188586492219</c:v>
                </c:pt>
                <c:pt idx="14">
                  <c:v>2.0079947201585178</c:v>
                </c:pt>
                <c:pt idx="15">
                  <c:v>2.4306962017064704</c:v>
                </c:pt>
                <c:pt idx="16">
                  <c:v>3.0323471462349998</c:v>
                </c:pt>
                <c:pt idx="17">
                  <c:v>3.4024108543357361</c:v>
                </c:pt>
                <c:pt idx="18">
                  <c:v>4.3381162159993307</c:v>
                </c:pt>
                <c:pt idx="19">
                  <c:v>7.259178084439343</c:v>
                </c:pt>
                <c:pt idx="20">
                  <c:v>6.1795653238723087</c:v>
                </c:pt>
                <c:pt idx="21">
                  <c:v>5.3255622773597233</c:v>
                </c:pt>
                <c:pt idx="22">
                  <c:v>5.154590536420165</c:v>
                </c:pt>
                <c:pt idx="23">
                  <c:v>5.0652434990160708</c:v>
                </c:pt>
                <c:pt idx="24">
                  <c:v>4.9327964178700485</c:v>
                </c:pt>
                <c:pt idx="25">
                  <c:v>4.7206289594391162</c:v>
                </c:pt>
                <c:pt idx="26">
                  <c:v>4.3082181331834688</c:v>
                </c:pt>
                <c:pt idx="27">
                  <c:v>3.9721428406829991</c:v>
                </c:pt>
                <c:pt idx="28">
                  <c:v>3.6627153525007841</c:v>
                </c:pt>
                <c:pt idx="29">
                  <c:v>3.3074638916310439</c:v>
                </c:pt>
                <c:pt idx="30">
                  <c:v>2.70235246899975</c:v>
                </c:pt>
                <c:pt idx="31">
                  <c:v>2.637063557200181</c:v>
                </c:pt>
                <c:pt idx="32">
                  <c:v>2.7334567390119742</c:v>
                </c:pt>
                <c:pt idx="33">
                  <c:v>2.3018879894102726</c:v>
                </c:pt>
                <c:pt idx="34">
                  <c:v>2.3196330070141657</c:v>
                </c:pt>
                <c:pt idx="35">
                  <c:v>2.4778596152339776</c:v>
                </c:pt>
                <c:pt idx="36">
                  <c:v>2.6349917356799604</c:v>
                </c:pt>
                <c:pt idx="37">
                  <c:v>2.476771369921078</c:v>
                </c:pt>
                <c:pt idx="38">
                  <c:v>2.7133476309734763</c:v>
                </c:pt>
                <c:pt idx="39">
                  <c:v>2.6507936633094951</c:v>
                </c:pt>
                <c:pt idx="40">
                  <c:v>2.8640217129780106</c:v>
                </c:pt>
              </c:numCache>
            </c:numRef>
          </c:val>
        </c:ser>
        <c:ser>
          <c:idx val="5"/>
          <c:order val="4"/>
          <c:tx>
            <c:strRef>
              <c:f>Additions!$BI$76</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Additions!$BJ$76:$CX$76</c:f>
            </c:numRef>
          </c:val>
        </c:ser>
        <c:ser>
          <c:idx val="6"/>
          <c:order val="5"/>
          <c:tx>
            <c:strRef>
              <c:f>Additions!$BI$77</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Additions!$BJ$77:$CX$77</c:f>
            </c:numRef>
          </c:val>
        </c:ser>
        <c:dLbls/>
        <c:marker val="1"/>
        <c:axId val="130745856"/>
        <c:axId val="130747392"/>
      </c:lineChart>
      <c:catAx>
        <c:axId val="130745856"/>
        <c:scaling>
          <c:orientation val="minMax"/>
        </c:scaling>
        <c:axPos val="b"/>
        <c:majorTickMark val="none"/>
        <c:tickLblPos val="nextTo"/>
        <c:crossAx val="130747392"/>
        <c:crosses val="autoZero"/>
        <c:auto val="1"/>
        <c:lblAlgn val="ctr"/>
        <c:lblOffset val="100"/>
      </c:catAx>
      <c:valAx>
        <c:axId val="130747392"/>
        <c:scaling>
          <c:orientation val="minMax"/>
          <c:max val="8"/>
          <c:min val="-4"/>
        </c:scaling>
        <c:axPos val="l"/>
        <c:majorGridlines/>
        <c:title>
          <c:tx>
            <c:rich>
              <a:bodyPr/>
              <a:lstStyle/>
              <a:p>
                <a:pPr>
                  <a:defRPr/>
                </a:pPr>
                <a:r>
                  <a:rPr lang="en-US"/>
                  <a:t>In Percentage %</a:t>
                </a:r>
              </a:p>
            </c:rich>
          </c:tx>
        </c:title>
        <c:numFmt formatCode="0" sourceLinked="0"/>
        <c:majorTickMark val="none"/>
        <c:tickLblPos val="nextTo"/>
        <c:crossAx val="130745856"/>
        <c:crosses val="autoZero"/>
        <c:crossBetween val="between"/>
        <c:majorUnit val="2"/>
        <c:minorUnit val="0.4"/>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10"/>
  <c:chart>
    <c:title>
      <c:tx>
        <c:rich>
          <a:bodyPr/>
          <a:lstStyle/>
          <a:p>
            <a:pPr>
              <a:defRPr/>
            </a:pPr>
            <a:r>
              <a:rPr lang="en-US"/>
              <a:t>Turkey</a:t>
            </a:r>
          </a:p>
        </c:rich>
      </c:tx>
    </c:title>
    <c:plotArea>
      <c:layout/>
      <c:lineChart>
        <c:grouping val="standard"/>
        <c:ser>
          <c:idx val="0"/>
          <c:order val="0"/>
          <c:tx>
            <c:strRef>
              <c:f>Additions!$BI$20</c:f>
              <c:strCache>
                <c:ptCount val="1"/>
                <c:pt idx="0">
                  <c:v>CAR MSCI Turkey</c:v>
                </c:pt>
              </c:strCache>
            </c:strRef>
          </c:tx>
          <c:spPr>
            <a:ln>
              <a:solidFill>
                <a:schemeClr val="tx2">
                  <a:lumMod val="75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Additions!$BJ$20:$CX$20</c:f>
              <c:numCache>
                <c:formatCode>0.00</c:formatCode>
                <c:ptCount val="41"/>
                <c:pt idx="0">
                  <c:v>-0.22230958982489601</c:v>
                </c:pt>
                <c:pt idx="1">
                  <c:v>0.37172895358697305</c:v>
                </c:pt>
                <c:pt idx="2">
                  <c:v>1.2667366718706738</c:v>
                </c:pt>
                <c:pt idx="3">
                  <c:v>1.7355631418661199</c:v>
                </c:pt>
                <c:pt idx="4">
                  <c:v>1.8175821055462602</c:v>
                </c:pt>
                <c:pt idx="5">
                  <c:v>1.3044394773440189</c:v>
                </c:pt>
                <c:pt idx="6">
                  <c:v>1.1491307322144877</c:v>
                </c:pt>
                <c:pt idx="7">
                  <c:v>1.222906003841872</c:v>
                </c:pt>
                <c:pt idx="8">
                  <c:v>1.222906003841872</c:v>
                </c:pt>
                <c:pt idx="9">
                  <c:v>2.1145029619721512</c:v>
                </c:pt>
                <c:pt idx="10">
                  <c:v>2.0273728307656209</c:v>
                </c:pt>
                <c:pt idx="11">
                  <c:v>2.6927026284410247</c:v>
                </c:pt>
                <c:pt idx="12">
                  <c:v>3.7552599473579473</c:v>
                </c:pt>
                <c:pt idx="13">
                  <c:v>4.6542043008225287</c:v>
                </c:pt>
                <c:pt idx="14">
                  <c:v>5.337040729224273</c:v>
                </c:pt>
                <c:pt idx="15">
                  <c:v>5.8888220512082601</c:v>
                </c:pt>
                <c:pt idx="16">
                  <c:v>7.1317136613609353</c:v>
                </c:pt>
                <c:pt idx="17">
                  <c:v>7.429958885142689</c:v>
                </c:pt>
                <c:pt idx="18">
                  <c:v>8.6201706169603298</c:v>
                </c:pt>
                <c:pt idx="19">
                  <c:v>11.03280106804174</c:v>
                </c:pt>
                <c:pt idx="20">
                  <c:v>10.299931815999621</c:v>
                </c:pt>
                <c:pt idx="21">
                  <c:v>9.7577391189932623</c:v>
                </c:pt>
                <c:pt idx="22">
                  <c:v>8.9022658121306062</c:v>
                </c:pt>
                <c:pt idx="23">
                  <c:v>9.0695732900514034</c:v>
                </c:pt>
                <c:pt idx="24">
                  <c:v>9.6685455304252521</c:v>
                </c:pt>
                <c:pt idx="25">
                  <c:v>10.222285743793368</c:v>
                </c:pt>
                <c:pt idx="26">
                  <c:v>11.087684573340313</c:v>
                </c:pt>
                <c:pt idx="27">
                  <c:v>10.82190455045515</c:v>
                </c:pt>
                <c:pt idx="28">
                  <c:v>10.235666397131411</c:v>
                </c:pt>
                <c:pt idx="29">
                  <c:v>10.75011011545805</c:v>
                </c:pt>
                <c:pt idx="30">
                  <c:v>10.354853270749002</c:v>
                </c:pt>
                <c:pt idx="31">
                  <c:v>9.204121572513543</c:v>
                </c:pt>
                <c:pt idx="32">
                  <c:v>9.780268370715298</c:v>
                </c:pt>
                <c:pt idx="33">
                  <c:v>10.132876436381942</c:v>
                </c:pt>
                <c:pt idx="34">
                  <c:v>10.60267756339066</c:v>
                </c:pt>
                <c:pt idx="35">
                  <c:v>10.28708594992313</c:v>
                </c:pt>
                <c:pt idx="36">
                  <c:v>10.570489578944745</c:v>
                </c:pt>
                <c:pt idx="37">
                  <c:v>9.9835469250170217</c:v>
                </c:pt>
                <c:pt idx="38">
                  <c:v>10.701967678859299</c:v>
                </c:pt>
                <c:pt idx="39">
                  <c:v>12.058157482693717</c:v>
                </c:pt>
                <c:pt idx="40">
                  <c:v>12.343485519073822</c:v>
                </c:pt>
              </c:numCache>
            </c:numRef>
          </c:val>
        </c:ser>
        <c:ser>
          <c:idx val="1"/>
          <c:order val="1"/>
          <c:tx>
            <c:strRef>
              <c:f>Additions!$BI$21</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Additions!$BJ$21:$CX$21</c:f>
            </c:numRef>
          </c:val>
        </c:ser>
        <c:ser>
          <c:idx val="2"/>
          <c:order val="2"/>
          <c:tx>
            <c:strRef>
              <c:f>Additions!$BI$22</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Additions!$BJ$22:$CX$22</c:f>
            </c:numRef>
          </c:val>
        </c:ser>
        <c:ser>
          <c:idx val="4"/>
          <c:order val="3"/>
          <c:tx>
            <c:strRef>
              <c:f>Additions!$BI$24</c:f>
              <c:strCache>
                <c:ptCount val="1"/>
                <c:pt idx="0">
                  <c:v>CAR MSCI EM</c:v>
                </c:pt>
              </c:strCache>
            </c:strRef>
          </c:tx>
          <c:spPr>
            <a:ln>
              <a:solidFill>
                <a:schemeClr val="accent3">
                  <a:lumMod val="75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Additions!$BJ$24:$CX$24</c:f>
              <c:numCache>
                <c:formatCode>0.00</c:formatCode>
                <c:ptCount val="41"/>
                <c:pt idx="0">
                  <c:v>8.5298158332561713E-2</c:v>
                </c:pt>
                <c:pt idx="1">
                  <c:v>-0.13218165889276001</c:v>
                </c:pt>
                <c:pt idx="2">
                  <c:v>5.1161740640609604E-2</c:v>
                </c:pt>
                <c:pt idx="3">
                  <c:v>9.5866391575252619E-2</c:v>
                </c:pt>
                <c:pt idx="4">
                  <c:v>3.5444355116403495E-2</c:v>
                </c:pt>
                <c:pt idx="5">
                  <c:v>0.12436080751683101</c:v>
                </c:pt>
                <c:pt idx="6">
                  <c:v>0.36058145268174202</c:v>
                </c:pt>
                <c:pt idx="7">
                  <c:v>0.74068561394887933</c:v>
                </c:pt>
                <c:pt idx="8">
                  <c:v>0.74068561394887933</c:v>
                </c:pt>
                <c:pt idx="9">
                  <c:v>1.5300663857179169</c:v>
                </c:pt>
                <c:pt idx="10">
                  <c:v>1.6965661804277632</c:v>
                </c:pt>
                <c:pt idx="11">
                  <c:v>1.4344057254241358</c:v>
                </c:pt>
                <c:pt idx="12">
                  <c:v>1.5189012883992776</c:v>
                </c:pt>
                <c:pt idx="13">
                  <c:v>1.53188586492219</c:v>
                </c:pt>
                <c:pt idx="14">
                  <c:v>2.0079947201585178</c:v>
                </c:pt>
                <c:pt idx="15">
                  <c:v>2.4306962017064704</c:v>
                </c:pt>
                <c:pt idx="16">
                  <c:v>3.0323471462349998</c:v>
                </c:pt>
                <c:pt idx="17">
                  <c:v>3.4024108543357361</c:v>
                </c:pt>
                <c:pt idx="18">
                  <c:v>4.3381162159993307</c:v>
                </c:pt>
                <c:pt idx="19">
                  <c:v>7.259178084439343</c:v>
                </c:pt>
                <c:pt idx="20">
                  <c:v>6.1795653238723087</c:v>
                </c:pt>
                <c:pt idx="21">
                  <c:v>5.3255622773597233</c:v>
                </c:pt>
                <c:pt idx="22">
                  <c:v>5.154590536420165</c:v>
                </c:pt>
                <c:pt idx="23">
                  <c:v>5.0652434990160708</c:v>
                </c:pt>
                <c:pt idx="24">
                  <c:v>4.9327964178700485</c:v>
                </c:pt>
                <c:pt idx="25">
                  <c:v>4.7206289594391162</c:v>
                </c:pt>
                <c:pt idx="26">
                  <c:v>4.3082181331834688</c:v>
                </c:pt>
                <c:pt idx="27">
                  <c:v>3.9721428406829991</c:v>
                </c:pt>
                <c:pt idx="28">
                  <c:v>3.6627153525007841</c:v>
                </c:pt>
                <c:pt idx="29">
                  <c:v>3.3074638916310439</c:v>
                </c:pt>
                <c:pt idx="30">
                  <c:v>2.70235246899975</c:v>
                </c:pt>
                <c:pt idx="31">
                  <c:v>2.637063557200181</c:v>
                </c:pt>
                <c:pt idx="32">
                  <c:v>2.7334567390119742</c:v>
                </c:pt>
                <c:pt idx="33">
                  <c:v>2.3018879894102726</c:v>
                </c:pt>
                <c:pt idx="34">
                  <c:v>2.3196330070141657</c:v>
                </c:pt>
                <c:pt idx="35">
                  <c:v>2.4778596152339776</c:v>
                </c:pt>
                <c:pt idx="36">
                  <c:v>2.6349917356799604</c:v>
                </c:pt>
                <c:pt idx="37">
                  <c:v>2.476771369921078</c:v>
                </c:pt>
                <c:pt idx="38">
                  <c:v>2.7133476309734763</c:v>
                </c:pt>
                <c:pt idx="39">
                  <c:v>2.6507936633094951</c:v>
                </c:pt>
                <c:pt idx="40">
                  <c:v>2.8640217129780106</c:v>
                </c:pt>
              </c:numCache>
            </c:numRef>
          </c:val>
        </c:ser>
        <c:ser>
          <c:idx val="5"/>
          <c:order val="4"/>
          <c:tx>
            <c:strRef>
              <c:f>Additions!$BI$25</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Additions!$BJ$25:$CX$25</c:f>
            </c:numRef>
          </c:val>
        </c:ser>
        <c:ser>
          <c:idx val="6"/>
          <c:order val="5"/>
          <c:tx>
            <c:strRef>
              <c:f>Additions!$BI$26</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Additions!$BJ$26:$CX$26</c:f>
            </c:numRef>
          </c:val>
        </c:ser>
        <c:dLbls/>
        <c:marker val="1"/>
        <c:axId val="89327872"/>
        <c:axId val="91033600"/>
      </c:lineChart>
      <c:catAx>
        <c:axId val="89327872"/>
        <c:scaling>
          <c:orientation val="minMax"/>
        </c:scaling>
        <c:axPos val="b"/>
        <c:majorTickMark val="none"/>
        <c:tickLblPos val="nextTo"/>
        <c:crossAx val="91033600"/>
        <c:crosses val="autoZero"/>
        <c:auto val="1"/>
        <c:lblAlgn val="ctr"/>
        <c:lblOffset val="100"/>
      </c:catAx>
      <c:valAx>
        <c:axId val="91033600"/>
        <c:scaling>
          <c:orientation val="minMax"/>
        </c:scaling>
        <c:axPos val="l"/>
        <c:majorGridlines/>
        <c:title>
          <c:tx>
            <c:rich>
              <a:bodyPr/>
              <a:lstStyle/>
              <a:p>
                <a:pPr>
                  <a:defRPr/>
                </a:pPr>
                <a:r>
                  <a:rPr lang="en-US"/>
                  <a:t>InPercentage %</a:t>
                </a:r>
              </a:p>
            </c:rich>
          </c:tx>
        </c:title>
        <c:numFmt formatCode="0" sourceLinked="0"/>
        <c:majorTickMark val="none"/>
        <c:tickLblPos val="nextTo"/>
        <c:crossAx val="89327872"/>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18"/>
  <c:chart>
    <c:autoTitleDeleted val="1"/>
    <c:plotArea>
      <c:layout>
        <c:manualLayout>
          <c:layoutTarget val="inner"/>
          <c:xMode val="edge"/>
          <c:yMode val="edge"/>
          <c:x val="7.5766185476815448E-2"/>
          <c:y val="4.1666666666666713E-2"/>
          <c:w val="0.70503630796150496"/>
          <c:h val="0.87962962962963021"/>
        </c:manualLayout>
      </c:layout>
      <c:scatterChart>
        <c:scatterStyle val="lineMarker"/>
        <c:ser>
          <c:idx val="0"/>
          <c:order val="0"/>
          <c:tx>
            <c:strRef>
              <c:f>Additions!$G$1</c:f>
              <c:strCache>
                <c:ptCount val="1"/>
                <c:pt idx="0">
                  <c:v>Daily abnormal return Turkish Companies</c:v>
                </c:pt>
              </c:strCache>
            </c:strRef>
          </c:tx>
          <c:spPr>
            <a:ln w="47625">
              <a:noFill/>
            </a:ln>
          </c:spPr>
          <c:yVal>
            <c:numRef>
              <c:f>Additions!$G$2:$G$18</c:f>
              <c:numCache>
                <c:formatCode>ge\ne\r\a\l</c:formatCode>
                <c:ptCount val="17"/>
                <c:pt idx="0">
                  <c:v>6.6465989801931011E-2</c:v>
                </c:pt>
                <c:pt idx="1">
                  <c:v>-0.17957014442993602</c:v>
                </c:pt>
                <c:pt idx="2">
                  <c:v>0.35080416631783312</c:v>
                </c:pt>
                <c:pt idx="3">
                  <c:v>0.38795776631783413</c:v>
                </c:pt>
                <c:pt idx="4">
                  <c:v>0.3676282163178341</c:v>
                </c:pt>
                <c:pt idx="5">
                  <c:v>-0.15048905653852004</c:v>
                </c:pt>
                <c:pt idx="7">
                  <c:v>0.257511035853974</c:v>
                </c:pt>
                <c:pt idx="8">
                  <c:v>0.33792478585397417</c:v>
                </c:pt>
                <c:pt idx="9">
                  <c:v>0.24920760984300602</c:v>
                </c:pt>
                <c:pt idx="10">
                  <c:v>1.3296252092744116</c:v>
                </c:pt>
                <c:pt idx="11">
                  <c:v>1.0667270092744119</c:v>
                </c:pt>
                <c:pt idx="12">
                  <c:v>1.2911939092744118</c:v>
                </c:pt>
                <c:pt idx="13">
                  <c:v>1.2661827592744119</c:v>
                </c:pt>
                <c:pt idx="15">
                  <c:v>1.096801372651538</c:v>
                </c:pt>
                <c:pt idx="16">
                  <c:v>0.53663017194418805</c:v>
                </c:pt>
              </c:numCache>
            </c:numRef>
          </c:yVal>
        </c:ser>
        <c:dLbls/>
        <c:axId val="91063808"/>
        <c:axId val="91065344"/>
      </c:scatterChart>
      <c:valAx>
        <c:axId val="91063808"/>
        <c:scaling>
          <c:orientation val="minMax"/>
        </c:scaling>
        <c:axPos val="b"/>
        <c:tickLblPos val="nextTo"/>
        <c:crossAx val="91065344"/>
        <c:crosses val="autoZero"/>
        <c:crossBetween val="midCat"/>
      </c:valAx>
      <c:valAx>
        <c:axId val="91065344"/>
        <c:scaling>
          <c:orientation val="minMax"/>
        </c:scaling>
        <c:axPos val="l"/>
        <c:majorGridlines/>
        <c:numFmt formatCode="ge\ne\r\a\l" sourceLinked="1"/>
        <c:tickLblPos val="nextTo"/>
        <c:crossAx val="91063808"/>
        <c:crosses val="autoZero"/>
        <c:crossBetween val="midCat"/>
      </c:valAx>
    </c:plotArea>
    <c:legend>
      <c:legendPos val="r"/>
      <c:layout>
        <c:manualLayout>
          <c:xMode val="edge"/>
          <c:yMode val="edge"/>
          <c:x val="0.81841948183896385"/>
          <c:y val="0.43186603857923905"/>
          <c:w val="0.16007514181695001"/>
          <c:h val="0.27600591410789804"/>
        </c:manualLayout>
      </c:layout>
      <c:txPr>
        <a:bodyPr/>
        <a:lstStyle/>
        <a:p>
          <a:pPr>
            <a:defRPr sz="800"/>
          </a:pPr>
          <a:endParaRPr lang="en-US"/>
        </a:p>
      </c:txP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a:pPr>
            <a:r>
              <a:rPr lang="en-US"/>
              <a:t>India</a:t>
            </a:r>
          </a:p>
        </c:rich>
      </c:tx>
    </c:title>
    <c:plotArea>
      <c:layout/>
      <c:lineChart>
        <c:grouping val="standard"/>
        <c:ser>
          <c:idx val="0"/>
          <c:order val="0"/>
          <c:tx>
            <c:strRef>
              <c:f>Additions!$BI$48</c:f>
              <c:strCache>
                <c:ptCount val="1"/>
                <c:pt idx="0">
                  <c:v>CAR MSCI India</c:v>
                </c:pt>
              </c:strCache>
            </c:strRef>
          </c:tx>
          <c:spPr>
            <a:ln>
              <a:solidFill>
                <a:schemeClr val="accent1">
                  <a:lumMod val="50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Additions!$BJ$48:$CX$48</c:f>
              <c:numCache>
                <c:formatCode>0.00</c:formatCode>
                <c:ptCount val="41"/>
                <c:pt idx="0">
                  <c:v>0.85950924443662502</c:v>
                </c:pt>
                <c:pt idx="1">
                  <c:v>0.60863969004398821</c:v>
                </c:pt>
                <c:pt idx="2">
                  <c:v>0.53558413470239385</c:v>
                </c:pt>
                <c:pt idx="3">
                  <c:v>0.60338855227136301</c:v>
                </c:pt>
                <c:pt idx="4">
                  <c:v>0.4025447914092401</c:v>
                </c:pt>
                <c:pt idx="5">
                  <c:v>7.1650613693252596E-2</c:v>
                </c:pt>
                <c:pt idx="6">
                  <c:v>-0.32899352421116601</c:v>
                </c:pt>
                <c:pt idx="7">
                  <c:v>0.30969404980841403</c:v>
                </c:pt>
                <c:pt idx="8">
                  <c:v>0.30969404980841403</c:v>
                </c:pt>
                <c:pt idx="9">
                  <c:v>2.0599983359546106</c:v>
                </c:pt>
                <c:pt idx="10">
                  <c:v>2.2698051418366609</c:v>
                </c:pt>
                <c:pt idx="11">
                  <c:v>2.2946624080190587</c:v>
                </c:pt>
                <c:pt idx="12">
                  <c:v>1.9041915386677182</c:v>
                </c:pt>
                <c:pt idx="13">
                  <c:v>2.7795389687088901</c:v>
                </c:pt>
                <c:pt idx="14">
                  <c:v>3.2664207136377374</c:v>
                </c:pt>
                <c:pt idx="15">
                  <c:v>2.5196357402910552</c:v>
                </c:pt>
                <c:pt idx="16">
                  <c:v>2.4644749792275249</c:v>
                </c:pt>
                <c:pt idx="17">
                  <c:v>2.5412439758218817</c:v>
                </c:pt>
                <c:pt idx="18">
                  <c:v>2.9175737402305804</c:v>
                </c:pt>
                <c:pt idx="19">
                  <c:v>6.9765605079079061</c:v>
                </c:pt>
                <c:pt idx="20">
                  <c:v>6.3075547670392478</c:v>
                </c:pt>
                <c:pt idx="21">
                  <c:v>5.8473327537408615</c:v>
                </c:pt>
                <c:pt idx="22">
                  <c:v>5.8845828223823746</c:v>
                </c:pt>
                <c:pt idx="23">
                  <c:v>5.8445975825788317</c:v>
                </c:pt>
                <c:pt idx="24">
                  <c:v>4.5717367400408317</c:v>
                </c:pt>
                <c:pt idx="25">
                  <c:v>3.6322879942457558</c:v>
                </c:pt>
                <c:pt idx="26">
                  <c:v>3.7723108563460905</c:v>
                </c:pt>
                <c:pt idx="27">
                  <c:v>3.5146193772481928</c:v>
                </c:pt>
                <c:pt idx="28">
                  <c:v>2.2094374737191447</c:v>
                </c:pt>
                <c:pt idx="29">
                  <c:v>1.946063172074324</c:v>
                </c:pt>
                <c:pt idx="30">
                  <c:v>2.0954386236901366</c:v>
                </c:pt>
                <c:pt idx="31">
                  <c:v>3.0105803449972224</c:v>
                </c:pt>
                <c:pt idx="32">
                  <c:v>2.8799413165828267</c:v>
                </c:pt>
                <c:pt idx="33">
                  <c:v>2.343480528555645</c:v>
                </c:pt>
                <c:pt idx="34">
                  <c:v>2.4351598017269525</c:v>
                </c:pt>
                <c:pt idx="35">
                  <c:v>2.336184259765135</c:v>
                </c:pt>
                <c:pt idx="36">
                  <c:v>2.3982833890656616</c:v>
                </c:pt>
                <c:pt idx="37">
                  <c:v>2.4020783734751125</c:v>
                </c:pt>
                <c:pt idx="38">
                  <c:v>2.2717265314298598</c:v>
                </c:pt>
                <c:pt idx="39">
                  <c:v>2.4105850125191837</c:v>
                </c:pt>
                <c:pt idx="40">
                  <c:v>2.5266956584906479</c:v>
                </c:pt>
              </c:numCache>
            </c:numRef>
          </c:val>
        </c:ser>
        <c:ser>
          <c:idx val="1"/>
          <c:order val="1"/>
          <c:tx>
            <c:strRef>
              <c:f>Additions!$BI$49</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Additions!$BJ$49:$CX$49</c:f>
            </c:numRef>
          </c:val>
        </c:ser>
        <c:ser>
          <c:idx val="2"/>
          <c:order val="2"/>
          <c:tx>
            <c:strRef>
              <c:f>Additions!$BI$50</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Additions!$BJ$50:$CX$50</c:f>
            </c:numRef>
          </c:val>
        </c:ser>
        <c:ser>
          <c:idx val="4"/>
          <c:order val="3"/>
          <c:tx>
            <c:strRef>
              <c:f>Additions!$BI$52</c:f>
              <c:strCache>
                <c:ptCount val="1"/>
                <c:pt idx="0">
                  <c:v>CAR MSCI EM</c:v>
                </c:pt>
              </c:strCache>
            </c:strRef>
          </c:tx>
          <c:spPr>
            <a:ln>
              <a:solidFill>
                <a:schemeClr val="accent3">
                  <a:lumMod val="75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Additions!$BJ$52:$CX$52</c:f>
              <c:numCache>
                <c:formatCode>0.00</c:formatCode>
                <c:ptCount val="41"/>
                <c:pt idx="0">
                  <c:v>8.5298158332561713E-2</c:v>
                </c:pt>
                <c:pt idx="1">
                  <c:v>-0.13218165889276001</c:v>
                </c:pt>
                <c:pt idx="2">
                  <c:v>5.1161740640609604E-2</c:v>
                </c:pt>
                <c:pt idx="3">
                  <c:v>9.5866391575252619E-2</c:v>
                </c:pt>
                <c:pt idx="4">
                  <c:v>3.5444355116403495E-2</c:v>
                </c:pt>
                <c:pt idx="5">
                  <c:v>0.12436080751683101</c:v>
                </c:pt>
                <c:pt idx="6">
                  <c:v>0.36058145268174202</c:v>
                </c:pt>
                <c:pt idx="7">
                  <c:v>0.74068561394887933</c:v>
                </c:pt>
                <c:pt idx="8">
                  <c:v>0.74068561394887933</c:v>
                </c:pt>
                <c:pt idx="9">
                  <c:v>1.5300663857179169</c:v>
                </c:pt>
                <c:pt idx="10">
                  <c:v>1.6965661804277632</c:v>
                </c:pt>
                <c:pt idx="11">
                  <c:v>1.4344057254241358</c:v>
                </c:pt>
                <c:pt idx="12">
                  <c:v>1.5189012883992776</c:v>
                </c:pt>
                <c:pt idx="13">
                  <c:v>1.53188586492219</c:v>
                </c:pt>
                <c:pt idx="14">
                  <c:v>2.0079947201585178</c:v>
                </c:pt>
                <c:pt idx="15">
                  <c:v>2.4306962017064704</c:v>
                </c:pt>
                <c:pt idx="16">
                  <c:v>3.0323471462349998</c:v>
                </c:pt>
                <c:pt idx="17">
                  <c:v>3.4024108543357361</c:v>
                </c:pt>
                <c:pt idx="18">
                  <c:v>4.3381162159993307</c:v>
                </c:pt>
                <c:pt idx="19">
                  <c:v>7.259178084439343</c:v>
                </c:pt>
                <c:pt idx="20">
                  <c:v>6.1795653238723087</c:v>
                </c:pt>
                <c:pt idx="21">
                  <c:v>5.3255622773597233</c:v>
                </c:pt>
                <c:pt idx="22">
                  <c:v>5.154590536420165</c:v>
                </c:pt>
                <c:pt idx="23">
                  <c:v>5.0652434990160708</c:v>
                </c:pt>
                <c:pt idx="24">
                  <c:v>4.9327964178700485</c:v>
                </c:pt>
                <c:pt idx="25">
                  <c:v>4.7206289594391162</c:v>
                </c:pt>
                <c:pt idx="26">
                  <c:v>4.3082181331834688</c:v>
                </c:pt>
                <c:pt idx="27">
                  <c:v>3.9721428406829991</c:v>
                </c:pt>
                <c:pt idx="28">
                  <c:v>3.6627153525007841</c:v>
                </c:pt>
                <c:pt idx="29">
                  <c:v>3.3074638916310439</c:v>
                </c:pt>
                <c:pt idx="30">
                  <c:v>2.70235246899975</c:v>
                </c:pt>
                <c:pt idx="31">
                  <c:v>2.637063557200181</c:v>
                </c:pt>
                <c:pt idx="32">
                  <c:v>2.7334567390119742</c:v>
                </c:pt>
                <c:pt idx="33">
                  <c:v>2.3018879894102726</c:v>
                </c:pt>
                <c:pt idx="34">
                  <c:v>2.3196330070141657</c:v>
                </c:pt>
                <c:pt idx="35">
                  <c:v>2.4778596152339776</c:v>
                </c:pt>
                <c:pt idx="36">
                  <c:v>2.6349917356799604</c:v>
                </c:pt>
                <c:pt idx="37">
                  <c:v>2.476771369921078</c:v>
                </c:pt>
                <c:pt idx="38">
                  <c:v>2.7133476309734763</c:v>
                </c:pt>
                <c:pt idx="39">
                  <c:v>2.6507936633094951</c:v>
                </c:pt>
                <c:pt idx="40">
                  <c:v>2.8640217129780106</c:v>
                </c:pt>
              </c:numCache>
            </c:numRef>
          </c:val>
        </c:ser>
        <c:ser>
          <c:idx val="5"/>
          <c:order val="4"/>
          <c:tx>
            <c:strRef>
              <c:f>Additions!$BI$53</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Additions!$BJ$53:$CX$53</c:f>
            </c:numRef>
          </c:val>
        </c:ser>
        <c:ser>
          <c:idx val="6"/>
          <c:order val="5"/>
          <c:tx>
            <c:strRef>
              <c:f>Additions!$BI$54</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Additions!$BJ$54:$CX$54</c:f>
            </c:numRef>
          </c:val>
        </c:ser>
        <c:dLbls/>
        <c:marker val="1"/>
        <c:axId val="91591040"/>
        <c:axId val="91592576"/>
      </c:lineChart>
      <c:catAx>
        <c:axId val="91591040"/>
        <c:scaling>
          <c:orientation val="minMax"/>
        </c:scaling>
        <c:axPos val="b"/>
        <c:majorTickMark val="none"/>
        <c:tickLblPos val="nextTo"/>
        <c:crossAx val="91592576"/>
        <c:crosses val="autoZero"/>
        <c:auto val="1"/>
        <c:lblAlgn val="ctr"/>
        <c:lblOffset val="100"/>
      </c:catAx>
      <c:valAx>
        <c:axId val="91592576"/>
        <c:scaling>
          <c:orientation val="minMax"/>
        </c:scaling>
        <c:axPos val="l"/>
        <c:majorGridlines/>
        <c:title>
          <c:tx>
            <c:rich>
              <a:bodyPr/>
              <a:lstStyle/>
              <a:p>
                <a:pPr>
                  <a:defRPr/>
                </a:pPr>
                <a:r>
                  <a:rPr lang="en-US"/>
                  <a:t>In Percentage %</a:t>
                </a:r>
              </a:p>
            </c:rich>
          </c:tx>
        </c:title>
        <c:numFmt formatCode="0" sourceLinked="0"/>
        <c:majorTickMark val="none"/>
        <c:tickLblPos val="nextTo"/>
        <c:crossAx val="91591040"/>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style val="26"/>
  <c:chart>
    <c:title>
      <c:tx>
        <c:rich>
          <a:bodyPr/>
          <a:lstStyle/>
          <a:p>
            <a:pPr>
              <a:defRPr/>
            </a:pPr>
            <a:r>
              <a:rPr lang="en-US"/>
              <a:t>China </a:t>
            </a:r>
          </a:p>
        </c:rich>
      </c:tx>
    </c:title>
    <c:plotArea>
      <c:layout/>
      <c:lineChart>
        <c:grouping val="standard"/>
        <c:ser>
          <c:idx val="0"/>
          <c:order val="0"/>
          <c:tx>
            <c:strRef>
              <c:f>Additions!$BI$120</c:f>
              <c:strCache>
                <c:ptCount val="1"/>
                <c:pt idx="0">
                  <c:v>CAR MSCI CHINA</c:v>
                </c:pt>
              </c:strCache>
            </c:strRef>
          </c:tx>
          <c:spPr>
            <a:ln>
              <a:solidFill>
                <a:schemeClr val="accent1">
                  <a:lumMod val="50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Additions!$BJ$120:$CX$120</c:f>
              <c:numCache>
                <c:formatCode>0.00</c:formatCode>
                <c:ptCount val="41"/>
                <c:pt idx="0">
                  <c:v>0.50295449529898306</c:v>
                </c:pt>
                <c:pt idx="1">
                  <c:v>-1.4775522276654504E-2</c:v>
                </c:pt>
                <c:pt idx="2">
                  <c:v>0.42383849995382711</c:v>
                </c:pt>
                <c:pt idx="3">
                  <c:v>0.86320416525208998</c:v>
                </c:pt>
                <c:pt idx="4">
                  <c:v>0.90522498072705282</c:v>
                </c:pt>
                <c:pt idx="5">
                  <c:v>0.92304438471427896</c:v>
                </c:pt>
                <c:pt idx="6">
                  <c:v>0.94675634736859415</c:v>
                </c:pt>
                <c:pt idx="7">
                  <c:v>1.3649317002786239</c:v>
                </c:pt>
                <c:pt idx="8">
                  <c:v>1.3649317002786239</c:v>
                </c:pt>
                <c:pt idx="9">
                  <c:v>2.3156334064888431</c:v>
                </c:pt>
                <c:pt idx="10">
                  <c:v>2.1870318904413049</c:v>
                </c:pt>
                <c:pt idx="11">
                  <c:v>2.4508762202729071</c:v>
                </c:pt>
                <c:pt idx="12">
                  <c:v>3.0861418056476411</c:v>
                </c:pt>
                <c:pt idx="13">
                  <c:v>3.1876670202760105</c:v>
                </c:pt>
                <c:pt idx="14">
                  <c:v>3.5378426252439965</c:v>
                </c:pt>
                <c:pt idx="15">
                  <c:v>4.2794263062882347</c:v>
                </c:pt>
                <c:pt idx="16">
                  <c:v>5.1715855856585486</c:v>
                </c:pt>
                <c:pt idx="17">
                  <c:v>5.6346077535375096</c:v>
                </c:pt>
                <c:pt idx="18">
                  <c:v>6.4756399894118113</c:v>
                </c:pt>
                <c:pt idx="19">
                  <c:v>8.3318523940613236</c:v>
                </c:pt>
                <c:pt idx="20">
                  <c:v>7.2223461829136415</c:v>
                </c:pt>
                <c:pt idx="21">
                  <c:v>6.6340887889211668</c:v>
                </c:pt>
                <c:pt idx="22">
                  <c:v>7.0202023302739205</c:v>
                </c:pt>
                <c:pt idx="23">
                  <c:v>6.7974776744281442</c:v>
                </c:pt>
                <c:pt idx="24">
                  <c:v>6.7542962419154646</c:v>
                </c:pt>
                <c:pt idx="25">
                  <c:v>6.460511317068903</c:v>
                </c:pt>
                <c:pt idx="26">
                  <c:v>6.2076813494971397</c:v>
                </c:pt>
                <c:pt idx="27">
                  <c:v>5.8854659111469436</c:v>
                </c:pt>
                <c:pt idx="28">
                  <c:v>5.326329683041461</c:v>
                </c:pt>
                <c:pt idx="29">
                  <c:v>5.6572156329139816</c:v>
                </c:pt>
                <c:pt idx="30">
                  <c:v>5.4377623569941314</c:v>
                </c:pt>
                <c:pt idx="31">
                  <c:v>5.3370327453798412</c:v>
                </c:pt>
                <c:pt idx="32">
                  <c:v>5.3202760751188567</c:v>
                </c:pt>
                <c:pt idx="33">
                  <c:v>4.8301225683259599</c:v>
                </c:pt>
                <c:pt idx="34">
                  <c:v>4.7347595625341024</c:v>
                </c:pt>
                <c:pt idx="35">
                  <c:v>4.3051241092031862</c:v>
                </c:pt>
                <c:pt idx="36">
                  <c:v>4.1826433646559344</c:v>
                </c:pt>
                <c:pt idx="37">
                  <c:v>4.1558515352645271</c:v>
                </c:pt>
                <c:pt idx="38">
                  <c:v>4.733106971661365</c:v>
                </c:pt>
                <c:pt idx="39">
                  <c:v>4.7094985942921221</c:v>
                </c:pt>
                <c:pt idx="40">
                  <c:v>4.8020338782615646</c:v>
                </c:pt>
              </c:numCache>
            </c:numRef>
          </c:val>
        </c:ser>
        <c:ser>
          <c:idx val="1"/>
          <c:order val="1"/>
          <c:tx>
            <c:strRef>
              <c:f>Additions!$BI$121</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Additions!$BJ$121:$CX$121</c:f>
            </c:numRef>
          </c:val>
        </c:ser>
        <c:ser>
          <c:idx val="2"/>
          <c:order val="2"/>
          <c:tx>
            <c:strRef>
              <c:f>Additions!$BI$122</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Additions!$BJ$122:$CX$122</c:f>
            </c:numRef>
          </c:val>
        </c:ser>
        <c:ser>
          <c:idx val="4"/>
          <c:order val="3"/>
          <c:tx>
            <c:strRef>
              <c:f>Additions!$BI$124</c:f>
              <c:strCache>
                <c:ptCount val="1"/>
                <c:pt idx="0">
                  <c:v>CAR MSCI EM</c:v>
                </c:pt>
              </c:strCache>
            </c:strRef>
          </c:tx>
          <c:spPr>
            <a:ln>
              <a:solidFill>
                <a:schemeClr val="accent3">
                  <a:lumMod val="75000"/>
                </a:schemeClr>
              </a:solidFill>
            </a:ln>
          </c:spPr>
          <c:marker>
            <c:symbol val="none"/>
          </c:marker>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Additions!$BJ$124:$CX$124</c:f>
              <c:numCache>
                <c:formatCode>0.00</c:formatCode>
                <c:ptCount val="41"/>
                <c:pt idx="0">
                  <c:v>8.5298158332561713E-2</c:v>
                </c:pt>
                <c:pt idx="1">
                  <c:v>-0.13218165889276001</c:v>
                </c:pt>
                <c:pt idx="2">
                  <c:v>5.1161740640609604E-2</c:v>
                </c:pt>
                <c:pt idx="3">
                  <c:v>9.5866391575252619E-2</c:v>
                </c:pt>
                <c:pt idx="4">
                  <c:v>3.5444355116403495E-2</c:v>
                </c:pt>
                <c:pt idx="5">
                  <c:v>0.12436080751683101</c:v>
                </c:pt>
                <c:pt idx="6">
                  <c:v>0.36058145268174202</c:v>
                </c:pt>
                <c:pt idx="7">
                  <c:v>0.74068561394887933</c:v>
                </c:pt>
                <c:pt idx="8">
                  <c:v>0.74068561394887933</c:v>
                </c:pt>
                <c:pt idx="9">
                  <c:v>1.5300663857179169</c:v>
                </c:pt>
                <c:pt idx="10">
                  <c:v>1.6965661804277632</c:v>
                </c:pt>
                <c:pt idx="11">
                  <c:v>1.4344057254241358</c:v>
                </c:pt>
                <c:pt idx="12">
                  <c:v>1.5189012883992776</c:v>
                </c:pt>
                <c:pt idx="13">
                  <c:v>1.53188586492219</c:v>
                </c:pt>
                <c:pt idx="14">
                  <c:v>2.0079947201585178</c:v>
                </c:pt>
                <c:pt idx="15">
                  <c:v>2.4306962017064704</c:v>
                </c:pt>
                <c:pt idx="16">
                  <c:v>3.0323471462349998</c:v>
                </c:pt>
                <c:pt idx="17">
                  <c:v>3.4024108543357361</c:v>
                </c:pt>
                <c:pt idx="18">
                  <c:v>4.3381162159993307</c:v>
                </c:pt>
                <c:pt idx="19">
                  <c:v>7.259178084439343</c:v>
                </c:pt>
                <c:pt idx="20">
                  <c:v>6.1795653238723087</c:v>
                </c:pt>
                <c:pt idx="21">
                  <c:v>5.3255622773597233</c:v>
                </c:pt>
                <c:pt idx="22">
                  <c:v>5.154590536420165</c:v>
                </c:pt>
                <c:pt idx="23">
                  <c:v>5.0652434990160708</c:v>
                </c:pt>
                <c:pt idx="24">
                  <c:v>4.9327964178700485</c:v>
                </c:pt>
                <c:pt idx="25">
                  <c:v>4.7206289594391162</c:v>
                </c:pt>
                <c:pt idx="26">
                  <c:v>4.3082181331834688</c:v>
                </c:pt>
                <c:pt idx="27">
                  <c:v>3.9721428406829991</c:v>
                </c:pt>
                <c:pt idx="28">
                  <c:v>3.6627153525007841</c:v>
                </c:pt>
                <c:pt idx="29">
                  <c:v>3.3074638916310439</c:v>
                </c:pt>
                <c:pt idx="30">
                  <c:v>2.70235246899975</c:v>
                </c:pt>
                <c:pt idx="31">
                  <c:v>2.637063557200181</c:v>
                </c:pt>
                <c:pt idx="32">
                  <c:v>2.7334567390119742</c:v>
                </c:pt>
                <c:pt idx="33">
                  <c:v>2.3018879894102726</c:v>
                </c:pt>
                <c:pt idx="34">
                  <c:v>2.3196330070141657</c:v>
                </c:pt>
                <c:pt idx="35">
                  <c:v>2.4778596152339776</c:v>
                </c:pt>
                <c:pt idx="36">
                  <c:v>2.6349917356799604</c:v>
                </c:pt>
                <c:pt idx="37">
                  <c:v>2.476771369921078</c:v>
                </c:pt>
                <c:pt idx="38">
                  <c:v>2.7133476309734763</c:v>
                </c:pt>
                <c:pt idx="39">
                  <c:v>2.6507936633094951</c:v>
                </c:pt>
                <c:pt idx="40">
                  <c:v>2.8640217129780106</c:v>
                </c:pt>
              </c:numCache>
            </c:numRef>
          </c:val>
        </c:ser>
        <c:ser>
          <c:idx val="5"/>
          <c:order val="4"/>
          <c:tx>
            <c:strRef>
              <c:f>Additions!$BI$125</c:f>
              <c:strCache>
                <c:ptCount val="1"/>
                <c:pt idx="0">
                  <c:v>Standard Deviation</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Additions!$BJ$125:$CX$125</c:f>
            </c:numRef>
          </c:val>
        </c:ser>
        <c:ser>
          <c:idx val="6"/>
          <c:order val="5"/>
          <c:tx>
            <c:strRef>
              <c:f>Additions!$BI$126</c:f>
              <c:strCache>
                <c:ptCount val="1"/>
                <c:pt idx="0">
                  <c:v>Square</c:v>
                </c:pt>
              </c:strCache>
            </c:strRef>
          </c:tx>
          <c:cat>
            <c:strRef>
              <c:f>Additions!$BJ$1:$CX$1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Additions!$BJ$126:$CX$126</c:f>
            </c:numRef>
          </c:val>
        </c:ser>
        <c:dLbls/>
        <c:marker val="1"/>
        <c:axId val="110802048"/>
        <c:axId val="110803584"/>
      </c:lineChart>
      <c:catAx>
        <c:axId val="110802048"/>
        <c:scaling>
          <c:orientation val="minMax"/>
        </c:scaling>
        <c:axPos val="b"/>
        <c:majorTickMark val="none"/>
        <c:tickLblPos val="nextTo"/>
        <c:crossAx val="110803584"/>
        <c:crosses val="autoZero"/>
        <c:auto val="1"/>
        <c:lblAlgn val="ctr"/>
        <c:lblOffset val="100"/>
      </c:catAx>
      <c:valAx>
        <c:axId val="110803584"/>
        <c:scaling>
          <c:orientation val="minMax"/>
        </c:scaling>
        <c:axPos val="l"/>
        <c:majorGridlines/>
        <c:title>
          <c:tx>
            <c:rich>
              <a:bodyPr/>
              <a:lstStyle/>
              <a:p>
                <a:pPr>
                  <a:defRPr/>
                </a:pPr>
                <a:r>
                  <a:rPr lang="en-US"/>
                  <a:t>In Percentage %</a:t>
                </a:r>
              </a:p>
            </c:rich>
          </c:tx>
        </c:title>
        <c:numFmt formatCode="0" sourceLinked="0"/>
        <c:majorTickMark val="none"/>
        <c:tickLblPos val="nextTo"/>
        <c:crossAx val="110802048"/>
        <c:crosses val="autoZero"/>
        <c:crossBetween val="between"/>
      </c:valAx>
    </c:plotArea>
    <c:legend>
      <c:legendPos val="r"/>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a:pPr>
            <a:r>
              <a:rPr lang="en-US"/>
              <a:t>MSCI EM</a:t>
            </a:r>
          </a:p>
        </c:rich>
      </c:tx>
    </c:title>
    <c:plotArea>
      <c:layout>
        <c:manualLayout>
          <c:layoutTarget val="inner"/>
          <c:xMode val="edge"/>
          <c:yMode val="edge"/>
          <c:x val="7.9421452763050723E-2"/>
          <c:y val="5.84624378836597E-2"/>
          <c:w val="0.86549217807068901"/>
          <c:h val="0.90619348516976195"/>
        </c:manualLayout>
      </c:layout>
      <c:lineChart>
        <c:grouping val="standard"/>
        <c:ser>
          <c:idx val="0"/>
          <c:order val="0"/>
          <c:tx>
            <c:v>CAR</c:v>
          </c:tx>
          <c:spPr>
            <a:ln>
              <a:solidFill>
                <a:schemeClr val="accent3">
                  <a:lumMod val="75000"/>
                </a:schemeClr>
              </a:solidFill>
            </a:ln>
          </c:spPr>
          <c:marker>
            <c:symbol val="none"/>
          </c:marker>
          <c:dPt>
            <c:idx val="19"/>
          </c:dPt>
          <c:dPt>
            <c:idx val="20"/>
          </c:dPt>
          <c:cat>
            <c:strRef>
              <c:f>'Deletions t-20, t-1'!$V$1:$BJ$1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 t-20, t-1'!$V$469:$BJ$469</c:f>
              <c:numCache>
                <c:formatCode>0.000</c:formatCode>
                <c:ptCount val="41"/>
                <c:pt idx="0">
                  <c:v>-0.33003409396083311</c:v>
                </c:pt>
                <c:pt idx="1">
                  <c:v>-0.65112250754901113</c:v>
                </c:pt>
                <c:pt idx="2">
                  <c:v>-0.11476342490989501</c:v>
                </c:pt>
                <c:pt idx="3">
                  <c:v>0.16837932224640001</c:v>
                </c:pt>
                <c:pt idx="4">
                  <c:v>0.58160397349896598</c:v>
                </c:pt>
                <c:pt idx="5">
                  <c:v>0.98126966756741096</c:v>
                </c:pt>
                <c:pt idx="6">
                  <c:v>0.98762202988882797</c:v>
                </c:pt>
                <c:pt idx="7">
                  <c:v>0.70463827460508222</c:v>
                </c:pt>
                <c:pt idx="8">
                  <c:v>0.70463827460508222</c:v>
                </c:pt>
                <c:pt idx="9">
                  <c:v>-0.55853675490759092</c:v>
                </c:pt>
                <c:pt idx="10">
                  <c:v>-0.65932083249738427</c:v>
                </c:pt>
                <c:pt idx="11">
                  <c:v>-0.77396645062208214</c:v>
                </c:pt>
                <c:pt idx="12">
                  <c:v>-0.91122003285107811</c:v>
                </c:pt>
                <c:pt idx="13">
                  <c:v>-1.274409990309233</c:v>
                </c:pt>
                <c:pt idx="14">
                  <c:v>-1.046299865645169</c:v>
                </c:pt>
                <c:pt idx="15">
                  <c:v>-1.5773684718204339</c:v>
                </c:pt>
                <c:pt idx="16">
                  <c:v>-1.8656448975219488</c:v>
                </c:pt>
                <c:pt idx="17">
                  <c:v>-2.7486984607613452</c:v>
                </c:pt>
                <c:pt idx="18">
                  <c:v>-4.1108957576709235</c:v>
                </c:pt>
                <c:pt idx="19">
                  <c:v>-7.7505853335854535</c:v>
                </c:pt>
                <c:pt idx="20">
                  <c:v>-6.1546077473358975</c:v>
                </c:pt>
                <c:pt idx="21">
                  <c:v>-4.9793109369658657</c:v>
                </c:pt>
                <c:pt idx="22">
                  <c:v>-4.1904541266172455</c:v>
                </c:pt>
                <c:pt idx="23">
                  <c:v>-3.6896737649860833</c:v>
                </c:pt>
                <c:pt idx="24">
                  <c:v>-3.3659855035975181</c:v>
                </c:pt>
                <c:pt idx="25">
                  <c:v>-2.629903513991128</c:v>
                </c:pt>
                <c:pt idx="26">
                  <c:v>-2.074960487717743</c:v>
                </c:pt>
                <c:pt idx="27">
                  <c:v>-1.810920370076595</c:v>
                </c:pt>
                <c:pt idx="28">
                  <c:v>-1.7629411171761098</c:v>
                </c:pt>
                <c:pt idx="29">
                  <c:v>-1.7490958060824109</c:v>
                </c:pt>
                <c:pt idx="30">
                  <c:v>-2.2144380996779209</c:v>
                </c:pt>
                <c:pt idx="31">
                  <c:v>-2.0624477928418408</c:v>
                </c:pt>
                <c:pt idx="32">
                  <c:v>-1.825608912356562</c:v>
                </c:pt>
                <c:pt idx="33">
                  <c:v>-1.5195479840666233</c:v>
                </c:pt>
                <c:pt idx="34">
                  <c:v>-1.197554062395338</c:v>
                </c:pt>
                <c:pt idx="35">
                  <c:v>-1.7838844598807679</c:v>
                </c:pt>
                <c:pt idx="36">
                  <c:v>-1.4464079449170801</c:v>
                </c:pt>
                <c:pt idx="37">
                  <c:v>-1.241769268911521</c:v>
                </c:pt>
                <c:pt idx="38">
                  <c:v>-1.4013650153596726</c:v>
                </c:pt>
                <c:pt idx="39">
                  <c:v>-1.5741815745588223</c:v>
                </c:pt>
                <c:pt idx="40">
                  <c:v>-1.7715073589614809</c:v>
                </c:pt>
              </c:numCache>
            </c:numRef>
          </c:val>
        </c:ser>
        <c:ser>
          <c:idx val="3"/>
          <c:order val="1"/>
          <c:tx>
            <c:v>T-Stat</c:v>
          </c:tx>
          <c:spPr>
            <a:ln>
              <a:solidFill>
                <a:schemeClr val="accent2">
                  <a:lumMod val="50000"/>
                </a:schemeClr>
              </a:solidFill>
            </a:ln>
          </c:spPr>
          <c:marker>
            <c:symbol val="none"/>
          </c:marker>
          <c:dPt>
            <c:idx val="0"/>
          </c:dPt>
          <c:dPt>
            <c:idx val="19"/>
          </c:dPt>
          <c:dPt>
            <c:idx val="20"/>
          </c:dPt>
          <c:dPt>
            <c:idx val="40"/>
          </c:dPt>
          <c:cat>
            <c:strRef>
              <c:f>'Deletions t-20, t-1'!$V$1:$BJ$1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 t-20, t-1'!$V$472:$BJ$472</c:f>
              <c:numCache>
                <c:formatCode>0.000</c:formatCode>
                <c:ptCount val="41"/>
                <c:pt idx="0">
                  <c:v>-1.9450094111356331</c:v>
                </c:pt>
                <c:pt idx="1">
                  <c:v>-2.2498079465856167</c:v>
                </c:pt>
                <c:pt idx="2">
                  <c:v>-0.34773411566118695</c:v>
                </c:pt>
                <c:pt idx="3">
                  <c:v>0.43553083991338504</c:v>
                </c:pt>
                <c:pt idx="4">
                  <c:v>1.2458030547776038</c:v>
                </c:pt>
                <c:pt idx="5">
                  <c:v>1.7986178050803812</c:v>
                </c:pt>
                <c:pt idx="6">
                  <c:v>1.8502307684483481</c:v>
                </c:pt>
                <c:pt idx="7">
                  <c:v>1.2337832187551867</c:v>
                </c:pt>
                <c:pt idx="8">
                  <c:v>1.2337832187551867</c:v>
                </c:pt>
                <c:pt idx="9">
                  <c:v>-0.87581456916528</c:v>
                </c:pt>
                <c:pt idx="10">
                  <c:v>-0.99214941210426311</c:v>
                </c:pt>
                <c:pt idx="11">
                  <c:v>-1.1681184014993913</c:v>
                </c:pt>
                <c:pt idx="12">
                  <c:v>-1.3387217333333559</c:v>
                </c:pt>
                <c:pt idx="13">
                  <c:v>-1.857172157523544</c:v>
                </c:pt>
                <c:pt idx="14">
                  <c:v>-1.5241548338903452</c:v>
                </c:pt>
                <c:pt idx="15">
                  <c:v>-2.2083743527533439</c:v>
                </c:pt>
                <c:pt idx="16">
                  <c:v>-2.5853690853583262</c:v>
                </c:pt>
                <c:pt idx="17">
                  <c:v>-3.7975602441088134</c:v>
                </c:pt>
                <c:pt idx="18">
                  <c:v>-5.611976662616736</c:v>
                </c:pt>
                <c:pt idx="19">
                  <c:v>-10.248166948593516</c:v>
                </c:pt>
                <c:pt idx="20">
                  <c:v>-7.7861596326374167</c:v>
                </c:pt>
                <c:pt idx="21">
                  <c:v>-6.1994789195244095</c:v>
                </c:pt>
                <c:pt idx="22">
                  <c:v>-5.1079080143719056</c:v>
                </c:pt>
                <c:pt idx="23">
                  <c:v>-4.436433755720957</c:v>
                </c:pt>
                <c:pt idx="24">
                  <c:v>-4.0834720437639858</c:v>
                </c:pt>
                <c:pt idx="25">
                  <c:v>-3.0129687964889307</c:v>
                </c:pt>
                <c:pt idx="26">
                  <c:v>-2.3949533511337546</c:v>
                </c:pt>
                <c:pt idx="27">
                  <c:v>-2.0282834433483448</c:v>
                </c:pt>
                <c:pt idx="28">
                  <c:v>-1.8956633329023578</c:v>
                </c:pt>
                <c:pt idx="29">
                  <c:v>-1.8427431837739132</c:v>
                </c:pt>
                <c:pt idx="30">
                  <c:v>-2.27669544229513</c:v>
                </c:pt>
                <c:pt idx="31">
                  <c:v>-2.0519314627175338</c:v>
                </c:pt>
                <c:pt idx="32">
                  <c:v>-1.8456595645704581</c:v>
                </c:pt>
                <c:pt idx="33">
                  <c:v>-1.521281322783947</c:v>
                </c:pt>
                <c:pt idx="34">
                  <c:v>-1.1876589918116562</c:v>
                </c:pt>
                <c:pt idx="35">
                  <c:v>-1.7233943986751334</c:v>
                </c:pt>
                <c:pt idx="36">
                  <c:v>-1.3442059250554541</c:v>
                </c:pt>
                <c:pt idx="37">
                  <c:v>-1.1516313453501998</c:v>
                </c:pt>
                <c:pt idx="38">
                  <c:v>-1.3163837579524689</c:v>
                </c:pt>
                <c:pt idx="39">
                  <c:v>-1.4922339501109259</c:v>
                </c:pt>
                <c:pt idx="40">
                  <c:v>-1.6203034180253859</c:v>
                </c:pt>
              </c:numCache>
            </c:numRef>
          </c:val>
        </c:ser>
        <c:dLbls/>
        <c:marker val="1"/>
        <c:axId val="110765184"/>
        <c:axId val="110766720"/>
      </c:lineChart>
      <c:catAx>
        <c:axId val="110765184"/>
        <c:scaling>
          <c:orientation val="minMax"/>
        </c:scaling>
        <c:axPos val="b"/>
        <c:majorTickMark val="none"/>
        <c:tickLblPos val="nextTo"/>
        <c:crossAx val="110766720"/>
        <c:crosses val="autoZero"/>
        <c:auto val="1"/>
        <c:lblAlgn val="ctr"/>
        <c:lblOffset val="100"/>
      </c:catAx>
      <c:valAx>
        <c:axId val="110766720"/>
        <c:scaling>
          <c:orientation val="minMax"/>
        </c:scaling>
        <c:axPos val="l"/>
        <c:majorGridlines/>
        <c:title>
          <c:tx>
            <c:rich>
              <a:bodyPr/>
              <a:lstStyle/>
              <a:p>
                <a:pPr>
                  <a:defRPr/>
                </a:pPr>
                <a:r>
                  <a:rPr lang="en-US"/>
                  <a:t>In Percentage %</a:t>
                </a:r>
              </a:p>
            </c:rich>
          </c:tx>
        </c:title>
        <c:numFmt formatCode="0.0" sourceLinked="0"/>
        <c:majorTickMark val="none"/>
        <c:tickLblPos val="nextTo"/>
        <c:crossAx val="110765184"/>
        <c:crosses val="autoZero"/>
        <c:crossBetween val="between"/>
      </c:valAx>
    </c:plotArea>
    <c:legend>
      <c:legendPos val="r"/>
    </c:legend>
    <c:plotVisOnly val="1"/>
    <c:dispBlanksAs val="gap"/>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a:pPr>
            <a:r>
              <a:rPr lang="en-US"/>
              <a:t>Brazil</a:t>
            </a:r>
          </a:p>
        </c:rich>
      </c:tx>
    </c:title>
    <c:plotArea>
      <c:layout/>
      <c:lineChart>
        <c:grouping val="standard"/>
        <c:ser>
          <c:idx val="0"/>
          <c:order val="0"/>
          <c:tx>
            <c:strRef>
              <c:f>Deletions!$BI$20</c:f>
              <c:strCache>
                <c:ptCount val="1"/>
                <c:pt idx="0">
                  <c:v>CAR MSCI Brazil</c:v>
                </c:pt>
              </c:strCache>
            </c:strRef>
          </c:tx>
          <c:spPr>
            <a:ln>
              <a:solidFill>
                <a:schemeClr val="accent1">
                  <a:lumMod val="50000"/>
                </a:schemeClr>
              </a:solidFill>
            </a:ln>
          </c:spPr>
          <c:marker>
            <c:symbol val="none"/>
          </c:marker>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Deletions!$BJ$20:$CX$20</c:f>
              <c:numCache>
                <c:formatCode>0.00</c:formatCode>
                <c:ptCount val="41"/>
                <c:pt idx="0">
                  <c:v>0.89134996933924193</c:v>
                </c:pt>
                <c:pt idx="1">
                  <c:v>4.2209197531349716</c:v>
                </c:pt>
                <c:pt idx="2">
                  <c:v>5.1278043673157292</c:v>
                </c:pt>
                <c:pt idx="3">
                  <c:v>8.0825224194608758</c:v>
                </c:pt>
                <c:pt idx="4">
                  <c:v>9.7437390414263607</c:v>
                </c:pt>
                <c:pt idx="5">
                  <c:v>11.45634326951348</c:v>
                </c:pt>
                <c:pt idx="6">
                  <c:v>10.702337499867461</c:v>
                </c:pt>
                <c:pt idx="7">
                  <c:v>11.907762027882312</c:v>
                </c:pt>
                <c:pt idx="8">
                  <c:v>11.907762027882312</c:v>
                </c:pt>
                <c:pt idx="9">
                  <c:v>8.6517603687303986</c:v>
                </c:pt>
                <c:pt idx="10">
                  <c:v>9.2900809186266429</c:v>
                </c:pt>
                <c:pt idx="11">
                  <c:v>8.2913382813829806</c:v>
                </c:pt>
                <c:pt idx="12">
                  <c:v>7.3093058494292746</c:v>
                </c:pt>
                <c:pt idx="13">
                  <c:v>6.1966576147271848</c:v>
                </c:pt>
                <c:pt idx="14">
                  <c:v>8.0497727388426785</c:v>
                </c:pt>
                <c:pt idx="15">
                  <c:v>8.0175771244593825</c:v>
                </c:pt>
                <c:pt idx="16">
                  <c:v>8.5729132461053013</c:v>
                </c:pt>
                <c:pt idx="17">
                  <c:v>7.620591352619968</c:v>
                </c:pt>
                <c:pt idx="18">
                  <c:v>5.7322960975285611</c:v>
                </c:pt>
                <c:pt idx="19">
                  <c:v>2.3579309411164466</c:v>
                </c:pt>
                <c:pt idx="20">
                  <c:v>6.0646767404138711</c:v>
                </c:pt>
                <c:pt idx="21">
                  <c:v>9.2520434832944076</c:v>
                </c:pt>
                <c:pt idx="22">
                  <c:v>10.339869122335749</c:v>
                </c:pt>
                <c:pt idx="23">
                  <c:v>10.921688628011241</c:v>
                </c:pt>
                <c:pt idx="24">
                  <c:v>11.496519718382421</c:v>
                </c:pt>
                <c:pt idx="25">
                  <c:v>11.556798937995131</c:v>
                </c:pt>
                <c:pt idx="26">
                  <c:v>12.483631145510641</c:v>
                </c:pt>
                <c:pt idx="27">
                  <c:v>12.9019502494417</c:v>
                </c:pt>
                <c:pt idx="28">
                  <c:v>12.425427139318812</c:v>
                </c:pt>
                <c:pt idx="29">
                  <c:v>11.489988817493982</c:v>
                </c:pt>
                <c:pt idx="30">
                  <c:v>11.784398986391787</c:v>
                </c:pt>
                <c:pt idx="31">
                  <c:v>14.440812501010669</c:v>
                </c:pt>
                <c:pt idx="32">
                  <c:v>14.797229775289729</c:v>
                </c:pt>
                <c:pt idx="33">
                  <c:v>14.430379580575467</c:v>
                </c:pt>
                <c:pt idx="34">
                  <c:v>14.466042297742323</c:v>
                </c:pt>
                <c:pt idx="35">
                  <c:v>14.87335738995341</c:v>
                </c:pt>
                <c:pt idx="36">
                  <c:v>15.470753571383671</c:v>
                </c:pt>
                <c:pt idx="37">
                  <c:v>16.228413872908476</c:v>
                </c:pt>
                <c:pt idx="38">
                  <c:v>17.529669200427076</c:v>
                </c:pt>
                <c:pt idx="39">
                  <c:v>16.812985554114555</c:v>
                </c:pt>
                <c:pt idx="40">
                  <c:v>16.25487497492086</c:v>
                </c:pt>
              </c:numCache>
            </c:numRef>
          </c:val>
        </c:ser>
        <c:ser>
          <c:idx val="1"/>
          <c:order val="1"/>
          <c:tx>
            <c:strRef>
              <c:f>Deletions!$BI$21</c:f>
              <c:strCache>
                <c:ptCount val="1"/>
                <c:pt idx="0">
                  <c:v>Standard Deviation</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Deletions!$BJ$21:$CX$21</c:f>
            </c:numRef>
          </c:val>
        </c:ser>
        <c:ser>
          <c:idx val="2"/>
          <c:order val="2"/>
          <c:tx>
            <c:strRef>
              <c:f>Deletions!$BI$22</c:f>
              <c:strCache>
                <c:ptCount val="1"/>
                <c:pt idx="0">
                  <c:v>Square</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Deletions!$BJ$22:$CX$22</c:f>
            </c:numRef>
          </c:val>
        </c:ser>
        <c:ser>
          <c:idx val="4"/>
          <c:order val="3"/>
          <c:tx>
            <c:strRef>
              <c:f>Deletions!$BI$24</c:f>
              <c:strCache>
                <c:ptCount val="1"/>
                <c:pt idx="0">
                  <c:v>CAR MSCI EM</c:v>
                </c:pt>
              </c:strCache>
            </c:strRef>
          </c:tx>
          <c:spPr>
            <a:ln>
              <a:solidFill>
                <a:schemeClr val="accent3">
                  <a:lumMod val="75000"/>
                </a:schemeClr>
              </a:solidFill>
            </a:ln>
          </c:spPr>
          <c:marker>
            <c:symbol val="none"/>
          </c:marker>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Deletions!$BJ$24:$CX$24</c:f>
              <c:numCache>
                <c:formatCode>0.00</c:formatCode>
                <c:ptCount val="41"/>
                <c:pt idx="0">
                  <c:v>-0.33003409396083311</c:v>
                </c:pt>
                <c:pt idx="1">
                  <c:v>-0.65112250754901113</c:v>
                </c:pt>
                <c:pt idx="2">
                  <c:v>-0.11476342490989501</c:v>
                </c:pt>
                <c:pt idx="3">
                  <c:v>0.16837932224640001</c:v>
                </c:pt>
                <c:pt idx="4">
                  <c:v>0.58160397349896598</c:v>
                </c:pt>
                <c:pt idx="5">
                  <c:v>0.98126966756741096</c:v>
                </c:pt>
                <c:pt idx="6">
                  <c:v>0.98762202988882797</c:v>
                </c:pt>
                <c:pt idx="7">
                  <c:v>0.70463827460508222</c:v>
                </c:pt>
                <c:pt idx="8">
                  <c:v>0.70463827460508222</c:v>
                </c:pt>
                <c:pt idx="9">
                  <c:v>-0.55853675490759092</c:v>
                </c:pt>
                <c:pt idx="10">
                  <c:v>-0.65932083249738427</c:v>
                </c:pt>
                <c:pt idx="11">
                  <c:v>-0.77396645062208214</c:v>
                </c:pt>
                <c:pt idx="12">
                  <c:v>-0.91122003285107811</c:v>
                </c:pt>
                <c:pt idx="13">
                  <c:v>-1.274409990309233</c:v>
                </c:pt>
                <c:pt idx="14">
                  <c:v>-1.046299865645169</c:v>
                </c:pt>
                <c:pt idx="15">
                  <c:v>-1.5773684718204339</c:v>
                </c:pt>
                <c:pt idx="16">
                  <c:v>-1.8656448975219488</c:v>
                </c:pt>
                <c:pt idx="17">
                  <c:v>-2.7486984607613452</c:v>
                </c:pt>
                <c:pt idx="18">
                  <c:v>-4.1108957576709235</c:v>
                </c:pt>
                <c:pt idx="19">
                  <c:v>-7.7505853335854553</c:v>
                </c:pt>
                <c:pt idx="20">
                  <c:v>-6.1546077473358993</c:v>
                </c:pt>
                <c:pt idx="21">
                  <c:v>-4.9793109369658657</c:v>
                </c:pt>
                <c:pt idx="22">
                  <c:v>-4.1904541266172473</c:v>
                </c:pt>
                <c:pt idx="23">
                  <c:v>-3.6896737649860833</c:v>
                </c:pt>
                <c:pt idx="24">
                  <c:v>-3.3659855035975181</c:v>
                </c:pt>
                <c:pt idx="25">
                  <c:v>-2.629903513991128</c:v>
                </c:pt>
                <c:pt idx="26">
                  <c:v>-2.074960487717743</c:v>
                </c:pt>
                <c:pt idx="27">
                  <c:v>-1.810920370076595</c:v>
                </c:pt>
                <c:pt idx="28">
                  <c:v>-1.7629411171761098</c:v>
                </c:pt>
                <c:pt idx="29">
                  <c:v>-1.7490958060824109</c:v>
                </c:pt>
                <c:pt idx="30">
                  <c:v>-2.2144380996779209</c:v>
                </c:pt>
                <c:pt idx="31">
                  <c:v>-2.0624477928418408</c:v>
                </c:pt>
                <c:pt idx="32">
                  <c:v>-1.825608912356562</c:v>
                </c:pt>
                <c:pt idx="33">
                  <c:v>-1.5195479840666233</c:v>
                </c:pt>
                <c:pt idx="34">
                  <c:v>-1.197554062395338</c:v>
                </c:pt>
                <c:pt idx="35">
                  <c:v>-1.7838844598807679</c:v>
                </c:pt>
                <c:pt idx="36">
                  <c:v>-1.4464079449170801</c:v>
                </c:pt>
                <c:pt idx="37">
                  <c:v>-1.241769268911521</c:v>
                </c:pt>
                <c:pt idx="38">
                  <c:v>-1.4013650153596726</c:v>
                </c:pt>
                <c:pt idx="39">
                  <c:v>-1.5741815745588223</c:v>
                </c:pt>
                <c:pt idx="40">
                  <c:v>-1.7715073589614809</c:v>
                </c:pt>
              </c:numCache>
            </c:numRef>
          </c:val>
        </c:ser>
        <c:ser>
          <c:idx val="5"/>
          <c:order val="4"/>
          <c:tx>
            <c:strRef>
              <c:f>Deletions!$BI$25</c:f>
              <c:strCache>
                <c:ptCount val="1"/>
                <c:pt idx="0">
                  <c:v>Standard Deviation</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Deletions!$BJ$25:$CX$25</c:f>
            </c:numRef>
          </c:val>
        </c:ser>
        <c:ser>
          <c:idx val="6"/>
          <c:order val="5"/>
          <c:tx>
            <c:strRef>
              <c:f>Deletions!$BI$26</c:f>
              <c:strCache>
                <c:ptCount val="1"/>
                <c:pt idx="0">
                  <c:v>Square</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Deletions!$BJ$26:$CX$26</c:f>
            </c:numRef>
          </c:val>
        </c:ser>
        <c:dLbls/>
        <c:marker val="1"/>
        <c:axId val="110782720"/>
        <c:axId val="113090560"/>
      </c:lineChart>
      <c:catAx>
        <c:axId val="110782720"/>
        <c:scaling>
          <c:orientation val="minMax"/>
        </c:scaling>
        <c:axPos val="b"/>
        <c:majorTickMark val="none"/>
        <c:tickLblPos val="nextTo"/>
        <c:crossAx val="113090560"/>
        <c:crosses val="autoZero"/>
        <c:auto val="1"/>
        <c:lblAlgn val="ctr"/>
        <c:lblOffset val="100"/>
      </c:catAx>
      <c:valAx>
        <c:axId val="113090560"/>
        <c:scaling>
          <c:orientation val="minMax"/>
        </c:scaling>
        <c:axPos val="l"/>
        <c:majorGridlines/>
        <c:title>
          <c:tx>
            <c:rich>
              <a:bodyPr/>
              <a:lstStyle/>
              <a:p>
                <a:pPr>
                  <a:defRPr/>
                </a:pPr>
                <a:r>
                  <a:rPr lang="en-US"/>
                  <a:t>In Percentage %</a:t>
                </a:r>
              </a:p>
            </c:rich>
          </c:tx>
        </c:title>
        <c:numFmt formatCode="0" sourceLinked="0"/>
        <c:majorTickMark val="none"/>
        <c:tickLblPos val="nextTo"/>
        <c:crossAx val="110782720"/>
        <c:crosses val="autoZero"/>
        <c:crossBetween val="between"/>
      </c:valAx>
    </c:plotArea>
    <c:legend>
      <c:legendPos val="r"/>
    </c:legend>
    <c:plotVisOnly val="1"/>
    <c:dispBlanksAs val="gap"/>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en-US"/>
  <c:style val="18"/>
  <c:chart>
    <c:autoTitleDeleted val="1"/>
    <c:plotArea>
      <c:layout>
        <c:manualLayout>
          <c:layoutTarget val="inner"/>
          <c:xMode val="edge"/>
          <c:yMode val="edge"/>
          <c:x val="0.10560536368597501"/>
          <c:y val="6.018518518518521E-2"/>
          <c:w val="0.73559548868272606"/>
          <c:h val="0.87962962962963021"/>
        </c:manualLayout>
      </c:layout>
      <c:scatterChart>
        <c:scatterStyle val="lineMarker"/>
        <c:ser>
          <c:idx val="0"/>
          <c:order val="0"/>
          <c:tx>
            <c:strRef>
              <c:f>Deletions!$G$1</c:f>
              <c:strCache>
                <c:ptCount val="1"/>
                <c:pt idx="0">
                  <c:v>Daily ab-normal return</c:v>
                </c:pt>
              </c:strCache>
            </c:strRef>
          </c:tx>
          <c:spPr>
            <a:ln w="47625">
              <a:noFill/>
            </a:ln>
          </c:spPr>
          <c:yVal>
            <c:numRef>
              <c:f>Deletions!$G$2:$G$18</c:f>
              <c:numCache>
                <c:formatCode>ge\ne\r\a\l</c:formatCode>
                <c:ptCount val="17"/>
                <c:pt idx="0">
                  <c:v>-1.4569074108141398</c:v>
                </c:pt>
                <c:pt idx="1">
                  <c:v>-0.19287704196126002</c:v>
                </c:pt>
                <c:pt idx="2">
                  <c:v>-2.5599491961260209E-2</c:v>
                </c:pt>
                <c:pt idx="4">
                  <c:v>2.1468621412398456</c:v>
                </c:pt>
                <c:pt idx="5">
                  <c:v>-0.22254510876015401</c:v>
                </c:pt>
                <c:pt idx="6">
                  <c:v>8.8272241239846033E-2</c:v>
                </c:pt>
                <c:pt idx="7">
                  <c:v>-0.55057400567419013</c:v>
                </c:pt>
                <c:pt idx="8">
                  <c:v>-0.89960940567419023</c:v>
                </c:pt>
                <c:pt idx="9">
                  <c:v>2.1759766943258065</c:v>
                </c:pt>
                <c:pt idx="10">
                  <c:v>2.2504997443258103</c:v>
                </c:pt>
                <c:pt idx="11">
                  <c:v>0.14755979525586502</c:v>
                </c:pt>
                <c:pt idx="12">
                  <c:v>0.29392649525586517</c:v>
                </c:pt>
                <c:pt idx="13">
                  <c:v>3.8009495255865104E-2</c:v>
                </c:pt>
                <c:pt idx="14">
                  <c:v>-6.5684054744134815E-2</c:v>
                </c:pt>
                <c:pt idx="15">
                  <c:v>-0.71820880474413507</c:v>
                </c:pt>
                <c:pt idx="16">
                  <c:v>-0.733886190655203</c:v>
                </c:pt>
              </c:numCache>
            </c:numRef>
          </c:yVal>
        </c:ser>
        <c:dLbls/>
        <c:axId val="113108480"/>
        <c:axId val="113110016"/>
      </c:scatterChart>
      <c:valAx>
        <c:axId val="113108480"/>
        <c:scaling>
          <c:orientation val="minMax"/>
        </c:scaling>
        <c:axPos val="b"/>
        <c:tickLblPos val="nextTo"/>
        <c:crossAx val="113110016"/>
        <c:crosses val="autoZero"/>
        <c:crossBetween val="midCat"/>
      </c:valAx>
      <c:valAx>
        <c:axId val="113110016"/>
        <c:scaling>
          <c:orientation val="minMax"/>
        </c:scaling>
        <c:axPos val="l"/>
        <c:majorGridlines/>
        <c:numFmt formatCode="ge\ne\r\a\l" sourceLinked="1"/>
        <c:tickLblPos val="nextTo"/>
        <c:crossAx val="113108480"/>
        <c:crosses val="autoZero"/>
        <c:crossBetween val="midCat"/>
      </c:valAx>
    </c:plotArea>
    <c:legend>
      <c:legendPos val="r"/>
      <c:layout>
        <c:manualLayout>
          <c:xMode val="edge"/>
          <c:yMode val="edge"/>
          <c:x val="0.80364309659312427"/>
          <c:y val="0.42554206765820907"/>
          <c:w val="0.16995426314285003"/>
          <c:h val="0.29243438320210008"/>
        </c:manualLayout>
      </c:layout>
      <c:txPr>
        <a:bodyPr/>
        <a:lstStyle/>
        <a:p>
          <a:pPr>
            <a:defRPr sz="800"/>
          </a:pPr>
          <a:endParaRPr lang="en-US"/>
        </a:p>
      </c:txPr>
    </c:legend>
    <c:plotVisOnly val="1"/>
    <c:dispBlanksAs val="gap"/>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lang val="en-US"/>
  <c:style val="18"/>
  <c:chart>
    <c:autoTitleDeleted val="1"/>
    <c:plotArea>
      <c:layout>
        <c:manualLayout>
          <c:layoutTarget val="inner"/>
          <c:xMode val="edge"/>
          <c:yMode val="edge"/>
          <c:x val="6.7793525809273822E-2"/>
          <c:y val="6.018518518518521E-2"/>
          <c:w val="0.75947703412073508"/>
          <c:h val="0.87962962962963021"/>
        </c:manualLayout>
      </c:layout>
      <c:scatterChart>
        <c:scatterStyle val="lineMarker"/>
        <c:ser>
          <c:idx val="0"/>
          <c:order val="0"/>
          <c:tx>
            <c:strRef>
              <c:f>Deletions!$I$1</c:f>
              <c:strCache>
                <c:ptCount val="1"/>
                <c:pt idx="0">
                  <c:v>Daily ab-normal return</c:v>
                </c:pt>
              </c:strCache>
            </c:strRef>
          </c:tx>
          <c:spPr>
            <a:ln w="47625">
              <a:noFill/>
            </a:ln>
          </c:spPr>
          <c:yVal>
            <c:numRef>
              <c:f>Deletions!$I$2:$I$18</c:f>
              <c:numCache>
                <c:formatCode>ge\ne\r\a\l</c:formatCode>
                <c:ptCount val="17"/>
                <c:pt idx="0">
                  <c:v>0.68250794956235483</c:v>
                </c:pt>
                <c:pt idx="1">
                  <c:v>-0.15729613104789208</c:v>
                </c:pt>
                <c:pt idx="2">
                  <c:v>-2.2013912000272706E-2</c:v>
                </c:pt>
                <c:pt idx="4">
                  <c:v>0.76291512713518317</c:v>
                </c:pt>
                <c:pt idx="5">
                  <c:v>0.48239921284946807</c:v>
                </c:pt>
                <c:pt idx="6">
                  <c:v>0.26324493665899196</c:v>
                </c:pt>
                <c:pt idx="7">
                  <c:v>1.3609872779133301</c:v>
                </c:pt>
                <c:pt idx="8">
                  <c:v>0.75859037315142508</c:v>
                </c:pt>
                <c:pt idx="9">
                  <c:v>-0.40845862684857404</c:v>
                </c:pt>
                <c:pt idx="10">
                  <c:v>4.1643258017228373</c:v>
                </c:pt>
                <c:pt idx="11">
                  <c:v>1.2617996898237778</c:v>
                </c:pt>
                <c:pt idx="12">
                  <c:v>4.535345172854012E-2</c:v>
                </c:pt>
                <c:pt idx="13">
                  <c:v>0.74499273744282513</c:v>
                </c:pt>
                <c:pt idx="14">
                  <c:v>0.28959849934758808</c:v>
                </c:pt>
                <c:pt idx="15">
                  <c:v>-0.22452221493812699</c:v>
                </c:pt>
                <c:pt idx="16">
                  <c:v>0.213370958952288</c:v>
                </c:pt>
              </c:numCache>
            </c:numRef>
          </c:yVal>
        </c:ser>
        <c:dLbls/>
        <c:axId val="111360640"/>
        <c:axId val="111391104"/>
      </c:scatterChart>
      <c:valAx>
        <c:axId val="111360640"/>
        <c:scaling>
          <c:orientation val="minMax"/>
        </c:scaling>
        <c:axPos val="b"/>
        <c:tickLblPos val="nextTo"/>
        <c:crossAx val="111391104"/>
        <c:crosses val="autoZero"/>
        <c:crossBetween val="midCat"/>
      </c:valAx>
      <c:valAx>
        <c:axId val="111391104"/>
        <c:scaling>
          <c:orientation val="minMax"/>
        </c:scaling>
        <c:axPos val="l"/>
        <c:majorGridlines/>
        <c:numFmt formatCode="ge\ne\r\a\l" sourceLinked="1"/>
        <c:tickLblPos val="nextTo"/>
        <c:crossAx val="111360640"/>
        <c:crosses val="autoZero"/>
        <c:crossBetween val="midCat"/>
      </c:valAx>
    </c:plotArea>
    <c:legend>
      <c:legendPos val="r"/>
      <c:layout>
        <c:manualLayout>
          <c:xMode val="edge"/>
          <c:yMode val="edge"/>
          <c:x val="0.809548337707787"/>
          <c:y val="0.45351159230096205"/>
          <c:w val="0.16822944006999105"/>
          <c:h val="0.28742089530475418"/>
        </c:manualLayout>
      </c:layout>
      <c:txPr>
        <a:bodyPr/>
        <a:lstStyle/>
        <a:p>
          <a:pPr>
            <a:defRPr sz="800"/>
          </a:pPr>
          <a:endParaRPr lang="en-US"/>
        </a:p>
      </c:txPr>
    </c:legend>
    <c:plotVisOnly val="1"/>
    <c:dispBlanksAs val="gap"/>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en-US"/>
  <c:style val="10"/>
  <c:chart>
    <c:title>
      <c:tx>
        <c:rich>
          <a:bodyPr/>
          <a:lstStyle/>
          <a:p>
            <a:pPr>
              <a:defRPr/>
            </a:pPr>
            <a:r>
              <a:rPr lang="en-US"/>
              <a:t>Turkey</a:t>
            </a:r>
          </a:p>
        </c:rich>
      </c:tx>
    </c:title>
    <c:plotArea>
      <c:layout/>
      <c:lineChart>
        <c:grouping val="standard"/>
        <c:ser>
          <c:idx val="0"/>
          <c:order val="0"/>
          <c:tx>
            <c:strRef>
              <c:f>Deletions!$BI$30</c:f>
              <c:strCache>
                <c:ptCount val="1"/>
                <c:pt idx="0">
                  <c:v>CAR MSCI Turkey</c:v>
                </c:pt>
              </c:strCache>
            </c:strRef>
          </c:tx>
          <c:spPr>
            <a:ln>
              <a:solidFill>
                <a:schemeClr val="tx2">
                  <a:lumMod val="75000"/>
                </a:schemeClr>
              </a:solidFill>
            </a:ln>
          </c:spPr>
          <c:marker>
            <c:symbol val="none"/>
          </c:marker>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Deletions!$BJ$30:$CX$30</c:f>
              <c:numCache>
                <c:formatCode>0.00</c:formatCode>
                <c:ptCount val="41"/>
                <c:pt idx="0">
                  <c:v>0.6465964322355322</c:v>
                </c:pt>
                <c:pt idx="1">
                  <c:v>2.4412611194627387</c:v>
                </c:pt>
                <c:pt idx="2">
                  <c:v>3.03512923439694</c:v>
                </c:pt>
                <c:pt idx="3">
                  <c:v>3.7152140515262411</c:v>
                </c:pt>
                <c:pt idx="4">
                  <c:v>4.4412209933062812</c:v>
                </c:pt>
                <c:pt idx="5">
                  <c:v>5.3942860444752263</c:v>
                </c:pt>
                <c:pt idx="6">
                  <c:v>5.0867054958442139</c:v>
                </c:pt>
                <c:pt idx="7">
                  <c:v>4.317750380270021</c:v>
                </c:pt>
                <c:pt idx="8">
                  <c:v>4.317750380270021</c:v>
                </c:pt>
                <c:pt idx="9">
                  <c:v>3.0813128201481996</c:v>
                </c:pt>
                <c:pt idx="10">
                  <c:v>3.1255413888753707</c:v>
                </c:pt>
                <c:pt idx="11">
                  <c:v>3.2207927116823112</c:v>
                </c:pt>
                <c:pt idx="12">
                  <c:v>2.3658322819416782</c:v>
                </c:pt>
                <c:pt idx="13">
                  <c:v>1.7777717044865819</c:v>
                </c:pt>
                <c:pt idx="14">
                  <c:v>2.2279884448254652</c:v>
                </c:pt>
                <c:pt idx="15">
                  <c:v>2.7319579258728188</c:v>
                </c:pt>
                <c:pt idx="16">
                  <c:v>1.4756397043705718</c:v>
                </c:pt>
                <c:pt idx="17">
                  <c:v>1.0164717174413829</c:v>
                </c:pt>
                <c:pt idx="18">
                  <c:v>0.68455033951228994</c:v>
                </c:pt>
                <c:pt idx="19">
                  <c:v>-2.9147598161255179</c:v>
                </c:pt>
                <c:pt idx="20">
                  <c:v>-2.8950478273553486</c:v>
                </c:pt>
                <c:pt idx="21">
                  <c:v>-2.5457791088830772</c:v>
                </c:pt>
                <c:pt idx="22">
                  <c:v>-2.1177748514011268</c:v>
                </c:pt>
                <c:pt idx="23">
                  <c:v>-2.2238068599277812</c:v>
                </c:pt>
                <c:pt idx="24">
                  <c:v>-2.1199451361992012</c:v>
                </c:pt>
                <c:pt idx="25">
                  <c:v>-2.4690945466387864</c:v>
                </c:pt>
                <c:pt idx="26">
                  <c:v>-2.4499328410691441</c:v>
                </c:pt>
                <c:pt idx="27">
                  <c:v>-1.6382969120042159</c:v>
                </c:pt>
                <c:pt idx="28">
                  <c:v>-1.7991012785884457</c:v>
                </c:pt>
                <c:pt idx="29">
                  <c:v>-2.2106167057289432</c:v>
                </c:pt>
                <c:pt idx="30">
                  <c:v>-2.3829712034217287</c:v>
                </c:pt>
                <c:pt idx="31">
                  <c:v>-2.5038332281235265</c:v>
                </c:pt>
                <c:pt idx="32">
                  <c:v>-2.1826552887366351</c:v>
                </c:pt>
                <c:pt idx="33">
                  <c:v>-2.4929546898696917</c:v>
                </c:pt>
                <c:pt idx="34">
                  <c:v>-2.6517950735452018</c:v>
                </c:pt>
                <c:pt idx="35">
                  <c:v>-3.3888150563262571</c:v>
                </c:pt>
                <c:pt idx="36">
                  <c:v>-4.0765955751551406</c:v>
                </c:pt>
                <c:pt idx="37">
                  <c:v>-4.1175060185847689</c:v>
                </c:pt>
                <c:pt idx="38">
                  <c:v>-4.7269253230486168</c:v>
                </c:pt>
                <c:pt idx="39">
                  <c:v>-4.0988202604011486</c:v>
                </c:pt>
                <c:pt idx="40">
                  <c:v>-4.2795529500836818</c:v>
                </c:pt>
              </c:numCache>
            </c:numRef>
          </c:val>
        </c:ser>
        <c:ser>
          <c:idx val="1"/>
          <c:order val="1"/>
          <c:tx>
            <c:strRef>
              <c:f>Deletions!$BI$31</c:f>
              <c:strCache>
                <c:ptCount val="1"/>
                <c:pt idx="0">
                  <c:v>Standard Deviation</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Deletions!$BJ$31:$CX$31</c:f>
            </c:numRef>
          </c:val>
        </c:ser>
        <c:ser>
          <c:idx val="2"/>
          <c:order val="2"/>
          <c:tx>
            <c:strRef>
              <c:f>Deletions!$BI$32</c:f>
              <c:strCache>
                <c:ptCount val="1"/>
                <c:pt idx="0">
                  <c:v>Square</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Deletions!$BJ$32:$CX$32</c:f>
            </c:numRef>
          </c:val>
        </c:ser>
        <c:ser>
          <c:idx val="4"/>
          <c:order val="3"/>
          <c:tx>
            <c:strRef>
              <c:f>Deletions!$BI$34</c:f>
              <c:strCache>
                <c:ptCount val="1"/>
                <c:pt idx="0">
                  <c:v>CAR MSCI EM</c:v>
                </c:pt>
              </c:strCache>
            </c:strRef>
          </c:tx>
          <c:spPr>
            <a:ln>
              <a:solidFill>
                <a:schemeClr val="accent3">
                  <a:lumMod val="75000"/>
                </a:schemeClr>
              </a:solidFill>
            </a:ln>
          </c:spPr>
          <c:marker>
            <c:symbol val="none"/>
          </c:marker>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Deletions!$BJ$34:$CX$34</c:f>
              <c:numCache>
                <c:formatCode>0.00</c:formatCode>
                <c:ptCount val="41"/>
                <c:pt idx="0">
                  <c:v>-0.33003409396083311</c:v>
                </c:pt>
                <c:pt idx="1">
                  <c:v>-0.65112250754901113</c:v>
                </c:pt>
                <c:pt idx="2">
                  <c:v>-0.11476342490989501</c:v>
                </c:pt>
                <c:pt idx="3">
                  <c:v>0.16837932224640001</c:v>
                </c:pt>
                <c:pt idx="4">
                  <c:v>0.58160397349896598</c:v>
                </c:pt>
                <c:pt idx="5">
                  <c:v>0.98126966756741096</c:v>
                </c:pt>
                <c:pt idx="6">
                  <c:v>0.98762202988882797</c:v>
                </c:pt>
                <c:pt idx="7">
                  <c:v>0.70463827460508222</c:v>
                </c:pt>
                <c:pt idx="8">
                  <c:v>0.70463827460508222</c:v>
                </c:pt>
                <c:pt idx="9">
                  <c:v>-0.55853675490759092</c:v>
                </c:pt>
                <c:pt idx="10">
                  <c:v>-0.65932083249738427</c:v>
                </c:pt>
                <c:pt idx="11">
                  <c:v>-0.77396645062208214</c:v>
                </c:pt>
                <c:pt idx="12">
                  <c:v>-0.91122003285107811</c:v>
                </c:pt>
                <c:pt idx="13">
                  <c:v>-1.274409990309233</c:v>
                </c:pt>
                <c:pt idx="14">
                  <c:v>-1.046299865645169</c:v>
                </c:pt>
                <c:pt idx="15">
                  <c:v>-1.5773684718204339</c:v>
                </c:pt>
                <c:pt idx="16">
                  <c:v>-1.8656448975219488</c:v>
                </c:pt>
                <c:pt idx="17">
                  <c:v>-2.7486984607613452</c:v>
                </c:pt>
                <c:pt idx="18">
                  <c:v>-4.1108957576709235</c:v>
                </c:pt>
                <c:pt idx="19">
                  <c:v>-7.7505853335854553</c:v>
                </c:pt>
                <c:pt idx="20">
                  <c:v>-6.1546077473358993</c:v>
                </c:pt>
                <c:pt idx="21">
                  <c:v>-4.9793109369658657</c:v>
                </c:pt>
                <c:pt idx="22">
                  <c:v>-4.1904541266172473</c:v>
                </c:pt>
                <c:pt idx="23">
                  <c:v>-3.6896737649860833</c:v>
                </c:pt>
                <c:pt idx="24">
                  <c:v>-3.3659855035975181</c:v>
                </c:pt>
                <c:pt idx="25">
                  <c:v>-2.629903513991128</c:v>
                </c:pt>
                <c:pt idx="26">
                  <c:v>-2.074960487717743</c:v>
                </c:pt>
                <c:pt idx="27">
                  <c:v>-1.810920370076595</c:v>
                </c:pt>
                <c:pt idx="28">
                  <c:v>-1.7629411171761098</c:v>
                </c:pt>
                <c:pt idx="29">
                  <c:v>-1.7490958060824109</c:v>
                </c:pt>
                <c:pt idx="30">
                  <c:v>-2.2144380996779209</c:v>
                </c:pt>
                <c:pt idx="31">
                  <c:v>-2.0624477928418408</c:v>
                </c:pt>
                <c:pt idx="32">
                  <c:v>-1.825608912356562</c:v>
                </c:pt>
                <c:pt idx="33">
                  <c:v>-1.5195479840666233</c:v>
                </c:pt>
                <c:pt idx="34">
                  <c:v>-1.197554062395338</c:v>
                </c:pt>
                <c:pt idx="35">
                  <c:v>-1.7838844598807679</c:v>
                </c:pt>
                <c:pt idx="36">
                  <c:v>-1.4464079449170801</c:v>
                </c:pt>
                <c:pt idx="37">
                  <c:v>-1.241769268911521</c:v>
                </c:pt>
                <c:pt idx="38">
                  <c:v>-1.4013650153596726</c:v>
                </c:pt>
                <c:pt idx="39">
                  <c:v>-1.5741815745588223</c:v>
                </c:pt>
                <c:pt idx="40">
                  <c:v>-1.7715073589614809</c:v>
                </c:pt>
              </c:numCache>
            </c:numRef>
          </c:val>
        </c:ser>
        <c:ser>
          <c:idx val="5"/>
          <c:order val="4"/>
          <c:tx>
            <c:strRef>
              <c:f>Deletions!$BI$35</c:f>
              <c:strCache>
                <c:ptCount val="1"/>
                <c:pt idx="0">
                  <c:v>Standard Deviation</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Deletions!$BJ$35:$CX$35</c:f>
            </c:numRef>
          </c:val>
        </c:ser>
        <c:ser>
          <c:idx val="6"/>
          <c:order val="5"/>
          <c:tx>
            <c:strRef>
              <c:f>Deletions!$BI$36</c:f>
              <c:strCache>
                <c:ptCount val="1"/>
                <c:pt idx="0">
                  <c:v>Square</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Deletions!$BJ$36:$CX$36</c:f>
            </c:numRef>
          </c:val>
        </c:ser>
        <c:dLbls/>
        <c:marker val="1"/>
        <c:axId val="118985856"/>
        <c:axId val="118987392"/>
      </c:lineChart>
      <c:catAx>
        <c:axId val="118985856"/>
        <c:scaling>
          <c:orientation val="minMax"/>
        </c:scaling>
        <c:axPos val="b"/>
        <c:majorTickMark val="none"/>
        <c:tickLblPos val="nextTo"/>
        <c:crossAx val="118987392"/>
        <c:crosses val="autoZero"/>
        <c:auto val="1"/>
        <c:lblAlgn val="ctr"/>
        <c:lblOffset val="100"/>
      </c:catAx>
      <c:valAx>
        <c:axId val="118987392"/>
        <c:scaling>
          <c:orientation val="minMax"/>
        </c:scaling>
        <c:axPos val="l"/>
        <c:majorGridlines/>
        <c:title>
          <c:tx>
            <c:rich>
              <a:bodyPr/>
              <a:lstStyle/>
              <a:p>
                <a:pPr>
                  <a:defRPr/>
                </a:pPr>
                <a:r>
                  <a:rPr lang="en-US"/>
                  <a:t>In Percentage %</a:t>
                </a:r>
              </a:p>
            </c:rich>
          </c:tx>
        </c:title>
        <c:numFmt formatCode="0" sourceLinked="0"/>
        <c:majorTickMark val="none"/>
        <c:tickLblPos val="nextTo"/>
        <c:crossAx val="118985856"/>
        <c:crosses val="autoZero"/>
        <c:crossBetween val="between"/>
      </c:valAx>
    </c:plotArea>
    <c:legend>
      <c:legendPos val="r"/>
    </c:legend>
    <c:plotVisOnly val="1"/>
    <c:dispBlanksAs val="gap"/>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en-US"/>
  <c:style val="10"/>
  <c:chart>
    <c:title>
      <c:tx>
        <c:rich>
          <a:bodyPr/>
          <a:lstStyle/>
          <a:p>
            <a:pPr>
              <a:defRPr/>
            </a:pPr>
            <a:r>
              <a:rPr lang="en-US"/>
              <a:t>India</a:t>
            </a:r>
          </a:p>
        </c:rich>
      </c:tx>
    </c:title>
    <c:plotArea>
      <c:layout/>
      <c:lineChart>
        <c:grouping val="standard"/>
        <c:ser>
          <c:idx val="0"/>
          <c:order val="0"/>
          <c:tx>
            <c:strRef>
              <c:f>Deletions!$BI$37</c:f>
              <c:strCache>
                <c:ptCount val="1"/>
                <c:pt idx="0">
                  <c:v>CAR MSCI India</c:v>
                </c:pt>
              </c:strCache>
            </c:strRef>
          </c:tx>
          <c:spPr>
            <a:ln>
              <a:solidFill>
                <a:schemeClr val="tx2">
                  <a:lumMod val="75000"/>
                </a:schemeClr>
              </a:solidFill>
            </a:ln>
          </c:spPr>
          <c:marker>
            <c:symbol val="none"/>
          </c:marker>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Deletions!$BJ$37:$CX$37</c:f>
              <c:numCache>
                <c:formatCode>0.00</c:formatCode>
                <c:ptCount val="41"/>
                <c:pt idx="0">
                  <c:v>1.0491269475993017</c:v>
                </c:pt>
                <c:pt idx="1">
                  <c:v>1.2655487902066529</c:v>
                </c:pt>
                <c:pt idx="2">
                  <c:v>0.50972247276265692</c:v>
                </c:pt>
                <c:pt idx="3">
                  <c:v>0.45746848341074808</c:v>
                </c:pt>
                <c:pt idx="4">
                  <c:v>2.201066887130211</c:v>
                </c:pt>
                <c:pt idx="5">
                  <c:v>1.683797381841178</c:v>
                </c:pt>
                <c:pt idx="6">
                  <c:v>1.7084379613994951</c:v>
                </c:pt>
                <c:pt idx="7">
                  <c:v>0.80747174222943208</c:v>
                </c:pt>
                <c:pt idx="8">
                  <c:v>0.80747174222943208</c:v>
                </c:pt>
                <c:pt idx="9">
                  <c:v>0.7484194957622009</c:v>
                </c:pt>
                <c:pt idx="10">
                  <c:v>1.5508171975628779</c:v>
                </c:pt>
                <c:pt idx="11">
                  <c:v>2.8788763209032155</c:v>
                </c:pt>
                <c:pt idx="12">
                  <c:v>2.7191481678940619</c:v>
                </c:pt>
                <c:pt idx="13">
                  <c:v>2.9590998340819668</c:v>
                </c:pt>
                <c:pt idx="14">
                  <c:v>2.9710073244646766</c:v>
                </c:pt>
                <c:pt idx="15">
                  <c:v>2.6881700358631209</c:v>
                </c:pt>
                <c:pt idx="16">
                  <c:v>2.6221969115638259</c:v>
                </c:pt>
                <c:pt idx="17">
                  <c:v>1.8519784302040729</c:v>
                </c:pt>
                <c:pt idx="18">
                  <c:v>0.84515460457515312</c:v>
                </c:pt>
                <c:pt idx="19">
                  <c:v>-1.136983113269844</c:v>
                </c:pt>
                <c:pt idx="20">
                  <c:v>1.1807497817283172</c:v>
                </c:pt>
                <c:pt idx="21">
                  <c:v>1.8909555253442083</c:v>
                </c:pt>
                <c:pt idx="22">
                  <c:v>2.4150253097979322</c:v>
                </c:pt>
                <c:pt idx="23">
                  <c:v>2.6071404554279178</c:v>
                </c:pt>
                <c:pt idx="24">
                  <c:v>2.3389182853805646</c:v>
                </c:pt>
                <c:pt idx="25">
                  <c:v>3.9866516719201561</c:v>
                </c:pt>
                <c:pt idx="26">
                  <c:v>3.5625847080912285</c:v>
                </c:pt>
                <c:pt idx="27">
                  <c:v>3.2802279563253807</c:v>
                </c:pt>
                <c:pt idx="28">
                  <c:v>3.1822382107364611</c:v>
                </c:pt>
                <c:pt idx="29">
                  <c:v>3.4291129620504432</c:v>
                </c:pt>
                <c:pt idx="30">
                  <c:v>3.2434533172730089</c:v>
                </c:pt>
                <c:pt idx="31">
                  <c:v>3.8740427071388726</c:v>
                </c:pt>
                <c:pt idx="32">
                  <c:v>3.9174573282306087</c:v>
                </c:pt>
                <c:pt idx="33">
                  <c:v>3.3556798276810778</c:v>
                </c:pt>
                <c:pt idx="34">
                  <c:v>4.0939294091702862</c:v>
                </c:pt>
                <c:pt idx="35">
                  <c:v>3.1539497124523446</c:v>
                </c:pt>
                <c:pt idx="36">
                  <c:v>2.6452584990185715</c:v>
                </c:pt>
                <c:pt idx="37">
                  <c:v>3.268331263943451</c:v>
                </c:pt>
                <c:pt idx="38">
                  <c:v>3.4236955045479904</c:v>
                </c:pt>
                <c:pt idx="39">
                  <c:v>4.1786231997109979</c:v>
                </c:pt>
                <c:pt idx="40">
                  <c:v>5.1698215937529906</c:v>
                </c:pt>
              </c:numCache>
            </c:numRef>
          </c:val>
        </c:ser>
        <c:ser>
          <c:idx val="1"/>
          <c:order val="1"/>
          <c:tx>
            <c:strRef>
              <c:f>Deletions!$BI$38</c:f>
              <c:strCache>
                <c:ptCount val="1"/>
                <c:pt idx="0">
                  <c:v>Standard Deviation</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Deletions!$BJ$38:$CX$38</c:f>
            </c:numRef>
          </c:val>
        </c:ser>
        <c:ser>
          <c:idx val="2"/>
          <c:order val="2"/>
          <c:tx>
            <c:strRef>
              <c:f>Deletions!$BI$39</c:f>
              <c:strCache>
                <c:ptCount val="1"/>
                <c:pt idx="0">
                  <c:v>Square</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Deletions!$BJ$39:$CX$39</c:f>
            </c:numRef>
          </c:val>
        </c:ser>
        <c:ser>
          <c:idx val="4"/>
          <c:order val="3"/>
          <c:tx>
            <c:strRef>
              <c:f>Deletions!$BI$41</c:f>
              <c:strCache>
                <c:ptCount val="1"/>
                <c:pt idx="0">
                  <c:v>CAR MSCI EM</c:v>
                </c:pt>
              </c:strCache>
            </c:strRef>
          </c:tx>
          <c:spPr>
            <a:ln>
              <a:solidFill>
                <a:schemeClr val="accent3">
                  <a:lumMod val="75000"/>
                </a:schemeClr>
              </a:solidFill>
            </a:ln>
          </c:spPr>
          <c:marker>
            <c:symbol val="none"/>
          </c:marker>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Deletions!$BJ$41:$CX$41</c:f>
              <c:numCache>
                <c:formatCode>0.00</c:formatCode>
                <c:ptCount val="41"/>
                <c:pt idx="0">
                  <c:v>-0.33003409396083311</c:v>
                </c:pt>
                <c:pt idx="1">
                  <c:v>-0.65112250754901113</c:v>
                </c:pt>
                <c:pt idx="2">
                  <c:v>-0.11476342490989501</c:v>
                </c:pt>
                <c:pt idx="3">
                  <c:v>0.16837932224640001</c:v>
                </c:pt>
                <c:pt idx="4">
                  <c:v>0.58160397349896598</c:v>
                </c:pt>
                <c:pt idx="5">
                  <c:v>0.98126966756741096</c:v>
                </c:pt>
                <c:pt idx="6">
                  <c:v>0.98762202988882797</c:v>
                </c:pt>
                <c:pt idx="7">
                  <c:v>0.70463827460508222</c:v>
                </c:pt>
                <c:pt idx="8">
                  <c:v>0.70463827460508222</c:v>
                </c:pt>
                <c:pt idx="9">
                  <c:v>-0.55853675490759092</c:v>
                </c:pt>
                <c:pt idx="10">
                  <c:v>-0.65932083249738427</c:v>
                </c:pt>
                <c:pt idx="11">
                  <c:v>-0.77396645062208214</c:v>
                </c:pt>
                <c:pt idx="12">
                  <c:v>-0.91122003285107811</c:v>
                </c:pt>
                <c:pt idx="13">
                  <c:v>-1.274409990309233</c:v>
                </c:pt>
                <c:pt idx="14">
                  <c:v>-1.046299865645169</c:v>
                </c:pt>
                <c:pt idx="15">
                  <c:v>-1.5773684718204339</c:v>
                </c:pt>
                <c:pt idx="16">
                  <c:v>-1.8656448975219488</c:v>
                </c:pt>
                <c:pt idx="17">
                  <c:v>-2.7486984607613452</c:v>
                </c:pt>
                <c:pt idx="18">
                  <c:v>-4.1108957576709235</c:v>
                </c:pt>
                <c:pt idx="19">
                  <c:v>-7.7505853335854553</c:v>
                </c:pt>
                <c:pt idx="20">
                  <c:v>-6.1546077473358993</c:v>
                </c:pt>
                <c:pt idx="21">
                  <c:v>-4.9793109369658657</c:v>
                </c:pt>
                <c:pt idx="22">
                  <c:v>-4.1904541266172473</c:v>
                </c:pt>
                <c:pt idx="23">
                  <c:v>-3.6896737649860833</c:v>
                </c:pt>
                <c:pt idx="24">
                  <c:v>-3.3659855035975181</c:v>
                </c:pt>
                <c:pt idx="25">
                  <c:v>-2.629903513991128</c:v>
                </c:pt>
                <c:pt idx="26">
                  <c:v>-2.074960487717743</c:v>
                </c:pt>
                <c:pt idx="27">
                  <c:v>-1.810920370076595</c:v>
                </c:pt>
                <c:pt idx="28">
                  <c:v>-1.7629411171761098</c:v>
                </c:pt>
                <c:pt idx="29">
                  <c:v>-1.7490958060824109</c:v>
                </c:pt>
                <c:pt idx="30">
                  <c:v>-2.2144380996779209</c:v>
                </c:pt>
                <c:pt idx="31">
                  <c:v>-2.0624477928418408</c:v>
                </c:pt>
                <c:pt idx="32">
                  <c:v>-1.825608912356562</c:v>
                </c:pt>
                <c:pt idx="33">
                  <c:v>-1.5195479840666233</c:v>
                </c:pt>
                <c:pt idx="34">
                  <c:v>-1.197554062395338</c:v>
                </c:pt>
                <c:pt idx="35">
                  <c:v>-1.7838844598807679</c:v>
                </c:pt>
                <c:pt idx="36">
                  <c:v>-1.4464079449170801</c:v>
                </c:pt>
                <c:pt idx="37">
                  <c:v>-1.241769268911521</c:v>
                </c:pt>
                <c:pt idx="38">
                  <c:v>-1.4013650153596726</c:v>
                </c:pt>
                <c:pt idx="39">
                  <c:v>-1.5741815745588223</c:v>
                </c:pt>
                <c:pt idx="40">
                  <c:v>-1.7715073589614809</c:v>
                </c:pt>
              </c:numCache>
            </c:numRef>
          </c:val>
        </c:ser>
        <c:ser>
          <c:idx val="5"/>
          <c:order val="4"/>
          <c:tx>
            <c:strRef>
              <c:f>Deletions!$BI$42</c:f>
              <c:strCache>
                <c:ptCount val="1"/>
                <c:pt idx="0">
                  <c:v>Standard Deviation</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Deletions!$BJ$42:$CX$42</c:f>
            </c:numRef>
          </c:val>
        </c:ser>
        <c:ser>
          <c:idx val="6"/>
          <c:order val="5"/>
          <c:tx>
            <c:strRef>
              <c:f>Deletions!$BI$43</c:f>
              <c:strCache>
                <c:ptCount val="1"/>
                <c:pt idx="0">
                  <c:v>Square</c:v>
                </c:pt>
              </c:strCache>
            </c:strRef>
          </c:tx>
          <c:cat>
            <c:strRef>
              <c:f>Deletions!$BJ$1:$CX$1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Deletions!$BJ$43:$CX$43</c:f>
            </c:numRef>
          </c:val>
        </c:ser>
        <c:dLbls/>
        <c:marker val="1"/>
        <c:axId val="119453952"/>
        <c:axId val="119463936"/>
      </c:lineChart>
      <c:catAx>
        <c:axId val="119453952"/>
        <c:scaling>
          <c:orientation val="minMax"/>
        </c:scaling>
        <c:axPos val="b"/>
        <c:majorTickMark val="none"/>
        <c:tickLblPos val="nextTo"/>
        <c:crossAx val="119463936"/>
        <c:crosses val="autoZero"/>
        <c:auto val="1"/>
        <c:lblAlgn val="ctr"/>
        <c:lblOffset val="100"/>
      </c:catAx>
      <c:valAx>
        <c:axId val="119463936"/>
        <c:scaling>
          <c:orientation val="minMax"/>
        </c:scaling>
        <c:axPos val="l"/>
        <c:majorGridlines/>
        <c:title>
          <c:tx>
            <c:rich>
              <a:bodyPr/>
              <a:lstStyle/>
              <a:p>
                <a:pPr>
                  <a:defRPr/>
                </a:pPr>
                <a:r>
                  <a:rPr lang="en-US"/>
                  <a:t>In Percentage %</a:t>
                </a:r>
              </a:p>
            </c:rich>
          </c:tx>
          <c:layout>
            <c:manualLayout>
              <c:xMode val="edge"/>
              <c:yMode val="edge"/>
              <c:x val="2.5000000000000005E-2"/>
              <c:y val="0.47049759405074404"/>
            </c:manualLayout>
          </c:layout>
        </c:title>
        <c:numFmt formatCode="0" sourceLinked="0"/>
        <c:majorTickMark val="none"/>
        <c:tickLblPos val="nextTo"/>
        <c:crossAx val="119453952"/>
        <c:crosses val="autoZero"/>
        <c:crossBetween val="between"/>
      </c:valAx>
    </c:plotArea>
    <c:legend>
      <c:legendPos val="r"/>
    </c:legend>
    <c:plotVisOnly val="1"/>
    <c:dispBlanksAs val="gap"/>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a:pPr>
            <a:r>
              <a:rPr lang="en-US"/>
              <a:t>China</a:t>
            </a:r>
          </a:p>
        </c:rich>
      </c:tx>
    </c:title>
    <c:plotArea>
      <c:layout/>
      <c:lineChart>
        <c:grouping val="standard"/>
        <c:ser>
          <c:idx val="0"/>
          <c:order val="0"/>
          <c:tx>
            <c:strRef>
              <c:f>Deletions!$BH$45</c:f>
              <c:strCache>
                <c:ptCount val="1"/>
                <c:pt idx="0">
                  <c:v>CAR MSCI CHINA</c:v>
                </c:pt>
              </c:strCache>
            </c:strRef>
          </c:tx>
          <c:spPr>
            <a:ln>
              <a:solidFill>
                <a:schemeClr val="accent1">
                  <a:lumMod val="50000"/>
                </a:schemeClr>
              </a:solidFill>
            </a:ln>
          </c:spPr>
          <c:marker>
            <c:symbol val="none"/>
          </c:marker>
          <c:dPt>
            <c:idx val="28"/>
          </c:dPt>
          <c:cat>
            <c:strRef>
              <c:f>Deletions!$BI$1:$CW$1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Deletions!$BI$45:$CW$45</c:f>
              <c:numCache>
                <c:formatCode>0.00</c:formatCode>
                <c:ptCount val="41"/>
                <c:pt idx="0">
                  <c:v>0.69001510956348611</c:v>
                </c:pt>
                <c:pt idx="1">
                  <c:v>1.127029516196143</c:v>
                </c:pt>
                <c:pt idx="2">
                  <c:v>3.7793517048337031</c:v>
                </c:pt>
                <c:pt idx="3">
                  <c:v>4.5983250679150256</c:v>
                </c:pt>
                <c:pt idx="4">
                  <c:v>5.5423099998131509</c:v>
                </c:pt>
                <c:pt idx="5">
                  <c:v>6.6161179884200596</c:v>
                </c:pt>
                <c:pt idx="6">
                  <c:v>5.5928795771957631</c:v>
                </c:pt>
                <c:pt idx="7">
                  <c:v>5.445523423330922</c:v>
                </c:pt>
                <c:pt idx="8">
                  <c:v>5.445523423330922</c:v>
                </c:pt>
                <c:pt idx="9">
                  <c:v>6.553812540287379</c:v>
                </c:pt>
                <c:pt idx="10">
                  <c:v>6.258865080885526</c:v>
                </c:pt>
                <c:pt idx="11">
                  <c:v>6.1246294923251048</c:v>
                </c:pt>
                <c:pt idx="12">
                  <c:v>4.625341926285965</c:v>
                </c:pt>
                <c:pt idx="13">
                  <c:v>4.9130522817154869</c:v>
                </c:pt>
                <c:pt idx="14">
                  <c:v>4.9474996089079806</c:v>
                </c:pt>
                <c:pt idx="15">
                  <c:v>5.5655333182363256</c:v>
                </c:pt>
                <c:pt idx="16">
                  <c:v>4.4559086814880899</c:v>
                </c:pt>
                <c:pt idx="17">
                  <c:v>3.4512973046945268</c:v>
                </c:pt>
                <c:pt idx="18">
                  <c:v>1.3236954092721598</c:v>
                </c:pt>
                <c:pt idx="19">
                  <c:v>-6.1118180344432256</c:v>
                </c:pt>
                <c:pt idx="20">
                  <c:v>-1.191884246701951</c:v>
                </c:pt>
                <c:pt idx="21">
                  <c:v>1.1321520761932824</c:v>
                </c:pt>
                <c:pt idx="22">
                  <c:v>2.8362485073391532</c:v>
                </c:pt>
                <c:pt idx="23">
                  <c:v>4.3045718296525743</c:v>
                </c:pt>
                <c:pt idx="24">
                  <c:v>3.6945944139178448</c:v>
                </c:pt>
                <c:pt idx="25">
                  <c:v>4.6790336065914753</c:v>
                </c:pt>
                <c:pt idx="26">
                  <c:v>3.8741516271673926</c:v>
                </c:pt>
                <c:pt idx="27">
                  <c:v>5.0710828351927306</c:v>
                </c:pt>
                <c:pt idx="28">
                  <c:v>5.2269223521576356</c:v>
                </c:pt>
                <c:pt idx="29">
                  <c:v>6.109114819941535</c:v>
                </c:pt>
                <c:pt idx="30">
                  <c:v>5.8181348316188437</c:v>
                </c:pt>
                <c:pt idx="31">
                  <c:v>7.5091241470801844</c:v>
                </c:pt>
                <c:pt idx="32">
                  <c:v>7.0646695193571576</c:v>
                </c:pt>
                <c:pt idx="33">
                  <c:v>7.1840333505488756</c:v>
                </c:pt>
                <c:pt idx="34">
                  <c:v>7.2070806063272279</c:v>
                </c:pt>
                <c:pt idx="35">
                  <c:v>6.3741861889498006</c:v>
                </c:pt>
                <c:pt idx="36">
                  <c:v>8.2918221964737633</c:v>
                </c:pt>
                <c:pt idx="37">
                  <c:v>8.7444371597407802</c:v>
                </c:pt>
                <c:pt idx="38">
                  <c:v>8.1397434550545107</c:v>
                </c:pt>
                <c:pt idx="39">
                  <c:v>7.3944907152349382</c:v>
                </c:pt>
                <c:pt idx="40">
                  <c:v>7.6536037335085503</c:v>
                </c:pt>
              </c:numCache>
            </c:numRef>
          </c:val>
        </c:ser>
        <c:ser>
          <c:idx val="1"/>
          <c:order val="1"/>
          <c:tx>
            <c:strRef>
              <c:f>Deletions!$BH$46</c:f>
              <c:strCache>
                <c:ptCount val="1"/>
                <c:pt idx="0">
                  <c:v>Standard Deviation</c:v>
                </c:pt>
              </c:strCache>
            </c:strRef>
          </c:tx>
          <c:cat>
            <c:strRef>
              <c:f>Deletions!$BI$1:$CW$1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Deletions!$BI$46:$CW$46</c:f>
            </c:numRef>
          </c:val>
        </c:ser>
        <c:ser>
          <c:idx val="2"/>
          <c:order val="2"/>
          <c:tx>
            <c:strRef>
              <c:f>Deletions!$BH$47</c:f>
              <c:strCache>
                <c:ptCount val="1"/>
                <c:pt idx="0">
                  <c:v>Square</c:v>
                </c:pt>
              </c:strCache>
            </c:strRef>
          </c:tx>
          <c:cat>
            <c:strRef>
              <c:f>Deletions!$BI$1:$CW$1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Deletions!$BI$47:$CW$47</c:f>
            </c:numRef>
          </c:val>
        </c:ser>
        <c:ser>
          <c:idx val="4"/>
          <c:order val="3"/>
          <c:tx>
            <c:strRef>
              <c:f>Deletions!$BH$49</c:f>
              <c:strCache>
                <c:ptCount val="1"/>
                <c:pt idx="0">
                  <c:v>CAR MSCI EM</c:v>
                </c:pt>
              </c:strCache>
            </c:strRef>
          </c:tx>
          <c:spPr>
            <a:ln>
              <a:solidFill>
                <a:schemeClr val="accent3">
                  <a:lumMod val="75000"/>
                </a:schemeClr>
              </a:solidFill>
            </a:ln>
          </c:spPr>
          <c:marker>
            <c:symbol val="none"/>
          </c:marker>
          <c:cat>
            <c:strRef>
              <c:f>Deletions!$BI$1:$CW$1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Deletions!$BI$49:$CW$49</c:f>
              <c:numCache>
                <c:formatCode>0.00</c:formatCode>
                <c:ptCount val="41"/>
                <c:pt idx="0">
                  <c:v>-0.33003409396083311</c:v>
                </c:pt>
                <c:pt idx="1">
                  <c:v>-0.65112250754901113</c:v>
                </c:pt>
                <c:pt idx="2">
                  <c:v>-0.11476342490989501</c:v>
                </c:pt>
                <c:pt idx="3">
                  <c:v>0.16837932224640001</c:v>
                </c:pt>
                <c:pt idx="4">
                  <c:v>0.58160397349896598</c:v>
                </c:pt>
                <c:pt idx="5">
                  <c:v>0.98126966756741096</c:v>
                </c:pt>
                <c:pt idx="6">
                  <c:v>0.98762202988882797</c:v>
                </c:pt>
                <c:pt idx="7">
                  <c:v>0.70463827460508222</c:v>
                </c:pt>
                <c:pt idx="8">
                  <c:v>0.70463827460508222</c:v>
                </c:pt>
                <c:pt idx="9">
                  <c:v>-0.55853675490759092</c:v>
                </c:pt>
                <c:pt idx="10">
                  <c:v>-0.65932083249738427</c:v>
                </c:pt>
                <c:pt idx="11">
                  <c:v>-0.77396645062208214</c:v>
                </c:pt>
                <c:pt idx="12">
                  <c:v>-0.91122003285107811</c:v>
                </c:pt>
                <c:pt idx="13">
                  <c:v>-1.274409990309233</c:v>
                </c:pt>
                <c:pt idx="14">
                  <c:v>-1.046299865645169</c:v>
                </c:pt>
                <c:pt idx="15">
                  <c:v>-1.5773684718204339</c:v>
                </c:pt>
                <c:pt idx="16">
                  <c:v>-1.8656448975219488</c:v>
                </c:pt>
                <c:pt idx="17">
                  <c:v>-2.7486984607613452</c:v>
                </c:pt>
                <c:pt idx="18">
                  <c:v>-4.1108957576709235</c:v>
                </c:pt>
                <c:pt idx="19">
                  <c:v>-7.7505853335854553</c:v>
                </c:pt>
                <c:pt idx="20">
                  <c:v>-6.1546077473358993</c:v>
                </c:pt>
                <c:pt idx="21">
                  <c:v>-4.9793109369658657</c:v>
                </c:pt>
                <c:pt idx="22">
                  <c:v>-4.1904541266172473</c:v>
                </c:pt>
                <c:pt idx="23">
                  <c:v>-3.6896737649860833</c:v>
                </c:pt>
                <c:pt idx="24">
                  <c:v>-3.3659855035975181</c:v>
                </c:pt>
                <c:pt idx="25">
                  <c:v>-2.629903513991128</c:v>
                </c:pt>
                <c:pt idx="26">
                  <c:v>-2.074960487717743</c:v>
                </c:pt>
                <c:pt idx="27">
                  <c:v>-1.810920370076595</c:v>
                </c:pt>
                <c:pt idx="28">
                  <c:v>-1.7629411171761098</c:v>
                </c:pt>
                <c:pt idx="29">
                  <c:v>-1.7490958060824109</c:v>
                </c:pt>
                <c:pt idx="30">
                  <c:v>-2.2144380996779209</c:v>
                </c:pt>
                <c:pt idx="31">
                  <c:v>-2.0624477928418408</c:v>
                </c:pt>
                <c:pt idx="32">
                  <c:v>-1.825608912356562</c:v>
                </c:pt>
                <c:pt idx="33">
                  <c:v>-1.5195479840666233</c:v>
                </c:pt>
                <c:pt idx="34">
                  <c:v>-1.197554062395338</c:v>
                </c:pt>
                <c:pt idx="35">
                  <c:v>-1.7838844598807679</c:v>
                </c:pt>
                <c:pt idx="36">
                  <c:v>-1.4464079449170801</c:v>
                </c:pt>
                <c:pt idx="37">
                  <c:v>-1.241769268911521</c:v>
                </c:pt>
                <c:pt idx="38">
                  <c:v>-1.4013650153596726</c:v>
                </c:pt>
                <c:pt idx="39">
                  <c:v>-1.5741815745588223</c:v>
                </c:pt>
                <c:pt idx="40">
                  <c:v>-1.7715073589614809</c:v>
                </c:pt>
              </c:numCache>
            </c:numRef>
          </c:val>
        </c:ser>
        <c:ser>
          <c:idx val="5"/>
          <c:order val="4"/>
          <c:tx>
            <c:strRef>
              <c:f>Deletions!$BH$50</c:f>
              <c:strCache>
                <c:ptCount val="1"/>
                <c:pt idx="0">
                  <c:v>Standard Deviation</c:v>
                </c:pt>
              </c:strCache>
            </c:strRef>
          </c:tx>
          <c:cat>
            <c:strRef>
              <c:f>Deletions!$BI$1:$CW$1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Deletions!$BI$50:$CW$50</c:f>
            </c:numRef>
          </c:val>
        </c:ser>
        <c:ser>
          <c:idx val="6"/>
          <c:order val="5"/>
          <c:tx>
            <c:strRef>
              <c:f>Deletions!$BH$51</c:f>
              <c:strCache>
                <c:ptCount val="1"/>
                <c:pt idx="0">
                  <c:v>Square</c:v>
                </c:pt>
              </c:strCache>
            </c:strRef>
          </c:tx>
          <c:cat>
            <c:strRef>
              <c:f>Deletions!$BI$1:$CW$1</c:f>
              <c:strCache>
                <c:ptCount val="41"/>
                <c:pt idx="0">
                  <c:v>t-20</c:v>
                </c:pt>
                <c:pt idx="1">
                  <c:v>t-19</c:v>
                </c:pt>
                <c:pt idx="2">
                  <c:v>t-18</c:v>
                </c:pt>
                <c:pt idx="3">
                  <c:v>t-17</c:v>
                </c:pt>
                <c:pt idx="4">
                  <c:v>t-16</c:v>
                </c:pt>
                <c:pt idx="5">
                  <c:v>t-15</c:v>
                </c:pt>
                <c:pt idx="6">
                  <c:v>t-14</c:v>
                </c:pt>
                <c:pt idx="7">
                  <c:v>t-13</c:v>
                </c:pt>
                <c:pt idx="8">
                  <c:v>t-12</c:v>
                </c:pt>
                <c:pt idx="9">
                  <c:v>t-11</c:v>
                </c:pt>
                <c:pt idx="10">
                  <c:v>t-10</c:v>
                </c:pt>
                <c:pt idx="11">
                  <c:v>t-9</c:v>
                </c:pt>
                <c:pt idx="12">
                  <c:v>t-8</c:v>
                </c:pt>
                <c:pt idx="13">
                  <c:v>t-7</c:v>
                </c:pt>
                <c:pt idx="14">
                  <c:v>t-6</c:v>
                </c:pt>
                <c:pt idx="15">
                  <c:v>t-5</c:v>
                </c:pt>
                <c:pt idx="16">
                  <c:v>t-4</c:v>
                </c:pt>
                <c:pt idx="17">
                  <c:v>t-3</c:v>
                </c:pt>
                <c:pt idx="18">
                  <c:v>t-2</c:v>
                </c:pt>
                <c:pt idx="19">
                  <c:v>t-1</c:v>
                </c:pt>
                <c:pt idx="20">
                  <c:v>t=0</c:v>
                </c:pt>
                <c:pt idx="21">
                  <c:v>t+1</c:v>
                </c:pt>
                <c:pt idx="22">
                  <c:v>t+2</c:v>
                </c:pt>
                <c:pt idx="23">
                  <c:v>t+3</c:v>
                </c:pt>
                <c:pt idx="24">
                  <c:v>t+4</c:v>
                </c:pt>
                <c:pt idx="25">
                  <c:v>t+5</c:v>
                </c:pt>
                <c:pt idx="26">
                  <c:v>t+6</c:v>
                </c:pt>
                <c:pt idx="27">
                  <c:v>t+7</c:v>
                </c:pt>
                <c:pt idx="28">
                  <c:v>t+8</c:v>
                </c:pt>
                <c:pt idx="29">
                  <c:v>t+9</c:v>
                </c:pt>
                <c:pt idx="30">
                  <c:v>t+10</c:v>
                </c:pt>
                <c:pt idx="31">
                  <c:v>t+11</c:v>
                </c:pt>
                <c:pt idx="32">
                  <c:v>t+12</c:v>
                </c:pt>
                <c:pt idx="33">
                  <c:v>t+13</c:v>
                </c:pt>
                <c:pt idx="34">
                  <c:v>t+14</c:v>
                </c:pt>
                <c:pt idx="35">
                  <c:v>t+15</c:v>
                </c:pt>
                <c:pt idx="36">
                  <c:v>t+16</c:v>
                </c:pt>
                <c:pt idx="37">
                  <c:v>t+17</c:v>
                </c:pt>
                <c:pt idx="38">
                  <c:v>t+18</c:v>
                </c:pt>
                <c:pt idx="39">
                  <c:v>t+19</c:v>
                </c:pt>
                <c:pt idx="40">
                  <c:v>t+20</c:v>
                </c:pt>
              </c:strCache>
            </c:strRef>
          </c:cat>
          <c:val>
            <c:numRef>
              <c:f>Deletions!$BI$51:$CW$51</c:f>
            </c:numRef>
          </c:val>
        </c:ser>
        <c:dLbls/>
        <c:marker val="1"/>
        <c:axId val="119413760"/>
        <c:axId val="130880256"/>
      </c:lineChart>
      <c:catAx>
        <c:axId val="119413760"/>
        <c:scaling>
          <c:orientation val="minMax"/>
        </c:scaling>
        <c:axPos val="b"/>
        <c:majorTickMark val="none"/>
        <c:tickLblPos val="nextTo"/>
        <c:crossAx val="130880256"/>
        <c:crosses val="autoZero"/>
        <c:auto val="1"/>
        <c:lblAlgn val="ctr"/>
        <c:lblOffset val="100"/>
      </c:catAx>
      <c:valAx>
        <c:axId val="130880256"/>
        <c:scaling>
          <c:orientation val="minMax"/>
        </c:scaling>
        <c:axPos val="l"/>
        <c:majorGridlines/>
        <c:title>
          <c:tx>
            <c:rich>
              <a:bodyPr/>
              <a:lstStyle/>
              <a:p>
                <a:pPr>
                  <a:defRPr/>
                </a:pPr>
                <a:r>
                  <a:rPr lang="en-US"/>
                  <a:t>In Percentage %</a:t>
                </a:r>
              </a:p>
            </c:rich>
          </c:tx>
        </c:title>
        <c:numFmt formatCode="0" sourceLinked="0"/>
        <c:majorTickMark val="none"/>
        <c:tickLblPos val="nextTo"/>
        <c:crossAx val="119413760"/>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99F316-7782-4D96-8FC6-EF83103B3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21508</Words>
  <Characters>122602</Characters>
  <Application>Microsoft Office Word</Application>
  <DocSecurity>0</DocSecurity>
  <Lines>1021</Lines>
  <Paragraphs>287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143823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Merilin Simons</dc:creator>
  <cp:lastModifiedBy>S van Bogaert</cp:lastModifiedBy>
  <cp:revision>2</cp:revision>
  <cp:lastPrinted>2012-11-13T20:01:00Z</cp:lastPrinted>
  <dcterms:created xsi:type="dcterms:W3CDTF">2012-11-14T13:02:00Z</dcterms:created>
  <dcterms:modified xsi:type="dcterms:W3CDTF">2012-11-14T13:02:00Z</dcterms:modified>
</cp:coreProperties>
</file>