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29" w:rsidRPr="000D4234" w:rsidRDefault="00B62429" w:rsidP="0099404B">
      <w:pPr>
        <w:spacing w:line="360" w:lineRule="auto"/>
        <w:rPr>
          <w:rFonts w:ascii="Times New Roman" w:hAnsi="Times New Roman" w:cs="Times New Roman"/>
          <w:b/>
          <w:sz w:val="24"/>
          <w:lang w:val="en-US"/>
        </w:rPr>
      </w:pPr>
      <w:r w:rsidRPr="000D4234">
        <w:rPr>
          <w:rFonts w:ascii="Times New Roman" w:hAnsi="Times New Roman" w:cs="Times New Roman"/>
          <w:b/>
          <w:sz w:val="24"/>
          <w:lang w:val="en-US"/>
        </w:rPr>
        <w:t>ERASMUS UNIVERSITY ROTTERDAM</w:t>
      </w:r>
    </w:p>
    <w:p w:rsidR="00B62429" w:rsidRPr="000D4234" w:rsidRDefault="00B62429" w:rsidP="0099404B">
      <w:pPr>
        <w:spacing w:line="360" w:lineRule="auto"/>
        <w:rPr>
          <w:rFonts w:ascii="Times New Roman" w:hAnsi="Times New Roman" w:cs="Times New Roman"/>
          <w:b/>
          <w:sz w:val="24"/>
          <w:lang w:val="en-US"/>
        </w:rPr>
      </w:pPr>
      <w:r w:rsidRPr="000D4234">
        <w:rPr>
          <w:rFonts w:ascii="Times New Roman" w:hAnsi="Times New Roman" w:cs="Times New Roman"/>
          <w:b/>
          <w:sz w:val="24"/>
          <w:lang w:val="en-US"/>
        </w:rPr>
        <w:t>ERASMUS SCHOOL OF ECONOMICS</w:t>
      </w:r>
    </w:p>
    <w:p w:rsidR="00B62429" w:rsidRPr="000D4234" w:rsidRDefault="00B62429" w:rsidP="0099404B">
      <w:pPr>
        <w:spacing w:line="360" w:lineRule="auto"/>
        <w:rPr>
          <w:rFonts w:ascii="Times New Roman" w:hAnsi="Times New Roman" w:cs="Times New Roman"/>
          <w:b/>
          <w:sz w:val="24"/>
          <w:lang w:val="en-US"/>
        </w:rPr>
      </w:pPr>
      <w:r w:rsidRPr="000D4234">
        <w:rPr>
          <w:rFonts w:ascii="Times New Roman" w:hAnsi="Times New Roman" w:cs="Times New Roman"/>
          <w:b/>
          <w:sz w:val="24"/>
          <w:lang w:val="en-US"/>
        </w:rPr>
        <w:t>MSc Economics &amp; Business</w:t>
      </w:r>
    </w:p>
    <w:p w:rsidR="00B62429" w:rsidRPr="000D4234" w:rsidRDefault="00C71052" w:rsidP="0099404B">
      <w:pPr>
        <w:spacing w:line="360" w:lineRule="auto"/>
        <w:rPr>
          <w:rFonts w:ascii="Times New Roman" w:hAnsi="Times New Roman" w:cs="Times New Roman"/>
          <w:b/>
          <w:sz w:val="24"/>
          <w:lang w:val="en-US"/>
        </w:rPr>
      </w:pPr>
      <w:r>
        <w:rPr>
          <w:rFonts w:ascii="Times New Roman" w:hAnsi="Times New Roman" w:cs="Times New Roman"/>
          <w:b/>
          <w:sz w:val="24"/>
          <w:lang w:val="en-US"/>
        </w:rPr>
        <w:t>Master Specializ</w:t>
      </w:r>
      <w:r w:rsidR="00B62429" w:rsidRPr="000D4234">
        <w:rPr>
          <w:rFonts w:ascii="Times New Roman" w:hAnsi="Times New Roman" w:cs="Times New Roman"/>
          <w:b/>
          <w:sz w:val="24"/>
          <w:lang w:val="en-US"/>
        </w:rPr>
        <w:t>ation Financial Economics</w:t>
      </w: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99404B" w:rsidRDefault="00B62429" w:rsidP="00B62429">
      <w:pPr>
        <w:rPr>
          <w:rFonts w:ascii="Times New Roman" w:hAnsi="Times New Roman" w:cs="Times New Roman"/>
          <w:b/>
          <w:i/>
          <w:sz w:val="32"/>
          <w:szCs w:val="32"/>
          <w:u w:val="double"/>
          <w:lang w:val="en-US"/>
        </w:rPr>
      </w:pPr>
      <w:r w:rsidRPr="0099404B">
        <w:rPr>
          <w:rFonts w:ascii="Times New Roman" w:hAnsi="Times New Roman" w:cs="Times New Roman"/>
          <w:b/>
          <w:bCs/>
          <w:i/>
          <w:sz w:val="32"/>
          <w:szCs w:val="32"/>
          <w:u w:val="double"/>
          <w:lang w:val="en-US"/>
        </w:rPr>
        <w:t>“Gauging Investor Sentiment: What Works and What Does Not”</w:t>
      </w: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2A1ADA" w:rsidRDefault="00B62429" w:rsidP="00B62429">
      <w:pPr>
        <w:rPr>
          <w:rFonts w:ascii="Times New Roman" w:hAnsi="Times New Roman" w:cs="Times New Roman"/>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b/>
          <w:sz w:val="24"/>
          <w:lang w:val="en-US"/>
        </w:rPr>
      </w:pPr>
    </w:p>
    <w:p w:rsidR="00B62429" w:rsidRPr="000D4234" w:rsidRDefault="00B62429" w:rsidP="00B62429">
      <w:pPr>
        <w:rPr>
          <w:rFonts w:ascii="Times New Roman" w:hAnsi="Times New Roman" w:cs="Times New Roman"/>
          <w:sz w:val="24"/>
          <w:lang w:val="en-US"/>
        </w:rPr>
      </w:pPr>
      <w:r w:rsidRPr="000D4234">
        <w:rPr>
          <w:rFonts w:ascii="Times New Roman" w:hAnsi="Times New Roman" w:cs="Times New Roman"/>
          <w:b/>
          <w:sz w:val="24"/>
          <w:lang w:val="en-US"/>
        </w:rPr>
        <w:t>Author:</w:t>
      </w:r>
      <w:r w:rsidR="00A55FE3">
        <w:rPr>
          <w:rFonts w:ascii="Times New Roman" w:hAnsi="Times New Roman" w:cs="Times New Roman"/>
          <w:sz w:val="24"/>
          <w:lang w:val="en-US"/>
        </w:rPr>
        <w:t xml:space="preserve"> </w:t>
      </w:r>
      <w:r w:rsidR="00A55FE3">
        <w:rPr>
          <w:rFonts w:ascii="Times New Roman" w:hAnsi="Times New Roman" w:cs="Times New Roman"/>
          <w:sz w:val="24"/>
          <w:lang w:val="en-US"/>
        </w:rPr>
        <w:tab/>
      </w:r>
      <w:r w:rsidR="00A55FE3">
        <w:rPr>
          <w:rFonts w:ascii="Times New Roman" w:hAnsi="Times New Roman" w:cs="Times New Roman"/>
          <w:sz w:val="24"/>
          <w:lang w:val="en-US"/>
        </w:rPr>
        <w:tab/>
        <w:t>Konstantinos Koutsikos</w:t>
      </w:r>
    </w:p>
    <w:p w:rsidR="00B62429" w:rsidRPr="000D4234" w:rsidRDefault="00B62429" w:rsidP="00B62429">
      <w:pPr>
        <w:rPr>
          <w:rFonts w:ascii="Times New Roman" w:hAnsi="Times New Roman" w:cs="Times New Roman"/>
          <w:sz w:val="24"/>
          <w:lang w:val="en-US"/>
        </w:rPr>
      </w:pPr>
      <w:r w:rsidRPr="000D4234">
        <w:rPr>
          <w:rFonts w:ascii="Times New Roman" w:hAnsi="Times New Roman" w:cs="Times New Roman"/>
          <w:b/>
          <w:sz w:val="24"/>
          <w:lang w:val="en-US"/>
        </w:rPr>
        <w:t>Student number:</w:t>
      </w:r>
      <w:r w:rsidRPr="000D4234">
        <w:rPr>
          <w:rFonts w:ascii="Times New Roman" w:hAnsi="Times New Roman" w:cs="Times New Roman"/>
          <w:b/>
          <w:sz w:val="24"/>
          <w:lang w:val="en-US"/>
        </w:rPr>
        <w:tab/>
      </w:r>
      <w:r w:rsidRPr="000D4234">
        <w:rPr>
          <w:rFonts w:ascii="Times New Roman" w:hAnsi="Times New Roman" w:cs="Times New Roman"/>
          <w:sz w:val="24"/>
          <w:lang w:val="en-US"/>
        </w:rPr>
        <w:t>357216</w:t>
      </w:r>
    </w:p>
    <w:p w:rsidR="00B62429" w:rsidRPr="000D4234" w:rsidRDefault="00B62429" w:rsidP="00B62429">
      <w:pPr>
        <w:rPr>
          <w:rFonts w:ascii="Times New Roman" w:hAnsi="Times New Roman" w:cs="Times New Roman"/>
          <w:sz w:val="24"/>
          <w:lang w:val="en-US"/>
        </w:rPr>
      </w:pPr>
      <w:r w:rsidRPr="000D4234">
        <w:rPr>
          <w:rFonts w:ascii="Times New Roman" w:hAnsi="Times New Roman" w:cs="Times New Roman"/>
          <w:b/>
          <w:sz w:val="24"/>
          <w:lang w:val="en-US"/>
        </w:rPr>
        <w:t>Thesis supervisor:</w:t>
      </w:r>
      <w:r w:rsidR="00A55FE3">
        <w:rPr>
          <w:rFonts w:ascii="Times New Roman" w:hAnsi="Times New Roman" w:cs="Times New Roman"/>
          <w:sz w:val="24"/>
          <w:lang w:val="en-US"/>
        </w:rPr>
        <w:t xml:space="preserve"> </w:t>
      </w:r>
      <w:r w:rsidR="00A55FE3">
        <w:rPr>
          <w:rFonts w:ascii="Times New Roman" w:hAnsi="Times New Roman" w:cs="Times New Roman"/>
          <w:sz w:val="24"/>
          <w:lang w:val="en-US"/>
        </w:rPr>
        <w:tab/>
      </w:r>
      <w:r w:rsidR="00C71052">
        <w:rPr>
          <w:rFonts w:ascii="Times New Roman" w:hAnsi="Times New Roman" w:cs="Times New Roman"/>
          <w:sz w:val="24"/>
          <w:lang w:val="en-US"/>
        </w:rPr>
        <w:t xml:space="preserve">PhD Candidate </w:t>
      </w:r>
      <w:r w:rsidR="000D4234">
        <w:rPr>
          <w:rFonts w:ascii="Times New Roman" w:hAnsi="Times New Roman" w:cs="Times New Roman"/>
          <w:sz w:val="24"/>
          <w:lang w:val="en-US"/>
        </w:rPr>
        <w:t>J. Brazys</w:t>
      </w:r>
    </w:p>
    <w:p w:rsidR="00B62429" w:rsidRPr="000D4234" w:rsidRDefault="00B62429" w:rsidP="00B62429">
      <w:pPr>
        <w:rPr>
          <w:rFonts w:ascii="Times New Roman" w:hAnsi="Times New Roman" w:cs="Times New Roman"/>
          <w:sz w:val="24"/>
          <w:lang w:val="en-US"/>
        </w:rPr>
      </w:pPr>
      <w:r w:rsidRPr="000D4234">
        <w:rPr>
          <w:rFonts w:ascii="Times New Roman" w:hAnsi="Times New Roman" w:cs="Times New Roman"/>
          <w:b/>
          <w:sz w:val="24"/>
          <w:lang w:val="en-US"/>
        </w:rPr>
        <w:t>Finish date:</w:t>
      </w:r>
      <w:r w:rsidR="00C71052">
        <w:rPr>
          <w:rFonts w:ascii="Times New Roman" w:hAnsi="Times New Roman" w:cs="Times New Roman"/>
          <w:sz w:val="24"/>
          <w:lang w:val="en-US"/>
        </w:rPr>
        <w:t xml:space="preserve">  </w:t>
      </w:r>
      <w:r w:rsidR="00C71052">
        <w:rPr>
          <w:rFonts w:ascii="Times New Roman" w:hAnsi="Times New Roman" w:cs="Times New Roman"/>
          <w:sz w:val="24"/>
          <w:lang w:val="en-US"/>
        </w:rPr>
        <w:tab/>
      </w:r>
      <w:r w:rsidR="00C71052">
        <w:rPr>
          <w:rFonts w:ascii="Times New Roman" w:hAnsi="Times New Roman" w:cs="Times New Roman"/>
          <w:sz w:val="24"/>
          <w:lang w:val="en-US"/>
        </w:rPr>
        <w:tab/>
        <w:t>November, 2012</w:t>
      </w:r>
    </w:p>
    <w:p w:rsidR="008C3068" w:rsidRPr="000D4234" w:rsidRDefault="008C3068" w:rsidP="00B62429">
      <w:pPr>
        <w:jc w:val="center"/>
        <w:rPr>
          <w:rFonts w:ascii="Times New Roman" w:hAnsi="Times New Roman" w:cs="Times New Roman"/>
          <w:b/>
          <w:sz w:val="28"/>
          <w:szCs w:val="28"/>
          <w:u w:val="single"/>
          <w:lang w:val="en-US"/>
        </w:rPr>
      </w:pPr>
      <w:bookmarkStart w:id="0" w:name="_Toc200538599"/>
    </w:p>
    <w:p w:rsidR="008C3068" w:rsidRPr="000D4234" w:rsidRDefault="008C3068" w:rsidP="00B62429">
      <w:pPr>
        <w:jc w:val="center"/>
        <w:rPr>
          <w:rFonts w:ascii="Times New Roman" w:hAnsi="Times New Roman" w:cs="Times New Roman"/>
          <w:b/>
          <w:sz w:val="28"/>
          <w:szCs w:val="28"/>
          <w:u w:val="single"/>
          <w:lang w:val="en-US"/>
        </w:rPr>
      </w:pPr>
    </w:p>
    <w:p w:rsidR="000D4234" w:rsidRDefault="000D4234" w:rsidP="00B62429">
      <w:pPr>
        <w:jc w:val="center"/>
        <w:rPr>
          <w:rFonts w:ascii="Times New Roman" w:hAnsi="Times New Roman" w:cs="Times New Roman"/>
          <w:b/>
          <w:sz w:val="28"/>
          <w:szCs w:val="28"/>
          <w:u w:val="single"/>
          <w:lang w:val="en-US"/>
        </w:rPr>
      </w:pPr>
    </w:p>
    <w:p w:rsidR="00F156CD" w:rsidRDefault="00F156CD" w:rsidP="00B62429">
      <w:pPr>
        <w:jc w:val="center"/>
        <w:rPr>
          <w:rFonts w:ascii="Times New Roman" w:hAnsi="Times New Roman" w:cs="Times New Roman"/>
          <w:b/>
          <w:sz w:val="28"/>
          <w:szCs w:val="28"/>
          <w:lang w:val="en-US"/>
        </w:rPr>
      </w:pPr>
    </w:p>
    <w:p w:rsidR="003B2B43" w:rsidRPr="00705E96" w:rsidRDefault="00B62429" w:rsidP="00B62429">
      <w:pPr>
        <w:jc w:val="center"/>
        <w:rPr>
          <w:rFonts w:ascii="Times New Roman" w:hAnsi="Times New Roman" w:cs="Times New Roman"/>
          <w:b/>
          <w:sz w:val="28"/>
          <w:szCs w:val="28"/>
          <w:lang w:val="en-US"/>
        </w:rPr>
      </w:pPr>
      <w:r w:rsidRPr="00705E96">
        <w:rPr>
          <w:rFonts w:ascii="Times New Roman" w:hAnsi="Times New Roman" w:cs="Times New Roman"/>
          <w:b/>
          <w:sz w:val="28"/>
          <w:szCs w:val="28"/>
          <w:lang w:val="en-US"/>
        </w:rPr>
        <w:t>PREFACE AND ACKNOWLEDGEMENTS</w:t>
      </w:r>
      <w:bookmarkEnd w:id="0"/>
    </w:p>
    <w:p w:rsidR="004A168C" w:rsidRPr="000D4234" w:rsidRDefault="004A168C" w:rsidP="00B62429">
      <w:pPr>
        <w:jc w:val="center"/>
        <w:rPr>
          <w:rFonts w:ascii="Times New Roman" w:hAnsi="Times New Roman" w:cs="Times New Roman"/>
          <w:b/>
          <w:sz w:val="28"/>
          <w:szCs w:val="28"/>
          <w:u w:val="single"/>
          <w:lang w:val="en-US"/>
        </w:rPr>
      </w:pPr>
    </w:p>
    <w:p w:rsidR="00B62429" w:rsidRPr="004A168C" w:rsidRDefault="00A55FE3" w:rsidP="004A168C">
      <w:pPr>
        <w:spacing w:line="360" w:lineRule="auto"/>
        <w:jc w:val="both"/>
        <w:rPr>
          <w:rFonts w:ascii="Times New Roman" w:hAnsi="Times New Roman" w:cs="Times New Roman"/>
          <w:sz w:val="24"/>
          <w:szCs w:val="24"/>
          <w:lang w:val="en-US"/>
        </w:rPr>
      </w:pPr>
      <w:r w:rsidRPr="004A168C">
        <w:rPr>
          <w:rFonts w:ascii="Times New Roman" w:hAnsi="Times New Roman" w:cs="Times New Roman"/>
          <w:sz w:val="24"/>
          <w:szCs w:val="24"/>
          <w:lang w:val="en-US"/>
        </w:rPr>
        <w:t xml:space="preserve">This research would not be possible to have been finished without the help and the support of several people. First of all, I would like to sincerely thank my supervisor, </w:t>
      </w:r>
      <w:proofErr w:type="spellStart"/>
      <w:r w:rsidRPr="004A168C">
        <w:rPr>
          <w:rFonts w:ascii="Times New Roman" w:hAnsi="Times New Roman" w:cs="Times New Roman"/>
          <w:sz w:val="24"/>
          <w:szCs w:val="24"/>
          <w:lang w:val="en-US"/>
        </w:rPr>
        <w:t>Justinas</w:t>
      </w:r>
      <w:proofErr w:type="spellEnd"/>
      <w:r w:rsidRPr="004A168C">
        <w:rPr>
          <w:rFonts w:ascii="Times New Roman" w:hAnsi="Times New Roman" w:cs="Times New Roman"/>
          <w:sz w:val="24"/>
          <w:szCs w:val="24"/>
          <w:lang w:val="en-US"/>
        </w:rPr>
        <w:t xml:space="preserve"> Brazys. He provided me with</w:t>
      </w:r>
      <w:r w:rsidR="00366C42">
        <w:rPr>
          <w:rFonts w:ascii="Times New Roman" w:hAnsi="Times New Roman" w:cs="Times New Roman"/>
          <w:sz w:val="24"/>
          <w:szCs w:val="24"/>
          <w:lang w:val="en-US"/>
        </w:rPr>
        <w:t xml:space="preserve"> valuable</w:t>
      </w:r>
      <w:r w:rsidRPr="004A168C">
        <w:rPr>
          <w:rFonts w:ascii="Times New Roman" w:hAnsi="Times New Roman" w:cs="Times New Roman"/>
          <w:sz w:val="24"/>
          <w:szCs w:val="24"/>
          <w:lang w:val="en-US"/>
        </w:rPr>
        <w:t xml:space="preserve"> comments and advices to improve my dissertation but more importantly made me enthusiastic about the subject. Furthermore, I am indebted to my family who provided me with</w:t>
      </w:r>
      <w:r w:rsidR="002A1ADA">
        <w:rPr>
          <w:rFonts w:ascii="Times New Roman" w:hAnsi="Times New Roman" w:cs="Times New Roman"/>
          <w:sz w:val="24"/>
          <w:szCs w:val="24"/>
          <w:lang w:val="en-US"/>
        </w:rPr>
        <w:t xml:space="preserve"> all</w:t>
      </w:r>
      <w:r w:rsidRPr="004A168C">
        <w:rPr>
          <w:rFonts w:ascii="Times New Roman" w:hAnsi="Times New Roman" w:cs="Times New Roman"/>
          <w:sz w:val="24"/>
          <w:szCs w:val="24"/>
          <w:lang w:val="en-US"/>
        </w:rPr>
        <w:t xml:space="preserve"> the necessary means to attend this master </w:t>
      </w:r>
      <w:proofErr w:type="spellStart"/>
      <w:r w:rsidRPr="004A168C">
        <w:rPr>
          <w:rFonts w:ascii="Times New Roman" w:hAnsi="Times New Roman" w:cs="Times New Roman"/>
          <w:sz w:val="24"/>
          <w:szCs w:val="24"/>
          <w:lang w:val="en-US"/>
        </w:rPr>
        <w:t>pro</w:t>
      </w:r>
      <w:r w:rsidR="004A168C" w:rsidRPr="004A168C">
        <w:rPr>
          <w:rFonts w:ascii="Times New Roman" w:hAnsi="Times New Roman" w:cs="Times New Roman"/>
          <w:sz w:val="24"/>
          <w:szCs w:val="24"/>
          <w:lang w:val="en-US"/>
        </w:rPr>
        <w:t>gramme</w:t>
      </w:r>
      <w:proofErr w:type="spellEnd"/>
      <w:r w:rsidR="004A168C" w:rsidRPr="004A168C">
        <w:rPr>
          <w:rFonts w:ascii="Times New Roman" w:hAnsi="Times New Roman" w:cs="Times New Roman"/>
          <w:sz w:val="24"/>
          <w:szCs w:val="24"/>
          <w:lang w:val="en-US"/>
        </w:rPr>
        <w:t xml:space="preserve"> and who always supported me.</w:t>
      </w:r>
      <w:r w:rsidR="002502B3">
        <w:rPr>
          <w:rFonts w:ascii="Times New Roman" w:hAnsi="Times New Roman" w:cs="Times New Roman"/>
          <w:sz w:val="24"/>
          <w:szCs w:val="24"/>
          <w:lang w:val="en-US"/>
        </w:rPr>
        <w:t xml:space="preserve"> Last but not least, I would like to thank</w:t>
      </w:r>
      <w:r w:rsidR="002A1ADA">
        <w:rPr>
          <w:rFonts w:ascii="Times New Roman" w:hAnsi="Times New Roman" w:cs="Times New Roman"/>
          <w:sz w:val="24"/>
          <w:szCs w:val="24"/>
          <w:lang w:val="en-US"/>
        </w:rPr>
        <w:t xml:space="preserve"> deeply</w:t>
      </w:r>
      <w:r w:rsidR="002502B3">
        <w:rPr>
          <w:rFonts w:ascii="Times New Roman" w:hAnsi="Times New Roman" w:cs="Times New Roman"/>
          <w:sz w:val="24"/>
          <w:szCs w:val="24"/>
          <w:lang w:val="en-US"/>
        </w:rPr>
        <w:t xml:space="preserve"> Mr. L. Stracca who kindly provided me the data for </w:t>
      </w:r>
      <w:r w:rsidR="002502B3" w:rsidRPr="002502B3">
        <w:rPr>
          <w:rFonts w:ascii="Times New Roman" w:hAnsi="Times New Roman" w:cs="Times New Roman"/>
          <w:sz w:val="24"/>
          <w:szCs w:val="24"/>
          <w:lang w:val="en-US"/>
        </w:rPr>
        <w:t>Merrill Lynch’s Risk Aversion Indicator (ML_RAI)</w:t>
      </w:r>
      <w:r w:rsidR="002502B3">
        <w:rPr>
          <w:rFonts w:ascii="Times New Roman" w:hAnsi="Times New Roman" w:cs="Times New Roman"/>
          <w:sz w:val="24"/>
          <w:szCs w:val="24"/>
          <w:lang w:val="en-US"/>
        </w:rPr>
        <w:t>.</w:t>
      </w:r>
    </w:p>
    <w:p w:rsidR="004A168C" w:rsidRDefault="004A168C" w:rsidP="00E02C78">
      <w:pPr>
        <w:spacing w:line="360" w:lineRule="auto"/>
        <w:jc w:val="both"/>
        <w:rPr>
          <w:rFonts w:ascii="Times New Roman" w:hAnsi="Times New Roman" w:cs="Times New Roman"/>
          <w:sz w:val="24"/>
          <w:szCs w:val="24"/>
          <w:lang w:val="en-US"/>
        </w:rPr>
      </w:pPr>
    </w:p>
    <w:p w:rsidR="00F156CD" w:rsidRDefault="00F156CD" w:rsidP="00E02C78">
      <w:pPr>
        <w:spacing w:line="360" w:lineRule="auto"/>
        <w:jc w:val="both"/>
        <w:rPr>
          <w:rFonts w:ascii="Times New Roman" w:hAnsi="Times New Roman" w:cs="Times New Roman"/>
          <w:sz w:val="24"/>
          <w:szCs w:val="24"/>
          <w:lang w:val="en-US"/>
        </w:rPr>
      </w:pPr>
    </w:p>
    <w:p w:rsidR="00E02C78" w:rsidRPr="004A168C" w:rsidRDefault="00A55FE3" w:rsidP="00E02C78">
      <w:pPr>
        <w:spacing w:line="360" w:lineRule="auto"/>
        <w:jc w:val="both"/>
        <w:rPr>
          <w:rFonts w:ascii="Times New Roman" w:hAnsi="Times New Roman" w:cs="Times New Roman"/>
          <w:sz w:val="24"/>
          <w:szCs w:val="24"/>
          <w:lang w:val="en-US"/>
        </w:rPr>
      </w:pPr>
      <w:r w:rsidRPr="004A168C">
        <w:rPr>
          <w:rFonts w:ascii="Times New Roman" w:hAnsi="Times New Roman" w:cs="Times New Roman"/>
          <w:sz w:val="24"/>
          <w:szCs w:val="24"/>
          <w:lang w:val="en-US"/>
        </w:rPr>
        <w:t>Konstantinos Koutsikos</w:t>
      </w: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E02C78" w:rsidRDefault="00E02C78" w:rsidP="00E02C78">
      <w:pPr>
        <w:rPr>
          <w:rFonts w:ascii="Times New Roman" w:hAnsi="Times New Roman" w:cs="Times New Roman"/>
          <w:lang w:val="en-US"/>
        </w:rPr>
      </w:pPr>
      <w:bookmarkStart w:id="1" w:name="_Toc200538600"/>
    </w:p>
    <w:p w:rsidR="004A168C" w:rsidRDefault="004A168C" w:rsidP="00E02C78">
      <w:pPr>
        <w:rPr>
          <w:rFonts w:ascii="Times New Roman" w:hAnsi="Times New Roman" w:cs="Times New Roman"/>
          <w:lang w:val="en-US"/>
        </w:rPr>
      </w:pPr>
    </w:p>
    <w:p w:rsidR="004A168C" w:rsidRDefault="004A168C" w:rsidP="00E02C78">
      <w:pPr>
        <w:rPr>
          <w:rFonts w:ascii="Times New Roman" w:hAnsi="Times New Roman" w:cs="Times New Roman"/>
          <w:lang w:val="en-US"/>
        </w:rPr>
      </w:pPr>
    </w:p>
    <w:p w:rsidR="004A168C" w:rsidRDefault="004A168C" w:rsidP="00E02C78">
      <w:pPr>
        <w:rPr>
          <w:rFonts w:ascii="Times New Roman" w:hAnsi="Times New Roman" w:cs="Times New Roman"/>
          <w:lang w:val="en-US"/>
        </w:rPr>
      </w:pPr>
    </w:p>
    <w:p w:rsidR="001D139D" w:rsidRDefault="001D139D" w:rsidP="00E02C78">
      <w:pPr>
        <w:jc w:val="center"/>
        <w:rPr>
          <w:rStyle w:val="Heading1Char"/>
          <w:rFonts w:ascii="Times New Roman" w:eastAsiaTheme="minorHAnsi" w:hAnsi="Times New Roman" w:cs="Times New Roman"/>
          <w:szCs w:val="28"/>
        </w:rPr>
      </w:pPr>
    </w:p>
    <w:p w:rsidR="001D139D" w:rsidRDefault="001D139D" w:rsidP="00E02C78">
      <w:pPr>
        <w:jc w:val="center"/>
        <w:rPr>
          <w:rStyle w:val="Heading1Char"/>
          <w:rFonts w:ascii="Times New Roman" w:eastAsiaTheme="minorHAnsi" w:hAnsi="Times New Roman" w:cs="Times New Roman"/>
          <w:szCs w:val="28"/>
        </w:rPr>
      </w:pPr>
    </w:p>
    <w:p w:rsidR="00F57E5D" w:rsidRDefault="00F57E5D" w:rsidP="00E02C78">
      <w:pPr>
        <w:jc w:val="center"/>
        <w:rPr>
          <w:rStyle w:val="Heading1Char"/>
          <w:rFonts w:ascii="Times New Roman" w:eastAsiaTheme="minorHAnsi" w:hAnsi="Times New Roman" w:cs="Times New Roman"/>
          <w:szCs w:val="28"/>
        </w:rPr>
      </w:pPr>
    </w:p>
    <w:p w:rsidR="00B62429" w:rsidRPr="00705E96" w:rsidRDefault="00B62429" w:rsidP="00E02C78">
      <w:pPr>
        <w:jc w:val="center"/>
        <w:rPr>
          <w:rStyle w:val="Heading1Char"/>
          <w:rFonts w:ascii="Times New Roman" w:eastAsiaTheme="minorHAnsi" w:hAnsi="Times New Roman" w:cs="Times New Roman"/>
          <w:szCs w:val="28"/>
        </w:rPr>
      </w:pPr>
      <w:r w:rsidRPr="00705E96">
        <w:rPr>
          <w:rStyle w:val="Heading1Char"/>
          <w:rFonts w:ascii="Times New Roman" w:eastAsiaTheme="minorHAnsi" w:hAnsi="Times New Roman" w:cs="Times New Roman"/>
          <w:szCs w:val="28"/>
        </w:rPr>
        <w:t>ABSTRACT</w:t>
      </w:r>
      <w:bookmarkEnd w:id="1"/>
    </w:p>
    <w:p w:rsidR="002D51CD" w:rsidRPr="002D51CD" w:rsidRDefault="002D51CD" w:rsidP="002D51CD">
      <w:pPr>
        <w:spacing w:line="360" w:lineRule="auto"/>
        <w:jc w:val="both"/>
        <w:rPr>
          <w:shd w:val="clear" w:color="auto" w:fill="FFFFFF"/>
          <w:lang w:val="en-US"/>
        </w:rPr>
      </w:pPr>
    </w:p>
    <w:p w:rsidR="008A0EBA" w:rsidRPr="009A092A" w:rsidRDefault="008A0EBA" w:rsidP="008A0EBA">
      <w:pPr>
        <w:spacing w:line="360" w:lineRule="auto"/>
        <w:jc w:val="both"/>
        <w:rPr>
          <w:rFonts w:ascii="Times New Roman" w:hAnsi="Times New Roman" w:cs="Times New Roman"/>
          <w:sz w:val="20"/>
          <w:szCs w:val="20"/>
          <w:lang w:val="en-US"/>
        </w:rPr>
      </w:pPr>
      <w:r w:rsidRPr="009A092A">
        <w:rPr>
          <w:rFonts w:ascii="Times New Roman" w:hAnsi="Times New Roman" w:cs="Times New Roman"/>
          <w:sz w:val="20"/>
          <w:szCs w:val="20"/>
          <w:shd w:val="clear" w:color="auto" w:fill="FFFFFF"/>
          <w:lang w:val="en-US"/>
        </w:rPr>
        <w:t xml:space="preserve">The current paper attempts to suggest </w:t>
      </w:r>
      <w:r w:rsidRPr="009A092A">
        <w:rPr>
          <w:rFonts w:ascii="Times New Roman" w:hAnsi="Times New Roman" w:cs="Times New Roman"/>
          <w:sz w:val="20"/>
          <w:szCs w:val="20"/>
          <w:lang w:val="en-US"/>
        </w:rPr>
        <w:t xml:space="preserve">the fundamental characteristics that an index should share in order for it to be considered “good”. We state that these are the impact of the index, its persistency, whether its inputs and its outputs along with the rationale behind them are clear and finally, how well it presents its assumptions. Moreover, we aim to identify which of the already existing indices perform better and for which asset classes. Our results indicate that the leading Baker and Wurgler (BW) and the leading VIX Index (VIX) are the best indices regarding commodities. Furthermore, for currencies the leading Put-Call ratio (PCR) is the most suitable while for government bonds the most appropriate index is the leading University of Michigan Consumer Confidence Sentiment (CC). For U.S stocks, the best indices are the Global Risk Appetite Monitor by Nomura (NGRAM) and the Westpac Risk Appetite (WP) while for German the leading University of Michigan Consumer Confidence Sentiment (CC) and the leading VIX Index (VIX) outperform. Finally, after controlling for the Fama-French factors we obtain consistent findings to those by Baker and Wurgler (2006, 2012). We observe a decrease in the coefficients of sentiment nonetheless the significance remains unaffected.   </w:t>
      </w:r>
    </w:p>
    <w:p w:rsidR="00E02C78" w:rsidRPr="000D4234" w:rsidRDefault="00E02C78" w:rsidP="00E02C78">
      <w:pPr>
        <w:rPr>
          <w:rFonts w:ascii="Times New Roman" w:hAnsi="Times New Roman" w:cs="Times New Roman"/>
          <w:color w:val="FF0000"/>
          <w:lang w:val="en-US"/>
        </w:rPr>
      </w:pPr>
    </w:p>
    <w:p w:rsidR="00E02C78" w:rsidRPr="000D4234" w:rsidRDefault="00E02C78" w:rsidP="00E02C78">
      <w:pPr>
        <w:rPr>
          <w:rFonts w:ascii="Times New Roman" w:hAnsi="Times New Roman" w:cs="Times New Roman"/>
          <w:color w:val="FF0000"/>
          <w:lang w:val="en-US"/>
        </w:rPr>
      </w:pPr>
    </w:p>
    <w:p w:rsidR="00E02C78" w:rsidRPr="000D4234" w:rsidRDefault="00E02C78" w:rsidP="00E02C78">
      <w:pPr>
        <w:rPr>
          <w:rFonts w:ascii="Times New Roman" w:hAnsi="Times New Roman" w:cs="Times New Roman"/>
          <w:color w:val="FF0000"/>
          <w:lang w:val="en-US"/>
        </w:rPr>
      </w:pPr>
    </w:p>
    <w:p w:rsidR="00E02C78" w:rsidRPr="000D4234" w:rsidRDefault="00E02C78" w:rsidP="00E02C78">
      <w:pPr>
        <w:pStyle w:val="Heading1"/>
        <w:numPr>
          <w:ilvl w:val="0"/>
          <w:numId w:val="0"/>
        </w:numPr>
        <w:rPr>
          <w:rFonts w:ascii="Times New Roman" w:hAnsi="Times New Roman" w:cs="Times New Roman"/>
          <w:color w:val="FF0000"/>
        </w:rPr>
      </w:pPr>
    </w:p>
    <w:p w:rsidR="00E02C78" w:rsidRPr="00C71052" w:rsidRDefault="00E02C78" w:rsidP="00E02C78">
      <w:pPr>
        <w:rPr>
          <w:rFonts w:ascii="Times New Roman" w:hAnsi="Times New Roman" w:cs="Times New Roman"/>
          <w:sz w:val="24"/>
          <w:szCs w:val="24"/>
          <w:lang w:val="en-US"/>
        </w:rPr>
      </w:pPr>
    </w:p>
    <w:p w:rsidR="00E02C78" w:rsidRPr="00C71052" w:rsidRDefault="00E02C78" w:rsidP="00E02C78">
      <w:pPr>
        <w:rPr>
          <w:rFonts w:ascii="Times New Roman" w:hAnsi="Times New Roman" w:cs="Times New Roman"/>
          <w:b/>
          <w:sz w:val="24"/>
          <w:szCs w:val="24"/>
          <w:lang w:val="en-US"/>
        </w:rPr>
      </w:pPr>
      <w:r w:rsidRPr="00C71052">
        <w:rPr>
          <w:rFonts w:ascii="Times New Roman" w:hAnsi="Times New Roman" w:cs="Times New Roman"/>
          <w:b/>
          <w:sz w:val="24"/>
          <w:szCs w:val="24"/>
          <w:lang w:val="en-US"/>
        </w:rPr>
        <w:t xml:space="preserve">Keywords: </w:t>
      </w:r>
      <w:r w:rsidR="00F156CD" w:rsidRPr="00C71052">
        <w:rPr>
          <w:rFonts w:ascii="Times New Roman" w:hAnsi="Times New Roman" w:cs="Times New Roman"/>
          <w:sz w:val="24"/>
          <w:szCs w:val="24"/>
          <w:lang w:val="en-US"/>
        </w:rPr>
        <w:t>investor sentiment, risk appetite, risk aversion</w:t>
      </w:r>
      <w:r w:rsidR="00F57E5D">
        <w:rPr>
          <w:rFonts w:ascii="Times New Roman" w:hAnsi="Times New Roman" w:cs="Times New Roman"/>
          <w:sz w:val="24"/>
          <w:szCs w:val="24"/>
          <w:lang w:val="en-US"/>
        </w:rPr>
        <w:t>, index.</w:t>
      </w:r>
    </w:p>
    <w:p w:rsidR="00E02C78" w:rsidRPr="000D4234" w:rsidRDefault="00E02C78" w:rsidP="00E02C78">
      <w:pPr>
        <w:pStyle w:val="Heading1"/>
        <w:numPr>
          <w:ilvl w:val="0"/>
          <w:numId w:val="0"/>
        </w:numPr>
        <w:rPr>
          <w:rFonts w:ascii="Times New Roman" w:hAnsi="Times New Roman" w:cs="Times New Roman"/>
        </w:rPr>
      </w:pPr>
    </w:p>
    <w:p w:rsidR="00B62429" w:rsidRPr="000D4234" w:rsidRDefault="00B62429">
      <w:pPr>
        <w:rPr>
          <w:rFonts w:ascii="Times New Roman" w:hAnsi="Times New Roman" w:cs="Times New Roman"/>
          <w:lang w:val="en-GB"/>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B62429" w:rsidRPr="000D4234" w:rsidRDefault="00B62429">
      <w:pPr>
        <w:rPr>
          <w:rFonts w:ascii="Times New Roman" w:hAnsi="Times New Roman" w:cs="Times New Roman"/>
          <w:lang w:val="en-US"/>
        </w:rPr>
      </w:pPr>
    </w:p>
    <w:p w:rsidR="00C757A5" w:rsidRPr="001D139D" w:rsidRDefault="00C757A5" w:rsidP="00C757A5">
      <w:pPr>
        <w:pStyle w:val="Heading1"/>
        <w:numPr>
          <w:ilvl w:val="0"/>
          <w:numId w:val="0"/>
        </w:numPr>
        <w:spacing w:line="360" w:lineRule="auto"/>
        <w:jc w:val="center"/>
        <w:rPr>
          <w:rFonts w:ascii="Times New Roman" w:hAnsi="Times New Roman" w:cs="Times New Roman"/>
          <w:sz w:val="24"/>
          <w:szCs w:val="24"/>
        </w:rPr>
      </w:pPr>
      <w:bookmarkStart w:id="2" w:name="_Toc200538602"/>
      <w:r w:rsidRPr="001D139D">
        <w:rPr>
          <w:rFonts w:ascii="Times New Roman" w:hAnsi="Times New Roman" w:cs="Times New Roman"/>
          <w:sz w:val="24"/>
          <w:szCs w:val="24"/>
        </w:rPr>
        <w:lastRenderedPageBreak/>
        <w:t>TABLE OF CONTENTS</w:t>
      </w:r>
    </w:p>
    <w:p w:rsidR="00C757A5" w:rsidRPr="00C757A5" w:rsidRDefault="00C757A5" w:rsidP="00C7320E">
      <w:pPr>
        <w:spacing w:line="240" w:lineRule="auto"/>
        <w:jc w:val="both"/>
        <w:rPr>
          <w:rFonts w:ascii="Times New Roman" w:hAnsi="Times New Roman" w:cs="Times New Roman"/>
          <w:sz w:val="24"/>
          <w:szCs w:val="24"/>
          <w:lang w:val="en-US"/>
        </w:rPr>
      </w:pPr>
    </w:p>
    <w:p w:rsidR="00C757A5" w:rsidRPr="005C6CBE" w:rsidRDefault="00F17C1C" w:rsidP="00B54C5D">
      <w:pPr>
        <w:pStyle w:val="TOC1"/>
      </w:pPr>
      <w:r w:rsidRPr="00F17C1C">
        <w:fldChar w:fldCharType="begin"/>
      </w:r>
      <w:r w:rsidR="00C757A5" w:rsidRPr="005C6CBE">
        <w:instrText xml:space="preserve"> TOC \o "1-3" \h \z \u </w:instrText>
      </w:r>
      <w:r w:rsidRPr="00F17C1C">
        <w:fldChar w:fldCharType="separate"/>
      </w:r>
      <w:hyperlink w:anchor="_Toc200538599" w:history="1">
        <w:r w:rsidR="00C757A5" w:rsidRPr="005C6CBE">
          <w:rPr>
            <w:rStyle w:val="Hyperlink"/>
            <w:b/>
            <w:color w:val="auto"/>
          </w:rPr>
          <w:t>P</w:t>
        </w:r>
        <w:r w:rsidR="001D139D">
          <w:rPr>
            <w:rStyle w:val="Hyperlink"/>
            <w:b/>
            <w:color w:val="auto"/>
          </w:rPr>
          <w:t>REFACE AND ACKNOWLEDGENTS</w:t>
        </w:r>
        <w:r w:rsidR="00F156CD" w:rsidRPr="005C6CBE">
          <w:rPr>
            <w:rStyle w:val="Hyperlink"/>
            <w:b/>
            <w:color w:val="auto"/>
          </w:rPr>
          <w:t>…………</w:t>
        </w:r>
        <w:r w:rsidR="001D139D">
          <w:rPr>
            <w:rStyle w:val="Hyperlink"/>
            <w:b/>
            <w:color w:val="auto"/>
          </w:rPr>
          <w:t>…………….</w:t>
        </w:r>
        <w:r w:rsidR="00F156CD" w:rsidRPr="005C6CBE">
          <w:rPr>
            <w:rStyle w:val="Hyperlink"/>
            <w:b/>
            <w:color w:val="auto"/>
          </w:rPr>
          <w:t>……………………</w:t>
        </w:r>
        <w:r w:rsidR="0072391A">
          <w:rPr>
            <w:rStyle w:val="Hyperlink"/>
            <w:b/>
            <w:color w:val="auto"/>
          </w:rPr>
          <w:t>.</w:t>
        </w:r>
        <w:r w:rsidR="00F156CD" w:rsidRPr="005C6CBE">
          <w:rPr>
            <w:rStyle w:val="Hyperlink"/>
            <w:b/>
            <w:color w:val="auto"/>
          </w:rPr>
          <w:t>…</w:t>
        </w:r>
        <w:r w:rsidR="00F16A1A">
          <w:rPr>
            <w:rStyle w:val="Hyperlink"/>
            <w:b/>
            <w:color w:val="auto"/>
          </w:rPr>
          <w:t>…</w:t>
        </w:r>
        <w:r w:rsidR="0072391A">
          <w:rPr>
            <w:webHidden/>
          </w:rPr>
          <w:t>2</w:t>
        </w:r>
      </w:hyperlink>
    </w:p>
    <w:p w:rsidR="00C757A5" w:rsidRPr="005C6CBE" w:rsidRDefault="00F17C1C" w:rsidP="00B54C5D">
      <w:pPr>
        <w:pStyle w:val="TOC1"/>
      </w:pPr>
      <w:hyperlink w:anchor="_Toc200538600" w:history="1">
        <w:r w:rsidR="00C757A5" w:rsidRPr="005C6CBE">
          <w:rPr>
            <w:rStyle w:val="Hyperlink"/>
            <w:b/>
            <w:color w:val="auto"/>
          </w:rPr>
          <w:t>A</w:t>
        </w:r>
        <w:r w:rsidR="001D139D">
          <w:rPr>
            <w:rStyle w:val="Hyperlink"/>
            <w:b/>
            <w:color w:val="auto"/>
          </w:rPr>
          <w:t>BSTRACT</w:t>
        </w:r>
        <w:r w:rsidR="00F156CD" w:rsidRPr="005C6CBE">
          <w:rPr>
            <w:rStyle w:val="Hyperlink"/>
            <w:b/>
            <w:color w:val="auto"/>
          </w:rPr>
          <w:t>…………………………………………………………………………</w:t>
        </w:r>
        <w:r w:rsidR="001D139D">
          <w:rPr>
            <w:rStyle w:val="Hyperlink"/>
            <w:b/>
            <w:color w:val="auto"/>
          </w:rPr>
          <w:t>….</w:t>
        </w:r>
        <w:r w:rsidR="00F156CD" w:rsidRPr="005C6CBE">
          <w:rPr>
            <w:rStyle w:val="Hyperlink"/>
            <w:b/>
            <w:color w:val="auto"/>
          </w:rPr>
          <w:t>…</w:t>
        </w:r>
        <w:r w:rsidR="001D139D">
          <w:rPr>
            <w:rStyle w:val="Hyperlink"/>
            <w:b/>
            <w:color w:val="auto"/>
          </w:rPr>
          <w:t>.</w:t>
        </w:r>
        <w:r w:rsidR="00F156CD" w:rsidRPr="005C6CBE">
          <w:rPr>
            <w:rStyle w:val="Hyperlink"/>
            <w:b/>
            <w:color w:val="auto"/>
          </w:rPr>
          <w:t>…</w:t>
        </w:r>
        <w:r w:rsidR="0072391A">
          <w:rPr>
            <w:webHidden/>
          </w:rPr>
          <w:t>3</w:t>
        </w:r>
      </w:hyperlink>
    </w:p>
    <w:p w:rsidR="00C757A5" w:rsidRPr="005C6CBE" w:rsidRDefault="00F17C1C" w:rsidP="00B54C5D">
      <w:pPr>
        <w:pStyle w:val="TOC1"/>
      </w:pPr>
      <w:hyperlink w:anchor="_Toc200538601" w:history="1">
        <w:r w:rsidR="00C757A5" w:rsidRPr="005C6CBE">
          <w:rPr>
            <w:rStyle w:val="Hyperlink"/>
            <w:b/>
            <w:color w:val="auto"/>
          </w:rPr>
          <w:t>T</w:t>
        </w:r>
        <w:r w:rsidR="001D139D">
          <w:rPr>
            <w:rStyle w:val="Hyperlink"/>
            <w:b/>
            <w:color w:val="auto"/>
          </w:rPr>
          <w:t>ABLE OF CONTENTS.</w:t>
        </w:r>
        <w:r w:rsidR="00F156CD" w:rsidRPr="005C6CBE">
          <w:rPr>
            <w:rStyle w:val="Hyperlink"/>
            <w:b/>
            <w:color w:val="auto"/>
          </w:rPr>
          <w:t>………………………………………………</w:t>
        </w:r>
        <w:r w:rsidR="001D139D">
          <w:rPr>
            <w:rStyle w:val="Hyperlink"/>
            <w:b/>
            <w:color w:val="auto"/>
          </w:rPr>
          <w:t>………</w:t>
        </w:r>
        <w:r w:rsidR="00895B12">
          <w:rPr>
            <w:rStyle w:val="Hyperlink"/>
            <w:b/>
            <w:color w:val="auto"/>
          </w:rPr>
          <w:t>……...</w:t>
        </w:r>
        <w:r w:rsidR="00F156CD" w:rsidRPr="005C6CBE">
          <w:rPr>
            <w:rStyle w:val="Hyperlink"/>
            <w:b/>
            <w:color w:val="auto"/>
          </w:rPr>
          <w:t>…</w:t>
        </w:r>
        <w:r w:rsidR="00895B12">
          <w:rPr>
            <w:rStyle w:val="Hyperlink"/>
            <w:b/>
            <w:color w:val="auto"/>
          </w:rPr>
          <w:t>.</w:t>
        </w:r>
        <w:r w:rsidR="00F16A1A">
          <w:rPr>
            <w:rStyle w:val="Hyperlink"/>
            <w:b/>
            <w:color w:val="auto"/>
          </w:rPr>
          <w:t>.</w:t>
        </w:r>
        <w:r w:rsidR="00F156CD" w:rsidRPr="005C6CBE">
          <w:rPr>
            <w:rStyle w:val="Hyperlink"/>
            <w:b/>
            <w:color w:val="auto"/>
          </w:rPr>
          <w:t>...</w:t>
        </w:r>
        <w:r w:rsidR="0072391A">
          <w:rPr>
            <w:webHidden/>
          </w:rPr>
          <w:t>4</w:t>
        </w:r>
      </w:hyperlink>
    </w:p>
    <w:p w:rsidR="00C757A5" w:rsidRPr="005C6CBE" w:rsidRDefault="00F17C1C" w:rsidP="00B54C5D">
      <w:pPr>
        <w:pStyle w:val="TOC1"/>
      </w:pPr>
      <w:hyperlink w:anchor="_Toc200538602" w:history="1">
        <w:r w:rsidR="00F156CD" w:rsidRPr="005C6CBE">
          <w:rPr>
            <w:rStyle w:val="Hyperlink"/>
            <w:b/>
            <w:color w:val="auto"/>
          </w:rPr>
          <w:t>L</w:t>
        </w:r>
        <w:r w:rsidR="001D139D">
          <w:rPr>
            <w:rStyle w:val="Hyperlink"/>
            <w:b/>
            <w:color w:val="auto"/>
          </w:rPr>
          <w:t>IST OF TABLES</w:t>
        </w:r>
        <w:r w:rsidR="00F156CD" w:rsidRPr="005C6CBE">
          <w:rPr>
            <w:rStyle w:val="Hyperlink"/>
            <w:b/>
            <w:color w:val="auto"/>
          </w:rPr>
          <w:t>…………………………………………………………………</w:t>
        </w:r>
        <w:r w:rsidR="001D139D">
          <w:rPr>
            <w:rStyle w:val="Hyperlink"/>
            <w:b/>
            <w:color w:val="auto"/>
          </w:rPr>
          <w:t>….</w:t>
        </w:r>
        <w:r w:rsidR="00F156CD" w:rsidRPr="005C6CBE">
          <w:rPr>
            <w:rStyle w:val="Hyperlink"/>
            <w:b/>
            <w:color w:val="auto"/>
          </w:rPr>
          <w:t>…</w:t>
        </w:r>
        <w:r w:rsidR="0072391A">
          <w:rPr>
            <w:rStyle w:val="Hyperlink"/>
            <w:b/>
            <w:color w:val="auto"/>
          </w:rPr>
          <w:t>.</w:t>
        </w:r>
        <w:r w:rsidR="00F156CD" w:rsidRPr="005C6CBE">
          <w:rPr>
            <w:rStyle w:val="Hyperlink"/>
            <w:b/>
            <w:color w:val="auto"/>
          </w:rPr>
          <w:t>….</w:t>
        </w:r>
        <w:r w:rsidR="0072391A">
          <w:rPr>
            <w:webHidden/>
          </w:rPr>
          <w:t>6</w:t>
        </w:r>
      </w:hyperlink>
    </w:p>
    <w:p w:rsidR="00C757A5" w:rsidRPr="005C6CBE" w:rsidRDefault="00F17C1C" w:rsidP="00B54C5D">
      <w:pPr>
        <w:pStyle w:val="TOC1"/>
        <w:rPr>
          <w:rStyle w:val="Hyperlink"/>
          <w:color w:val="FF0000"/>
        </w:rPr>
      </w:pPr>
      <w:hyperlink w:anchor="_Toc200538603" w:history="1">
        <w:r w:rsidR="00C757A5" w:rsidRPr="005C6CBE">
          <w:rPr>
            <w:rStyle w:val="Hyperlink"/>
            <w:b/>
            <w:color w:val="auto"/>
          </w:rPr>
          <w:t>L</w:t>
        </w:r>
        <w:r w:rsidR="001D139D">
          <w:rPr>
            <w:rStyle w:val="Hyperlink"/>
            <w:b/>
            <w:color w:val="auto"/>
          </w:rPr>
          <w:t>IST OF FIGURES</w:t>
        </w:r>
        <w:r w:rsidR="00F156CD" w:rsidRPr="005C6CBE">
          <w:rPr>
            <w:webHidden/>
          </w:rPr>
          <w:t>………………………………………………………………</w:t>
        </w:r>
        <w:r w:rsidR="001D139D">
          <w:rPr>
            <w:webHidden/>
          </w:rPr>
          <w:t>……</w:t>
        </w:r>
        <w:r w:rsidR="0072391A">
          <w:rPr>
            <w:webHidden/>
          </w:rPr>
          <w:t>….</w:t>
        </w:r>
        <w:r w:rsidR="00F16A1A">
          <w:rPr>
            <w:webHidden/>
          </w:rPr>
          <w:t>.</w:t>
        </w:r>
        <w:r w:rsidR="00F156CD" w:rsidRPr="005C6CBE">
          <w:rPr>
            <w:webHidden/>
          </w:rPr>
          <w:t>…</w:t>
        </w:r>
        <w:r w:rsidR="0072391A">
          <w:rPr>
            <w:webHidden/>
          </w:rPr>
          <w:t>6</w:t>
        </w:r>
      </w:hyperlink>
    </w:p>
    <w:p w:rsidR="00C757A5" w:rsidRPr="005C6CBE" w:rsidRDefault="00C757A5" w:rsidP="00C7320E">
      <w:pPr>
        <w:tabs>
          <w:tab w:val="right" w:leader="dot" w:pos="9356"/>
        </w:tabs>
        <w:spacing w:line="240" w:lineRule="auto"/>
        <w:rPr>
          <w:rFonts w:ascii="Times New Roman" w:hAnsi="Times New Roman" w:cs="Times New Roman"/>
          <w:b/>
          <w:sz w:val="24"/>
          <w:szCs w:val="24"/>
          <w:lang w:val="en-GB"/>
        </w:rPr>
      </w:pPr>
    </w:p>
    <w:p w:rsidR="00C757A5" w:rsidRDefault="00F17C1C" w:rsidP="00B54C5D">
      <w:pPr>
        <w:pStyle w:val="TOC1"/>
      </w:pPr>
      <w:hyperlink w:anchor="_Toc200538604" w:history="1">
        <w:r w:rsidR="00C757A5" w:rsidRPr="005C6CBE">
          <w:rPr>
            <w:rStyle w:val="Hyperlink"/>
            <w:b/>
            <w:color w:val="auto"/>
          </w:rPr>
          <w:t>CHAPTER 1 Introduction</w:t>
        </w:r>
        <w:r w:rsidR="00F156CD" w:rsidRPr="005C6CBE">
          <w:rPr>
            <w:rStyle w:val="Hyperlink"/>
            <w:b/>
            <w:color w:val="auto"/>
          </w:rPr>
          <w:t>…………………………………………………………………..</w:t>
        </w:r>
        <w:r w:rsidR="00DC5CC8" w:rsidRPr="00B54C5D">
          <w:rPr>
            <w:webHidden/>
          </w:rPr>
          <w:t>7</w:t>
        </w:r>
      </w:hyperlink>
    </w:p>
    <w:p w:rsidR="00F46699" w:rsidRPr="00F46699" w:rsidRDefault="00F46699" w:rsidP="00C7320E">
      <w:pPr>
        <w:spacing w:line="240" w:lineRule="auto"/>
        <w:rPr>
          <w:lang w:val="en-US"/>
        </w:rPr>
      </w:pPr>
    </w:p>
    <w:p w:rsidR="00F156CD" w:rsidRDefault="00F17C1C" w:rsidP="00B54C5D">
      <w:pPr>
        <w:pStyle w:val="TOC1"/>
      </w:pPr>
      <w:hyperlink w:anchor="_Toc200538607" w:history="1">
        <w:r w:rsidR="00C757A5" w:rsidRPr="005C6CBE">
          <w:rPr>
            <w:rStyle w:val="Hyperlink"/>
            <w:b/>
            <w:color w:val="auto"/>
          </w:rPr>
          <w:t>CHAPTER 2 Theoritical Background.......................</w:t>
        </w:r>
        <w:r w:rsidR="00F156CD" w:rsidRPr="005C6CBE">
          <w:rPr>
            <w:rStyle w:val="Hyperlink"/>
            <w:b/>
            <w:color w:val="auto"/>
          </w:rPr>
          <w:t>.................</w:t>
        </w:r>
        <w:r w:rsidR="00C757A5" w:rsidRPr="005C6CBE">
          <w:rPr>
            <w:rStyle w:val="Hyperlink"/>
            <w:b/>
            <w:color w:val="auto"/>
          </w:rPr>
          <w:t>..............</w:t>
        </w:r>
        <w:r w:rsidR="00C757A5" w:rsidRPr="005C6CBE">
          <w:rPr>
            <w:rStyle w:val="Hyperlink"/>
            <w:b/>
          </w:rPr>
          <w:t>............</w:t>
        </w:r>
        <w:r w:rsidR="00DC5CC8">
          <w:rPr>
            <w:rStyle w:val="Hyperlink"/>
            <w:b/>
          </w:rPr>
          <w:t>..............</w:t>
        </w:r>
        <w:r w:rsidR="00F16A1A">
          <w:rPr>
            <w:rStyle w:val="Hyperlink"/>
            <w:b/>
          </w:rPr>
          <w:t>...</w:t>
        </w:r>
        <w:r w:rsidR="00DC5CC8">
          <w:rPr>
            <w:rStyle w:val="Hyperlink"/>
            <w:b/>
          </w:rPr>
          <w:t>.11</w:t>
        </w:r>
      </w:hyperlink>
    </w:p>
    <w:p w:rsidR="00F46699" w:rsidRPr="00F46699" w:rsidRDefault="00F46699" w:rsidP="00C7320E">
      <w:pPr>
        <w:spacing w:line="240" w:lineRule="auto"/>
        <w:rPr>
          <w:lang w:val="en-US"/>
        </w:rPr>
      </w:pPr>
    </w:p>
    <w:p w:rsidR="00C757A5" w:rsidRPr="005C6CBE" w:rsidRDefault="00C757A5"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2.1 The transition from rat</w:t>
      </w:r>
      <w:r w:rsidR="00F156CD" w:rsidRPr="005C6CBE">
        <w:rPr>
          <w:rFonts w:ascii="Times New Roman" w:hAnsi="Times New Roman" w:cs="Times New Roman"/>
          <w:sz w:val="24"/>
          <w:szCs w:val="24"/>
          <w:lang w:val="en-US"/>
        </w:rPr>
        <w:t>ionality to irrationality……..……………..</w:t>
      </w:r>
      <w:r w:rsidRPr="005C6CBE">
        <w:rPr>
          <w:rFonts w:ascii="Times New Roman" w:hAnsi="Times New Roman" w:cs="Times New Roman"/>
          <w:sz w:val="24"/>
          <w:szCs w:val="24"/>
          <w:lang w:val="en-US"/>
        </w:rPr>
        <w:t>………………</w:t>
      </w:r>
      <w:r w:rsidR="00F156CD"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…12</w:t>
      </w:r>
    </w:p>
    <w:p w:rsidR="00C757A5" w:rsidRPr="005C6CBE" w:rsidRDefault="00C757A5"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2.2 Con</w:t>
      </w:r>
      <w:r w:rsidR="00F156CD" w:rsidRPr="005C6CBE">
        <w:rPr>
          <w:rFonts w:ascii="Times New Roman" w:hAnsi="Times New Roman" w:cs="Times New Roman"/>
          <w:sz w:val="24"/>
          <w:szCs w:val="24"/>
          <w:lang w:val="en-US"/>
        </w:rPr>
        <w:t xml:space="preserve">cepts of investor sentiment, </w:t>
      </w:r>
      <w:r w:rsidRPr="005C6CBE">
        <w:rPr>
          <w:rFonts w:ascii="Times New Roman" w:hAnsi="Times New Roman" w:cs="Times New Roman"/>
          <w:sz w:val="24"/>
          <w:szCs w:val="24"/>
          <w:lang w:val="en-US"/>
        </w:rPr>
        <w:t>risk appetite</w:t>
      </w:r>
      <w:r w:rsidR="00F156CD" w:rsidRPr="005C6CBE">
        <w:rPr>
          <w:rFonts w:ascii="Times New Roman" w:hAnsi="Times New Roman" w:cs="Times New Roman"/>
          <w:sz w:val="24"/>
          <w:szCs w:val="24"/>
          <w:lang w:val="en-US"/>
        </w:rPr>
        <w:t xml:space="preserve"> and risk </w:t>
      </w:r>
      <w:r w:rsidRPr="005C6CBE">
        <w:rPr>
          <w:rFonts w:ascii="Times New Roman" w:hAnsi="Times New Roman" w:cs="Times New Roman"/>
          <w:sz w:val="24"/>
          <w:szCs w:val="24"/>
          <w:lang w:val="en-US"/>
        </w:rPr>
        <w:t>aversion…………</w:t>
      </w:r>
      <w:r w:rsidR="00F156CD"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……..14</w:t>
      </w:r>
    </w:p>
    <w:p w:rsidR="00C757A5" w:rsidRPr="005C6CBE" w:rsidRDefault="00C757A5" w:rsidP="00C7320E">
      <w:pPr>
        <w:tabs>
          <w:tab w:val="left" w:pos="5404"/>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2.2.1 Investor Sentiment………………………………………………</w:t>
      </w:r>
      <w:r w:rsidR="00F156CD"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F156CD" w:rsidRPr="005C6CBE">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14</w:t>
      </w:r>
    </w:p>
    <w:p w:rsidR="00C757A5" w:rsidRPr="005C6CBE" w:rsidRDefault="00C757A5"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2.2.2 Risk appetite and risk aversion……………</w:t>
      </w:r>
      <w:r w:rsidR="00F156CD"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...15</w:t>
      </w:r>
    </w:p>
    <w:p w:rsidR="00C757A5" w:rsidRPr="005C6CBE" w:rsidRDefault="00C757A5" w:rsidP="00C7320E">
      <w:pPr>
        <w:tabs>
          <w:tab w:val="right" w:leader="dot" w:pos="8931"/>
        </w:tabs>
        <w:spacing w:line="240" w:lineRule="auto"/>
        <w:ind w:right="-2"/>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2.3 Indices……………………………………</w:t>
      </w:r>
      <w:r w:rsidR="00F156CD" w:rsidRPr="005C6CBE">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F156CD"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F156CD"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..17</w:t>
      </w:r>
    </w:p>
    <w:p w:rsidR="00C757A5" w:rsidRPr="005C6CBE" w:rsidRDefault="00C757A5"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2.3.1</w:t>
      </w:r>
      <w:r w:rsidR="001D139D">
        <w:rPr>
          <w:rFonts w:ascii="Times New Roman" w:hAnsi="Times New Roman" w:cs="Times New Roman"/>
          <w:sz w:val="24"/>
          <w:szCs w:val="24"/>
          <w:lang w:val="en-US"/>
        </w:rPr>
        <w:t xml:space="preserve"> Categorization of the indices…</w:t>
      </w:r>
      <w:r w:rsidRPr="005C6CBE">
        <w:rPr>
          <w:rFonts w:ascii="Times New Roman" w:hAnsi="Times New Roman" w:cs="Times New Roman"/>
          <w:sz w:val="24"/>
          <w:szCs w:val="24"/>
          <w:lang w:val="en-US"/>
        </w:rPr>
        <w:t>……………</w:t>
      </w:r>
      <w:r w:rsidR="001D139D">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F156CD"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895B12">
        <w:rPr>
          <w:rFonts w:ascii="Times New Roman" w:hAnsi="Times New Roman" w:cs="Times New Roman"/>
          <w:sz w:val="24"/>
          <w:szCs w:val="24"/>
          <w:lang w:val="en-US"/>
        </w:rPr>
        <w:t>...17</w:t>
      </w:r>
    </w:p>
    <w:p w:rsidR="00F156CD" w:rsidRDefault="001D139D" w:rsidP="002860D9">
      <w:pPr>
        <w:pStyle w:val="TOC1"/>
        <w:spacing w:line="360" w:lineRule="auto"/>
      </w:pPr>
      <w:r>
        <w:t xml:space="preserve">  </w:t>
      </w:r>
      <w:r w:rsidR="00F156CD" w:rsidRPr="005C6CBE">
        <w:t xml:space="preserve"> 2.4 Sentiment and the relationship with other asse</w:t>
      </w:r>
      <w:r w:rsidR="00DC5CC8">
        <w:t>t classes…………...………</w:t>
      </w:r>
      <w:r w:rsidR="00F16A1A">
        <w:t>……...</w:t>
      </w:r>
      <w:r w:rsidR="00F156CD" w:rsidRPr="005C6CBE">
        <w:t>…</w:t>
      </w:r>
      <w:r w:rsidR="00895B12">
        <w:t>23</w:t>
      </w:r>
    </w:p>
    <w:p w:rsidR="00F156CD" w:rsidRPr="005C6CBE" w:rsidRDefault="00F156CD" w:rsidP="002860D9">
      <w:pPr>
        <w:tabs>
          <w:tab w:val="right" w:leader="dot" w:pos="9356"/>
        </w:tabs>
        <w:spacing w:line="36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2.4.1</w:t>
      </w:r>
      <w:r w:rsidRPr="005C6CBE">
        <w:rPr>
          <w:rFonts w:ascii="Times New Roman" w:hAnsi="Times New Roman" w:cs="Times New Roman"/>
          <w:b/>
          <w:sz w:val="24"/>
          <w:szCs w:val="24"/>
          <w:lang w:val="en-US"/>
        </w:rPr>
        <w:t xml:space="preserve"> </w:t>
      </w:r>
      <w:r w:rsidRPr="005C6CBE">
        <w:rPr>
          <w:rFonts w:ascii="Times New Roman" w:hAnsi="Times New Roman" w:cs="Times New Roman"/>
          <w:sz w:val="24"/>
          <w:szCs w:val="24"/>
          <w:lang w:val="en-US"/>
        </w:rPr>
        <w:t>Definition and characteristics of safe haven assets...………………….….……..</w:t>
      </w:r>
      <w:r w:rsidR="00895B12">
        <w:rPr>
          <w:rFonts w:ascii="Times New Roman" w:hAnsi="Times New Roman" w:cs="Times New Roman"/>
          <w:sz w:val="24"/>
          <w:szCs w:val="24"/>
          <w:lang w:val="en-US"/>
        </w:rPr>
        <w:t>24</w:t>
      </w:r>
    </w:p>
    <w:p w:rsidR="00F156CD"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2.4.2 Commodities……………………………………………………...……</w:t>
      </w:r>
      <w:r w:rsidR="00DC5CC8">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25</w:t>
      </w:r>
    </w:p>
    <w:p w:rsidR="00F156CD"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2.4.3 Currencies…………………………………………………………….………</w:t>
      </w:r>
      <w:r w:rsidR="00DC5CC8">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26</w:t>
      </w:r>
    </w:p>
    <w:p w:rsidR="00F156CD"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2.4.4 Bonds……………………………………………...…………………..…………</w:t>
      </w:r>
      <w:r w:rsidR="00895B12">
        <w:rPr>
          <w:rFonts w:ascii="Times New Roman" w:hAnsi="Times New Roman" w:cs="Times New Roman"/>
          <w:sz w:val="24"/>
          <w:szCs w:val="24"/>
          <w:lang w:val="en-US"/>
        </w:rPr>
        <w:t>27</w:t>
      </w:r>
    </w:p>
    <w:p w:rsidR="00F156CD"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 xml:space="preserve"> 2.4.5 Sto</w:t>
      </w:r>
      <w:r w:rsidR="00DC5CC8">
        <w:rPr>
          <w:rFonts w:ascii="Times New Roman" w:hAnsi="Times New Roman" w:cs="Times New Roman"/>
          <w:sz w:val="24"/>
          <w:szCs w:val="24"/>
          <w:lang w:val="en-US"/>
        </w:rPr>
        <w:t>cks………………………………………………………….…………….</w:t>
      </w:r>
      <w:r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895B12">
        <w:rPr>
          <w:rFonts w:ascii="Times New Roman" w:hAnsi="Times New Roman" w:cs="Times New Roman"/>
          <w:sz w:val="24"/>
          <w:szCs w:val="24"/>
          <w:lang w:val="en-US"/>
        </w:rPr>
        <w:t>28</w:t>
      </w:r>
    </w:p>
    <w:p w:rsidR="00C757A5" w:rsidRPr="005C6CBE" w:rsidRDefault="00F156CD" w:rsidP="00C7320E">
      <w:pPr>
        <w:tabs>
          <w:tab w:val="right" w:leader="dot" w:pos="9356"/>
        </w:tabs>
        <w:spacing w:line="240" w:lineRule="auto"/>
        <w:ind w:right="327"/>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2.5</w:t>
      </w:r>
      <w:r w:rsidR="00C757A5" w:rsidRPr="005C6CBE">
        <w:rPr>
          <w:rFonts w:ascii="Times New Roman" w:hAnsi="Times New Roman" w:cs="Times New Roman"/>
          <w:sz w:val="24"/>
          <w:szCs w:val="24"/>
          <w:lang w:val="en-US"/>
        </w:rPr>
        <w:t xml:space="preserve"> Characteristics of a “good” model………………………………</w:t>
      </w:r>
      <w:r w:rsidRPr="005C6CBE">
        <w:rPr>
          <w:rFonts w:ascii="Times New Roman" w:hAnsi="Times New Roman" w:cs="Times New Roman"/>
          <w:sz w:val="24"/>
          <w:szCs w:val="24"/>
          <w:lang w:val="en-US"/>
        </w:rPr>
        <w:t>…………</w:t>
      </w:r>
      <w:r w:rsidR="00C757A5"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C757A5"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29</w:t>
      </w:r>
    </w:p>
    <w:p w:rsidR="00C757A5" w:rsidRPr="005C6CBE" w:rsidRDefault="00C757A5"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00F156CD" w:rsidRPr="005C6CBE">
        <w:rPr>
          <w:rFonts w:ascii="Times New Roman" w:hAnsi="Times New Roman" w:cs="Times New Roman"/>
          <w:sz w:val="24"/>
          <w:szCs w:val="24"/>
          <w:lang w:val="en-US"/>
        </w:rPr>
        <w:t>2.5</w:t>
      </w:r>
      <w:r w:rsidRPr="005C6CBE">
        <w:rPr>
          <w:rFonts w:ascii="Times New Roman" w:hAnsi="Times New Roman" w:cs="Times New Roman"/>
          <w:sz w:val="24"/>
          <w:szCs w:val="24"/>
          <w:lang w:val="en-US"/>
        </w:rPr>
        <w:t>.1 Impact……………………………………………………</w:t>
      </w:r>
      <w:r w:rsidR="00F156CD" w:rsidRPr="005C6CBE">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29</w:t>
      </w:r>
    </w:p>
    <w:p w:rsidR="00C757A5"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2.5</w:t>
      </w:r>
      <w:r w:rsidR="00C757A5" w:rsidRPr="005C6CBE">
        <w:rPr>
          <w:rFonts w:ascii="Times New Roman" w:hAnsi="Times New Roman" w:cs="Times New Roman"/>
          <w:sz w:val="24"/>
          <w:szCs w:val="24"/>
          <w:lang w:val="en-US"/>
        </w:rPr>
        <w:t>.2 Persistency…………………………………………………</w:t>
      </w:r>
      <w:r w:rsidRPr="005C6CBE">
        <w:rPr>
          <w:rFonts w:ascii="Times New Roman" w:hAnsi="Times New Roman" w:cs="Times New Roman"/>
          <w:sz w:val="24"/>
          <w:szCs w:val="24"/>
          <w:lang w:val="en-US"/>
        </w:rPr>
        <w:t>…………...</w:t>
      </w:r>
      <w:r w:rsidR="00C757A5"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30</w:t>
      </w:r>
    </w:p>
    <w:p w:rsidR="00C757A5"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2.5</w:t>
      </w:r>
      <w:r w:rsidR="00C757A5" w:rsidRPr="005C6CBE">
        <w:rPr>
          <w:rFonts w:ascii="Times New Roman" w:hAnsi="Times New Roman" w:cs="Times New Roman"/>
          <w:sz w:val="24"/>
          <w:szCs w:val="24"/>
          <w:lang w:val="en-US"/>
        </w:rPr>
        <w:t>.3 Clear inputs and outputs and intuition behind them………</w:t>
      </w:r>
      <w:r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C757A5"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30</w:t>
      </w:r>
    </w:p>
    <w:p w:rsidR="00C757A5"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2.5</w:t>
      </w:r>
      <w:r w:rsidR="00C757A5" w:rsidRPr="005C6CBE">
        <w:rPr>
          <w:rFonts w:ascii="Times New Roman" w:hAnsi="Times New Roman" w:cs="Times New Roman"/>
          <w:sz w:val="24"/>
          <w:szCs w:val="24"/>
          <w:lang w:val="en-US"/>
        </w:rPr>
        <w:t>.4 Well documented assumptions……………………………</w:t>
      </w:r>
      <w:r w:rsidRPr="005C6CBE">
        <w:rPr>
          <w:rFonts w:ascii="Times New Roman" w:hAnsi="Times New Roman" w:cs="Times New Roman"/>
          <w:sz w:val="24"/>
          <w:szCs w:val="24"/>
          <w:lang w:val="en-US"/>
        </w:rPr>
        <w:t>…………..</w:t>
      </w:r>
      <w:r w:rsidR="00C757A5"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30</w:t>
      </w:r>
    </w:p>
    <w:p w:rsidR="00F156CD" w:rsidRPr="00B54C5D" w:rsidRDefault="00F17C1C" w:rsidP="00B54C5D">
      <w:pPr>
        <w:pStyle w:val="TOC1"/>
      </w:pPr>
      <w:hyperlink w:anchor="_Toc200538607" w:history="1">
        <w:r w:rsidR="00F156CD" w:rsidRPr="00B54C5D">
          <w:rPr>
            <w:rStyle w:val="Hyperlink"/>
            <w:b/>
            <w:color w:val="auto"/>
          </w:rPr>
          <w:t>CHAPTER 3 Data and Methodology.......................................................</w:t>
        </w:r>
        <w:r w:rsidR="00F156CD" w:rsidRPr="00B54C5D">
          <w:rPr>
            <w:rStyle w:val="Hyperlink"/>
            <w:b/>
          </w:rPr>
          <w:t>................</w:t>
        </w:r>
        <w:r w:rsidR="00DC5CC8" w:rsidRPr="00B54C5D">
          <w:rPr>
            <w:rStyle w:val="Hyperlink"/>
            <w:b/>
          </w:rPr>
          <w:t>........</w:t>
        </w:r>
        <w:r w:rsidR="00F16A1A">
          <w:rPr>
            <w:rStyle w:val="Hyperlink"/>
            <w:b/>
          </w:rPr>
          <w:t>...</w:t>
        </w:r>
        <w:r w:rsidR="00F156CD" w:rsidRPr="00B54C5D">
          <w:rPr>
            <w:rStyle w:val="Hyperlink"/>
            <w:b/>
          </w:rPr>
          <w:t>..</w:t>
        </w:r>
        <w:r w:rsidR="00F156CD" w:rsidRPr="00B54C5D">
          <w:rPr>
            <w:webHidden/>
          </w:rPr>
          <w:t>.</w:t>
        </w:r>
        <w:r w:rsidR="00895B12" w:rsidRPr="00B54C5D">
          <w:t>3</w:t>
        </w:r>
      </w:hyperlink>
      <w:r w:rsidR="00895B12" w:rsidRPr="00B54C5D">
        <w:t>1</w:t>
      </w:r>
    </w:p>
    <w:p w:rsidR="00F46699" w:rsidRPr="00F46699" w:rsidRDefault="00F46699" w:rsidP="00C7320E">
      <w:pPr>
        <w:spacing w:line="240" w:lineRule="auto"/>
        <w:rPr>
          <w:lang w:val="en-US"/>
        </w:rPr>
      </w:pPr>
    </w:p>
    <w:p w:rsidR="00F156CD"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3.1 Data Selection……..……………..……………………………………………………</w:t>
      </w:r>
      <w:r w:rsidR="00421A20"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31</w:t>
      </w:r>
    </w:p>
    <w:p w:rsidR="00F156CD" w:rsidRPr="005C6CBE" w:rsidRDefault="00421A20" w:rsidP="00C7320E">
      <w:pPr>
        <w:tabs>
          <w:tab w:val="left" w:pos="5404"/>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lastRenderedPageBreak/>
        <w:t xml:space="preserve">      </w:t>
      </w:r>
      <w:r w:rsidR="001D139D">
        <w:rPr>
          <w:rFonts w:ascii="Times New Roman" w:hAnsi="Times New Roman" w:cs="Times New Roman"/>
          <w:sz w:val="24"/>
          <w:szCs w:val="24"/>
          <w:lang w:val="en-US"/>
        </w:rPr>
        <w:t xml:space="preserve">   </w:t>
      </w:r>
      <w:r w:rsidR="00F156CD" w:rsidRPr="005C6CBE">
        <w:rPr>
          <w:rFonts w:ascii="Times New Roman" w:hAnsi="Times New Roman" w:cs="Times New Roman"/>
          <w:sz w:val="24"/>
          <w:szCs w:val="24"/>
          <w:lang w:val="en-US"/>
        </w:rPr>
        <w:t xml:space="preserve">3.1.1 </w:t>
      </w:r>
      <w:r w:rsidRPr="005C6CBE">
        <w:rPr>
          <w:rFonts w:ascii="Times New Roman" w:hAnsi="Times New Roman" w:cs="Times New Roman"/>
          <w:sz w:val="24"/>
          <w:szCs w:val="24"/>
          <w:lang w:val="en-US"/>
        </w:rPr>
        <w:t>Selection of indices and intuition</w:t>
      </w:r>
      <w:r w:rsidR="00F156CD" w:rsidRPr="005C6CBE">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31</w:t>
      </w:r>
    </w:p>
    <w:p w:rsidR="00F156CD" w:rsidRPr="005C6CBE" w:rsidRDefault="001D139D" w:rsidP="00C7320E">
      <w:pPr>
        <w:tabs>
          <w:tab w:val="right" w:leader="dot" w:pos="9356"/>
        </w:tabs>
        <w:spacing w:line="240" w:lineRule="auto"/>
        <w:ind w:right="3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21A20" w:rsidRPr="005C6CBE">
        <w:rPr>
          <w:rFonts w:ascii="Times New Roman" w:hAnsi="Times New Roman" w:cs="Times New Roman"/>
          <w:sz w:val="24"/>
          <w:szCs w:val="24"/>
          <w:lang w:val="en-US"/>
        </w:rPr>
        <w:t xml:space="preserve">     </w:t>
      </w:r>
      <w:r w:rsidR="00F156CD" w:rsidRPr="005C6CBE">
        <w:rPr>
          <w:rFonts w:ascii="Times New Roman" w:hAnsi="Times New Roman" w:cs="Times New Roman"/>
          <w:sz w:val="24"/>
          <w:szCs w:val="24"/>
          <w:lang w:val="en-US"/>
        </w:rPr>
        <w:t xml:space="preserve"> 3.1.2 </w:t>
      </w:r>
      <w:r w:rsidR="00421A20" w:rsidRPr="005C6CBE">
        <w:rPr>
          <w:rFonts w:ascii="Times New Roman" w:hAnsi="Times New Roman" w:cs="Times New Roman"/>
          <w:sz w:val="24"/>
          <w:szCs w:val="24"/>
          <w:lang w:val="en-US"/>
        </w:rPr>
        <w:t xml:space="preserve">Selection of assets and intuition….. </w:t>
      </w:r>
      <w:r w:rsidR="00F156CD" w:rsidRPr="005C6CBE">
        <w:rPr>
          <w:rFonts w:ascii="Times New Roman" w:hAnsi="Times New Roman" w:cs="Times New Roman"/>
          <w:sz w:val="24"/>
          <w:szCs w:val="24"/>
          <w:lang w:val="en-US"/>
        </w:rPr>
        <w:t>……………………………………...</w:t>
      </w:r>
      <w:r w:rsidR="00421A20"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F156CD" w:rsidRPr="005C6CBE">
        <w:rPr>
          <w:rFonts w:ascii="Times New Roman" w:hAnsi="Times New Roman" w:cs="Times New Roman"/>
          <w:sz w:val="24"/>
          <w:szCs w:val="24"/>
          <w:lang w:val="en-US"/>
        </w:rPr>
        <w:t>…</w:t>
      </w:r>
      <w:r w:rsidR="00421A20" w:rsidRPr="005C6CBE">
        <w:rPr>
          <w:rFonts w:ascii="Times New Roman" w:hAnsi="Times New Roman" w:cs="Times New Roman"/>
          <w:sz w:val="24"/>
          <w:szCs w:val="24"/>
          <w:lang w:val="en-US"/>
        </w:rPr>
        <w:t>.</w:t>
      </w:r>
      <w:r w:rsidR="00F16A1A">
        <w:rPr>
          <w:rFonts w:ascii="Times New Roman" w:hAnsi="Times New Roman" w:cs="Times New Roman"/>
          <w:sz w:val="24"/>
          <w:szCs w:val="24"/>
          <w:lang w:val="en-US"/>
        </w:rPr>
        <w:t>.</w:t>
      </w:r>
      <w:r w:rsidR="00421A20"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35</w:t>
      </w:r>
    </w:p>
    <w:p w:rsidR="00421A20" w:rsidRPr="005C6CBE" w:rsidRDefault="00421A20" w:rsidP="00C7320E">
      <w:pPr>
        <w:spacing w:line="240" w:lineRule="auto"/>
        <w:jc w:val="both"/>
        <w:rPr>
          <w:rFonts w:ascii="Times New Roman" w:hAnsi="Times New Roman" w:cs="Times New Roman"/>
          <w:sz w:val="24"/>
          <w:szCs w:val="24"/>
          <w:lang w:val="en-US"/>
        </w:rPr>
      </w:pPr>
      <w:r w:rsidRPr="005C6CBE">
        <w:rPr>
          <w:rFonts w:ascii="Times New Roman" w:hAnsi="Times New Roman" w:cs="Times New Roman"/>
          <w:b/>
          <w:sz w:val="24"/>
          <w:szCs w:val="24"/>
          <w:lang w:val="en-US"/>
        </w:rPr>
        <w:t xml:space="preserve">       </w:t>
      </w: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3.1.3 Period covered, freque</w:t>
      </w:r>
      <w:r w:rsidR="00DC5CC8">
        <w:rPr>
          <w:rFonts w:ascii="Times New Roman" w:hAnsi="Times New Roman" w:cs="Times New Roman"/>
          <w:sz w:val="24"/>
          <w:szCs w:val="24"/>
          <w:lang w:val="en-US"/>
        </w:rPr>
        <w:t>ncy and sources……………………………….…...</w:t>
      </w:r>
      <w:r w:rsidR="00F16A1A">
        <w:rPr>
          <w:rFonts w:ascii="Times New Roman" w:hAnsi="Times New Roman" w:cs="Times New Roman"/>
          <w:sz w:val="24"/>
          <w:szCs w:val="24"/>
          <w:lang w:val="en-US"/>
        </w:rPr>
        <w:t>.…...</w:t>
      </w:r>
      <w:r w:rsidR="00895B12">
        <w:rPr>
          <w:rFonts w:ascii="Times New Roman" w:hAnsi="Times New Roman" w:cs="Times New Roman"/>
          <w:sz w:val="24"/>
          <w:szCs w:val="24"/>
          <w:lang w:val="en-US"/>
        </w:rPr>
        <w:t>36</w:t>
      </w:r>
    </w:p>
    <w:p w:rsidR="00F156CD" w:rsidRPr="005C6CBE" w:rsidRDefault="00F156CD" w:rsidP="00C7320E">
      <w:pPr>
        <w:tabs>
          <w:tab w:val="right" w:leader="dot" w:pos="9356"/>
        </w:tabs>
        <w:spacing w:line="240" w:lineRule="auto"/>
        <w:ind w:right="327"/>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3.2 </w:t>
      </w:r>
      <w:r w:rsidR="00421A20" w:rsidRPr="005C6CBE">
        <w:rPr>
          <w:rFonts w:ascii="Times New Roman" w:hAnsi="Times New Roman" w:cs="Times New Roman"/>
          <w:sz w:val="24"/>
          <w:szCs w:val="24"/>
          <w:lang w:val="en-US"/>
        </w:rPr>
        <w:t>Methodology…………………………………………………..</w:t>
      </w:r>
      <w:r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F16A1A">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421A20"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37</w:t>
      </w:r>
    </w:p>
    <w:p w:rsidR="00421A20" w:rsidRPr="005C6CBE" w:rsidRDefault="00421A20" w:rsidP="00C7320E">
      <w:pPr>
        <w:spacing w:line="240" w:lineRule="auto"/>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3.2.1 Methodology for</w:t>
      </w:r>
      <w:r w:rsidR="00F16A1A">
        <w:rPr>
          <w:rFonts w:ascii="Times New Roman" w:hAnsi="Times New Roman" w:cs="Times New Roman"/>
          <w:sz w:val="24"/>
          <w:szCs w:val="24"/>
          <w:lang w:val="en-US"/>
        </w:rPr>
        <w:t xml:space="preserve"> commodities…………………………………………………</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39</w:t>
      </w:r>
    </w:p>
    <w:p w:rsidR="00421A20" w:rsidRPr="005C6CBE" w:rsidRDefault="00421A20" w:rsidP="00C7320E">
      <w:pPr>
        <w:spacing w:line="240" w:lineRule="auto"/>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3.2.2 Methodology for currencies……………………………………………………..</w:t>
      </w:r>
      <w:r w:rsidR="00895B12">
        <w:rPr>
          <w:rFonts w:ascii="Times New Roman" w:hAnsi="Times New Roman" w:cs="Times New Roman"/>
          <w:sz w:val="24"/>
          <w:szCs w:val="24"/>
          <w:lang w:val="en-US"/>
        </w:rPr>
        <w:t>40</w:t>
      </w:r>
    </w:p>
    <w:p w:rsidR="00421A20" w:rsidRPr="005C6CBE" w:rsidRDefault="00421A20" w:rsidP="00C7320E">
      <w:pPr>
        <w:spacing w:line="240" w:lineRule="auto"/>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3.2.3 Methodology for bonds………………………………………………………….</w:t>
      </w:r>
      <w:r w:rsidR="00895B12">
        <w:rPr>
          <w:rFonts w:ascii="Times New Roman" w:hAnsi="Times New Roman" w:cs="Times New Roman"/>
          <w:sz w:val="24"/>
          <w:szCs w:val="24"/>
          <w:lang w:val="en-US"/>
        </w:rPr>
        <w:t>41</w:t>
      </w:r>
    </w:p>
    <w:p w:rsidR="00421A20" w:rsidRPr="005C6CBE" w:rsidRDefault="00421A20" w:rsidP="00C7320E">
      <w:pPr>
        <w:spacing w:line="240" w:lineRule="auto"/>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 xml:space="preserve"> 3.2.4 Methodology for stocks………………………………………………………....</w:t>
      </w:r>
      <w:r w:rsidR="00895B12">
        <w:rPr>
          <w:rFonts w:ascii="Times New Roman" w:hAnsi="Times New Roman" w:cs="Times New Roman"/>
          <w:sz w:val="24"/>
          <w:szCs w:val="24"/>
          <w:lang w:val="en-US"/>
        </w:rPr>
        <w:t>41</w:t>
      </w:r>
    </w:p>
    <w:p w:rsidR="00421A20" w:rsidRPr="005C6CBE" w:rsidRDefault="00421A20" w:rsidP="00C7320E">
      <w:pPr>
        <w:tabs>
          <w:tab w:val="left" w:pos="8931"/>
          <w:tab w:val="left" w:pos="9356"/>
        </w:tabs>
        <w:spacing w:line="240" w:lineRule="auto"/>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 xml:space="preserve"> 3.2.5 Robustness test for stocks……………………………………………………….</w:t>
      </w:r>
      <w:r w:rsidR="00895B12">
        <w:rPr>
          <w:rFonts w:ascii="Times New Roman" w:hAnsi="Times New Roman" w:cs="Times New Roman"/>
          <w:sz w:val="24"/>
          <w:szCs w:val="24"/>
          <w:lang w:val="en-US"/>
        </w:rPr>
        <w:t>42</w:t>
      </w:r>
    </w:p>
    <w:p w:rsidR="00421A20" w:rsidRPr="00B54C5D" w:rsidRDefault="00F17C1C" w:rsidP="00B54C5D">
      <w:pPr>
        <w:pStyle w:val="TOC1"/>
      </w:pPr>
      <w:hyperlink w:anchor="_Toc200538607" w:history="1">
        <w:r w:rsidR="00421A20" w:rsidRPr="00B54C5D">
          <w:rPr>
            <w:rStyle w:val="Hyperlink"/>
            <w:b/>
            <w:color w:val="auto"/>
          </w:rPr>
          <w:t>CHAPTER 4 Results……………….........................................................</w:t>
        </w:r>
        <w:r w:rsidR="00421A20" w:rsidRPr="00B54C5D">
          <w:rPr>
            <w:rStyle w:val="Hyperlink"/>
            <w:b/>
          </w:rPr>
          <w:t>..................</w:t>
        </w:r>
        <w:r w:rsidR="00DC5CC8" w:rsidRPr="00B54C5D">
          <w:rPr>
            <w:rStyle w:val="Hyperlink"/>
            <w:b/>
          </w:rPr>
          <w:t>....</w:t>
        </w:r>
        <w:r w:rsidR="00F16A1A">
          <w:rPr>
            <w:rStyle w:val="Hyperlink"/>
            <w:b/>
          </w:rPr>
          <w:t>.....</w:t>
        </w:r>
        <w:r w:rsidR="00DC5CC8" w:rsidRPr="00B54C5D">
          <w:rPr>
            <w:rStyle w:val="Hyperlink"/>
            <w:b/>
          </w:rPr>
          <w:t>....</w:t>
        </w:r>
        <w:r w:rsidR="00421A20" w:rsidRPr="00B54C5D">
          <w:rPr>
            <w:webHidden/>
          </w:rPr>
          <w:t>.</w:t>
        </w:r>
        <w:r w:rsidR="00895B12" w:rsidRPr="00B54C5D">
          <w:rPr>
            <w:b/>
            <w:webHidden/>
          </w:rPr>
          <w:t>45</w:t>
        </w:r>
      </w:hyperlink>
    </w:p>
    <w:p w:rsidR="00F46699" w:rsidRPr="00F46699" w:rsidRDefault="00F46699" w:rsidP="00C7320E">
      <w:pPr>
        <w:spacing w:line="240" w:lineRule="auto"/>
        <w:rPr>
          <w:lang w:val="en-US"/>
        </w:rPr>
      </w:pPr>
    </w:p>
    <w:p w:rsidR="00421A20" w:rsidRDefault="005C6CBE" w:rsidP="00C7320E">
      <w:pPr>
        <w:pStyle w:val="ListParagraph"/>
        <w:tabs>
          <w:tab w:val="left" w:pos="8931"/>
        </w:tabs>
        <w:spacing w:line="240" w:lineRule="auto"/>
        <w:ind w:left="0"/>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421A20" w:rsidRPr="005C6CBE">
        <w:rPr>
          <w:rFonts w:ascii="Times New Roman" w:hAnsi="Times New Roman" w:cs="Times New Roman"/>
          <w:sz w:val="24"/>
          <w:szCs w:val="24"/>
          <w:lang w:val="en-US"/>
        </w:rPr>
        <w:t>4.1 Descriptive statistics and graphs…………………………………………………</w:t>
      </w:r>
      <w:r w:rsidR="00F16A1A">
        <w:rPr>
          <w:rFonts w:ascii="Times New Roman" w:hAnsi="Times New Roman" w:cs="Times New Roman"/>
          <w:sz w:val="24"/>
          <w:szCs w:val="24"/>
          <w:lang w:val="en-US"/>
        </w:rPr>
        <w:t>.</w:t>
      </w:r>
      <w:r w:rsidR="00421A20" w:rsidRPr="005C6CBE">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421A20"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45</w:t>
      </w:r>
    </w:p>
    <w:p w:rsidR="00F46699" w:rsidRDefault="00F46699" w:rsidP="00C7320E">
      <w:pPr>
        <w:pStyle w:val="ListParagraph"/>
        <w:tabs>
          <w:tab w:val="left" w:pos="8931"/>
        </w:tabs>
        <w:spacing w:line="240" w:lineRule="auto"/>
        <w:ind w:left="0"/>
        <w:jc w:val="both"/>
        <w:rPr>
          <w:rFonts w:ascii="Times New Roman" w:hAnsi="Times New Roman" w:cs="Times New Roman"/>
          <w:sz w:val="24"/>
          <w:szCs w:val="24"/>
          <w:lang w:val="en-US"/>
        </w:rPr>
      </w:pPr>
    </w:p>
    <w:p w:rsidR="001D139D" w:rsidRDefault="005C6CBE" w:rsidP="00C7320E">
      <w:pPr>
        <w:pStyle w:val="ListParagraph"/>
        <w:spacing w:line="240" w:lineRule="auto"/>
        <w:ind w:left="0"/>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4.2 Results from time series regressions……………………………………………....</w:t>
      </w:r>
      <w:r w:rsidR="00F16A1A">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895B12">
        <w:rPr>
          <w:rFonts w:ascii="Times New Roman" w:hAnsi="Times New Roman" w:cs="Times New Roman"/>
          <w:sz w:val="24"/>
          <w:szCs w:val="24"/>
          <w:lang w:val="en-US"/>
        </w:rPr>
        <w:t>...47</w:t>
      </w:r>
      <w:r w:rsidRPr="005C6CBE">
        <w:rPr>
          <w:rFonts w:ascii="Times New Roman" w:hAnsi="Times New Roman" w:cs="Times New Roman"/>
          <w:sz w:val="24"/>
          <w:szCs w:val="24"/>
          <w:lang w:val="en-US"/>
        </w:rPr>
        <w:t xml:space="preserve">   </w:t>
      </w:r>
    </w:p>
    <w:p w:rsidR="005C6CBE" w:rsidRPr="005C6CBE" w:rsidRDefault="005C6CBE" w:rsidP="00C7320E">
      <w:pPr>
        <w:pStyle w:val="ListParagraph"/>
        <w:spacing w:line="240" w:lineRule="auto"/>
        <w:ind w:left="0"/>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p>
    <w:p w:rsidR="005C6CBE" w:rsidRDefault="005C6CBE" w:rsidP="00C7320E">
      <w:pPr>
        <w:pStyle w:val="ListParagraph"/>
        <w:spacing w:line="240" w:lineRule="auto"/>
        <w:ind w:left="0"/>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Pr="005C6CBE">
        <w:rPr>
          <w:rFonts w:ascii="Times New Roman" w:hAnsi="Times New Roman" w:cs="Times New Roman"/>
          <w:sz w:val="24"/>
          <w:szCs w:val="24"/>
          <w:lang w:val="en-US"/>
        </w:rPr>
        <w:t>4.2.1 Results from time series regressions of commodities………………………</w:t>
      </w:r>
      <w:r w:rsidR="00DC5CC8">
        <w:rPr>
          <w:rFonts w:ascii="Times New Roman" w:hAnsi="Times New Roman" w:cs="Times New Roman"/>
          <w:sz w:val="24"/>
          <w:szCs w:val="24"/>
          <w:lang w:val="en-US"/>
        </w:rPr>
        <w:t>..</w:t>
      </w:r>
      <w:r w:rsidR="00F16A1A">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895B12">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47</w:t>
      </w:r>
    </w:p>
    <w:p w:rsidR="00F46699" w:rsidRPr="005C6CBE" w:rsidRDefault="00F46699" w:rsidP="00C7320E">
      <w:pPr>
        <w:pStyle w:val="ListParagraph"/>
        <w:spacing w:line="240" w:lineRule="auto"/>
        <w:ind w:left="0"/>
        <w:jc w:val="both"/>
        <w:rPr>
          <w:rFonts w:ascii="Times New Roman" w:hAnsi="Times New Roman" w:cs="Times New Roman"/>
          <w:sz w:val="24"/>
          <w:szCs w:val="24"/>
          <w:lang w:val="en-US"/>
        </w:rPr>
      </w:pPr>
    </w:p>
    <w:p w:rsidR="00421A20" w:rsidRDefault="005C6CBE" w:rsidP="00C7320E">
      <w:pPr>
        <w:pStyle w:val="ListParagraph"/>
        <w:spacing w:line="240" w:lineRule="auto"/>
        <w:ind w:left="0"/>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00421A20" w:rsidRPr="005C6CBE">
        <w:rPr>
          <w:rFonts w:ascii="Times New Roman" w:hAnsi="Times New Roman" w:cs="Times New Roman"/>
          <w:sz w:val="24"/>
          <w:szCs w:val="24"/>
          <w:lang w:val="en-US"/>
        </w:rPr>
        <w:t>4.2.2 Results from time series regressions of currencies</w:t>
      </w:r>
      <w:r w:rsidR="00DC5CC8">
        <w:rPr>
          <w:rFonts w:ascii="Times New Roman" w:hAnsi="Times New Roman" w:cs="Times New Roman"/>
          <w:sz w:val="24"/>
          <w:szCs w:val="24"/>
          <w:lang w:val="en-US"/>
        </w:rPr>
        <w:t>…………………………...</w:t>
      </w:r>
      <w:r w:rsidR="00895B12">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50</w:t>
      </w:r>
    </w:p>
    <w:p w:rsidR="00F46699" w:rsidRPr="005C6CBE" w:rsidRDefault="00F46699" w:rsidP="00C7320E">
      <w:pPr>
        <w:pStyle w:val="ListParagraph"/>
        <w:spacing w:line="240" w:lineRule="auto"/>
        <w:ind w:left="0"/>
        <w:jc w:val="both"/>
        <w:rPr>
          <w:rFonts w:ascii="Times New Roman" w:hAnsi="Times New Roman" w:cs="Times New Roman"/>
          <w:sz w:val="24"/>
          <w:szCs w:val="24"/>
          <w:lang w:val="en-US"/>
        </w:rPr>
      </w:pPr>
    </w:p>
    <w:p w:rsidR="00421A20" w:rsidRDefault="005C6CBE" w:rsidP="00C7320E">
      <w:pPr>
        <w:pStyle w:val="ListParagraph"/>
        <w:spacing w:line="240" w:lineRule="auto"/>
        <w:ind w:left="0"/>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00421A20" w:rsidRPr="005C6CBE">
        <w:rPr>
          <w:rFonts w:ascii="Times New Roman" w:hAnsi="Times New Roman" w:cs="Times New Roman"/>
          <w:sz w:val="24"/>
          <w:szCs w:val="24"/>
          <w:lang w:val="en-US"/>
        </w:rPr>
        <w:t>4.2.3 Results from time series regressions of bonds</w:t>
      </w:r>
      <w:r w:rsidR="00DC5CC8">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52</w:t>
      </w:r>
    </w:p>
    <w:p w:rsidR="00F46699" w:rsidRPr="005C6CBE" w:rsidRDefault="00F46699" w:rsidP="00C7320E">
      <w:pPr>
        <w:pStyle w:val="ListParagraph"/>
        <w:spacing w:line="240" w:lineRule="auto"/>
        <w:ind w:left="0"/>
        <w:jc w:val="both"/>
        <w:rPr>
          <w:rFonts w:ascii="Times New Roman" w:hAnsi="Times New Roman" w:cs="Times New Roman"/>
          <w:sz w:val="24"/>
          <w:szCs w:val="24"/>
          <w:lang w:val="en-US"/>
        </w:rPr>
      </w:pPr>
    </w:p>
    <w:p w:rsidR="00421A20" w:rsidRDefault="005C6CBE" w:rsidP="00C7320E">
      <w:pPr>
        <w:pStyle w:val="ListParagraph"/>
        <w:tabs>
          <w:tab w:val="left" w:pos="8931"/>
        </w:tabs>
        <w:spacing w:line="240" w:lineRule="auto"/>
        <w:ind w:left="0"/>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1D139D">
        <w:rPr>
          <w:rFonts w:ascii="Times New Roman" w:hAnsi="Times New Roman" w:cs="Times New Roman"/>
          <w:sz w:val="24"/>
          <w:szCs w:val="24"/>
          <w:lang w:val="en-US"/>
        </w:rPr>
        <w:t xml:space="preserve">   </w:t>
      </w:r>
      <w:r w:rsidR="00421A20" w:rsidRPr="005C6CBE">
        <w:rPr>
          <w:rFonts w:ascii="Times New Roman" w:hAnsi="Times New Roman" w:cs="Times New Roman"/>
          <w:sz w:val="24"/>
          <w:szCs w:val="24"/>
          <w:lang w:val="en-US"/>
        </w:rPr>
        <w:t>4.2.4 Results from time series regressions of stocks</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53</w:t>
      </w:r>
    </w:p>
    <w:p w:rsidR="00F46699" w:rsidRPr="005C6CBE" w:rsidRDefault="00F46699" w:rsidP="00C7320E">
      <w:pPr>
        <w:pStyle w:val="ListParagraph"/>
        <w:tabs>
          <w:tab w:val="left" w:pos="8931"/>
        </w:tabs>
        <w:spacing w:line="240" w:lineRule="auto"/>
        <w:ind w:left="0"/>
        <w:jc w:val="both"/>
        <w:rPr>
          <w:rFonts w:ascii="Times New Roman" w:hAnsi="Times New Roman" w:cs="Times New Roman"/>
          <w:sz w:val="24"/>
          <w:szCs w:val="24"/>
          <w:lang w:val="en-US"/>
        </w:rPr>
      </w:pPr>
    </w:p>
    <w:p w:rsidR="00421A20" w:rsidRDefault="005C6CBE" w:rsidP="00C7320E">
      <w:pPr>
        <w:pStyle w:val="ListParagraph"/>
        <w:spacing w:line="240" w:lineRule="auto"/>
        <w:ind w:left="0"/>
        <w:jc w:val="both"/>
        <w:rPr>
          <w:rFonts w:ascii="Times New Roman" w:hAnsi="Times New Roman" w:cs="Times New Roman"/>
          <w:sz w:val="24"/>
          <w:szCs w:val="24"/>
          <w:lang w:val="en-US"/>
        </w:rPr>
      </w:pPr>
      <w:r w:rsidRPr="005C6CBE">
        <w:rPr>
          <w:rFonts w:ascii="Times New Roman" w:hAnsi="Times New Roman" w:cs="Times New Roman"/>
          <w:sz w:val="24"/>
          <w:szCs w:val="24"/>
          <w:lang w:val="en-US"/>
        </w:rPr>
        <w:t xml:space="preserve">   </w:t>
      </w:r>
      <w:r w:rsidR="00421A20" w:rsidRPr="005C6CBE">
        <w:rPr>
          <w:rFonts w:ascii="Times New Roman" w:hAnsi="Times New Roman" w:cs="Times New Roman"/>
          <w:sz w:val="24"/>
          <w:szCs w:val="24"/>
          <w:lang w:val="en-US"/>
        </w:rPr>
        <w:t>4.3 Robustness checks</w:t>
      </w:r>
      <w:r w:rsidR="00F16A1A">
        <w:rPr>
          <w:rFonts w:ascii="Times New Roman" w:hAnsi="Times New Roman" w:cs="Times New Roman"/>
          <w:sz w:val="24"/>
          <w:szCs w:val="24"/>
          <w:lang w:val="en-US"/>
        </w:rPr>
        <w:t>…………………………………………………………………</w:t>
      </w:r>
      <w:r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56</w:t>
      </w:r>
    </w:p>
    <w:p w:rsidR="00DC5CC8" w:rsidRPr="005C6CBE" w:rsidRDefault="00DC5CC8" w:rsidP="00DC5CC8">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Chapter 5</w:t>
      </w:r>
      <w:r w:rsidRPr="005C6CBE">
        <w:rPr>
          <w:rFonts w:ascii="Times New Roman" w:hAnsi="Times New Roman" w:cs="Times New Roman"/>
          <w:b/>
          <w:sz w:val="24"/>
          <w:szCs w:val="24"/>
          <w:lang w:val="en-US"/>
        </w:rPr>
        <w:t xml:space="preserve"> Conclusion……………………………………………………………….…….</w:t>
      </w:r>
      <w:r w:rsidR="00F16A1A">
        <w:rPr>
          <w:rFonts w:ascii="Times New Roman" w:hAnsi="Times New Roman" w:cs="Times New Roman"/>
          <w:b/>
          <w:sz w:val="24"/>
          <w:szCs w:val="24"/>
          <w:lang w:val="en-US"/>
        </w:rPr>
        <w:t>.</w:t>
      </w:r>
      <w:r w:rsidRPr="005C6CBE">
        <w:rPr>
          <w:rFonts w:ascii="Times New Roman" w:hAnsi="Times New Roman" w:cs="Times New Roman"/>
          <w:b/>
          <w:sz w:val="24"/>
          <w:szCs w:val="24"/>
          <w:lang w:val="en-US"/>
        </w:rPr>
        <w:t>..</w:t>
      </w:r>
      <w:r w:rsidR="00895B12">
        <w:rPr>
          <w:rFonts w:ascii="Times New Roman" w:hAnsi="Times New Roman" w:cs="Times New Roman"/>
          <w:b/>
          <w:sz w:val="24"/>
          <w:szCs w:val="24"/>
          <w:lang w:val="en-US"/>
        </w:rPr>
        <w:t>59</w:t>
      </w:r>
    </w:p>
    <w:p w:rsidR="005C6CBE" w:rsidRPr="005C6CBE" w:rsidRDefault="00DC5CC8" w:rsidP="00C7320E">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Chapter 6</w:t>
      </w:r>
      <w:r w:rsidR="005C6CBE" w:rsidRPr="005C6CBE">
        <w:rPr>
          <w:rFonts w:ascii="Times New Roman" w:hAnsi="Times New Roman" w:cs="Times New Roman"/>
          <w:b/>
          <w:sz w:val="24"/>
          <w:szCs w:val="24"/>
          <w:lang w:val="en-US"/>
        </w:rPr>
        <w:t xml:space="preserve"> Implications and Limitations…………………………………………………</w:t>
      </w:r>
      <w:r w:rsidR="00F16A1A">
        <w:rPr>
          <w:rFonts w:ascii="Times New Roman" w:hAnsi="Times New Roman" w:cs="Times New Roman"/>
          <w:b/>
          <w:sz w:val="24"/>
          <w:szCs w:val="24"/>
          <w:lang w:val="en-US"/>
        </w:rPr>
        <w:t>.</w:t>
      </w:r>
      <w:r w:rsidR="005C6CBE" w:rsidRPr="005C6CBE">
        <w:rPr>
          <w:rFonts w:ascii="Times New Roman" w:hAnsi="Times New Roman" w:cs="Times New Roman"/>
          <w:b/>
          <w:sz w:val="24"/>
          <w:szCs w:val="24"/>
          <w:lang w:val="en-US"/>
        </w:rPr>
        <w:t>..</w:t>
      </w:r>
      <w:r w:rsidR="00895B12">
        <w:rPr>
          <w:rFonts w:ascii="Times New Roman" w:hAnsi="Times New Roman" w:cs="Times New Roman"/>
          <w:b/>
          <w:sz w:val="24"/>
          <w:szCs w:val="24"/>
          <w:lang w:val="en-US"/>
        </w:rPr>
        <w:t>61</w:t>
      </w:r>
    </w:p>
    <w:p w:rsidR="005C6CBE" w:rsidRPr="005C6CBE" w:rsidRDefault="00DC5CC8" w:rsidP="00C7320E">
      <w:pPr>
        <w:tabs>
          <w:tab w:val="left" w:pos="8931"/>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6</w:t>
      </w:r>
      <w:r w:rsidR="005C6CBE" w:rsidRPr="005C6CBE">
        <w:rPr>
          <w:rFonts w:ascii="Times New Roman" w:hAnsi="Times New Roman" w:cs="Times New Roman"/>
          <w:sz w:val="24"/>
          <w:szCs w:val="24"/>
          <w:lang w:val="en-US"/>
        </w:rPr>
        <w:t>.1 Implications…………………………………………………………………………</w:t>
      </w:r>
      <w:r w:rsidR="00F16A1A">
        <w:rPr>
          <w:rFonts w:ascii="Times New Roman" w:hAnsi="Times New Roman" w:cs="Times New Roman"/>
          <w:sz w:val="24"/>
          <w:szCs w:val="24"/>
          <w:lang w:val="en-US"/>
        </w:rPr>
        <w:t>.</w:t>
      </w:r>
      <w:r w:rsidR="005C6CBE"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61</w:t>
      </w:r>
    </w:p>
    <w:p w:rsidR="005C6CBE" w:rsidRDefault="00DC5CC8" w:rsidP="00C7320E">
      <w:pPr>
        <w:tabs>
          <w:tab w:val="left" w:pos="8931"/>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6</w:t>
      </w:r>
      <w:r w:rsidR="005C6CBE" w:rsidRPr="005C6CBE">
        <w:rPr>
          <w:rFonts w:ascii="Times New Roman" w:hAnsi="Times New Roman" w:cs="Times New Roman"/>
          <w:sz w:val="24"/>
          <w:szCs w:val="24"/>
          <w:lang w:val="en-US"/>
        </w:rPr>
        <w:t>.2 Limitations……………………………………………………………………………..</w:t>
      </w:r>
      <w:r w:rsidR="00895B12">
        <w:rPr>
          <w:rFonts w:ascii="Times New Roman" w:hAnsi="Times New Roman" w:cs="Times New Roman"/>
          <w:sz w:val="24"/>
          <w:szCs w:val="24"/>
          <w:lang w:val="en-US"/>
        </w:rPr>
        <w:t>62</w:t>
      </w:r>
    </w:p>
    <w:p w:rsidR="00F46699" w:rsidRPr="005C6CBE" w:rsidRDefault="00F46699" w:rsidP="00C7320E">
      <w:pPr>
        <w:tabs>
          <w:tab w:val="left" w:pos="8931"/>
        </w:tabs>
        <w:autoSpaceDE w:val="0"/>
        <w:autoSpaceDN w:val="0"/>
        <w:adjustRightInd w:val="0"/>
        <w:spacing w:after="0" w:line="240" w:lineRule="auto"/>
        <w:jc w:val="both"/>
        <w:rPr>
          <w:rFonts w:ascii="Times New Roman" w:hAnsi="Times New Roman" w:cs="Times New Roman"/>
          <w:sz w:val="24"/>
          <w:szCs w:val="24"/>
          <w:lang w:val="en-US"/>
        </w:rPr>
      </w:pPr>
    </w:p>
    <w:p w:rsidR="005C6CBE" w:rsidRDefault="00DC5CC8" w:rsidP="00C7320E">
      <w:pPr>
        <w:tabs>
          <w:tab w:val="left" w:pos="9356"/>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6</w:t>
      </w:r>
      <w:r w:rsidR="005C6CBE" w:rsidRPr="005C6CBE">
        <w:rPr>
          <w:rFonts w:ascii="Times New Roman" w:hAnsi="Times New Roman" w:cs="Times New Roman"/>
          <w:sz w:val="24"/>
          <w:szCs w:val="24"/>
          <w:lang w:val="en-US"/>
        </w:rPr>
        <w:t>.3 Suggestions for futu</w:t>
      </w:r>
      <w:r w:rsidR="00F16A1A">
        <w:rPr>
          <w:rFonts w:ascii="Times New Roman" w:hAnsi="Times New Roman" w:cs="Times New Roman"/>
          <w:sz w:val="24"/>
          <w:szCs w:val="24"/>
          <w:lang w:val="en-US"/>
        </w:rPr>
        <w:t>re research……………………………………………………...</w:t>
      </w:r>
      <w:r w:rsidR="005C6CBE" w:rsidRPr="005C6CBE">
        <w:rPr>
          <w:rFonts w:ascii="Times New Roman" w:hAnsi="Times New Roman" w:cs="Times New Roman"/>
          <w:sz w:val="24"/>
          <w:szCs w:val="24"/>
          <w:lang w:val="en-US"/>
        </w:rPr>
        <w:t>...</w:t>
      </w:r>
      <w:r w:rsidR="00895B12">
        <w:rPr>
          <w:rFonts w:ascii="Times New Roman" w:hAnsi="Times New Roman" w:cs="Times New Roman"/>
          <w:sz w:val="24"/>
          <w:szCs w:val="24"/>
          <w:lang w:val="en-US"/>
        </w:rPr>
        <w:t>63</w:t>
      </w:r>
    </w:p>
    <w:p w:rsidR="00F46699" w:rsidRPr="005C6CBE" w:rsidRDefault="00F46699" w:rsidP="00C7320E">
      <w:pPr>
        <w:tabs>
          <w:tab w:val="left" w:pos="9356"/>
        </w:tabs>
        <w:autoSpaceDE w:val="0"/>
        <w:autoSpaceDN w:val="0"/>
        <w:adjustRightInd w:val="0"/>
        <w:spacing w:after="0" w:line="240" w:lineRule="auto"/>
        <w:jc w:val="both"/>
        <w:rPr>
          <w:rFonts w:ascii="Times New Roman" w:hAnsi="Times New Roman" w:cs="Times New Roman"/>
          <w:sz w:val="24"/>
          <w:szCs w:val="24"/>
          <w:lang w:val="en-US"/>
        </w:rPr>
      </w:pPr>
    </w:p>
    <w:p w:rsidR="00C757A5" w:rsidRDefault="00F17C1C" w:rsidP="00B54C5D">
      <w:pPr>
        <w:pStyle w:val="TOC1"/>
      </w:pPr>
      <w:hyperlink w:anchor="_Toc200538612" w:history="1">
        <w:r w:rsidR="00C757A5" w:rsidRPr="005C6CBE">
          <w:rPr>
            <w:rStyle w:val="Hyperlink"/>
            <w:b/>
            <w:color w:val="auto"/>
          </w:rPr>
          <w:t>R</w:t>
        </w:r>
        <w:r w:rsidR="001D139D">
          <w:rPr>
            <w:rStyle w:val="Hyperlink"/>
            <w:b/>
            <w:color w:val="auto"/>
          </w:rPr>
          <w:t>EFERENCES</w:t>
        </w:r>
        <w:r w:rsidR="00DC5CC8">
          <w:rPr>
            <w:webHidden/>
          </w:rPr>
          <w:t>………………………………………………………………………..</w:t>
        </w:r>
        <w:r w:rsidR="005C6CBE" w:rsidRPr="005C6CBE">
          <w:rPr>
            <w:webHidden/>
          </w:rPr>
          <w:t>…</w:t>
        </w:r>
        <w:r w:rsidR="00F16A1A">
          <w:rPr>
            <w:webHidden/>
          </w:rPr>
          <w:t>..</w:t>
        </w:r>
        <w:r w:rsidR="005C6CBE" w:rsidRPr="005C6CBE">
          <w:rPr>
            <w:webHidden/>
          </w:rPr>
          <w:t>...</w:t>
        </w:r>
        <w:r w:rsidR="00895B12" w:rsidRPr="00B54C5D">
          <w:rPr>
            <w:b/>
            <w:webHidden/>
          </w:rPr>
          <w:t>64</w:t>
        </w:r>
      </w:hyperlink>
    </w:p>
    <w:p w:rsidR="00F46699" w:rsidRPr="00F46699" w:rsidRDefault="00F46699" w:rsidP="00C7320E">
      <w:pPr>
        <w:spacing w:line="240" w:lineRule="auto"/>
        <w:rPr>
          <w:lang w:val="en-US"/>
        </w:rPr>
      </w:pPr>
    </w:p>
    <w:p w:rsidR="00F46699" w:rsidRDefault="00F17C1C" w:rsidP="00B54C5D">
      <w:pPr>
        <w:pStyle w:val="TOC1"/>
      </w:pPr>
      <w:hyperlink w:anchor="_Toc200538612" w:history="1">
        <w:r w:rsidR="005C6CBE" w:rsidRPr="005C6CBE">
          <w:rPr>
            <w:rStyle w:val="Hyperlink"/>
            <w:b/>
            <w:color w:val="auto"/>
          </w:rPr>
          <w:t>O</w:t>
        </w:r>
        <w:r w:rsidR="001D139D">
          <w:rPr>
            <w:rStyle w:val="Hyperlink"/>
            <w:b/>
            <w:color w:val="auto"/>
          </w:rPr>
          <w:t>THER SOURCES</w:t>
        </w:r>
        <w:r w:rsidR="00DC5CC8">
          <w:rPr>
            <w:webHidden/>
          </w:rPr>
          <w:t>…………………………………………………………………….</w:t>
        </w:r>
        <w:r w:rsidR="00F16A1A">
          <w:rPr>
            <w:webHidden/>
          </w:rPr>
          <w:t>.</w:t>
        </w:r>
        <w:r w:rsidR="005C6CBE" w:rsidRPr="005C6CBE">
          <w:rPr>
            <w:webHidden/>
          </w:rPr>
          <w:t>….</w:t>
        </w:r>
        <w:r w:rsidR="00895B12" w:rsidRPr="00B54C5D">
          <w:rPr>
            <w:b/>
            <w:webHidden/>
          </w:rPr>
          <w:t>73</w:t>
        </w:r>
      </w:hyperlink>
    </w:p>
    <w:p w:rsidR="00F46699" w:rsidRPr="00F46699" w:rsidRDefault="00F46699" w:rsidP="00C7320E">
      <w:pPr>
        <w:spacing w:line="240" w:lineRule="auto"/>
        <w:rPr>
          <w:lang w:val="en-US"/>
        </w:rPr>
      </w:pPr>
    </w:p>
    <w:p w:rsidR="00C757A5" w:rsidRPr="005C6CBE" w:rsidRDefault="00C757A5" w:rsidP="00C7320E">
      <w:pPr>
        <w:tabs>
          <w:tab w:val="right" w:leader="dot" w:pos="9356"/>
        </w:tabs>
        <w:spacing w:line="240" w:lineRule="auto"/>
        <w:rPr>
          <w:rFonts w:ascii="Times New Roman" w:hAnsi="Times New Roman" w:cs="Times New Roman"/>
          <w:b/>
          <w:sz w:val="24"/>
          <w:szCs w:val="24"/>
          <w:lang w:val="en-GB"/>
        </w:rPr>
      </w:pPr>
      <w:r w:rsidRPr="005C6CBE">
        <w:rPr>
          <w:rFonts w:ascii="Times New Roman" w:hAnsi="Times New Roman" w:cs="Times New Roman"/>
          <w:b/>
          <w:sz w:val="24"/>
          <w:szCs w:val="24"/>
          <w:lang w:val="en-GB"/>
        </w:rPr>
        <w:t>A</w:t>
      </w:r>
      <w:r w:rsidR="001D139D">
        <w:rPr>
          <w:rFonts w:ascii="Times New Roman" w:hAnsi="Times New Roman" w:cs="Times New Roman"/>
          <w:b/>
          <w:sz w:val="24"/>
          <w:szCs w:val="24"/>
          <w:lang w:val="en-GB"/>
        </w:rPr>
        <w:t>PPENDIX</w:t>
      </w:r>
      <w:r w:rsidRPr="005C6CBE">
        <w:rPr>
          <w:rFonts w:ascii="Times New Roman" w:hAnsi="Times New Roman" w:cs="Times New Roman"/>
          <w:b/>
          <w:sz w:val="24"/>
          <w:szCs w:val="24"/>
          <w:lang w:val="en-GB"/>
        </w:rPr>
        <w:t>.....................................................................................................................</w:t>
      </w:r>
      <w:r w:rsidR="005C6CBE" w:rsidRPr="005C6CBE">
        <w:rPr>
          <w:rFonts w:ascii="Times New Roman" w:hAnsi="Times New Roman" w:cs="Times New Roman"/>
          <w:b/>
          <w:sz w:val="24"/>
          <w:szCs w:val="24"/>
          <w:lang w:val="en-GB"/>
        </w:rPr>
        <w:t>.</w:t>
      </w:r>
      <w:r w:rsidR="00F16A1A">
        <w:rPr>
          <w:rFonts w:ascii="Times New Roman" w:hAnsi="Times New Roman" w:cs="Times New Roman"/>
          <w:b/>
          <w:sz w:val="24"/>
          <w:szCs w:val="24"/>
          <w:lang w:val="en-GB"/>
        </w:rPr>
        <w:t>...</w:t>
      </w:r>
      <w:r w:rsidR="00DC5CC8">
        <w:rPr>
          <w:rFonts w:ascii="Times New Roman" w:hAnsi="Times New Roman" w:cs="Times New Roman"/>
          <w:b/>
          <w:sz w:val="24"/>
          <w:szCs w:val="24"/>
          <w:lang w:val="en-GB"/>
        </w:rPr>
        <w:t>...</w:t>
      </w:r>
      <w:r w:rsidR="005C6CBE" w:rsidRPr="005C6CBE">
        <w:rPr>
          <w:rFonts w:ascii="Times New Roman" w:hAnsi="Times New Roman" w:cs="Times New Roman"/>
          <w:b/>
          <w:sz w:val="24"/>
          <w:szCs w:val="24"/>
          <w:lang w:val="en-GB"/>
        </w:rPr>
        <w:t>...</w:t>
      </w:r>
      <w:r w:rsidR="00895B12">
        <w:rPr>
          <w:rFonts w:ascii="Times New Roman" w:hAnsi="Times New Roman" w:cs="Times New Roman"/>
          <w:b/>
          <w:sz w:val="24"/>
          <w:szCs w:val="24"/>
          <w:lang w:val="en-GB"/>
        </w:rPr>
        <w:t>75</w:t>
      </w:r>
    </w:p>
    <w:p w:rsidR="00C757A5" w:rsidRPr="005C6CBE" w:rsidRDefault="005C6CBE" w:rsidP="00B54C5D">
      <w:pPr>
        <w:pStyle w:val="TOC1"/>
      </w:pPr>
      <w:r w:rsidRPr="005C6CBE">
        <w:t xml:space="preserve">   </w:t>
      </w:r>
      <w:hyperlink w:anchor="_Toc200538613" w:history="1">
        <w:r w:rsidR="00575A01" w:rsidRPr="005C6CBE">
          <w:rPr>
            <w:rStyle w:val="Hyperlink"/>
            <w:color w:val="auto"/>
          </w:rPr>
          <w:t>A</w:t>
        </w:r>
        <w:r w:rsidR="001D139D">
          <w:rPr>
            <w:rStyle w:val="Hyperlink"/>
            <w:color w:val="auto"/>
          </w:rPr>
          <w:t>PPENDIX</w:t>
        </w:r>
        <w:r w:rsidR="00575A01" w:rsidRPr="005C6CBE">
          <w:rPr>
            <w:rStyle w:val="Hyperlink"/>
            <w:color w:val="auto"/>
          </w:rPr>
          <w:t xml:space="preserve"> A</w:t>
        </w:r>
        <w:r w:rsidRPr="005C6CBE">
          <w:rPr>
            <w:rStyle w:val="Hyperlink"/>
            <w:color w:val="auto"/>
          </w:rPr>
          <w:t>:</w:t>
        </w:r>
        <w:r w:rsidR="00C757A5" w:rsidRPr="005C6CBE">
          <w:rPr>
            <w:rStyle w:val="Hyperlink"/>
            <w:color w:val="auto"/>
          </w:rPr>
          <w:t xml:space="preserve"> </w:t>
        </w:r>
        <w:r w:rsidR="00575A01" w:rsidRPr="005C6CBE">
          <w:rPr>
            <w:rStyle w:val="Hyperlink"/>
            <w:color w:val="auto"/>
          </w:rPr>
          <w:t>Tables</w:t>
        </w:r>
        <w:r w:rsidRPr="005C6CBE">
          <w:rPr>
            <w:rStyle w:val="Hyperlink"/>
            <w:color w:val="auto"/>
          </w:rPr>
          <w:t>...</w:t>
        </w:r>
        <w:r w:rsidRPr="005C6CBE">
          <w:rPr>
            <w:webHidden/>
          </w:rPr>
          <w:t>………………………………………………………………</w:t>
        </w:r>
        <w:r w:rsidR="00DC5CC8">
          <w:rPr>
            <w:webHidden/>
          </w:rPr>
          <w:t>..</w:t>
        </w:r>
        <w:r w:rsidRPr="005C6CBE">
          <w:rPr>
            <w:webHidden/>
          </w:rPr>
          <w:t>…</w:t>
        </w:r>
        <w:r w:rsidR="00B54C5D">
          <w:rPr>
            <w:webHidden/>
          </w:rPr>
          <w:t>.</w:t>
        </w:r>
        <w:r w:rsidR="00895B12">
          <w:rPr>
            <w:webHidden/>
          </w:rPr>
          <w:t>75</w:t>
        </w:r>
      </w:hyperlink>
    </w:p>
    <w:p w:rsidR="00685B4B" w:rsidRPr="005C6CBE" w:rsidRDefault="00F17C1C" w:rsidP="00DC5CC8">
      <w:pPr>
        <w:tabs>
          <w:tab w:val="left" w:pos="8931"/>
        </w:tabs>
        <w:spacing w:line="240" w:lineRule="auto"/>
        <w:jc w:val="both"/>
        <w:rPr>
          <w:rFonts w:ascii="Times New Roman" w:hAnsi="Times New Roman" w:cs="Times New Roman"/>
          <w:sz w:val="24"/>
          <w:szCs w:val="24"/>
          <w:lang w:val="en-US"/>
        </w:rPr>
      </w:pPr>
      <w:r w:rsidRPr="005C6CBE">
        <w:rPr>
          <w:rFonts w:ascii="Times New Roman" w:hAnsi="Times New Roman" w:cs="Times New Roman"/>
          <w:sz w:val="24"/>
          <w:szCs w:val="24"/>
        </w:rPr>
        <w:fldChar w:fldCharType="end"/>
      </w:r>
      <w:r w:rsidR="005C6CBE" w:rsidRPr="005C6CBE">
        <w:rPr>
          <w:rFonts w:ascii="Times New Roman" w:hAnsi="Times New Roman" w:cs="Times New Roman"/>
          <w:sz w:val="24"/>
          <w:szCs w:val="24"/>
          <w:lang w:val="en-US"/>
        </w:rPr>
        <w:t xml:space="preserve">   </w:t>
      </w:r>
      <w:r w:rsidR="00575A01" w:rsidRPr="005C6CBE">
        <w:rPr>
          <w:rFonts w:ascii="Times New Roman" w:hAnsi="Times New Roman" w:cs="Times New Roman"/>
          <w:sz w:val="24"/>
          <w:szCs w:val="24"/>
          <w:lang w:val="en-US"/>
        </w:rPr>
        <w:t>A</w:t>
      </w:r>
      <w:r w:rsidR="001D139D">
        <w:rPr>
          <w:rFonts w:ascii="Times New Roman" w:hAnsi="Times New Roman" w:cs="Times New Roman"/>
          <w:sz w:val="24"/>
          <w:szCs w:val="24"/>
          <w:lang w:val="en-US"/>
        </w:rPr>
        <w:t>PPENDIX</w:t>
      </w:r>
      <w:r w:rsidR="00575A01" w:rsidRPr="005C6CBE">
        <w:rPr>
          <w:rFonts w:ascii="Times New Roman" w:hAnsi="Times New Roman" w:cs="Times New Roman"/>
          <w:sz w:val="24"/>
          <w:szCs w:val="24"/>
          <w:lang w:val="en-US"/>
        </w:rPr>
        <w:t xml:space="preserve"> B</w:t>
      </w:r>
      <w:r w:rsidR="005C6CBE" w:rsidRPr="005C6CBE">
        <w:rPr>
          <w:rFonts w:ascii="Times New Roman" w:hAnsi="Times New Roman" w:cs="Times New Roman"/>
          <w:sz w:val="24"/>
          <w:szCs w:val="24"/>
          <w:lang w:val="en-US"/>
        </w:rPr>
        <w:t>:</w:t>
      </w:r>
      <w:r w:rsidR="00575A01" w:rsidRPr="005C6CBE">
        <w:rPr>
          <w:rFonts w:ascii="Times New Roman" w:hAnsi="Times New Roman" w:cs="Times New Roman"/>
          <w:sz w:val="24"/>
          <w:szCs w:val="24"/>
          <w:lang w:val="en-US"/>
        </w:rPr>
        <w:t xml:space="preserve"> </w:t>
      </w:r>
      <w:r w:rsidR="005C6CBE" w:rsidRPr="005C6CBE">
        <w:rPr>
          <w:rFonts w:ascii="Times New Roman" w:hAnsi="Times New Roman" w:cs="Times New Roman"/>
          <w:sz w:val="24"/>
          <w:szCs w:val="24"/>
          <w:lang w:val="en-US"/>
        </w:rPr>
        <w:t>Figures</w:t>
      </w:r>
      <w:proofErr w:type="gramStart"/>
      <w:r w:rsidR="005C6CBE" w:rsidRPr="005C6CBE">
        <w:rPr>
          <w:rFonts w:ascii="Times New Roman" w:hAnsi="Times New Roman" w:cs="Times New Roman"/>
          <w:sz w:val="24"/>
          <w:szCs w:val="24"/>
          <w:lang w:val="en-US"/>
        </w:rPr>
        <w:t>……………………………………………………………..…</w:t>
      </w:r>
      <w:r w:rsidR="00DC5CC8">
        <w:rPr>
          <w:rFonts w:ascii="Times New Roman" w:hAnsi="Times New Roman" w:cs="Times New Roman"/>
          <w:sz w:val="24"/>
          <w:szCs w:val="24"/>
          <w:lang w:val="en-US"/>
        </w:rPr>
        <w:t>..</w:t>
      </w:r>
      <w:r w:rsidR="00575A01" w:rsidRPr="005C6CBE">
        <w:rPr>
          <w:rFonts w:ascii="Times New Roman" w:hAnsi="Times New Roman" w:cs="Times New Roman"/>
          <w:sz w:val="24"/>
          <w:szCs w:val="24"/>
          <w:lang w:val="en-US"/>
        </w:rPr>
        <w:t>…</w:t>
      </w:r>
      <w:r w:rsidR="002A1ADA">
        <w:rPr>
          <w:rFonts w:ascii="Times New Roman" w:hAnsi="Times New Roman" w:cs="Times New Roman"/>
          <w:sz w:val="24"/>
          <w:szCs w:val="24"/>
          <w:lang w:val="en-US"/>
        </w:rPr>
        <w:t>.</w:t>
      </w:r>
      <w:proofErr w:type="gramEnd"/>
      <w:r w:rsidR="00B54C5D">
        <w:rPr>
          <w:rFonts w:ascii="Times New Roman" w:hAnsi="Times New Roman" w:cs="Times New Roman"/>
          <w:sz w:val="24"/>
          <w:szCs w:val="24"/>
          <w:lang w:val="en-US"/>
        </w:rPr>
        <w:t>84</w:t>
      </w:r>
    </w:p>
    <w:p w:rsidR="00B62429" w:rsidRPr="005538FB" w:rsidRDefault="00B62429" w:rsidP="001A5723">
      <w:pPr>
        <w:jc w:val="center"/>
        <w:rPr>
          <w:rFonts w:ascii="Times New Roman" w:hAnsi="Times New Roman" w:cs="Times New Roman"/>
          <w:b/>
          <w:sz w:val="24"/>
          <w:szCs w:val="24"/>
          <w:lang w:val="en-US"/>
        </w:rPr>
      </w:pPr>
      <w:r w:rsidRPr="005538FB">
        <w:rPr>
          <w:rFonts w:ascii="Times New Roman" w:hAnsi="Times New Roman" w:cs="Times New Roman"/>
          <w:b/>
          <w:sz w:val="24"/>
          <w:szCs w:val="24"/>
          <w:lang w:val="en-US"/>
        </w:rPr>
        <w:lastRenderedPageBreak/>
        <w:t>LIST OF TABLES</w:t>
      </w:r>
      <w:bookmarkEnd w:id="2"/>
    </w:p>
    <w:p w:rsidR="00C757A5" w:rsidRDefault="00C757A5" w:rsidP="00CE09D3">
      <w:pPr>
        <w:spacing w:line="360" w:lineRule="auto"/>
        <w:jc w:val="both"/>
        <w:rPr>
          <w:rFonts w:ascii="Times New Roman" w:hAnsi="Times New Roman" w:cs="Times New Roman"/>
          <w:color w:val="FF0000"/>
          <w:sz w:val="24"/>
          <w:szCs w:val="24"/>
          <w:lang w:val="en-US"/>
        </w:rPr>
      </w:pPr>
    </w:p>
    <w:p w:rsidR="00E02C78" w:rsidRPr="005538FB" w:rsidRDefault="00E02C78" w:rsidP="00CE09D3">
      <w:pPr>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Table 1</w:t>
      </w:r>
      <w:r w:rsidRPr="005538FB">
        <w:rPr>
          <w:rFonts w:ascii="Times New Roman" w:hAnsi="Times New Roman" w:cs="Times New Roman"/>
          <w:sz w:val="24"/>
          <w:szCs w:val="24"/>
          <w:lang w:val="en-US"/>
        </w:rPr>
        <w:tab/>
      </w:r>
      <w:r w:rsidR="00C757A5" w:rsidRPr="005538FB">
        <w:rPr>
          <w:rFonts w:ascii="Times New Roman" w:hAnsi="Times New Roman" w:cs="Times New Roman"/>
          <w:sz w:val="24"/>
          <w:szCs w:val="24"/>
          <w:lang w:val="en-US"/>
        </w:rPr>
        <w:t>Indices-Components-Statistical Methods-Sources</w:t>
      </w:r>
      <w:r w:rsidRPr="005538FB">
        <w:rPr>
          <w:rFonts w:ascii="Times New Roman" w:hAnsi="Times New Roman" w:cs="Times New Roman"/>
          <w:sz w:val="24"/>
          <w:szCs w:val="24"/>
          <w:lang w:val="en-US"/>
        </w:rPr>
        <w:tab/>
      </w:r>
      <w:r w:rsidRPr="005538FB">
        <w:rPr>
          <w:rFonts w:ascii="Times New Roman" w:hAnsi="Times New Roman" w:cs="Times New Roman"/>
          <w:sz w:val="24"/>
          <w:szCs w:val="24"/>
          <w:lang w:val="en-US"/>
        </w:rPr>
        <w:tab/>
      </w:r>
      <w:r w:rsidRPr="005538FB">
        <w:rPr>
          <w:rFonts w:ascii="Times New Roman" w:hAnsi="Times New Roman" w:cs="Times New Roman"/>
          <w:sz w:val="24"/>
          <w:szCs w:val="24"/>
          <w:lang w:val="en-US"/>
        </w:rPr>
        <w:tab/>
      </w:r>
      <w:r w:rsidR="002A1ADA">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B54C5D">
        <w:rPr>
          <w:rFonts w:ascii="Times New Roman" w:hAnsi="Times New Roman" w:cs="Times New Roman"/>
          <w:sz w:val="24"/>
          <w:szCs w:val="24"/>
          <w:lang w:val="en-US"/>
        </w:rPr>
        <w:t>75</w:t>
      </w:r>
      <w:r w:rsidRPr="005538FB">
        <w:rPr>
          <w:rFonts w:ascii="Times New Roman" w:hAnsi="Times New Roman" w:cs="Times New Roman"/>
          <w:sz w:val="24"/>
          <w:szCs w:val="24"/>
          <w:lang w:val="en-US"/>
        </w:rPr>
        <w:t>]</w:t>
      </w:r>
    </w:p>
    <w:p w:rsidR="00E02C78" w:rsidRPr="005538FB" w:rsidRDefault="00E02C78" w:rsidP="00CE09D3">
      <w:pPr>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Table 2</w:t>
      </w:r>
      <w:r w:rsidRPr="005538FB">
        <w:rPr>
          <w:rFonts w:ascii="Times New Roman" w:hAnsi="Times New Roman" w:cs="Times New Roman"/>
          <w:sz w:val="24"/>
          <w:szCs w:val="24"/>
          <w:lang w:val="en-US"/>
        </w:rPr>
        <w:tab/>
      </w:r>
      <w:r w:rsidR="00C757A5" w:rsidRPr="005538FB">
        <w:rPr>
          <w:rFonts w:ascii="Times New Roman" w:hAnsi="Times New Roman" w:cs="Times New Roman"/>
          <w:sz w:val="24"/>
          <w:szCs w:val="24"/>
          <w:lang w:val="en-US"/>
        </w:rPr>
        <w:t xml:space="preserve">Correlation matrix for the initially selected sample of indices </w:t>
      </w:r>
      <w:r w:rsidRPr="005538FB">
        <w:rPr>
          <w:rFonts w:ascii="Times New Roman" w:hAnsi="Times New Roman" w:cs="Times New Roman"/>
          <w:sz w:val="24"/>
          <w:szCs w:val="24"/>
          <w:lang w:val="en-US"/>
        </w:rPr>
        <w:tab/>
      </w:r>
      <w:r w:rsidR="00DC5CC8">
        <w:rPr>
          <w:rFonts w:ascii="Times New Roman" w:hAnsi="Times New Roman" w:cs="Times New Roman"/>
          <w:sz w:val="24"/>
          <w:szCs w:val="24"/>
          <w:lang w:val="en-US"/>
        </w:rPr>
        <w:t xml:space="preserve">  </w:t>
      </w:r>
      <w:r w:rsidR="002A1ADA">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CE09D3">
        <w:rPr>
          <w:rFonts w:ascii="Times New Roman" w:hAnsi="Times New Roman" w:cs="Times New Roman"/>
          <w:sz w:val="24"/>
          <w:szCs w:val="24"/>
          <w:lang w:val="en-US"/>
        </w:rPr>
        <w:t>78</w:t>
      </w:r>
      <w:r w:rsidRPr="005538FB">
        <w:rPr>
          <w:rFonts w:ascii="Times New Roman" w:hAnsi="Times New Roman" w:cs="Times New Roman"/>
          <w:sz w:val="24"/>
          <w:szCs w:val="24"/>
          <w:lang w:val="en-US"/>
        </w:rPr>
        <w:t>]</w:t>
      </w:r>
    </w:p>
    <w:p w:rsidR="00C757A5" w:rsidRPr="005538FB" w:rsidRDefault="00C757A5" w:rsidP="00CE09D3">
      <w:pPr>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Table 3</w:t>
      </w:r>
      <w:r w:rsidRPr="005538FB">
        <w:rPr>
          <w:rFonts w:ascii="Times New Roman" w:hAnsi="Times New Roman" w:cs="Times New Roman"/>
          <w:sz w:val="24"/>
          <w:szCs w:val="24"/>
          <w:lang w:val="en-US"/>
        </w:rPr>
        <w:tab/>
        <w:t>Description of inputs-outputs</w:t>
      </w:r>
      <w:r w:rsidRPr="005538FB">
        <w:rPr>
          <w:rFonts w:ascii="Times New Roman" w:hAnsi="Times New Roman" w:cs="Times New Roman"/>
          <w:sz w:val="24"/>
          <w:szCs w:val="24"/>
          <w:lang w:val="en-US"/>
        </w:rPr>
        <w:tab/>
      </w:r>
      <w:r w:rsidRPr="005538FB">
        <w:rPr>
          <w:rFonts w:ascii="Times New Roman" w:hAnsi="Times New Roman" w:cs="Times New Roman"/>
          <w:sz w:val="24"/>
          <w:szCs w:val="24"/>
          <w:lang w:val="en-US"/>
        </w:rPr>
        <w:tab/>
      </w:r>
      <w:r w:rsidRPr="005538FB">
        <w:rPr>
          <w:rFonts w:ascii="Times New Roman" w:hAnsi="Times New Roman" w:cs="Times New Roman"/>
          <w:sz w:val="24"/>
          <w:szCs w:val="24"/>
          <w:lang w:val="en-US"/>
        </w:rPr>
        <w:tab/>
      </w:r>
      <w:r w:rsidR="00DC1575" w:rsidRPr="005538FB">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2A1ADA">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CE09D3">
        <w:rPr>
          <w:rFonts w:ascii="Times New Roman" w:hAnsi="Times New Roman" w:cs="Times New Roman"/>
          <w:sz w:val="24"/>
          <w:szCs w:val="24"/>
          <w:lang w:val="en-US"/>
        </w:rPr>
        <w:t>79</w:t>
      </w:r>
      <w:r w:rsidRPr="005538FB">
        <w:rPr>
          <w:rFonts w:ascii="Times New Roman" w:hAnsi="Times New Roman" w:cs="Times New Roman"/>
          <w:sz w:val="24"/>
          <w:szCs w:val="24"/>
          <w:lang w:val="en-US"/>
        </w:rPr>
        <w:t>]</w:t>
      </w:r>
    </w:p>
    <w:p w:rsidR="00C757A5" w:rsidRDefault="00C757A5" w:rsidP="00CE09D3">
      <w:pPr>
        <w:pStyle w:val="Caption"/>
        <w:keepNext/>
        <w:spacing w:line="360" w:lineRule="auto"/>
        <w:jc w:val="both"/>
        <w:rPr>
          <w:rFonts w:ascii="Times New Roman" w:hAnsi="Times New Roman" w:cs="Times New Roman"/>
          <w:b w:val="0"/>
          <w:color w:val="auto"/>
          <w:sz w:val="24"/>
          <w:szCs w:val="24"/>
          <w:lang w:val="en-US"/>
        </w:rPr>
      </w:pPr>
      <w:r w:rsidRPr="00C7320E">
        <w:rPr>
          <w:rFonts w:ascii="Times New Roman" w:hAnsi="Times New Roman" w:cs="Times New Roman"/>
          <w:color w:val="auto"/>
          <w:sz w:val="24"/>
          <w:szCs w:val="24"/>
          <w:lang w:val="en-US"/>
        </w:rPr>
        <w:t>Table 4</w:t>
      </w:r>
      <w:r w:rsidR="00987670" w:rsidRPr="00C7320E">
        <w:rPr>
          <w:rFonts w:ascii="Times New Roman" w:hAnsi="Times New Roman" w:cs="Times New Roman"/>
          <w:color w:val="auto"/>
          <w:sz w:val="24"/>
          <w:szCs w:val="24"/>
          <w:lang w:val="en-US"/>
        </w:rPr>
        <w:t xml:space="preserve"> (a)</w:t>
      </w:r>
      <w:r w:rsidRPr="005538FB">
        <w:rPr>
          <w:rFonts w:ascii="Times New Roman" w:hAnsi="Times New Roman" w:cs="Times New Roman"/>
          <w:b w:val="0"/>
          <w:color w:val="auto"/>
          <w:sz w:val="24"/>
          <w:szCs w:val="24"/>
          <w:lang w:val="en-US"/>
        </w:rPr>
        <w:tab/>
        <w:t xml:space="preserve">Lead - Lag- Co-movement Testing   </w:t>
      </w:r>
      <w:r w:rsidR="00DC1575" w:rsidRPr="005538FB">
        <w:rPr>
          <w:rFonts w:ascii="Times New Roman" w:hAnsi="Times New Roman" w:cs="Times New Roman"/>
          <w:b w:val="0"/>
          <w:color w:val="auto"/>
          <w:sz w:val="24"/>
          <w:szCs w:val="24"/>
          <w:lang w:val="en-US"/>
        </w:rPr>
        <w:t xml:space="preserve">                                             </w:t>
      </w:r>
      <w:r w:rsidR="0058370E">
        <w:rPr>
          <w:rFonts w:ascii="Times New Roman" w:hAnsi="Times New Roman" w:cs="Times New Roman"/>
          <w:b w:val="0"/>
          <w:color w:val="auto"/>
          <w:sz w:val="24"/>
          <w:szCs w:val="24"/>
          <w:lang w:val="en-US"/>
        </w:rPr>
        <w:t xml:space="preserve">        </w:t>
      </w:r>
      <w:r w:rsidR="00DC1575" w:rsidRPr="005538FB">
        <w:rPr>
          <w:rFonts w:ascii="Times New Roman" w:hAnsi="Times New Roman" w:cs="Times New Roman"/>
          <w:b w:val="0"/>
          <w:color w:val="auto"/>
          <w:sz w:val="24"/>
          <w:szCs w:val="24"/>
          <w:lang w:val="en-US"/>
        </w:rPr>
        <w:t xml:space="preserve">  </w:t>
      </w:r>
      <w:r w:rsidR="00DC5CC8">
        <w:rPr>
          <w:rFonts w:ascii="Times New Roman" w:hAnsi="Times New Roman" w:cs="Times New Roman"/>
          <w:b w:val="0"/>
          <w:color w:val="auto"/>
          <w:sz w:val="24"/>
          <w:szCs w:val="24"/>
          <w:lang w:val="en-US"/>
        </w:rPr>
        <w:t xml:space="preserve"> </w:t>
      </w:r>
      <w:r w:rsidRPr="005538FB">
        <w:rPr>
          <w:rFonts w:ascii="Times New Roman" w:hAnsi="Times New Roman" w:cs="Times New Roman"/>
          <w:b w:val="0"/>
          <w:color w:val="auto"/>
          <w:sz w:val="24"/>
          <w:szCs w:val="24"/>
          <w:lang w:val="en-US"/>
        </w:rPr>
        <w:t xml:space="preserve"> [</w:t>
      </w:r>
      <w:r w:rsidR="00CE09D3">
        <w:rPr>
          <w:rFonts w:ascii="Times New Roman" w:hAnsi="Times New Roman" w:cs="Times New Roman"/>
          <w:b w:val="0"/>
          <w:color w:val="auto"/>
          <w:sz w:val="24"/>
          <w:szCs w:val="24"/>
          <w:lang w:val="en-US"/>
        </w:rPr>
        <w:t>81</w:t>
      </w:r>
      <w:r w:rsidRPr="005538FB">
        <w:rPr>
          <w:rFonts w:ascii="Times New Roman" w:hAnsi="Times New Roman" w:cs="Times New Roman"/>
          <w:b w:val="0"/>
          <w:color w:val="auto"/>
          <w:sz w:val="24"/>
          <w:szCs w:val="24"/>
          <w:lang w:val="en-US"/>
        </w:rPr>
        <w:t>]</w:t>
      </w:r>
    </w:p>
    <w:p w:rsidR="00987670" w:rsidRDefault="00E33CB8" w:rsidP="00CE09D3">
      <w:pPr>
        <w:pStyle w:val="Caption"/>
        <w:keepNext/>
        <w:jc w:val="both"/>
        <w:rPr>
          <w:rFonts w:ascii="Times New Roman" w:hAnsi="Times New Roman" w:cs="Times New Roman"/>
          <w:b w:val="0"/>
          <w:color w:val="auto"/>
          <w:sz w:val="24"/>
          <w:szCs w:val="24"/>
          <w:lang w:val="en-US"/>
        </w:rPr>
      </w:pPr>
      <w:r w:rsidRPr="00C7320E">
        <w:rPr>
          <w:rFonts w:ascii="Times New Roman" w:hAnsi="Times New Roman" w:cs="Times New Roman"/>
          <w:color w:val="auto"/>
          <w:sz w:val="24"/>
          <w:szCs w:val="24"/>
          <w:lang w:val="en-US"/>
        </w:rPr>
        <w:t>Table 4</w:t>
      </w:r>
      <w:r w:rsidR="00987670" w:rsidRPr="00C7320E">
        <w:rPr>
          <w:rFonts w:ascii="Times New Roman" w:hAnsi="Times New Roman" w:cs="Times New Roman"/>
          <w:color w:val="auto"/>
          <w:sz w:val="24"/>
          <w:szCs w:val="24"/>
          <w:lang w:val="en-US"/>
        </w:rPr>
        <w:t xml:space="preserve"> (b)</w:t>
      </w:r>
      <w:r w:rsidRPr="005538FB">
        <w:rPr>
          <w:rFonts w:ascii="Times New Roman" w:hAnsi="Times New Roman" w:cs="Times New Roman"/>
          <w:b w:val="0"/>
          <w:color w:val="auto"/>
          <w:sz w:val="24"/>
          <w:szCs w:val="24"/>
          <w:lang w:val="en-US"/>
        </w:rPr>
        <w:tab/>
        <w:t xml:space="preserve">Lead - Lag- Co-movement Testing </w:t>
      </w:r>
      <w:r w:rsidR="00987670">
        <w:rPr>
          <w:rFonts w:ascii="Times New Roman" w:hAnsi="Times New Roman" w:cs="Times New Roman"/>
          <w:b w:val="0"/>
          <w:color w:val="auto"/>
          <w:sz w:val="24"/>
          <w:szCs w:val="24"/>
          <w:lang w:val="en-US"/>
        </w:rPr>
        <w:t>for</w:t>
      </w:r>
      <w:r w:rsidR="00987670" w:rsidRPr="00987670">
        <w:rPr>
          <w:rFonts w:ascii="Times New Roman" w:hAnsi="Times New Roman" w:cs="Times New Roman"/>
          <w:b w:val="0"/>
          <w:color w:val="auto"/>
          <w:sz w:val="24"/>
          <w:szCs w:val="24"/>
          <w:lang w:val="en-US"/>
        </w:rPr>
        <w:t xml:space="preserve"> the difference between</w:t>
      </w:r>
    </w:p>
    <w:p w:rsidR="00E33CB8" w:rsidRPr="005538FB" w:rsidRDefault="00987670" w:rsidP="00CE09D3">
      <w:pPr>
        <w:pStyle w:val="Caption"/>
        <w:keepNext/>
        <w:jc w:val="both"/>
        <w:rPr>
          <w:rFonts w:ascii="Times New Roman" w:hAnsi="Times New Roman" w:cs="Times New Roman"/>
          <w:color w:val="auto"/>
          <w:sz w:val="24"/>
          <w:szCs w:val="24"/>
          <w:lang w:val="en-US"/>
        </w:rPr>
      </w:pPr>
      <w:r w:rsidRPr="00987670">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 xml:space="preserve">                       </w:t>
      </w:r>
      <w:proofErr w:type="gramStart"/>
      <w:r w:rsidRPr="00987670">
        <w:rPr>
          <w:rFonts w:ascii="Times New Roman" w:hAnsi="Times New Roman" w:cs="Times New Roman"/>
          <w:b w:val="0"/>
          <w:color w:val="auto"/>
          <w:sz w:val="24"/>
          <w:szCs w:val="24"/>
          <w:lang w:val="en-US"/>
        </w:rPr>
        <w:t>big</w:t>
      </w:r>
      <w:proofErr w:type="gramEnd"/>
      <w:r w:rsidRPr="00987670">
        <w:rPr>
          <w:rFonts w:ascii="Times New Roman" w:hAnsi="Times New Roman" w:cs="Times New Roman"/>
          <w:b w:val="0"/>
          <w:color w:val="auto"/>
          <w:sz w:val="24"/>
          <w:szCs w:val="24"/>
          <w:lang w:val="en-US"/>
        </w:rPr>
        <w:t xml:space="preserve"> and small cap stocks</w:t>
      </w:r>
      <w:r w:rsidR="00E33CB8" w:rsidRPr="005538FB">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 xml:space="preserve">                             </w:t>
      </w:r>
      <w:r w:rsidR="00CE09D3">
        <w:rPr>
          <w:rFonts w:ascii="Times New Roman" w:hAnsi="Times New Roman" w:cs="Times New Roman"/>
          <w:b w:val="0"/>
          <w:color w:val="auto"/>
          <w:sz w:val="24"/>
          <w:szCs w:val="24"/>
          <w:lang w:val="en-US"/>
        </w:rPr>
        <w:t xml:space="preserve">                       </w:t>
      </w:r>
      <w:r w:rsidR="008A0EBA">
        <w:rPr>
          <w:rFonts w:ascii="Times New Roman" w:hAnsi="Times New Roman" w:cs="Times New Roman"/>
          <w:b w:val="0"/>
          <w:color w:val="auto"/>
          <w:sz w:val="24"/>
          <w:szCs w:val="24"/>
          <w:lang w:val="en-US"/>
        </w:rPr>
        <w:t xml:space="preserve"> </w:t>
      </w:r>
      <w:r w:rsidR="0058370E">
        <w:rPr>
          <w:rFonts w:ascii="Times New Roman" w:hAnsi="Times New Roman" w:cs="Times New Roman"/>
          <w:b w:val="0"/>
          <w:color w:val="auto"/>
          <w:sz w:val="24"/>
          <w:szCs w:val="24"/>
          <w:lang w:val="en-US"/>
        </w:rPr>
        <w:t xml:space="preserve">            </w:t>
      </w:r>
      <w:r w:rsidR="00DC5CC8">
        <w:rPr>
          <w:rFonts w:ascii="Times New Roman" w:hAnsi="Times New Roman" w:cs="Times New Roman"/>
          <w:b w:val="0"/>
          <w:color w:val="auto"/>
          <w:sz w:val="24"/>
          <w:szCs w:val="24"/>
          <w:lang w:val="en-US"/>
        </w:rPr>
        <w:t xml:space="preserve">   </w:t>
      </w:r>
      <w:r w:rsidR="00E33CB8" w:rsidRPr="005538FB">
        <w:rPr>
          <w:rFonts w:ascii="Times New Roman" w:hAnsi="Times New Roman" w:cs="Times New Roman"/>
          <w:b w:val="0"/>
          <w:color w:val="auto"/>
          <w:sz w:val="24"/>
          <w:szCs w:val="24"/>
          <w:lang w:val="en-US"/>
        </w:rPr>
        <w:t>[</w:t>
      </w:r>
      <w:r w:rsidR="00CE09D3">
        <w:rPr>
          <w:rFonts w:ascii="Times New Roman" w:hAnsi="Times New Roman" w:cs="Times New Roman"/>
          <w:b w:val="0"/>
          <w:color w:val="auto"/>
          <w:sz w:val="24"/>
          <w:szCs w:val="24"/>
          <w:lang w:val="en-US"/>
        </w:rPr>
        <w:t>83</w:t>
      </w:r>
      <w:r w:rsidR="00E33CB8" w:rsidRPr="005538FB">
        <w:rPr>
          <w:rFonts w:ascii="Times New Roman" w:hAnsi="Times New Roman" w:cs="Times New Roman"/>
          <w:b w:val="0"/>
          <w:color w:val="auto"/>
          <w:sz w:val="24"/>
          <w:szCs w:val="24"/>
          <w:lang w:val="en-US"/>
        </w:rPr>
        <w:t>]</w:t>
      </w:r>
    </w:p>
    <w:p w:rsidR="00C757A5" w:rsidRPr="005538FB" w:rsidRDefault="00C757A5" w:rsidP="00CE09D3">
      <w:pPr>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Table 5</w:t>
      </w:r>
      <w:r w:rsidRPr="005538FB">
        <w:rPr>
          <w:rFonts w:ascii="Times New Roman" w:hAnsi="Times New Roman" w:cs="Times New Roman"/>
          <w:sz w:val="24"/>
          <w:szCs w:val="24"/>
          <w:lang w:val="en-US"/>
        </w:rPr>
        <w:tab/>
        <w:t>Descriptive Statistics of Indices</w:t>
      </w:r>
      <w:r w:rsidRPr="005538FB">
        <w:rPr>
          <w:rFonts w:ascii="Times New Roman" w:hAnsi="Times New Roman" w:cs="Times New Roman"/>
          <w:sz w:val="24"/>
          <w:szCs w:val="24"/>
          <w:lang w:val="en-US"/>
        </w:rPr>
        <w:tab/>
      </w:r>
      <w:r w:rsidRPr="005538FB">
        <w:rPr>
          <w:rFonts w:ascii="Times New Roman" w:hAnsi="Times New Roman" w:cs="Times New Roman"/>
          <w:sz w:val="24"/>
          <w:szCs w:val="24"/>
          <w:lang w:val="en-US"/>
        </w:rPr>
        <w:tab/>
      </w:r>
      <w:r w:rsidR="00DC1575" w:rsidRPr="005538FB">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8A0EBA">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CE09D3">
        <w:rPr>
          <w:rFonts w:ascii="Times New Roman" w:hAnsi="Times New Roman" w:cs="Times New Roman"/>
          <w:sz w:val="24"/>
          <w:szCs w:val="24"/>
          <w:lang w:val="en-US"/>
        </w:rPr>
        <w:t>84</w:t>
      </w:r>
      <w:r w:rsidRPr="005538FB">
        <w:rPr>
          <w:rFonts w:ascii="Times New Roman" w:hAnsi="Times New Roman" w:cs="Times New Roman"/>
          <w:sz w:val="24"/>
          <w:szCs w:val="24"/>
          <w:lang w:val="en-US"/>
        </w:rPr>
        <w:t>]</w:t>
      </w:r>
    </w:p>
    <w:p w:rsidR="00C757A5" w:rsidRPr="005538FB" w:rsidRDefault="00C757A5" w:rsidP="00CE09D3">
      <w:pPr>
        <w:pStyle w:val="Caption"/>
        <w:keepNext/>
        <w:spacing w:line="360" w:lineRule="auto"/>
        <w:jc w:val="both"/>
        <w:rPr>
          <w:rFonts w:ascii="Times New Roman" w:hAnsi="Times New Roman" w:cs="Times New Roman"/>
          <w:color w:val="auto"/>
          <w:sz w:val="24"/>
          <w:szCs w:val="24"/>
          <w:lang w:val="en-US"/>
        </w:rPr>
      </w:pPr>
      <w:r w:rsidRPr="00C7320E">
        <w:rPr>
          <w:rFonts w:ascii="Times New Roman" w:hAnsi="Times New Roman" w:cs="Times New Roman"/>
          <w:color w:val="auto"/>
          <w:sz w:val="24"/>
          <w:szCs w:val="24"/>
          <w:lang w:val="en-US"/>
        </w:rPr>
        <w:t>Table 6</w:t>
      </w:r>
      <w:r w:rsidRPr="005538FB">
        <w:rPr>
          <w:rFonts w:ascii="Times New Roman" w:hAnsi="Times New Roman" w:cs="Times New Roman"/>
          <w:b w:val="0"/>
          <w:color w:val="auto"/>
          <w:sz w:val="24"/>
          <w:szCs w:val="24"/>
          <w:lang w:val="en-US"/>
        </w:rPr>
        <w:tab/>
        <w:t>Analysis Summary</w:t>
      </w:r>
      <w:r w:rsidR="00987670">
        <w:rPr>
          <w:rFonts w:ascii="Times New Roman" w:hAnsi="Times New Roman" w:cs="Times New Roman"/>
          <w:b w:val="0"/>
          <w:color w:val="auto"/>
          <w:sz w:val="24"/>
          <w:szCs w:val="24"/>
          <w:lang w:val="en-US"/>
        </w:rPr>
        <w:t xml:space="preserve"> of commodities</w:t>
      </w:r>
      <w:r w:rsidRPr="005538FB">
        <w:rPr>
          <w:rFonts w:ascii="Times New Roman" w:hAnsi="Times New Roman" w:cs="Times New Roman"/>
          <w:color w:val="auto"/>
          <w:sz w:val="24"/>
          <w:szCs w:val="24"/>
          <w:lang w:val="en-US"/>
        </w:rPr>
        <w:tab/>
      </w:r>
      <w:r w:rsidR="00DC1575" w:rsidRPr="005538FB">
        <w:rPr>
          <w:rFonts w:ascii="Times New Roman" w:hAnsi="Times New Roman" w:cs="Times New Roman"/>
          <w:color w:val="auto"/>
          <w:sz w:val="24"/>
          <w:szCs w:val="24"/>
          <w:lang w:val="en-US"/>
        </w:rPr>
        <w:t xml:space="preserve">                                     </w:t>
      </w:r>
      <w:r w:rsidRPr="005538FB">
        <w:rPr>
          <w:rFonts w:ascii="Times New Roman" w:hAnsi="Times New Roman" w:cs="Times New Roman"/>
          <w:color w:val="auto"/>
          <w:sz w:val="24"/>
          <w:szCs w:val="24"/>
          <w:lang w:val="en-US"/>
        </w:rPr>
        <w:tab/>
      </w:r>
      <w:r w:rsidR="00DC5CC8">
        <w:rPr>
          <w:rFonts w:ascii="Times New Roman" w:hAnsi="Times New Roman" w:cs="Times New Roman"/>
          <w:color w:val="auto"/>
          <w:sz w:val="24"/>
          <w:szCs w:val="24"/>
          <w:lang w:val="en-US"/>
        </w:rPr>
        <w:t xml:space="preserve"> </w:t>
      </w:r>
      <w:r w:rsidR="002A1ADA">
        <w:rPr>
          <w:rFonts w:ascii="Times New Roman" w:hAnsi="Times New Roman" w:cs="Times New Roman"/>
          <w:color w:val="auto"/>
          <w:sz w:val="24"/>
          <w:szCs w:val="24"/>
          <w:lang w:val="en-US"/>
        </w:rPr>
        <w:t xml:space="preserve"> </w:t>
      </w:r>
      <w:r w:rsidR="00F16A1A">
        <w:rPr>
          <w:rFonts w:ascii="Times New Roman" w:hAnsi="Times New Roman" w:cs="Times New Roman"/>
          <w:color w:val="auto"/>
          <w:sz w:val="24"/>
          <w:szCs w:val="24"/>
          <w:lang w:val="en-US"/>
        </w:rPr>
        <w:t xml:space="preserve"> </w:t>
      </w:r>
      <w:r w:rsidR="008A0EBA">
        <w:rPr>
          <w:rFonts w:ascii="Times New Roman" w:hAnsi="Times New Roman" w:cs="Times New Roman"/>
          <w:color w:val="auto"/>
          <w:sz w:val="24"/>
          <w:szCs w:val="24"/>
          <w:lang w:val="en-US"/>
        </w:rPr>
        <w:t xml:space="preserve"> </w:t>
      </w:r>
      <w:r w:rsidR="002A1ADA">
        <w:rPr>
          <w:rFonts w:ascii="Times New Roman" w:hAnsi="Times New Roman" w:cs="Times New Roman"/>
          <w:color w:val="auto"/>
          <w:sz w:val="24"/>
          <w:szCs w:val="24"/>
          <w:lang w:val="en-US"/>
        </w:rPr>
        <w:t xml:space="preserve"> </w:t>
      </w:r>
      <w:r w:rsidR="00DC5CC8">
        <w:rPr>
          <w:rFonts w:ascii="Times New Roman" w:hAnsi="Times New Roman" w:cs="Times New Roman"/>
          <w:color w:val="auto"/>
          <w:sz w:val="24"/>
          <w:szCs w:val="24"/>
          <w:lang w:val="en-US"/>
        </w:rPr>
        <w:t xml:space="preserve">  </w:t>
      </w:r>
      <w:r w:rsidR="00CE09D3">
        <w:rPr>
          <w:rFonts w:ascii="Times New Roman" w:hAnsi="Times New Roman" w:cs="Times New Roman"/>
          <w:color w:val="auto"/>
          <w:sz w:val="24"/>
          <w:szCs w:val="24"/>
          <w:lang w:val="en-US"/>
        </w:rPr>
        <w:t xml:space="preserve"> </w:t>
      </w:r>
      <w:r w:rsidR="00DC1575" w:rsidRPr="005538FB">
        <w:rPr>
          <w:rFonts w:ascii="Times New Roman" w:hAnsi="Times New Roman" w:cs="Times New Roman"/>
          <w:color w:val="auto"/>
          <w:sz w:val="24"/>
          <w:szCs w:val="24"/>
          <w:lang w:val="en-US"/>
        </w:rPr>
        <w:t xml:space="preserve"> </w:t>
      </w:r>
      <w:r w:rsidRPr="005538FB">
        <w:rPr>
          <w:rFonts w:ascii="Times New Roman" w:hAnsi="Times New Roman" w:cs="Times New Roman"/>
          <w:b w:val="0"/>
          <w:color w:val="auto"/>
          <w:sz w:val="24"/>
          <w:szCs w:val="24"/>
          <w:lang w:val="en-US"/>
        </w:rPr>
        <w:t>[</w:t>
      </w:r>
      <w:r w:rsidR="00B54C5D">
        <w:rPr>
          <w:rFonts w:ascii="Times New Roman" w:hAnsi="Times New Roman" w:cs="Times New Roman"/>
          <w:b w:val="0"/>
          <w:color w:val="auto"/>
          <w:sz w:val="24"/>
          <w:szCs w:val="24"/>
          <w:lang w:val="en-US"/>
        </w:rPr>
        <w:t>48</w:t>
      </w:r>
      <w:r w:rsidRPr="005538FB">
        <w:rPr>
          <w:rFonts w:ascii="Times New Roman" w:hAnsi="Times New Roman" w:cs="Times New Roman"/>
          <w:b w:val="0"/>
          <w:color w:val="auto"/>
          <w:sz w:val="24"/>
          <w:szCs w:val="24"/>
          <w:lang w:val="en-US"/>
        </w:rPr>
        <w:t>]</w:t>
      </w:r>
    </w:p>
    <w:p w:rsidR="00C757A5" w:rsidRPr="005538FB" w:rsidRDefault="00C757A5" w:rsidP="00CE09D3">
      <w:pPr>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Table 7</w:t>
      </w:r>
      <w:r w:rsidRPr="005538FB">
        <w:rPr>
          <w:rFonts w:ascii="Times New Roman" w:hAnsi="Times New Roman" w:cs="Times New Roman"/>
          <w:sz w:val="24"/>
          <w:szCs w:val="24"/>
          <w:lang w:val="en-US"/>
        </w:rPr>
        <w:tab/>
        <w:t xml:space="preserve">Analysis Summary </w:t>
      </w:r>
      <w:r w:rsidR="00987670">
        <w:rPr>
          <w:rFonts w:ascii="Times New Roman" w:hAnsi="Times New Roman" w:cs="Times New Roman"/>
          <w:sz w:val="24"/>
          <w:szCs w:val="24"/>
          <w:lang w:val="en-US"/>
        </w:rPr>
        <w:t xml:space="preserve">of currencies                                          </w:t>
      </w:r>
      <w:r w:rsidR="00DC1575" w:rsidRPr="005538FB">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F16A1A">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002A1ADA">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B54C5D">
        <w:rPr>
          <w:rFonts w:ascii="Times New Roman" w:hAnsi="Times New Roman" w:cs="Times New Roman"/>
          <w:sz w:val="24"/>
          <w:szCs w:val="24"/>
          <w:lang w:val="en-US"/>
        </w:rPr>
        <w:t>50</w:t>
      </w:r>
      <w:r w:rsidRPr="005538FB">
        <w:rPr>
          <w:rFonts w:ascii="Times New Roman" w:hAnsi="Times New Roman" w:cs="Times New Roman"/>
          <w:sz w:val="24"/>
          <w:szCs w:val="24"/>
          <w:lang w:val="en-US"/>
        </w:rPr>
        <w:t>]</w:t>
      </w:r>
    </w:p>
    <w:p w:rsidR="00C757A5" w:rsidRPr="005538FB" w:rsidRDefault="00C757A5" w:rsidP="00CE09D3">
      <w:pPr>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Table 8</w:t>
      </w:r>
      <w:r w:rsidRPr="005538FB">
        <w:rPr>
          <w:rFonts w:ascii="Times New Roman" w:hAnsi="Times New Roman" w:cs="Times New Roman"/>
          <w:sz w:val="24"/>
          <w:szCs w:val="24"/>
          <w:lang w:val="en-US"/>
        </w:rPr>
        <w:tab/>
      </w:r>
      <w:r w:rsidR="00987670" w:rsidRPr="005538FB">
        <w:rPr>
          <w:rFonts w:ascii="Times New Roman" w:hAnsi="Times New Roman" w:cs="Times New Roman"/>
          <w:sz w:val="24"/>
          <w:szCs w:val="24"/>
          <w:lang w:val="en-US"/>
        </w:rPr>
        <w:t xml:space="preserve">Analysis Summary </w:t>
      </w:r>
      <w:r w:rsidR="00987670">
        <w:rPr>
          <w:rFonts w:ascii="Times New Roman" w:hAnsi="Times New Roman" w:cs="Times New Roman"/>
          <w:sz w:val="24"/>
          <w:szCs w:val="24"/>
          <w:lang w:val="en-US"/>
        </w:rPr>
        <w:t xml:space="preserve">of bonds                                          </w:t>
      </w:r>
      <w:r w:rsidR="00DC1575" w:rsidRPr="005538FB">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B54C5D">
        <w:rPr>
          <w:rFonts w:ascii="Times New Roman" w:hAnsi="Times New Roman" w:cs="Times New Roman"/>
          <w:sz w:val="24"/>
          <w:szCs w:val="24"/>
          <w:lang w:val="en-US"/>
        </w:rPr>
        <w:t>52</w:t>
      </w:r>
      <w:r w:rsidRPr="005538FB">
        <w:rPr>
          <w:rFonts w:ascii="Times New Roman" w:hAnsi="Times New Roman" w:cs="Times New Roman"/>
          <w:sz w:val="24"/>
          <w:szCs w:val="24"/>
          <w:lang w:val="en-US"/>
        </w:rPr>
        <w:t>]</w:t>
      </w:r>
    </w:p>
    <w:p w:rsidR="005538FB" w:rsidRDefault="005538FB" w:rsidP="00CE09D3">
      <w:pPr>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Table 9</w:t>
      </w:r>
      <w:r w:rsidRPr="005538FB">
        <w:rPr>
          <w:rFonts w:ascii="Times New Roman" w:hAnsi="Times New Roman" w:cs="Times New Roman"/>
          <w:sz w:val="24"/>
          <w:szCs w:val="24"/>
          <w:lang w:val="en-US"/>
        </w:rPr>
        <w:tab/>
      </w:r>
      <w:r w:rsidR="00987670" w:rsidRPr="005538FB">
        <w:rPr>
          <w:rFonts w:ascii="Times New Roman" w:hAnsi="Times New Roman" w:cs="Times New Roman"/>
          <w:sz w:val="24"/>
          <w:szCs w:val="24"/>
          <w:lang w:val="en-US"/>
        </w:rPr>
        <w:t xml:space="preserve">Analysis Summary </w:t>
      </w:r>
      <w:r w:rsidR="00987670">
        <w:rPr>
          <w:rFonts w:ascii="Times New Roman" w:hAnsi="Times New Roman" w:cs="Times New Roman"/>
          <w:sz w:val="24"/>
          <w:szCs w:val="24"/>
          <w:lang w:val="en-US"/>
        </w:rPr>
        <w:t xml:space="preserve">of stocks                          </w:t>
      </w:r>
      <w:r w:rsidRPr="005538FB">
        <w:rPr>
          <w:rFonts w:ascii="Times New Roman" w:hAnsi="Times New Roman" w:cs="Times New Roman"/>
          <w:sz w:val="24"/>
          <w:szCs w:val="24"/>
          <w:lang w:val="en-US"/>
        </w:rPr>
        <w:t xml:space="preserve">                            </w:t>
      </w:r>
      <w:r w:rsidR="00C7320E">
        <w:rPr>
          <w:rFonts w:ascii="Times New Roman" w:hAnsi="Times New Roman" w:cs="Times New Roman"/>
          <w:sz w:val="24"/>
          <w:szCs w:val="24"/>
          <w:lang w:val="en-US"/>
        </w:rPr>
        <w:t xml:space="preserve"> </w:t>
      </w:r>
      <w:r w:rsidR="00CE09D3">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CE09D3">
        <w:rPr>
          <w:rFonts w:ascii="Times New Roman" w:hAnsi="Times New Roman" w:cs="Times New Roman"/>
          <w:sz w:val="24"/>
          <w:szCs w:val="24"/>
          <w:lang w:val="en-US"/>
        </w:rPr>
        <w:t xml:space="preserve">   </w:t>
      </w:r>
      <w:r w:rsidR="008A0EBA">
        <w:rPr>
          <w:rFonts w:ascii="Times New Roman" w:hAnsi="Times New Roman" w:cs="Times New Roman"/>
          <w:sz w:val="24"/>
          <w:szCs w:val="24"/>
          <w:lang w:val="en-US"/>
        </w:rPr>
        <w:t xml:space="preserve"> </w:t>
      </w:r>
      <w:r w:rsidR="002A1ADA">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 xml:space="preserve"> [</w:t>
      </w:r>
      <w:r w:rsidR="00B54C5D">
        <w:rPr>
          <w:rFonts w:ascii="Times New Roman" w:hAnsi="Times New Roman" w:cs="Times New Roman"/>
          <w:sz w:val="24"/>
          <w:szCs w:val="24"/>
          <w:lang w:val="en-US"/>
        </w:rPr>
        <w:t>54</w:t>
      </w:r>
      <w:r w:rsidRPr="005538FB">
        <w:rPr>
          <w:rFonts w:ascii="Times New Roman" w:hAnsi="Times New Roman" w:cs="Times New Roman"/>
          <w:sz w:val="24"/>
          <w:szCs w:val="24"/>
          <w:lang w:val="en-US"/>
        </w:rPr>
        <w:t>]</w:t>
      </w:r>
    </w:p>
    <w:p w:rsidR="00C7320E" w:rsidRDefault="00987670" w:rsidP="00CE09D3">
      <w:pPr>
        <w:spacing w:line="24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Table 10</w:t>
      </w:r>
      <w:r w:rsidRPr="00C7320E">
        <w:rPr>
          <w:rFonts w:ascii="Times New Roman" w:hAnsi="Times New Roman" w:cs="Times New Roman"/>
          <w:sz w:val="24"/>
          <w:szCs w:val="24"/>
          <w:lang w:val="en-US"/>
        </w:rPr>
        <w:t xml:space="preserve"> </w:t>
      </w:r>
      <w:r w:rsidR="00C7320E">
        <w:rPr>
          <w:rFonts w:ascii="Times New Roman" w:hAnsi="Times New Roman" w:cs="Times New Roman"/>
          <w:sz w:val="24"/>
          <w:szCs w:val="24"/>
          <w:lang w:val="en-US"/>
        </w:rPr>
        <w:t xml:space="preserve">         </w:t>
      </w:r>
      <w:r w:rsidRPr="00C7320E">
        <w:rPr>
          <w:rFonts w:ascii="Times New Roman" w:hAnsi="Times New Roman" w:cs="Times New Roman"/>
          <w:sz w:val="24"/>
          <w:szCs w:val="24"/>
          <w:lang w:val="en-US"/>
        </w:rPr>
        <w:t xml:space="preserve">Analysis Summary before and after controlling for </w:t>
      </w:r>
    </w:p>
    <w:p w:rsidR="00C7320E" w:rsidRDefault="00C7320E" w:rsidP="00CE09D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5BFD">
        <w:rPr>
          <w:rFonts w:ascii="Times New Roman" w:hAnsi="Times New Roman" w:cs="Times New Roman"/>
          <w:sz w:val="24"/>
          <w:szCs w:val="24"/>
          <w:lang w:val="en-US"/>
        </w:rPr>
        <w:t xml:space="preserve"> </w:t>
      </w:r>
      <w:proofErr w:type="gramStart"/>
      <w:r w:rsidR="00987670" w:rsidRPr="00C7320E">
        <w:rPr>
          <w:rFonts w:ascii="Times New Roman" w:hAnsi="Times New Roman" w:cs="Times New Roman"/>
          <w:sz w:val="24"/>
          <w:szCs w:val="24"/>
          <w:lang w:val="en-US"/>
        </w:rPr>
        <w:t>the</w:t>
      </w:r>
      <w:proofErr w:type="gramEnd"/>
      <w:r w:rsidR="00987670" w:rsidRPr="00C7320E">
        <w:rPr>
          <w:rFonts w:ascii="Times New Roman" w:hAnsi="Times New Roman" w:cs="Times New Roman"/>
          <w:sz w:val="24"/>
          <w:szCs w:val="24"/>
          <w:lang w:val="en-US"/>
        </w:rPr>
        <w:t xml:space="preserve"> Fama-French factors</w:t>
      </w:r>
      <w:r>
        <w:rPr>
          <w:rFonts w:ascii="Times New Roman" w:hAnsi="Times New Roman" w:cs="Times New Roman"/>
          <w:sz w:val="24"/>
          <w:szCs w:val="24"/>
          <w:lang w:val="en-US"/>
        </w:rPr>
        <w:t xml:space="preserve">                                   </w:t>
      </w:r>
      <w:r w:rsidR="00CE09D3">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5226A0">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CE09D3">
        <w:rPr>
          <w:rFonts w:ascii="Times New Roman" w:hAnsi="Times New Roman" w:cs="Times New Roman"/>
          <w:sz w:val="24"/>
          <w:szCs w:val="24"/>
          <w:lang w:val="en-US"/>
        </w:rPr>
        <w:t xml:space="preserve">  </w:t>
      </w:r>
      <w:r w:rsidR="009A092A">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B54C5D">
        <w:rPr>
          <w:rFonts w:ascii="Times New Roman" w:hAnsi="Times New Roman" w:cs="Times New Roman"/>
          <w:sz w:val="24"/>
          <w:szCs w:val="24"/>
          <w:lang w:val="en-US"/>
        </w:rPr>
        <w:t>57</w:t>
      </w:r>
      <w:r w:rsidRPr="005538FB">
        <w:rPr>
          <w:rFonts w:ascii="Times New Roman" w:hAnsi="Times New Roman" w:cs="Times New Roman"/>
          <w:sz w:val="24"/>
          <w:szCs w:val="24"/>
          <w:lang w:val="en-US"/>
        </w:rPr>
        <w:t>]</w:t>
      </w:r>
    </w:p>
    <w:p w:rsidR="00987670" w:rsidRPr="00C7320E" w:rsidRDefault="00987670" w:rsidP="00C7320E">
      <w:pPr>
        <w:spacing w:line="240" w:lineRule="auto"/>
        <w:rPr>
          <w:rFonts w:ascii="Times New Roman" w:hAnsi="Times New Roman" w:cs="Times New Roman"/>
          <w:sz w:val="24"/>
          <w:szCs w:val="24"/>
          <w:lang w:val="en-US"/>
        </w:rPr>
      </w:pPr>
    </w:p>
    <w:p w:rsidR="00987670" w:rsidRPr="005538FB" w:rsidRDefault="00987670" w:rsidP="00E33CB8">
      <w:pPr>
        <w:spacing w:line="360" w:lineRule="auto"/>
        <w:rPr>
          <w:rFonts w:ascii="Times New Roman" w:hAnsi="Times New Roman" w:cs="Times New Roman"/>
          <w:sz w:val="24"/>
          <w:szCs w:val="24"/>
          <w:lang w:val="en-US"/>
        </w:rPr>
      </w:pPr>
    </w:p>
    <w:p w:rsidR="00B62429" w:rsidRPr="005538FB" w:rsidRDefault="00B62429" w:rsidP="002A1ADA">
      <w:pPr>
        <w:pStyle w:val="Heading1"/>
        <w:numPr>
          <w:ilvl w:val="0"/>
          <w:numId w:val="0"/>
        </w:numPr>
        <w:spacing w:line="360" w:lineRule="auto"/>
        <w:jc w:val="center"/>
        <w:rPr>
          <w:rFonts w:ascii="Times New Roman" w:hAnsi="Times New Roman" w:cs="Times New Roman"/>
          <w:sz w:val="24"/>
          <w:szCs w:val="24"/>
        </w:rPr>
      </w:pPr>
      <w:bookmarkStart w:id="3" w:name="_Toc200538603"/>
      <w:r w:rsidRPr="005538FB">
        <w:rPr>
          <w:rFonts w:ascii="Times New Roman" w:hAnsi="Times New Roman" w:cs="Times New Roman"/>
          <w:sz w:val="24"/>
          <w:szCs w:val="24"/>
        </w:rPr>
        <w:t>LIST OF FIGURES</w:t>
      </w:r>
      <w:bookmarkEnd w:id="3"/>
    </w:p>
    <w:p w:rsidR="00C757A5" w:rsidRPr="005538FB" w:rsidRDefault="00C757A5" w:rsidP="002A1ADA">
      <w:pPr>
        <w:spacing w:line="360" w:lineRule="auto"/>
        <w:jc w:val="both"/>
        <w:rPr>
          <w:lang w:val="en-GB"/>
        </w:rPr>
      </w:pPr>
    </w:p>
    <w:p w:rsidR="00C757A5" w:rsidRPr="005538FB" w:rsidRDefault="00E02C78" w:rsidP="002A1ADA">
      <w:pPr>
        <w:pStyle w:val="Caption"/>
        <w:spacing w:line="360" w:lineRule="auto"/>
        <w:ind w:right="327"/>
        <w:jc w:val="both"/>
        <w:rPr>
          <w:rFonts w:ascii="Times New Roman" w:hAnsi="Times New Roman" w:cs="Times New Roman"/>
          <w:color w:val="auto"/>
          <w:sz w:val="24"/>
          <w:szCs w:val="24"/>
          <w:lang w:val="en-US"/>
        </w:rPr>
      </w:pPr>
      <w:r w:rsidRPr="00C7320E">
        <w:rPr>
          <w:rFonts w:ascii="Times New Roman" w:hAnsi="Times New Roman" w:cs="Times New Roman"/>
          <w:color w:val="auto"/>
          <w:sz w:val="24"/>
          <w:szCs w:val="24"/>
          <w:lang w:val="en-US"/>
        </w:rPr>
        <w:t>Figure 1</w:t>
      </w:r>
      <w:r w:rsidRPr="00C7320E">
        <w:rPr>
          <w:rFonts w:ascii="Times New Roman" w:hAnsi="Times New Roman" w:cs="Times New Roman"/>
          <w:color w:val="auto"/>
          <w:sz w:val="24"/>
          <w:szCs w:val="24"/>
          <w:lang w:val="en-US"/>
        </w:rPr>
        <w:tab/>
      </w:r>
      <w:r w:rsidR="00C757A5" w:rsidRPr="005538FB">
        <w:rPr>
          <w:rFonts w:ascii="Times New Roman" w:hAnsi="Times New Roman" w:cs="Times New Roman"/>
          <w:b w:val="0"/>
          <w:color w:val="auto"/>
          <w:sz w:val="24"/>
          <w:szCs w:val="24"/>
          <w:lang w:val="en-US"/>
        </w:rPr>
        <w:t xml:space="preserve">Schematic representation of the pillars of Behavioral Finance </w:t>
      </w:r>
      <w:r w:rsidR="00DC1575" w:rsidRPr="005538FB">
        <w:rPr>
          <w:rFonts w:ascii="Times New Roman" w:hAnsi="Times New Roman" w:cs="Times New Roman"/>
          <w:b w:val="0"/>
          <w:color w:val="auto"/>
          <w:sz w:val="24"/>
          <w:szCs w:val="24"/>
          <w:lang w:val="en-US"/>
        </w:rPr>
        <w:t xml:space="preserve">      </w:t>
      </w:r>
      <w:r w:rsidR="00DC5CC8">
        <w:rPr>
          <w:rFonts w:ascii="Times New Roman" w:hAnsi="Times New Roman" w:cs="Times New Roman"/>
          <w:b w:val="0"/>
          <w:color w:val="auto"/>
          <w:sz w:val="24"/>
          <w:szCs w:val="24"/>
          <w:lang w:val="en-US"/>
        </w:rPr>
        <w:t xml:space="preserve">   </w:t>
      </w:r>
      <w:r w:rsidR="002A1ADA">
        <w:rPr>
          <w:rFonts w:ascii="Times New Roman" w:hAnsi="Times New Roman" w:cs="Times New Roman"/>
          <w:b w:val="0"/>
          <w:color w:val="auto"/>
          <w:sz w:val="24"/>
          <w:szCs w:val="24"/>
          <w:lang w:val="en-US"/>
        </w:rPr>
        <w:t xml:space="preserve"> </w:t>
      </w:r>
      <w:r w:rsidR="00C757A5" w:rsidRPr="005538FB">
        <w:rPr>
          <w:rFonts w:ascii="Times New Roman" w:hAnsi="Times New Roman" w:cs="Times New Roman"/>
          <w:b w:val="0"/>
          <w:color w:val="auto"/>
          <w:sz w:val="24"/>
          <w:szCs w:val="24"/>
          <w:lang w:val="en-US"/>
        </w:rPr>
        <w:t xml:space="preserve"> </w:t>
      </w:r>
      <w:r w:rsidR="008D3520">
        <w:rPr>
          <w:rFonts w:ascii="Times New Roman" w:hAnsi="Times New Roman" w:cs="Times New Roman"/>
          <w:b w:val="0"/>
          <w:color w:val="auto"/>
          <w:sz w:val="24"/>
          <w:szCs w:val="24"/>
          <w:lang w:val="en-US"/>
        </w:rPr>
        <w:t xml:space="preserve">    </w:t>
      </w:r>
      <w:r w:rsidR="00C757A5" w:rsidRPr="005538FB">
        <w:rPr>
          <w:rFonts w:ascii="Times New Roman" w:hAnsi="Times New Roman" w:cs="Times New Roman"/>
          <w:b w:val="0"/>
          <w:color w:val="auto"/>
          <w:sz w:val="24"/>
          <w:szCs w:val="24"/>
          <w:lang w:val="en-US"/>
        </w:rPr>
        <w:t xml:space="preserve"> [</w:t>
      </w:r>
      <w:r w:rsidR="00B54C5D">
        <w:rPr>
          <w:rFonts w:ascii="Times New Roman" w:hAnsi="Times New Roman" w:cs="Times New Roman"/>
          <w:b w:val="0"/>
          <w:color w:val="auto"/>
          <w:sz w:val="24"/>
          <w:szCs w:val="24"/>
          <w:lang w:val="en-US"/>
        </w:rPr>
        <w:t>13</w:t>
      </w:r>
      <w:r w:rsidR="00C757A5" w:rsidRPr="005538FB">
        <w:rPr>
          <w:rFonts w:ascii="Times New Roman" w:hAnsi="Times New Roman" w:cs="Times New Roman"/>
          <w:b w:val="0"/>
          <w:color w:val="auto"/>
          <w:sz w:val="24"/>
          <w:szCs w:val="24"/>
          <w:lang w:val="en-US"/>
        </w:rPr>
        <w:t>]</w:t>
      </w:r>
    </w:p>
    <w:p w:rsidR="00E02C78" w:rsidRPr="005538FB" w:rsidRDefault="00E02C78" w:rsidP="002A1ADA">
      <w:pPr>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Figure 2</w:t>
      </w:r>
      <w:r w:rsidRPr="00C7320E">
        <w:rPr>
          <w:rFonts w:ascii="Times New Roman" w:hAnsi="Times New Roman" w:cs="Times New Roman"/>
          <w:b/>
          <w:sz w:val="24"/>
          <w:szCs w:val="24"/>
          <w:lang w:val="en-US"/>
        </w:rPr>
        <w:tab/>
      </w:r>
      <w:r w:rsidR="00C757A5" w:rsidRPr="005538FB">
        <w:rPr>
          <w:rFonts w:ascii="Times New Roman" w:hAnsi="Times New Roman" w:cs="Times New Roman"/>
          <w:bCs/>
          <w:sz w:val="24"/>
          <w:szCs w:val="24"/>
          <w:lang w:val="en-US"/>
        </w:rPr>
        <w:t>Relationship between risk concepts</w:t>
      </w:r>
      <w:r w:rsidRPr="005538FB">
        <w:rPr>
          <w:rFonts w:ascii="Times New Roman" w:hAnsi="Times New Roman" w:cs="Times New Roman"/>
          <w:sz w:val="24"/>
          <w:szCs w:val="24"/>
          <w:lang w:val="en-US"/>
        </w:rPr>
        <w:tab/>
      </w:r>
      <w:r w:rsidR="00DC1575" w:rsidRPr="005538FB">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ab/>
      </w:r>
      <w:r w:rsidR="00DC1575" w:rsidRPr="005538FB">
        <w:rPr>
          <w:rFonts w:ascii="Times New Roman" w:hAnsi="Times New Roman" w:cs="Times New Roman"/>
          <w:sz w:val="24"/>
          <w:szCs w:val="24"/>
          <w:lang w:val="en-US"/>
        </w:rPr>
        <w:t xml:space="preserve">                     </w:t>
      </w:r>
      <w:r w:rsidR="00DC5CC8">
        <w:rPr>
          <w:rFonts w:ascii="Times New Roman" w:hAnsi="Times New Roman" w:cs="Times New Roman"/>
          <w:sz w:val="24"/>
          <w:szCs w:val="24"/>
          <w:lang w:val="en-US"/>
        </w:rPr>
        <w:t xml:space="preserve">  </w:t>
      </w:r>
      <w:r w:rsidR="002A1ADA">
        <w:rPr>
          <w:rFonts w:ascii="Times New Roman" w:hAnsi="Times New Roman" w:cs="Times New Roman"/>
          <w:sz w:val="24"/>
          <w:szCs w:val="24"/>
          <w:lang w:val="en-US"/>
        </w:rPr>
        <w:t xml:space="preserve"> </w:t>
      </w:r>
      <w:r w:rsidR="00F16A1A">
        <w:rPr>
          <w:rFonts w:ascii="Times New Roman" w:hAnsi="Times New Roman" w:cs="Times New Roman"/>
          <w:sz w:val="24"/>
          <w:szCs w:val="24"/>
          <w:lang w:val="en-US"/>
        </w:rPr>
        <w:t xml:space="preserve">   </w:t>
      </w:r>
      <w:r w:rsidR="002A1ADA">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00CE09D3">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B54C5D">
        <w:rPr>
          <w:rFonts w:ascii="Times New Roman" w:hAnsi="Times New Roman" w:cs="Times New Roman"/>
          <w:sz w:val="24"/>
          <w:szCs w:val="24"/>
          <w:lang w:val="en-US"/>
        </w:rPr>
        <w:t>16</w:t>
      </w:r>
      <w:r w:rsidRPr="005538FB">
        <w:rPr>
          <w:rFonts w:ascii="Times New Roman" w:hAnsi="Times New Roman" w:cs="Times New Roman"/>
          <w:sz w:val="24"/>
          <w:szCs w:val="24"/>
          <w:lang w:val="en-US"/>
        </w:rPr>
        <w:t xml:space="preserve">] </w:t>
      </w:r>
    </w:p>
    <w:p w:rsidR="00E02C78" w:rsidRDefault="00C757A5" w:rsidP="002A1ADA">
      <w:pPr>
        <w:tabs>
          <w:tab w:val="left" w:pos="7938"/>
        </w:tabs>
        <w:spacing w:line="360" w:lineRule="auto"/>
        <w:jc w:val="both"/>
        <w:rPr>
          <w:rFonts w:ascii="Times New Roman" w:hAnsi="Times New Roman" w:cs="Times New Roman"/>
          <w:sz w:val="24"/>
          <w:szCs w:val="24"/>
          <w:lang w:val="en-US"/>
        </w:rPr>
      </w:pPr>
      <w:r w:rsidRPr="00C7320E">
        <w:rPr>
          <w:rFonts w:ascii="Times New Roman" w:hAnsi="Times New Roman" w:cs="Times New Roman"/>
          <w:b/>
          <w:sz w:val="24"/>
          <w:szCs w:val="24"/>
          <w:lang w:val="en-US"/>
        </w:rPr>
        <w:t>Figure 3</w:t>
      </w:r>
      <w:r w:rsidR="00C7320E">
        <w:rPr>
          <w:rFonts w:ascii="Times New Roman" w:hAnsi="Times New Roman" w:cs="Times New Roman"/>
          <w:sz w:val="24"/>
          <w:szCs w:val="24"/>
          <w:lang w:val="en-US"/>
        </w:rPr>
        <w:t xml:space="preserve">          </w:t>
      </w:r>
      <w:r w:rsidR="005538FB" w:rsidRPr="005538FB">
        <w:rPr>
          <w:rFonts w:ascii="Times New Roman" w:hAnsi="Times New Roman" w:cs="Times New Roman"/>
          <w:sz w:val="24"/>
          <w:szCs w:val="24"/>
          <w:lang w:val="en-US"/>
        </w:rPr>
        <w:t>Historical a</w:t>
      </w:r>
      <w:r w:rsidRPr="005538FB">
        <w:rPr>
          <w:rFonts w:ascii="Times New Roman" w:hAnsi="Times New Roman" w:cs="Times New Roman"/>
          <w:sz w:val="24"/>
          <w:szCs w:val="24"/>
          <w:lang w:val="en-US"/>
        </w:rPr>
        <w:t>sset values</w:t>
      </w:r>
      <w:r w:rsidR="00DC1575" w:rsidRPr="005538FB">
        <w:rPr>
          <w:rFonts w:ascii="Times New Roman" w:hAnsi="Times New Roman" w:cs="Times New Roman"/>
          <w:sz w:val="24"/>
          <w:szCs w:val="24"/>
          <w:lang w:val="en-US"/>
        </w:rPr>
        <w:t xml:space="preserve">                                      </w:t>
      </w:r>
      <w:r w:rsidR="00CE09D3">
        <w:rPr>
          <w:rFonts w:ascii="Times New Roman" w:hAnsi="Times New Roman" w:cs="Times New Roman"/>
          <w:sz w:val="24"/>
          <w:szCs w:val="24"/>
          <w:lang w:val="en-US"/>
        </w:rPr>
        <w:t xml:space="preserve">                               </w:t>
      </w:r>
      <w:r w:rsidR="0058370E">
        <w:rPr>
          <w:rFonts w:ascii="Times New Roman" w:hAnsi="Times New Roman" w:cs="Times New Roman"/>
          <w:sz w:val="24"/>
          <w:szCs w:val="24"/>
          <w:lang w:val="en-US"/>
        </w:rPr>
        <w:t xml:space="preserve">            </w:t>
      </w:r>
      <w:r w:rsidR="00CE09D3">
        <w:rPr>
          <w:rFonts w:ascii="Times New Roman" w:hAnsi="Times New Roman" w:cs="Times New Roman"/>
          <w:sz w:val="24"/>
          <w:szCs w:val="24"/>
          <w:lang w:val="en-US"/>
        </w:rPr>
        <w:t xml:space="preserve"> </w:t>
      </w:r>
      <w:r w:rsidR="00DC1575" w:rsidRPr="005538FB">
        <w:rPr>
          <w:rFonts w:ascii="Times New Roman" w:hAnsi="Times New Roman" w:cs="Times New Roman"/>
          <w:sz w:val="24"/>
          <w:szCs w:val="24"/>
          <w:lang w:val="en-US"/>
        </w:rPr>
        <w:t xml:space="preserve"> </w:t>
      </w:r>
      <w:r w:rsidRPr="005538FB">
        <w:rPr>
          <w:rFonts w:ascii="Times New Roman" w:hAnsi="Times New Roman" w:cs="Times New Roman"/>
          <w:sz w:val="24"/>
          <w:szCs w:val="24"/>
          <w:lang w:val="en-US"/>
        </w:rPr>
        <w:t>[</w:t>
      </w:r>
      <w:r w:rsidR="00CE09D3">
        <w:rPr>
          <w:rFonts w:ascii="Times New Roman" w:hAnsi="Times New Roman" w:cs="Times New Roman"/>
          <w:sz w:val="24"/>
          <w:szCs w:val="24"/>
          <w:lang w:val="en-US"/>
        </w:rPr>
        <w:t>85</w:t>
      </w:r>
      <w:r w:rsidRPr="005538FB">
        <w:rPr>
          <w:rFonts w:ascii="Times New Roman" w:hAnsi="Times New Roman" w:cs="Times New Roman"/>
          <w:sz w:val="24"/>
          <w:szCs w:val="24"/>
          <w:lang w:val="en-US"/>
        </w:rPr>
        <w:t>]</w:t>
      </w:r>
    </w:p>
    <w:p w:rsidR="00DC5CC8" w:rsidRDefault="00DC5CC8" w:rsidP="001879CE">
      <w:pPr>
        <w:pStyle w:val="ListParagraph"/>
        <w:spacing w:line="360" w:lineRule="auto"/>
        <w:ind w:left="0"/>
        <w:jc w:val="both"/>
        <w:rPr>
          <w:rFonts w:ascii="Times New Roman" w:hAnsi="Times New Roman" w:cs="Times New Roman"/>
          <w:b/>
          <w:sz w:val="28"/>
          <w:szCs w:val="28"/>
          <w:lang w:val="en-US"/>
        </w:rPr>
      </w:pPr>
    </w:p>
    <w:p w:rsidR="002860D9" w:rsidRDefault="002860D9" w:rsidP="001879CE">
      <w:pPr>
        <w:pStyle w:val="ListParagraph"/>
        <w:spacing w:line="360" w:lineRule="auto"/>
        <w:ind w:left="0"/>
        <w:jc w:val="both"/>
        <w:rPr>
          <w:rFonts w:ascii="Times New Roman" w:hAnsi="Times New Roman" w:cs="Times New Roman"/>
          <w:b/>
          <w:sz w:val="28"/>
          <w:szCs w:val="28"/>
          <w:lang w:val="en-US"/>
        </w:rPr>
      </w:pPr>
    </w:p>
    <w:p w:rsidR="001879CE" w:rsidRDefault="001879CE" w:rsidP="001879CE">
      <w:pPr>
        <w:pStyle w:val="ListParagraph"/>
        <w:spacing w:line="360" w:lineRule="auto"/>
        <w:ind w:left="0"/>
        <w:jc w:val="both"/>
        <w:rPr>
          <w:rFonts w:ascii="Times New Roman" w:hAnsi="Times New Roman" w:cs="Times New Roman"/>
          <w:b/>
          <w:sz w:val="28"/>
          <w:szCs w:val="28"/>
          <w:lang w:val="en-US"/>
        </w:rPr>
      </w:pPr>
      <w:r w:rsidRPr="007C0603">
        <w:rPr>
          <w:rFonts w:ascii="Times New Roman" w:hAnsi="Times New Roman" w:cs="Times New Roman"/>
          <w:b/>
          <w:sz w:val="28"/>
          <w:szCs w:val="28"/>
          <w:lang w:val="en-US"/>
        </w:rPr>
        <w:lastRenderedPageBreak/>
        <w:t>Chapter 1</w:t>
      </w:r>
    </w:p>
    <w:p w:rsidR="001879CE" w:rsidRDefault="001879CE" w:rsidP="001879CE">
      <w:pPr>
        <w:pStyle w:val="ListParagraph"/>
        <w:spacing w:line="360" w:lineRule="auto"/>
        <w:ind w:left="0"/>
        <w:jc w:val="both"/>
        <w:rPr>
          <w:rFonts w:ascii="Times New Roman" w:hAnsi="Times New Roman" w:cs="Times New Roman"/>
          <w:b/>
          <w:sz w:val="28"/>
          <w:szCs w:val="28"/>
          <w:lang w:val="en-US"/>
        </w:rPr>
      </w:pPr>
    </w:p>
    <w:p w:rsidR="001879CE" w:rsidRPr="00476BAB" w:rsidRDefault="001879CE" w:rsidP="001879CE">
      <w:pPr>
        <w:pStyle w:val="ListParagraph"/>
        <w:spacing w:line="360" w:lineRule="auto"/>
        <w:ind w:left="0"/>
        <w:jc w:val="both"/>
        <w:rPr>
          <w:rFonts w:ascii="Times New Roman" w:hAnsi="Times New Roman" w:cs="Times New Roman"/>
          <w:b/>
          <w:sz w:val="28"/>
          <w:szCs w:val="28"/>
          <w:lang w:val="en-US"/>
        </w:rPr>
      </w:pPr>
    </w:p>
    <w:p w:rsidR="001879CE" w:rsidRDefault="001879CE" w:rsidP="001879CE">
      <w:pPr>
        <w:pStyle w:val="ListParagraph"/>
        <w:spacing w:line="360" w:lineRule="auto"/>
        <w:ind w:left="0"/>
        <w:jc w:val="both"/>
        <w:rPr>
          <w:rFonts w:ascii="Times New Roman" w:hAnsi="Times New Roman" w:cs="Times New Roman"/>
          <w:b/>
          <w:sz w:val="28"/>
          <w:szCs w:val="28"/>
          <w:lang w:val="en-US"/>
        </w:rPr>
      </w:pPr>
      <w:r w:rsidRPr="007C0603">
        <w:rPr>
          <w:rFonts w:ascii="Times New Roman" w:hAnsi="Times New Roman" w:cs="Times New Roman"/>
          <w:b/>
          <w:sz w:val="28"/>
          <w:szCs w:val="28"/>
          <w:lang w:val="en-US"/>
        </w:rPr>
        <w:t>Introduction</w:t>
      </w:r>
    </w:p>
    <w:p w:rsidR="001879CE" w:rsidRDefault="001879CE" w:rsidP="001879CE">
      <w:pPr>
        <w:pStyle w:val="ListParagraph"/>
        <w:spacing w:line="360" w:lineRule="auto"/>
        <w:ind w:left="0"/>
        <w:jc w:val="both"/>
        <w:rPr>
          <w:rFonts w:ascii="Times New Roman" w:hAnsi="Times New Roman" w:cs="Times New Roman"/>
          <w:b/>
          <w:sz w:val="28"/>
          <w:szCs w:val="28"/>
          <w:lang w:val="en-US"/>
        </w:rPr>
      </w:pPr>
    </w:p>
    <w:p w:rsidR="001879CE" w:rsidRPr="00476BAB" w:rsidRDefault="001879CE" w:rsidP="001879CE">
      <w:pPr>
        <w:pStyle w:val="ListParagraph"/>
        <w:spacing w:line="360" w:lineRule="auto"/>
        <w:ind w:left="0"/>
        <w:jc w:val="both"/>
        <w:rPr>
          <w:rFonts w:ascii="Times New Roman" w:hAnsi="Times New Roman" w:cs="Times New Roman"/>
          <w:sz w:val="24"/>
          <w:szCs w:val="24"/>
          <w:lang w:val="en-US"/>
        </w:rPr>
      </w:pPr>
    </w:p>
    <w:p w:rsidR="001879CE" w:rsidRDefault="001879CE" w:rsidP="001879CE">
      <w:pPr>
        <w:pStyle w:val="ListParagraph"/>
        <w:spacing w:line="360" w:lineRule="auto"/>
        <w:ind w:left="0"/>
        <w:jc w:val="both"/>
        <w:rPr>
          <w:rFonts w:ascii="Times New Roman" w:hAnsi="Times New Roman" w:cs="Times New Roman"/>
          <w:sz w:val="24"/>
          <w:szCs w:val="24"/>
          <w:lang w:val="en-US"/>
        </w:rPr>
      </w:pPr>
      <w:r w:rsidRPr="00B351CE">
        <w:rPr>
          <w:rFonts w:ascii="Times New Roman" w:hAnsi="Times New Roman" w:cs="Times New Roman"/>
          <w:i/>
          <w:sz w:val="24"/>
          <w:szCs w:val="24"/>
          <w:lang w:val="en-US"/>
        </w:rPr>
        <w:t xml:space="preserve">“Sentiment is a </w:t>
      </w:r>
      <w:r w:rsidRPr="00B351CE">
        <w:rPr>
          <w:rFonts w:ascii="Times New Roman" w:hAnsi="Times New Roman" w:cs="Times New Roman"/>
          <w:i/>
          <w:sz w:val="24"/>
          <w:szCs w:val="24"/>
          <w:shd w:val="clear" w:color="auto" w:fill="FFFFFF"/>
          <w:lang w:val="en-US"/>
        </w:rPr>
        <w:t>feeling or emotion”</w:t>
      </w:r>
      <w:r>
        <w:rPr>
          <w:rFonts w:ascii="Times New Roman" w:hAnsi="Times New Roman" w:cs="Times New Roman"/>
          <w:sz w:val="24"/>
          <w:szCs w:val="24"/>
          <w:shd w:val="clear" w:color="auto" w:fill="FFFFFF"/>
          <w:lang w:val="en-US"/>
        </w:rPr>
        <w:t xml:space="preserve">. This is the definition of sentiment provided by the online version of Oxford Dictionary. Though, investor sentiment is also a notion being used at a growing rate in finance parlance. It is a very salient concept but at the same time a very nebulous one which </w:t>
      </w:r>
      <w:r w:rsidRPr="00AF3FDF">
        <w:rPr>
          <w:rFonts w:ascii="Times New Roman" w:hAnsi="Times New Roman" w:cs="Times New Roman"/>
          <w:sz w:val="24"/>
          <w:szCs w:val="24"/>
          <w:lang w:val="en-US"/>
        </w:rPr>
        <w:t xml:space="preserve">has been under intensive investigation during the last decades. A first aspect that needs to be highlighted is that either we are talking about risk appetite/tolerance </w:t>
      </w:r>
      <w:proofErr w:type="spellStart"/>
      <w:r w:rsidRPr="00AF3FDF">
        <w:rPr>
          <w:rFonts w:ascii="Times New Roman" w:hAnsi="Times New Roman" w:cs="Times New Roman"/>
          <w:sz w:val="24"/>
          <w:szCs w:val="24"/>
          <w:lang w:val="en-US"/>
        </w:rPr>
        <w:t>or</w:t>
      </w:r>
      <w:proofErr w:type="spellEnd"/>
      <w:r w:rsidRPr="00AF3FDF">
        <w:rPr>
          <w:rFonts w:ascii="Times New Roman" w:hAnsi="Times New Roman" w:cs="Times New Roman"/>
          <w:sz w:val="24"/>
          <w:szCs w:val="24"/>
          <w:lang w:val="en-US"/>
        </w:rPr>
        <w:t xml:space="preserve"> risk aversion, risk is a key feature to</w:t>
      </w:r>
      <w:r>
        <w:rPr>
          <w:rFonts w:ascii="Times New Roman" w:hAnsi="Times New Roman" w:cs="Times New Roman"/>
          <w:sz w:val="24"/>
          <w:szCs w:val="24"/>
          <w:lang w:val="en-US"/>
        </w:rPr>
        <w:t xml:space="preserve"> that</w:t>
      </w:r>
      <w:r w:rsidRPr="00AF3FDF">
        <w:rPr>
          <w:rFonts w:ascii="Times New Roman" w:hAnsi="Times New Roman" w:cs="Times New Roman"/>
          <w:sz w:val="24"/>
          <w:szCs w:val="24"/>
          <w:lang w:val="en-US"/>
        </w:rPr>
        <w:t xml:space="preserve">. The Institute of Risk Management in its Executive Summary in 2011 argues that </w:t>
      </w:r>
      <w:r w:rsidRPr="00733ADC">
        <w:rPr>
          <w:rFonts w:ascii="Times New Roman" w:hAnsi="Times New Roman" w:cs="Times New Roman"/>
          <w:i/>
          <w:sz w:val="24"/>
          <w:szCs w:val="24"/>
          <w:lang w:val="en-US"/>
        </w:rPr>
        <w:t>“risk is everyone’s business and a common understanding would help us work together to address this challenging area”</w:t>
      </w:r>
      <w:r>
        <w:rPr>
          <w:rFonts w:ascii="Times New Roman" w:hAnsi="Times New Roman" w:cs="Times New Roman"/>
          <w:sz w:val="24"/>
          <w:szCs w:val="24"/>
          <w:lang w:val="en-US"/>
        </w:rPr>
        <w:t>.</w:t>
      </w:r>
      <w:r w:rsidRPr="00AF3FDF">
        <w:rPr>
          <w:rFonts w:ascii="Times New Roman" w:hAnsi="Times New Roman" w:cs="Times New Roman"/>
          <w:sz w:val="24"/>
          <w:szCs w:val="24"/>
          <w:lang w:val="en-US"/>
        </w:rPr>
        <w:t xml:space="preserve"> Thus, taking into consideration the ongoing turmoil we are experiencing nowadays, it is</w:t>
      </w:r>
      <w:r>
        <w:rPr>
          <w:rFonts w:ascii="Times New Roman" w:hAnsi="Times New Roman" w:cs="Times New Roman"/>
          <w:sz w:val="24"/>
          <w:szCs w:val="24"/>
          <w:lang w:val="en-US"/>
        </w:rPr>
        <w:t xml:space="preserve"> straightforward</w:t>
      </w:r>
      <w:r w:rsidRPr="00AF3FDF">
        <w:rPr>
          <w:rFonts w:ascii="Times New Roman" w:hAnsi="Times New Roman" w:cs="Times New Roman"/>
          <w:sz w:val="24"/>
          <w:szCs w:val="24"/>
          <w:lang w:val="en-US"/>
        </w:rPr>
        <w:t xml:space="preserve"> to understand why interest on this concept has awakened and why it is more topical than ever.</w:t>
      </w:r>
      <w:r>
        <w:rPr>
          <w:rFonts w:ascii="Times New Roman" w:hAnsi="Times New Roman" w:cs="Times New Roman"/>
          <w:sz w:val="24"/>
          <w:szCs w:val="24"/>
          <w:lang w:val="en-US"/>
        </w:rPr>
        <w:t xml:space="preserve"> </w:t>
      </w:r>
      <w:r w:rsidRPr="00AF3FDF">
        <w:rPr>
          <w:rFonts w:ascii="Times New Roman" w:hAnsi="Times New Roman" w:cs="Times New Roman"/>
          <w:sz w:val="24"/>
          <w:szCs w:val="24"/>
          <w:lang w:val="en-US"/>
        </w:rPr>
        <w:t>Illing &amp; Aaron (2005)</w:t>
      </w:r>
      <w:r>
        <w:rPr>
          <w:rFonts w:ascii="Times New Roman" w:hAnsi="Times New Roman" w:cs="Times New Roman"/>
          <w:sz w:val="24"/>
          <w:szCs w:val="24"/>
          <w:lang w:val="en-US"/>
        </w:rPr>
        <w:t xml:space="preserve"> with their research come to support this</w:t>
      </w:r>
      <w:r w:rsidRPr="00AF3FDF">
        <w:rPr>
          <w:rFonts w:ascii="Times New Roman" w:hAnsi="Times New Roman" w:cs="Times New Roman"/>
          <w:sz w:val="24"/>
          <w:szCs w:val="24"/>
          <w:lang w:val="en-US"/>
        </w:rPr>
        <w:t xml:space="preserve"> state</w:t>
      </w:r>
      <w:r>
        <w:rPr>
          <w:rFonts w:ascii="Times New Roman" w:hAnsi="Times New Roman" w:cs="Times New Roman"/>
          <w:sz w:val="24"/>
          <w:szCs w:val="24"/>
          <w:lang w:val="en-US"/>
        </w:rPr>
        <w:t xml:space="preserve">ment. They state </w:t>
      </w:r>
      <w:r w:rsidRPr="00AF3FDF">
        <w:rPr>
          <w:rFonts w:ascii="Times New Roman" w:hAnsi="Times New Roman" w:cs="Times New Roman"/>
          <w:sz w:val="24"/>
          <w:szCs w:val="24"/>
          <w:lang w:val="en-US"/>
        </w:rPr>
        <w:t xml:space="preserve">that investor sentiment is </w:t>
      </w:r>
      <w:r w:rsidRPr="00312A9D">
        <w:rPr>
          <w:rFonts w:ascii="Times New Roman" w:hAnsi="Times New Roman" w:cs="Times New Roman"/>
          <w:i/>
          <w:sz w:val="24"/>
          <w:szCs w:val="24"/>
          <w:lang w:val="en-US"/>
        </w:rPr>
        <w:t xml:space="preserve">“a phenomenon often cited in </w:t>
      </w:r>
      <w:r w:rsidRPr="00312A9D">
        <w:rPr>
          <w:rFonts w:ascii="Times New Roman" w:hAnsi="Times New Roman" w:cs="Times New Roman"/>
          <w:bCs/>
          <w:i/>
          <w:sz w:val="24"/>
          <w:szCs w:val="24"/>
          <w:lang w:val="en-US"/>
        </w:rPr>
        <w:t>the media and public figures as a factor influencing markets</w:t>
      </w:r>
      <w:r w:rsidRPr="00312A9D">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Indeed, several articles can be found in </w:t>
      </w:r>
      <w:r w:rsidRPr="00AF3FDF">
        <w:rPr>
          <w:rFonts w:ascii="Times New Roman" w:hAnsi="Times New Roman" w:cs="Times New Roman"/>
          <w:sz w:val="24"/>
          <w:szCs w:val="24"/>
          <w:lang w:val="en-US"/>
        </w:rPr>
        <w:t>various well respected financial media</w:t>
      </w:r>
      <w:r>
        <w:rPr>
          <w:rFonts w:ascii="Times New Roman" w:hAnsi="Times New Roman" w:cs="Times New Roman"/>
          <w:sz w:val="24"/>
          <w:szCs w:val="24"/>
          <w:lang w:val="en-US"/>
        </w:rPr>
        <w:t xml:space="preserve"> </w:t>
      </w:r>
      <w:r w:rsidRPr="00AF3FDF">
        <w:rPr>
          <w:rFonts w:ascii="Times New Roman" w:hAnsi="Times New Roman" w:cs="Times New Roman"/>
          <w:sz w:val="24"/>
          <w:szCs w:val="24"/>
          <w:lang w:val="en-US"/>
        </w:rPr>
        <w:t>that corroborate the aforementioned quote</w:t>
      </w:r>
      <w:r>
        <w:rPr>
          <w:rFonts w:ascii="Times New Roman" w:hAnsi="Times New Roman" w:cs="Times New Roman"/>
          <w:sz w:val="24"/>
          <w:szCs w:val="24"/>
          <w:lang w:val="en-US"/>
        </w:rPr>
        <w:t xml:space="preserve"> – for example </w:t>
      </w:r>
      <w:r w:rsidRPr="00D50149">
        <w:rPr>
          <w:rFonts w:ascii="Times New Roman" w:hAnsi="Times New Roman" w:cs="Times New Roman"/>
          <w:i/>
          <w:sz w:val="24"/>
          <w:szCs w:val="24"/>
          <w:lang w:val="en-US"/>
        </w:rPr>
        <w:t>"Global investment community has swung sharply from risk appetite to risk aversion"</w:t>
      </w:r>
      <w:r w:rsidRPr="006311F2">
        <w:rPr>
          <w:rFonts w:ascii="Times New Roman" w:hAnsi="Times New Roman" w:cs="Times New Roman"/>
          <w:sz w:val="24"/>
          <w:szCs w:val="24"/>
          <w:lang w:val="en-US"/>
        </w:rPr>
        <w:t xml:space="preserve"> (WSJ, 28 November, 2011) and </w:t>
      </w:r>
      <w:r w:rsidRPr="00D50149">
        <w:rPr>
          <w:rFonts w:ascii="Times New Roman" w:hAnsi="Times New Roman" w:cs="Times New Roman"/>
          <w:i/>
          <w:sz w:val="24"/>
          <w:szCs w:val="24"/>
          <w:lang w:val="en-US"/>
        </w:rPr>
        <w:t xml:space="preserve">“US money market funds have cut their exposure to European banks by nearly two-thirds over the past year… In response to the changing mood from investors…” </w:t>
      </w:r>
      <w:r>
        <w:rPr>
          <w:rFonts w:ascii="Times New Roman" w:hAnsi="Times New Roman" w:cs="Times New Roman"/>
          <w:sz w:val="24"/>
          <w:szCs w:val="24"/>
          <w:lang w:val="en-US"/>
        </w:rPr>
        <w:t>(Financial Times</w:t>
      </w:r>
      <w:r w:rsidRPr="006311F2">
        <w:rPr>
          <w:rFonts w:ascii="Times New Roman" w:hAnsi="Times New Roman" w:cs="Times New Roman"/>
          <w:sz w:val="24"/>
          <w:szCs w:val="24"/>
          <w:lang w:val="en-US"/>
        </w:rPr>
        <w:t>, 23 May, 2012)</w:t>
      </w:r>
      <w:r>
        <w:rPr>
          <w:rFonts w:ascii="Times New Roman" w:hAnsi="Times New Roman" w:cs="Times New Roman"/>
          <w:sz w:val="24"/>
          <w:szCs w:val="24"/>
          <w:lang w:val="en-US"/>
        </w:rPr>
        <w:t>.</w:t>
      </w:r>
    </w:p>
    <w:p w:rsidR="001879CE" w:rsidRPr="0073401A" w:rsidRDefault="001879CE" w:rsidP="001879CE">
      <w:pPr>
        <w:pStyle w:val="ListParagraph"/>
        <w:spacing w:line="360" w:lineRule="auto"/>
        <w:ind w:left="0"/>
        <w:jc w:val="both"/>
        <w:rPr>
          <w:rFonts w:ascii="Times New Roman" w:hAnsi="Times New Roman" w:cs="Times New Roman"/>
          <w:sz w:val="20"/>
          <w:szCs w:val="20"/>
          <w:lang w:val="en-US"/>
        </w:rPr>
      </w:pPr>
    </w:p>
    <w:p w:rsidR="001879CE" w:rsidRDefault="001879CE" w:rsidP="001879CE">
      <w:pPr>
        <w:pStyle w:val="ListParagraph"/>
        <w:spacing w:line="360" w:lineRule="auto"/>
        <w:ind w:left="0"/>
        <w:jc w:val="both"/>
        <w:rPr>
          <w:rFonts w:ascii="Times New Roman" w:hAnsi="Times New Roman" w:cs="Times New Roman"/>
          <w:sz w:val="24"/>
          <w:szCs w:val="24"/>
          <w:lang w:val="en-US"/>
        </w:rPr>
      </w:pPr>
      <w:r w:rsidRPr="00AF3FDF">
        <w:rPr>
          <w:rFonts w:ascii="Times New Roman" w:hAnsi="Times New Roman" w:cs="Times New Roman"/>
          <w:sz w:val="24"/>
          <w:szCs w:val="24"/>
          <w:lang w:val="en-US"/>
        </w:rPr>
        <w:t>A consideration of paramount importance is to utterly understand the merits from studying</w:t>
      </w:r>
      <w:r>
        <w:rPr>
          <w:rFonts w:ascii="Times New Roman" w:hAnsi="Times New Roman" w:cs="Times New Roman"/>
          <w:sz w:val="24"/>
          <w:szCs w:val="24"/>
          <w:lang w:val="en-US"/>
        </w:rPr>
        <w:t xml:space="preserve"> investor sentiment. In this respect, the motivation for our dissertation is originated.</w:t>
      </w:r>
      <w:r w:rsidRPr="00AF3FDF">
        <w:rPr>
          <w:rFonts w:ascii="Times New Roman" w:hAnsi="Times New Roman" w:cs="Times New Roman"/>
          <w:sz w:val="24"/>
          <w:szCs w:val="24"/>
          <w:lang w:val="en-US"/>
        </w:rPr>
        <w:t xml:space="preserve"> Initially, it started as a contentious issue among economists. The </w:t>
      </w:r>
      <w:r>
        <w:rPr>
          <w:rFonts w:ascii="Times New Roman" w:hAnsi="Times New Roman" w:cs="Times New Roman"/>
          <w:sz w:val="24"/>
          <w:szCs w:val="24"/>
          <w:lang w:val="en-US"/>
        </w:rPr>
        <w:t xml:space="preserve">primary </w:t>
      </w:r>
      <w:r w:rsidRPr="00AF3FDF">
        <w:rPr>
          <w:rFonts w:ascii="Times New Roman" w:hAnsi="Times New Roman" w:cs="Times New Roman"/>
          <w:sz w:val="24"/>
          <w:szCs w:val="24"/>
          <w:lang w:val="en-US"/>
        </w:rPr>
        <w:t xml:space="preserve">investigation was whether </w:t>
      </w:r>
      <w:r>
        <w:rPr>
          <w:rFonts w:ascii="Times New Roman" w:hAnsi="Times New Roman" w:cs="Times New Roman"/>
          <w:sz w:val="24"/>
          <w:szCs w:val="24"/>
          <w:lang w:val="en-US"/>
        </w:rPr>
        <w:t xml:space="preserve">it can be </w:t>
      </w:r>
      <w:r w:rsidRPr="00AF3FDF">
        <w:rPr>
          <w:rFonts w:ascii="Times New Roman" w:hAnsi="Times New Roman" w:cs="Times New Roman"/>
          <w:sz w:val="24"/>
          <w:szCs w:val="24"/>
          <w:lang w:val="en-US"/>
        </w:rPr>
        <w:t>used</w:t>
      </w:r>
      <w:r>
        <w:rPr>
          <w:rFonts w:ascii="Times New Roman" w:hAnsi="Times New Roman" w:cs="Times New Roman"/>
          <w:sz w:val="24"/>
          <w:szCs w:val="24"/>
          <w:lang w:val="en-US"/>
        </w:rPr>
        <w:t xml:space="preserve"> </w:t>
      </w:r>
      <w:r w:rsidRPr="00AF3FDF">
        <w:rPr>
          <w:rFonts w:ascii="Times New Roman" w:hAnsi="Times New Roman" w:cs="Times New Roman"/>
          <w:sz w:val="24"/>
          <w:szCs w:val="24"/>
          <w:lang w:val="en-US"/>
        </w:rPr>
        <w:t xml:space="preserve">as a factor to interpret changes in stock prices. The first author that </w:t>
      </w:r>
      <w:r>
        <w:rPr>
          <w:rFonts w:ascii="Times New Roman" w:hAnsi="Times New Roman" w:cs="Times New Roman"/>
          <w:sz w:val="24"/>
          <w:szCs w:val="24"/>
          <w:lang w:val="en-US"/>
        </w:rPr>
        <w:t>addressed this issue</w:t>
      </w:r>
      <w:r w:rsidRPr="00AF3FDF">
        <w:rPr>
          <w:rFonts w:ascii="Times New Roman" w:hAnsi="Times New Roman" w:cs="Times New Roman"/>
          <w:sz w:val="24"/>
          <w:szCs w:val="24"/>
          <w:lang w:val="en-US"/>
        </w:rPr>
        <w:t xml:space="preserve"> was Keynes </w:t>
      </w:r>
      <w:r>
        <w:rPr>
          <w:rFonts w:ascii="Times New Roman" w:hAnsi="Times New Roman" w:cs="Times New Roman"/>
          <w:sz w:val="24"/>
          <w:szCs w:val="24"/>
          <w:lang w:val="en-US"/>
        </w:rPr>
        <w:t>(1936)</w:t>
      </w:r>
      <w:r w:rsidRPr="00AF3FDF">
        <w:rPr>
          <w:rFonts w:ascii="Times New Roman" w:hAnsi="Times New Roman" w:cs="Times New Roman"/>
          <w:sz w:val="24"/>
          <w:szCs w:val="24"/>
          <w:lang w:val="en-US"/>
        </w:rPr>
        <w:t>. Later, and up to date, numerous researchers have</w:t>
      </w:r>
      <w:r>
        <w:rPr>
          <w:rFonts w:ascii="Times New Roman" w:hAnsi="Times New Roman" w:cs="Times New Roman"/>
          <w:sz w:val="24"/>
          <w:szCs w:val="24"/>
          <w:lang w:val="en-US"/>
        </w:rPr>
        <w:t xml:space="preserve"> also</w:t>
      </w:r>
      <w:r w:rsidRPr="00AF3FDF">
        <w:rPr>
          <w:rFonts w:ascii="Times New Roman" w:hAnsi="Times New Roman" w:cs="Times New Roman"/>
          <w:sz w:val="24"/>
          <w:szCs w:val="24"/>
          <w:lang w:val="en-US"/>
        </w:rPr>
        <w:t xml:space="preserve"> tried to answer this question</w:t>
      </w:r>
      <w:r>
        <w:rPr>
          <w:rFonts w:ascii="Times New Roman" w:hAnsi="Times New Roman" w:cs="Times New Roman"/>
          <w:sz w:val="24"/>
          <w:szCs w:val="24"/>
          <w:lang w:val="en-US"/>
        </w:rPr>
        <w:t xml:space="preserve">. Taking, de jure, the classification by Illing and Aaron (2005) we can differentiate into the atheoretic and the theory-based measures. </w:t>
      </w:r>
      <w:r w:rsidRPr="008D76A3">
        <w:rPr>
          <w:rFonts w:ascii="Times New Roman" w:hAnsi="Times New Roman" w:cs="Times New Roman"/>
          <w:sz w:val="24"/>
          <w:szCs w:val="24"/>
          <w:lang w:val="en-US"/>
        </w:rPr>
        <w:t xml:space="preserve">The atheoretic measures </w:t>
      </w:r>
      <w:r w:rsidRPr="008D76A3">
        <w:rPr>
          <w:rFonts w:ascii="Times New Roman" w:hAnsi="Times New Roman" w:cs="Times New Roman"/>
          <w:color w:val="231F20"/>
          <w:sz w:val="24"/>
          <w:szCs w:val="24"/>
          <w:lang w:val="en-US"/>
        </w:rPr>
        <w:t xml:space="preserve">are constructed by aggregating information, such as spreads or implied volatilities applying different statistical methods. Suggestively, this set encompasses </w:t>
      </w:r>
      <w:r w:rsidRPr="008D76A3">
        <w:rPr>
          <w:rFonts w:ascii="Times New Roman" w:hAnsi="Times New Roman" w:cs="Times New Roman"/>
          <w:sz w:val="24"/>
          <w:szCs w:val="24"/>
          <w:lang w:val="en-US"/>
        </w:rPr>
        <w:t xml:space="preserve">the UBS’s Investor Sentiment Index (UBS), the </w:t>
      </w:r>
      <w:r w:rsidRPr="008D76A3">
        <w:rPr>
          <w:rFonts w:ascii="Times New Roman" w:hAnsi="Times New Roman" w:cs="Times New Roman"/>
          <w:sz w:val="24"/>
          <w:szCs w:val="24"/>
          <w:lang w:val="en-US"/>
        </w:rPr>
        <w:lastRenderedPageBreak/>
        <w:t xml:space="preserve">Merrill Lynch’s Financial Stress Index (ML), and the Westpac Risk Appetite Index (WP). </w:t>
      </w:r>
      <w:r w:rsidRPr="008D76A3">
        <w:rPr>
          <w:rFonts w:ascii="Times New Roman" w:hAnsi="Times New Roman" w:cs="Times New Roman"/>
          <w:color w:val="231F20"/>
          <w:sz w:val="24"/>
          <w:szCs w:val="24"/>
          <w:lang w:val="en-US"/>
        </w:rPr>
        <w:t xml:space="preserve">On the other hand, the </w:t>
      </w:r>
      <w:r w:rsidRPr="008D76A3">
        <w:rPr>
          <w:rFonts w:ascii="Times New Roman" w:hAnsi="Times New Roman" w:cs="Times New Roman"/>
          <w:iCs/>
          <w:sz w:val="24"/>
          <w:szCs w:val="24"/>
          <w:lang w:val="en-US"/>
        </w:rPr>
        <w:t xml:space="preserve">theory-based </w:t>
      </w:r>
      <w:r w:rsidRPr="008D76A3">
        <w:rPr>
          <w:rFonts w:ascii="Times New Roman" w:hAnsi="Times New Roman" w:cs="Times New Roman"/>
          <w:color w:val="231F20"/>
          <w:sz w:val="24"/>
          <w:szCs w:val="24"/>
          <w:lang w:val="en-US"/>
        </w:rPr>
        <w:t xml:space="preserve">measures are typically originated from a financial or economic model that applies on a specific market. Indicatively, </w:t>
      </w:r>
      <w:r w:rsidRPr="008D76A3">
        <w:rPr>
          <w:rFonts w:ascii="Times New Roman" w:hAnsi="Times New Roman" w:cs="Times New Roman"/>
          <w:sz w:val="24"/>
          <w:szCs w:val="24"/>
          <w:lang w:val="en-US"/>
        </w:rPr>
        <w:t xml:space="preserve">the Credit Suisse First Boston Risk-Appetite Index (CSFB), the Kumar and Persaud Global Risk-Appetite Index (GRAI) and the State Street Investor Confidence Index (ICI) are part of this set. </w:t>
      </w:r>
      <w:r>
        <w:rPr>
          <w:rFonts w:ascii="Times New Roman" w:hAnsi="Times New Roman" w:cs="Times New Roman"/>
          <w:bCs/>
          <w:sz w:val="24"/>
          <w:szCs w:val="24"/>
          <w:lang w:val="en-US"/>
        </w:rPr>
        <w:t>A</w:t>
      </w:r>
      <w:r w:rsidRPr="00B50882">
        <w:rPr>
          <w:rFonts w:ascii="Times New Roman" w:hAnsi="Times New Roman" w:cs="Times New Roman"/>
          <w:bCs/>
          <w:sz w:val="24"/>
          <w:szCs w:val="24"/>
          <w:lang w:val="en-US"/>
        </w:rPr>
        <w:t xml:space="preserve"> common conclusion</w:t>
      </w:r>
      <w:r>
        <w:rPr>
          <w:rFonts w:ascii="Times New Roman" w:hAnsi="Times New Roman" w:cs="Times New Roman"/>
          <w:bCs/>
          <w:sz w:val="24"/>
          <w:szCs w:val="24"/>
          <w:lang w:val="en-US"/>
        </w:rPr>
        <w:t>, though,</w:t>
      </w:r>
      <w:r w:rsidRPr="00B50882">
        <w:rPr>
          <w:rFonts w:ascii="Times New Roman" w:hAnsi="Times New Roman" w:cs="Times New Roman"/>
          <w:bCs/>
          <w:sz w:val="24"/>
          <w:szCs w:val="24"/>
          <w:lang w:val="en-US"/>
        </w:rPr>
        <w:t xml:space="preserve"> c</w:t>
      </w:r>
      <w:r>
        <w:rPr>
          <w:rFonts w:ascii="Times New Roman" w:hAnsi="Times New Roman" w:cs="Times New Roman"/>
          <w:bCs/>
          <w:sz w:val="24"/>
          <w:szCs w:val="24"/>
          <w:lang w:val="en-US"/>
        </w:rPr>
        <w:t>ould not</w:t>
      </w:r>
      <w:r w:rsidRPr="00B50882">
        <w:rPr>
          <w:rFonts w:ascii="Times New Roman" w:hAnsi="Times New Roman" w:cs="Times New Roman"/>
          <w:bCs/>
          <w:sz w:val="24"/>
          <w:szCs w:val="24"/>
          <w:lang w:val="en-US"/>
        </w:rPr>
        <w:t xml:space="preserve"> be reached and this </w:t>
      </w:r>
      <w:r>
        <w:rPr>
          <w:rFonts w:ascii="Times New Roman" w:hAnsi="Times New Roman" w:cs="Times New Roman"/>
          <w:bCs/>
          <w:sz w:val="24"/>
          <w:szCs w:val="24"/>
          <w:lang w:val="en-US"/>
        </w:rPr>
        <w:t>may was</w:t>
      </w:r>
      <w:r w:rsidRPr="00B50882">
        <w:rPr>
          <w:rFonts w:ascii="Times New Roman" w:hAnsi="Times New Roman" w:cs="Times New Roman"/>
          <w:bCs/>
          <w:sz w:val="24"/>
          <w:szCs w:val="24"/>
          <w:lang w:val="en-US"/>
        </w:rPr>
        <w:t xml:space="preserve"> the reason </w:t>
      </w:r>
      <w:r>
        <w:rPr>
          <w:rFonts w:ascii="Times New Roman" w:hAnsi="Times New Roman" w:cs="Times New Roman"/>
          <w:bCs/>
          <w:sz w:val="24"/>
          <w:szCs w:val="24"/>
          <w:lang w:val="en-US"/>
        </w:rPr>
        <w:t xml:space="preserve">that stimulated further research </w:t>
      </w:r>
      <w:r w:rsidR="001F7911">
        <w:rPr>
          <w:rFonts w:ascii="Times New Roman" w:hAnsi="Times New Roman" w:cs="Times New Roman"/>
          <w:bCs/>
          <w:sz w:val="24"/>
          <w:szCs w:val="24"/>
          <w:lang w:val="en-US"/>
        </w:rPr>
        <w:t>which</w:t>
      </w:r>
      <w:r>
        <w:rPr>
          <w:rFonts w:ascii="Times New Roman" w:hAnsi="Times New Roman" w:cs="Times New Roman"/>
          <w:bCs/>
          <w:sz w:val="24"/>
          <w:szCs w:val="24"/>
          <w:lang w:val="en-US"/>
        </w:rPr>
        <w:t xml:space="preserve"> used alternative measures. A first group of studies – Whaley (2000) and </w:t>
      </w:r>
      <w:r>
        <w:rPr>
          <w:rFonts w:ascii="Times New Roman" w:hAnsi="Times New Roman" w:cs="Times New Roman"/>
          <w:sz w:val="24"/>
          <w:szCs w:val="24"/>
          <w:lang w:val="en-US"/>
        </w:rPr>
        <w:t>Dennis and Mayhew (2002) among them- was established using</w:t>
      </w:r>
      <w:r>
        <w:rPr>
          <w:rFonts w:ascii="Times New Roman" w:hAnsi="Times New Roman" w:cs="Times New Roman"/>
          <w:bCs/>
          <w:sz w:val="24"/>
          <w:szCs w:val="24"/>
          <w:lang w:val="en-US"/>
        </w:rPr>
        <w:t xml:space="preserve"> raw series (VIX, VDAX and Put-Call ratio) in order to measure sentiment. Another group used surveys on the ground that they are more appropriate to capture </w:t>
      </w:r>
      <w:r w:rsidRPr="00B50882">
        <w:rPr>
          <w:rFonts w:ascii="Times New Roman" w:hAnsi="Times New Roman" w:cs="Times New Roman"/>
          <w:sz w:val="24"/>
          <w:szCs w:val="24"/>
          <w:lang w:val="en-US"/>
        </w:rPr>
        <w:t>and presen</w:t>
      </w:r>
      <w:r>
        <w:rPr>
          <w:rFonts w:ascii="Times New Roman" w:hAnsi="Times New Roman" w:cs="Times New Roman"/>
          <w:sz w:val="24"/>
          <w:szCs w:val="24"/>
          <w:lang w:val="en-US"/>
        </w:rPr>
        <w:t xml:space="preserve">t the psychology of individuals. More specifically, </w:t>
      </w:r>
      <w:r w:rsidRPr="00B50882">
        <w:rPr>
          <w:rFonts w:ascii="Times New Roman" w:hAnsi="Times New Roman" w:cs="Times New Roman"/>
          <w:sz w:val="24"/>
          <w:szCs w:val="24"/>
          <w:lang w:val="en-US"/>
        </w:rPr>
        <w:t>De Bondt (1993)</w:t>
      </w:r>
      <w:r>
        <w:rPr>
          <w:rFonts w:ascii="Times New Roman" w:hAnsi="Times New Roman" w:cs="Times New Roman"/>
          <w:sz w:val="24"/>
          <w:szCs w:val="24"/>
          <w:lang w:val="en-US"/>
        </w:rPr>
        <w:t>,</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Fisher and Statman (2000</w:t>
      </w:r>
      <w:r w:rsidRPr="00B50882">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Pr="00B50882">
        <w:rPr>
          <w:rFonts w:ascii="Times New Roman" w:hAnsi="Times New Roman" w:cs="Times New Roman"/>
          <w:sz w:val="24"/>
          <w:szCs w:val="24"/>
          <w:lang w:val="en-US"/>
        </w:rPr>
        <w:t>Brown and Cliff (2004)</w:t>
      </w:r>
      <w:r>
        <w:rPr>
          <w:rFonts w:ascii="Times New Roman" w:hAnsi="Times New Roman" w:cs="Times New Roman"/>
          <w:sz w:val="24"/>
          <w:szCs w:val="24"/>
          <w:lang w:val="en-US"/>
        </w:rPr>
        <w:t xml:space="preserve"> argued that sentiment measured by the </w:t>
      </w:r>
      <w:r w:rsidRPr="00B50882">
        <w:rPr>
          <w:rFonts w:ascii="Times New Roman" w:hAnsi="Times New Roman" w:cs="Times New Roman"/>
          <w:sz w:val="24"/>
          <w:szCs w:val="24"/>
          <w:lang w:val="en-US"/>
        </w:rPr>
        <w:t xml:space="preserve">American Association of Individual Investors (AAII) </w:t>
      </w:r>
      <w:r>
        <w:rPr>
          <w:rFonts w:ascii="Times New Roman" w:hAnsi="Times New Roman" w:cs="Times New Roman"/>
          <w:sz w:val="24"/>
          <w:szCs w:val="24"/>
          <w:lang w:val="en-US"/>
        </w:rPr>
        <w:t xml:space="preserve">survey can, to a certain degree, interpret stock returns. </w:t>
      </w:r>
      <w:r w:rsidRPr="00B50882">
        <w:rPr>
          <w:rFonts w:ascii="Times New Roman" w:hAnsi="Times New Roman" w:cs="Times New Roman"/>
          <w:sz w:val="24"/>
          <w:szCs w:val="24"/>
          <w:lang w:val="en-US"/>
        </w:rPr>
        <w:t>Solt and Statman (1988) and Clarke and Statman (1998)</w:t>
      </w:r>
      <w:r>
        <w:rPr>
          <w:rFonts w:ascii="Times New Roman" w:hAnsi="Times New Roman" w:cs="Times New Roman"/>
          <w:sz w:val="24"/>
          <w:szCs w:val="24"/>
          <w:lang w:val="en-US"/>
        </w:rPr>
        <w:t xml:space="preserve"> adopted </w:t>
      </w:r>
      <w:r w:rsidRPr="00B50882">
        <w:rPr>
          <w:rFonts w:ascii="Times New Roman" w:hAnsi="Times New Roman" w:cs="Times New Roman"/>
          <w:sz w:val="24"/>
          <w:szCs w:val="24"/>
          <w:lang w:val="en-US"/>
        </w:rPr>
        <w:t>the Investors Intelligence</w:t>
      </w:r>
      <w:r>
        <w:rPr>
          <w:rFonts w:ascii="Times New Roman" w:hAnsi="Times New Roman" w:cs="Times New Roman"/>
          <w:sz w:val="24"/>
          <w:szCs w:val="24"/>
          <w:lang w:val="en-US"/>
        </w:rPr>
        <w:t xml:space="preserve"> </w:t>
      </w:r>
      <w:r w:rsidRPr="00B50882">
        <w:rPr>
          <w:rFonts w:ascii="Times New Roman" w:hAnsi="Times New Roman" w:cs="Times New Roman"/>
          <w:sz w:val="24"/>
          <w:szCs w:val="24"/>
          <w:lang w:val="en-US"/>
        </w:rPr>
        <w:t>(II)</w:t>
      </w:r>
      <w:r>
        <w:rPr>
          <w:rFonts w:ascii="Times New Roman" w:hAnsi="Times New Roman" w:cs="Times New Roman"/>
          <w:sz w:val="24"/>
          <w:szCs w:val="24"/>
          <w:lang w:val="en-US"/>
        </w:rPr>
        <w:t xml:space="preserve"> survey as a measure of sentiment and concluded that it exhibits no correlation with stock returns. Finally, studies were conducted based on several </w:t>
      </w:r>
      <w:r w:rsidRPr="00B50882">
        <w:rPr>
          <w:rFonts w:ascii="Times New Roman" w:hAnsi="Times New Roman" w:cs="Times New Roman"/>
          <w:bCs/>
          <w:sz w:val="24"/>
          <w:szCs w:val="24"/>
          <w:lang w:val="en-US"/>
        </w:rPr>
        <w:t>economic or market variables</w:t>
      </w:r>
      <w:r>
        <w:rPr>
          <w:rFonts w:ascii="Times New Roman" w:hAnsi="Times New Roman" w:cs="Times New Roman"/>
          <w:bCs/>
          <w:sz w:val="24"/>
          <w:szCs w:val="24"/>
          <w:lang w:val="en-US"/>
        </w:rPr>
        <w:t xml:space="preserve"> – namely</w:t>
      </w:r>
      <w:r w:rsidRPr="00B50882">
        <w:rPr>
          <w:rFonts w:ascii="Times New Roman" w:hAnsi="Times New Roman" w:cs="Times New Roman"/>
          <w:bCs/>
          <w:sz w:val="24"/>
          <w:szCs w:val="24"/>
          <w:lang w:val="en-US"/>
        </w:rPr>
        <w:t xml:space="preserve"> the closed-end fund discount,</w:t>
      </w:r>
      <w:r>
        <w:rPr>
          <w:rFonts w:ascii="Times New Roman" w:hAnsi="Times New Roman" w:cs="Times New Roman"/>
          <w:bCs/>
          <w:sz w:val="24"/>
          <w:szCs w:val="24"/>
          <w:lang w:val="en-US"/>
        </w:rPr>
        <w:t xml:space="preserve"> the NYSE share turnover and</w:t>
      </w:r>
      <w:r w:rsidRPr="00B50882">
        <w:rPr>
          <w:rFonts w:ascii="Times New Roman" w:hAnsi="Times New Roman" w:cs="Times New Roman"/>
          <w:bCs/>
          <w:sz w:val="24"/>
          <w:szCs w:val="24"/>
          <w:lang w:val="en-US"/>
        </w:rPr>
        <w:t xml:space="preserve"> the number and average first-day returns on IPOs</w:t>
      </w:r>
      <w:r>
        <w:rPr>
          <w:rFonts w:ascii="Times New Roman" w:hAnsi="Times New Roman" w:cs="Times New Roman"/>
          <w:bCs/>
          <w:sz w:val="24"/>
          <w:szCs w:val="24"/>
          <w:lang w:val="en-US"/>
        </w:rPr>
        <w:t>-</w:t>
      </w:r>
      <w:r w:rsidRPr="00B50882">
        <w:rPr>
          <w:rFonts w:ascii="Times New Roman" w:hAnsi="Times New Roman" w:cs="Times New Roman"/>
          <w:bCs/>
          <w:sz w:val="24"/>
          <w:szCs w:val="24"/>
          <w:lang w:val="en-US"/>
        </w:rPr>
        <w:t xml:space="preserve"> as proxi</w:t>
      </w:r>
      <w:r>
        <w:rPr>
          <w:rFonts w:ascii="Times New Roman" w:hAnsi="Times New Roman" w:cs="Times New Roman"/>
          <w:bCs/>
          <w:sz w:val="24"/>
          <w:szCs w:val="24"/>
          <w:lang w:val="en-US"/>
        </w:rPr>
        <w:t>es for sentiment. The most distinguishing paper is, perhaps, that of Baker and Wurgler (2006). T</w:t>
      </w:r>
      <w:r>
        <w:rPr>
          <w:rFonts w:ascii="Times New Roman" w:hAnsi="Times New Roman" w:cs="Times New Roman"/>
          <w:color w:val="231F20"/>
          <w:sz w:val="24"/>
          <w:szCs w:val="24"/>
          <w:lang w:val="en-US"/>
        </w:rPr>
        <w:t xml:space="preserve">he authors created their own composite sentiment index using </w:t>
      </w:r>
      <w:r w:rsidRPr="00B50882">
        <w:rPr>
          <w:rFonts w:ascii="Times New Roman" w:hAnsi="Times New Roman" w:cs="Times New Roman"/>
          <w:color w:val="231F20"/>
          <w:sz w:val="24"/>
          <w:szCs w:val="24"/>
          <w:lang w:val="en-US"/>
        </w:rPr>
        <w:t>six different economic and market variables</w:t>
      </w:r>
      <w:r>
        <w:rPr>
          <w:rFonts w:ascii="Times New Roman" w:hAnsi="Times New Roman" w:cs="Times New Roman"/>
          <w:color w:val="231F20"/>
          <w:sz w:val="24"/>
          <w:szCs w:val="24"/>
          <w:lang w:val="en-US"/>
        </w:rPr>
        <w:t xml:space="preserve"> and determine that stocks of firms that are hard to evaluate – e.g. small or young firms- are more prone to the limits to arbitrage and sentiment meaning that subsequent returns for these firms are higher when sentiment is low compared to returns of large firms. </w:t>
      </w:r>
      <w:r w:rsidRPr="00AF3FDF">
        <w:rPr>
          <w:rFonts w:ascii="Times New Roman" w:hAnsi="Times New Roman" w:cs="Times New Roman"/>
          <w:sz w:val="24"/>
          <w:szCs w:val="24"/>
          <w:lang w:val="en-US"/>
        </w:rPr>
        <w:t xml:space="preserve">After this extended investigation, </w:t>
      </w:r>
      <w:r>
        <w:rPr>
          <w:rFonts w:ascii="Times New Roman" w:hAnsi="Times New Roman" w:cs="Times New Roman"/>
          <w:sz w:val="24"/>
          <w:szCs w:val="24"/>
          <w:lang w:val="en-US"/>
        </w:rPr>
        <w:t xml:space="preserve">empirical evidence was established that indeed sentiment affect stocks’ returns. Thus, the aim was no longer </w:t>
      </w:r>
      <w:r w:rsidRPr="00AF3FDF">
        <w:rPr>
          <w:rFonts w:ascii="Times New Roman" w:hAnsi="Times New Roman" w:cs="Times New Roman"/>
          <w:sz w:val="24"/>
          <w:szCs w:val="24"/>
          <w:lang w:val="en-US"/>
        </w:rPr>
        <w:t xml:space="preserve">to try to investigate whether investor sentiment is </w:t>
      </w:r>
      <w:r>
        <w:rPr>
          <w:rFonts w:ascii="Times New Roman" w:hAnsi="Times New Roman" w:cs="Times New Roman"/>
          <w:sz w:val="24"/>
          <w:szCs w:val="24"/>
          <w:lang w:val="en-US"/>
        </w:rPr>
        <w:t>influential towards stock returns</w:t>
      </w:r>
      <w:r w:rsidRPr="00AF3FDF">
        <w:rPr>
          <w:rFonts w:ascii="Times New Roman" w:hAnsi="Times New Roman" w:cs="Times New Roman"/>
          <w:sz w:val="24"/>
          <w:szCs w:val="24"/>
          <w:lang w:val="en-US"/>
        </w:rPr>
        <w:t xml:space="preserve"> but rather how to quantify and measure these effects</w:t>
      </w:r>
      <w:r>
        <w:rPr>
          <w:rFonts w:ascii="Times New Roman" w:hAnsi="Times New Roman" w:cs="Times New Roman"/>
          <w:sz w:val="24"/>
          <w:szCs w:val="24"/>
          <w:lang w:val="en-US"/>
        </w:rPr>
        <w:t xml:space="preserve"> (Baker and Wurgler, 2006)</w:t>
      </w:r>
      <w:r w:rsidRPr="00AF3FDF">
        <w:rPr>
          <w:rFonts w:ascii="Times New Roman" w:hAnsi="Times New Roman" w:cs="Times New Roman"/>
          <w:sz w:val="24"/>
          <w:szCs w:val="24"/>
          <w:lang w:val="en-US"/>
        </w:rPr>
        <w:t>.</w:t>
      </w:r>
      <w:r>
        <w:rPr>
          <w:rFonts w:ascii="Times New Roman" w:hAnsi="Times New Roman" w:cs="Times New Roman"/>
          <w:sz w:val="24"/>
          <w:szCs w:val="24"/>
          <w:lang w:val="en-US"/>
        </w:rPr>
        <w:t xml:space="preserve"> K</w:t>
      </w:r>
      <w:r w:rsidRPr="00AF3FDF">
        <w:rPr>
          <w:rFonts w:ascii="Times New Roman" w:hAnsi="Times New Roman" w:cs="Times New Roman"/>
          <w:sz w:val="24"/>
          <w:szCs w:val="24"/>
          <w:lang w:val="en-US"/>
        </w:rPr>
        <w:t xml:space="preserve">eeping this turning point in mind, Uhlenbrock (2009) indicates that consideration of the investors’ risk appetite/aversion has become an important element for assessing the stability of the financial markets, a view also supported by Illing &amp; Aaron (2005). That simply means that a high (low) degree of risk appetite (aversion) can trigger speculative bubbles while a reverse pattern may induce sharp falls resulting into a potential financial crisis </w:t>
      </w:r>
      <w:r w:rsidR="00F17C1C" w:rsidRPr="00AF3FDF">
        <w:rPr>
          <w:rFonts w:ascii="Times New Roman" w:hAnsi="Times New Roman" w:cs="Times New Roman"/>
          <w:sz w:val="24"/>
          <w:szCs w:val="24"/>
          <w:lang w:val="en-US"/>
        </w:rPr>
        <w:fldChar w:fldCharType="begin" w:fldLock="1"/>
      </w:r>
      <w:r w:rsidRPr="00AF3FDF">
        <w:rPr>
          <w:rFonts w:ascii="Times New Roman" w:hAnsi="Times New Roman" w:cs="Times New Roman"/>
          <w:sz w:val="24"/>
          <w:szCs w:val="24"/>
          <w:lang w:val="en-US"/>
        </w:rPr>
        <w:instrText>ADDIN CSL_CITATION { "citationItems" : [ { "id" : "ITEM-1", "itemData" : { "author" : [ { "family" : "Coudert", "given" : "Virginie" }, { "family" : "Gex", "given" : "Mathieu" } ], "id" : "ITEM-1", "issued" : { "date-parts" : [ [ "2007" ] ] }, "title" : "Does Risk Aversion Drive Financial Crises? Testing the Predictive power of Empirical Indicators _____________", "type" : "article-journal" }, "uris" : [ "http://www.mendeley.com/documents/?uuid=1ca5cf61-288d-4e03-9585-2092d5cf2e54" ] } ], "mendeley" : { "previouslyFormattedCitation" : "(Coudert &amp; Gex, 2007)" }, "properties" : { "noteIndex" : 0 }, "schema" : "https://github.com/citation-style-language/schema/raw/master/csl-citation.json" }</w:instrText>
      </w:r>
      <w:r w:rsidR="00F17C1C" w:rsidRPr="00AF3FDF">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(Coudert and</w:t>
      </w:r>
      <w:r w:rsidRPr="00AF3FDF">
        <w:rPr>
          <w:rFonts w:ascii="Times New Roman" w:hAnsi="Times New Roman" w:cs="Times New Roman"/>
          <w:noProof/>
          <w:sz w:val="24"/>
          <w:szCs w:val="24"/>
          <w:lang w:val="en-US"/>
        </w:rPr>
        <w:t xml:space="preserve"> Gex, 2007)</w:t>
      </w:r>
      <w:r w:rsidR="00F17C1C" w:rsidRPr="00AF3FDF">
        <w:rPr>
          <w:rFonts w:ascii="Times New Roman" w:hAnsi="Times New Roman" w:cs="Times New Roman"/>
          <w:sz w:val="24"/>
          <w:szCs w:val="24"/>
          <w:lang w:val="en-US"/>
        </w:rPr>
        <w:fldChar w:fldCharType="end"/>
      </w:r>
      <w:r w:rsidRPr="00AF3FDF">
        <w:rPr>
          <w:rFonts w:ascii="Times New Roman" w:hAnsi="Times New Roman" w:cs="Times New Roman"/>
          <w:sz w:val="24"/>
          <w:szCs w:val="24"/>
          <w:lang w:val="en-US"/>
        </w:rPr>
        <w:t xml:space="preserve">. Consequently, this indicates that not only individual institutions could benefit from engaging a more efficient risk management strategy, i.e. timely and </w:t>
      </w:r>
      <w:r>
        <w:rPr>
          <w:rFonts w:ascii="Times New Roman" w:hAnsi="Times New Roman" w:cs="Times New Roman"/>
          <w:sz w:val="24"/>
          <w:szCs w:val="24"/>
          <w:lang w:val="en-US"/>
        </w:rPr>
        <w:t>dynamic</w:t>
      </w:r>
      <w:r w:rsidRPr="00AF3FDF">
        <w:rPr>
          <w:rFonts w:ascii="Times New Roman" w:hAnsi="Times New Roman" w:cs="Times New Roman"/>
          <w:sz w:val="24"/>
          <w:szCs w:val="24"/>
          <w:lang w:val="en-US"/>
        </w:rPr>
        <w:t xml:space="preserve"> diversification of their portfolios, but also that policymakers could improve their monitoring as far as market conditions are concerned </w:t>
      </w:r>
      <w:r w:rsidRPr="00AF3FDF">
        <w:rPr>
          <w:rFonts w:ascii="Times New Roman" w:hAnsi="Times New Roman" w:cs="Times New Roman"/>
          <w:sz w:val="24"/>
          <w:szCs w:val="24"/>
          <w:lang w:val="en-US"/>
        </w:rPr>
        <w:lastRenderedPageBreak/>
        <w:t xml:space="preserve">(Karampatos et al., 2003). All the above justify why academics and practitioners are constantly try to gauge the preceding concepts </w:t>
      </w:r>
      <w:r w:rsidR="00F17C1C" w:rsidRPr="00AF3FDF">
        <w:rPr>
          <w:rFonts w:ascii="Times New Roman" w:hAnsi="Times New Roman" w:cs="Times New Roman"/>
          <w:sz w:val="24"/>
          <w:szCs w:val="24"/>
          <w:lang w:val="en-US"/>
        </w:rPr>
        <w:fldChar w:fldCharType="begin" w:fldLock="1"/>
      </w:r>
      <w:r w:rsidRPr="00AF3FDF">
        <w:rPr>
          <w:rFonts w:ascii="Times New Roman" w:hAnsi="Times New Roman" w:cs="Times New Roman"/>
          <w:sz w:val="24"/>
          <w:szCs w:val="24"/>
          <w:lang w:val="en-US"/>
        </w:rPr>
        <w:instrText>ADDIN CSL_CITATION { "citationItems" : [ { "id" : "ITEM-1", "itemData" : { "author" : [ { "family" : "Froot", "given" : "Kenneth A" }, { "family" : "Connell", "given" : "Paul G J O" } ], "id" : "ITEM-1", "issued" : { "date-parts" : [ [ "2003" ] ] }, "title" : "No Title", "type" : "article-journal" }, "uris" : [ "http://www.mendeley.com/documents/?uuid=603742f4-54e3-437f-874e-8ff991dcbf39" ] } ], "mendeley" : { "previouslyFormattedCitation" : "(Froot &amp; Connell, 2003)" }, "properties" : { "noteIndex" : 0 }, "schema" : "https://github.com/citation-style-language/schema/raw/master/csl-citation.json" }</w:instrText>
      </w:r>
      <w:r w:rsidR="00F17C1C" w:rsidRPr="00AF3FDF">
        <w:rPr>
          <w:rFonts w:ascii="Times New Roman" w:hAnsi="Times New Roman" w:cs="Times New Roman"/>
          <w:sz w:val="24"/>
          <w:szCs w:val="24"/>
          <w:lang w:val="en-US"/>
        </w:rPr>
        <w:fldChar w:fldCharType="separate"/>
      </w:r>
      <w:r w:rsidRPr="00AF3FDF">
        <w:rPr>
          <w:rFonts w:ascii="Times New Roman" w:hAnsi="Times New Roman" w:cs="Times New Roman"/>
          <w:noProof/>
          <w:sz w:val="24"/>
          <w:szCs w:val="24"/>
          <w:lang w:val="en-US"/>
        </w:rPr>
        <w:t>(Froot &amp; Connell, 2003)</w:t>
      </w:r>
      <w:r w:rsidR="00F17C1C" w:rsidRPr="00AF3FDF">
        <w:rPr>
          <w:rFonts w:ascii="Times New Roman" w:hAnsi="Times New Roman" w:cs="Times New Roman"/>
          <w:sz w:val="24"/>
          <w:szCs w:val="24"/>
          <w:lang w:val="en-US"/>
        </w:rPr>
        <w:fldChar w:fldCharType="end"/>
      </w:r>
      <w:r w:rsidRPr="00AF3FDF">
        <w:rPr>
          <w:rFonts w:ascii="Times New Roman" w:hAnsi="Times New Roman" w:cs="Times New Roman"/>
          <w:sz w:val="24"/>
          <w:szCs w:val="24"/>
          <w:lang w:val="en-US"/>
        </w:rPr>
        <w:t xml:space="preserve">. </w:t>
      </w:r>
    </w:p>
    <w:p w:rsidR="001879CE" w:rsidRDefault="001879CE" w:rsidP="001879C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Since its inception, investors’ sentiment has been under intensive investigation as we already mentioned. That resulted to the construction of several indices that purport to measure risk appetite or risk aversion. Our goal, after reviewing the majority of these indices along with the rationale behind them, is to suggest the fundamental characteristics that an index should share in order for it to be considered “good”. Moreover, we aim to identify which of the already existing indices perform better and for which asset classes. We have seen so far that researches exist that try to connect various measures of sentiment with stock returns (see for example </w:t>
      </w:r>
      <w:r w:rsidRPr="005C6237">
        <w:rPr>
          <w:rFonts w:ascii="Times New Roman" w:hAnsi="Times New Roman" w:cs="Times New Roman"/>
          <w:sz w:val="24"/>
          <w:szCs w:val="24"/>
          <w:lang w:val="en-US"/>
        </w:rPr>
        <w:t>Chen</w:t>
      </w:r>
      <w:r>
        <w:rPr>
          <w:rFonts w:ascii="Times New Roman" w:hAnsi="Times New Roman" w:cs="Times New Roman"/>
          <w:sz w:val="24"/>
          <w:szCs w:val="24"/>
          <w:lang w:val="en-US"/>
        </w:rPr>
        <w:t xml:space="preserve"> et al., </w:t>
      </w:r>
      <w:r w:rsidRPr="005C6237">
        <w:rPr>
          <w:rFonts w:ascii="Times New Roman" w:hAnsi="Times New Roman" w:cs="Times New Roman"/>
          <w:sz w:val="24"/>
          <w:szCs w:val="24"/>
          <w:lang w:val="en-US"/>
        </w:rPr>
        <w:t>1993a, 1993b</w:t>
      </w:r>
      <w:r>
        <w:rPr>
          <w:rFonts w:ascii="Times New Roman" w:hAnsi="Times New Roman" w:cs="Times New Roman"/>
          <w:sz w:val="24"/>
          <w:szCs w:val="24"/>
          <w:lang w:val="en-US"/>
        </w:rPr>
        <w:t xml:space="preserve">; </w:t>
      </w:r>
      <w:r w:rsidRPr="002F37A2">
        <w:rPr>
          <w:rFonts w:ascii="Times New Roman" w:hAnsi="Times New Roman" w:cs="Times New Roman"/>
          <w:sz w:val="24"/>
          <w:szCs w:val="24"/>
          <w:lang w:val="en-US"/>
        </w:rPr>
        <w:t>Swami</w:t>
      </w:r>
      <w:r>
        <w:rPr>
          <w:rFonts w:ascii="Times New Roman" w:hAnsi="Times New Roman" w:cs="Times New Roman"/>
          <w:sz w:val="24"/>
          <w:szCs w:val="24"/>
          <w:lang w:val="en-US"/>
        </w:rPr>
        <w:t xml:space="preserve">nathan, </w:t>
      </w:r>
      <w:r w:rsidRPr="002F37A2">
        <w:rPr>
          <w:rFonts w:ascii="Times New Roman" w:hAnsi="Times New Roman" w:cs="Times New Roman"/>
          <w:sz w:val="24"/>
          <w:szCs w:val="24"/>
          <w:lang w:val="en-US"/>
        </w:rPr>
        <w:t>1996</w:t>
      </w:r>
      <w:r>
        <w:rPr>
          <w:rFonts w:ascii="Times New Roman" w:hAnsi="Times New Roman" w:cs="Times New Roman"/>
          <w:sz w:val="24"/>
          <w:szCs w:val="24"/>
          <w:lang w:val="en-US"/>
        </w:rPr>
        <w:t xml:space="preserve">; </w:t>
      </w:r>
      <w:r w:rsidRPr="00B50882">
        <w:rPr>
          <w:rFonts w:ascii="Times New Roman" w:hAnsi="Times New Roman" w:cs="Times New Roman"/>
          <w:sz w:val="24"/>
          <w:szCs w:val="24"/>
          <w:lang w:val="en-US"/>
        </w:rPr>
        <w:t>Lemmon and Portniaguina</w:t>
      </w:r>
      <w:r>
        <w:rPr>
          <w:rFonts w:ascii="Times New Roman" w:hAnsi="Times New Roman" w:cs="Times New Roman"/>
          <w:sz w:val="24"/>
          <w:szCs w:val="24"/>
          <w:lang w:val="en-US"/>
        </w:rPr>
        <w:t xml:space="preserve">, 2006 in addition to the aforementioned ones). </w:t>
      </w:r>
      <w:r w:rsidRPr="005917C1">
        <w:rPr>
          <w:rFonts w:ascii="Times New Roman" w:hAnsi="Times New Roman" w:cs="Times New Roman"/>
          <w:sz w:val="24"/>
          <w:szCs w:val="24"/>
          <w:lang w:val="en-US"/>
        </w:rPr>
        <w:t xml:space="preserve">However, studies that focus their attention on relating the impact of measures of sentiment to the behavior of other asset classes (for instance commodities, bonds or </w:t>
      </w:r>
      <w:r w:rsidRPr="00AA0094">
        <w:rPr>
          <w:rFonts w:ascii="Times New Roman" w:hAnsi="Times New Roman" w:cs="Times New Roman"/>
          <w:sz w:val="24"/>
          <w:szCs w:val="24"/>
          <w:lang w:val="en-US"/>
        </w:rPr>
        <w:t>exchange rates) are non-existent, at least to our knowledge. In this paper, we try to fill in this gap in the literature. Nevertheless, we should state that studies which connect sentiment, in general, with other asset classes (for instance commodities, bonds or exchange rates) do exist. Though, they</w:t>
      </w:r>
      <w:r w:rsidR="00C370B6">
        <w:rPr>
          <w:rFonts w:ascii="Times New Roman" w:hAnsi="Times New Roman" w:cs="Times New Roman"/>
          <w:sz w:val="24"/>
          <w:szCs w:val="24"/>
          <w:lang w:val="en-US"/>
        </w:rPr>
        <w:t xml:space="preserve"> are “short-sighted” since they</w:t>
      </w:r>
      <w:r w:rsidRPr="00AA0094">
        <w:rPr>
          <w:rFonts w:ascii="Times New Roman" w:hAnsi="Times New Roman" w:cs="Times New Roman"/>
          <w:sz w:val="24"/>
          <w:szCs w:val="24"/>
          <w:lang w:val="en-US"/>
        </w:rPr>
        <w:t xml:space="preserve"> only focus on whether assets exhibit safe haven properties. Safe haven is an asset which provides protection to investors in times of crisis (Coudert and Raymond, 2010). In this sense, these studies examine the behavior of assets specifically during a crisis. For instance, Upper (2000) concentrates on the 1998 turbulence finding evidence that investors shifted to low risk and highly liquid assets like the German ten year bonds. Sari et al. (2009) identified that, at least partially and on the short run, investors diversify their risk by investing in gold, silver and oil when uncertainty is high. Ranaldo and Söderlind (2010) provided empirical evidence that the Japanese Yen (¥), the Swiss Franc (CHF) and the Euro (€) have safe haven features. Our approach is broader than that and this is what differentiates it from the previously mentioned ones. We use indices of risk appetite or aversion around a period that encompasses both periods of crisis and normal ones.</w:t>
      </w:r>
      <w:r>
        <w:rPr>
          <w:rFonts w:ascii="Times New Roman" w:hAnsi="Times New Roman" w:cs="Times New Roman"/>
          <w:sz w:val="24"/>
          <w:szCs w:val="24"/>
          <w:lang w:val="en-US"/>
        </w:rPr>
        <w:t xml:space="preserve"> Overall, o</w:t>
      </w:r>
      <w:r w:rsidRPr="00764AD2">
        <w:rPr>
          <w:rFonts w:ascii="Times New Roman" w:hAnsi="Times New Roman" w:cs="Times New Roman"/>
          <w:sz w:val="24"/>
          <w:szCs w:val="24"/>
          <w:lang w:val="en-US"/>
        </w:rPr>
        <w:t>ur study is based on the research of Baker and Wurgler (2006) nonetheless with several</w:t>
      </w:r>
      <w:r>
        <w:rPr>
          <w:rFonts w:ascii="Times New Roman" w:hAnsi="Times New Roman" w:cs="Times New Roman"/>
          <w:sz w:val="24"/>
          <w:szCs w:val="24"/>
          <w:lang w:val="en-US"/>
        </w:rPr>
        <w:t xml:space="preserve"> differences. First, u</w:t>
      </w:r>
      <w:r w:rsidRPr="00764AD2">
        <w:rPr>
          <w:rFonts w:ascii="Times New Roman" w:hAnsi="Times New Roman" w:cs="Times New Roman"/>
          <w:sz w:val="24"/>
          <w:szCs w:val="24"/>
          <w:lang w:val="en-US"/>
        </w:rPr>
        <w:t xml:space="preserve">nlike </w:t>
      </w:r>
      <w:r>
        <w:rPr>
          <w:rFonts w:ascii="Times New Roman" w:hAnsi="Times New Roman" w:cs="Times New Roman"/>
          <w:sz w:val="24"/>
          <w:szCs w:val="24"/>
          <w:lang w:val="en-US"/>
        </w:rPr>
        <w:t xml:space="preserve">these authors </w:t>
      </w:r>
      <w:r w:rsidRPr="00764AD2">
        <w:rPr>
          <w:rFonts w:ascii="Times New Roman" w:hAnsi="Times New Roman" w:cs="Times New Roman"/>
          <w:sz w:val="24"/>
          <w:szCs w:val="24"/>
          <w:lang w:val="en-US"/>
        </w:rPr>
        <w:t xml:space="preserve">we </w:t>
      </w:r>
      <w:r>
        <w:rPr>
          <w:rFonts w:ascii="Times New Roman" w:hAnsi="Times New Roman" w:cs="Times New Roman"/>
          <w:sz w:val="24"/>
          <w:szCs w:val="24"/>
          <w:lang w:val="en-US"/>
        </w:rPr>
        <w:t>do</w:t>
      </w:r>
      <w:r w:rsidRPr="00764AD2">
        <w:rPr>
          <w:rFonts w:ascii="Times New Roman" w:hAnsi="Times New Roman" w:cs="Times New Roman"/>
          <w:sz w:val="24"/>
          <w:szCs w:val="24"/>
          <w:lang w:val="en-US"/>
        </w:rPr>
        <w:t xml:space="preserve"> not use one measure or proxies that presume to capture sentiment but rather the values from several existing indices as explanatory variables.</w:t>
      </w:r>
      <w:r>
        <w:rPr>
          <w:rFonts w:ascii="Times New Roman" w:hAnsi="Times New Roman" w:cs="Times New Roman"/>
          <w:sz w:val="24"/>
          <w:szCs w:val="24"/>
          <w:lang w:val="en-US"/>
        </w:rPr>
        <w:t xml:space="preserve"> Furthermore, another difference is that we use other asset classes as well and not only stocks.</w:t>
      </w:r>
    </w:p>
    <w:p w:rsidR="001879CE" w:rsidRPr="0073401A" w:rsidRDefault="001879CE" w:rsidP="001879CE">
      <w:pPr>
        <w:spacing w:after="0" w:line="360" w:lineRule="auto"/>
        <w:jc w:val="both"/>
        <w:rPr>
          <w:rFonts w:ascii="Times New Roman" w:hAnsi="Times New Roman" w:cs="Times New Roman"/>
          <w:sz w:val="20"/>
          <w:szCs w:val="20"/>
          <w:lang w:val="en-US"/>
        </w:rPr>
      </w:pPr>
    </w:p>
    <w:p w:rsidR="001879CE" w:rsidRPr="00602552" w:rsidRDefault="001879CE" w:rsidP="001879C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purposes of our analysis we used as </w:t>
      </w:r>
      <w:r w:rsidRPr="00764AD2">
        <w:rPr>
          <w:rFonts w:ascii="Times New Roman" w:hAnsi="Times New Roman" w:cs="Times New Roman"/>
          <w:sz w:val="24"/>
          <w:szCs w:val="24"/>
          <w:lang w:val="en-US"/>
        </w:rPr>
        <w:t>dependent variables</w:t>
      </w:r>
      <w:r>
        <w:rPr>
          <w:rFonts w:ascii="Times New Roman" w:hAnsi="Times New Roman" w:cs="Times New Roman"/>
          <w:sz w:val="24"/>
          <w:szCs w:val="24"/>
          <w:lang w:val="en-US"/>
        </w:rPr>
        <w:t xml:space="preserve"> returns of commodities (gold, corn and copper), returns of different currencies to U.S Dollar (Swiss franc, Euro and Australian </w:t>
      </w:r>
      <w:r>
        <w:rPr>
          <w:rFonts w:ascii="Times New Roman" w:hAnsi="Times New Roman" w:cs="Times New Roman"/>
          <w:sz w:val="24"/>
          <w:szCs w:val="24"/>
          <w:lang w:val="en-US"/>
        </w:rPr>
        <w:lastRenderedPageBreak/>
        <w:t>Dollar), yield spreads of government bonds (U.S and Germany) and finally returns of stocks (Russell1</w:t>
      </w:r>
      <w:r w:rsidR="005C4B66">
        <w:rPr>
          <w:rFonts w:ascii="Times New Roman" w:hAnsi="Times New Roman" w:cs="Times New Roman"/>
          <w:sz w:val="24"/>
          <w:szCs w:val="24"/>
          <w:lang w:val="en-US"/>
        </w:rPr>
        <w:t>000, Russell2000, DAX and SDAX).</w:t>
      </w:r>
      <w:r>
        <w:rPr>
          <w:rFonts w:ascii="Times New Roman" w:hAnsi="Times New Roman" w:cs="Times New Roman"/>
          <w:sz w:val="24"/>
          <w:szCs w:val="24"/>
          <w:lang w:val="en-US"/>
        </w:rPr>
        <w:t xml:space="preserve"> </w:t>
      </w:r>
      <w:r w:rsidR="00602552" w:rsidRPr="00602552">
        <w:rPr>
          <w:rFonts w:ascii="Times New Roman" w:hAnsi="Times New Roman" w:cs="Times New Roman"/>
          <w:sz w:val="24"/>
          <w:szCs w:val="24"/>
          <w:lang w:val="en-US"/>
        </w:rPr>
        <w:t>Then, using time series regressions we try to identify which of the existing indices better capture swings in returns or yield spreads. Our results indicate that for the asset class of commodities the leading Baker and Wurgler (BW) and the leading VIX Index (VIX) are the best indices. For the asset class of currencies, the leading Put-Call ratio (PCR) is the most suitable while for government bonds the most appropriate index is the leading University of Michigan Consumer Confidence Sentiment (CC). Finally, for U.S stock returns the best indices are the Global Risk Appetite Monitor by Nomura (NGRAM) and the Westpac Risk Appetite (WP) while for Germany the best indices are the leading University of Michigan Consumer Confidence Sentiment (CC) and the leading VIX Index (VIX). Results for CC are in line with the evidence presented by Lemmon and Portniaguina (2006) and Zouaoui et al. (2011)</w:t>
      </w:r>
      <w:r w:rsidR="00590CEB">
        <w:rPr>
          <w:rFonts w:ascii="Times New Roman" w:hAnsi="Times New Roman" w:cs="Times New Roman"/>
          <w:sz w:val="24"/>
          <w:szCs w:val="24"/>
          <w:lang w:val="en-US"/>
        </w:rPr>
        <w:t>, among others,</w:t>
      </w:r>
      <w:r w:rsidR="00602552" w:rsidRPr="00602552">
        <w:rPr>
          <w:rFonts w:ascii="Times New Roman" w:hAnsi="Times New Roman" w:cs="Times New Roman"/>
          <w:sz w:val="24"/>
          <w:szCs w:val="24"/>
          <w:lang w:val="en-US"/>
        </w:rPr>
        <w:t xml:space="preserve"> regarding the ability of the index</w:t>
      </w:r>
      <w:r w:rsidR="00494B79">
        <w:rPr>
          <w:rFonts w:ascii="Times New Roman" w:hAnsi="Times New Roman" w:cs="Times New Roman"/>
          <w:sz w:val="24"/>
          <w:szCs w:val="24"/>
          <w:lang w:val="en-US"/>
        </w:rPr>
        <w:t xml:space="preserve"> to forecast</w:t>
      </w:r>
      <w:r w:rsidR="00602552" w:rsidRPr="00602552">
        <w:rPr>
          <w:rFonts w:ascii="Times New Roman" w:hAnsi="Times New Roman" w:cs="Times New Roman"/>
          <w:sz w:val="24"/>
          <w:szCs w:val="24"/>
          <w:lang w:val="en-US"/>
        </w:rPr>
        <w:t xml:space="preserve"> stock returns.</w:t>
      </w:r>
    </w:p>
    <w:p w:rsidR="00172AB3" w:rsidRDefault="00172AB3" w:rsidP="001879CE">
      <w:pPr>
        <w:spacing w:after="0" w:line="360" w:lineRule="auto"/>
        <w:jc w:val="both"/>
        <w:rPr>
          <w:rFonts w:ascii="Times New Roman" w:hAnsi="Times New Roman" w:cs="Times New Roman"/>
          <w:sz w:val="24"/>
          <w:szCs w:val="24"/>
          <w:lang w:val="en-US"/>
        </w:rPr>
      </w:pPr>
    </w:p>
    <w:p w:rsidR="00172AB3" w:rsidRPr="00172AB3" w:rsidRDefault="00172AB3" w:rsidP="00172AB3">
      <w:pPr>
        <w:spacing w:after="0" w:line="360" w:lineRule="auto"/>
        <w:jc w:val="both"/>
        <w:rPr>
          <w:rFonts w:ascii="Times New Roman" w:hAnsi="Times New Roman" w:cs="Times New Roman"/>
          <w:sz w:val="24"/>
          <w:szCs w:val="24"/>
          <w:lang w:val="en-US"/>
        </w:rPr>
      </w:pPr>
      <w:r w:rsidRPr="00172AB3">
        <w:rPr>
          <w:rFonts w:ascii="Times New Roman" w:hAnsi="Times New Roman" w:cs="Times New Roman"/>
          <w:sz w:val="24"/>
          <w:szCs w:val="24"/>
          <w:lang w:val="en-US"/>
        </w:rPr>
        <w:t xml:space="preserve">As a robustness test, we controlled for the Fama-French factors and their impact when they are accounted for. Our empirical evidence supports </w:t>
      </w:r>
      <w:r w:rsidRPr="00172AB3">
        <w:rPr>
          <w:rFonts w:ascii="Times New Roman" w:hAnsi="Times New Roman" w:cs="Times New Roman"/>
          <w:sz w:val="24"/>
          <w:szCs w:val="24"/>
          <w:shd w:val="clear" w:color="auto" w:fill="FFFFFF"/>
          <w:lang w:val="en-US"/>
        </w:rPr>
        <w:t>the findings of Baker and Wurgler (2006, 2012). More specifically, after controlling for these factors we observe a decrease in the coefficients of sentiment. However, they remain significant regardless of the inclusion of the factors.</w:t>
      </w:r>
    </w:p>
    <w:p w:rsidR="001879CE" w:rsidRDefault="001879CE" w:rsidP="001879CE">
      <w:pPr>
        <w:spacing w:after="0" w:line="360" w:lineRule="auto"/>
        <w:jc w:val="both"/>
        <w:rPr>
          <w:rFonts w:ascii="Times New Roman" w:hAnsi="Times New Roman" w:cs="Times New Roman"/>
          <w:sz w:val="24"/>
          <w:szCs w:val="24"/>
          <w:lang w:val="en-US"/>
        </w:rPr>
      </w:pPr>
    </w:p>
    <w:p w:rsidR="001879CE" w:rsidRDefault="001879CE" w:rsidP="001879CE">
      <w:pPr>
        <w:spacing w:after="0" w:line="360" w:lineRule="auto"/>
        <w:jc w:val="both"/>
        <w:rPr>
          <w:rFonts w:ascii="Times New Roman" w:hAnsi="Times New Roman" w:cs="Times New Roman"/>
          <w:sz w:val="24"/>
          <w:szCs w:val="24"/>
          <w:lang w:val="en-US"/>
        </w:rPr>
      </w:pPr>
      <w:r w:rsidRPr="00A572D4">
        <w:rPr>
          <w:rFonts w:ascii="Times New Roman" w:hAnsi="Times New Roman" w:cs="Times New Roman"/>
          <w:sz w:val="24"/>
          <w:szCs w:val="24"/>
          <w:lang w:val="en-US"/>
        </w:rPr>
        <w:t xml:space="preserve">The remainder of this </w:t>
      </w:r>
      <w:r>
        <w:rPr>
          <w:rFonts w:ascii="Times New Roman" w:hAnsi="Times New Roman" w:cs="Times New Roman"/>
          <w:sz w:val="24"/>
          <w:szCs w:val="24"/>
          <w:lang w:val="en-US"/>
        </w:rPr>
        <w:t>dissertation</w:t>
      </w:r>
      <w:r w:rsidRPr="00A572D4">
        <w:rPr>
          <w:rFonts w:ascii="Times New Roman" w:hAnsi="Times New Roman" w:cs="Times New Roman"/>
          <w:sz w:val="24"/>
          <w:szCs w:val="24"/>
          <w:lang w:val="en-US"/>
        </w:rPr>
        <w:t xml:space="preserve"> is or</w:t>
      </w:r>
      <w:r>
        <w:rPr>
          <w:rFonts w:ascii="Times New Roman" w:hAnsi="Times New Roman" w:cs="Times New Roman"/>
          <w:sz w:val="24"/>
          <w:szCs w:val="24"/>
          <w:lang w:val="en-US"/>
        </w:rPr>
        <w:t xml:space="preserve">ganized as follows: Chapter 2 provides a thorough overview of the existing literature on investor sentiment explaining the necessary terms and theories. In Chapter 3, we describe the data that were used and the methodology that was applied </w:t>
      </w:r>
      <w:r w:rsidRPr="009133BC">
        <w:rPr>
          <w:rFonts w:ascii="Times New Roman" w:hAnsi="Times New Roman" w:cs="Times New Roman"/>
          <w:sz w:val="24"/>
          <w:szCs w:val="24"/>
          <w:lang w:val="en-US"/>
        </w:rPr>
        <w:t>as well as the intuition underlying them and Chapter 4 summarizes our results. Finally, in</w:t>
      </w:r>
      <w:r w:rsidR="00D542DA">
        <w:rPr>
          <w:rFonts w:ascii="Times New Roman" w:hAnsi="Times New Roman" w:cs="Times New Roman"/>
          <w:sz w:val="24"/>
          <w:szCs w:val="24"/>
          <w:lang w:val="en-US"/>
        </w:rPr>
        <w:t xml:space="preserve"> Chapter 5</w:t>
      </w:r>
      <w:r w:rsidR="00D542DA" w:rsidRPr="009133BC">
        <w:rPr>
          <w:rFonts w:ascii="Times New Roman" w:hAnsi="Times New Roman" w:cs="Times New Roman"/>
          <w:sz w:val="24"/>
          <w:szCs w:val="24"/>
          <w:lang w:val="en-US"/>
        </w:rPr>
        <w:t xml:space="preserve"> we conclude</w:t>
      </w:r>
      <w:r w:rsidR="00D542DA">
        <w:rPr>
          <w:rFonts w:ascii="Times New Roman" w:hAnsi="Times New Roman" w:cs="Times New Roman"/>
          <w:sz w:val="24"/>
          <w:szCs w:val="24"/>
          <w:lang w:val="en-US"/>
        </w:rPr>
        <w:t xml:space="preserve"> and in Chapter 6</w:t>
      </w:r>
      <w:r w:rsidRPr="009133BC">
        <w:rPr>
          <w:rFonts w:ascii="Times New Roman" w:hAnsi="Times New Roman" w:cs="Times New Roman"/>
          <w:sz w:val="24"/>
          <w:szCs w:val="24"/>
          <w:lang w:val="en-US"/>
        </w:rPr>
        <w:t xml:space="preserve"> we present the implications of our study, some</w:t>
      </w:r>
      <w:r w:rsidR="00172AB3">
        <w:rPr>
          <w:rFonts w:ascii="Times New Roman" w:hAnsi="Times New Roman" w:cs="Times New Roman"/>
          <w:sz w:val="24"/>
          <w:szCs w:val="24"/>
          <w:lang w:val="en-US"/>
        </w:rPr>
        <w:t xml:space="preserve"> </w:t>
      </w:r>
      <w:r w:rsidRPr="009133BC">
        <w:rPr>
          <w:rFonts w:ascii="Times New Roman" w:hAnsi="Times New Roman" w:cs="Times New Roman"/>
          <w:sz w:val="24"/>
          <w:szCs w:val="24"/>
          <w:lang w:val="en-US"/>
        </w:rPr>
        <w:t>limitations that it might suffer from along with sugg</w:t>
      </w:r>
      <w:r w:rsidR="00D542DA">
        <w:rPr>
          <w:rFonts w:ascii="Times New Roman" w:hAnsi="Times New Roman" w:cs="Times New Roman"/>
          <w:sz w:val="24"/>
          <w:szCs w:val="24"/>
          <w:lang w:val="en-US"/>
        </w:rPr>
        <w:t>estions for further research</w:t>
      </w:r>
      <w:r w:rsidRPr="009133BC">
        <w:rPr>
          <w:rFonts w:ascii="Times New Roman" w:hAnsi="Times New Roman" w:cs="Times New Roman"/>
          <w:sz w:val="24"/>
          <w:szCs w:val="24"/>
          <w:lang w:val="en-US"/>
        </w:rPr>
        <w:t>.</w:t>
      </w:r>
    </w:p>
    <w:p w:rsidR="001879CE" w:rsidRDefault="001879CE" w:rsidP="001879CE">
      <w:pPr>
        <w:spacing w:after="0" w:line="360" w:lineRule="auto"/>
        <w:jc w:val="both"/>
        <w:rPr>
          <w:rFonts w:ascii="Times New Roman" w:hAnsi="Times New Roman" w:cs="Times New Roman"/>
          <w:sz w:val="24"/>
          <w:szCs w:val="24"/>
          <w:lang w:val="en-US"/>
        </w:rPr>
      </w:pPr>
    </w:p>
    <w:p w:rsidR="001879CE" w:rsidRDefault="001879CE" w:rsidP="001879CE">
      <w:pPr>
        <w:spacing w:after="0" w:line="360" w:lineRule="auto"/>
        <w:jc w:val="both"/>
        <w:rPr>
          <w:lang w:val="en-US"/>
        </w:rPr>
      </w:pPr>
    </w:p>
    <w:p w:rsidR="001879CE" w:rsidRDefault="001879CE" w:rsidP="001879CE">
      <w:pPr>
        <w:spacing w:after="0" w:line="360" w:lineRule="auto"/>
        <w:jc w:val="both"/>
        <w:rPr>
          <w:lang w:val="en-US"/>
        </w:rPr>
      </w:pPr>
    </w:p>
    <w:p w:rsidR="001879CE" w:rsidRDefault="001879CE" w:rsidP="00E33CB8">
      <w:pPr>
        <w:tabs>
          <w:tab w:val="left" w:pos="7938"/>
        </w:tabs>
        <w:spacing w:line="360" w:lineRule="auto"/>
        <w:rPr>
          <w:rFonts w:ascii="Times New Roman" w:hAnsi="Times New Roman" w:cs="Times New Roman"/>
          <w:sz w:val="24"/>
          <w:szCs w:val="24"/>
          <w:lang w:val="en-US"/>
        </w:rPr>
      </w:pPr>
    </w:p>
    <w:p w:rsidR="001879CE" w:rsidRDefault="001879CE" w:rsidP="00E33CB8">
      <w:pPr>
        <w:tabs>
          <w:tab w:val="left" w:pos="7938"/>
        </w:tabs>
        <w:spacing w:line="360" w:lineRule="auto"/>
        <w:rPr>
          <w:rFonts w:ascii="Times New Roman" w:hAnsi="Times New Roman" w:cs="Times New Roman"/>
          <w:sz w:val="24"/>
          <w:szCs w:val="24"/>
          <w:lang w:val="en-US"/>
        </w:rPr>
      </w:pPr>
    </w:p>
    <w:p w:rsidR="001879CE" w:rsidRDefault="001879CE" w:rsidP="00E33CB8">
      <w:pPr>
        <w:tabs>
          <w:tab w:val="left" w:pos="7938"/>
        </w:tabs>
        <w:spacing w:line="360" w:lineRule="auto"/>
        <w:rPr>
          <w:rFonts w:ascii="Times New Roman" w:hAnsi="Times New Roman" w:cs="Times New Roman"/>
          <w:sz w:val="24"/>
          <w:szCs w:val="24"/>
          <w:lang w:val="en-US"/>
        </w:rPr>
      </w:pPr>
    </w:p>
    <w:p w:rsidR="001879CE" w:rsidRDefault="001879CE" w:rsidP="00E33CB8">
      <w:pPr>
        <w:tabs>
          <w:tab w:val="left" w:pos="7938"/>
        </w:tabs>
        <w:spacing w:line="360" w:lineRule="auto"/>
        <w:rPr>
          <w:rFonts w:ascii="Times New Roman" w:hAnsi="Times New Roman" w:cs="Times New Roman"/>
          <w:sz w:val="24"/>
          <w:szCs w:val="24"/>
          <w:lang w:val="en-US"/>
        </w:rPr>
      </w:pPr>
    </w:p>
    <w:p w:rsidR="001879CE" w:rsidRDefault="001879CE" w:rsidP="00E33CB8">
      <w:pPr>
        <w:tabs>
          <w:tab w:val="left" w:pos="7938"/>
        </w:tabs>
        <w:spacing w:line="360" w:lineRule="auto"/>
        <w:rPr>
          <w:rFonts w:ascii="Times New Roman" w:hAnsi="Times New Roman" w:cs="Times New Roman"/>
          <w:sz w:val="24"/>
          <w:szCs w:val="24"/>
          <w:lang w:val="en-US"/>
        </w:rPr>
      </w:pPr>
    </w:p>
    <w:p w:rsidR="001879CE" w:rsidRPr="00694CE1" w:rsidRDefault="001879CE" w:rsidP="001879CE">
      <w:pPr>
        <w:spacing w:line="360" w:lineRule="auto"/>
        <w:ind w:right="327"/>
        <w:jc w:val="both"/>
        <w:rPr>
          <w:rFonts w:ascii="Times New Roman" w:hAnsi="Times New Roman" w:cs="Times New Roman"/>
          <w:b/>
          <w:sz w:val="28"/>
          <w:szCs w:val="28"/>
          <w:lang w:val="en-US"/>
        </w:rPr>
      </w:pPr>
      <w:r w:rsidRPr="00694CE1">
        <w:rPr>
          <w:rFonts w:ascii="Times New Roman" w:hAnsi="Times New Roman" w:cs="Times New Roman"/>
          <w:b/>
          <w:sz w:val="28"/>
          <w:szCs w:val="28"/>
          <w:lang w:val="en-US"/>
        </w:rPr>
        <w:lastRenderedPageBreak/>
        <w:t>Chapter 2</w:t>
      </w:r>
    </w:p>
    <w:p w:rsidR="001879CE" w:rsidRPr="00694CE1" w:rsidRDefault="001879CE" w:rsidP="001879CE">
      <w:pPr>
        <w:spacing w:line="360" w:lineRule="auto"/>
        <w:ind w:right="327"/>
        <w:jc w:val="both"/>
        <w:rPr>
          <w:rFonts w:ascii="Times New Roman" w:hAnsi="Times New Roman" w:cs="Times New Roman"/>
          <w:b/>
          <w:sz w:val="28"/>
          <w:szCs w:val="28"/>
          <w:lang w:val="en-US"/>
        </w:rPr>
      </w:pPr>
    </w:p>
    <w:p w:rsidR="001879CE" w:rsidRDefault="001879CE" w:rsidP="001879CE">
      <w:pPr>
        <w:spacing w:line="360" w:lineRule="auto"/>
        <w:ind w:right="329"/>
        <w:jc w:val="both"/>
        <w:rPr>
          <w:rFonts w:ascii="Times New Roman" w:hAnsi="Times New Roman" w:cs="Times New Roman"/>
          <w:b/>
          <w:sz w:val="28"/>
          <w:szCs w:val="28"/>
          <w:lang w:val="en-US"/>
        </w:rPr>
      </w:pPr>
      <w:r w:rsidRPr="00694CE1">
        <w:rPr>
          <w:rFonts w:ascii="Times New Roman" w:hAnsi="Times New Roman" w:cs="Times New Roman"/>
          <w:b/>
          <w:sz w:val="28"/>
          <w:szCs w:val="28"/>
          <w:lang w:val="en-US"/>
        </w:rPr>
        <w:t>Theoretical Background</w:t>
      </w:r>
    </w:p>
    <w:p w:rsidR="001879CE" w:rsidRPr="00694CE1" w:rsidRDefault="001879CE" w:rsidP="001879CE">
      <w:pPr>
        <w:spacing w:line="240" w:lineRule="auto"/>
        <w:ind w:right="329"/>
        <w:jc w:val="both"/>
        <w:rPr>
          <w:rFonts w:ascii="Times New Roman" w:hAnsi="Times New Roman" w:cs="Times New Roman"/>
          <w:b/>
          <w:sz w:val="28"/>
          <w:szCs w:val="28"/>
          <w:lang w:val="en-US"/>
        </w:rPr>
      </w:pPr>
    </w:p>
    <w:p w:rsidR="001879CE" w:rsidRPr="002D51CD" w:rsidRDefault="001879CE" w:rsidP="001879CE">
      <w:pPr>
        <w:pStyle w:val="NormalWeb"/>
        <w:spacing w:line="360" w:lineRule="auto"/>
        <w:ind w:right="329"/>
        <w:jc w:val="both"/>
        <w:rPr>
          <w:lang w:val="en-US"/>
        </w:rPr>
      </w:pPr>
      <w:r w:rsidRPr="002D51CD">
        <w:rPr>
          <w:lang w:val="en-US"/>
        </w:rPr>
        <w:t xml:space="preserve">The concept of investor sentiment and its function as a potential, influential factor to asset prices, meaning that it enables us to forecast the associated returns, has raised its interest among economists especially during the last decades. The foundations were set by Keynes (1936) who was the first economist who referred to this notion. After Keynes, and for the years to come, several other researchers conducted studies with the above notion as their focal point. Key papers are considered those by Kumar and Persaud (2002) and Baker and Wurgler (2006). Apart from academia, practitioners also tried to work on this concept due to its numerous merits. Several private institutions and policymakers attempted to benefit from gauging investor sentiment in order either to diversify more efficiently their portfolios or to better monitor the market. However, as already argued by several authors -with Froot and O’Connell (2003) among them- there is no universal consensus on the model or the proxies that best capture sentiment. Various models </w:t>
      </w:r>
      <w:proofErr w:type="gramStart"/>
      <w:r w:rsidRPr="002D51CD">
        <w:rPr>
          <w:lang w:val="en-US"/>
        </w:rPr>
        <w:t>exist</w:t>
      </w:r>
      <w:proofErr w:type="gramEnd"/>
      <w:r w:rsidRPr="002D51CD">
        <w:rPr>
          <w:lang w:val="en-US"/>
        </w:rPr>
        <w:t xml:space="preserve"> that measure risk appetite and others that measure risk aversion with the former indicating a degree of anticipation and the latter a degree of aversion towards risk. In this chapter we will start by providing an overview of the approach known as behavioral finance since the concept of sentiment as well as its measurement often builds on this approach’s elements. To continue, we will provide the definitions of investor sentiment and those of risk aversion and risk appetite. That will equip us with a more profound understanding regarding them which is really important in order to differentiate amid them especially for the purposes of our analysis and for interpreting our results. Finally, we will elaborate on the models that have been introduced up to date, both theoretical and atheoretic</w:t>
      </w:r>
      <w:r w:rsidRPr="002D51CD">
        <w:rPr>
          <w:rStyle w:val="FootnoteReference"/>
          <w:lang w:val="en-US"/>
        </w:rPr>
        <w:footnoteReference w:id="1"/>
      </w:r>
      <w:r w:rsidRPr="002D51CD">
        <w:rPr>
          <w:lang w:val="en-US"/>
        </w:rPr>
        <w:t>. Our main goal is to investigate what these models measure and the intuition behind them in order to propose the characteristics of a “good” investor sentiment model that will help us answer a key question of this dissertation.</w:t>
      </w:r>
    </w:p>
    <w:p w:rsidR="001879CE" w:rsidRPr="002D51CD" w:rsidRDefault="002D51CD" w:rsidP="002D51CD">
      <w:pPr>
        <w:tabs>
          <w:tab w:val="left" w:pos="7845"/>
        </w:tabs>
        <w:spacing w:line="360" w:lineRule="auto"/>
        <w:ind w:right="327"/>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ab/>
      </w:r>
    </w:p>
    <w:p w:rsidR="001879CE" w:rsidRPr="002D51CD" w:rsidRDefault="001879CE" w:rsidP="001879CE">
      <w:pPr>
        <w:spacing w:line="360" w:lineRule="auto"/>
        <w:ind w:right="327"/>
        <w:jc w:val="both"/>
        <w:rPr>
          <w:rFonts w:ascii="Times New Roman" w:hAnsi="Times New Roman" w:cs="Times New Roman"/>
          <w:b/>
          <w:sz w:val="24"/>
          <w:szCs w:val="24"/>
          <w:lang w:val="en-US"/>
        </w:rPr>
      </w:pPr>
    </w:p>
    <w:p w:rsidR="001879CE" w:rsidRPr="002D51CD" w:rsidRDefault="001879CE" w:rsidP="001879CE">
      <w:pPr>
        <w:spacing w:line="360" w:lineRule="auto"/>
        <w:ind w:right="327"/>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lastRenderedPageBreak/>
        <w:t>2.1 The transition from rationality to irrationality</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Investor sentiment and other features from psychology are central in behavioral finance studies. Moreover, several of the studies concerning the measurement of investors’ sentiment built on features from the behavioral finance approach, with the most prominent among them being the Limits to Arbitrage (LTA) –see for example Baker and Wurgler (2006). As a result, we easily realize that investor sentiment as a notion falls into the behavioral approach. The ensuing section summarizes these features succinctly in order to better understand the overview of the existing literature that will follow.</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For many years the finance literature has been dominated by theories like the Efficient Market Hypothesis (EMH), the Expected Utility Theory (EUT) and the representative agent framework. To begin with, EMH was firstly introduced by Fama (1970) who in his ground-breaking article states that market prices reflect available information. The EMH consists of three forms</w:t>
      </w:r>
      <w:r w:rsidRPr="002D51CD">
        <w:rPr>
          <w:rStyle w:val="FootnoteReference"/>
          <w:rFonts w:ascii="Times New Roman" w:hAnsi="Times New Roman" w:cs="Times New Roman"/>
          <w:sz w:val="24"/>
          <w:szCs w:val="24"/>
          <w:lang w:val="en-US"/>
        </w:rPr>
        <w:footnoteReference w:id="2"/>
      </w:r>
      <w:r w:rsidRPr="002D51CD">
        <w:rPr>
          <w:rFonts w:ascii="Times New Roman" w:hAnsi="Times New Roman" w:cs="Times New Roman"/>
          <w:sz w:val="24"/>
          <w:szCs w:val="24"/>
          <w:lang w:val="en-US"/>
        </w:rPr>
        <w:t>: (i) the weak form states that past information is already reflected on prices, (ii) the semi-strong form states that all available public information is incorporated in the price of an asset and (iii) the strong form states that all available information, including the private information, is reflected in prices. This simply means that in a frictionless market consisting of rational investors</w:t>
      </w:r>
      <w:r w:rsidRPr="002D51CD">
        <w:rPr>
          <w:rStyle w:val="FootnoteReference"/>
          <w:rFonts w:ascii="Times New Roman" w:hAnsi="Times New Roman" w:cs="Times New Roman"/>
          <w:sz w:val="24"/>
          <w:szCs w:val="24"/>
          <w:lang w:val="en-US"/>
        </w:rPr>
        <w:footnoteReference w:id="3"/>
      </w:r>
      <w:r w:rsidRPr="002D51CD">
        <w:rPr>
          <w:rFonts w:ascii="Times New Roman" w:hAnsi="Times New Roman" w:cs="Times New Roman"/>
          <w:sz w:val="24"/>
          <w:szCs w:val="24"/>
          <w:lang w:val="en-US"/>
        </w:rPr>
        <w:t xml:space="preserve">, also known as sophisticated investors or arbitrageurs, prices will follow a random walk (Samuelson, 1965). Studying this in a risk-return context, we find that the efficiency of the markets will prevent investors from earning returns above average without bearing simultaneously above average risk (Malkiel, 2003). As far as the EUT is concerned, according to Mongin (1997) </w:t>
      </w:r>
      <w:r w:rsidRPr="002D51CD">
        <w:rPr>
          <w:rFonts w:ascii="Times New Roman" w:hAnsi="Times New Roman" w:cs="Times New Roman"/>
          <w:i/>
          <w:sz w:val="24"/>
          <w:szCs w:val="24"/>
          <w:lang w:val="en-US"/>
        </w:rPr>
        <w:t>“Expected Utility Theory (EUT) states that the decision maker (DM) chooses between risky or uncertain prospects by comparing their expected utility values, i.e., the weighted sums obtained by adding the utility values of outcomes multiplied by their respective probabilities”.</w:t>
      </w:r>
      <w:r w:rsidRPr="002D51CD">
        <w:rPr>
          <w:rFonts w:ascii="Times New Roman" w:hAnsi="Times New Roman" w:cs="Times New Roman"/>
          <w:sz w:val="24"/>
          <w:szCs w:val="24"/>
          <w:lang w:val="en-US"/>
        </w:rPr>
        <w:t xml:space="preserve"> Moreover, models and theories in finance have also been structured upon representative agent models</w:t>
      </w:r>
      <w:r w:rsidRPr="002D51CD">
        <w:rPr>
          <w:rStyle w:val="FootnoteReference"/>
          <w:rFonts w:ascii="Times New Roman" w:hAnsi="Times New Roman" w:cs="Times New Roman"/>
          <w:sz w:val="24"/>
          <w:szCs w:val="24"/>
          <w:lang w:val="en-US"/>
        </w:rPr>
        <w:footnoteReference w:id="4"/>
      </w:r>
      <w:r w:rsidRPr="002D51CD">
        <w:rPr>
          <w:rFonts w:ascii="Times New Roman" w:hAnsi="Times New Roman" w:cs="Times New Roman"/>
          <w:sz w:val="24"/>
          <w:szCs w:val="24"/>
          <w:lang w:val="en-US"/>
        </w:rPr>
        <w:t xml:space="preserve">. These models could be characterized as workhorses for the macro-finance literature (Backus et al., 2011) and they trace back to Marshall (1890). The author used the notion of a representative firm –somehow different than his descendants- nonetheless with the same intuition, that of studying the decision of a representative unit instead thousands of other units and then apply the results to an aggregate level (Grabner, 2002). </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lastRenderedPageBreak/>
        <w:t xml:space="preserve">However, scientists and researchers were able to identify empirical violations in the theories of traditional finance creating an opposing pole to rationality; that of irrationality expressed by behavioral finance. Behavioral finance, in general, is rather a nascent area that raised interest in recent decades. The main idea relevant to it, is that individual investors incline to elements from psychology (heuristics and biases) that affect their judgment in the decision making process (Baker and Nofsinger, 2010). The first assault on rationality, on the basis of decision making, was made by Kahneman and Tversky (1973, 1974 and 1979). The two famous psychologists described several heuristics that affect investors’ decision making- for instance the availability and representativeness heuristic. In their paper in 1979, their critique on EUT was presented. Kahneman and Tversky proposed an alternative model for framing decision making under risk; the prospect theory model. Prospect theory assigned the value in gains and losses instead of the final assets. This value function is concave over gains and convex over losses, implying risk aversion and risk seeking respectively, and is </w:t>
      </w:r>
      <w:proofErr w:type="spellStart"/>
      <w:r w:rsidRPr="002D51CD">
        <w:rPr>
          <w:rFonts w:ascii="Times New Roman" w:hAnsi="Times New Roman" w:cs="Times New Roman"/>
          <w:sz w:val="24"/>
          <w:szCs w:val="24"/>
          <w:lang w:val="en-US"/>
        </w:rPr>
        <w:t>steeper</w:t>
      </w:r>
      <w:proofErr w:type="spellEnd"/>
      <w:r w:rsidRPr="002D51CD">
        <w:rPr>
          <w:rFonts w:ascii="Times New Roman" w:hAnsi="Times New Roman" w:cs="Times New Roman"/>
          <w:sz w:val="24"/>
          <w:szCs w:val="24"/>
          <w:lang w:val="en-US"/>
        </w:rPr>
        <w:t xml:space="preserve"> in the loss region thus implying loss aversion. However, it was R. Thaler with his work that formed what is now known as behavioral finance hence he is often called as</w:t>
      </w:r>
      <w:r w:rsidRPr="002D51CD">
        <w:rPr>
          <w:rFonts w:ascii="Times New Roman" w:hAnsi="Times New Roman" w:cs="Times New Roman"/>
          <w:i/>
          <w:sz w:val="24"/>
          <w:szCs w:val="24"/>
          <w:lang w:val="en-US"/>
        </w:rPr>
        <w:t xml:space="preserve"> “the</w:t>
      </w:r>
      <w:r w:rsidRPr="002D51CD">
        <w:rPr>
          <w:rFonts w:ascii="Times New Roman" w:hAnsi="Times New Roman" w:cs="Times New Roman"/>
          <w:sz w:val="24"/>
          <w:szCs w:val="24"/>
          <w:lang w:val="en-US"/>
        </w:rPr>
        <w:t xml:space="preserve"> </w:t>
      </w:r>
      <w:r w:rsidRPr="002D51CD">
        <w:rPr>
          <w:rFonts w:ascii="Times New Roman" w:hAnsi="Times New Roman" w:cs="Times New Roman"/>
          <w:i/>
          <w:sz w:val="24"/>
          <w:szCs w:val="24"/>
          <w:lang w:val="en-US"/>
        </w:rPr>
        <w:t xml:space="preserve">father of behavioral finance” </w:t>
      </w:r>
      <w:r w:rsidRPr="002D51CD">
        <w:rPr>
          <w:rFonts w:ascii="Times New Roman" w:hAnsi="Times New Roman" w:cs="Times New Roman"/>
          <w:sz w:val="24"/>
          <w:szCs w:val="24"/>
          <w:lang w:val="en-US"/>
        </w:rPr>
        <w:t xml:space="preserve">(Baker and Nofsinger, 2010). De Bondt and Thaler (1985), using return data with a monthly frequency for common stocks traded on the New York Stock Exchange (NYSE), proved the tendency of people to overreact to sudden news events. In a subsequent paper in 1987, the authors also found empirical evidence that supports the overreaction hypothesis. </w:t>
      </w:r>
      <w:proofErr w:type="spellStart"/>
      <w:r w:rsidRPr="002D51CD">
        <w:rPr>
          <w:rFonts w:ascii="Times New Roman" w:hAnsi="Times New Roman" w:cs="Times New Roman"/>
          <w:sz w:val="24"/>
          <w:szCs w:val="24"/>
          <w:lang w:val="en-US"/>
        </w:rPr>
        <w:t>Barberis</w:t>
      </w:r>
      <w:proofErr w:type="spellEnd"/>
      <w:r w:rsidRPr="002D51CD">
        <w:rPr>
          <w:rFonts w:ascii="Times New Roman" w:hAnsi="Times New Roman" w:cs="Times New Roman"/>
          <w:sz w:val="24"/>
          <w:szCs w:val="24"/>
          <w:lang w:val="en-US"/>
        </w:rPr>
        <w:t xml:space="preserve"> and </w:t>
      </w:r>
      <w:proofErr w:type="spellStart"/>
      <w:r w:rsidRPr="002D51CD">
        <w:rPr>
          <w:rFonts w:ascii="Times New Roman" w:hAnsi="Times New Roman" w:cs="Times New Roman"/>
          <w:sz w:val="24"/>
          <w:szCs w:val="24"/>
          <w:lang w:val="en-US"/>
        </w:rPr>
        <w:t>Thaler</w:t>
      </w:r>
      <w:proofErr w:type="spellEnd"/>
      <w:r w:rsidRPr="002D51CD">
        <w:rPr>
          <w:rFonts w:ascii="Times New Roman" w:hAnsi="Times New Roman" w:cs="Times New Roman"/>
          <w:sz w:val="24"/>
          <w:szCs w:val="24"/>
          <w:lang w:val="en-US"/>
        </w:rPr>
        <w:t xml:space="preserve"> (2003) argue that behavioral finance is based on two major pillars: limits to arbitrage and psychology. </w:t>
      </w:r>
    </w:p>
    <w:p w:rsidR="001879CE" w:rsidRPr="002D51CD" w:rsidRDefault="001879CE" w:rsidP="001879CE">
      <w:pPr>
        <w:pStyle w:val="Caption"/>
        <w:spacing w:line="360" w:lineRule="auto"/>
        <w:ind w:right="327"/>
        <w:jc w:val="both"/>
        <w:rPr>
          <w:rFonts w:ascii="Times New Roman" w:hAnsi="Times New Roman" w:cs="Times New Roman"/>
          <w:color w:val="auto"/>
          <w:sz w:val="24"/>
          <w:szCs w:val="24"/>
          <w:lang w:val="en-US"/>
        </w:rPr>
      </w:pPr>
    </w:p>
    <w:p w:rsidR="001879CE" w:rsidRPr="002D51CD" w:rsidRDefault="001879CE" w:rsidP="001879CE">
      <w:pPr>
        <w:pStyle w:val="Caption"/>
        <w:spacing w:line="360" w:lineRule="auto"/>
        <w:ind w:right="327"/>
        <w:rPr>
          <w:rFonts w:ascii="Times New Roman" w:hAnsi="Times New Roman" w:cs="Times New Roman"/>
          <w:sz w:val="24"/>
          <w:szCs w:val="24"/>
          <w:lang w:val="en-US"/>
        </w:rPr>
      </w:pPr>
      <w:r w:rsidRPr="002D51CD">
        <w:rPr>
          <w:rFonts w:ascii="Times New Roman" w:hAnsi="Times New Roman" w:cs="Times New Roman"/>
          <w:color w:val="auto"/>
          <w:sz w:val="24"/>
          <w:szCs w:val="24"/>
          <w:lang w:val="en-US"/>
        </w:rPr>
        <w:t xml:space="preserve">Figure 1: </w:t>
      </w:r>
      <w:r w:rsidRPr="002D51CD">
        <w:rPr>
          <w:rFonts w:ascii="Times New Roman" w:hAnsi="Times New Roman" w:cs="Times New Roman"/>
          <w:b w:val="0"/>
          <w:color w:val="auto"/>
          <w:sz w:val="24"/>
          <w:szCs w:val="24"/>
          <w:lang w:val="en-US"/>
        </w:rPr>
        <w:t>Schematic representation of the pillars of Behavioral Finance</w:t>
      </w:r>
      <w:r w:rsidRPr="002D51CD">
        <w:rPr>
          <w:rFonts w:ascii="Times New Roman" w:hAnsi="Times New Roman" w:cs="Times New Roman"/>
          <w:noProof/>
          <w:sz w:val="24"/>
          <w:szCs w:val="24"/>
          <w:lang w:val="en-US"/>
        </w:rPr>
        <w:drawing>
          <wp:inline distT="0" distB="0" distL="0" distR="0">
            <wp:extent cx="3590925" cy="1977922"/>
            <wp:effectExtent l="19050" t="19050" r="9525" b="22328"/>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01002" cy="1983473"/>
                    </a:xfrm>
                    <a:prstGeom prst="rect">
                      <a:avLst/>
                    </a:prstGeom>
                    <a:noFill/>
                    <a:ln w="9525">
                      <a:solidFill>
                        <a:schemeClr val="tx1"/>
                      </a:solidFill>
                      <a:miter lim="800000"/>
                      <a:headEnd/>
                      <a:tailEnd/>
                    </a:ln>
                    <a:effectLst>
                      <a:innerShdw blurRad="63500" dist="50800" dir="13500000">
                        <a:prstClr val="black">
                          <a:alpha val="50000"/>
                        </a:prstClr>
                      </a:innerShdw>
                    </a:effectLst>
                  </pic:spPr>
                </pic:pic>
              </a:graphicData>
            </a:graphic>
          </wp:inline>
        </w:drawing>
      </w:r>
    </w:p>
    <w:p w:rsidR="001879CE" w:rsidRPr="002D51CD" w:rsidRDefault="001879CE" w:rsidP="001879CE">
      <w:pPr>
        <w:autoSpaceDE w:val="0"/>
        <w:autoSpaceDN w:val="0"/>
        <w:adjustRightInd w:val="0"/>
        <w:spacing w:after="0" w:line="360" w:lineRule="auto"/>
        <w:ind w:right="329"/>
        <w:jc w:val="both"/>
        <w:rPr>
          <w:rFonts w:ascii="Times New Roman" w:hAnsi="Times New Roman" w:cs="Times New Roman"/>
          <w:sz w:val="24"/>
          <w:szCs w:val="24"/>
          <w:lang w:val="en-US"/>
        </w:rPr>
      </w:pPr>
    </w:p>
    <w:p w:rsidR="001879CE" w:rsidRPr="002D51CD" w:rsidRDefault="001879CE" w:rsidP="001879CE">
      <w:pPr>
        <w:autoSpaceDE w:val="0"/>
        <w:autoSpaceDN w:val="0"/>
        <w:adjustRightInd w:val="0"/>
        <w:spacing w:after="0" w:line="360" w:lineRule="auto"/>
        <w:ind w:right="329"/>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lastRenderedPageBreak/>
        <w:t xml:space="preserve">On one hand, they recognize that in real financial markets arbitrage strategies can be costly, risky or both. Along these lines, that could deter rational traders from exploiting arbitrage opportunities and correct the potential mispricing. This is known as Limits to Arbitrage (LTA). On the other hand, the psychology part is trying to model this “irrationality”. It is a twofold sense that concentrates on preferences and on beliefs. The preferences refer to the utility function and instead of relying upon EUT they are modeled under prospect theory. Beliefs specify how investors form their expectations and some of the most identified ones are the overconfidence, optimism, representativeness and conservatism usually purported as heuristics or biases. </w:t>
      </w:r>
    </w:p>
    <w:p w:rsidR="001879CE" w:rsidRPr="002D51CD" w:rsidRDefault="001879CE" w:rsidP="001879CE">
      <w:pPr>
        <w:autoSpaceDE w:val="0"/>
        <w:autoSpaceDN w:val="0"/>
        <w:adjustRightInd w:val="0"/>
        <w:spacing w:after="0" w:line="360" w:lineRule="auto"/>
        <w:ind w:right="329"/>
        <w:jc w:val="both"/>
        <w:rPr>
          <w:rFonts w:ascii="Times New Roman" w:hAnsi="Times New Roman" w:cs="Times New Roman"/>
          <w:sz w:val="24"/>
          <w:szCs w:val="24"/>
          <w:lang w:val="en-US"/>
        </w:rPr>
      </w:pPr>
    </w:p>
    <w:p w:rsidR="001879CE" w:rsidRPr="002D51CD" w:rsidRDefault="001879CE" w:rsidP="001879CE">
      <w:pPr>
        <w:spacing w:line="360" w:lineRule="auto"/>
        <w:ind w:right="329"/>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2.2 Concepts of investor sentiment, risk appetite and risk aversion</w:t>
      </w:r>
    </w:p>
    <w:p w:rsidR="001879CE" w:rsidRPr="002D51CD" w:rsidRDefault="001879CE" w:rsidP="001879CE">
      <w:pPr>
        <w:spacing w:line="360" w:lineRule="auto"/>
        <w:ind w:right="329"/>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We already reported that models which purport to gauge investors’ sentiment are numerous. In the following sections we provide an insight on the notions of investor sentiment and those of risk appetite and risk aversion. These concepts are quite elusive thus a summary of their fundamental features will facilitate our understanding on the attributes of the models that will be discussed later.</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b/>
          <w:sz w:val="24"/>
          <w:szCs w:val="24"/>
          <w:lang w:val="en-US"/>
        </w:rPr>
        <w:t>2.2.1 Investor Sentiment</w:t>
      </w:r>
    </w:p>
    <w:p w:rsidR="001879CE" w:rsidRPr="002D51CD" w:rsidRDefault="001879CE" w:rsidP="001879CE">
      <w:pPr>
        <w:pStyle w:val="ListParagraph"/>
        <w:spacing w:line="360" w:lineRule="auto"/>
        <w:ind w:left="0" w:right="327"/>
        <w:jc w:val="both"/>
        <w:rPr>
          <w:rFonts w:ascii="Times New Roman" w:hAnsi="Times New Roman" w:cs="Times New Roman"/>
          <w:bCs/>
          <w:sz w:val="24"/>
          <w:szCs w:val="24"/>
          <w:lang w:val="en-US"/>
        </w:rPr>
      </w:pPr>
      <w:r w:rsidRPr="002D51CD">
        <w:rPr>
          <w:rFonts w:ascii="Times New Roman" w:hAnsi="Times New Roman" w:cs="Times New Roman"/>
          <w:sz w:val="24"/>
          <w:szCs w:val="24"/>
          <w:lang w:val="en-US"/>
        </w:rPr>
        <w:t>In the previous division we discussed about traditional, i.e. rationality, and behavioral finance, i.e. irrationality. Traditional finance theory along with the Efficient Market Hypothesis (EMH) provided the necessary background to perceive that asset prices and sentiment exhibit little correlation. According to these theories, investors are considered rational. Hence any differing sentiments would be offset at an aggregate level meaning that prices are not affected at all (</w:t>
      </w:r>
      <w:r w:rsidRPr="002D51CD">
        <w:rPr>
          <w:rFonts w:ascii="Times New Roman" w:hAnsi="Times New Roman" w:cs="Times New Roman"/>
          <w:bCs/>
          <w:sz w:val="24"/>
          <w:szCs w:val="24"/>
          <w:lang w:val="en-US"/>
        </w:rPr>
        <w:t xml:space="preserve">Bandopadhyaya and Jones, 2005). However, during the last decades researchers have directed their efforts towards investor sentiment to explain price behavior. Keynes (1936) with his paper </w:t>
      </w:r>
      <w:r w:rsidRPr="002D51CD">
        <w:rPr>
          <w:rFonts w:ascii="Times New Roman" w:hAnsi="Times New Roman" w:cs="Times New Roman"/>
          <w:bCs/>
          <w:i/>
          <w:sz w:val="24"/>
          <w:szCs w:val="24"/>
          <w:lang w:val="en-US"/>
        </w:rPr>
        <w:t>“</w:t>
      </w:r>
      <w:r w:rsidRPr="002D51CD">
        <w:rPr>
          <w:rStyle w:val="a"/>
          <w:rFonts w:ascii="Times New Roman" w:hAnsi="Times New Roman" w:cs="Times New Roman"/>
          <w:i/>
          <w:color w:val="000000"/>
          <w:sz w:val="24"/>
          <w:szCs w:val="24"/>
          <w:bdr w:val="none" w:sz="0" w:space="0" w:color="auto" w:frame="1"/>
          <w:shd w:val="clear" w:color="auto" w:fill="FFFFFF"/>
          <w:lang w:val="en-US"/>
        </w:rPr>
        <w:t>The General Theory of</w:t>
      </w:r>
      <w:r w:rsidRPr="002D51CD">
        <w:rPr>
          <w:rStyle w:val="apple-converted-space"/>
          <w:rFonts w:ascii="Times New Roman" w:hAnsi="Times New Roman" w:cs="Times New Roman"/>
          <w:color w:val="000000"/>
          <w:sz w:val="24"/>
          <w:szCs w:val="24"/>
          <w:bdr w:val="none" w:sz="0" w:space="0" w:color="auto" w:frame="1"/>
          <w:shd w:val="clear" w:color="auto" w:fill="FFFFFF"/>
          <w:lang w:val="en-US"/>
        </w:rPr>
        <w:t> </w:t>
      </w:r>
      <w:r w:rsidRPr="002D51CD">
        <w:rPr>
          <w:rStyle w:val="a"/>
          <w:rFonts w:ascii="Times New Roman" w:hAnsi="Times New Roman" w:cs="Times New Roman"/>
          <w:i/>
          <w:color w:val="000000"/>
          <w:sz w:val="24"/>
          <w:szCs w:val="24"/>
          <w:bdr w:val="none" w:sz="0" w:space="0" w:color="auto" w:frame="1"/>
          <w:shd w:val="clear" w:color="auto" w:fill="FFFFFF"/>
          <w:lang w:val="en-US"/>
        </w:rPr>
        <w:t>Employment, Interest and Money”</w:t>
      </w:r>
      <w:r w:rsidRPr="002D51CD">
        <w:rPr>
          <w:rFonts w:ascii="Times New Roman" w:hAnsi="Times New Roman" w:cs="Times New Roman"/>
          <w:bCs/>
          <w:sz w:val="24"/>
          <w:szCs w:val="24"/>
          <w:lang w:val="en-US"/>
        </w:rPr>
        <w:t xml:space="preserve"> was the first that signaled the subsequent research. Keynes conceived the term animal spirits –a term parallel to investor sentiment- stimulating economists to investigate more closely what causes prices to move unexpectedly in such a way that could not be justified by fundamentals. </w:t>
      </w:r>
    </w:p>
    <w:p w:rsidR="001879CE" w:rsidRPr="002D51CD" w:rsidRDefault="001879CE" w:rsidP="001879CE">
      <w:pPr>
        <w:spacing w:line="360" w:lineRule="auto"/>
        <w:jc w:val="both"/>
        <w:rPr>
          <w:rFonts w:ascii="Times New Roman" w:hAnsi="Times New Roman" w:cs="Times New Roman"/>
          <w:sz w:val="24"/>
          <w:szCs w:val="24"/>
          <w:lang w:val="en-US"/>
        </w:rPr>
      </w:pPr>
      <w:r w:rsidRPr="002D51CD">
        <w:rPr>
          <w:rFonts w:ascii="Times New Roman" w:hAnsi="Times New Roman" w:cs="Times New Roman"/>
          <w:bCs/>
          <w:sz w:val="24"/>
          <w:szCs w:val="24"/>
          <w:lang w:val="en-US"/>
        </w:rPr>
        <w:t>Baker and Wurgler (2006) in their article argued that there could be different possible definitions for investor sentiment. According to them, one could apprehend investor sentiment as</w:t>
      </w:r>
      <w:r w:rsidRPr="002D51CD">
        <w:rPr>
          <w:rFonts w:ascii="Times New Roman" w:hAnsi="Times New Roman" w:cs="Times New Roman"/>
          <w:bCs/>
          <w:i/>
          <w:sz w:val="24"/>
          <w:szCs w:val="24"/>
          <w:lang w:val="en-US"/>
        </w:rPr>
        <w:t xml:space="preserve"> “the propensity to speculate”.</w:t>
      </w:r>
      <w:r w:rsidRPr="002D51CD">
        <w:rPr>
          <w:rFonts w:ascii="Times New Roman" w:hAnsi="Times New Roman" w:cs="Times New Roman"/>
          <w:bCs/>
          <w:sz w:val="24"/>
          <w:szCs w:val="24"/>
          <w:lang w:val="en-US"/>
        </w:rPr>
        <w:t xml:space="preserve"> Under this definition, sentiment is the driving factor that causes </w:t>
      </w:r>
      <w:r w:rsidRPr="002D51CD">
        <w:rPr>
          <w:rFonts w:ascii="Times New Roman" w:hAnsi="Times New Roman" w:cs="Times New Roman"/>
          <w:bCs/>
          <w:sz w:val="24"/>
          <w:szCs w:val="24"/>
          <w:lang w:val="en-US"/>
        </w:rPr>
        <w:lastRenderedPageBreak/>
        <w:t xml:space="preserve">movements in the demand for investment decisions based on speculation and therefore results to cross sectional effects. Nonetheless, one might also define sentiment as the general optimism (or pessimism as well) about assets. The latter definition shares a more simple nature thus it can be more easily understood. </w:t>
      </w:r>
      <w:r w:rsidRPr="002D51CD">
        <w:rPr>
          <w:rFonts w:ascii="Times New Roman" w:hAnsi="Times New Roman" w:cs="Times New Roman"/>
          <w:sz w:val="24"/>
          <w:szCs w:val="24"/>
          <w:lang w:val="en-US"/>
        </w:rPr>
        <w:t>UBS Overall Index of Investor Optimism and University of Michigan Consumer Confidence Sentiment are two paradigm indices that measure sentiment based on this definition.</w:t>
      </w:r>
      <w:r w:rsidRPr="002D51CD">
        <w:rPr>
          <w:rFonts w:ascii="Times New Roman" w:hAnsi="Times New Roman" w:cs="Times New Roman"/>
          <w:bCs/>
          <w:sz w:val="24"/>
          <w:szCs w:val="24"/>
          <w:lang w:val="en-US"/>
        </w:rPr>
        <w:t xml:space="preserve"> </w:t>
      </w:r>
      <w:r w:rsidRPr="002D51CD">
        <w:rPr>
          <w:rFonts w:ascii="Times New Roman" w:hAnsi="Times New Roman" w:cs="Times New Roman"/>
          <w:sz w:val="24"/>
          <w:szCs w:val="24"/>
          <w:lang w:val="en-US"/>
        </w:rPr>
        <w:t xml:space="preserve">Lee, Shleifer, Thaler (1991) defined </w:t>
      </w:r>
      <w:r w:rsidRPr="002D51CD">
        <w:rPr>
          <w:rFonts w:ascii="Times New Roman" w:hAnsi="Times New Roman" w:cs="Times New Roman"/>
          <w:bCs/>
          <w:sz w:val="24"/>
          <w:szCs w:val="24"/>
          <w:lang w:val="en-US"/>
        </w:rPr>
        <w:t>investor sentiment as the investors’ expectations about cash flows and risks in the future that are not warranted by the fundamentals which lies in the same line with what Baker and Wurgler (2007) and Beer</w:t>
      </w:r>
      <w:r w:rsidRPr="002D51CD">
        <w:rPr>
          <w:rFonts w:ascii="Times New Roman" w:hAnsi="Times New Roman" w:cs="Times New Roman"/>
          <w:bCs/>
          <w:i/>
          <w:sz w:val="24"/>
          <w:szCs w:val="24"/>
          <w:lang w:val="en-US"/>
        </w:rPr>
        <w:t xml:space="preserve"> </w:t>
      </w:r>
      <w:r w:rsidRPr="002D51CD">
        <w:rPr>
          <w:rFonts w:ascii="Times New Roman" w:hAnsi="Times New Roman" w:cs="Times New Roman"/>
          <w:bCs/>
          <w:sz w:val="24"/>
          <w:szCs w:val="24"/>
          <w:lang w:val="en-US"/>
        </w:rPr>
        <w:t>and</w:t>
      </w:r>
      <w:r w:rsidRPr="002D51CD">
        <w:rPr>
          <w:rFonts w:ascii="Times New Roman" w:hAnsi="Times New Roman" w:cs="Times New Roman"/>
          <w:bCs/>
          <w:i/>
          <w:sz w:val="24"/>
          <w:szCs w:val="24"/>
          <w:lang w:val="en-US"/>
        </w:rPr>
        <w:t xml:space="preserve"> </w:t>
      </w:r>
      <w:r w:rsidRPr="002D51CD">
        <w:rPr>
          <w:rFonts w:ascii="Times New Roman" w:hAnsi="Times New Roman" w:cs="Times New Roman"/>
          <w:bCs/>
          <w:sz w:val="24"/>
          <w:szCs w:val="24"/>
          <w:lang w:val="en-US"/>
        </w:rPr>
        <w:t>Zouaoui (2011)</w:t>
      </w:r>
      <w:r w:rsidRPr="002D51CD">
        <w:rPr>
          <w:rFonts w:ascii="Times New Roman" w:hAnsi="Times New Roman" w:cs="Times New Roman"/>
          <w:bCs/>
          <w:i/>
          <w:sz w:val="24"/>
          <w:szCs w:val="24"/>
          <w:lang w:val="en-US"/>
        </w:rPr>
        <w:t xml:space="preserve"> </w:t>
      </w:r>
      <w:r w:rsidRPr="002D51CD">
        <w:rPr>
          <w:rFonts w:ascii="Times New Roman" w:hAnsi="Times New Roman" w:cs="Times New Roman"/>
          <w:bCs/>
          <w:sz w:val="24"/>
          <w:szCs w:val="24"/>
          <w:lang w:val="en-US"/>
        </w:rPr>
        <w:t xml:space="preserve">used in their papers. </w:t>
      </w:r>
    </w:p>
    <w:p w:rsidR="001879CE" w:rsidRPr="002D51CD" w:rsidRDefault="001879CE" w:rsidP="001879CE">
      <w:pPr>
        <w:spacing w:line="360" w:lineRule="auto"/>
        <w:ind w:right="329"/>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2.2.2 Risk appetite and risk aversion</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During the last decades, several models that attempt to gauge investor sentiment and make use of it for interpreting price movements or asset returns were developed. As the </w:t>
      </w:r>
      <w:r w:rsidRPr="002D51CD">
        <w:rPr>
          <w:rFonts w:ascii="Times New Roman" w:hAnsi="Times New Roman" w:cs="Times New Roman"/>
          <w:bCs/>
          <w:sz w:val="24"/>
          <w:szCs w:val="24"/>
          <w:lang w:val="en-US"/>
        </w:rPr>
        <w:t xml:space="preserve">European Central Bank states in its Financial Stability Review in June 2007, various models labeled as </w:t>
      </w:r>
      <w:r w:rsidRPr="002D51CD">
        <w:rPr>
          <w:rFonts w:ascii="Times New Roman" w:hAnsi="Times New Roman" w:cs="Times New Roman"/>
          <w:color w:val="231F20"/>
          <w:sz w:val="24"/>
          <w:szCs w:val="24"/>
          <w:lang w:val="en-US"/>
        </w:rPr>
        <w:t>“risk aversion”, “risk appetite”, “investor confidence” or “investor sentiment” were formulated. Despite their different titles, they generally shared the same objective, that of measuring the same phenomenon. However, the results do not seem to display a convergence (</w:t>
      </w:r>
      <w:r w:rsidRPr="002D51CD">
        <w:rPr>
          <w:rFonts w:ascii="Times New Roman" w:hAnsi="Times New Roman" w:cs="Times New Roman"/>
          <w:sz w:val="24"/>
          <w:szCs w:val="24"/>
          <w:lang w:val="en-US"/>
        </w:rPr>
        <w:t xml:space="preserve">Illing and Aaron, 2005; </w:t>
      </w:r>
      <w:r w:rsidRPr="002D51CD">
        <w:rPr>
          <w:rFonts w:ascii="Times New Roman" w:hAnsi="Times New Roman" w:cs="Times New Roman"/>
          <w:bCs/>
          <w:sz w:val="24"/>
          <w:szCs w:val="24"/>
          <w:lang w:val="en-US"/>
        </w:rPr>
        <w:t>Uhlenbrock, 2009). A possible source for this complication could be the usage of either risk appetite or risk aversion. Those expressions are used interchangeably with risk appetite being more commonly used in the finance community while risk aversion on the other hand is used more often among academia (Misina, 2003). The aforementioned practice, though, is not correct since</w:t>
      </w:r>
      <w:r w:rsidRPr="002D51CD">
        <w:rPr>
          <w:rFonts w:ascii="Times New Roman" w:hAnsi="Times New Roman" w:cs="Times New Roman"/>
          <w:bCs/>
          <w:i/>
          <w:sz w:val="24"/>
          <w:szCs w:val="24"/>
          <w:lang w:val="en-US"/>
        </w:rPr>
        <w:t xml:space="preserve"> “…</w:t>
      </w:r>
      <w:r w:rsidRPr="002D51CD">
        <w:rPr>
          <w:rFonts w:ascii="Times New Roman" w:hAnsi="Times New Roman" w:cs="Times New Roman"/>
          <w:i/>
          <w:sz w:val="24"/>
          <w:szCs w:val="24"/>
          <w:lang w:val="en-US"/>
        </w:rPr>
        <w:t>these two concepts are conceptually different”</w:t>
      </w:r>
      <w:r w:rsidRPr="002D51CD">
        <w:rPr>
          <w:rFonts w:ascii="Times New Roman" w:hAnsi="Times New Roman" w:cs="Times New Roman"/>
          <w:sz w:val="24"/>
          <w:szCs w:val="24"/>
          <w:lang w:val="en-US"/>
        </w:rPr>
        <w:t xml:space="preserve"> (</w:t>
      </w:r>
      <w:r w:rsidRPr="002D51CD">
        <w:rPr>
          <w:rFonts w:ascii="Times New Roman" w:hAnsi="Times New Roman" w:cs="Times New Roman"/>
          <w:bCs/>
          <w:sz w:val="24"/>
          <w:szCs w:val="24"/>
          <w:lang w:val="en-US"/>
        </w:rPr>
        <w:t>González-Hermosillo, 2008). In this manner, it is more appropriate to review these concepts separately and always distinguish among them.</w:t>
      </w:r>
    </w:p>
    <w:p w:rsidR="001879CE" w:rsidRPr="002D51CD" w:rsidRDefault="001879CE" w:rsidP="001879CE">
      <w:pPr>
        <w:pStyle w:val="ListParagraph"/>
        <w:spacing w:line="360" w:lineRule="auto"/>
        <w:ind w:left="0" w:right="327"/>
        <w:jc w:val="both"/>
        <w:rPr>
          <w:rFonts w:ascii="Times New Roman" w:hAnsi="Times New Roman" w:cs="Times New Roman"/>
          <w:bCs/>
          <w:sz w:val="24"/>
          <w:szCs w:val="24"/>
          <w:lang w:val="en-US"/>
        </w:rPr>
      </w:pPr>
      <w:r w:rsidRPr="002D51CD">
        <w:rPr>
          <w:rFonts w:ascii="Times New Roman" w:hAnsi="Times New Roman" w:cs="Times New Roman"/>
          <w:bCs/>
          <w:sz w:val="24"/>
          <w:szCs w:val="24"/>
          <w:lang w:val="en-US"/>
        </w:rPr>
        <w:t>On one hand stands the risk appetite. Broadly speaking, risk appetite represents investors’ willingness to bear risk (</w:t>
      </w:r>
      <w:r w:rsidRPr="002D51CD">
        <w:rPr>
          <w:rFonts w:ascii="Times New Roman" w:hAnsi="Times New Roman" w:cs="Times New Roman"/>
          <w:sz w:val="24"/>
          <w:szCs w:val="24"/>
          <w:lang w:val="en-US"/>
        </w:rPr>
        <w:t xml:space="preserve">Kumar and Persaud, 2002; </w:t>
      </w:r>
      <w:r w:rsidRPr="002D51CD">
        <w:rPr>
          <w:rFonts w:ascii="Times New Roman" w:hAnsi="Times New Roman" w:cs="Times New Roman"/>
          <w:bCs/>
          <w:sz w:val="24"/>
          <w:szCs w:val="24"/>
          <w:lang w:val="en-US"/>
        </w:rPr>
        <w:t>Gai and Vause, 2006</w:t>
      </w:r>
      <w:r w:rsidRPr="002D51CD">
        <w:rPr>
          <w:rFonts w:ascii="Times New Roman" w:hAnsi="Times New Roman" w:cs="Times New Roman"/>
          <w:sz w:val="24"/>
          <w:szCs w:val="24"/>
          <w:lang w:val="en-US"/>
        </w:rPr>
        <w:t xml:space="preserve">). Misina (2006) shared the view that risk appetite could be simply referred to the demand, on behalf of the investors, for risky assets or alternatively the quantity demanded for these assets. These interpretations, though, do not lead to informative statements about developments in the market. First of all, risk appetite cannot be viewed as a fixed concept but rather a complex one which cannot be measured easily (Kumar and Persaud, 2002; </w:t>
      </w:r>
      <w:r w:rsidRPr="002D51CD">
        <w:rPr>
          <w:rFonts w:ascii="Times New Roman" w:hAnsi="Times New Roman" w:cs="Times New Roman"/>
          <w:bCs/>
          <w:sz w:val="24"/>
          <w:szCs w:val="24"/>
          <w:lang w:val="en-US"/>
        </w:rPr>
        <w:t xml:space="preserve">The Institute of Risk Management, 2011). Another property of risk appetite is that it evokes a causality problem. </w:t>
      </w:r>
      <w:r w:rsidRPr="002D51CD">
        <w:rPr>
          <w:rFonts w:ascii="Times New Roman" w:hAnsi="Times New Roman" w:cs="Times New Roman"/>
          <w:bCs/>
          <w:sz w:val="24"/>
          <w:szCs w:val="24"/>
          <w:lang w:val="en-US"/>
        </w:rPr>
        <w:lastRenderedPageBreak/>
        <w:t xml:space="preserve">That means that is hard to tell, under certainty, whether it is the risk appetite that triggers crises or whether crises are responsible for shifts in risk appetite. </w:t>
      </w:r>
    </w:p>
    <w:p w:rsidR="001879CE" w:rsidRPr="002D51CD" w:rsidRDefault="001879CE" w:rsidP="001879CE">
      <w:pPr>
        <w:pStyle w:val="ListParagraph"/>
        <w:spacing w:line="360" w:lineRule="auto"/>
        <w:ind w:left="0" w:right="329"/>
        <w:jc w:val="both"/>
        <w:rPr>
          <w:rFonts w:ascii="Times New Roman" w:hAnsi="Times New Roman" w:cs="Times New Roman"/>
          <w:bCs/>
          <w:sz w:val="24"/>
          <w:szCs w:val="24"/>
          <w:lang w:val="en-US"/>
        </w:rPr>
      </w:pPr>
    </w:p>
    <w:p w:rsidR="001879CE" w:rsidRPr="002D51CD" w:rsidRDefault="001879CE" w:rsidP="001879CE">
      <w:pPr>
        <w:pStyle w:val="ListParagraph"/>
        <w:spacing w:line="360" w:lineRule="auto"/>
        <w:ind w:left="0" w:right="327"/>
        <w:jc w:val="both"/>
        <w:rPr>
          <w:rFonts w:ascii="Times New Roman" w:hAnsi="Times New Roman" w:cs="Times New Roman"/>
          <w:bCs/>
          <w:sz w:val="24"/>
          <w:szCs w:val="24"/>
          <w:lang w:val="en-US"/>
        </w:rPr>
      </w:pPr>
      <w:r w:rsidRPr="002D51CD">
        <w:rPr>
          <w:rFonts w:ascii="Times New Roman" w:hAnsi="Times New Roman" w:cs="Times New Roman"/>
          <w:bCs/>
          <w:sz w:val="24"/>
          <w:szCs w:val="24"/>
          <w:lang w:val="en-US"/>
        </w:rPr>
        <w:t>On the other hand stands the risk aversion. In general, investors’ attitudes towards risk can vary. Three categories can be derived: the ones that dislike risk who are known as risk-averse, the ones that like risk, known as risk-loving, and the ones in the middle that hold a neutral stance towards risk the so called risk-neutral (Illing and Aaron, 2005). Risk aversion measures the investors’ reluctance with regard to future uncertainty (González-Hermosillo, 2008) and it has been well identified as a concept in asset pricing models</w:t>
      </w:r>
      <w:r w:rsidRPr="002D51CD">
        <w:rPr>
          <w:rStyle w:val="FootnoteReference"/>
          <w:rFonts w:ascii="Times New Roman" w:hAnsi="Times New Roman" w:cs="Times New Roman"/>
          <w:bCs/>
          <w:sz w:val="24"/>
          <w:szCs w:val="24"/>
          <w:lang w:val="en-US"/>
        </w:rPr>
        <w:footnoteReference w:id="5"/>
      </w:r>
      <w:r w:rsidRPr="002D51CD">
        <w:rPr>
          <w:rFonts w:ascii="Times New Roman" w:hAnsi="Times New Roman" w:cs="Times New Roman"/>
          <w:bCs/>
          <w:sz w:val="24"/>
          <w:szCs w:val="24"/>
          <w:lang w:val="en-US"/>
        </w:rPr>
        <w:t>. Its main feature is that it is mainly considered to remain constant due to the fact that it reflects preferences. In this vein, Figure 2 below illustrates the linkage over these concepts.</w:t>
      </w:r>
    </w:p>
    <w:p w:rsidR="001879CE" w:rsidRPr="002D51CD" w:rsidRDefault="001879CE" w:rsidP="001879CE">
      <w:pPr>
        <w:pStyle w:val="ListParagraph"/>
        <w:spacing w:line="360" w:lineRule="auto"/>
        <w:ind w:left="0" w:right="327"/>
        <w:jc w:val="both"/>
        <w:rPr>
          <w:rFonts w:ascii="Times New Roman" w:hAnsi="Times New Roman" w:cs="Times New Roman"/>
          <w:bCs/>
          <w:sz w:val="24"/>
          <w:szCs w:val="24"/>
          <w:lang w:val="en-US"/>
        </w:rPr>
      </w:pPr>
    </w:p>
    <w:p w:rsidR="001879CE" w:rsidRPr="002D51CD" w:rsidRDefault="001879CE" w:rsidP="001879CE">
      <w:pPr>
        <w:pStyle w:val="ListParagraph"/>
        <w:spacing w:line="360" w:lineRule="auto"/>
        <w:ind w:left="0" w:right="327"/>
        <w:jc w:val="both"/>
        <w:rPr>
          <w:rFonts w:ascii="Times New Roman" w:hAnsi="Times New Roman" w:cs="Times New Roman"/>
          <w:bCs/>
          <w:sz w:val="24"/>
          <w:szCs w:val="24"/>
          <w:lang w:val="en-US"/>
        </w:rPr>
      </w:pPr>
      <w:r w:rsidRPr="002D51CD">
        <w:rPr>
          <w:rFonts w:ascii="Times New Roman" w:hAnsi="Times New Roman" w:cs="Times New Roman"/>
          <w:b/>
          <w:bCs/>
          <w:sz w:val="24"/>
          <w:szCs w:val="24"/>
          <w:lang w:val="en-US"/>
        </w:rPr>
        <w:t>Figure 2:</w:t>
      </w:r>
      <w:r w:rsidRPr="002D51CD">
        <w:rPr>
          <w:rFonts w:ascii="Times New Roman" w:hAnsi="Times New Roman" w:cs="Times New Roman"/>
          <w:bCs/>
          <w:sz w:val="24"/>
          <w:szCs w:val="24"/>
          <w:lang w:val="en-US"/>
        </w:rPr>
        <w:t xml:space="preserve"> Rel</w:t>
      </w:r>
      <w:r w:rsidR="00484A81">
        <w:rPr>
          <w:rFonts w:ascii="Times New Roman" w:hAnsi="Times New Roman" w:cs="Times New Roman"/>
          <w:bCs/>
          <w:sz w:val="24"/>
          <w:szCs w:val="24"/>
          <w:lang w:val="en-US"/>
        </w:rPr>
        <w:t>ationship between risk concepts</w:t>
      </w:r>
    </w:p>
    <w:p w:rsidR="001879CE" w:rsidRPr="002D51CD" w:rsidRDefault="001879CE" w:rsidP="001879CE">
      <w:pPr>
        <w:pStyle w:val="ListParagraph"/>
        <w:spacing w:line="360" w:lineRule="auto"/>
        <w:ind w:left="0" w:right="327"/>
        <w:jc w:val="both"/>
        <w:rPr>
          <w:rFonts w:ascii="Times New Roman" w:hAnsi="Times New Roman" w:cs="Times New Roman"/>
          <w:sz w:val="24"/>
          <w:szCs w:val="24"/>
          <w:lang w:val="en-US"/>
        </w:rPr>
      </w:pPr>
      <w:r w:rsidRPr="002D51CD">
        <w:rPr>
          <w:rFonts w:ascii="Times New Roman" w:hAnsi="Times New Roman" w:cs="Times New Roman"/>
          <w:bCs/>
          <w:sz w:val="24"/>
          <w:szCs w:val="24"/>
          <w:lang w:val="en-US"/>
        </w:rPr>
        <w:t xml:space="preserve"> </w:t>
      </w:r>
      <w:r w:rsidRPr="002D51CD">
        <w:rPr>
          <w:rFonts w:ascii="Times New Roman" w:hAnsi="Times New Roman" w:cs="Times New Roman"/>
          <w:bCs/>
          <w:noProof/>
          <w:sz w:val="24"/>
          <w:szCs w:val="24"/>
          <w:lang w:val="en-US"/>
        </w:rPr>
        <w:drawing>
          <wp:inline distT="0" distB="0" distL="0" distR="0">
            <wp:extent cx="4467225" cy="2238375"/>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67225" cy="2238375"/>
                    </a:xfrm>
                    <a:prstGeom prst="rect">
                      <a:avLst/>
                    </a:prstGeom>
                    <a:noFill/>
                    <a:ln w="9525">
                      <a:noFill/>
                      <a:miter lim="800000"/>
                      <a:headEnd/>
                      <a:tailEnd/>
                    </a:ln>
                  </pic:spPr>
                </pic:pic>
              </a:graphicData>
            </a:graphic>
          </wp:inline>
        </w:drawing>
      </w:r>
    </w:p>
    <w:p w:rsidR="001879CE" w:rsidRPr="002D51CD" w:rsidRDefault="001879CE" w:rsidP="001879CE">
      <w:pPr>
        <w:spacing w:line="360" w:lineRule="auto"/>
        <w:ind w:right="327"/>
        <w:jc w:val="both"/>
        <w:rPr>
          <w:rFonts w:ascii="Times New Roman" w:hAnsi="Times New Roman" w:cs="Times New Roman"/>
          <w:sz w:val="20"/>
          <w:szCs w:val="20"/>
          <w:lang w:val="en-US"/>
        </w:rPr>
      </w:pPr>
      <w:r w:rsidRPr="002D51CD">
        <w:rPr>
          <w:rFonts w:ascii="Times New Roman" w:hAnsi="Times New Roman" w:cs="Times New Roman"/>
          <w:sz w:val="20"/>
          <w:szCs w:val="20"/>
          <w:lang w:val="en-US"/>
        </w:rPr>
        <w:t>Source: Gai and Vause (2006)</w:t>
      </w:r>
    </w:p>
    <w:p w:rsidR="001879CE" w:rsidRPr="002D51CD" w:rsidRDefault="001879CE" w:rsidP="001879CE">
      <w:pPr>
        <w:spacing w:line="360" w:lineRule="auto"/>
        <w:ind w:right="327"/>
        <w:jc w:val="both"/>
        <w:rPr>
          <w:rFonts w:ascii="Times New Roman" w:hAnsi="Times New Roman" w:cs="Times New Roman"/>
          <w:bCs/>
          <w:sz w:val="24"/>
          <w:szCs w:val="24"/>
          <w:lang w:val="en-US"/>
        </w:rPr>
      </w:pPr>
    </w:p>
    <w:p w:rsidR="001879CE" w:rsidRPr="002D51CD" w:rsidRDefault="001879CE" w:rsidP="001879CE">
      <w:pPr>
        <w:spacing w:line="360" w:lineRule="auto"/>
        <w:ind w:right="327"/>
        <w:jc w:val="both"/>
        <w:rPr>
          <w:rFonts w:ascii="Times New Roman" w:hAnsi="Times New Roman" w:cs="Times New Roman"/>
          <w:bCs/>
          <w:sz w:val="24"/>
          <w:szCs w:val="24"/>
          <w:lang w:val="en-US"/>
        </w:rPr>
      </w:pPr>
      <w:r w:rsidRPr="002D51CD">
        <w:rPr>
          <w:rFonts w:ascii="Times New Roman" w:hAnsi="Times New Roman" w:cs="Times New Roman"/>
          <w:bCs/>
          <w:sz w:val="24"/>
          <w:szCs w:val="24"/>
          <w:lang w:val="en-US"/>
        </w:rPr>
        <w:t xml:space="preserve">Risk appetite relies upon two strands: the first one is the reluctance of investors about the future uncertainty and the second one is the uncertainty’s level (Gai and Vause, 2004, 2006). The former reflects the risk aversion that, as already said, does not change frequently over time. By contrast, risk appetite is a broader notion. Its level can fluctuate in response to risk aversion but also in response to macroeconomic uncertainty or incidents of financial distress -reflected in macroeconomic environment (Gai and Vause, 2006; González-Hermosillo, 2008). Intuitively, during a state of the world when consumption is low, such as a crisis, </w:t>
      </w:r>
      <w:r w:rsidRPr="002D51CD">
        <w:rPr>
          <w:rFonts w:ascii="Times New Roman" w:hAnsi="Times New Roman" w:cs="Times New Roman"/>
          <w:bCs/>
          <w:sz w:val="24"/>
          <w:szCs w:val="24"/>
          <w:lang w:val="en-US"/>
        </w:rPr>
        <w:lastRenderedPageBreak/>
        <w:t>investors will demand a higher return to hold an extra unit of risk resulting to a decrease in risk appetite. Finally, we have the risk premium. Risk premium lies out of the scope of this dissertation. However, as depicted in Figure 2, it results from the combination of risk appetite with the amount of risk that is inherent in any asset.</w:t>
      </w:r>
    </w:p>
    <w:p w:rsidR="001879CE" w:rsidRPr="002D51CD" w:rsidRDefault="001879CE" w:rsidP="001879CE">
      <w:pPr>
        <w:spacing w:line="360" w:lineRule="auto"/>
        <w:ind w:right="327"/>
        <w:jc w:val="both"/>
        <w:rPr>
          <w:rFonts w:ascii="Times New Roman" w:hAnsi="Times New Roman" w:cs="Times New Roman"/>
          <w:bCs/>
          <w:sz w:val="24"/>
          <w:szCs w:val="24"/>
          <w:lang w:val="en-US"/>
        </w:rPr>
      </w:pPr>
      <w:r w:rsidRPr="002D51CD">
        <w:rPr>
          <w:rFonts w:ascii="Times New Roman" w:hAnsi="Times New Roman" w:cs="Times New Roman"/>
          <w:bCs/>
          <w:sz w:val="24"/>
          <w:szCs w:val="24"/>
          <w:lang w:val="en-US"/>
        </w:rPr>
        <w:t>To summarize all the above, one thing needs to be highlighted that is important for the analysis and for comparing all the alternatives models. Risk appetite is the opposite of risk aversion (</w:t>
      </w:r>
      <w:r w:rsidRPr="002D51CD">
        <w:rPr>
          <w:rFonts w:ascii="Times New Roman" w:hAnsi="Times New Roman" w:cs="Times New Roman"/>
          <w:sz w:val="24"/>
          <w:szCs w:val="24"/>
          <w:lang w:val="en-US"/>
        </w:rPr>
        <w:t>Misina, 2008). This plainly denotes that an increase (decrease) in risk appetite would result to a decrease (increase) in risk aversion.</w:t>
      </w:r>
    </w:p>
    <w:p w:rsidR="001879CE" w:rsidRPr="002D51CD" w:rsidRDefault="001879CE" w:rsidP="001879CE">
      <w:pPr>
        <w:autoSpaceDE w:val="0"/>
        <w:autoSpaceDN w:val="0"/>
        <w:adjustRightInd w:val="0"/>
        <w:spacing w:after="0" w:line="360" w:lineRule="auto"/>
        <w:ind w:right="327"/>
        <w:jc w:val="both"/>
        <w:rPr>
          <w:rFonts w:ascii="Times New Roman" w:hAnsi="Times New Roman" w:cs="Times New Roman"/>
          <w:sz w:val="24"/>
          <w:szCs w:val="24"/>
          <w:lang w:val="en-US"/>
        </w:rPr>
      </w:pPr>
    </w:p>
    <w:p w:rsidR="001879CE" w:rsidRPr="002D51CD" w:rsidRDefault="001879CE" w:rsidP="001879CE">
      <w:pPr>
        <w:spacing w:line="360" w:lineRule="auto"/>
        <w:ind w:right="327"/>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2.3 Indices</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In this subsection, the already existing models and indices, currently in practice, will be reviewed. The elements that are going to be investigated in depth are the intuition behind the models, the components being used by each model, what they measure while the statistical procedure used to derive these models remains, mainly, out of the scope of this dissertation.</w:t>
      </w:r>
    </w:p>
    <w:p w:rsidR="001879CE" w:rsidRPr="002D51CD" w:rsidRDefault="001879CE" w:rsidP="001879CE">
      <w:pPr>
        <w:spacing w:line="360" w:lineRule="auto"/>
        <w:ind w:right="327"/>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 xml:space="preserve">2.3.1 Categorization of the indices  </w:t>
      </w:r>
    </w:p>
    <w:p w:rsidR="001879CE" w:rsidRPr="002D51CD" w:rsidRDefault="001879CE" w:rsidP="001879CE">
      <w:pPr>
        <w:spacing w:line="360" w:lineRule="auto"/>
        <w:ind w:right="327"/>
        <w:jc w:val="both"/>
        <w:rPr>
          <w:rFonts w:ascii="Times New Roman" w:hAnsi="Times New Roman" w:cs="Times New Roman"/>
          <w:color w:val="231F20"/>
          <w:sz w:val="24"/>
          <w:szCs w:val="24"/>
          <w:lang w:val="en-US"/>
        </w:rPr>
      </w:pPr>
      <w:r w:rsidRPr="002D51CD">
        <w:rPr>
          <w:rFonts w:ascii="Times New Roman" w:hAnsi="Times New Roman" w:cs="Times New Roman"/>
          <w:sz w:val="24"/>
          <w:szCs w:val="24"/>
          <w:lang w:val="en-US"/>
        </w:rPr>
        <w:t xml:space="preserve">As repeated in the previous subsection, already existing models and indices are in abundance labeled with a different title nonetheless they all attempt to measure the same thing. Thus, a categorization would be needed for a better examination of the models. Illing and Aaron (2005) provided such a categorization in their article. The authors divided the indices in two wide categories: </w:t>
      </w:r>
      <w:r w:rsidRPr="002D51CD">
        <w:rPr>
          <w:rFonts w:ascii="Times New Roman" w:hAnsi="Times New Roman" w:cs="Times New Roman"/>
          <w:i/>
          <w:iCs/>
          <w:sz w:val="24"/>
          <w:szCs w:val="24"/>
          <w:lang w:val="en-US"/>
        </w:rPr>
        <w:t xml:space="preserve">atheoretic </w:t>
      </w:r>
      <w:r w:rsidRPr="002D51CD">
        <w:rPr>
          <w:rFonts w:ascii="Times New Roman" w:hAnsi="Times New Roman" w:cs="Times New Roman"/>
          <w:sz w:val="24"/>
          <w:szCs w:val="24"/>
          <w:lang w:val="en-US"/>
        </w:rPr>
        <w:t xml:space="preserve">and </w:t>
      </w:r>
      <w:r w:rsidRPr="002D51CD">
        <w:rPr>
          <w:rFonts w:ascii="Times New Roman" w:hAnsi="Times New Roman" w:cs="Times New Roman"/>
          <w:i/>
          <w:iCs/>
          <w:sz w:val="24"/>
          <w:szCs w:val="24"/>
          <w:lang w:val="en-US"/>
        </w:rPr>
        <w:t>theory-based</w:t>
      </w:r>
      <w:r w:rsidRPr="002D51CD">
        <w:rPr>
          <w:rFonts w:ascii="Times New Roman" w:hAnsi="Times New Roman" w:cs="Times New Roman"/>
          <w:sz w:val="24"/>
          <w:szCs w:val="24"/>
          <w:lang w:val="en-US"/>
        </w:rPr>
        <w:t xml:space="preserve">. The first set includes the J.P Morgan’s Liquidity, Credit, and Volatility Index (LCVI), the UBS’s Investor Sentiment Index (UBS), the Merrill Lynch’s Financial Stress Index (ML), and the Westpac Risk Appetite Index (WP). The second set includes the Tarashev, Tsatsaronis, and Karampatos Risk-Appetite Index, developed at the Bank for International Settlements (BIS), the Gai and Vause Risk-Appetite Index, developed at the Bank of England (BE), the Credit Suisse First Boston Risk-Appetite Index (CSFB), the Kumar and Persaud Global Risk-Appetite Index (GRAI), used by both the IMF and JPMorgan, the State Street Investor- Confidence Index (ICI) and the Goldman Sachs Risk-Aversion Index (GS). In their analysis, they also used the Chicago Board Options Exchange Volatility Index (VIX) which is treated, frequently, in the literature as a quick proxy for risk appetite (Illing and Aaron, 2005; </w:t>
      </w:r>
      <w:r w:rsidRPr="002D51CD">
        <w:rPr>
          <w:rFonts w:ascii="Times New Roman" w:hAnsi="Times New Roman" w:cs="Times New Roman"/>
          <w:bCs/>
          <w:sz w:val="24"/>
          <w:szCs w:val="24"/>
          <w:lang w:val="en-US"/>
        </w:rPr>
        <w:t>González-Hermosillo, 2008)</w:t>
      </w:r>
      <w:r w:rsidRPr="002D51CD">
        <w:rPr>
          <w:rFonts w:ascii="Times New Roman" w:hAnsi="Times New Roman" w:cs="Times New Roman"/>
          <w:sz w:val="24"/>
          <w:szCs w:val="24"/>
          <w:lang w:val="en-US"/>
        </w:rPr>
        <w:t xml:space="preserve">. The research among academics was intensive over the last years on risk appetite and many institutions </w:t>
      </w:r>
      <w:r w:rsidRPr="002D51CD">
        <w:rPr>
          <w:rFonts w:ascii="Times New Roman" w:hAnsi="Times New Roman" w:cs="Times New Roman"/>
          <w:sz w:val="24"/>
          <w:szCs w:val="24"/>
          <w:lang w:val="en-US"/>
        </w:rPr>
        <w:lastRenderedPageBreak/>
        <w:t xml:space="preserve">have created their own indices resulting to new ones. The European Central Bank (June, 2007) in its review provided a more recent categorization albeit similar to the preceding. The first category is denominated as </w:t>
      </w:r>
      <w:r w:rsidRPr="002D51CD">
        <w:rPr>
          <w:rFonts w:ascii="Times New Roman" w:hAnsi="Times New Roman" w:cs="Times New Roman"/>
          <w:i/>
          <w:color w:val="231F20"/>
          <w:sz w:val="24"/>
          <w:szCs w:val="24"/>
          <w:lang w:val="en-US"/>
        </w:rPr>
        <w:t>market-based indicators</w:t>
      </w:r>
      <w:r w:rsidRPr="002D51CD">
        <w:rPr>
          <w:rFonts w:ascii="Times New Roman" w:hAnsi="Times New Roman" w:cs="Times New Roman"/>
          <w:color w:val="231F20"/>
          <w:sz w:val="24"/>
          <w:szCs w:val="24"/>
          <w:lang w:val="en-US"/>
        </w:rPr>
        <w:t xml:space="preserve"> –parallel to the </w:t>
      </w:r>
      <w:r w:rsidRPr="002D51CD">
        <w:rPr>
          <w:rFonts w:ascii="Times New Roman" w:hAnsi="Times New Roman" w:cs="Times New Roman"/>
          <w:i/>
          <w:color w:val="231F20"/>
          <w:sz w:val="24"/>
          <w:szCs w:val="24"/>
          <w:lang w:val="en-US"/>
        </w:rPr>
        <w:t>atheoretic</w:t>
      </w:r>
      <w:r w:rsidRPr="002D51CD">
        <w:rPr>
          <w:rFonts w:ascii="Times New Roman" w:hAnsi="Times New Roman" w:cs="Times New Roman"/>
          <w:color w:val="231F20"/>
          <w:sz w:val="24"/>
          <w:szCs w:val="24"/>
          <w:lang w:val="en-US"/>
        </w:rPr>
        <w:t xml:space="preserve"> one- and includes the same indices with the addition of the Lehman Brothers’ Market Risk Sentiment Index (MARS), the Bank of America’s Risk Appetite Monitor (RAM) and Dresdner Kleinwort’s</w:t>
      </w:r>
      <w:r w:rsidRPr="002D51CD">
        <w:rPr>
          <w:rStyle w:val="FootnoteReference"/>
          <w:rFonts w:ascii="Times New Roman" w:hAnsi="Times New Roman" w:cs="Times New Roman"/>
          <w:color w:val="231F20"/>
          <w:sz w:val="24"/>
          <w:szCs w:val="24"/>
          <w:lang w:val="en-US"/>
        </w:rPr>
        <w:footnoteReference w:id="6"/>
      </w:r>
      <w:r w:rsidRPr="002D51CD">
        <w:rPr>
          <w:rFonts w:ascii="Times New Roman" w:hAnsi="Times New Roman" w:cs="Times New Roman"/>
          <w:color w:val="231F20"/>
          <w:sz w:val="24"/>
          <w:szCs w:val="24"/>
          <w:lang w:val="en-US"/>
        </w:rPr>
        <w:t xml:space="preserve"> Aggregate Risk Perception Index (ARPI) and the replacement of </w:t>
      </w:r>
      <w:r w:rsidRPr="002D51CD">
        <w:rPr>
          <w:rFonts w:ascii="Times New Roman" w:hAnsi="Times New Roman" w:cs="Times New Roman"/>
          <w:sz w:val="24"/>
          <w:szCs w:val="24"/>
          <w:lang w:val="en-US"/>
        </w:rPr>
        <w:t xml:space="preserve">J.P Morgan’s Liquidity, Credit, and Volatility Index (LCVI) with </w:t>
      </w:r>
      <w:r w:rsidRPr="002D51CD">
        <w:rPr>
          <w:rFonts w:ascii="Times New Roman" w:hAnsi="Times New Roman" w:cs="Times New Roman"/>
          <w:color w:val="231F20"/>
          <w:sz w:val="24"/>
          <w:szCs w:val="24"/>
          <w:lang w:val="en-US"/>
        </w:rPr>
        <w:t xml:space="preserve">J.P Morgan’s Risk Tolerance indices – one global (JPM G-10 RTI) and one for the emerging markets (JPM EM RTI). The second category </w:t>
      </w:r>
      <w:r w:rsidRPr="002D51CD">
        <w:rPr>
          <w:rFonts w:ascii="Times New Roman" w:hAnsi="Times New Roman" w:cs="Times New Roman"/>
          <w:iCs/>
          <w:sz w:val="24"/>
          <w:szCs w:val="24"/>
          <w:lang w:val="en-US"/>
        </w:rPr>
        <w:t xml:space="preserve">is denominated as </w:t>
      </w:r>
      <w:r w:rsidRPr="002D51CD">
        <w:rPr>
          <w:rFonts w:ascii="Times New Roman" w:hAnsi="Times New Roman" w:cs="Times New Roman"/>
          <w:i/>
          <w:color w:val="231F20"/>
          <w:sz w:val="24"/>
          <w:szCs w:val="24"/>
          <w:lang w:val="en-US"/>
        </w:rPr>
        <w:t>model-based measures</w:t>
      </w:r>
      <w:r w:rsidRPr="002D51CD">
        <w:rPr>
          <w:rFonts w:ascii="Times New Roman" w:hAnsi="Times New Roman" w:cs="Times New Roman"/>
          <w:color w:val="231F20"/>
          <w:sz w:val="24"/>
          <w:szCs w:val="24"/>
          <w:lang w:val="en-US"/>
        </w:rPr>
        <w:t xml:space="preserve"> including the same indices as the </w:t>
      </w:r>
      <w:r w:rsidRPr="002D51CD">
        <w:rPr>
          <w:rFonts w:ascii="Times New Roman" w:hAnsi="Times New Roman" w:cs="Times New Roman"/>
          <w:i/>
          <w:iCs/>
          <w:sz w:val="24"/>
          <w:szCs w:val="24"/>
          <w:lang w:val="en-US"/>
        </w:rPr>
        <w:t xml:space="preserve">theory-based </w:t>
      </w:r>
      <w:r w:rsidRPr="002D51CD">
        <w:rPr>
          <w:rFonts w:ascii="Times New Roman" w:hAnsi="Times New Roman" w:cs="Times New Roman"/>
          <w:iCs/>
          <w:sz w:val="24"/>
          <w:szCs w:val="24"/>
          <w:lang w:val="en-US"/>
        </w:rPr>
        <w:t xml:space="preserve">with the deduction of </w:t>
      </w:r>
      <w:r w:rsidRPr="002D51CD">
        <w:rPr>
          <w:rFonts w:ascii="Times New Roman" w:hAnsi="Times New Roman" w:cs="Times New Roman"/>
          <w:sz w:val="24"/>
          <w:szCs w:val="24"/>
          <w:lang w:val="en-US"/>
        </w:rPr>
        <w:t xml:space="preserve">Kumar and Persaud Global Risk-Appetite Index (GRAI). Both papers point out some substantial properties of each category that is important to acknowledge. The </w:t>
      </w:r>
      <w:r w:rsidRPr="002D51CD">
        <w:rPr>
          <w:rFonts w:ascii="Times New Roman" w:hAnsi="Times New Roman" w:cs="Times New Roman"/>
          <w:i/>
          <w:sz w:val="24"/>
          <w:szCs w:val="24"/>
          <w:lang w:val="en-US"/>
        </w:rPr>
        <w:t>atheoretic</w:t>
      </w:r>
      <w:r w:rsidRPr="002D51CD">
        <w:rPr>
          <w:rFonts w:ascii="Times New Roman" w:hAnsi="Times New Roman" w:cs="Times New Roman"/>
          <w:sz w:val="24"/>
          <w:szCs w:val="24"/>
          <w:lang w:val="en-US"/>
        </w:rPr>
        <w:t xml:space="preserve"> or </w:t>
      </w:r>
      <w:r w:rsidRPr="002D51CD">
        <w:rPr>
          <w:rFonts w:ascii="Times New Roman" w:hAnsi="Times New Roman" w:cs="Times New Roman"/>
          <w:i/>
          <w:color w:val="231F20"/>
          <w:sz w:val="24"/>
          <w:szCs w:val="24"/>
          <w:lang w:val="en-US"/>
        </w:rPr>
        <w:t xml:space="preserve">market-based indicators </w:t>
      </w:r>
      <w:r w:rsidRPr="002D51CD">
        <w:rPr>
          <w:rFonts w:ascii="Times New Roman" w:hAnsi="Times New Roman" w:cs="Times New Roman"/>
          <w:color w:val="231F20"/>
          <w:sz w:val="24"/>
          <w:szCs w:val="24"/>
          <w:lang w:val="en-US"/>
        </w:rPr>
        <w:t xml:space="preserve">are constructed by aggregating information, such as spreads or implied volatilities, aided by statistical methods. Nevertheless, two caveats emerge. First of all, the variables are subjected to other factors, apart from risk appetite, that could cause changes in their levels. On top of that, the interpretation of the final values of the indices is questionable. The </w:t>
      </w:r>
      <w:r w:rsidRPr="002D51CD">
        <w:rPr>
          <w:rFonts w:ascii="Times New Roman" w:hAnsi="Times New Roman" w:cs="Times New Roman"/>
          <w:i/>
          <w:iCs/>
          <w:sz w:val="24"/>
          <w:szCs w:val="24"/>
          <w:lang w:val="en-US"/>
        </w:rPr>
        <w:t xml:space="preserve">theory-based </w:t>
      </w:r>
      <w:r w:rsidRPr="002D51CD">
        <w:rPr>
          <w:rFonts w:ascii="Times New Roman" w:hAnsi="Times New Roman" w:cs="Times New Roman"/>
          <w:iCs/>
          <w:sz w:val="24"/>
          <w:szCs w:val="24"/>
          <w:lang w:val="en-US"/>
        </w:rPr>
        <w:t xml:space="preserve">or </w:t>
      </w:r>
      <w:r w:rsidRPr="002D51CD">
        <w:rPr>
          <w:rFonts w:ascii="Times New Roman" w:hAnsi="Times New Roman" w:cs="Times New Roman"/>
          <w:i/>
          <w:color w:val="231F20"/>
          <w:sz w:val="24"/>
          <w:szCs w:val="24"/>
          <w:lang w:val="en-US"/>
        </w:rPr>
        <w:t>model-based measures</w:t>
      </w:r>
      <w:r w:rsidRPr="002D51CD">
        <w:rPr>
          <w:rFonts w:ascii="Times New Roman" w:hAnsi="Times New Roman" w:cs="Times New Roman"/>
          <w:color w:val="231F20"/>
          <w:sz w:val="24"/>
          <w:szCs w:val="24"/>
          <w:lang w:val="en-US"/>
        </w:rPr>
        <w:t xml:space="preserve"> are typically originated from a financial or economic model that applies on a specific market. </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color w:val="231F20"/>
          <w:sz w:val="24"/>
          <w:szCs w:val="24"/>
          <w:lang w:val="en-US"/>
        </w:rPr>
        <w:t xml:space="preserve">More specifically, in 2002, </w:t>
      </w:r>
      <w:r w:rsidRPr="002D51CD">
        <w:rPr>
          <w:rFonts w:ascii="Times New Roman" w:hAnsi="Times New Roman" w:cs="Times New Roman"/>
          <w:sz w:val="24"/>
          <w:szCs w:val="24"/>
          <w:lang w:val="en-US"/>
        </w:rPr>
        <w:t>Kumar and Persaud</w:t>
      </w:r>
      <w:r w:rsidRPr="002D51CD">
        <w:rPr>
          <w:rFonts w:ascii="Times New Roman" w:hAnsi="Times New Roman" w:cs="Times New Roman"/>
          <w:color w:val="231F20"/>
          <w:sz w:val="24"/>
          <w:szCs w:val="24"/>
          <w:lang w:val="en-US"/>
        </w:rPr>
        <w:t xml:space="preserve"> proposed the Global Risk Appetite Index (GRAI) to assess risk appetite. They based its construction on two elements; assets’ excess returns and riskiness. They ranked the assets according to these elements using data of daily frequency from the currency market. The justification for choosing the currency market is based on the high liquidity that it exhibits. </w:t>
      </w:r>
      <w:r w:rsidRPr="002D51CD">
        <w:rPr>
          <w:rFonts w:ascii="Times New Roman" w:hAnsi="Times New Roman" w:cs="Times New Roman"/>
          <w:sz w:val="24"/>
          <w:szCs w:val="24"/>
          <w:lang w:val="en-US"/>
        </w:rPr>
        <w:t xml:space="preserve">The correlation between the rankings should be zero for changes in asset riskiness. Respectively, in the case of an increasing (decreasing) risk appetite the correlation should be positive (negative). Their methodology can be considered of high significance indicated by its adoption by the International Monetary Fund (IMF) and by J.P Morgan for their own risk appetite indices. However, criticism was raised. Gai and Vause (2004, 2006) stated that the proposed measure showed evidence only for changes and not for the level of risk appetite. In spite of that, in the following years more researchers constructed indices akin to GRAI. Wilmot, Mielczarski, and Sweeney (2004) compounded the Credit Suisse First Boston Risk-Appetite Index (CSFB). They used daily data from equities and bonds in both developed and emerging markets. To obtain the index’s value, </w:t>
      </w:r>
      <w:r w:rsidRPr="002D51CD">
        <w:rPr>
          <w:rFonts w:ascii="Times New Roman" w:hAnsi="Times New Roman" w:cs="Times New Roman"/>
          <w:sz w:val="24"/>
          <w:szCs w:val="24"/>
          <w:lang w:val="en-US"/>
        </w:rPr>
        <w:lastRenderedPageBreak/>
        <w:t>they carried out a cross-sectional linear regression using as dependent variable the excess return (calculated over 12 month volatility and cash) and as independent one the volatility. The slope coefficient of this regression represents the value of the index. Risk appetite increases as this slope becomes more positive and, like GRAI, CSFB shows changes and not the level of risk appetite. Froot and O’Connell (2003) created the State Street Investor Confidence Index</w:t>
      </w:r>
      <w:r w:rsidRPr="002D51CD">
        <w:rPr>
          <w:rStyle w:val="FootnoteReference"/>
          <w:rFonts w:ascii="Times New Roman" w:hAnsi="Times New Roman" w:cs="Times New Roman"/>
          <w:sz w:val="24"/>
          <w:szCs w:val="24"/>
          <w:lang w:val="en-US"/>
        </w:rPr>
        <w:footnoteReference w:id="7"/>
      </w:r>
      <w:r w:rsidRPr="002D51CD">
        <w:rPr>
          <w:rFonts w:ascii="Times New Roman" w:hAnsi="Times New Roman" w:cs="Times New Roman"/>
          <w:sz w:val="24"/>
          <w:szCs w:val="24"/>
          <w:lang w:val="en-US"/>
        </w:rPr>
        <w:t xml:space="preserve"> (ICI). They used an analogous technique to that of GRAI though applied it, instead of prices, to quantities. They used such a setup in order to circumvent GRAI’s drawback and look at the level of risk appetite. Two types of investors were considered: a domestic one who holds risky assets from his own country and a global one who is able to trade on any asset. A “zero-sum game” </w:t>
      </w:r>
      <w:r w:rsidR="00197793">
        <w:rPr>
          <w:rFonts w:ascii="Times New Roman" w:hAnsi="Times New Roman" w:cs="Times New Roman"/>
          <w:sz w:val="24"/>
          <w:szCs w:val="24"/>
          <w:lang w:val="en-US"/>
        </w:rPr>
        <w:t>resulted</w:t>
      </w:r>
      <w:r w:rsidRPr="002D51CD">
        <w:rPr>
          <w:rFonts w:ascii="Times New Roman" w:hAnsi="Times New Roman" w:cs="Times New Roman"/>
          <w:sz w:val="24"/>
          <w:szCs w:val="24"/>
          <w:lang w:val="en-US"/>
        </w:rPr>
        <w:t xml:space="preserve"> due to purchases from the global investors lead to offsetting sales by domestic ones. They concluded that risk tolerance -same as appetite- could explain fluctuations in portfolio holdings and predict future returns. Finally, Bandopadhyaya and Jones (2005) developed the Equity Market Sentiment Index (EMSI) based on the GRAI methodology. They selected stock prices for listed firms in the Massachusetts Bloomberg Index</w:t>
      </w:r>
      <w:r w:rsidRPr="002D51CD">
        <w:rPr>
          <w:rStyle w:val="FootnoteReference"/>
          <w:rFonts w:ascii="Times New Roman" w:hAnsi="Times New Roman" w:cs="Times New Roman"/>
          <w:sz w:val="24"/>
          <w:szCs w:val="24"/>
          <w:lang w:val="en-US"/>
        </w:rPr>
        <w:footnoteReference w:id="8"/>
      </w:r>
      <w:r w:rsidRPr="002D51CD">
        <w:rPr>
          <w:rFonts w:ascii="Times New Roman" w:hAnsi="Times New Roman" w:cs="Times New Roman"/>
          <w:sz w:val="24"/>
          <w:szCs w:val="24"/>
          <w:lang w:val="en-US"/>
        </w:rPr>
        <w:t xml:space="preserve"> (MBI) and their empirical evidence indicates that EMSI captures news events regarding firms included in the MBI or news relevant to Massachusetts’s economy. Moreover, they found that EMSI is more informative for changes in the MBI than its own past changes.</w:t>
      </w:r>
    </w:p>
    <w:p w:rsidR="001879CE" w:rsidRPr="002D51CD" w:rsidRDefault="001879CE" w:rsidP="001879CE">
      <w:pPr>
        <w:autoSpaceDE w:val="0"/>
        <w:autoSpaceDN w:val="0"/>
        <w:adjustRightInd w:val="0"/>
        <w:spacing w:after="0" w:line="360" w:lineRule="auto"/>
        <w:ind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Another measure similar in spirit to GRAI is the Risk Appetite Index (RAI). RAI’s positive values, like GRAI’s, identify changes in price</w:t>
      </w:r>
      <w:r w:rsidR="00F413E8">
        <w:rPr>
          <w:rFonts w:ascii="Times New Roman" w:hAnsi="Times New Roman" w:cs="Times New Roman"/>
          <w:sz w:val="24"/>
          <w:szCs w:val="24"/>
          <w:lang w:val="en-US"/>
        </w:rPr>
        <w:t>s</w:t>
      </w:r>
      <w:r w:rsidRPr="002D51CD">
        <w:rPr>
          <w:rFonts w:ascii="Times New Roman" w:hAnsi="Times New Roman" w:cs="Times New Roman"/>
          <w:sz w:val="24"/>
          <w:szCs w:val="24"/>
          <w:lang w:val="en-US"/>
        </w:rPr>
        <w:t xml:space="preserve"> as a result of an increase in risk appetite (Misina, 2006). The main difference is that in order for RAI to be perceived as an appropriate measure of risk aversion the assumption of independent returns must hold (Misina, 2003). Misina (2006, 2008) performed a comparison between RAI and GRAI, also using the currency market for the sake of facilitating the comparison, and found that GRAI is more volatile than RAI. Baek et al. (2005) examined the factors that drive sovereign risk premium measured with the Brady bond</w:t>
      </w:r>
      <w:r w:rsidRPr="002D51CD">
        <w:rPr>
          <w:rStyle w:val="FootnoteReference"/>
          <w:rFonts w:ascii="Times New Roman" w:hAnsi="Times New Roman" w:cs="Times New Roman"/>
          <w:sz w:val="24"/>
          <w:szCs w:val="24"/>
          <w:lang w:val="en-US"/>
        </w:rPr>
        <w:footnoteReference w:id="9"/>
      </w:r>
      <w:r w:rsidRPr="002D51CD">
        <w:rPr>
          <w:rFonts w:ascii="Times New Roman" w:hAnsi="Times New Roman" w:cs="Times New Roman"/>
          <w:sz w:val="24"/>
          <w:szCs w:val="24"/>
          <w:lang w:val="en-US"/>
        </w:rPr>
        <w:t xml:space="preserve"> yield spread (stripped). They used a RAI to capture risk attitude and concluded that while economic variables like liquidity and solvency affected the yields, RAI had a significantly larger impact to them. </w:t>
      </w:r>
    </w:p>
    <w:p w:rsidR="001879CE" w:rsidRPr="002D51CD" w:rsidRDefault="001879CE" w:rsidP="001879CE">
      <w:pPr>
        <w:pStyle w:val="ListParagraph"/>
        <w:spacing w:line="360" w:lineRule="auto"/>
        <w:ind w:left="0"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lastRenderedPageBreak/>
        <w:t xml:space="preserve">Another approach to estimate risk aversion is that of using a factor analysis and denote the common factor that drives risk premium as risk aversion. The most prominent and mostly used factor analysis is the Principal Component Analysis (PCA). </w:t>
      </w:r>
      <w:r w:rsidRPr="002D51CD">
        <w:rPr>
          <w:rFonts w:ascii="Times New Roman" w:hAnsi="Times New Roman" w:cs="Times New Roman"/>
          <w:bCs/>
          <w:sz w:val="24"/>
          <w:szCs w:val="24"/>
          <w:lang w:val="en-US"/>
        </w:rPr>
        <w:t>Feeney and Hester (1967) in their paper tried to develop alternative indices to the Dow Jones Industrial Average and compare the associated performances using the PCA approach.</w:t>
      </w:r>
      <w:r w:rsidRPr="002D51CD">
        <w:rPr>
          <w:rFonts w:ascii="Times New Roman" w:hAnsi="Times New Roman" w:cs="Times New Roman"/>
          <w:sz w:val="24"/>
          <w:szCs w:val="24"/>
          <w:lang w:val="en-US"/>
        </w:rPr>
        <w:t xml:space="preserve"> Farrell (1974) in his paper- written as a response to </w:t>
      </w:r>
      <w:r w:rsidRPr="002D51CD">
        <w:rPr>
          <w:rFonts w:ascii="Times New Roman" w:hAnsi="Times New Roman" w:cs="Times New Roman"/>
          <w:bCs/>
          <w:sz w:val="24"/>
          <w:szCs w:val="24"/>
          <w:lang w:val="en-US"/>
        </w:rPr>
        <w:t xml:space="preserve">Cohen and Pogue's (1967) paper- attempted to </w:t>
      </w:r>
      <w:r w:rsidRPr="002D51CD">
        <w:rPr>
          <w:rFonts w:ascii="Times New Roman" w:hAnsi="Times New Roman" w:cs="Times New Roman"/>
          <w:sz w:val="24"/>
          <w:szCs w:val="24"/>
          <w:lang w:val="en-US"/>
        </w:rPr>
        <w:t xml:space="preserve">establish suitable stock groupings that could be used in the multi index model as inputs and to achieve that he utilized on PCA. Sløk and Kennedy (2004) carried out PCA to identify a common trend in risk premium in equity, corporate bond and emerging markets for approximately a 6 year period (January 1998 to February 2004). They concluded that both liquidity risk and the overall economic environment drive the common factor and capture changes in risk premium. McGuire and Schrijvers (2003) investigated factors that affect bond spreads in 15 emerging markets. The first factor, interpreted as risk aversion, explains almost 80% of the variation which is quite supportive to the notion that emerging markets became more integrated globally due to the growth of “crossover investors” i.e. global investors that trade on any asset to capture diversification benefits. </w:t>
      </w:r>
    </w:p>
    <w:p w:rsidR="001879CE" w:rsidRPr="002D51CD" w:rsidRDefault="001879CE" w:rsidP="001879CE">
      <w:pPr>
        <w:pStyle w:val="ListParagraph"/>
        <w:spacing w:line="360" w:lineRule="auto"/>
        <w:ind w:left="0" w:right="327"/>
        <w:jc w:val="both"/>
        <w:rPr>
          <w:rFonts w:ascii="Times New Roman" w:hAnsi="Times New Roman" w:cs="Times New Roman"/>
          <w:sz w:val="24"/>
          <w:szCs w:val="24"/>
          <w:lang w:val="en-US"/>
        </w:rPr>
      </w:pPr>
    </w:p>
    <w:p w:rsidR="001879CE" w:rsidRPr="002D51CD" w:rsidRDefault="001879CE" w:rsidP="001879CE">
      <w:pPr>
        <w:pStyle w:val="ListParagraph"/>
        <w:spacing w:line="360" w:lineRule="auto"/>
        <w:ind w:left="0"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The literature also stood on two other pillars besides GRAIs-RAIs and the PCA (Coudert and Gex, 2007). The first one is using raw series for the measurement with the most popular among them being the Chicago Board Options Exchange Volatility Index (VIX), the </w:t>
      </w:r>
      <w:hyperlink r:id="rId10" w:tooltip="Implied volatility" w:history="1">
        <w:r w:rsidRPr="002D51CD">
          <w:rPr>
            <w:rFonts w:ascii="Times New Roman" w:hAnsi="Times New Roman" w:cs="Times New Roman"/>
            <w:sz w:val="24"/>
            <w:szCs w:val="24"/>
            <w:lang w:val="en-US"/>
          </w:rPr>
          <w:t>implied volatility</w:t>
        </w:r>
      </w:hyperlink>
      <w:r w:rsidRPr="002D51CD">
        <w:rPr>
          <w:rFonts w:ascii="Times New Roman" w:hAnsi="Times New Roman" w:cs="Times New Roman"/>
          <w:sz w:val="24"/>
          <w:szCs w:val="24"/>
          <w:lang w:val="en-US"/>
        </w:rPr>
        <w:t> of the </w:t>
      </w:r>
      <w:hyperlink r:id="rId11" w:tooltip="DAX" w:history="1">
        <w:r w:rsidRPr="002D51CD">
          <w:rPr>
            <w:rFonts w:ascii="Times New Roman" w:hAnsi="Times New Roman" w:cs="Times New Roman"/>
            <w:sz w:val="24"/>
            <w:szCs w:val="24"/>
            <w:lang w:val="en-US"/>
          </w:rPr>
          <w:t>DAX</w:t>
        </w:r>
      </w:hyperlink>
      <w:r w:rsidRPr="002D51CD">
        <w:rPr>
          <w:rFonts w:ascii="Times New Roman" w:hAnsi="Times New Roman" w:cs="Times New Roman"/>
          <w:sz w:val="24"/>
          <w:szCs w:val="24"/>
          <w:lang w:val="en-US"/>
        </w:rPr>
        <w:t xml:space="preserve"> (VDAX) and the </w:t>
      </w:r>
      <w:hyperlink r:id="rId12" w:history="1">
        <w:r w:rsidRPr="002D51CD">
          <w:rPr>
            <w:rFonts w:ascii="Times New Roman" w:hAnsi="Times New Roman" w:cs="Times New Roman"/>
            <w:sz w:val="24"/>
            <w:szCs w:val="24"/>
            <w:lang w:val="en-US"/>
          </w:rPr>
          <w:t>Put</w:t>
        </w:r>
      </w:hyperlink>
      <w:r w:rsidRPr="002D51CD">
        <w:rPr>
          <w:rFonts w:ascii="Times New Roman" w:hAnsi="Times New Roman" w:cs="Times New Roman"/>
          <w:sz w:val="24"/>
          <w:szCs w:val="24"/>
          <w:lang w:val="en-US"/>
        </w:rPr>
        <w:t xml:space="preserve"> Call Ratio (PCR). The VIX was firstly introduced in 1993 and indicates the implied volatility of Standard and Poor’s (S&amp;P) 500 options. It is also characterized as the “investor fear gauge”. The term “investor” is used because investors themselves set its level via the demand for options and “fear” because investors are assumed to be risk </w:t>
      </w:r>
      <w:proofErr w:type="gramStart"/>
      <w:r w:rsidRPr="002D51CD">
        <w:rPr>
          <w:rFonts w:ascii="Times New Roman" w:hAnsi="Times New Roman" w:cs="Times New Roman"/>
          <w:sz w:val="24"/>
          <w:szCs w:val="24"/>
          <w:lang w:val="en-US"/>
        </w:rPr>
        <w:t>averse</w:t>
      </w:r>
      <w:proofErr w:type="gramEnd"/>
      <w:r w:rsidRPr="002D51CD">
        <w:rPr>
          <w:rFonts w:ascii="Times New Roman" w:hAnsi="Times New Roman" w:cs="Times New Roman"/>
          <w:sz w:val="24"/>
          <w:szCs w:val="24"/>
          <w:lang w:val="en-US"/>
        </w:rPr>
        <w:t xml:space="preserve"> (Whaley, 2000). It is widely used as a quick proxy for risk appetite (Illing and Aaron, 2005; </w:t>
      </w:r>
      <w:r w:rsidRPr="002D51CD">
        <w:rPr>
          <w:rFonts w:ascii="Times New Roman" w:hAnsi="Times New Roman" w:cs="Times New Roman"/>
          <w:bCs/>
          <w:sz w:val="24"/>
          <w:szCs w:val="24"/>
          <w:lang w:val="en-US"/>
        </w:rPr>
        <w:t xml:space="preserve">González-Hermosillo, 2008) and its importance is supported by the fact that it is included as a component in </w:t>
      </w:r>
      <w:r w:rsidRPr="002D51CD">
        <w:rPr>
          <w:rFonts w:ascii="Times New Roman" w:hAnsi="Times New Roman" w:cs="Times New Roman"/>
          <w:sz w:val="24"/>
          <w:szCs w:val="24"/>
          <w:lang w:val="en-US"/>
        </w:rPr>
        <w:t xml:space="preserve">all atheoretical indices (Illing and Aaron, 2005).  The level of VIX and risk appetite are negatively correlated thus a straightforward interpretation is that the higher the VIX the lower the risk appetite. A somehow analogous interpretation is given from the results from </w:t>
      </w:r>
      <w:r w:rsidRPr="002D51CD">
        <w:rPr>
          <w:rFonts w:ascii="Times New Roman" w:hAnsi="Times New Roman" w:cs="Times New Roman"/>
          <w:sz w:val="24"/>
          <w:szCs w:val="24"/>
          <w:shd w:val="clear" w:color="auto" w:fill="FFFFFF"/>
          <w:lang w:val="en-US"/>
        </w:rPr>
        <w:t>Simon and Wiggins III (2001) and Giot (2005) that suggest that high (low) VIX level is associated with high (low) subsequent returns for stock and futures markets.</w:t>
      </w:r>
      <w:r w:rsidRPr="002D51CD">
        <w:rPr>
          <w:rFonts w:ascii="Times New Roman" w:hAnsi="Times New Roman" w:cs="Times New Roman"/>
          <w:sz w:val="24"/>
          <w:szCs w:val="24"/>
          <w:lang w:val="en-US"/>
        </w:rPr>
        <w:t xml:space="preserve"> An equivalent measure to VIX is VDAX. Like VIX, it computes the implied </w:t>
      </w:r>
      <w:r w:rsidRPr="002D51CD">
        <w:rPr>
          <w:rFonts w:ascii="Times New Roman" w:hAnsi="Times New Roman" w:cs="Times New Roman"/>
          <w:sz w:val="24"/>
          <w:szCs w:val="24"/>
          <w:lang w:val="en-US"/>
        </w:rPr>
        <w:lastRenderedPageBreak/>
        <w:t>volatility of options from the DAX</w:t>
      </w:r>
      <w:r w:rsidRPr="002D51CD">
        <w:rPr>
          <w:rStyle w:val="FootnoteReference"/>
          <w:rFonts w:ascii="Times New Roman" w:hAnsi="Times New Roman" w:cs="Times New Roman"/>
          <w:sz w:val="24"/>
          <w:szCs w:val="24"/>
          <w:lang w:val="en-US"/>
        </w:rPr>
        <w:footnoteReference w:id="10"/>
      </w:r>
      <w:r w:rsidRPr="002D51CD">
        <w:rPr>
          <w:rFonts w:ascii="Times New Roman" w:hAnsi="Times New Roman" w:cs="Times New Roman"/>
          <w:sz w:val="24"/>
          <w:szCs w:val="24"/>
          <w:lang w:val="en-US"/>
        </w:rPr>
        <w:t xml:space="preserve"> index. The last measure is the</w:t>
      </w:r>
      <w:r w:rsidR="00565DCC">
        <w:rPr>
          <w:rFonts w:ascii="Times New Roman" w:hAnsi="Times New Roman" w:cs="Times New Roman"/>
          <w:sz w:val="24"/>
          <w:szCs w:val="24"/>
          <w:lang w:val="en-US"/>
        </w:rPr>
        <w:t xml:space="preserve"> Put-Call ratio</w:t>
      </w:r>
      <w:r w:rsidRPr="002D51CD">
        <w:rPr>
          <w:rFonts w:ascii="Times New Roman" w:hAnsi="Times New Roman" w:cs="Times New Roman"/>
          <w:sz w:val="24"/>
          <w:szCs w:val="24"/>
          <w:lang w:val="en-US"/>
        </w:rPr>
        <w:t xml:space="preserve"> </w:t>
      </w:r>
      <w:r w:rsidR="00565DCC">
        <w:rPr>
          <w:rFonts w:ascii="Times New Roman" w:hAnsi="Times New Roman" w:cs="Times New Roman"/>
          <w:sz w:val="24"/>
          <w:szCs w:val="24"/>
          <w:lang w:val="en-US"/>
        </w:rPr>
        <w:t>(</w:t>
      </w:r>
      <w:r w:rsidRPr="002D51CD">
        <w:rPr>
          <w:rFonts w:ascii="Times New Roman" w:hAnsi="Times New Roman" w:cs="Times New Roman"/>
          <w:sz w:val="24"/>
          <w:szCs w:val="24"/>
          <w:lang w:val="en-US"/>
        </w:rPr>
        <w:t>PCR</w:t>
      </w:r>
      <w:r w:rsidR="00565DCC">
        <w:rPr>
          <w:rFonts w:ascii="Times New Roman" w:hAnsi="Times New Roman" w:cs="Times New Roman"/>
          <w:sz w:val="24"/>
          <w:szCs w:val="24"/>
          <w:lang w:val="en-US"/>
        </w:rPr>
        <w:t>)</w:t>
      </w:r>
      <w:r w:rsidRPr="002D51CD">
        <w:rPr>
          <w:rFonts w:ascii="Times New Roman" w:hAnsi="Times New Roman" w:cs="Times New Roman"/>
          <w:sz w:val="24"/>
          <w:szCs w:val="24"/>
          <w:lang w:val="en-US"/>
        </w:rPr>
        <w:t>. Dennis and Mayhew (2002) stated that PCR could qualify as a proxy for sentiment. It is calculated, as its name signifies, from the below formula:</w:t>
      </w:r>
    </w:p>
    <w:p w:rsidR="001879CE" w:rsidRPr="002D51CD" w:rsidRDefault="001879CE" w:rsidP="001879CE">
      <w:pPr>
        <w:pStyle w:val="ListParagraph"/>
        <w:spacing w:line="360" w:lineRule="auto"/>
        <w:ind w:left="0" w:right="327"/>
        <w:jc w:val="both"/>
        <w:rPr>
          <w:rFonts w:ascii="Times New Roman" w:hAnsi="Times New Roman" w:cs="Times New Roman"/>
          <w:sz w:val="24"/>
          <w:szCs w:val="24"/>
          <w:lang w:val="en-US"/>
        </w:rPr>
      </w:pPr>
    </w:p>
    <w:p w:rsidR="001879CE" w:rsidRPr="002D51CD" w:rsidRDefault="001879CE" w:rsidP="001879CE">
      <w:pPr>
        <w:pStyle w:val="ListParagraph"/>
        <w:spacing w:line="360" w:lineRule="auto"/>
        <w:ind w:left="0"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PCR =  </w:t>
      </w:r>
      <m:oMath>
        <m:f>
          <m:fPr>
            <m:ctrlPr>
              <w:rPr>
                <w:rFonts w:ascii="Cambria Math" w:hAnsi="Times New Roman" w:cs="Times New Roman"/>
                <w:sz w:val="24"/>
                <w:szCs w:val="24"/>
                <w:lang w:val="en-US"/>
              </w:rPr>
            </m:ctrlPr>
          </m:fPr>
          <m:num>
            <m:r>
              <m:rPr>
                <m:sty m:val="p"/>
              </m:rPr>
              <w:rPr>
                <w:rFonts w:ascii="Cambria Math" w:hAnsi="Times New Roman" w:cs="Times New Roman"/>
                <w:sz w:val="24"/>
                <w:szCs w:val="24"/>
                <w:lang w:val="en-US"/>
              </w:rPr>
              <m:t>Number of traded put options</m:t>
            </m:r>
          </m:num>
          <m:den>
            <m:r>
              <m:rPr>
                <m:sty m:val="p"/>
              </m:rPr>
              <w:rPr>
                <w:rFonts w:ascii="Cambria Math" w:hAnsi="Times New Roman" w:cs="Times New Roman"/>
                <w:sz w:val="24"/>
                <w:szCs w:val="24"/>
                <w:lang w:val="en-US"/>
              </w:rPr>
              <m:t>Number of traded call options</m:t>
            </m:r>
          </m:den>
        </m:f>
      </m:oMath>
      <w:r w:rsidRPr="002D51CD">
        <w:rPr>
          <w:rFonts w:ascii="Times New Roman" w:hAnsi="Times New Roman" w:cs="Times New Roman"/>
          <w:sz w:val="24"/>
          <w:szCs w:val="24"/>
          <w:lang w:val="en-US"/>
        </w:rPr>
        <w:t xml:space="preserve"> </w:t>
      </w:r>
      <w:r w:rsidRPr="002D51CD">
        <w:rPr>
          <w:rStyle w:val="FootnoteReference"/>
          <w:rFonts w:ascii="Times New Roman" w:hAnsi="Times New Roman" w:cs="Times New Roman"/>
          <w:sz w:val="24"/>
          <w:szCs w:val="24"/>
          <w:lang w:val="en-US"/>
        </w:rPr>
        <w:footnoteReference w:id="11"/>
      </w:r>
      <w:r w:rsidRPr="002D51CD">
        <w:rPr>
          <w:rFonts w:ascii="Times New Roman" w:hAnsi="Times New Roman" w:cs="Times New Roman"/>
          <w:sz w:val="24"/>
          <w:szCs w:val="24"/>
          <w:lang w:val="en-US"/>
        </w:rPr>
        <w:t xml:space="preserve">   (1)</w:t>
      </w:r>
    </w:p>
    <w:p w:rsidR="001879CE" w:rsidRPr="002D51CD" w:rsidRDefault="001879CE" w:rsidP="001879CE">
      <w:pPr>
        <w:pStyle w:val="ListParagraph"/>
        <w:spacing w:line="360" w:lineRule="auto"/>
        <w:ind w:left="0" w:right="327"/>
        <w:jc w:val="both"/>
        <w:rPr>
          <w:rFonts w:ascii="Times New Roman" w:hAnsi="Times New Roman" w:cs="Times New Roman"/>
          <w:sz w:val="24"/>
          <w:szCs w:val="24"/>
          <w:lang w:val="en-US"/>
        </w:rPr>
      </w:pPr>
    </w:p>
    <w:p w:rsidR="001879CE" w:rsidRPr="00AF45E6"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A ratio equal to 0.8 indicates a normal market while the market is considered weak when the ratio is above 1.1 and strong when the ratio is under 0.7 (Bandopadhyaya, 2006). In addition, the author performed a comparison between PCR and VIX. For the needs of the comparison, he used data extending from 2004 </w:t>
      </w:r>
      <w:r w:rsidRPr="00AF45E6">
        <w:rPr>
          <w:rFonts w:ascii="Times New Roman" w:hAnsi="Times New Roman" w:cs="Times New Roman"/>
          <w:sz w:val="24"/>
          <w:szCs w:val="24"/>
          <w:lang w:val="en-US"/>
        </w:rPr>
        <w:t xml:space="preserve">until the mid-2006 and concluded that the PCR performs better than VIX as an explanatory variable for the volatility of stock options prices. </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AF45E6">
        <w:rPr>
          <w:rFonts w:ascii="Times New Roman" w:hAnsi="Times New Roman" w:cs="Times New Roman"/>
          <w:color w:val="231F20"/>
          <w:sz w:val="24"/>
          <w:szCs w:val="24"/>
          <w:lang w:val="en-US"/>
        </w:rPr>
        <w:t>The second pillar is using data assembled by surveys. The intuition behind it is revealed by simply looking at the advantages of surveys. Roughly speaking, survey based measures provide a deeper insight on how the sentiment is formatted and the influence it has on the stock markets’ movements (</w:t>
      </w:r>
      <w:r w:rsidRPr="00AF45E6">
        <w:rPr>
          <w:rFonts w:ascii="Times New Roman" w:hAnsi="Times New Roman" w:cs="Times New Roman"/>
          <w:sz w:val="24"/>
          <w:szCs w:val="24"/>
          <w:lang w:val="en-US"/>
        </w:rPr>
        <w:t>Beaumont et al., 2005). More particularly,</w:t>
      </w:r>
      <w:r w:rsidRPr="00AF45E6">
        <w:rPr>
          <w:rFonts w:ascii="Times New Roman" w:hAnsi="Times New Roman" w:cs="Times New Roman"/>
          <w:color w:val="231F20"/>
          <w:sz w:val="24"/>
          <w:szCs w:val="24"/>
          <w:lang w:val="en-US"/>
        </w:rPr>
        <w:t xml:space="preserve"> </w:t>
      </w:r>
      <w:r w:rsidRPr="00AF45E6">
        <w:rPr>
          <w:rFonts w:ascii="Times New Roman" w:hAnsi="Times New Roman" w:cs="Times New Roman"/>
          <w:sz w:val="24"/>
          <w:szCs w:val="24"/>
          <w:lang w:val="en-US"/>
        </w:rPr>
        <w:t>surveys provide the ability to incorporate and present the psychology of individuals meaning that they can reveal to us whether individuals are optimistic, pessimistic or neutral</w:t>
      </w:r>
      <w:r w:rsidRPr="002D51CD">
        <w:rPr>
          <w:rFonts w:ascii="Times New Roman" w:hAnsi="Times New Roman" w:cs="Times New Roman"/>
          <w:sz w:val="24"/>
          <w:szCs w:val="24"/>
          <w:lang w:val="en-US"/>
        </w:rPr>
        <w:t xml:space="preserve">. Moreover, the usage of questions in a standardized way makes measurement easier and allows for regular and large time series. On the other hand, of course, there are some disadvantages that we need to take into account before using surveys. First and foremost, the size of the sample can be limited while there is the “prestige bias”, i.e. respondents tend to answer associated questions in a way that makes them feel better. This comes in accordance </w:t>
      </w:r>
      <w:r w:rsidRPr="002D51CD">
        <w:rPr>
          <w:rFonts w:ascii="Times New Roman" w:hAnsi="Times New Roman" w:cs="Times New Roman"/>
          <w:bCs/>
          <w:sz w:val="24"/>
          <w:szCs w:val="24"/>
          <w:lang w:val="en-US"/>
        </w:rPr>
        <w:t xml:space="preserve">to the reason given by Baker and Wurgler (2006) on why economists treat surveys under suspicion- </w:t>
      </w:r>
      <w:r w:rsidRPr="002D51CD">
        <w:rPr>
          <w:rFonts w:ascii="Times New Roman" w:hAnsi="Times New Roman" w:cs="Times New Roman"/>
          <w:bCs/>
          <w:i/>
          <w:sz w:val="24"/>
          <w:szCs w:val="24"/>
          <w:lang w:val="en-US"/>
        </w:rPr>
        <w:t>“…</w:t>
      </w:r>
      <w:r w:rsidRPr="002D51CD">
        <w:rPr>
          <w:rFonts w:ascii="Times New Roman" w:hAnsi="Times New Roman" w:cs="Times New Roman"/>
          <w:i/>
          <w:sz w:val="24"/>
          <w:szCs w:val="24"/>
          <w:lang w:val="en-US"/>
        </w:rPr>
        <w:t>because of the potential gap between how people respond to a survey and how they actually behave”.</w:t>
      </w:r>
      <w:r w:rsidRPr="002D51CD">
        <w:rPr>
          <w:rFonts w:ascii="Times New Roman" w:hAnsi="Times New Roman" w:cs="Times New Roman"/>
          <w:sz w:val="24"/>
          <w:szCs w:val="24"/>
          <w:lang w:val="en-US"/>
        </w:rPr>
        <w:t xml:space="preserve"> Complementary to the above is the fact that the respondents are given equal weights regardless of the magnitude of the funds they manage and, apart from the UBS/Gallup </w:t>
      </w:r>
      <w:proofErr w:type="gramStart"/>
      <w:r w:rsidRPr="002D51CD">
        <w:rPr>
          <w:rFonts w:ascii="Times New Roman" w:hAnsi="Times New Roman" w:cs="Times New Roman"/>
          <w:sz w:val="24"/>
          <w:szCs w:val="24"/>
          <w:lang w:val="en-US"/>
        </w:rPr>
        <w:t>survey,</w:t>
      </w:r>
      <w:proofErr w:type="gramEnd"/>
      <w:r w:rsidRPr="002D51CD">
        <w:rPr>
          <w:rFonts w:ascii="Times New Roman" w:hAnsi="Times New Roman" w:cs="Times New Roman"/>
          <w:sz w:val="24"/>
          <w:szCs w:val="24"/>
          <w:lang w:val="en-US"/>
        </w:rPr>
        <w:t xml:space="preserve"> there is no distinction between different levels of sentiment. Among several surveys, the ones that have been largely applied so far are the American Association of Individual </w:t>
      </w:r>
      <w:r w:rsidRPr="002D51CD">
        <w:rPr>
          <w:rFonts w:ascii="Times New Roman" w:hAnsi="Times New Roman" w:cs="Times New Roman"/>
          <w:sz w:val="24"/>
          <w:szCs w:val="24"/>
          <w:lang w:val="en-US"/>
        </w:rPr>
        <w:lastRenderedPageBreak/>
        <w:t>Investors (AAII)</w:t>
      </w:r>
      <w:r w:rsidRPr="002D51CD">
        <w:rPr>
          <w:rStyle w:val="FootnoteReference"/>
          <w:rFonts w:ascii="Times New Roman" w:hAnsi="Times New Roman" w:cs="Times New Roman"/>
          <w:sz w:val="24"/>
          <w:szCs w:val="24"/>
          <w:lang w:val="en-US"/>
        </w:rPr>
        <w:footnoteReference w:id="12"/>
      </w:r>
      <w:r w:rsidRPr="002D51CD">
        <w:rPr>
          <w:rFonts w:ascii="Times New Roman" w:hAnsi="Times New Roman" w:cs="Times New Roman"/>
          <w:sz w:val="24"/>
          <w:szCs w:val="24"/>
          <w:lang w:val="en-US"/>
        </w:rPr>
        <w:t xml:space="preserve"> and the Investors Intelligence (II)</w:t>
      </w:r>
      <w:r w:rsidRPr="002D51CD">
        <w:rPr>
          <w:rStyle w:val="FootnoteReference"/>
          <w:rFonts w:ascii="Times New Roman" w:hAnsi="Times New Roman" w:cs="Times New Roman"/>
          <w:sz w:val="24"/>
          <w:szCs w:val="24"/>
          <w:lang w:val="en-US"/>
        </w:rPr>
        <w:footnoteReference w:id="13"/>
      </w:r>
      <w:r w:rsidRPr="002D51CD">
        <w:rPr>
          <w:rFonts w:ascii="Times New Roman" w:hAnsi="Times New Roman" w:cs="Times New Roman"/>
          <w:sz w:val="24"/>
          <w:szCs w:val="24"/>
          <w:lang w:val="en-US"/>
        </w:rPr>
        <w:t xml:space="preserve"> survey. De Bondt (1993) reported that investor sentiment measured by the AAII can be, to a certain degree, interpreted by stock returns. These results were validated by subsequent researches by Fisher and Statman (2000) and Brown and Cliff (2004) who both found similar outcomes. Solt and Statman (1988) and Clarke and Statman (1998) reported that investor sentiment taken from the II survey and stock returns exhibit no correlation thus sentiment has no use as a contrarian indicator. On the contrary, Brown and Cliff (2005) showed that extreme optimism leads to market overvaluation and that high sentiment in the present is followed by low long run returns.</w:t>
      </w:r>
    </w:p>
    <w:p w:rsidR="001879CE" w:rsidRPr="002D51CD" w:rsidRDefault="001879CE" w:rsidP="001879CE">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b/>
          <w:bCs/>
          <w:sz w:val="24"/>
          <w:szCs w:val="24"/>
          <w:lang w:val="en-US"/>
        </w:rPr>
        <w:t xml:space="preserve"> </w:t>
      </w:r>
      <w:r w:rsidRPr="002D51CD">
        <w:rPr>
          <w:rFonts w:ascii="Times New Roman" w:hAnsi="Times New Roman" w:cs="Times New Roman"/>
          <w:bCs/>
          <w:sz w:val="24"/>
          <w:szCs w:val="24"/>
          <w:lang w:val="en-US"/>
        </w:rPr>
        <w:t xml:space="preserve">It is obvious that a common conclusion cannot be reached and this could be the reason why several papers suggest using economic or market variables as proxies. </w:t>
      </w:r>
      <w:r w:rsidRPr="002D51CD">
        <w:rPr>
          <w:rFonts w:ascii="Times New Roman" w:hAnsi="Times New Roman" w:cs="Times New Roman"/>
          <w:color w:val="231F20"/>
          <w:sz w:val="24"/>
          <w:szCs w:val="24"/>
          <w:lang w:val="en-US"/>
        </w:rPr>
        <w:t>Baker and Wurgler’s (2006) paper can be regarded as a typical paper that falls into this category and it is probably the most noticeable one. It uses the two main assumptions of behavioral finance; sentiment and limits to arbitrage. The authors created their own composite sentiment index using six different economic and market variables</w:t>
      </w:r>
      <w:r w:rsidRPr="002D51CD">
        <w:rPr>
          <w:rFonts w:ascii="Times New Roman" w:hAnsi="Times New Roman" w:cs="Times New Roman"/>
          <w:bCs/>
          <w:sz w:val="24"/>
          <w:szCs w:val="24"/>
          <w:lang w:val="en-US"/>
        </w:rPr>
        <w:t xml:space="preserve"> that were commonly used in the literature namely the closed-end fund discount, the NYSE share turnover, the number and average first-day returns on IPOs, the equity share in new issues and the dividend premium. As already mentioned, sentiment is not a straightforward concept to measure </w:t>
      </w:r>
      <w:proofErr w:type="gramStart"/>
      <w:r w:rsidRPr="002D51CD">
        <w:rPr>
          <w:rFonts w:ascii="Times New Roman" w:hAnsi="Times New Roman" w:cs="Times New Roman"/>
          <w:bCs/>
          <w:sz w:val="24"/>
          <w:szCs w:val="24"/>
          <w:lang w:val="en-US"/>
        </w:rPr>
        <w:t>hence</w:t>
      </w:r>
      <w:r w:rsidR="00081AAC">
        <w:rPr>
          <w:rFonts w:ascii="Times New Roman" w:hAnsi="Times New Roman" w:cs="Times New Roman"/>
          <w:bCs/>
          <w:sz w:val="24"/>
          <w:szCs w:val="24"/>
          <w:lang w:val="en-US"/>
        </w:rPr>
        <w:t>,</w:t>
      </w:r>
      <w:proofErr w:type="gramEnd"/>
      <w:r w:rsidRPr="002D51CD">
        <w:rPr>
          <w:rFonts w:ascii="Times New Roman" w:hAnsi="Times New Roman" w:cs="Times New Roman"/>
          <w:bCs/>
          <w:sz w:val="24"/>
          <w:szCs w:val="24"/>
          <w:lang w:val="en-US"/>
        </w:rPr>
        <w:t xml:space="preserve"> they believed that it would be beneficial to combine several imperfect measures. This comes in accordance to </w:t>
      </w:r>
      <w:r w:rsidRPr="002D51CD">
        <w:rPr>
          <w:rFonts w:ascii="Times New Roman" w:hAnsi="Times New Roman" w:cs="Times New Roman"/>
          <w:sz w:val="24"/>
          <w:szCs w:val="24"/>
          <w:lang w:val="en-US"/>
        </w:rPr>
        <w:t>Beaumont et al. (2005) who argue that the combination of different sentiment measures is possible.</w:t>
      </w:r>
      <w:r w:rsidRPr="002D51CD">
        <w:rPr>
          <w:rFonts w:ascii="Times New Roman" w:hAnsi="Times New Roman" w:cs="Times New Roman"/>
          <w:bCs/>
          <w:sz w:val="24"/>
          <w:szCs w:val="24"/>
          <w:lang w:val="en-US"/>
        </w:rPr>
        <w:t xml:space="preserve">  The intuition behind the choice of each proxy is given by the authors in their following paper in 2007. For instance, they used the equity share in new issues since this can be regarded as a broader measure of equity financing activity. Likewise, they used IPOs’ volume because it is perceived to be sensitive to sentiment and IPOs’ first day returns because the remarkable returns often exhibited in an IPO’s first day is hard to be explained without taking into consideration investor enthusiasm. Finally, dividend premium was used based on the fact that only firms with a safe financial status can give dividends to their shareholders.</w:t>
      </w:r>
      <w:r w:rsidRPr="002D51CD">
        <w:rPr>
          <w:rFonts w:ascii="Times New Roman" w:hAnsi="Times New Roman" w:cs="Times New Roman"/>
          <w:color w:val="231F20"/>
          <w:sz w:val="24"/>
          <w:szCs w:val="24"/>
          <w:lang w:val="en-US"/>
        </w:rPr>
        <w:t xml:space="preserve"> The final conclusion was that stocks of firms that are hard to evaluate – e.g. small or young firms- are more prone to the limits to arbitrage and sentiment meaning that subsequent returns for these firms are higher when sentiment is low compared to returns of large firm</w:t>
      </w:r>
      <w:r w:rsidRPr="002D51CD">
        <w:rPr>
          <w:rFonts w:ascii="Times New Roman" w:hAnsi="Times New Roman" w:cs="Times New Roman"/>
          <w:bCs/>
          <w:sz w:val="24"/>
          <w:szCs w:val="24"/>
          <w:lang w:val="en-US"/>
        </w:rPr>
        <w:t xml:space="preserve">s. Empirical evidence also exists that supports this on a more international </w:t>
      </w:r>
      <w:r w:rsidRPr="002D51CD">
        <w:rPr>
          <w:rFonts w:ascii="Times New Roman" w:hAnsi="Times New Roman" w:cs="Times New Roman"/>
          <w:bCs/>
          <w:sz w:val="24"/>
          <w:szCs w:val="24"/>
          <w:lang w:val="en-US"/>
        </w:rPr>
        <w:lastRenderedPageBreak/>
        <w:t xml:space="preserve">context. Baker et al. (2012) provide empirical evidence that sentiment can be used as a contrarian indicator not only for stock market returns in U.S but also for other countries (Canada, Japan, Germany, United Kingdom and France).  </w:t>
      </w:r>
    </w:p>
    <w:p w:rsidR="001879CE" w:rsidRPr="002D51CD" w:rsidRDefault="001879CE" w:rsidP="001879CE">
      <w:pPr>
        <w:spacing w:line="360" w:lineRule="auto"/>
        <w:ind w:right="327"/>
        <w:jc w:val="both"/>
        <w:rPr>
          <w:rFonts w:ascii="Times New Roman" w:hAnsi="Times New Roman" w:cs="Times New Roman"/>
          <w:sz w:val="24"/>
          <w:szCs w:val="24"/>
          <w:lang w:val="en-US"/>
        </w:rPr>
      </w:pPr>
      <w:r w:rsidRPr="002D51CD">
        <w:rPr>
          <w:rFonts w:ascii="Times New Roman" w:hAnsi="Times New Roman" w:cs="Times New Roman"/>
          <w:color w:val="231F20"/>
          <w:sz w:val="24"/>
          <w:szCs w:val="24"/>
          <w:lang w:val="en-US"/>
        </w:rPr>
        <w:t xml:space="preserve"> </w:t>
      </w:r>
      <w:r w:rsidRPr="002D51CD">
        <w:rPr>
          <w:rFonts w:ascii="Times New Roman" w:hAnsi="Times New Roman" w:cs="Times New Roman"/>
          <w:bCs/>
          <w:sz w:val="24"/>
          <w:szCs w:val="24"/>
          <w:lang w:val="en-US"/>
        </w:rPr>
        <w:t>Two of the most prominent economic or market variables widely used are the closed-end fund discount (CEFD) and the consumer confidence (CC) index. The intuition of using the CEFD is well explained by Lee et al. (1991). Changes in sentiment will lead to simultaneous changes in the demand for closed-end fund shares which will be later displayed in fluctuations in the discounts. In their research, they constructed a value-weighted index and concluded that returns of small firms are more related to CEFD than the ones for large firms. Nevertheless, their results raised critique</w:t>
      </w:r>
      <w:r w:rsidRPr="002D51CD">
        <w:rPr>
          <w:rFonts w:ascii="Times New Roman" w:hAnsi="Times New Roman" w:cs="Times New Roman"/>
          <w:sz w:val="24"/>
          <w:szCs w:val="24"/>
          <w:lang w:val="en-US"/>
        </w:rPr>
        <w:t xml:space="preserve">. Chen et al. (1993a, 1993b) argued that the results were not flawless due to they lack proper economic significance. </w:t>
      </w:r>
      <w:r w:rsidRPr="002D51CD">
        <w:rPr>
          <w:rFonts w:ascii="Times New Roman" w:hAnsi="Times New Roman" w:cs="Times New Roman"/>
          <w:bCs/>
          <w:sz w:val="24"/>
          <w:szCs w:val="24"/>
          <w:lang w:val="en-US"/>
        </w:rPr>
        <w:t xml:space="preserve">Neal and Wheatley (1998) tried as well to predict stock returns using, along with two other popular proxies for investor sentiment, the CEFD. They employed data from 1933 to 1993 and found that CEFD can be used as a factor to predict size premium and small firm returns. All in all, while </w:t>
      </w:r>
      <w:r w:rsidRPr="002D51CD">
        <w:rPr>
          <w:rFonts w:ascii="Times New Roman" w:hAnsi="Times New Roman" w:cs="Times New Roman"/>
          <w:sz w:val="24"/>
          <w:szCs w:val="24"/>
          <w:lang w:val="en-US"/>
        </w:rPr>
        <w:t xml:space="preserve">Swaminathan (1996) confirmed with his results the previously documented relation between small firms’ returns and CEFD he also argued that information in discounts could affected from other factors except sentiment like for example inflation or future economic growth. </w:t>
      </w:r>
    </w:p>
    <w:p w:rsidR="001879CE" w:rsidRPr="002D51CD" w:rsidRDefault="001879CE" w:rsidP="001879CE">
      <w:pPr>
        <w:pStyle w:val="ListParagraph"/>
        <w:spacing w:line="360" w:lineRule="auto"/>
        <w:ind w:left="0" w:right="329"/>
        <w:jc w:val="both"/>
        <w:rPr>
          <w:rFonts w:ascii="Times New Roman" w:hAnsi="Times New Roman" w:cs="Times New Roman"/>
          <w:bCs/>
          <w:sz w:val="24"/>
          <w:szCs w:val="24"/>
          <w:lang w:val="en-US"/>
        </w:rPr>
      </w:pPr>
      <w:r w:rsidRPr="002D51CD">
        <w:rPr>
          <w:rFonts w:ascii="Times New Roman" w:hAnsi="Times New Roman" w:cs="Times New Roman"/>
          <w:bCs/>
          <w:sz w:val="24"/>
          <w:szCs w:val="24"/>
          <w:lang w:val="en-US"/>
        </w:rPr>
        <w:t xml:space="preserve">As far as the CC index is concerned, </w:t>
      </w:r>
      <w:r w:rsidRPr="002D51CD">
        <w:rPr>
          <w:rFonts w:ascii="Times New Roman" w:hAnsi="Times New Roman" w:cs="Times New Roman"/>
          <w:sz w:val="24"/>
          <w:szCs w:val="24"/>
          <w:lang w:val="en-US"/>
        </w:rPr>
        <w:t xml:space="preserve">Otoo (1999) reported that changes of the CC index and stock returns are strongly related and the results from Lemmon and Portniaguina (2006) are assertive towards it. They also used CC as a proxy for sentiment and found that it can forecast returns of stocks especially those from small ones. In more recent studies, </w:t>
      </w:r>
      <w:proofErr w:type="spellStart"/>
      <w:r w:rsidRPr="002D51CD">
        <w:rPr>
          <w:rFonts w:ascii="Times New Roman" w:hAnsi="Times New Roman" w:cs="Times New Roman"/>
          <w:sz w:val="24"/>
          <w:szCs w:val="24"/>
          <w:lang w:val="en-US"/>
        </w:rPr>
        <w:t>Schmeling</w:t>
      </w:r>
      <w:proofErr w:type="spellEnd"/>
      <w:r w:rsidRPr="002D51CD">
        <w:rPr>
          <w:rFonts w:ascii="Times New Roman" w:hAnsi="Times New Roman" w:cs="Times New Roman"/>
          <w:sz w:val="24"/>
          <w:szCs w:val="24"/>
          <w:lang w:val="en-US"/>
        </w:rPr>
        <w:t xml:space="preserve"> (2009) and </w:t>
      </w:r>
      <w:proofErr w:type="spellStart"/>
      <w:r w:rsidRPr="002D51CD">
        <w:rPr>
          <w:rFonts w:ascii="Times New Roman" w:hAnsi="Times New Roman" w:cs="Times New Roman"/>
          <w:sz w:val="24"/>
          <w:szCs w:val="24"/>
          <w:lang w:val="en-US"/>
        </w:rPr>
        <w:t>Zouaoui</w:t>
      </w:r>
      <w:proofErr w:type="spellEnd"/>
      <w:r w:rsidRPr="002D51CD">
        <w:rPr>
          <w:rFonts w:ascii="Times New Roman" w:hAnsi="Times New Roman" w:cs="Times New Roman"/>
          <w:sz w:val="24"/>
          <w:szCs w:val="24"/>
          <w:lang w:val="en-US"/>
        </w:rPr>
        <w:t xml:space="preserve"> et al. (2011) c</w:t>
      </w:r>
      <w:r w:rsidRPr="002D51CD">
        <w:rPr>
          <w:rFonts w:ascii="Times New Roman" w:hAnsi="Times New Roman" w:cs="Times New Roman"/>
          <w:color w:val="231F20"/>
          <w:sz w:val="24"/>
          <w:szCs w:val="24"/>
          <w:lang w:val="en-US"/>
        </w:rPr>
        <w:t xml:space="preserve">onfirm these findings in a more international context. Opposing to this though, </w:t>
      </w:r>
      <w:r w:rsidRPr="002D51CD">
        <w:rPr>
          <w:rFonts w:ascii="Times New Roman" w:hAnsi="Times New Roman" w:cs="Times New Roman"/>
          <w:sz w:val="24"/>
          <w:szCs w:val="24"/>
          <w:lang w:val="en-US"/>
        </w:rPr>
        <w:t xml:space="preserve">Jansen and </w:t>
      </w:r>
      <w:proofErr w:type="spellStart"/>
      <w:r w:rsidRPr="002D51CD">
        <w:rPr>
          <w:rFonts w:ascii="Times New Roman" w:hAnsi="Times New Roman" w:cs="Times New Roman"/>
          <w:sz w:val="24"/>
          <w:szCs w:val="24"/>
          <w:lang w:val="en-US"/>
        </w:rPr>
        <w:t>Nahuis</w:t>
      </w:r>
      <w:proofErr w:type="spellEnd"/>
      <w:r w:rsidRPr="002D51CD">
        <w:rPr>
          <w:rFonts w:ascii="Times New Roman" w:hAnsi="Times New Roman" w:cs="Times New Roman"/>
          <w:sz w:val="24"/>
          <w:szCs w:val="24"/>
          <w:lang w:val="en-US"/>
        </w:rPr>
        <w:t xml:space="preserve"> (2003)</w:t>
      </w:r>
      <w:r w:rsidRPr="002D51CD">
        <w:rPr>
          <w:rFonts w:ascii="Times New Roman" w:hAnsi="Times New Roman" w:cs="Times New Roman"/>
          <w:color w:val="231F20"/>
          <w:sz w:val="24"/>
          <w:szCs w:val="24"/>
          <w:lang w:val="en-US"/>
        </w:rPr>
        <w:t xml:space="preserve"> suggested that CC has no explanatory power in United States of America and Europe.</w:t>
      </w:r>
      <w:r w:rsidRPr="002D51CD">
        <w:rPr>
          <w:rFonts w:ascii="Times New Roman" w:hAnsi="Times New Roman" w:cs="Times New Roman"/>
          <w:bCs/>
          <w:sz w:val="24"/>
          <w:szCs w:val="24"/>
          <w:lang w:val="en-US"/>
        </w:rPr>
        <w:t xml:space="preserve"> </w:t>
      </w:r>
    </w:p>
    <w:p w:rsidR="001879CE" w:rsidRPr="002D51CD" w:rsidRDefault="001879CE" w:rsidP="001879CE">
      <w:pPr>
        <w:pStyle w:val="ListParagraph"/>
        <w:spacing w:line="360" w:lineRule="auto"/>
        <w:ind w:left="0" w:right="329"/>
        <w:jc w:val="both"/>
        <w:rPr>
          <w:rFonts w:ascii="Times New Roman" w:hAnsi="Times New Roman" w:cs="Times New Roman"/>
          <w:bCs/>
          <w:sz w:val="24"/>
          <w:szCs w:val="24"/>
          <w:lang w:val="en-US"/>
        </w:rPr>
      </w:pPr>
    </w:p>
    <w:p w:rsidR="001879CE" w:rsidRPr="002D51CD" w:rsidRDefault="001879CE" w:rsidP="001879CE">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2.4 Sentiment and the relationship with other asset classes</w:t>
      </w:r>
    </w:p>
    <w:p w:rsidR="001879CE" w:rsidRPr="002D51CD" w:rsidRDefault="001879CE" w:rsidP="001879CE">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In the foregoing subsections we presented the “history” of sentiment, various definitions of risk appetite/aversion and the indices that were constructed with the objective of measuring it. We discussed that papers which attempt to relate measures of sentiment to the behavior of other asset classes apart from stocks are non-existent. Nonetheless, literature, along with references in financial media supporting them, exists which inquires the relationship of sentiment, in general, with changes in the returns of various asset classes. Basically, the literature examines whether </w:t>
      </w:r>
      <w:r w:rsidRPr="002D51CD">
        <w:rPr>
          <w:rFonts w:ascii="Times New Roman" w:hAnsi="Times New Roman" w:cs="Times New Roman"/>
          <w:sz w:val="24"/>
          <w:szCs w:val="24"/>
          <w:lang w:val="en-US"/>
        </w:rPr>
        <w:lastRenderedPageBreak/>
        <w:t>assets can be considered safe haven and we can divide it in different cohorts, namely studies on commodities, bonds, stocks and currencies. In the first subsection, we provide the definition of a safe haven asset and its main characteristics while in the following ones a review on the existing literature is demonstrated.</w:t>
      </w:r>
    </w:p>
    <w:p w:rsidR="001879CE" w:rsidRPr="002D51CD" w:rsidRDefault="001879CE" w:rsidP="001879CE">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2.4.1 Definition and characteristics of safe haven assets</w:t>
      </w:r>
    </w:p>
    <w:p w:rsidR="001879CE" w:rsidRPr="002D51CD" w:rsidRDefault="001879CE" w:rsidP="001879CE">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sidRPr="002D51CD">
        <w:rPr>
          <w:rFonts w:ascii="Times New Roman" w:hAnsi="Times New Roman" w:cs="Times New Roman"/>
          <w:i/>
          <w:sz w:val="24"/>
          <w:szCs w:val="24"/>
          <w:lang w:val="en-US"/>
        </w:rPr>
        <w:t xml:space="preserve">“Flight-to-safety” </w:t>
      </w:r>
      <w:r w:rsidRPr="002D51CD">
        <w:rPr>
          <w:rFonts w:ascii="Times New Roman" w:hAnsi="Times New Roman" w:cs="Times New Roman"/>
          <w:sz w:val="24"/>
          <w:szCs w:val="24"/>
          <w:lang w:val="en-US"/>
        </w:rPr>
        <w:t xml:space="preserve">or equivalent </w:t>
      </w:r>
      <w:r w:rsidRPr="002D51CD">
        <w:rPr>
          <w:rFonts w:ascii="Times New Roman" w:hAnsi="Times New Roman" w:cs="Times New Roman"/>
          <w:i/>
          <w:sz w:val="24"/>
          <w:szCs w:val="24"/>
          <w:lang w:val="en-US"/>
        </w:rPr>
        <w:t>“flight-to-quality”</w:t>
      </w:r>
      <w:r w:rsidRPr="002D51CD">
        <w:rPr>
          <w:rFonts w:ascii="Times New Roman" w:hAnsi="Times New Roman" w:cs="Times New Roman"/>
          <w:sz w:val="24"/>
          <w:szCs w:val="24"/>
          <w:lang w:val="en-US"/>
        </w:rPr>
        <w:t>,</w:t>
      </w:r>
      <w:r w:rsidRPr="002D51CD">
        <w:rPr>
          <w:rFonts w:ascii="Times New Roman" w:hAnsi="Times New Roman" w:cs="Times New Roman"/>
          <w:i/>
          <w:sz w:val="24"/>
          <w:szCs w:val="24"/>
          <w:lang w:val="en-US"/>
        </w:rPr>
        <w:t xml:space="preserve"> </w:t>
      </w:r>
      <w:r w:rsidRPr="002D51CD">
        <w:rPr>
          <w:rFonts w:ascii="Times New Roman" w:hAnsi="Times New Roman" w:cs="Times New Roman"/>
          <w:sz w:val="24"/>
          <w:szCs w:val="24"/>
          <w:lang w:val="en-US"/>
        </w:rPr>
        <w:t xml:space="preserve">are two quotes repeatedly cited in the literature and in financial media. They are, mostly, used when referring to safe haven assets. Numerous studies have dealt with safe haven assets thus numerous definitions can be obtained. Broadly speaking, a safe haven asset, as the etymology of the word indicates, is perceived to provide a “shelter” to investors during crises. More specifically, Ranaldo and Söderlind (2010) state that a safe haven asset is </w:t>
      </w:r>
      <w:r w:rsidRPr="002D51CD">
        <w:rPr>
          <w:rFonts w:ascii="Times New Roman" w:hAnsi="Times New Roman" w:cs="Times New Roman"/>
          <w:i/>
          <w:sz w:val="24"/>
          <w:szCs w:val="24"/>
          <w:lang w:val="en-US"/>
        </w:rPr>
        <w:t xml:space="preserve">“typically perceived as performing reasonably well in difficult market situations” </w:t>
      </w:r>
      <w:r w:rsidRPr="002D51CD">
        <w:rPr>
          <w:rFonts w:ascii="Times New Roman" w:hAnsi="Times New Roman" w:cs="Times New Roman"/>
          <w:sz w:val="24"/>
          <w:szCs w:val="24"/>
          <w:lang w:val="en-US"/>
        </w:rPr>
        <w:t xml:space="preserve">while Coudert and Raymond (2010) in their working paper argue that </w:t>
      </w:r>
      <w:r w:rsidRPr="002D51CD">
        <w:rPr>
          <w:rFonts w:ascii="Times New Roman" w:hAnsi="Times New Roman" w:cs="Times New Roman"/>
          <w:i/>
          <w:sz w:val="24"/>
          <w:szCs w:val="24"/>
          <w:lang w:val="en-US"/>
        </w:rPr>
        <w:t>“a safe haven can be broadly defined as an asset that protects investors’ wealth against financial turmoil”</w:t>
      </w:r>
      <w:r w:rsidRPr="002D51CD">
        <w:rPr>
          <w:rFonts w:ascii="Times New Roman" w:hAnsi="Times New Roman" w:cs="Times New Roman"/>
          <w:sz w:val="24"/>
          <w:szCs w:val="24"/>
          <w:lang w:val="en-US"/>
        </w:rPr>
        <w:t>. In a more statistical context, Baur and Lucey (2010) assert that a safe haven is an asset that has either no or negative correlation when compared to other assets during market stress. This negative correlation is exhibited with the risky assets meaning those that are affected by sentiment all the time inter</w:t>
      </w:r>
      <w:r w:rsidR="007A54CB">
        <w:rPr>
          <w:rFonts w:ascii="Times New Roman" w:hAnsi="Times New Roman" w:cs="Times New Roman"/>
          <w:sz w:val="24"/>
          <w:szCs w:val="24"/>
          <w:lang w:val="en-US"/>
        </w:rPr>
        <w:t xml:space="preserve"> </w:t>
      </w:r>
      <w:r w:rsidRPr="002D51CD">
        <w:rPr>
          <w:rFonts w:ascii="Times New Roman" w:hAnsi="Times New Roman" w:cs="Times New Roman"/>
          <w:sz w:val="24"/>
          <w:szCs w:val="24"/>
          <w:lang w:val="en-US"/>
        </w:rPr>
        <w:t>alia stocks or corporate bonds. These risky assets are characterized by a decline in their demand when risk appetite also declines, that is investors are prompting towards other, safer assets when market conditions are deteriorating. Acknowledging that our indices capture risk appetite or risk aversion it is intuitive that safe haven assets will exhibit a negative (positive) correlation with the risk appetite (aversion) due to investors’ willingness to turn to them in adverse market circumstances. The safe haven assets share two main characteristics. These are the following:</w:t>
      </w:r>
    </w:p>
    <w:p w:rsidR="001879CE" w:rsidRPr="002D51CD" w:rsidRDefault="001879CE" w:rsidP="001879CE">
      <w:pPr>
        <w:pStyle w:val="ListParagraph"/>
        <w:autoSpaceDE w:val="0"/>
        <w:autoSpaceDN w:val="0"/>
        <w:adjustRightInd w:val="0"/>
        <w:spacing w:after="0" w:line="360" w:lineRule="auto"/>
        <w:ind w:left="0"/>
        <w:jc w:val="both"/>
        <w:rPr>
          <w:rFonts w:ascii="Times New Roman" w:hAnsi="Times New Roman" w:cs="Times New Roman"/>
          <w:b/>
          <w:sz w:val="24"/>
          <w:szCs w:val="24"/>
          <w:u w:val="single"/>
          <w:lang w:val="en-US"/>
        </w:rPr>
      </w:pPr>
    </w:p>
    <w:p w:rsidR="001879CE" w:rsidRPr="002D51CD" w:rsidRDefault="001879CE" w:rsidP="001879CE">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sidRPr="002D51CD">
        <w:rPr>
          <w:rFonts w:ascii="Times New Roman" w:hAnsi="Times New Roman" w:cs="Times New Roman"/>
          <w:b/>
          <w:sz w:val="24"/>
          <w:szCs w:val="24"/>
          <w:u w:val="single"/>
          <w:lang w:val="en-US"/>
        </w:rPr>
        <w:t>High liquidity:</w:t>
      </w:r>
      <w:r w:rsidRPr="002D51CD">
        <w:rPr>
          <w:rFonts w:ascii="Times New Roman" w:hAnsi="Times New Roman" w:cs="Times New Roman"/>
          <w:sz w:val="24"/>
          <w:szCs w:val="24"/>
          <w:lang w:val="en-US"/>
        </w:rPr>
        <w:t xml:space="preserve"> Safe haven assets should be highly liquid. Option pricing and models of risk management rely on the assumption of continuous liquidity (Upper, 2000). If liquidity is low –assets are not traded quickly and efficiently- then options are priced incorrectly and the assessment of the riskiness of a portfolio becomes difficult. This is not accounted as a direct cost for investors but it may increase uncertainty leading to massive sales. It is observed that in times of high uncertainty, when risk aversion is high, liquidity in markets is drying up (</w:t>
      </w:r>
      <w:proofErr w:type="spellStart"/>
      <w:r w:rsidRPr="002D51CD">
        <w:rPr>
          <w:rFonts w:ascii="Times New Roman" w:hAnsi="Times New Roman" w:cs="Times New Roman"/>
          <w:sz w:val="24"/>
          <w:szCs w:val="24"/>
          <w:lang w:val="en-US"/>
        </w:rPr>
        <w:t>Habib</w:t>
      </w:r>
      <w:proofErr w:type="spellEnd"/>
      <w:r w:rsidRPr="002D51CD">
        <w:rPr>
          <w:rFonts w:ascii="Times New Roman" w:hAnsi="Times New Roman" w:cs="Times New Roman"/>
          <w:sz w:val="24"/>
          <w:szCs w:val="24"/>
          <w:lang w:val="en-US"/>
        </w:rPr>
        <w:t xml:space="preserve"> and </w:t>
      </w:r>
      <w:proofErr w:type="spellStart"/>
      <w:r w:rsidRPr="002D51CD">
        <w:rPr>
          <w:rFonts w:ascii="Times New Roman" w:hAnsi="Times New Roman" w:cs="Times New Roman"/>
          <w:sz w:val="24"/>
          <w:szCs w:val="24"/>
          <w:lang w:val="en-US"/>
        </w:rPr>
        <w:t>Stracca</w:t>
      </w:r>
      <w:proofErr w:type="spellEnd"/>
      <w:r w:rsidRPr="002D51CD">
        <w:rPr>
          <w:rFonts w:ascii="Times New Roman" w:hAnsi="Times New Roman" w:cs="Times New Roman"/>
          <w:sz w:val="24"/>
          <w:szCs w:val="24"/>
          <w:lang w:val="en-US"/>
        </w:rPr>
        <w:t>, 2012). Apparently, a safe haven has to be highly liquid in order to provide safety to investors.</w:t>
      </w:r>
    </w:p>
    <w:p w:rsidR="001879CE" w:rsidRPr="002D51CD" w:rsidRDefault="001879CE" w:rsidP="001879CE">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p>
    <w:p w:rsidR="001879CE" w:rsidRPr="002D51CD" w:rsidRDefault="001879CE" w:rsidP="001879CE">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sidRPr="002D51CD">
        <w:rPr>
          <w:rFonts w:ascii="Times New Roman" w:hAnsi="Times New Roman" w:cs="Times New Roman"/>
          <w:b/>
          <w:sz w:val="24"/>
          <w:szCs w:val="24"/>
          <w:u w:val="single"/>
          <w:lang w:val="en-US"/>
        </w:rPr>
        <w:lastRenderedPageBreak/>
        <w:t>Low risk:</w:t>
      </w:r>
      <w:r w:rsidRPr="002D51CD">
        <w:rPr>
          <w:rFonts w:ascii="Times New Roman" w:hAnsi="Times New Roman" w:cs="Times New Roman"/>
          <w:b/>
          <w:i/>
          <w:sz w:val="24"/>
          <w:szCs w:val="24"/>
          <w:lang w:val="en-US"/>
        </w:rPr>
        <w:t xml:space="preserve"> </w:t>
      </w:r>
      <w:r w:rsidRPr="002D51CD">
        <w:rPr>
          <w:rFonts w:ascii="Times New Roman" w:hAnsi="Times New Roman" w:cs="Times New Roman"/>
          <w:sz w:val="24"/>
          <w:szCs w:val="24"/>
          <w:lang w:val="en-US"/>
        </w:rPr>
        <w:t xml:space="preserve">A universally accepted definition of risk, in general, is hard to be given since it is rather a subjective notion. However, aligned to our research, we could say that risk is the uncertainty that investors are facing concerning the returns of their investments. As Markowitz (1952) stated in his groundbreaking paper, we could use alternatively to the concept of risk that of the variance of returns. In this respect, low risk will indicate a low volatility for the returns that investors receive from safe haven assets. According to Upper (2000), safe haven assets are perceived as low risk assets and given that they are negatively related to risky assets, they are commonly used as hedging instruments in times of crisis. </w:t>
      </w:r>
    </w:p>
    <w:p w:rsidR="001879CE" w:rsidRPr="002D51CD" w:rsidRDefault="001879CE" w:rsidP="001879CE">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p>
    <w:p w:rsidR="001879CE" w:rsidRPr="002D51CD" w:rsidRDefault="001879CE" w:rsidP="001879CE">
      <w:pPr>
        <w:pStyle w:val="ListParagraph"/>
        <w:autoSpaceDE w:val="0"/>
        <w:autoSpaceDN w:val="0"/>
        <w:adjustRightInd w:val="0"/>
        <w:spacing w:after="0" w:line="360" w:lineRule="auto"/>
        <w:ind w:left="0"/>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2.4.2 Asset class of commodities</w:t>
      </w:r>
    </w:p>
    <w:p w:rsidR="001879CE" w:rsidRPr="002D51CD" w:rsidRDefault="001879CE" w:rsidP="001879CE">
      <w:pPr>
        <w:pStyle w:val="ListParagraph"/>
        <w:spacing w:line="360" w:lineRule="auto"/>
        <w:ind w:left="0"/>
        <w:jc w:val="both"/>
        <w:rPr>
          <w:rFonts w:ascii="Times New Roman" w:hAnsi="Times New Roman" w:cs="Times New Roman"/>
          <w:sz w:val="24"/>
          <w:szCs w:val="24"/>
          <w:lang w:val="en-US"/>
        </w:rPr>
      </w:pPr>
    </w:p>
    <w:p w:rsidR="001879CE" w:rsidRPr="002D51CD" w:rsidRDefault="001879CE" w:rsidP="001879CE">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Commodities are an asset class in which interest has raised during the last decades. The practice of trading using commodities alternative to the traditional portfolios, composed out of stocks and bonds, is all too often used. Indeed, </w:t>
      </w:r>
      <w:proofErr w:type="spellStart"/>
      <w:r w:rsidRPr="002D51CD">
        <w:rPr>
          <w:rFonts w:ascii="Times New Roman" w:hAnsi="Times New Roman" w:cs="Times New Roman"/>
          <w:sz w:val="24"/>
          <w:szCs w:val="24"/>
          <w:lang w:val="en-US"/>
        </w:rPr>
        <w:t>Dunsby</w:t>
      </w:r>
      <w:proofErr w:type="spellEnd"/>
      <w:r w:rsidRPr="002D51CD">
        <w:rPr>
          <w:rFonts w:ascii="Times New Roman" w:hAnsi="Times New Roman" w:cs="Times New Roman"/>
          <w:sz w:val="24"/>
          <w:szCs w:val="24"/>
          <w:lang w:val="en-US"/>
        </w:rPr>
        <w:t xml:space="preserve"> et al. (2008) found that commodity index linked to investment increased more than 20 times during the ten year period, from 1997 to 2007. Supplementary to this, Jensen (2010) presented Barclay’s Capital indication that by the end of 2009 investing in commodities was exceeding 250 billion $US. A possible explanation could be the diversification benefits they offer (Edwards and </w:t>
      </w:r>
      <w:proofErr w:type="spellStart"/>
      <w:r w:rsidRPr="002D51CD">
        <w:rPr>
          <w:rFonts w:ascii="Times New Roman" w:hAnsi="Times New Roman" w:cs="Times New Roman"/>
          <w:sz w:val="24"/>
          <w:szCs w:val="24"/>
          <w:lang w:val="en-US"/>
        </w:rPr>
        <w:t>Caglayan</w:t>
      </w:r>
      <w:proofErr w:type="spellEnd"/>
      <w:r w:rsidRPr="002D51CD">
        <w:rPr>
          <w:rFonts w:ascii="Times New Roman" w:hAnsi="Times New Roman" w:cs="Times New Roman"/>
          <w:sz w:val="24"/>
          <w:szCs w:val="24"/>
          <w:lang w:val="en-US"/>
        </w:rPr>
        <w:t>, 2001). That means that commodities exhibit a zero or a negative correlation with other asset classes, on average, signaling that they can be used as hedging instruments (Marshall et al., 2012). Another explanation could be the safe haven character that they exhibit. This will be analyzed below. Generally, commodities incorporate a broad variety of assets like for instance agricultural products, precious and industrial metals and livestock. Most studies though concentrate on precious metals (gold and silver) and the crude oil. A notion that deserves consideration is that the behavior of commodities is influenced by a substantial number of factors like weather conditions, political events and seasonal supply and demand (Giot and Laurent, 2003; Symeonidis et al., 2012).</w:t>
      </w:r>
    </w:p>
    <w:p w:rsidR="001879CE" w:rsidRPr="002D51CD" w:rsidRDefault="001879CE" w:rsidP="001879CE">
      <w:pPr>
        <w:autoSpaceDE w:val="0"/>
        <w:autoSpaceDN w:val="0"/>
        <w:adjustRightInd w:val="0"/>
        <w:spacing w:after="0"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Gold is probably, along with the Swiss Franc exchange rate (CHF), the most widely recognized safe haven among investors and analysts. There are numerous citations in financial media pointing out that these assets are, or at least were, considered as safe haven. In articles in the online version of “The Economist”</w:t>
      </w:r>
      <w:r w:rsidR="008A2559">
        <w:rPr>
          <w:rStyle w:val="FootnoteReference"/>
          <w:rFonts w:ascii="Times New Roman" w:hAnsi="Times New Roman" w:cs="Times New Roman"/>
          <w:sz w:val="24"/>
          <w:szCs w:val="24"/>
          <w:lang w:val="en-US"/>
        </w:rPr>
        <w:footnoteReference w:id="14"/>
      </w:r>
      <w:r w:rsidRPr="002D51CD">
        <w:rPr>
          <w:rFonts w:ascii="Times New Roman" w:hAnsi="Times New Roman" w:cs="Times New Roman"/>
          <w:sz w:val="24"/>
          <w:szCs w:val="24"/>
          <w:lang w:val="en-US"/>
        </w:rPr>
        <w:t xml:space="preserve"> and that of Financial Times (FT)</w:t>
      </w:r>
      <w:r w:rsidRPr="002D51CD">
        <w:rPr>
          <w:rStyle w:val="FootnoteReference"/>
          <w:rFonts w:ascii="Times New Roman" w:hAnsi="Times New Roman" w:cs="Times New Roman"/>
          <w:sz w:val="24"/>
          <w:szCs w:val="24"/>
        </w:rPr>
        <w:footnoteReference w:id="15"/>
      </w:r>
      <w:r w:rsidRPr="002D51CD">
        <w:rPr>
          <w:rFonts w:ascii="Times New Roman" w:hAnsi="Times New Roman" w:cs="Times New Roman"/>
          <w:sz w:val="24"/>
          <w:szCs w:val="24"/>
          <w:lang w:val="en-US"/>
        </w:rPr>
        <w:t xml:space="preserve"> references exist </w:t>
      </w:r>
      <w:r w:rsidRPr="002D51CD">
        <w:rPr>
          <w:rFonts w:ascii="Times New Roman" w:hAnsi="Times New Roman" w:cs="Times New Roman"/>
          <w:sz w:val="24"/>
          <w:szCs w:val="24"/>
          <w:lang w:val="en-US"/>
        </w:rPr>
        <w:lastRenderedPageBreak/>
        <w:t>concerning the safety of investing in these two assets. Empirical evidence is also present. Baur and Lucey (2010) in their research attempted to confirm that gold is actually a safe haven asset. They state that the development of financial markets themselves and the growth in the variety of financial instruments</w:t>
      </w:r>
      <w:r w:rsidRPr="002D51CD">
        <w:rPr>
          <w:rStyle w:val="FootnoteReference"/>
          <w:rFonts w:ascii="Times New Roman" w:hAnsi="Times New Roman" w:cs="Times New Roman"/>
          <w:sz w:val="24"/>
          <w:szCs w:val="24"/>
        </w:rPr>
        <w:footnoteReference w:id="16"/>
      </w:r>
      <w:r w:rsidRPr="002D51CD">
        <w:rPr>
          <w:rFonts w:ascii="Times New Roman" w:hAnsi="Times New Roman" w:cs="Times New Roman"/>
          <w:sz w:val="24"/>
          <w:szCs w:val="24"/>
          <w:lang w:val="en-US"/>
        </w:rPr>
        <w:t xml:space="preserve"> could possibly be the causation that turned investors to search for safe assets and they concluded that gold is actually such an asset. Instruments like CDOs and CDSs provide insurance against the risk to default thus we would expect that their existence would make investors incline away from safe haven assets towards riskier that generate higher returns. However, such instruments are rather complicated. They are considered to be the causation for the mortgage crisis and this is supported by R. Merton who stated that derivatives should only be used by those that really understand them in depth. Hence, we conjecture that the main reason of that turning point towards gold is the simplicity that its market offers. This simplicity steams from the fact that the determinants of gold’s value are quite easy to be understood and measured (Baur and McDermott, 2009 and 2012). Finally, Baur and McDermott (2012) presented evidence that contend the notion that gold, and U.S government bonds, act as safe haven assets.</w:t>
      </w:r>
    </w:p>
    <w:p w:rsidR="001879CE" w:rsidRPr="002D51CD" w:rsidRDefault="001879CE" w:rsidP="001879CE">
      <w:pPr>
        <w:autoSpaceDE w:val="0"/>
        <w:autoSpaceDN w:val="0"/>
        <w:adjustRightInd w:val="0"/>
        <w:spacing w:after="0" w:line="360" w:lineRule="auto"/>
        <w:jc w:val="both"/>
        <w:rPr>
          <w:rFonts w:ascii="Times New Roman" w:hAnsi="Times New Roman" w:cs="Times New Roman"/>
          <w:sz w:val="24"/>
          <w:szCs w:val="24"/>
          <w:lang w:val="en-US"/>
        </w:rPr>
      </w:pPr>
    </w:p>
    <w:p w:rsidR="001879CE" w:rsidRPr="002D51CD" w:rsidRDefault="001879CE" w:rsidP="001879CE">
      <w:pPr>
        <w:autoSpaceDE w:val="0"/>
        <w:autoSpaceDN w:val="0"/>
        <w:adjustRightInd w:val="0"/>
        <w:spacing w:after="0"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Studies that compare commodities with other asset classes also exist and their findings are quite interesting. Edwards and </w:t>
      </w:r>
      <w:proofErr w:type="spellStart"/>
      <w:r w:rsidRPr="002D51CD">
        <w:rPr>
          <w:rFonts w:ascii="Times New Roman" w:hAnsi="Times New Roman" w:cs="Times New Roman"/>
          <w:sz w:val="24"/>
          <w:szCs w:val="24"/>
          <w:lang w:val="en-US"/>
        </w:rPr>
        <w:t>Caglayan</w:t>
      </w:r>
      <w:proofErr w:type="spellEnd"/>
      <w:r w:rsidRPr="002D51CD">
        <w:rPr>
          <w:rFonts w:ascii="Times New Roman" w:hAnsi="Times New Roman" w:cs="Times New Roman"/>
          <w:sz w:val="24"/>
          <w:szCs w:val="24"/>
          <w:lang w:val="en-US"/>
        </w:rPr>
        <w:t xml:space="preserve"> (2001) in their research concluded that commodities generate higher returns than stocks in a bear market where risk appetite (aversion) is low (high). Gorton and </w:t>
      </w:r>
      <w:proofErr w:type="spellStart"/>
      <w:r w:rsidRPr="002D51CD">
        <w:rPr>
          <w:rFonts w:ascii="Times New Roman" w:hAnsi="Times New Roman" w:cs="Times New Roman"/>
          <w:sz w:val="24"/>
          <w:szCs w:val="24"/>
          <w:lang w:val="en-US"/>
        </w:rPr>
        <w:t>Rouwenhorst</w:t>
      </w:r>
      <w:proofErr w:type="spellEnd"/>
      <w:r w:rsidRPr="002D51CD">
        <w:rPr>
          <w:rFonts w:ascii="Times New Roman" w:hAnsi="Times New Roman" w:cs="Times New Roman"/>
          <w:sz w:val="24"/>
          <w:szCs w:val="24"/>
          <w:lang w:val="en-US"/>
        </w:rPr>
        <w:t xml:space="preserve"> (2006) concentrated on the behavior of the Goldman Sachs Commodity Index (GSCI)</w:t>
      </w:r>
      <w:r w:rsidRPr="002D51CD">
        <w:rPr>
          <w:rStyle w:val="FootnoteReference"/>
          <w:rFonts w:ascii="Times New Roman" w:hAnsi="Times New Roman" w:cs="Times New Roman"/>
          <w:sz w:val="24"/>
          <w:szCs w:val="24"/>
        </w:rPr>
        <w:footnoteReference w:id="17"/>
      </w:r>
      <w:r w:rsidRPr="002D51CD">
        <w:rPr>
          <w:rFonts w:ascii="Times New Roman" w:hAnsi="Times New Roman" w:cs="Times New Roman"/>
          <w:sz w:val="24"/>
          <w:szCs w:val="24"/>
          <w:lang w:val="en-US"/>
        </w:rPr>
        <w:t xml:space="preserve">. They studied the GSCI against equities in a risk-return tradeoff and concluded that GSCI generates an equivalent risk premium to that of equities nonetheless with a lower level of risk. Overall, when the universal financial climate is uncertain, meaning that risk aversion is high like during a crisis, commodities are more attractive to investors (Chow et al., 1999). </w:t>
      </w:r>
    </w:p>
    <w:p w:rsidR="001879CE" w:rsidRPr="002D51CD" w:rsidRDefault="001879CE" w:rsidP="001879CE">
      <w:pPr>
        <w:autoSpaceDE w:val="0"/>
        <w:autoSpaceDN w:val="0"/>
        <w:adjustRightInd w:val="0"/>
        <w:spacing w:after="0"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  </w:t>
      </w:r>
    </w:p>
    <w:p w:rsidR="001879CE" w:rsidRPr="002D51CD" w:rsidRDefault="001879CE" w:rsidP="001879CE">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2.4.3 Currencies</w:t>
      </w:r>
    </w:p>
    <w:p w:rsidR="001879CE" w:rsidRPr="002D51CD" w:rsidRDefault="001879CE" w:rsidP="001879CE">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In this category we firstly find the Swiss franc. Along with gold, it is, or at least used to be, the most widely perceived safe haven asset. At the articles and papers discussed above for gold, references also exist concerning the Swiss franc. Besides that, other currencies also have been under extensive investigation by academics and practitioners on whether they could be labeled as safe haven. That was the main goal in </w:t>
      </w:r>
      <w:proofErr w:type="spellStart"/>
      <w:r w:rsidRPr="002D51CD">
        <w:rPr>
          <w:rFonts w:ascii="Times New Roman" w:hAnsi="Times New Roman" w:cs="Times New Roman"/>
          <w:sz w:val="24"/>
          <w:szCs w:val="24"/>
          <w:lang w:val="en-US"/>
        </w:rPr>
        <w:t>Ranaldo</w:t>
      </w:r>
      <w:proofErr w:type="spellEnd"/>
      <w:r w:rsidRPr="002D51CD">
        <w:rPr>
          <w:rFonts w:ascii="Times New Roman" w:hAnsi="Times New Roman" w:cs="Times New Roman"/>
          <w:sz w:val="24"/>
          <w:szCs w:val="24"/>
          <w:lang w:val="en-US"/>
        </w:rPr>
        <w:t xml:space="preserve"> and </w:t>
      </w:r>
      <w:proofErr w:type="spellStart"/>
      <w:r w:rsidRPr="002D51CD">
        <w:rPr>
          <w:rFonts w:ascii="Times New Roman" w:hAnsi="Times New Roman" w:cs="Times New Roman"/>
          <w:sz w:val="24"/>
          <w:szCs w:val="24"/>
          <w:lang w:val="en-US"/>
        </w:rPr>
        <w:t>Söderlind’s</w:t>
      </w:r>
      <w:proofErr w:type="spellEnd"/>
      <w:r w:rsidRPr="002D51CD">
        <w:rPr>
          <w:rFonts w:ascii="Times New Roman" w:hAnsi="Times New Roman" w:cs="Times New Roman"/>
          <w:sz w:val="24"/>
          <w:szCs w:val="24"/>
          <w:lang w:val="en-US"/>
        </w:rPr>
        <w:t xml:space="preserve"> (2010) work. Two salient results </w:t>
      </w:r>
      <w:r w:rsidRPr="002D51CD">
        <w:rPr>
          <w:rFonts w:ascii="Times New Roman" w:hAnsi="Times New Roman" w:cs="Times New Roman"/>
          <w:sz w:val="24"/>
          <w:szCs w:val="24"/>
          <w:lang w:val="en-US"/>
        </w:rPr>
        <w:lastRenderedPageBreak/>
        <w:t xml:space="preserve">emerged from their work. Firstly, the Japanese Yen (¥), the Swiss Franc (CHF) and the Euro (€) have safe haven features and furthermore that the U.S dollar ($) has a positive correlation with the investors’ risk appetite. To express this in a more appropriate to our study context, that means that the three currencies (€, CHF and -¥) appreciate when risk aversion (appetite) is high (low). Nonetheless, in certain times the U.S dollar could play the role of a safe haven asset. For example, </w:t>
      </w:r>
      <w:proofErr w:type="spellStart"/>
      <w:r w:rsidRPr="002D51CD">
        <w:rPr>
          <w:rFonts w:ascii="Times New Roman" w:hAnsi="Times New Roman" w:cs="Times New Roman"/>
          <w:sz w:val="24"/>
          <w:szCs w:val="24"/>
          <w:lang w:val="en-US"/>
        </w:rPr>
        <w:t>Kaul</w:t>
      </w:r>
      <w:proofErr w:type="spellEnd"/>
      <w:r w:rsidRPr="002D51CD">
        <w:rPr>
          <w:rFonts w:ascii="Times New Roman" w:hAnsi="Times New Roman" w:cs="Times New Roman"/>
          <w:sz w:val="24"/>
          <w:szCs w:val="24"/>
          <w:lang w:val="en-US"/>
        </w:rPr>
        <w:t xml:space="preserve"> and Sapp (2006) in their paper assert that around the Y2K changeover the U.S dollar worked as a safe haven the same as in late 2008 immediately after the collapse of Lehman Brothers (McCauley and McGuire, 2009).</w:t>
      </w:r>
    </w:p>
    <w:p w:rsidR="001879CE" w:rsidRPr="002D51CD" w:rsidRDefault="001879CE" w:rsidP="001879CE">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Moreover, references exist that outline another set of currencies, namely the commodity currencies. These currencies belong to countries </w:t>
      </w:r>
      <w:r w:rsidR="00017151">
        <w:rPr>
          <w:rFonts w:ascii="Times New Roman" w:hAnsi="Times New Roman" w:cs="Times New Roman"/>
          <w:sz w:val="24"/>
          <w:szCs w:val="24"/>
          <w:lang w:val="en-US"/>
        </w:rPr>
        <w:t>whose</w:t>
      </w:r>
      <w:r w:rsidRPr="002D51CD">
        <w:rPr>
          <w:rFonts w:ascii="Times New Roman" w:hAnsi="Times New Roman" w:cs="Times New Roman"/>
          <w:sz w:val="24"/>
          <w:szCs w:val="24"/>
          <w:lang w:val="en-US"/>
        </w:rPr>
        <w:t xml:space="preserve"> economy is primarily dependent on their exports. </w:t>
      </w:r>
      <w:proofErr w:type="spellStart"/>
      <w:r w:rsidRPr="002D51CD">
        <w:rPr>
          <w:rFonts w:ascii="Times New Roman" w:hAnsi="Times New Roman" w:cs="Times New Roman"/>
          <w:sz w:val="24"/>
          <w:szCs w:val="24"/>
          <w:lang w:val="en-US"/>
        </w:rPr>
        <w:t>Cashin</w:t>
      </w:r>
      <w:proofErr w:type="spellEnd"/>
      <w:r w:rsidRPr="002D51CD">
        <w:rPr>
          <w:rFonts w:ascii="Times New Roman" w:hAnsi="Times New Roman" w:cs="Times New Roman"/>
          <w:sz w:val="24"/>
          <w:szCs w:val="24"/>
          <w:lang w:val="en-US"/>
        </w:rPr>
        <w:t xml:space="preserve"> et al. (2002) examined whether exchange rates and commodity prices are related. They used a very broad sample of data -58 countries and a period ranging from 1980 to 2002- and found that only the exchange rates of 22 countries out of the 58 exhibit a relationship with commodity prices. Australia was among those countries. Moreover, Chen and </w:t>
      </w:r>
      <w:proofErr w:type="spellStart"/>
      <w:r w:rsidRPr="002D51CD">
        <w:rPr>
          <w:rFonts w:ascii="Times New Roman" w:hAnsi="Times New Roman" w:cs="Times New Roman"/>
          <w:sz w:val="24"/>
          <w:szCs w:val="24"/>
          <w:lang w:val="en-US"/>
        </w:rPr>
        <w:t>Rogoff</w:t>
      </w:r>
      <w:proofErr w:type="spellEnd"/>
      <w:r w:rsidRPr="002D51CD">
        <w:rPr>
          <w:rFonts w:ascii="Times New Roman" w:hAnsi="Times New Roman" w:cs="Times New Roman"/>
          <w:sz w:val="24"/>
          <w:szCs w:val="24"/>
          <w:lang w:val="en-US"/>
        </w:rPr>
        <w:t xml:space="preserve"> (2003) explored the existence of </w:t>
      </w:r>
      <w:proofErr w:type="spellStart"/>
      <w:r w:rsidRPr="002D51CD">
        <w:rPr>
          <w:rFonts w:ascii="Times New Roman" w:hAnsi="Times New Roman" w:cs="Times New Roman"/>
          <w:sz w:val="24"/>
          <w:szCs w:val="24"/>
          <w:lang w:val="en-US"/>
        </w:rPr>
        <w:t>cointegration</w:t>
      </w:r>
      <w:proofErr w:type="spellEnd"/>
      <w:r w:rsidRPr="002D51CD">
        <w:rPr>
          <w:rFonts w:ascii="Times New Roman" w:hAnsi="Times New Roman" w:cs="Times New Roman"/>
          <w:sz w:val="24"/>
          <w:szCs w:val="24"/>
          <w:lang w:val="en-US"/>
        </w:rPr>
        <w:t xml:space="preserve"> between the exchange rates of Australia, Canada and New Zealand and the prices of these countries’ commodity exports. They came up with the conclusion that for Australia and New Zealand the relation holds up while for Canada the results are more mixed. </w:t>
      </w:r>
      <w:proofErr w:type="spellStart"/>
      <w:r w:rsidRPr="002D51CD">
        <w:rPr>
          <w:rFonts w:ascii="Times New Roman" w:hAnsi="Times New Roman" w:cs="Times New Roman"/>
          <w:sz w:val="24"/>
          <w:szCs w:val="24"/>
          <w:lang w:val="en-US"/>
        </w:rPr>
        <w:t>Sanidas</w:t>
      </w:r>
      <w:proofErr w:type="spellEnd"/>
      <w:r w:rsidRPr="002D51CD">
        <w:rPr>
          <w:rFonts w:ascii="Times New Roman" w:hAnsi="Times New Roman" w:cs="Times New Roman"/>
          <w:sz w:val="24"/>
          <w:szCs w:val="24"/>
          <w:lang w:val="en-US"/>
        </w:rPr>
        <w:t xml:space="preserve"> (2005) also provided empirical evidence that contends the fact that the Australian dollar can be considered as a commodity currency. Financial media also report evidence for these commodities currencies. According to S. </w:t>
      </w:r>
      <w:proofErr w:type="spellStart"/>
      <w:r w:rsidRPr="002D51CD">
        <w:rPr>
          <w:rFonts w:ascii="Times New Roman" w:hAnsi="Times New Roman" w:cs="Times New Roman"/>
          <w:sz w:val="24"/>
          <w:szCs w:val="24"/>
          <w:lang w:val="en-US"/>
        </w:rPr>
        <w:t>Foxman</w:t>
      </w:r>
      <w:proofErr w:type="spellEnd"/>
      <w:r w:rsidRPr="002D51CD">
        <w:rPr>
          <w:rFonts w:ascii="Times New Roman" w:hAnsi="Times New Roman" w:cs="Times New Roman"/>
          <w:sz w:val="24"/>
          <w:szCs w:val="24"/>
          <w:lang w:val="en-US"/>
        </w:rPr>
        <w:t xml:space="preserve"> (2011)</w:t>
      </w:r>
      <w:r w:rsidRPr="002D51CD">
        <w:rPr>
          <w:rStyle w:val="FootnoteReference"/>
          <w:rFonts w:ascii="Times New Roman" w:hAnsi="Times New Roman" w:cs="Times New Roman"/>
          <w:sz w:val="24"/>
          <w:szCs w:val="24"/>
        </w:rPr>
        <w:footnoteReference w:id="18"/>
      </w:r>
      <w:r w:rsidRPr="002D51CD">
        <w:rPr>
          <w:rFonts w:ascii="Times New Roman" w:hAnsi="Times New Roman" w:cs="Times New Roman"/>
          <w:sz w:val="24"/>
          <w:szCs w:val="24"/>
          <w:lang w:val="en-US"/>
        </w:rPr>
        <w:t xml:space="preserve"> the dollar of Australia, Canada and New Zealand are commodity currencies and in fact can play the role of the “next” safe haven assets. </w:t>
      </w:r>
    </w:p>
    <w:p w:rsidR="001879CE" w:rsidRPr="002D51CD" w:rsidRDefault="001879CE" w:rsidP="001879CE">
      <w:pPr>
        <w:spacing w:line="360" w:lineRule="auto"/>
        <w:jc w:val="both"/>
        <w:rPr>
          <w:rFonts w:ascii="Times New Roman" w:hAnsi="Times New Roman" w:cs="Times New Roman"/>
          <w:b/>
          <w:sz w:val="24"/>
          <w:szCs w:val="24"/>
          <w:lang w:val="en-US"/>
        </w:rPr>
      </w:pPr>
      <w:bookmarkStart w:id="4" w:name="_GoBack"/>
      <w:bookmarkEnd w:id="4"/>
      <w:r w:rsidRPr="002D51CD">
        <w:rPr>
          <w:rFonts w:ascii="Times New Roman" w:hAnsi="Times New Roman" w:cs="Times New Roman"/>
          <w:b/>
          <w:sz w:val="24"/>
          <w:szCs w:val="24"/>
          <w:lang w:val="en-US"/>
        </w:rPr>
        <w:t>2.4.4 Bonds</w:t>
      </w:r>
    </w:p>
    <w:p w:rsidR="001879CE" w:rsidRPr="002D51CD" w:rsidRDefault="001879CE" w:rsidP="001879CE">
      <w:pPr>
        <w:autoSpaceDE w:val="0"/>
        <w:autoSpaceDN w:val="0"/>
        <w:adjustRightInd w:val="0"/>
        <w:spacing w:after="0"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Bonds are, like stocks, elementary securities in financial markets. Despite that, literature that attempts to connect sentiment and fluctuations in bond prices is scarce. The majority of it focuses on government bonds. U.S Treasury bills (T-bills) and government bonds used to be considered as risk-free assets by investors and academia as well. Both assets deservedly won the prior characterization because they satisfy the major property of safe haven assets; that of high liquidity. This is consistent to what J. </w:t>
      </w:r>
      <w:proofErr w:type="spellStart"/>
      <w:r w:rsidRPr="002D51CD">
        <w:rPr>
          <w:rFonts w:ascii="Times New Roman" w:hAnsi="Times New Roman" w:cs="Times New Roman"/>
          <w:sz w:val="24"/>
          <w:szCs w:val="24"/>
          <w:lang w:val="en-US"/>
        </w:rPr>
        <w:t>Webman</w:t>
      </w:r>
      <w:proofErr w:type="spellEnd"/>
      <w:r w:rsidRPr="002D51CD">
        <w:rPr>
          <w:rFonts w:ascii="Times New Roman" w:hAnsi="Times New Roman" w:cs="Times New Roman"/>
          <w:sz w:val="24"/>
          <w:szCs w:val="24"/>
          <w:lang w:val="en-US"/>
        </w:rPr>
        <w:t>, the chief economist at Oppenheimer Fund, said in Forbes magazine</w:t>
      </w:r>
      <w:r w:rsidRPr="002D51CD">
        <w:rPr>
          <w:rStyle w:val="FootnoteReference"/>
          <w:rFonts w:ascii="Times New Roman" w:hAnsi="Times New Roman" w:cs="Times New Roman"/>
          <w:sz w:val="24"/>
          <w:szCs w:val="24"/>
        </w:rPr>
        <w:footnoteReference w:id="19"/>
      </w:r>
      <w:r w:rsidRPr="002D51CD">
        <w:rPr>
          <w:rFonts w:ascii="Times New Roman" w:hAnsi="Times New Roman" w:cs="Times New Roman"/>
          <w:sz w:val="24"/>
          <w:szCs w:val="24"/>
          <w:lang w:val="en-US"/>
        </w:rPr>
        <w:t>. On top of that Bloomberg in its article, on the 15</w:t>
      </w:r>
      <w:r w:rsidRPr="002D51CD">
        <w:rPr>
          <w:rFonts w:ascii="Times New Roman" w:hAnsi="Times New Roman" w:cs="Times New Roman"/>
          <w:sz w:val="24"/>
          <w:szCs w:val="24"/>
          <w:vertAlign w:val="superscript"/>
          <w:lang w:val="en-US"/>
        </w:rPr>
        <w:t>th</w:t>
      </w:r>
      <w:r w:rsidRPr="002D51CD">
        <w:rPr>
          <w:rFonts w:ascii="Times New Roman" w:hAnsi="Times New Roman" w:cs="Times New Roman"/>
          <w:sz w:val="24"/>
          <w:szCs w:val="24"/>
          <w:lang w:val="en-US"/>
        </w:rPr>
        <w:t xml:space="preserve"> of September 2011 </w:t>
      </w:r>
      <w:r w:rsidRPr="002D51CD">
        <w:rPr>
          <w:rFonts w:ascii="Times New Roman" w:hAnsi="Times New Roman" w:cs="Times New Roman"/>
          <w:sz w:val="24"/>
          <w:szCs w:val="24"/>
          <w:lang w:val="en-US"/>
        </w:rPr>
        <w:lastRenderedPageBreak/>
        <w:t>under the title “</w:t>
      </w:r>
      <w:r w:rsidRPr="002D51CD">
        <w:rPr>
          <w:rFonts w:ascii="Times New Roman" w:hAnsi="Times New Roman" w:cs="Times New Roman"/>
          <w:i/>
          <w:sz w:val="24"/>
          <w:szCs w:val="24"/>
          <w:lang w:val="en-US"/>
        </w:rPr>
        <w:t>The Risks Lurking In "Safe Haven" Treasury Bonds</w:t>
      </w:r>
      <w:r w:rsidRPr="002D51CD">
        <w:rPr>
          <w:rFonts w:ascii="Times New Roman" w:hAnsi="Times New Roman" w:cs="Times New Roman"/>
          <w:sz w:val="24"/>
          <w:szCs w:val="24"/>
          <w:lang w:val="en-US"/>
        </w:rPr>
        <w:t>”, reported that many investors were buying Treasury bonds consistent along with the opinion expressed by K.A. Jones, a fixed-income strategist at </w:t>
      </w:r>
      <w:hyperlink r:id="rId13" w:tooltip="The Schwab Web site." w:history="1">
        <w:r w:rsidRPr="002D51CD">
          <w:rPr>
            <w:rFonts w:ascii="Times New Roman" w:hAnsi="Times New Roman" w:cs="Times New Roman"/>
            <w:sz w:val="24"/>
            <w:szCs w:val="24"/>
            <w:lang w:val="en-US"/>
          </w:rPr>
          <w:t>Charles Schwab</w:t>
        </w:r>
      </w:hyperlink>
      <w:r w:rsidRPr="002D51CD">
        <w:rPr>
          <w:rStyle w:val="FootnoteReference"/>
          <w:rFonts w:ascii="Times New Roman" w:hAnsi="Times New Roman" w:cs="Times New Roman"/>
          <w:sz w:val="24"/>
          <w:szCs w:val="24"/>
        </w:rPr>
        <w:footnoteReference w:id="20"/>
      </w:r>
      <w:r w:rsidRPr="002D51CD">
        <w:rPr>
          <w:rFonts w:ascii="Times New Roman" w:hAnsi="Times New Roman" w:cs="Times New Roman"/>
          <w:sz w:val="24"/>
          <w:szCs w:val="24"/>
          <w:lang w:val="en-US"/>
        </w:rPr>
        <w:t xml:space="preserve">, who said that: </w:t>
      </w:r>
      <w:r w:rsidRPr="002D51CD">
        <w:rPr>
          <w:rFonts w:ascii="Times New Roman" w:hAnsi="Times New Roman" w:cs="Times New Roman"/>
          <w:i/>
          <w:sz w:val="24"/>
          <w:szCs w:val="24"/>
          <w:lang w:val="en-US"/>
        </w:rPr>
        <w:t xml:space="preserve">“When people are worried, all roads lead to Treasuries, and that just doesn’t seem likely to change anytime soon”. </w:t>
      </w:r>
      <w:r w:rsidRPr="002D51CD">
        <w:rPr>
          <w:rFonts w:ascii="Times New Roman" w:hAnsi="Times New Roman" w:cs="Times New Roman"/>
          <w:sz w:val="24"/>
          <w:szCs w:val="24"/>
          <w:lang w:val="en-US"/>
        </w:rPr>
        <w:t>Supplementary to all the above, is the evidence provided by Upper (2000). The author in his paper concentrates on the 1998 turbulence finding evidence that investors shifted to low risk and highly liquid assets like the German ten year bonds. However, we should keep in mind that after the sovereign crisis</w:t>
      </w:r>
      <w:r w:rsidRPr="002D51CD">
        <w:rPr>
          <w:rStyle w:val="FootnoteReference"/>
          <w:rFonts w:ascii="Times New Roman" w:hAnsi="Times New Roman" w:cs="Times New Roman"/>
          <w:sz w:val="24"/>
          <w:szCs w:val="24"/>
        </w:rPr>
        <w:footnoteReference w:id="21"/>
      </w:r>
      <w:r w:rsidRPr="002D51CD">
        <w:rPr>
          <w:rFonts w:ascii="Times New Roman" w:hAnsi="Times New Roman" w:cs="Times New Roman"/>
          <w:sz w:val="24"/>
          <w:szCs w:val="24"/>
          <w:lang w:val="en-US"/>
        </w:rPr>
        <w:t xml:space="preserve"> this started to be questionable. Rating agencies’ downgrades along with the speculators’ “attacks” resulted in an increase at the spreads of government bonds. </w:t>
      </w:r>
    </w:p>
    <w:p w:rsidR="001879CE" w:rsidRPr="002D51CD" w:rsidRDefault="001879CE" w:rsidP="001879CE">
      <w:pPr>
        <w:autoSpaceDE w:val="0"/>
        <w:autoSpaceDN w:val="0"/>
        <w:adjustRightInd w:val="0"/>
        <w:spacing w:after="0" w:line="360" w:lineRule="auto"/>
        <w:jc w:val="both"/>
        <w:rPr>
          <w:rFonts w:ascii="Times New Roman" w:hAnsi="Times New Roman" w:cs="Times New Roman"/>
          <w:b/>
          <w:sz w:val="24"/>
          <w:szCs w:val="24"/>
          <w:lang w:val="en-US"/>
        </w:rPr>
      </w:pPr>
      <w:r w:rsidRPr="002D51CD">
        <w:rPr>
          <w:rFonts w:ascii="Times New Roman" w:hAnsi="Times New Roman" w:cs="Times New Roman"/>
          <w:sz w:val="24"/>
          <w:szCs w:val="24"/>
          <w:lang w:val="en-US"/>
        </w:rPr>
        <w:t xml:space="preserve">                                </w:t>
      </w:r>
      <w:r w:rsidRPr="002D51CD">
        <w:rPr>
          <w:rFonts w:ascii="Times New Roman" w:hAnsi="Times New Roman" w:cs="Times New Roman"/>
          <w:b/>
          <w:sz w:val="24"/>
          <w:szCs w:val="24"/>
          <w:lang w:val="en-US"/>
        </w:rPr>
        <w:t xml:space="preserve"> </w:t>
      </w:r>
    </w:p>
    <w:p w:rsidR="001879CE" w:rsidRPr="002D51CD" w:rsidRDefault="001879CE" w:rsidP="001879CE">
      <w:pPr>
        <w:autoSpaceDE w:val="0"/>
        <w:autoSpaceDN w:val="0"/>
        <w:adjustRightInd w:val="0"/>
        <w:spacing w:after="0"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As far as corporate bonds are concerned, little evidence is available. A lot of papers exist that study the relationship between bonds and stocks</w:t>
      </w:r>
      <w:r w:rsidRPr="002D51CD">
        <w:rPr>
          <w:rStyle w:val="FootnoteReference"/>
          <w:rFonts w:ascii="Times New Roman" w:hAnsi="Times New Roman" w:cs="Times New Roman"/>
          <w:sz w:val="24"/>
          <w:szCs w:val="24"/>
        </w:rPr>
        <w:footnoteReference w:id="22"/>
      </w:r>
      <w:r w:rsidRPr="002D51CD">
        <w:rPr>
          <w:rFonts w:ascii="Times New Roman" w:hAnsi="Times New Roman" w:cs="Times New Roman"/>
          <w:sz w:val="24"/>
          <w:szCs w:val="24"/>
          <w:lang w:val="en-US"/>
        </w:rPr>
        <w:t xml:space="preserve"> but very few that relate sentiment with corporate bonds. One of these is the study by </w:t>
      </w:r>
      <w:proofErr w:type="spellStart"/>
      <w:r w:rsidRPr="002D51CD">
        <w:rPr>
          <w:rFonts w:ascii="Times New Roman" w:hAnsi="Times New Roman" w:cs="Times New Roman"/>
          <w:sz w:val="24"/>
          <w:szCs w:val="24"/>
          <w:lang w:val="en-US"/>
        </w:rPr>
        <w:t>Nayak</w:t>
      </w:r>
      <w:proofErr w:type="spellEnd"/>
      <w:r w:rsidRPr="002D51CD">
        <w:rPr>
          <w:rFonts w:ascii="Times New Roman" w:hAnsi="Times New Roman" w:cs="Times New Roman"/>
          <w:sz w:val="24"/>
          <w:szCs w:val="24"/>
          <w:lang w:val="en-US"/>
        </w:rPr>
        <w:t xml:space="preserve"> (2010). The author studied the relationship between sentiment and corporate bond prices, i.e. the yield spreads and he concluded that corporate bonds are underpriced (overpriced), meaning they have high (low) yields, during periods of high (low) risk aversion. </w:t>
      </w:r>
    </w:p>
    <w:p w:rsidR="001879CE" w:rsidRPr="002D51CD" w:rsidRDefault="001879CE" w:rsidP="001879CE">
      <w:pPr>
        <w:autoSpaceDE w:val="0"/>
        <w:autoSpaceDN w:val="0"/>
        <w:adjustRightInd w:val="0"/>
        <w:spacing w:after="0" w:line="360" w:lineRule="auto"/>
        <w:jc w:val="both"/>
        <w:rPr>
          <w:rFonts w:ascii="Times New Roman" w:hAnsi="Times New Roman" w:cs="Times New Roman"/>
          <w:sz w:val="24"/>
          <w:szCs w:val="24"/>
          <w:lang w:val="en-US"/>
        </w:rPr>
      </w:pPr>
    </w:p>
    <w:p w:rsidR="001879CE" w:rsidRPr="002D51CD" w:rsidRDefault="001879CE" w:rsidP="001879CE">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2.4.5 Stocks</w:t>
      </w:r>
    </w:p>
    <w:p w:rsidR="001879CE" w:rsidRPr="002D51CD" w:rsidRDefault="001879CE" w:rsidP="001879CE">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It is often said that when market is falling, investors turn away from stocks towards safer assets while the reverse happens when the market is booming. In section 2.3.1 we presented researches by De Bondt (1993), Fisher and Statman (2000) and Brown and Cliff (2004 and 2005) which reported that extreme investor sentiment can lead to an extreme level for returns. Moreover, Swaminathan (1996), </w:t>
      </w:r>
      <w:r w:rsidRPr="002D51CD">
        <w:rPr>
          <w:rFonts w:ascii="Times New Roman" w:hAnsi="Times New Roman" w:cs="Times New Roman"/>
          <w:bCs/>
          <w:sz w:val="24"/>
          <w:szCs w:val="24"/>
          <w:lang w:val="en-US"/>
        </w:rPr>
        <w:t xml:space="preserve">Neal and Wheatley (1998) and more recently </w:t>
      </w:r>
      <w:r w:rsidRPr="002D51CD">
        <w:rPr>
          <w:rFonts w:ascii="Times New Roman" w:hAnsi="Times New Roman" w:cs="Times New Roman"/>
          <w:sz w:val="24"/>
          <w:szCs w:val="24"/>
          <w:lang w:val="en-US"/>
        </w:rPr>
        <w:t xml:space="preserve">Baker and Wurgler (2006 and 2007) also reported evidence that investor sentiment is relevant to stock returns all the time and not only for extreme market circumstances. To summarize and in terms of our study, risk appetite (aversion) and the returns of stocks will exhibit a positive (negative) correlation.  </w:t>
      </w:r>
    </w:p>
    <w:p w:rsidR="001879CE" w:rsidRPr="002D51CD" w:rsidRDefault="001879CE" w:rsidP="001879CE">
      <w:pPr>
        <w:spacing w:line="360" w:lineRule="auto"/>
        <w:ind w:right="329"/>
        <w:jc w:val="both"/>
        <w:rPr>
          <w:rFonts w:ascii="Times New Roman" w:hAnsi="Times New Roman" w:cs="Times New Roman"/>
          <w:b/>
          <w:sz w:val="24"/>
          <w:szCs w:val="24"/>
          <w:lang w:val="en-US"/>
        </w:rPr>
      </w:pPr>
    </w:p>
    <w:p w:rsidR="001879CE" w:rsidRPr="002D51CD" w:rsidRDefault="001879CE" w:rsidP="001879CE">
      <w:pPr>
        <w:spacing w:line="360" w:lineRule="auto"/>
        <w:ind w:right="329"/>
        <w:jc w:val="both"/>
        <w:rPr>
          <w:rFonts w:ascii="Times New Roman" w:hAnsi="Times New Roman" w:cs="Times New Roman"/>
          <w:b/>
          <w:sz w:val="24"/>
          <w:szCs w:val="24"/>
          <w:lang w:val="en-US"/>
        </w:rPr>
      </w:pPr>
    </w:p>
    <w:p w:rsidR="001879CE" w:rsidRPr="002D51CD" w:rsidRDefault="001879CE" w:rsidP="001879CE">
      <w:pPr>
        <w:spacing w:line="360" w:lineRule="auto"/>
        <w:ind w:right="329"/>
        <w:jc w:val="both"/>
        <w:rPr>
          <w:rFonts w:ascii="Times New Roman" w:hAnsi="Times New Roman" w:cs="Times New Roman"/>
          <w:b/>
          <w:sz w:val="24"/>
          <w:szCs w:val="24"/>
          <w:lang w:val="en-US"/>
        </w:rPr>
      </w:pPr>
    </w:p>
    <w:p w:rsidR="001879CE" w:rsidRPr="002D51CD" w:rsidRDefault="001879CE" w:rsidP="001879CE">
      <w:pPr>
        <w:spacing w:line="360" w:lineRule="auto"/>
        <w:ind w:right="329"/>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lastRenderedPageBreak/>
        <w:t>2.5 Characteristics of a “good” model</w:t>
      </w:r>
    </w:p>
    <w:p w:rsidR="001879CE" w:rsidRPr="002D51CD" w:rsidRDefault="001879CE" w:rsidP="001879CE">
      <w:pPr>
        <w:spacing w:line="360" w:lineRule="auto"/>
        <w:ind w:right="329"/>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In the previous sections we have witnessed the existence of numerous models </w:t>
      </w:r>
      <w:r w:rsidR="00B67B00">
        <w:rPr>
          <w:rFonts w:ascii="Times New Roman" w:hAnsi="Times New Roman" w:cs="Times New Roman"/>
          <w:sz w:val="24"/>
          <w:szCs w:val="24"/>
          <w:lang w:val="en-US"/>
        </w:rPr>
        <w:t>which</w:t>
      </w:r>
      <w:r w:rsidRPr="002D51CD">
        <w:rPr>
          <w:rFonts w:ascii="Times New Roman" w:hAnsi="Times New Roman" w:cs="Times New Roman"/>
          <w:sz w:val="24"/>
          <w:szCs w:val="24"/>
          <w:lang w:val="en-US"/>
        </w:rPr>
        <w:t xml:space="preserve"> are trying to gauge investor sentiment in such a way that it would be useful and profitable for individual investors, private institutions and governments too. A key objective of this dissertation is to present the necessary, general characteristics that a model should incorporate for it to be considered as “good”. A valuable reminder is the categorization by Illing and Aaron (2005) </w:t>
      </w:r>
      <w:r w:rsidRPr="002D51CD">
        <w:rPr>
          <w:rFonts w:ascii="Times New Roman" w:hAnsi="Times New Roman" w:cs="Times New Roman"/>
          <w:i/>
          <w:sz w:val="24"/>
          <w:szCs w:val="24"/>
          <w:lang w:val="en-US"/>
        </w:rPr>
        <w:t>-</w:t>
      </w:r>
      <w:r w:rsidRPr="002D51CD">
        <w:rPr>
          <w:rFonts w:ascii="Times New Roman" w:hAnsi="Times New Roman" w:cs="Times New Roman"/>
          <w:i/>
          <w:iCs/>
          <w:sz w:val="24"/>
          <w:szCs w:val="24"/>
          <w:lang w:val="en-US"/>
        </w:rPr>
        <w:t xml:space="preserve">atheoretic </w:t>
      </w:r>
      <w:r w:rsidRPr="002D51CD">
        <w:rPr>
          <w:rFonts w:ascii="Times New Roman" w:hAnsi="Times New Roman" w:cs="Times New Roman"/>
          <w:sz w:val="24"/>
          <w:szCs w:val="24"/>
          <w:lang w:val="en-US"/>
        </w:rPr>
        <w:t xml:space="preserve">and the </w:t>
      </w:r>
      <w:r w:rsidRPr="002D51CD">
        <w:rPr>
          <w:rFonts w:ascii="Times New Roman" w:hAnsi="Times New Roman" w:cs="Times New Roman"/>
          <w:i/>
          <w:iCs/>
          <w:sz w:val="24"/>
          <w:szCs w:val="24"/>
          <w:lang w:val="en-US"/>
        </w:rPr>
        <w:t xml:space="preserve">theory-based- </w:t>
      </w:r>
      <w:r w:rsidRPr="002D51CD">
        <w:rPr>
          <w:rFonts w:ascii="Times New Roman" w:hAnsi="Times New Roman" w:cs="Times New Roman"/>
          <w:iCs/>
          <w:sz w:val="24"/>
          <w:szCs w:val="24"/>
          <w:lang w:val="en-US"/>
        </w:rPr>
        <w:t xml:space="preserve">due to the fact it points out that </w:t>
      </w:r>
      <w:r w:rsidRPr="002D51CD">
        <w:rPr>
          <w:rFonts w:ascii="Times New Roman" w:hAnsi="Times New Roman" w:cs="Times New Roman"/>
          <w:sz w:val="24"/>
          <w:szCs w:val="24"/>
          <w:lang w:val="en-US"/>
        </w:rPr>
        <w:t xml:space="preserve">we have to look for these characteristics that should apply to both practitioners and academics. Indeed, </w:t>
      </w:r>
      <w:r w:rsidRPr="002D51CD">
        <w:rPr>
          <w:rFonts w:ascii="Times New Roman" w:hAnsi="Times New Roman" w:cs="Times New Roman"/>
          <w:iCs/>
          <w:sz w:val="24"/>
          <w:szCs w:val="24"/>
          <w:lang w:val="en-US"/>
        </w:rPr>
        <w:t xml:space="preserve">the goals of an academic and those of a practitioner are not </w:t>
      </w:r>
      <w:proofErr w:type="spellStart"/>
      <w:r w:rsidRPr="002D51CD">
        <w:rPr>
          <w:rFonts w:ascii="Times New Roman" w:hAnsi="Times New Roman" w:cs="Times New Roman"/>
          <w:iCs/>
          <w:sz w:val="24"/>
          <w:szCs w:val="24"/>
          <w:lang w:val="en-US"/>
        </w:rPr>
        <w:t>pari</w:t>
      </w:r>
      <w:proofErr w:type="spellEnd"/>
      <w:r w:rsidRPr="002D51CD">
        <w:rPr>
          <w:rFonts w:ascii="Times New Roman" w:hAnsi="Times New Roman" w:cs="Times New Roman"/>
          <w:iCs/>
          <w:sz w:val="24"/>
          <w:szCs w:val="24"/>
          <w:lang w:val="en-US"/>
        </w:rPr>
        <w:t xml:space="preserve"> </w:t>
      </w:r>
      <w:proofErr w:type="spellStart"/>
      <w:r w:rsidRPr="002D51CD">
        <w:rPr>
          <w:rFonts w:ascii="Times New Roman" w:hAnsi="Times New Roman" w:cs="Times New Roman"/>
          <w:iCs/>
          <w:sz w:val="24"/>
          <w:szCs w:val="24"/>
          <w:lang w:val="en-US"/>
        </w:rPr>
        <w:t>passu</w:t>
      </w:r>
      <w:proofErr w:type="spellEnd"/>
      <w:r w:rsidRPr="002D51CD">
        <w:rPr>
          <w:rFonts w:ascii="Times New Roman" w:hAnsi="Times New Roman" w:cs="Times New Roman"/>
          <w:iCs/>
          <w:sz w:val="24"/>
          <w:szCs w:val="24"/>
          <w:lang w:val="en-US"/>
        </w:rPr>
        <w:t>. The main aim of an academic is to publish his paper hence he needs a significant result, with the latter being a potential source of bias. The reason is quite intuitive. They have to try many things in order to establish successful and significant results but the ones that did not work, in most cases, are neglected resulting to less insight on behalf of the reader. On the other hand, a practitioner needs to achieve a “real time” positive performance thus he has to ground his model on something that basically worked in the past with this being a potential source of bias. Bearing these in mind and combined with the review presented above we can identify the following general characteristics of a “good” model.</w:t>
      </w:r>
    </w:p>
    <w:p w:rsidR="001879CE" w:rsidRPr="002D51CD" w:rsidRDefault="001879CE" w:rsidP="001879CE">
      <w:pPr>
        <w:spacing w:line="360" w:lineRule="auto"/>
        <w:ind w:right="329"/>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 xml:space="preserve">2.5.1 Impact </w:t>
      </w:r>
    </w:p>
    <w:p w:rsidR="001879CE" w:rsidRPr="002D51CD" w:rsidRDefault="001879CE" w:rsidP="001879CE">
      <w:pPr>
        <w:spacing w:line="360" w:lineRule="auto"/>
        <w:ind w:right="329"/>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To begin with, perhaps the most substantial characteristic that a model must possess for it to be considered “good” is its impact. The word impact, in general, can be interpreted in many ways. Here we mean that a model should be recognized by academia or the practitioners as something “innovative” that will stimulate further research on the subject that it deals with. The models proposed by Kumar and Persaud (2002) and by Baker and Wurgler (2006) are two indicative examples. Kumar and Persaud (2002) presented the GRAI that was later adopted by the IMF and J.P Morgan to construct their own sentiment indices. Additionally, the RAI presented by Misina (2003, 2006) was also based on the GRAI. The paper by Baker and Wurgler (2006) was based on the combination of various market variables and up to date is considered a seminal paper on how to gauge investor sentiment.</w:t>
      </w:r>
    </w:p>
    <w:p w:rsidR="001879CE" w:rsidRPr="002D51CD" w:rsidRDefault="001879CE" w:rsidP="001879CE">
      <w:pPr>
        <w:spacing w:line="360" w:lineRule="auto"/>
        <w:ind w:right="329"/>
        <w:jc w:val="both"/>
        <w:rPr>
          <w:rFonts w:ascii="Times New Roman" w:hAnsi="Times New Roman" w:cs="Times New Roman"/>
          <w:b/>
          <w:sz w:val="24"/>
          <w:szCs w:val="24"/>
          <w:lang w:val="en-US"/>
        </w:rPr>
      </w:pPr>
    </w:p>
    <w:p w:rsidR="001879CE" w:rsidRPr="002D51CD" w:rsidRDefault="001879CE" w:rsidP="001879CE">
      <w:pPr>
        <w:spacing w:line="360" w:lineRule="auto"/>
        <w:ind w:right="329"/>
        <w:jc w:val="both"/>
        <w:rPr>
          <w:rFonts w:ascii="Times New Roman" w:hAnsi="Times New Roman" w:cs="Times New Roman"/>
          <w:b/>
          <w:sz w:val="24"/>
          <w:szCs w:val="24"/>
          <w:lang w:val="en-US"/>
        </w:rPr>
      </w:pPr>
    </w:p>
    <w:p w:rsidR="00287E64" w:rsidRDefault="00287E64" w:rsidP="001879CE">
      <w:pPr>
        <w:spacing w:line="360" w:lineRule="auto"/>
        <w:ind w:right="329"/>
        <w:jc w:val="both"/>
        <w:rPr>
          <w:rFonts w:ascii="Times New Roman" w:hAnsi="Times New Roman" w:cs="Times New Roman"/>
          <w:b/>
          <w:sz w:val="24"/>
          <w:szCs w:val="24"/>
          <w:lang w:val="en-US"/>
        </w:rPr>
      </w:pPr>
    </w:p>
    <w:p w:rsidR="001879CE" w:rsidRPr="002D51CD" w:rsidRDefault="001879CE" w:rsidP="001879CE">
      <w:pPr>
        <w:spacing w:line="360" w:lineRule="auto"/>
        <w:ind w:right="329"/>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lastRenderedPageBreak/>
        <w:t xml:space="preserve">2.5.2 Persistency </w:t>
      </w:r>
    </w:p>
    <w:p w:rsidR="001879CE" w:rsidRPr="002D51CD" w:rsidRDefault="001879CE" w:rsidP="001879CE">
      <w:pPr>
        <w:spacing w:line="360" w:lineRule="auto"/>
        <w:ind w:right="329"/>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A second element for a “good” model is the persistency it shows. This term involves two things. First, the model has to yield persistent and solid results after a thorough analysis – for example an out-of-sample analysis. Moreover, persistency can be observed in the passage of time meaning that on the occasion of a subsequent research using different time periods the results should be persistent.</w:t>
      </w:r>
    </w:p>
    <w:p w:rsidR="001879CE" w:rsidRPr="002D51CD" w:rsidRDefault="001879CE" w:rsidP="001879CE">
      <w:pPr>
        <w:spacing w:line="360" w:lineRule="auto"/>
        <w:ind w:right="329"/>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2.5.3 Clear inputs and outputs and intuition behind them</w:t>
      </w:r>
    </w:p>
    <w:p w:rsidR="001879CE" w:rsidRPr="002D51CD" w:rsidRDefault="001879CE" w:rsidP="001879CE">
      <w:pPr>
        <w:spacing w:line="360" w:lineRule="auto"/>
        <w:ind w:right="329"/>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Over and above, a “good” model must have clear inputs and outputs. On the one side, a model has its inputs –also known as independent variables- and on the other side its outputs - often called the dependent variables- which the model will try to explain (Ouliaris, 2011). As readily understood, a model should illustrate clearly and precisely the inputs and outputs that it uses in conjunction with the proper explanation regarding the intuition behind the choice. Only then people that may lack advanced economic knowledge could be able to understand the model and take advantage of it. A classic example is, again, the paper by Baker and Wurgler (2006) in which the authors explain in detail the intuition behind the selection of the inputs they use.</w:t>
      </w:r>
    </w:p>
    <w:p w:rsidR="001879CE" w:rsidRPr="002D51CD" w:rsidRDefault="001879CE" w:rsidP="001879CE">
      <w:pPr>
        <w:spacing w:line="360" w:lineRule="auto"/>
        <w:ind w:right="329"/>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 xml:space="preserve">2.5.4 Well documented assumptions </w:t>
      </w:r>
    </w:p>
    <w:p w:rsidR="001879CE" w:rsidRPr="002D51CD" w:rsidRDefault="001879CE" w:rsidP="001879CE">
      <w:pPr>
        <w:spacing w:line="360" w:lineRule="auto"/>
        <w:ind w:right="329"/>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A final key “ingredient” for a successful model is its assumptions and </w:t>
      </w:r>
      <w:r w:rsidR="00A01468">
        <w:rPr>
          <w:rFonts w:ascii="Times New Roman" w:hAnsi="Times New Roman" w:cs="Times New Roman"/>
          <w:sz w:val="24"/>
          <w:szCs w:val="24"/>
          <w:lang w:val="en-US"/>
        </w:rPr>
        <w:t>the way</w:t>
      </w:r>
      <w:r w:rsidRPr="002D51CD">
        <w:rPr>
          <w:rFonts w:ascii="Times New Roman" w:hAnsi="Times New Roman" w:cs="Times New Roman"/>
          <w:sz w:val="24"/>
          <w:szCs w:val="24"/>
          <w:lang w:val="en-US"/>
        </w:rPr>
        <w:t xml:space="preserve"> th</w:t>
      </w:r>
      <w:r w:rsidR="00B37021">
        <w:rPr>
          <w:rFonts w:ascii="Times New Roman" w:hAnsi="Times New Roman" w:cs="Times New Roman"/>
          <w:sz w:val="24"/>
          <w:szCs w:val="24"/>
          <w:lang w:val="en-US"/>
        </w:rPr>
        <w:t>ose</w:t>
      </w:r>
      <w:r w:rsidRPr="002D51CD">
        <w:rPr>
          <w:rFonts w:ascii="Times New Roman" w:hAnsi="Times New Roman" w:cs="Times New Roman"/>
          <w:sz w:val="24"/>
          <w:szCs w:val="24"/>
          <w:lang w:val="en-US"/>
        </w:rPr>
        <w:t xml:space="preserve"> are presented. The word ‘assume’ and all its derivative words are very common among economists. A lot of them often argue that a model “… is only good as its assumptions”. As a result, a model should have transparent assumptio</w:t>
      </w:r>
      <w:r w:rsidR="00CB0AAB">
        <w:rPr>
          <w:rFonts w:ascii="Times New Roman" w:hAnsi="Times New Roman" w:cs="Times New Roman"/>
          <w:sz w:val="24"/>
          <w:szCs w:val="24"/>
          <w:lang w:val="en-US"/>
        </w:rPr>
        <w:t>ns, simple and well documented -</w:t>
      </w:r>
      <w:r w:rsidRPr="002D51CD">
        <w:rPr>
          <w:rFonts w:ascii="Times New Roman" w:hAnsi="Times New Roman" w:cs="Times New Roman"/>
          <w:sz w:val="24"/>
          <w:szCs w:val="24"/>
          <w:lang w:val="en-US"/>
        </w:rPr>
        <w:t xml:space="preserve">to the extent this is possible- so that anyone can understand them. The understanding of the assumptions and the rationale behind them is really crucial because it will provide the ability to everyone to be critical against these assumptions. Being critical against models and theories in general is really valuable and essential for their improvement and the development of new ones.   </w:t>
      </w:r>
    </w:p>
    <w:p w:rsidR="001879CE" w:rsidRDefault="001879CE" w:rsidP="00E33CB8">
      <w:pPr>
        <w:tabs>
          <w:tab w:val="left" w:pos="7938"/>
        </w:tabs>
        <w:spacing w:line="360" w:lineRule="auto"/>
        <w:rPr>
          <w:rFonts w:ascii="Times New Roman" w:hAnsi="Times New Roman" w:cs="Times New Roman"/>
          <w:sz w:val="24"/>
          <w:szCs w:val="24"/>
          <w:lang w:val="en-US"/>
        </w:rPr>
      </w:pPr>
    </w:p>
    <w:p w:rsidR="001879CE" w:rsidRDefault="001879CE" w:rsidP="00E33CB8">
      <w:pPr>
        <w:tabs>
          <w:tab w:val="left" w:pos="7938"/>
        </w:tabs>
        <w:spacing w:line="360" w:lineRule="auto"/>
        <w:rPr>
          <w:rFonts w:ascii="Times New Roman" w:hAnsi="Times New Roman" w:cs="Times New Roman"/>
          <w:sz w:val="24"/>
          <w:szCs w:val="24"/>
          <w:lang w:val="en-US"/>
        </w:rPr>
      </w:pPr>
    </w:p>
    <w:p w:rsidR="001879CE" w:rsidRDefault="001879CE" w:rsidP="00E33CB8">
      <w:pPr>
        <w:tabs>
          <w:tab w:val="left" w:pos="7938"/>
        </w:tabs>
        <w:spacing w:line="360" w:lineRule="auto"/>
        <w:rPr>
          <w:rFonts w:ascii="Times New Roman" w:hAnsi="Times New Roman" w:cs="Times New Roman"/>
          <w:sz w:val="24"/>
          <w:szCs w:val="24"/>
          <w:lang w:val="en-US"/>
        </w:rPr>
      </w:pPr>
    </w:p>
    <w:p w:rsidR="002D51CD" w:rsidRPr="002D51CD" w:rsidRDefault="002D51CD" w:rsidP="002D51CD">
      <w:pPr>
        <w:spacing w:line="360" w:lineRule="auto"/>
        <w:jc w:val="both"/>
        <w:rPr>
          <w:rFonts w:ascii="Times New Roman" w:hAnsi="Times New Roman" w:cs="Times New Roman"/>
          <w:b/>
          <w:sz w:val="28"/>
          <w:szCs w:val="28"/>
          <w:lang w:val="en-US"/>
        </w:rPr>
      </w:pPr>
      <w:r w:rsidRPr="002D51CD">
        <w:rPr>
          <w:rFonts w:ascii="Times New Roman" w:hAnsi="Times New Roman" w:cs="Times New Roman"/>
          <w:b/>
          <w:sz w:val="28"/>
          <w:szCs w:val="28"/>
          <w:lang w:val="en-US"/>
        </w:rPr>
        <w:lastRenderedPageBreak/>
        <w:t>Chapter 3</w:t>
      </w:r>
    </w:p>
    <w:p w:rsidR="002D51CD" w:rsidRPr="002D51CD" w:rsidRDefault="002D51CD" w:rsidP="002D51CD">
      <w:pPr>
        <w:spacing w:line="360" w:lineRule="auto"/>
        <w:jc w:val="both"/>
        <w:rPr>
          <w:rFonts w:ascii="Times New Roman" w:hAnsi="Times New Roman" w:cs="Times New Roman"/>
          <w:b/>
          <w:sz w:val="28"/>
          <w:szCs w:val="28"/>
          <w:lang w:val="en-US"/>
        </w:rPr>
      </w:pPr>
    </w:p>
    <w:p w:rsidR="002D51CD" w:rsidRPr="002D51CD" w:rsidRDefault="002D51CD" w:rsidP="002D51CD">
      <w:pPr>
        <w:spacing w:line="360" w:lineRule="auto"/>
        <w:jc w:val="both"/>
        <w:rPr>
          <w:rFonts w:ascii="Times New Roman" w:hAnsi="Times New Roman" w:cs="Times New Roman"/>
          <w:b/>
          <w:lang w:val="en-US"/>
        </w:rPr>
      </w:pPr>
      <w:r w:rsidRPr="002D51CD">
        <w:rPr>
          <w:rFonts w:ascii="Times New Roman" w:hAnsi="Times New Roman" w:cs="Times New Roman"/>
          <w:b/>
          <w:sz w:val="28"/>
          <w:szCs w:val="28"/>
          <w:lang w:val="en-US"/>
        </w:rPr>
        <w:t>Data and Methodology</w:t>
      </w:r>
    </w:p>
    <w:p w:rsidR="002D51CD" w:rsidRPr="002D51CD" w:rsidRDefault="002D51CD" w:rsidP="002D51CD">
      <w:pPr>
        <w:spacing w:line="240" w:lineRule="auto"/>
        <w:jc w:val="both"/>
        <w:rPr>
          <w:rFonts w:ascii="Times New Roman" w:hAnsi="Times New Roman" w:cs="Times New Roman"/>
          <w:b/>
          <w:sz w:val="24"/>
          <w:szCs w:val="24"/>
          <w:lang w:val="en-US"/>
        </w:rPr>
      </w:pPr>
    </w:p>
    <w:p w:rsidR="002D51CD" w:rsidRPr="002D51CD" w:rsidRDefault="00E23DB7" w:rsidP="002D51C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aims</w:t>
      </w:r>
      <w:r w:rsidR="002D51CD" w:rsidRPr="002D51CD">
        <w:rPr>
          <w:rFonts w:ascii="Times New Roman" w:hAnsi="Times New Roman" w:cs="Times New Roman"/>
          <w:sz w:val="24"/>
          <w:szCs w:val="24"/>
          <w:lang w:val="en-US"/>
        </w:rPr>
        <w:t xml:space="preserve"> to provide a comprehensive overview </w:t>
      </w:r>
      <w:proofErr w:type="gramStart"/>
      <w:r w:rsidR="002D51CD" w:rsidRPr="002D51CD">
        <w:rPr>
          <w:rFonts w:ascii="Times New Roman" w:hAnsi="Times New Roman" w:cs="Times New Roman"/>
          <w:sz w:val="24"/>
          <w:szCs w:val="24"/>
          <w:lang w:val="en-US"/>
        </w:rPr>
        <w:t>pertaining</w:t>
      </w:r>
      <w:proofErr w:type="gramEnd"/>
      <w:r w:rsidR="002D51CD" w:rsidRPr="002D51CD">
        <w:rPr>
          <w:rFonts w:ascii="Times New Roman" w:hAnsi="Times New Roman" w:cs="Times New Roman"/>
          <w:sz w:val="24"/>
          <w:szCs w:val="24"/>
          <w:lang w:val="en-US"/>
        </w:rPr>
        <w:t xml:space="preserve"> the dataset that was used and the methodology that was applied. The chapter is divided in two parts. Part one contains information with regard to data. The second part presents in detail the methodology that was employed to derive our results.</w:t>
      </w:r>
    </w:p>
    <w:p w:rsidR="002D51CD" w:rsidRPr="002D51CD" w:rsidRDefault="002D51CD" w:rsidP="002D51CD">
      <w:pPr>
        <w:spacing w:line="240" w:lineRule="auto"/>
        <w:jc w:val="both"/>
        <w:rPr>
          <w:lang w:val="en-US"/>
        </w:rPr>
      </w:pP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b/>
          <w:sz w:val="24"/>
          <w:szCs w:val="24"/>
          <w:lang w:val="en-US"/>
        </w:rPr>
        <w:t>3.1 Data Selection</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In this subsection, we first elaborate on the rationale behind the selection of our independent variables (indices) and dependent ones (assets). Later, we describe the dataset that was used, the period and the frequency that was preferred along with the sources that data were retrieved from.</w:t>
      </w: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3.1.1 Selection of indices and intuition</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To begin with, we will present the rationale behind the selection of the indices. As already stated clearly in chapter two, models that contend to measure investor sentiment are numerous hence we have to set some criteria based on which we will select the most appropriate ones for the purposes of the analysis. The determinants of the selection were, primarily, the characteristics of a “good” index as</w:t>
      </w:r>
      <w:r w:rsidR="004B6E79">
        <w:rPr>
          <w:rFonts w:ascii="Times New Roman" w:hAnsi="Times New Roman" w:cs="Times New Roman"/>
          <w:sz w:val="24"/>
          <w:szCs w:val="24"/>
          <w:lang w:val="en-US"/>
        </w:rPr>
        <w:t xml:space="preserve"> those were</w:t>
      </w:r>
      <w:r w:rsidRPr="002D51CD">
        <w:rPr>
          <w:rFonts w:ascii="Times New Roman" w:hAnsi="Times New Roman" w:cs="Times New Roman"/>
          <w:sz w:val="24"/>
          <w:szCs w:val="24"/>
          <w:lang w:val="en-US"/>
        </w:rPr>
        <w:t xml:space="preserve"> analyzed in section 2.5. First and foremost, we want to include indices that are considered and proven to be of paramount importance and significance for our main area of interest. Moreover, another requirement was that the indices should be clear and well understood by the majority of individuals and not only by those who possess advanced economic and financial knowledge. In this respect, the theoretical background, the components and the statistical methods based upon the indices were constructed should be explicit. Last but equally important, a constraint was the availability of the data. Data for all the existing indices were not available and for those that were, the starting and ending periods and their frequency were not matching. Taking all the above into consideration and after a thorough research in the </w:t>
      </w:r>
      <w:r w:rsidRPr="002D51CD">
        <w:rPr>
          <w:rFonts w:ascii="Times New Roman" w:hAnsi="Times New Roman" w:cs="Times New Roman"/>
          <w:sz w:val="24"/>
          <w:szCs w:val="24"/>
          <w:lang w:val="en-US"/>
        </w:rPr>
        <w:lastRenderedPageBreak/>
        <w:t>literature and all the accessible databases, we originally selected the indices</w:t>
      </w:r>
      <w:r w:rsidRPr="002D51CD">
        <w:rPr>
          <w:rStyle w:val="FootnoteReference"/>
          <w:rFonts w:ascii="Times New Roman" w:hAnsi="Times New Roman" w:cs="Times New Roman"/>
          <w:sz w:val="24"/>
          <w:szCs w:val="24"/>
        </w:rPr>
        <w:footnoteReference w:id="23"/>
      </w:r>
      <w:r w:rsidRPr="002D51CD">
        <w:rPr>
          <w:rFonts w:ascii="Times New Roman" w:hAnsi="Times New Roman" w:cs="Times New Roman"/>
          <w:sz w:val="24"/>
          <w:szCs w:val="24"/>
          <w:lang w:val="en-US"/>
        </w:rPr>
        <w:t xml:space="preserve"> juxtaposed below that fulfill, if not all, most of the criteria: </w:t>
      </w:r>
    </w:p>
    <w:p w:rsidR="002D51CD" w:rsidRPr="002D51CD" w:rsidRDefault="002D51CD" w:rsidP="002D51CD">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sidRPr="002D51CD">
        <w:rPr>
          <w:rFonts w:ascii="Times New Roman" w:hAnsi="Times New Roman" w:cs="Times New Roman"/>
          <w:b/>
          <w:i/>
          <w:sz w:val="24"/>
          <w:szCs w:val="24"/>
          <w:u w:val="single"/>
          <w:lang w:val="en-US"/>
        </w:rPr>
        <w:t>Baker and Wurgler:</w:t>
      </w:r>
      <w:r w:rsidRPr="002D51CD">
        <w:rPr>
          <w:rFonts w:ascii="Times New Roman" w:hAnsi="Times New Roman" w:cs="Times New Roman"/>
          <w:sz w:val="24"/>
          <w:szCs w:val="24"/>
          <w:lang w:val="en-US"/>
        </w:rPr>
        <w:t xml:space="preserve"> We already discuss –in section 2.3.1- the main features of their study whose impact is really substantial. The sentiment index is measuring risk appetite thus the index has a positive correlation with it.</w:t>
      </w:r>
    </w:p>
    <w:p w:rsidR="002D51CD" w:rsidRPr="002D51CD" w:rsidRDefault="002D51CD" w:rsidP="002D51CD">
      <w:pPr>
        <w:pStyle w:val="ListParagraph"/>
        <w:spacing w:line="360" w:lineRule="auto"/>
        <w:ind w:left="0" w:right="-2"/>
        <w:jc w:val="both"/>
        <w:rPr>
          <w:rFonts w:ascii="Times New Roman" w:hAnsi="Times New Roman" w:cs="Times New Roman"/>
          <w:b/>
          <w:i/>
          <w:sz w:val="24"/>
          <w:szCs w:val="24"/>
          <w:u w:val="single"/>
          <w:lang w:val="en-US"/>
        </w:rPr>
      </w:pPr>
    </w:p>
    <w:p w:rsidR="002D51CD" w:rsidRPr="002D51CD" w:rsidRDefault="002D51CD" w:rsidP="002D51CD">
      <w:pPr>
        <w:pStyle w:val="ListParagraph"/>
        <w:autoSpaceDE w:val="0"/>
        <w:autoSpaceDN w:val="0"/>
        <w:adjustRightInd w:val="0"/>
        <w:spacing w:after="0" w:line="360" w:lineRule="auto"/>
        <w:ind w:left="0" w:right="-2"/>
        <w:jc w:val="both"/>
        <w:rPr>
          <w:rFonts w:ascii="Times New Roman" w:hAnsi="Times New Roman" w:cs="Times New Roman"/>
          <w:sz w:val="24"/>
          <w:szCs w:val="24"/>
          <w:lang w:val="en-US"/>
        </w:rPr>
      </w:pPr>
      <w:r w:rsidRPr="002D51CD">
        <w:rPr>
          <w:rFonts w:ascii="Times New Roman" w:hAnsi="Times New Roman" w:cs="Times New Roman"/>
          <w:b/>
          <w:i/>
          <w:sz w:val="24"/>
          <w:szCs w:val="24"/>
          <w:u w:val="single"/>
          <w:lang w:val="en-US"/>
        </w:rPr>
        <w:t>University of Michigan Consumer Confidence Sentiment:</w:t>
      </w:r>
      <w:r w:rsidRPr="002D51CD">
        <w:rPr>
          <w:rFonts w:ascii="Times New Roman" w:hAnsi="Times New Roman" w:cs="Times New Roman"/>
          <w:sz w:val="24"/>
          <w:szCs w:val="24"/>
          <w:lang w:val="en-US"/>
        </w:rPr>
        <w:t xml:space="preserve"> This is a monthly survey which indicates consumers’ beliefs concerning perceived changes overall in the economic environment. The results are reported at the end of each month and practically cover the previous one. The survey consists of a representative sample for all U.S households of at least 500 respondents that are interviewed by telephone (Fisher and Statman, 2003). The higher its level the more optimistic are people regarding their current financial position. Since people are more optimistic, they are more prone to bear additional risk hence the level of this index has a positive correlation with risk appetite. </w:t>
      </w:r>
    </w:p>
    <w:p w:rsidR="002D51CD" w:rsidRPr="002D51CD" w:rsidRDefault="002D51CD" w:rsidP="002D51CD">
      <w:pPr>
        <w:pStyle w:val="ListParagraph"/>
        <w:spacing w:line="360" w:lineRule="auto"/>
        <w:rPr>
          <w:rFonts w:ascii="Times New Roman" w:hAnsi="Times New Roman" w:cs="Times New Roman"/>
          <w:sz w:val="24"/>
          <w:szCs w:val="24"/>
          <w:lang w:val="en-US"/>
        </w:rPr>
      </w:pPr>
    </w:p>
    <w:p w:rsidR="002D51CD" w:rsidRPr="002D51CD" w:rsidRDefault="002D51CD" w:rsidP="002D51CD">
      <w:pPr>
        <w:pStyle w:val="ListParagraph"/>
        <w:spacing w:line="360" w:lineRule="auto"/>
        <w:ind w:left="0" w:right="-2"/>
        <w:jc w:val="both"/>
        <w:rPr>
          <w:rFonts w:ascii="Times New Roman" w:hAnsi="Times New Roman" w:cs="Times New Roman"/>
          <w:sz w:val="24"/>
          <w:szCs w:val="24"/>
          <w:lang w:val="en-US"/>
        </w:rPr>
      </w:pPr>
      <w:r w:rsidRPr="002D51CD">
        <w:rPr>
          <w:rFonts w:ascii="Times New Roman" w:hAnsi="Times New Roman" w:cs="Times New Roman"/>
          <w:b/>
          <w:i/>
          <w:sz w:val="24"/>
          <w:szCs w:val="24"/>
          <w:u w:val="single"/>
          <w:lang w:val="en-US"/>
        </w:rPr>
        <w:t>State Street Investor Confidence Index:</w:t>
      </w:r>
      <w:r w:rsidRPr="002D51CD">
        <w:rPr>
          <w:rFonts w:ascii="Times New Roman" w:hAnsi="Times New Roman" w:cs="Times New Roman"/>
          <w:sz w:val="24"/>
          <w:szCs w:val="24"/>
          <w:lang w:val="en-US"/>
        </w:rPr>
        <w:t xml:space="preserve"> Froot and O’Connell (2003) constructed this model based on the GRAI methodology (described in chapter 2) concentrating on quantities rather than on prices. The main conclusion we need to focus our attention on is the fact that the index displays a positive correlation with risk appetite.</w:t>
      </w:r>
    </w:p>
    <w:p w:rsidR="002D51CD" w:rsidRPr="002D51CD" w:rsidRDefault="002D51CD" w:rsidP="002D51CD">
      <w:pPr>
        <w:pStyle w:val="ListParagraph"/>
        <w:spacing w:line="360" w:lineRule="auto"/>
        <w:ind w:left="0" w:right="-2"/>
        <w:jc w:val="both"/>
        <w:rPr>
          <w:rFonts w:ascii="Times New Roman" w:hAnsi="Times New Roman" w:cs="Times New Roman"/>
          <w:b/>
          <w:i/>
          <w:sz w:val="24"/>
          <w:szCs w:val="24"/>
          <w:u w:val="single"/>
          <w:lang w:val="en-US"/>
        </w:rPr>
      </w:pPr>
    </w:p>
    <w:p w:rsidR="002D51CD" w:rsidRPr="002D51CD" w:rsidRDefault="002D51CD" w:rsidP="002D51CD">
      <w:pPr>
        <w:pStyle w:val="ListParagraph"/>
        <w:spacing w:line="360" w:lineRule="auto"/>
        <w:ind w:left="0" w:right="-2"/>
        <w:jc w:val="both"/>
        <w:rPr>
          <w:rFonts w:ascii="Times New Roman" w:hAnsi="Times New Roman" w:cs="Times New Roman"/>
          <w:b/>
          <w:sz w:val="24"/>
          <w:szCs w:val="24"/>
          <w:u w:val="single"/>
          <w:lang w:val="en-US"/>
        </w:rPr>
      </w:pPr>
      <w:r w:rsidRPr="002D51CD">
        <w:rPr>
          <w:rFonts w:ascii="Times New Roman" w:hAnsi="Times New Roman" w:cs="Times New Roman"/>
          <w:b/>
          <w:i/>
          <w:sz w:val="24"/>
          <w:szCs w:val="24"/>
          <w:u w:val="single"/>
          <w:lang w:val="en-US"/>
        </w:rPr>
        <w:t>Merrill Lynch’s Risk Aversion Indicator:</w:t>
      </w:r>
      <w:r w:rsidRPr="002D51CD">
        <w:rPr>
          <w:rFonts w:ascii="Times New Roman" w:hAnsi="Times New Roman" w:cs="Times New Roman"/>
          <w:b/>
          <w:sz w:val="24"/>
          <w:szCs w:val="24"/>
          <w:lang w:val="en-US"/>
        </w:rPr>
        <w:t xml:space="preserve"> </w:t>
      </w:r>
      <w:r w:rsidRPr="002D51CD">
        <w:rPr>
          <w:rFonts w:ascii="Times New Roman" w:hAnsi="Times New Roman" w:cs="Times New Roman"/>
          <w:sz w:val="24"/>
          <w:szCs w:val="24"/>
          <w:lang w:val="en-US"/>
        </w:rPr>
        <w:t>This index was developed by Merrill Lynch bank and it is available on a monthly frequency from 1992. It is a summary measure composed by risk premiums and volatilities of bonds, stocks and foreign exchange markets (</w:t>
      </w:r>
      <w:proofErr w:type="spellStart"/>
      <w:r w:rsidRPr="002D51CD">
        <w:rPr>
          <w:rFonts w:ascii="Times New Roman" w:hAnsi="Times New Roman" w:cs="Times New Roman"/>
          <w:sz w:val="24"/>
          <w:szCs w:val="24"/>
          <w:lang w:val="en-US"/>
        </w:rPr>
        <w:t>Habib</w:t>
      </w:r>
      <w:proofErr w:type="spellEnd"/>
      <w:r w:rsidRPr="002D51CD">
        <w:rPr>
          <w:rFonts w:ascii="Times New Roman" w:hAnsi="Times New Roman" w:cs="Times New Roman"/>
          <w:sz w:val="24"/>
          <w:szCs w:val="24"/>
          <w:lang w:val="en-US"/>
        </w:rPr>
        <w:t xml:space="preserve"> and </w:t>
      </w:r>
      <w:proofErr w:type="spellStart"/>
      <w:r w:rsidRPr="002D51CD">
        <w:rPr>
          <w:rFonts w:ascii="Times New Roman" w:hAnsi="Times New Roman" w:cs="Times New Roman"/>
          <w:sz w:val="24"/>
          <w:szCs w:val="24"/>
          <w:lang w:val="en-US"/>
        </w:rPr>
        <w:t>Stracca</w:t>
      </w:r>
      <w:proofErr w:type="spellEnd"/>
      <w:r w:rsidRPr="002D51CD">
        <w:rPr>
          <w:rFonts w:ascii="Times New Roman" w:hAnsi="Times New Roman" w:cs="Times New Roman"/>
          <w:sz w:val="24"/>
          <w:szCs w:val="24"/>
          <w:lang w:val="en-US"/>
        </w:rPr>
        <w:t xml:space="preserve">, 2012). As its name suggests, the index displays a positive correlation with risk aversion. </w:t>
      </w:r>
    </w:p>
    <w:p w:rsidR="002D51CD" w:rsidRPr="002D51CD" w:rsidRDefault="002D51CD" w:rsidP="002D51CD">
      <w:pPr>
        <w:pStyle w:val="ListParagraph"/>
        <w:spacing w:line="360" w:lineRule="auto"/>
        <w:ind w:left="0"/>
        <w:jc w:val="both"/>
        <w:rPr>
          <w:rFonts w:ascii="Times New Roman" w:hAnsi="Times New Roman" w:cs="Times New Roman"/>
          <w:b/>
          <w:sz w:val="24"/>
          <w:szCs w:val="24"/>
          <w:u w:val="single"/>
          <w:lang w:val="en-US"/>
        </w:rPr>
      </w:pPr>
    </w:p>
    <w:p w:rsidR="002D51CD" w:rsidRPr="002D51CD" w:rsidRDefault="002D51CD" w:rsidP="002D51CD">
      <w:pPr>
        <w:pStyle w:val="Default"/>
        <w:spacing w:after="153" w:line="360" w:lineRule="auto"/>
        <w:jc w:val="both"/>
        <w:rPr>
          <w:rFonts w:ascii="Times New Roman" w:hAnsi="Times New Roman" w:cs="Times New Roman"/>
          <w:color w:val="auto"/>
        </w:rPr>
      </w:pPr>
      <w:r w:rsidRPr="002D51CD">
        <w:rPr>
          <w:rFonts w:ascii="Times New Roman" w:hAnsi="Times New Roman" w:cs="Times New Roman"/>
          <w:b/>
          <w:i/>
          <w:color w:val="auto"/>
          <w:u w:val="single"/>
        </w:rPr>
        <w:t>Global Risk Appetite Monitor + (Short Run):</w:t>
      </w:r>
      <w:r w:rsidRPr="002D51CD">
        <w:rPr>
          <w:rFonts w:ascii="Times New Roman" w:hAnsi="Times New Roman" w:cs="Times New Roman"/>
          <w:b/>
          <w:color w:val="auto"/>
        </w:rPr>
        <w:t xml:space="preserve"> </w:t>
      </w:r>
      <w:r w:rsidRPr="002D51CD">
        <w:rPr>
          <w:rFonts w:ascii="Times New Roman" w:hAnsi="Times New Roman" w:cs="Times New Roman"/>
          <w:color w:val="auto"/>
        </w:rPr>
        <w:t>It is an index constructed and used by Nomura Group, a leading company in the financial services sector. The company uses a variety of components (see Table 1 in Appendix A) to capture a broad variation of risk categories –for example credit, liquidity and default risk- and not only a single one  (Nomura, 2009). The final level of the index is bounded between zero and one. Values from 0 to 1/3 indicate risk aversion, between 1/3 and 2/3 risk neutrality and values from 2/3 and above risk seeking.</w:t>
      </w:r>
    </w:p>
    <w:p w:rsidR="002D51CD" w:rsidRPr="002D51CD" w:rsidRDefault="002D51CD" w:rsidP="002D51CD">
      <w:pPr>
        <w:pStyle w:val="ListParagraph"/>
        <w:spacing w:line="360" w:lineRule="auto"/>
        <w:ind w:left="0" w:right="-2"/>
        <w:jc w:val="both"/>
        <w:rPr>
          <w:rFonts w:ascii="Times New Roman" w:hAnsi="Times New Roman" w:cs="Times New Roman"/>
          <w:sz w:val="24"/>
          <w:szCs w:val="24"/>
          <w:lang w:val="en-US"/>
        </w:rPr>
      </w:pPr>
      <w:r w:rsidRPr="002D51CD">
        <w:rPr>
          <w:rFonts w:ascii="Times New Roman" w:hAnsi="Times New Roman" w:cs="Times New Roman"/>
          <w:b/>
          <w:i/>
          <w:sz w:val="24"/>
          <w:szCs w:val="24"/>
          <w:u w:val="single"/>
          <w:lang w:val="en-US"/>
        </w:rPr>
        <w:lastRenderedPageBreak/>
        <w:t>Put-Call Ratio:</w:t>
      </w:r>
      <w:r w:rsidRPr="002D51CD">
        <w:rPr>
          <w:rFonts w:ascii="Times New Roman" w:hAnsi="Times New Roman" w:cs="Times New Roman"/>
          <w:sz w:val="24"/>
          <w:szCs w:val="24"/>
          <w:lang w:val="en-US"/>
        </w:rPr>
        <w:t xml:space="preserve"> The main characteristics of PCR were examined in section 2.3.1. Indicatively, a ratio equal to 0.8 signifies normal market conditions while a ratio below (above) this threshold signifies a strong (weak) market. However in practice, the ratio is being used as a contrarian indicator. In this respect, when the ratio is high investors believe that the probability that the bearishness in the market will turn around is high</w:t>
      </w:r>
      <w:r w:rsidR="00AF45E6">
        <w:rPr>
          <w:rStyle w:val="FootnoteReference"/>
          <w:rFonts w:ascii="Times New Roman" w:hAnsi="Times New Roman" w:cs="Times New Roman"/>
          <w:sz w:val="24"/>
          <w:szCs w:val="24"/>
          <w:lang w:val="en-US"/>
        </w:rPr>
        <w:footnoteReference w:id="24"/>
      </w:r>
      <w:r w:rsidRPr="002D51CD">
        <w:rPr>
          <w:rFonts w:ascii="Times New Roman" w:hAnsi="Times New Roman" w:cs="Times New Roman"/>
          <w:sz w:val="24"/>
          <w:szCs w:val="24"/>
          <w:lang w:val="en-US"/>
        </w:rPr>
        <w:t>. So, when the ratio exhibits high values the risk appetite is increasing.</w:t>
      </w:r>
    </w:p>
    <w:p w:rsidR="002D51CD" w:rsidRPr="002D51CD" w:rsidRDefault="002D51CD" w:rsidP="002D51CD">
      <w:pPr>
        <w:pStyle w:val="ListParagraph"/>
        <w:spacing w:line="360" w:lineRule="auto"/>
        <w:ind w:left="0" w:right="-2"/>
        <w:jc w:val="both"/>
        <w:rPr>
          <w:rFonts w:ascii="Times New Roman" w:hAnsi="Times New Roman" w:cs="Times New Roman"/>
          <w:b/>
          <w:i/>
          <w:sz w:val="24"/>
          <w:szCs w:val="24"/>
          <w:u w:val="single"/>
          <w:lang w:val="en-US"/>
        </w:rPr>
      </w:pPr>
    </w:p>
    <w:p w:rsidR="002D51CD" w:rsidRPr="002D51CD" w:rsidRDefault="002D51CD" w:rsidP="002D51CD">
      <w:pPr>
        <w:pStyle w:val="ListParagraph"/>
        <w:spacing w:line="360" w:lineRule="auto"/>
        <w:ind w:left="0" w:right="-2"/>
        <w:jc w:val="both"/>
        <w:rPr>
          <w:rFonts w:ascii="Times New Roman" w:hAnsi="Times New Roman" w:cs="Times New Roman"/>
          <w:sz w:val="24"/>
          <w:szCs w:val="24"/>
          <w:lang w:val="en-US"/>
        </w:rPr>
      </w:pPr>
      <w:r w:rsidRPr="002D51CD">
        <w:rPr>
          <w:rFonts w:ascii="Times New Roman" w:hAnsi="Times New Roman" w:cs="Times New Roman"/>
          <w:b/>
          <w:i/>
          <w:sz w:val="24"/>
          <w:szCs w:val="24"/>
          <w:u w:val="single"/>
          <w:lang w:val="en-US"/>
        </w:rPr>
        <w:t>VIX Index:</w:t>
      </w:r>
      <w:r w:rsidRPr="002D51CD">
        <w:rPr>
          <w:rFonts w:ascii="Times New Roman" w:hAnsi="Times New Roman" w:cs="Times New Roman"/>
          <w:sz w:val="24"/>
          <w:szCs w:val="24"/>
          <w:lang w:val="en-US"/>
        </w:rPr>
        <w:t xml:space="preserve"> The VIX index is a measure – indeed a popular one- of the implied volatility of the S&amp;P 500 options index. It represents the investors’ expectations for the thirty day volatility. Two attributes that we need to accentuate are that the VIX is forward looking and that the index exhibits a positive (negative) degree of correlation with risk aversion (appetite). </w:t>
      </w:r>
    </w:p>
    <w:p w:rsidR="002D51CD" w:rsidRPr="002D51CD" w:rsidRDefault="002D51CD" w:rsidP="002D51CD">
      <w:pPr>
        <w:pStyle w:val="ListParagraph"/>
        <w:spacing w:line="360" w:lineRule="auto"/>
        <w:ind w:left="0" w:right="-2"/>
        <w:jc w:val="both"/>
        <w:rPr>
          <w:rFonts w:ascii="Times New Roman" w:hAnsi="Times New Roman" w:cs="Times New Roman"/>
          <w:b/>
          <w:i/>
          <w:sz w:val="24"/>
          <w:szCs w:val="24"/>
          <w:u w:val="single"/>
          <w:lang w:val="en-US"/>
        </w:rPr>
      </w:pPr>
    </w:p>
    <w:p w:rsidR="002D51CD" w:rsidRPr="002D51CD" w:rsidRDefault="002D51CD" w:rsidP="002D51CD">
      <w:pPr>
        <w:pStyle w:val="ListParagraph"/>
        <w:spacing w:line="360" w:lineRule="auto"/>
        <w:ind w:left="0" w:right="-2"/>
        <w:jc w:val="both"/>
        <w:rPr>
          <w:rFonts w:ascii="Times New Roman" w:hAnsi="Times New Roman" w:cs="Times New Roman"/>
          <w:sz w:val="24"/>
          <w:szCs w:val="24"/>
          <w:lang w:val="en-US"/>
        </w:rPr>
      </w:pPr>
      <w:r w:rsidRPr="002D51CD">
        <w:rPr>
          <w:rFonts w:ascii="Times New Roman" w:hAnsi="Times New Roman" w:cs="Times New Roman"/>
          <w:b/>
          <w:i/>
          <w:sz w:val="24"/>
          <w:szCs w:val="24"/>
          <w:u w:val="single"/>
          <w:lang w:val="en-US"/>
        </w:rPr>
        <w:t>Westpac Risk Appetite Index:</w:t>
      </w:r>
      <w:r w:rsidRPr="002D51CD">
        <w:rPr>
          <w:rFonts w:ascii="Times New Roman" w:hAnsi="Times New Roman" w:cs="Times New Roman"/>
          <w:sz w:val="24"/>
          <w:szCs w:val="24"/>
          <w:lang w:val="en-US"/>
        </w:rPr>
        <w:t xml:space="preserve"> The index was constructed by Franulovich (2004) for Westpac Bank which is headquartered in Australia. For its components and the statistical methods it uses we refer readers to Table 1 in Appendix A. The most important feature that needs additional caution is that risk appetite has a positive correlation with the index. By that we mean that it can be used as an indicator of risk appetite because the higher the index level, the higher the risk appetite.</w:t>
      </w:r>
    </w:p>
    <w:p w:rsidR="002D51CD" w:rsidRPr="002D51CD" w:rsidRDefault="002D51CD" w:rsidP="002D51CD">
      <w:pPr>
        <w:pStyle w:val="ListParagraph"/>
        <w:spacing w:line="360" w:lineRule="auto"/>
        <w:ind w:left="0" w:right="-2"/>
        <w:jc w:val="both"/>
        <w:rPr>
          <w:rFonts w:ascii="Times New Roman" w:hAnsi="Times New Roman" w:cs="Times New Roman"/>
          <w:b/>
          <w:i/>
          <w:sz w:val="24"/>
          <w:szCs w:val="24"/>
          <w:u w:val="single"/>
          <w:lang w:val="en-US"/>
        </w:rPr>
      </w:pPr>
    </w:p>
    <w:p w:rsidR="002D51CD" w:rsidRPr="002D51CD" w:rsidRDefault="002D51CD" w:rsidP="002D51CD">
      <w:pPr>
        <w:pStyle w:val="ListParagraph"/>
        <w:spacing w:line="360" w:lineRule="auto"/>
        <w:ind w:left="0" w:right="-2"/>
        <w:jc w:val="both"/>
        <w:rPr>
          <w:rFonts w:ascii="Times New Roman" w:hAnsi="Times New Roman" w:cs="Times New Roman"/>
          <w:b/>
          <w:sz w:val="24"/>
          <w:szCs w:val="24"/>
          <w:u w:val="single"/>
          <w:lang w:val="en-US"/>
        </w:rPr>
      </w:pPr>
      <w:r w:rsidRPr="002D51CD">
        <w:rPr>
          <w:rFonts w:ascii="Times New Roman" w:hAnsi="Times New Roman" w:cs="Times New Roman"/>
          <w:b/>
          <w:i/>
          <w:sz w:val="24"/>
          <w:szCs w:val="24"/>
          <w:u w:val="single"/>
          <w:lang w:val="en-US"/>
        </w:rPr>
        <w:t>RBS Sentiment Index (denominated in euro):</w:t>
      </w:r>
      <w:r w:rsidRPr="002D51CD">
        <w:rPr>
          <w:rFonts w:ascii="Times New Roman" w:hAnsi="Times New Roman" w:cs="Times New Roman"/>
          <w:color w:val="FF0000"/>
          <w:sz w:val="24"/>
          <w:szCs w:val="24"/>
          <w:lang w:val="en-US"/>
        </w:rPr>
        <w:t xml:space="preserve"> </w:t>
      </w:r>
      <w:r w:rsidRPr="002D51CD">
        <w:rPr>
          <w:rFonts w:ascii="Times New Roman" w:hAnsi="Times New Roman" w:cs="Times New Roman"/>
          <w:sz w:val="24"/>
          <w:szCs w:val="24"/>
          <w:lang w:val="en-US"/>
        </w:rPr>
        <w:t>The index is based on the</w:t>
      </w:r>
      <w:r w:rsidRPr="002D51CD">
        <w:rPr>
          <w:rFonts w:ascii="Times New Roman" w:hAnsi="Times New Roman" w:cs="Times New Roman"/>
          <w:color w:val="FF0000"/>
          <w:sz w:val="24"/>
          <w:szCs w:val="24"/>
          <w:lang w:val="en-US"/>
        </w:rPr>
        <w:t xml:space="preserve"> </w:t>
      </w:r>
      <w:r w:rsidRPr="002D51CD">
        <w:rPr>
          <w:rFonts w:ascii="Times New Roman" w:eastAsia="TimesNewRoman" w:hAnsi="Times New Roman" w:cs="Times New Roman"/>
          <w:sz w:val="24"/>
          <w:szCs w:val="24"/>
          <w:lang w:val="en-US"/>
        </w:rPr>
        <w:t>IFO Business Climate Index which in turn is based on a</w:t>
      </w:r>
      <w:r w:rsidRPr="002D51CD">
        <w:rPr>
          <w:rFonts w:ascii="Times New Roman" w:hAnsi="Times New Roman" w:cs="Times New Roman"/>
          <w:sz w:val="24"/>
          <w:szCs w:val="24"/>
          <w:lang w:val="en-US"/>
        </w:rPr>
        <w:t xml:space="preserve"> survey. The</w:t>
      </w:r>
      <w:r w:rsidRPr="002D51CD">
        <w:rPr>
          <w:rFonts w:ascii="Times New Roman" w:hAnsi="Times New Roman" w:cs="Times New Roman"/>
          <w:color w:val="FF0000"/>
          <w:sz w:val="24"/>
          <w:szCs w:val="24"/>
          <w:lang w:val="en-US"/>
        </w:rPr>
        <w:t xml:space="preserve"> </w:t>
      </w:r>
      <w:r w:rsidRPr="002D51CD">
        <w:rPr>
          <w:rFonts w:ascii="Times New Roman" w:eastAsia="TimesNewRoman" w:hAnsi="Times New Roman" w:cs="Times New Roman"/>
          <w:sz w:val="24"/>
          <w:szCs w:val="24"/>
          <w:lang w:val="en-US"/>
        </w:rPr>
        <w:t>IFO Business Climate Index</w:t>
      </w:r>
      <w:r w:rsidRPr="002D51CD">
        <w:rPr>
          <w:rFonts w:ascii="Times New Roman" w:hAnsi="Times New Roman" w:cs="Times New Roman"/>
          <w:sz w:val="24"/>
          <w:szCs w:val="24"/>
          <w:lang w:val="en-US"/>
        </w:rPr>
        <w:t xml:space="preserve"> assembles approximately 7,000 responses of firms from different sectors –manufacturing, construction, retail- concerning their assessment of the current business position along with their expectations for the next six months.</w:t>
      </w: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p>
    <w:p w:rsidR="002D51CD" w:rsidRPr="002D51CD" w:rsidRDefault="002D51CD" w:rsidP="002D51CD">
      <w:pPr>
        <w:pStyle w:val="ListParagraph"/>
        <w:spacing w:line="360" w:lineRule="auto"/>
        <w:ind w:left="0" w:right="-2"/>
        <w:jc w:val="both"/>
        <w:rPr>
          <w:rFonts w:ascii="Times New Roman" w:hAnsi="Times New Roman" w:cs="Times New Roman"/>
          <w:sz w:val="24"/>
          <w:szCs w:val="24"/>
          <w:lang w:val="en-US"/>
        </w:rPr>
      </w:pPr>
      <w:r w:rsidRPr="002D51CD">
        <w:rPr>
          <w:rFonts w:ascii="Times New Roman" w:hAnsi="Times New Roman" w:cs="Times New Roman"/>
          <w:b/>
          <w:i/>
          <w:sz w:val="24"/>
          <w:szCs w:val="24"/>
          <w:u w:val="single"/>
          <w:lang w:val="en-US"/>
        </w:rPr>
        <w:t>UBS Overall Index of Investor Optimism:</w:t>
      </w:r>
      <w:r w:rsidRPr="002D51CD">
        <w:rPr>
          <w:rFonts w:ascii="Times New Roman" w:hAnsi="Times New Roman" w:cs="Times New Roman"/>
          <w:sz w:val="24"/>
          <w:szCs w:val="24"/>
          <w:lang w:val="en-US"/>
        </w:rPr>
        <w:t xml:space="preserve"> It is a monthly survey that serves as an indicator of how the investment environment is apprehended by investors. A reasonable conclusion is that the higher the level of the index the higher the risk appetite.</w:t>
      </w:r>
    </w:p>
    <w:p w:rsidR="002D51CD" w:rsidRPr="002D51CD" w:rsidRDefault="002D51CD" w:rsidP="002D51CD">
      <w:pPr>
        <w:pStyle w:val="ListParagraph"/>
        <w:spacing w:line="360" w:lineRule="auto"/>
        <w:ind w:left="0"/>
        <w:jc w:val="both"/>
        <w:rPr>
          <w:rFonts w:ascii="Times New Roman" w:hAnsi="Times New Roman" w:cs="Times New Roman"/>
          <w:b/>
          <w:sz w:val="24"/>
          <w:szCs w:val="24"/>
          <w:u w:val="single"/>
          <w:lang w:val="en-US"/>
        </w:rPr>
      </w:pPr>
    </w:p>
    <w:p w:rsidR="002D51CD" w:rsidRPr="002D51CD" w:rsidRDefault="002D51CD" w:rsidP="002D51CD">
      <w:pPr>
        <w:pStyle w:val="ListParagraph"/>
        <w:autoSpaceDE w:val="0"/>
        <w:autoSpaceDN w:val="0"/>
        <w:adjustRightInd w:val="0"/>
        <w:spacing w:after="0" w:line="360" w:lineRule="auto"/>
        <w:ind w:left="0"/>
        <w:jc w:val="both"/>
        <w:rPr>
          <w:rFonts w:ascii="Times New Roman" w:eastAsia="Times New Roman" w:hAnsi="Times New Roman" w:cs="Times New Roman"/>
          <w:sz w:val="24"/>
          <w:szCs w:val="24"/>
          <w:lang w:val="en-US"/>
        </w:rPr>
      </w:pPr>
      <w:r w:rsidRPr="002D51CD">
        <w:rPr>
          <w:rFonts w:ascii="Times New Roman" w:hAnsi="Times New Roman" w:cs="Times New Roman"/>
          <w:b/>
          <w:i/>
          <w:sz w:val="24"/>
          <w:szCs w:val="24"/>
          <w:u w:val="single"/>
          <w:lang w:val="en-US"/>
        </w:rPr>
        <w:t xml:space="preserve">Credit Suisse Risk Appetite Investable Index </w:t>
      </w:r>
      <w:r w:rsidRPr="002D51CD">
        <w:rPr>
          <w:rFonts w:ascii="Times New Roman" w:hAnsi="Times New Roman" w:cs="Times New Roman"/>
          <w:b/>
          <w:sz w:val="24"/>
          <w:szCs w:val="24"/>
          <w:u w:val="single"/>
          <w:lang w:val="en-US"/>
        </w:rPr>
        <w:t>powered by HOLT:</w:t>
      </w:r>
      <w:r w:rsidRPr="002D51CD">
        <w:rPr>
          <w:rFonts w:ascii="Times New Roman" w:hAnsi="Times New Roman" w:cs="Times New Roman"/>
          <w:b/>
          <w:sz w:val="24"/>
          <w:szCs w:val="24"/>
          <w:lang w:val="en-US"/>
        </w:rPr>
        <w:t xml:space="preserve"> </w:t>
      </w:r>
      <w:r w:rsidRPr="002D51CD">
        <w:rPr>
          <w:rFonts w:ascii="Times New Roman" w:hAnsi="Times New Roman" w:cs="Times New Roman"/>
          <w:sz w:val="24"/>
          <w:szCs w:val="24"/>
          <w:lang w:val="en-US"/>
        </w:rPr>
        <w:t xml:space="preserve">We discussed in chapter 2 about Credit Suisse’s Global Risk Appetite Index (CS GRAI). Unfortunately, data for this index </w:t>
      </w:r>
      <w:r w:rsidRPr="002D51CD">
        <w:rPr>
          <w:rFonts w:ascii="Times New Roman" w:hAnsi="Times New Roman" w:cs="Times New Roman"/>
          <w:sz w:val="24"/>
          <w:szCs w:val="24"/>
          <w:lang w:val="en-US"/>
        </w:rPr>
        <w:lastRenderedPageBreak/>
        <w:t xml:space="preserve">were not available to us. However, Credit Suisse International has launched a similar index, based on the CS GRAI, known as the </w:t>
      </w:r>
      <w:r w:rsidRPr="002D51CD">
        <w:rPr>
          <w:rFonts w:ascii="Times New Roman" w:hAnsi="Times New Roman" w:cs="Times New Roman"/>
          <w:i/>
          <w:sz w:val="24"/>
          <w:szCs w:val="24"/>
          <w:lang w:val="en-US"/>
        </w:rPr>
        <w:t xml:space="preserve">Credit Suisse Risk Appetite Investable Index </w:t>
      </w:r>
      <w:r w:rsidRPr="002D51CD">
        <w:rPr>
          <w:rFonts w:ascii="Times New Roman" w:hAnsi="Times New Roman" w:cs="Times New Roman"/>
          <w:sz w:val="24"/>
          <w:szCs w:val="24"/>
          <w:lang w:val="en-US"/>
        </w:rPr>
        <w:t>powered by HOLT (Credit Suisse</w:t>
      </w:r>
      <w:r w:rsidR="00F11F09">
        <w:rPr>
          <w:rFonts w:ascii="Times New Roman" w:hAnsi="Times New Roman" w:cs="Times New Roman"/>
          <w:sz w:val="24"/>
          <w:szCs w:val="24"/>
          <w:lang w:val="en-US"/>
        </w:rPr>
        <w:t>, 2011). The company provides</w:t>
      </w:r>
      <w:r w:rsidRPr="002D51CD">
        <w:rPr>
          <w:rFonts w:ascii="Times New Roman" w:hAnsi="Times New Roman" w:cs="Times New Roman"/>
          <w:sz w:val="24"/>
          <w:szCs w:val="24"/>
          <w:lang w:val="en-US"/>
        </w:rPr>
        <w:t xml:space="preserve"> investors the level of the index either denominated in Euro or in U.S dollar. The strategy used for its construction is to combine a global portfolio of equities and one of government bonds and it demonstrates the level of risk appetite. Despite it was launched on the 6 April 2010, past performance of the index is available by Credit Suisse itself through a hypothetical back-testing process.    </w:t>
      </w:r>
    </w:p>
    <w:p w:rsidR="002D51CD" w:rsidRPr="002D51CD" w:rsidRDefault="002D51CD" w:rsidP="002D51CD">
      <w:pPr>
        <w:pStyle w:val="ListParagraph"/>
        <w:spacing w:line="360" w:lineRule="auto"/>
        <w:ind w:left="0"/>
        <w:jc w:val="both"/>
        <w:rPr>
          <w:rFonts w:ascii="Times New Roman" w:hAnsi="Times New Roman" w:cs="Times New Roman"/>
          <w:b/>
          <w:sz w:val="24"/>
          <w:szCs w:val="24"/>
          <w:u w:val="single"/>
          <w:lang w:val="en-US"/>
        </w:rPr>
      </w:pPr>
    </w:p>
    <w:p w:rsidR="002D51CD" w:rsidRPr="002D51CD" w:rsidRDefault="002D51CD" w:rsidP="002D51CD">
      <w:pPr>
        <w:pStyle w:val="ListParagraph"/>
        <w:spacing w:line="360" w:lineRule="auto"/>
        <w:ind w:left="0" w:right="-2"/>
        <w:jc w:val="both"/>
        <w:rPr>
          <w:rFonts w:ascii="Times New Roman" w:hAnsi="Times New Roman" w:cs="Times New Roman"/>
          <w:sz w:val="24"/>
          <w:szCs w:val="24"/>
          <w:lang w:val="en-US"/>
        </w:rPr>
      </w:pPr>
      <w:r w:rsidRPr="002D51CD">
        <w:rPr>
          <w:rFonts w:ascii="Times New Roman" w:hAnsi="Times New Roman" w:cs="Times New Roman"/>
          <w:b/>
          <w:i/>
          <w:sz w:val="24"/>
          <w:szCs w:val="24"/>
          <w:u w:val="single"/>
          <w:lang w:val="en-US"/>
        </w:rPr>
        <w:t>Citi Macro Risk Index:</w:t>
      </w:r>
      <w:r w:rsidRPr="002D51CD">
        <w:rPr>
          <w:rFonts w:ascii="Times New Roman" w:hAnsi="Times New Roman" w:cs="Times New Roman"/>
          <w:noProof/>
          <w:sz w:val="24"/>
          <w:szCs w:val="24"/>
          <w:lang w:val="en-US" w:eastAsia="el-GR"/>
        </w:rPr>
        <w:t xml:space="preserve"> It is developed by Citigroup and measures the risk aversion in global financial markets. Notably, its level ranges from 0 to 1 with the former pointing out to a low level of risk aversion and the latter to a high one. It is straighforward that the index has a positive (negative) correlation with risk aversion (appetite).</w:t>
      </w:r>
    </w:p>
    <w:p w:rsidR="002D51CD" w:rsidRPr="002D51CD" w:rsidRDefault="002D51CD" w:rsidP="002D51CD">
      <w:pPr>
        <w:pStyle w:val="ListParagraph"/>
        <w:autoSpaceDE w:val="0"/>
        <w:autoSpaceDN w:val="0"/>
        <w:adjustRightInd w:val="0"/>
        <w:spacing w:after="0" w:line="360" w:lineRule="auto"/>
        <w:ind w:left="0"/>
        <w:jc w:val="both"/>
        <w:rPr>
          <w:rFonts w:ascii="Times New Roman" w:hAnsi="Times New Roman" w:cs="Times New Roman"/>
          <w:b/>
          <w:sz w:val="24"/>
          <w:szCs w:val="24"/>
          <w:u w:val="single"/>
          <w:lang w:val="en-US"/>
        </w:rPr>
      </w:pPr>
    </w:p>
    <w:p w:rsidR="002D51CD" w:rsidRPr="002D51CD" w:rsidRDefault="002D51CD" w:rsidP="002D51CD">
      <w:pPr>
        <w:spacing w:line="360" w:lineRule="auto"/>
        <w:jc w:val="both"/>
        <w:rPr>
          <w:rFonts w:ascii="Times New Roman" w:hAnsi="Times New Roman" w:cs="Times New Roman"/>
          <w:sz w:val="24"/>
          <w:szCs w:val="24"/>
          <w:lang w:val="en-US"/>
        </w:rPr>
      </w:pPr>
      <w:r w:rsidRPr="00487F34">
        <w:rPr>
          <w:rFonts w:ascii="Times New Roman" w:hAnsi="Times New Roman" w:cs="Times New Roman"/>
          <w:sz w:val="24"/>
          <w:szCs w:val="24"/>
          <w:lang w:val="en-US"/>
        </w:rPr>
        <w:t>After performing some trial regressions and tests, we had evidence for the presence of multicollinearity. Multicollinearity is a concept that is common in statistical/econometric analysis. A simple definition is that when two, or more, variables exhibit a high degree of correlation (</w:t>
      </w:r>
      <w:r w:rsidRPr="00487F34">
        <w:rPr>
          <w:rFonts w:ascii="Times New Roman" w:hAnsi="Times New Roman" w:cs="Times New Roman"/>
          <w:sz w:val="24"/>
          <w:szCs w:val="24"/>
        </w:rPr>
        <w:t>ρ</w:t>
      </w:r>
      <w:r w:rsidRPr="00487F34">
        <w:rPr>
          <w:rFonts w:ascii="Times New Roman" w:hAnsi="Times New Roman" w:cs="Times New Roman"/>
          <w:sz w:val="24"/>
          <w:szCs w:val="24"/>
          <w:lang w:val="en-US"/>
        </w:rPr>
        <w:t>) then multicollinearity is present. The existence of multicollinearity could lead to high reported values for R</w:t>
      </w:r>
      <w:r w:rsidRPr="00487F34">
        <w:rPr>
          <w:rFonts w:ascii="Times New Roman" w:hAnsi="Times New Roman" w:cs="Times New Roman"/>
          <w:sz w:val="24"/>
          <w:szCs w:val="24"/>
          <w:vertAlign w:val="superscript"/>
          <w:lang w:val="en-US"/>
        </w:rPr>
        <w:t>2</w:t>
      </w:r>
      <w:r w:rsidRPr="00487F34">
        <w:rPr>
          <w:rFonts w:ascii="Times New Roman" w:hAnsi="Times New Roman" w:cs="Times New Roman"/>
          <w:sz w:val="24"/>
          <w:szCs w:val="24"/>
          <w:lang w:val="en-US"/>
        </w:rPr>
        <w:t xml:space="preserve"> and to unreliable estimations (Ciner et al., 2010). Despite it is a frequent problem, it is not an easy one to solve. Literature on statistics is ambiguous regarding the level of correlation that constitutes multicollinearity. Usually, a conservative approach is to use a </w:t>
      </w:r>
      <w:r w:rsidRPr="00487F34">
        <w:rPr>
          <w:rFonts w:ascii="Times New Roman" w:hAnsi="Times New Roman" w:cs="Times New Roman"/>
          <w:sz w:val="24"/>
          <w:szCs w:val="24"/>
        </w:rPr>
        <w:t>ρ</w:t>
      </w:r>
      <w:r w:rsidRPr="00487F34">
        <w:rPr>
          <w:rFonts w:ascii="Times New Roman" w:hAnsi="Times New Roman" w:cs="Times New Roman"/>
          <w:sz w:val="24"/>
          <w:szCs w:val="24"/>
          <w:lang w:val="en-US"/>
        </w:rPr>
        <w:t xml:space="preserve"> equal to 0.5. Theory suggests that in the presence of multicollinearity between two or more variables, one should be deleted. To check for multicollinearity, one has to examine the correlation matrix. This was the modus operandi adopted by us. In the correlation matrix where all the initial indices (all 12) were used, we witnessed a high level of correlation among some variables. Table 2 in Appendix A illustrates this. Indicatively, we observe that</w:t>
      </w:r>
      <w:r w:rsidR="00487F34" w:rsidRPr="00487F34">
        <w:rPr>
          <w:rFonts w:ascii="Times New Roman" w:hAnsi="Times New Roman" w:cs="Times New Roman"/>
          <w:sz w:val="24"/>
          <w:szCs w:val="24"/>
          <w:lang w:val="en-US"/>
        </w:rPr>
        <w:t xml:space="preserve"> Univ. of Michigan Consumer Confidence Sentiment (CC) and UBS Overall Index of Investor Optimism (INVOOVRL)</w:t>
      </w:r>
      <w:r w:rsidRPr="00487F34">
        <w:rPr>
          <w:rFonts w:ascii="Times New Roman" w:hAnsi="Times New Roman" w:cs="Times New Roman"/>
          <w:sz w:val="24"/>
          <w:szCs w:val="24"/>
          <w:lang w:val="en-US"/>
        </w:rPr>
        <w:t xml:space="preserve"> had a correlation of approximately 88%, </w:t>
      </w:r>
      <w:r w:rsidR="00487F34" w:rsidRPr="00487F34">
        <w:rPr>
          <w:rFonts w:ascii="Times New Roman" w:hAnsi="Times New Roman" w:cs="Times New Roman"/>
          <w:sz w:val="24"/>
          <w:szCs w:val="24"/>
          <w:lang w:val="en-US"/>
        </w:rPr>
        <w:t>Merrill Lynch’s Risk Aversion Indicator (ML_RAI) with Citi Macro Risk Index (MRI_CITI) and RBS Sentiment Index (RBSISEUR) with the Credit Suisse’s Risk Appetite Investable Index (RAIIEUPI)</w:t>
      </w:r>
      <w:r w:rsidR="00487F34">
        <w:rPr>
          <w:rFonts w:ascii="Times New Roman" w:hAnsi="Times New Roman" w:cs="Times New Roman"/>
          <w:sz w:val="24"/>
          <w:szCs w:val="24"/>
          <w:lang w:val="en-US"/>
        </w:rPr>
        <w:t xml:space="preserve"> </w:t>
      </w:r>
      <w:r w:rsidRPr="00487F34">
        <w:rPr>
          <w:rFonts w:ascii="Times New Roman" w:hAnsi="Times New Roman" w:cs="Times New Roman"/>
          <w:sz w:val="24"/>
          <w:szCs w:val="24"/>
          <w:lang w:val="en-US"/>
        </w:rPr>
        <w:t xml:space="preserve">almost 80% and </w:t>
      </w:r>
      <w:r w:rsidR="00487F34" w:rsidRPr="00487F34">
        <w:rPr>
          <w:rFonts w:ascii="Times New Roman" w:hAnsi="Times New Roman" w:cs="Times New Roman"/>
          <w:sz w:val="24"/>
          <w:szCs w:val="24"/>
          <w:lang w:val="en-US"/>
        </w:rPr>
        <w:t>Credit Suisse’s Risk Appetite Investable Index (RAIIEUPI) with State Street Investor Confidence Index</w:t>
      </w:r>
      <w:r w:rsidRPr="00487F34">
        <w:rPr>
          <w:rFonts w:ascii="Times New Roman" w:hAnsi="Times New Roman" w:cs="Times New Roman"/>
          <w:sz w:val="24"/>
          <w:szCs w:val="24"/>
          <w:lang w:val="en-US"/>
        </w:rPr>
        <w:t xml:space="preserve"> </w:t>
      </w:r>
      <w:r w:rsidR="00487F34" w:rsidRPr="00487F34">
        <w:rPr>
          <w:rFonts w:ascii="Times New Roman" w:hAnsi="Times New Roman" w:cs="Times New Roman"/>
          <w:sz w:val="24"/>
          <w:szCs w:val="24"/>
          <w:lang w:val="en-US"/>
        </w:rPr>
        <w:t>(</w:t>
      </w:r>
      <w:r w:rsidRPr="00487F34">
        <w:rPr>
          <w:rFonts w:ascii="Times New Roman" w:hAnsi="Times New Roman" w:cs="Times New Roman"/>
          <w:sz w:val="24"/>
          <w:szCs w:val="24"/>
          <w:lang w:val="en-US"/>
        </w:rPr>
        <w:t>ICI</w:t>
      </w:r>
      <w:r w:rsidR="00487F34" w:rsidRPr="00487F34">
        <w:rPr>
          <w:rFonts w:ascii="Times New Roman" w:hAnsi="Times New Roman" w:cs="Times New Roman"/>
          <w:sz w:val="24"/>
          <w:szCs w:val="24"/>
          <w:lang w:val="en-US"/>
        </w:rPr>
        <w:t>)</w:t>
      </w:r>
      <w:r w:rsidRPr="00487F34">
        <w:rPr>
          <w:rFonts w:ascii="Times New Roman" w:hAnsi="Times New Roman" w:cs="Times New Roman"/>
          <w:sz w:val="24"/>
          <w:szCs w:val="24"/>
          <w:lang w:val="en-US"/>
        </w:rPr>
        <w:t xml:space="preserve"> almost 75%. Nevertheless, this comes in line with intuition since all indices try to gauge the same feature; sentiment. More specifically</w:t>
      </w:r>
      <w:r w:rsidRPr="002D51CD">
        <w:rPr>
          <w:rFonts w:ascii="Times New Roman" w:hAnsi="Times New Roman" w:cs="Times New Roman"/>
          <w:sz w:val="24"/>
          <w:szCs w:val="24"/>
          <w:lang w:val="en-US"/>
        </w:rPr>
        <w:t xml:space="preserve">, the above mentioned pairs of indices share common components thus a high degree of correlation amid them was anticipated. The criteria used for selecting which of the variables should be excluded from our sample were again the </w:t>
      </w:r>
      <w:r w:rsidRPr="002D51CD">
        <w:rPr>
          <w:rFonts w:ascii="Times New Roman" w:hAnsi="Times New Roman" w:cs="Times New Roman"/>
          <w:sz w:val="24"/>
          <w:szCs w:val="24"/>
          <w:lang w:val="en-US"/>
        </w:rPr>
        <w:lastRenderedPageBreak/>
        <w:t>same as the ones used for selecting the sample initially. Examining the example of ML_RAI and MRI_CITI allows us for a clear delineation of the procedure that was followed. These indices exhibited a correlation of roughly 80% indicating that one of them should be deleted. The ML_RAI is an index that has been used in the literature more extensively than MRI_</w:t>
      </w:r>
      <w:proofErr w:type="gramStart"/>
      <w:r w:rsidRPr="002D51CD">
        <w:rPr>
          <w:rFonts w:ascii="Times New Roman" w:hAnsi="Times New Roman" w:cs="Times New Roman"/>
          <w:sz w:val="24"/>
          <w:szCs w:val="24"/>
          <w:lang w:val="en-US"/>
        </w:rPr>
        <w:t>CITI,</w:t>
      </w:r>
      <w:proofErr w:type="gramEnd"/>
      <w:r w:rsidRPr="002D51CD">
        <w:rPr>
          <w:rFonts w:ascii="Times New Roman" w:hAnsi="Times New Roman" w:cs="Times New Roman"/>
          <w:sz w:val="24"/>
          <w:szCs w:val="24"/>
          <w:lang w:val="en-US"/>
        </w:rPr>
        <w:t xml:space="preserve"> the intuition behind it is more transparent thus making it more understandable. Taking this into account we conclude that it is better to delete MRI_CITI from our sample. We have to highlight though, that the acceptable level of correlation was 0.5927, slightly higher than 0.5.</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Due to that, our sample was confined to 8 indices. The final sample consists of the following indices: Baker and Wurgler (BW), University of Michigan Consumer Confidence Sentiment (CC), State Street Investor Confidence Index (ICI), Merrill Lynch’s Risk Aversion Indicator (ML_RAI), Global Risk Appetite Monitor + (Short Run) (NGRAM), Put-Call Ratio (PCR),  VIX Index (VIX), and Westpac Risk Appetite Index (WP).</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We discussed above the finally selected indices. Another problem that we encountered was that indices were of different scale. Under these circumstances, the comparison of the indices would not be plausible. To solve this, we resorted to standardization. Standardization is a commonplace process used in finance (Baker and Wurgler also standardized the proxies they used to create their index). It is the procedure where you subtract the mean (</w:t>
      </w:r>
      <w:r w:rsidRPr="002D51CD">
        <w:rPr>
          <w:rFonts w:ascii="Times New Roman" w:hAnsi="Times New Roman" w:cs="Times New Roman"/>
          <w:sz w:val="24"/>
          <w:szCs w:val="24"/>
        </w:rPr>
        <w:t>μ</w:t>
      </w:r>
      <w:r w:rsidRPr="002D51CD">
        <w:rPr>
          <w:rFonts w:ascii="Times New Roman" w:hAnsi="Times New Roman" w:cs="Times New Roman"/>
          <w:sz w:val="24"/>
          <w:szCs w:val="24"/>
          <w:lang w:val="en-US"/>
        </w:rPr>
        <w:t>) of the value and then divide with the standard deviation (</w:t>
      </w:r>
      <w:r w:rsidRPr="002D51CD">
        <w:rPr>
          <w:rFonts w:ascii="Times New Roman" w:hAnsi="Times New Roman" w:cs="Times New Roman"/>
          <w:sz w:val="24"/>
          <w:szCs w:val="24"/>
        </w:rPr>
        <w:t>σ</w:t>
      </w:r>
      <w:r w:rsidRPr="002D51CD">
        <w:rPr>
          <w:rFonts w:ascii="Times New Roman" w:hAnsi="Times New Roman" w:cs="Times New Roman"/>
          <w:sz w:val="24"/>
          <w:szCs w:val="24"/>
          <w:lang w:val="en-US"/>
        </w:rPr>
        <w:t xml:space="preserve">) (Peck and Devore, 2010). Equation 2 displays the above in a mathematical framework: </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z = </w:t>
      </w:r>
      <m:oMath>
        <m:f>
          <m:fPr>
            <m:ctrlPr>
              <w:rPr>
                <w:rFonts w:ascii="Cambria Math" w:hAnsi="Times New Roman" w:cs="Times New Roman"/>
                <w:sz w:val="28"/>
                <w:szCs w:val="28"/>
              </w:rPr>
            </m:ctrlPr>
          </m:fPr>
          <m:num>
            <m:r>
              <m:rPr>
                <m:sty m:val="p"/>
              </m:rPr>
              <w:rPr>
                <w:rFonts w:ascii="Cambria Math" w:hAnsi="Cambria Math" w:cs="Times New Roman"/>
                <w:sz w:val="28"/>
                <w:szCs w:val="28"/>
              </w:rPr>
              <m:t>x</m:t>
            </m:r>
            <m:r>
              <m:rPr>
                <m:sty m:val="p"/>
              </m:rPr>
              <w:rPr>
                <w:rFonts w:ascii="Cambria Math" w:hAnsi="Cambria Math" w:cs="Times New Roman"/>
                <w:sz w:val="28"/>
                <w:szCs w:val="28"/>
                <w:lang w:val="en-US"/>
              </w:rPr>
              <m:t>-</m:t>
            </m:r>
            <m:r>
              <m:rPr>
                <m:sty m:val="p"/>
              </m:rPr>
              <w:rPr>
                <w:rFonts w:ascii="Cambria Math" w:hAnsi="Cambria Math" w:cs="Times New Roman"/>
                <w:sz w:val="28"/>
                <w:szCs w:val="28"/>
              </w:rPr>
              <m:t>μ</m:t>
            </m:r>
          </m:num>
          <m:den>
            <m:r>
              <m:rPr>
                <m:sty m:val="p"/>
              </m:rPr>
              <w:rPr>
                <w:rFonts w:ascii="Cambria Math" w:hAnsi="Cambria Math" w:cs="Times New Roman"/>
                <w:sz w:val="28"/>
                <w:szCs w:val="28"/>
              </w:rPr>
              <m:t>σ</m:t>
            </m:r>
          </m:den>
        </m:f>
      </m:oMath>
      <w:r w:rsidRPr="002D51CD">
        <w:rPr>
          <w:rFonts w:ascii="Times New Roman" w:hAnsi="Times New Roman" w:cs="Times New Roman"/>
          <w:sz w:val="24"/>
          <w:szCs w:val="24"/>
          <w:lang w:val="en-US"/>
        </w:rPr>
        <w:t xml:space="preserve">             (2) </w:t>
      </w:r>
    </w:p>
    <w:p w:rsidR="002D51CD" w:rsidRPr="002D51CD" w:rsidRDefault="002D51CD" w:rsidP="002D51CD">
      <w:pPr>
        <w:spacing w:line="360" w:lineRule="auto"/>
        <w:jc w:val="both"/>
        <w:rPr>
          <w:rFonts w:ascii="Times New Roman" w:hAnsi="Times New Roman" w:cs="Times New Roman"/>
          <w:sz w:val="24"/>
          <w:szCs w:val="24"/>
          <w:lang w:val="en-US"/>
        </w:rPr>
      </w:pPr>
      <w:proofErr w:type="gramStart"/>
      <w:r w:rsidRPr="002D51CD">
        <w:rPr>
          <w:rFonts w:ascii="Times New Roman" w:hAnsi="Times New Roman" w:cs="Times New Roman"/>
          <w:sz w:val="24"/>
          <w:szCs w:val="24"/>
          <w:lang w:val="en-US"/>
        </w:rPr>
        <w:t>where</w:t>
      </w:r>
      <w:proofErr w:type="gramEnd"/>
      <w:r w:rsidRPr="002D51CD">
        <w:rPr>
          <w:rFonts w:ascii="Times New Roman" w:hAnsi="Times New Roman" w:cs="Times New Roman"/>
          <w:sz w:val="24"/>
          <w:szCs w:val="24"/>
          <w:lang w:val="en-US"/>
        </w:rPr>
        <w:t xml:space="preserve"> z depicts the standardized value, x is the value of the variable, </w:t>
      </w:r>
      <w:r w:rsidRPr="002D51CD">
        <w:rPr>
          <w:rFonts w:ascii="Times New Roman" w:hAnsi="Times New Roman" w:cs="Times New Roman"/>
          <w:sz w:val="24"/>
          <w:szCs w:val="24"/>
        </w:rPr>
        <w:t>μ</w:t>
      </w:r>
      <w:r w:rsidRPr="002D51CD">
        <w:rPr>
          <w:rFonts w:ascii="Times New Roman" w:hAnsi="Times New Roman" w:cs="Times New Roman"/>
          <w:sz w:val="24"/>
          <w:szCs w:val="24"/>
          <w:lang w:val="en-US"/>
        </w:rPr>
        <w:t xml:space="preserve"> and </w:t>
      </w:r>
      <w:r w:rsidRPr="002D51CD">
        <w:rPr>
          <w:rFonts w:ascii="Times New Roman" w:hAnsi="Times New Roman" w:cs="Times New Roman"/>
          <w:sz w:val="24"/>
          <w:szCs w:val="24"/>
        </w:rPr>
        <w:t>σ</w:t>
      </w:r>
      <w:r w:rsidRPr="002D51CD">
        <w:rPr>
          <w:rFonts w:ascii="Times New Roman" w:hAnsi="Times New Roman" w:cs="Times New Roman"/>
          <w:sz w:val="24"/>
          <w:szCs w:val="24"/>
          <w:lang w:val="en-US"/>
        </w:rPr>
        <w:t xml:space="preserve"> stand for the mean and the standard deviation of the variable respectively.</w:t>
      </w: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3.1.2 Selection of assets and intuition</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This subsection’s aim is to demonstrate the motivation based on which the assets were selected. We select a broad variety of asset classes since one of our main questions is to examine relationships between indices and various asset classes. Regarding the asset class of commodities we use the returns of gold, corn and copper. The intuition is twofold. Firstly, similar to Marshall et al. (2012), we wanted commodities that are part of the Standard and Poor’s GSCI an index which is alleged to include the most important, for global economy, commodities. Moreover, this selection permits us to cover the three major commodity families –precious metal, agricultural </w:t>
      </w:r>
      <w:r w:rsidRPr="002D51CD">
        <w:rPr>
          <w:rFonts w:ascii="Times New Roman" w:hAnsi="Times New Roman" w:cs="Times New Roman"/>
          <w:sz w:val="24"/>
          <w:szCs w:val="24"/>
          <w:lang w:val="en-US"/>
        </w:rPr>
        <w:lastRenderedPageBreak/>
        <w:t>and industrial metal respectively- thus obtaining an analysis of a broader spectrum. Furthermore, we select the yields of the government bonds with a maturity of 10 years for U.S and Germany following the intuition by Upper (2000). We use the generic bonds instead of current ones since historical data that cover our period were only available for those. As far as the currencies are concerned, we include the Swiss franc (CHF) to U.S Dollar ($), the Euro (€) to U.S Dollar ($) and the Australian Dollar (AUD) to U.S Dollar ($). Last, for stocks we used the returns of Russell 1000 and Russell 2000 which are U.S indices comprised of stocks of big and small capitalization respectively and those of DAX and SDAX which again represent indices of big and small capitalization for Germany. The selection of U.S and German stocks will enable us to test whether the findings of Baker and Wurgler (2006, 2012) still apply. The problem that occurs is that DAX and SDAX are denominated in Euro and not in U.S Dollar thus any differences in the result could be ascribed to the currency effect. To resolve this, we transform the values of DAX and SDAX to be denominated in U.S Dollar. The equations we use are the following:</w:t>
      </w:r>
    </w:p>
    <w:p w:rsidR="002D51CD" w:rsidRPr="00AF45E6" w:rsidRDefault="002D51CD" w:rsidP="002D51CD">
      <w:pPr>
        <w:spacing w:line="360" w:lineRule="auto"/>
        <w:jc w:val="both"/>
        <w:rPr>
          <w:rFonts w:ascii="Times New Roman" w:hAnsi="Times New Roman" w:cs="Times New Roman"/>
          <w:sz w:val="24"/>
          <w:szCs w:val="24"/>
          <w:lang w:val="en-US"/>
        </w:rPr>
      </w:pPr>
      <w:proofErr w:type="spellStart"/>
      <w:r w:rsidRPr="002D51CD">
        <w:rPr>
          <w:rFonts w:ascii="Times New Roman" w:hAnsi="Times New Roman" w:cs="Times New Roman"/>
          <w:sz w:val="24"/>
          <w:szCs w:val="24"/>
          <w:lang w:val="en-US"/>
        </w:rPr>
        <w:t>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proofErr w:type="spellStart"/>
      <w:r w:rsidRPr="002D51CD">
        <w:rPr>
          <w:rFonts w:ascii="Times New Roman" w:hAnsi="Times New Roman" w:cs="Times New Roman"/>
          <w:sz w:val="24"/>
          <w:szCs w:val="24"/>
          <w:lang w:val="en-US"/>
        </w:rPr>
        <w:t>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x Exch. Rate (€/$</w:t>
      </w:r>
      <w:proofErr w:type="gramStart"/>
      <w:r w:rsidRPr="002D51CD">
        <w:rPr>
          <w:rFonts w:ascii="Times New Roman" w:hAnsi="Times New Roman" w:cs="Times New Roman"/>
          <w:sz w:val="24"/>
          <w:szCs w:val="24"/>
          <w:lang w:val="en-US"/>
        </w:rPr>
        <w:t>)</w:t>
      </w:r>
      <w:r w:rsidRPr="002D51CD">
        <w:rPr>
          <w:rFonts w:ascii="Times New Roman" w:hAnsi="Times New Roman" w:cs="Times New Roman"/>
          <w:sz w:val="24"/>
          <w:szCs w:val="24"/>
          <w:vertAlign w:val="subscript"/>
          <w:lang w:val="en-US"/>
        </w:rPr>
        <w:t>t</w:t>
      </w:r>
      <w:proofErr w:type="gram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(3)     and        </w:t>
      </w:r>
      <w:proofErr w:type="spellStart"/>
      <w:r w:rsidRPr="002D51CD">
        <w:rPr>
          <w:rFonts w:ascii="Times New Roman" w:hAnsi="Times New Roman" w:cs="Times New Roman"/>
          <w:sz w:val="24"/>
          <w:szCs w:val="24"/>
          <w:lang w:val="en-US"/>
        </w:rPr>
        <w:t>SDAX$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proofErr w:type="spellStart"/>
      <w:r w:rsidRPr="002D51CD">
        <w:rPr>
          <w:rFonts w:ascii="Times New Roman" w:hAnsi="Times New Roman" w:cs="Times New Roman"/>
          <w:sz w:val="24"/>
          <w:szCs w:val="24"/>
          <w:lang w:val="en-US"/>
        </w:rPr>
        <w:t>SDAX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x Exch. </w:t>
      </w:r>
      <w:r w:rsidRPr="00AF45E6">
        <w:rPr>
          <w:rFonts w:ascii="Times New Roman" w:hAnsi="Times New Roman" w:cs="Times New Roman"/>
          <w:sz w:val="24"/>
          <w:szCs w:val="24"/>
          <w:lang w:val="en-US"/>
        </w:rPr>
        <w:t>Rate (€/$)</w:t>
      </w:r>
      <w:r w:rsidRPr="00AF45E6">
        <w:rPr>
          <w:rFonts w:ascii="Times New Roman" w:hAnsi="Times New Roman" w:cs="Times New Roman"/>
          <w:sz w:val="24"/>
          <w:szCs w:val="24"/>
          <w:vertAlign w:val="subscript"/>
          <w:lang w:val="en-US"/>
        </w:rPr>
        <w:t xml:space="preserve">t   </w:t>
      </w:r>
      <w:r w:rsidRPr="00AF45E6">
        <w:rPr>
          <w:rFonts w:ascii="Times New Roman" w:hAnsi="Times New Roman" w:cs="Times New Roman"/>
          <w:sz w:val="24"/>
          <w:szCs w:val="24"/>
          <w:lang w:val="en-US"/>
        </w:rPr>
        <w:t>(4)</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where </w:t>
      </w:r>
      <w:proofErr w:type="spellStart"/>
      <w:r w:rsidRPr="002D51CD">
        <w:rPr>
          <w:rFonts w:ascii="Times New Roman" w:hAnsi="Times New Roman" w:cs="Times New Roman"/>
          <w:sz w:val="24"/>
          <w:szCs w:val="24"/>
          <w:lang w:val="en-US"/>
        </w:rPr>
        <w:t>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w:t>
      </w:r>
      <w:proofErr w:type="spellStart"/>
      <w:r w:rsidRPr="002D51CD">
        <w:rPr>
          <w:rFonts w:ascii="Times New Roman" w:hAnsi="Times New Roman" w:cs="Times New Roman"/>
          <w:sz w:val="24"/>
          <w:szCs w:val="24"/>
          <w:lang w:val="en-US"/>
        </w:rPr>
        <w:t>SDAX$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stands for the level of the DAX (SDAX) denominated in U.S Dollar at time t, </w:t>
      </w:r>
      <w:proofErr w:type="spellStart"/>
      <w:r w:rsidRPr="002D51CD">
        <w:rPr>
          <w:rFonts w:ascii="Times New Roman" w:hAnsi="Times New Roman" w:cs="Times New Roman"/>
          <w:sz w:val="24"/>
          <w:szCs w:val="24"/>
          <w:lang w:val="en-US"/>
        </w:rPr>
        <w:t>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w:t>
      </w:r>
      <w:proofErr w:type="spellStart"/>
      <w:r w:rsidRPr="002D51CD">
        <w:rPr>
          <w:rFonts w:ascii="Times New Roman" w:hAnsi="Times New Roman" w:cs="Times New Roman"/>
          <w:sz w:val="24"/>
          <w:szCs w:val="24"/>
          <w:lang w:val="en-US"/>
        </w:rPr>
        <w:t>SDAX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is the level of DAX (SDAX) denominated in Euro at time t and the Exch. Rate (€/$)</w:t>
      </w:r>
      <w:r w:rsidRPr="002D51CD">
        <w:rPr>
          <w:rFonts w:ascii="Times New Roman" w:hAnsi="Times New Roman" w:cs="Times New Roman"/>
          <w:sz w:val="24"/>
          <w:szCs w:val="24"/>
          <w:vertAlign w:val="subscript"/>
          <w:lang w:val="en-US"/>
        </w:rPr>
        <w:t xml:space="preserve">t </w:t>
      </w:r>
      <w:r w:rsidRPr="002D51CD">
        <w:rPr>
          <w:rFonts w:ascii="Times New Roman" w:hAnsi="Times New Roman" w:cs="Times New Roman"/>
          <w:sz w:val="24"/>
          <w:szCs w:val="24"/>
          <w:lang w:val="en-US"/>
        </w:rPr>
        <w:t>depicts for the exchange rate of Euro to U.S Dollar at that time</w:t>
      </w:r>
      <w:r w:rsidR="007F3001">
        <w:rPr>
          <w:rStyle w:val="FootnoteReference"/>
          <w:rFonts w:ascii="Times New Roman" w:hAnsi="Times New Roman" w:cs="Times New Roman"/>
          <w:sz w:val="24"/>
          <w:szCs w:val="24"/>
          <w:lang w:val="en-US"/>
        </w:rPr>
        <w:footnoteReference w:id="25"/>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vertAlign w:val="subscript"/>
          <w:lang w:val="en-US"/>
        </w:rPr>
        <w:t xml:space="preserve">  </w:t>
      </w: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3.1.3 Period covered, frequency and sources</w:t>
      </w:r>
    </w:p>
    <w:p w:rsidR="002D51CD" w:rsidRPr="002D51CD" w:rsidRDefault="002D51CD" w:rsidP="002D51CD">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In the previous subsection, we justified on the selection of our inputs and outputs. Here, we will present the period covered, the frequency that was used and the sources used to assemble data. The period that was, eventually, selected covers approximately 13 years (from 30/6/1999 to 30/8/2012) with a monthly frequency. However, the values for Baker and Wurgler’s index, for Merrill Lynch’s Risk Aversion Indicator and for Global Risk Appetite Monitor + (Short Run) deviate from this. Data for those indices were only available until the end of 2010, until the end of November 2009 and until the end of October 2009 respectively. Table 5 in Appendix A presents the descriptive statistics for indices. The primary reason for choosing this period is that we wanted to cover as many years as possible in order to capture swings in sentiment. This specific period enables us to include the 2000 crisis, namely “Internet Bubble”, the period from 2003 until 2006 that is deemed as a “strong” period and also the 2007 mortgage crisis originated in the United States and resulted to the sovereign crisis in Europe that we are experiencing </w:t>
      </w:r>
      <w:r w:rsidRPr="002D51CD">
        <w:rPr>
          <w:rFonts w:ascii="Times New Roman" w:hAnsi="Times New Roman" w:cs="Times New Roman"/>
          <w:sz w:val="24"/>
          <w:szCs w:val="24"/>
          <w:lang w:val="en-US"/>
        </w:rPr>
        <w:lastRenderedPageBreak/>
        <w:t>nowadays. Additionally, some of the selected indices were available only on a monthly basis and this was a contributing factor for selecting this frequency. We could use extrapolation techniques to alter the frequency but we believed that this could be a potential source of bias. Nonetheless, the monthly frequency enables us to obtain a sample size of more than one hundred (100) observations for each model- even for those indices that data were not available until the end of our specified period. We infer that our sample size is applicable for performing the relevant statistical tests thus, our study will have meaningful statistical results. Data concerning the indices were extracted from Bloomberg database</w:t>
      </w:r>
      <w:r w:rsidRPr="002D51CD">
        <w:rPr>
          <w:rStyle w:val="FootnoteReference"/>
          <w:rFonts w:ascii="Times New Roman" w:hAnsi="Times New Roman" w:cs="Times New Roman"/>
          <w:sz w:val="24"/>
          <w:szCs w:val="24"/>
        </w:rPr>
        <w:footnoteReference w:id="26"/>
      </w:r>
      <w:r w:rsidRPr="002D51CD">
        <w:rPr>
          <w:rFonts w:ascii="Times New Roman" w:hAnsi="Times New Roman" w:cs="Times New Roman"/>
          <w:sz w:val="24"/>
          <w:szCs w:val="24"/>
          <w:lang w:val="en-US"/>
        </w:rPr>
        <w:t xml:space="preserve">.  </w:t>
      </w:r>
    </w:p>
    <w:p w:rsidR="002D51CD" w:rsidRPr="002D51CD" w:rsidRDefault="002D51CD" w:rsidP="002D51CD">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p>
    <w:p w:rsidR="002D51CD" w:rsidRPr="002D51CD" w:rsidRDefault="002D51CD" w:rsidP="002D51CD">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As far as the assets are concerned, we reviewed the intuition behind their choice in the previous section. Likewise, we adopted a similar approach to the above. The period covered is the same with a monthly frequency. Data for assets were assembled from various databases, to wit Thomson Reuters DataStream, Bloomberg and WM/Reuters</w:t>
      </w:r>
      <w:r w:rsidRPr="002D51CD">
        <w:rPr>
          <w:rStyle w:val="FootnoteReference"/>
          <w:rFonts w:ascii="Times New Roman" w:hAnsi="Times New Roman" w:cs="Times New Roman"/>
          <w:sz w:val="24"/>
          <w:szCs w:val="24"/>
        </w:rPr>
        <w:footnoteReference w:id="27"/>
      </w:r>
      <w:r w:rsidR="002A525A">
        <w:rPr>
          <w:rFonts w:ascii="Times New Roman" w:hAnsi="Times New Roman" w:cs="Times New Roman"/>
          <w:sz w:val="24"/>
          <w:szCs w:val="24"/>
          <w:lang w:val="en-US"/>
        </w:rPr>
        <w:t xml:space="preserve">. We have to outline </w:t>
      </w:r>
      <w:r w:rsidRPr="002D51CD">
        <w:rPr>
          <w:rFonts w:ascii="Times New Roman" w:hAnsi="Times New Roman" w:cs="Times New Roman"/>
          <w:sz w:val="24"/>
          <w:szCs w:val="24"/>
          <w:lang w:val="en-US"/>
        </w:rPr>
        <w:t xml:space="preserve">that the usage of various databases was not a choice but rather a necessity. Data for all assets and models could not be collected from a single database. Nevertheless, we believe that the usage of different databases contributes to acquiring a higher degree of validity for our results since we are able to crosscheck data.    </w:t>
      </w:r>
    </w:p>
    <w:p w:rsidR="002D51CD" w:rsidRPr="002D51CD" w:rsidRDefault="002D51CD" w:rsidP="002D51CD">
      <w:pPr>
        <w:spacing w:line="360" w:lineRule="auto"/>
        <w:jc w:val="both"/>
        <w:rPr>
          <w:rFonts w:ascii="Times New Roman" w:hAnsi="Times New Roman" w:cs="Times New Roman"/>
          <w:b/>
          <w:sz w:val="24"/>
          <w:szCs w:val="24"/>
          <w:lang w:val="en-US"/>
        </w:rPr>
      </w:pP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3.2 Methodology</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In this section we will thoroughly present the methodology that was applied to answer our research questions. It is divided in five parts. The first four parts present the process of the empirical analysis that was used for each asset class individually and the final part illustrates the methodology for our robustness test. All the statistical tests and the regressions were performed using the EViews statistical package. Two processes need to be highlighted beforehand. Firstly, we corrected for serial correlation and heteroscedasticity. We discussed in section 3.1 the issue of multicollinearity. Apart from that, during our analysis we also tested for the presence or not of serial correlation, or autocorrelation, and of heteroscedasticity. These phenomena could distort our results if not taken into account. For that, we performed the </w:t>
      </w:r>
      <w:hyperlink r:id="rId14" w:tooltip="Breusch–Godfrey test" w:history="1">
        <w:r w:rsidRPr="002D51CD">
          <w:rPr>
            <w:rFonts w:ascii="Times New Roman" w:hAnsi="Times New Roman" w:cs="Times New Roman"/>
            <w:sz w:val="24"/>
            <w:szCs w:val="24"/>
            <w:lang w:val="en-US"/>
          </w:rPr>
          <w:t>Breusch–Godfrey</w:t>
        </w:r>
      </w:hyperlink>
      <w:r w:rsidRPr="002D51CD">
        <w:rPr>
          <w:rFonts w:ascii="Times New Roman" w:hAnsi="Times New Roman" w:cs="Times New Roman"/>
          <w:sz w:val="24"/>
          <w:szCs w:val="24"/>
          <w:lang w:val="en-US"/>
        </w:rPr>
        <w:t xml:space="preserve"> and </w:t>
      </w:r>
      <w:hyperlink r:id="rId15" w:tooltip="Breusch–Pagan test" w:history="1">
        <w:r w:rsidRPr="002D51CD">
          <w:rPr>
            <w:rFonts w:ascii="Times New Roman" w:hAnsi="Times New Roman" w:cs="Times New Roman"/>
            <w:sz w:val="24"/>
            <w:szCs w:val="24"/>
            <w:lang w:val="en-US"/>
          </w:rPr>
          <w:t>Breusch–Pagan-Godfrey test</w:t>
        </w:r>
      </w:hyperlink>
      <w:r w:rsidRPr="002D51CD">
        <w:rPr>
          <w:rFonts w:ascii="Times New Roman" w:hAnsi="Times New Roman" w:cs="Times New Roman"/>
          <w:sz w:val="24"/>
          <w:szCs w:val="24"/>
          <w:lang w:val="en-US"/>
        </w:rPr>
        <w:t xml:space="preserve"> respectively. Evidence was found which connoted their presence. To </w:t>
      </w:r>
      <w:r w:rsidRPr="002D51CD">
        <w:rPr>
          <w:rFonts w:ascii="Times New Roman" w:hAnsi="Times New Roman" w:cs="Times New Roman"/>
          <w:sz w:val="24"/>
          <w:szCs w:val="24"/>
          <w:lang w:val="en-US"/>
        </w:rPr>
        <w:lastRenderedPageBreak/>
        <w:t xml:space="preserve">conform, we used the Newey-West estimator (HAC). Applying this method enables us to eliminate both these phenomena. </w:t>
      </w:r>
    </w:p>
    <w:p w:rsidR="002D51CD" w:rsidRPr="002D51CD" w:rsidRDefault="002D51CD" w:rsidP="002D51CD">
      <w:pPr>
        <w:autoSpaceDE w:val="0"/>
        <w:autoSpaceDN w:val="0"/>
        <w:adjustRightInd w:val="0"/>
        <w:spacing w:after="0"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The second one is that of concluding whether the indices lead, lag or move contemporaneously with the assets. Following Baker and Wurgler’s methodology, we wanted to identify whether patterns exist and whether indices should be incorporated in the regression formulas that will be used with a lead, lag or a simultaneous indication. For brevity reasons, we will illustrate the way we performed these tests with an example of one asset and one index. The same methodology was used to check every index with every asset. We used as our dependent variable the returns of gold and as independent the Consumer Confidence standardized values for time t (contemporaneous), t+1 (lagging) and t-1 (leading). Thus, the regression we perform is the following:</w:t>
      </w:r>
    </w:p>
    <w:p w:rsidR="002D51CD" w:rsidRPr="002D51CD" w:rsidRDefault="002D51CD" w:rsidP="002D51CD">
      <w:pPr>
        <w:autoSpaceDE w:val="0"/>
        <w:autoSpaceDN w:val="0"/>
        <w:adjustRightInd w:val="0"/>
        <w:spacing w:after="0" w:line="360" w:lineRule="auto"/>
        <w:jc w:val="both"/>
        <w:rPr>
          <w:rFonts w:ascii="Times New Roman" w:hAnsi="Times New Roman" w:cs="Times New Roman"/>
          <w:sz w:val="24"/>
          <w:szCs w:val="24"/>
          <w:lang w:val="en-US"/>
        </w:rPr>
      </w:pPr>
    </w:p>
    <w:p w:rsidR="002D51CD" w:rsidRPr="002D51CD" w:rsidRDefault="002D51CD" w:rsidP="002D51CD">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sidRPr="002D51CD">
        <w:rPr>
          <w:rFonts w:ascii="Times New Roman" w:hAnsi="Times New Roman" w:cs="Times New Roman"/>
          <w:sz w:val="24"/>
          <w:szCs w:val="24"/>
          <w:lang w:val="en-US"/>
        </w:rPr>
        <w:t>rgold</w:t>
      </w:r>
      <w:r w:rsidRPr="002D51CD">
        <w:rPr>
          <w:rFonts w:ascii="Times New Roman" w:hAnsi="Times New Roman" w:cs="Times New Roman"/>
          <w:sz w:val="24"/>
          <w:szCs w:val="24"/>
          <w:vertAlign w:val="subscript"/>
          <w:lang w:val="en-US"/>
        </w:rPr>
        <w:t>t</w:t>
      </w:r>
      <w:proofErr w:type="spellEnd"/>
      <w:proofErr w:type="gramEnd"/>
      <w:r w:rsidRPr="002D51CD">
        <w:rPr>
          <w:rFonts w:ascii="Times New Roman" w:hAnsi="Times New Roman" w:cs="Times New Roman"/>
          <w:sz w:val="24"/>
          <w:szCs w:val="24"/>
          <w:lang w:val="en-US"/>
        </w:rPr>
        <w:t xml:space="preserve"> = a + </w:t>
      </w:r>
      <w:r w:rsidRPr="002D51CD">
        <w:rPr>
          <w:rFonts w:ascii="Times New Roman" w:hAnsi="Times New Roman" w:cs="Times New Roman"/>
          <w:sz w:val="24"/>
          <w:szCs w:val="24"/>
        </w:rPr>
        <w:t>β</w:t>
      </w:r>
      <w:r w:rsidRPr="002D51CD">
        <w:rPr>
          <w:rFonts w:ascii="Times New Roman" w:hAnsi="Times New Roman" w:cs="Times New Roman"/>
          <w:sz w:val="24"/>
          <w:szCs w:val="24"/>
          <w:vertAlign w:val="subscript"/>
          <w:lang w:val="en-US"/>
        </w:rPr>
        <w:t>1</w:t>
      </w:r>
      <w:r w:rsidRPr="002D51CD">
        <w:rPr>
          <w:rFonts w:ascii="Times New Roman" w:hAnsi="Times New Roman" w:cs="Times New Roman"/>
          <w:sz w:val="24"/>
          <w:szCs w:val="24"/>
          <w:lang w:val="en-US"/>
        </w:rPr>
        <w:t xml:space="preserve">CCt-1 + </w:t>
      </w:r>
      <w:r w:rsidRPr="002D51CD">
        <w:rPr>
          <w:rFonts w:ascii="Times New Roman" w:hAnsi="Times New Roman" w:cs="Times New Roman"/>
          <w:sz w:val="24"/>
          <w:szCs w:val="24"/>
        </w:rPr>
        <w:t>β</w:t>
      </w:r>
      <w:r w:rsidRPr="002D51CD">
        <w:rPr>
          <w:rFonts w:ascii="Times New Roman" w:hAnsi="Times New Roman" w:cs="Times New Roman"/>
          <w:sz w:val="24"/>
          <w:szCs w:val="24"/>
          <w:vertAlign w:val="subscript"/>
          <w:lang w:val="en-US"/>
        </w:rPr>
        <w:t>2</w:t>
      </w:r>
      <w:r w:rsidRPr="002D51CD">
        <w:rPr>
          <w:rFonts w:ascii="Times New Roman" w:hAnsi="Times New Roman" w:cs="Times New Roman"/>
          <w:sz w:val="24"/>
          <w:szCs w:val="24"/>
          <w:lang w:val="en-US"/>
        </w:rPr>
        <w:t xml:space="preserve">CCt + </w:t>
      </w:r>
      <w:r w:rsidRPr="002D51CD">
        <w:rPr>
          <w:rFonts w:ascii="Times New Roman" w:hAnsi="Times New Roman" w:cs="Times New Roman"/>
          <w:sz w:val="24"/>
          <w:szCs w:val="24"/>
        </w:rPr>
        <w:t>β</w:t>
      </w:r>
      <w:r w:rsidRPr="002D51CD">
        <w:rPr>
          <w:rFonts w:ascii="Times New Roman" w:hAnsi="Times New Roman" w:cs="Times New Roman"/>
          <w:sz w:val="24"/>
          <w:szCs w:val="24"/>
          <w:vertAlign w:val="subscript"/>
          <w:lang w:val="en-US"/>
        </w:rPr>
        <w:t>3</w:t>
      </w:r>
      <w:r w:rsidRPr="002D51CD">
        <w:rPr>
          <w:rFonts w:ascii="Times New Roman" w:hAnsi="Times New Roman" w:cs="Times New Roman"/>
          <w:sz w:val="24"/>
          <w:szCs w:val="24"/>
          <w:lang w:val="en-US"/>
        </w:rPr>
        <w:t xml:space="preserve">CCt+1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(5)</w:t>
      </w:r>
    </w:p>
    <w:p w:rsidR="002D51CD" w:rsidRPr="002D51CD" w:rsidRDefault="002D51CD" w:rsidP="002D51CD">
      <w:pPr>
        <w:autoSpaceDE w:val="0"/>
        <w:autoSpaceDN w:val="0"/>
        <w:adjustRightInd w:val="0"/>
        <w:spacing w:after="0" w:line="360" w:lineRule="auto"/>
        <w:rPr>
          <w:rFonts w:ascii="Times New Roman" w:hAnsi="Times New Roman" w:cs="Times New Roman"/>
          <w:sz w:val="24"/>
          <w:szCs w:val="24"/>
          <w:lang w:val="en-US"/>
        </w:rPr>
      </w:pPr>
    </w:p>
    <w:p w:rsidR="002D51CD" w:rsidRPr="002D51CD" w:rsidRDefault="002D51CD" w:rsidP="002D51CD">
      <w:pPr>
        <w:autoSpaceDE w:val="0"/>
        <w:autoSpaceDN w:val="0"/>
        <w:adjustRightInd w:val="0"/>
        <w:spacing w:after="0"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where </w:t>
      </w:r>
      <w:proofErr w:type="spellStart"/>
      <w:r w:rsidRPr="002D51CD">
        <w:rPr>
          <w:rFonts w:ascii="Times New Roman" w:hAnsi="Times New Roman" w:cs="Times New Roman"/>
          <w:sz w:val="24"/>
          <w:szCs w:val="24"/>
          <w:lang w:val="en-US"/>
        </w:rPr>
        <w:t>rgold</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is the returns of gold  at time t, CCt  is the University of Michigan Consumer Confidence Sentiment standardized values at time t (contemporaneous), CC</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and 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are the standardized values at time t-1 and t+1 (leading and lagging respectively), </w:t>
      </w:r>
      <w:r w:rsidRPr="002D51CD">
        <w:rPr>
          <w:rFonts w:ascii="Times New Roman" w:hAnsi="Times New Roman" w:cs="Times New Roman"/>
          <w:sz w:val="24"/>
          <w:szCs w:val="24"/>
        </w:rPr>
        <w:t>β</w:t>
      </w:r>
      <w:r w:rsidRPr="002D51CD">
        <w:rPr>
          <w:rFonts w:ascii="Times New Roman" w:hAnsi="Times New Roman" w:cs="Times New Roman"/>
          <w:sz w:val="24"/>
          <w:szCs w:val="24"/>
          <w:vertAlign w:val="subscript"/>
          <w:lang w:val="en-US"/>
        </w:rPr>
        <w:t>1</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β</w:t>
      </w:r>
      <w:r w:rsidRPr="002D51CD">
        <w:rPr>
          <w:rFonts w:ascii="Times New Roman" w:hAnsi="Times New Roman" w:cs="Times New Roman"/>
          <w:sz w:val="24"/>
          <w:szCs w:val="24"/>
          <w:vertAlign w:val="subscript"/>
          <w:lang w:val="en-US"/>
        </w:rPr>
        <w:t xml:space="preserve">2 </w:t>
      </w:r>
      <w:r w:rsidRPr="002D51CD">
        <w:rPr>
          <w:rFonts w:ascii="Times New Roman" w:hAnsi="Times New Roman" w:cs="Times New Roman"/>
          <w:sz w:val="24"/>
          <w:szCs w:val="24"/>
          <w:lang w:val="en-US"/>
        </w:rPr>
        <w:t xml:space="preserve">and </w:t>
      </w:r>
      <w:r w:rsidRPr="002D51CD">
        <w:rPr>
          <w:rFonts w:ascii="Times New Roman" w:hAnsi="Times New Roman" w:cs="Times New Roman"/>
          <w:sz w:val="24"/>
          <w:szCs w:val="24"/>
        </w:rPr>
        <w:t>β</w:t>
      </w:r>
      <w:r w:rsidRPr="002D51CD">
        <w:rPr>
          <w:rFonts w:ascii="Times New Roman" w:hAnsi="Times New Roman" w:cs="Times New Roman"/>
          <w:sz w:val="24"/>
          <w:szCs w:val="24"/>
          <w:vertAlign w:val="subscript"/>
          <w:lang w:val="en-US"/>
        </w:rPr>
        <w:t>3</w:t>
      </w:r>
      <w:r w:rsidRPr="002D51CD">
        <w:rPr>
          <w:rFonts w:ascii="Times New Roman" w:hAnsi="Times New Roman" w:cs="Times New Roman"/>
          <w:sz w:val="24"/>
          <w:szCs w:val="24"/>
          <w:lang w:val="en-US"/>
        </w:rPr>
        <w:t xml:space="preserve"> are the corresponding coefficients and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stands for the error term.</w:t>
      </w:r>
    </w:p>
    <w:p w:rsidR="002D51CD" w:rsidRPr="002D51CD" w:rsidRDefault="002D51CD" w:rsidP="002D51CD">
      <w:pPr>
        <w:autoSpaceDE w:val="0"/>
        <w:autoSpaceDN w:val="0"/>
        <w:adjustRightInd w:val="0"/>
        <w:spacing w:after="0" w:line="360" w:lineRule="auto"/>
        <w:rPr>
          <w:rFonts w:ascii="Times New Roman" w:hAnsi="Times New Roman" w:cs="Times New Roman"/>
          <w:sz w:val="24"/>
          <w:szCs w:val="24"/>
          <w:lang w:val="en-US"/>
        </w:rPr>
      </w:pP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We concentrated on the p-values of each coefficient. The intuition is that we should include the indication of the index with the lowest p-value (equivalent to the highest obtained t-statistic in absolute terms). For the above mentioned example, we argue that the 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should be used when running the regression for the returns of gold. Table 4 (a) in Appendix A demonstrates our results. At a first glance, we see that the indication among different asset classes is different but even within the same asset class it is not always the same. More specifically, for the asset class of commodities the indications are quite different. Only the Univ</w:t>
      </w:r>
      <w:r w:rsidR="00A13223">
        <w:rPr>
          <w:rFonts w:ascii="Times New Roman" w:hAnsi="Times New Roman" w:cs="Times New Roman"/>
          <w:sz w:val="24"/>
          <w:szCs w:val="24"/>
          <w:lang w:val="en-US"/>
        </w:rPr>
        <w:t>ersity</w:t>
      </w:r>
      <w:r w:rsidRPr="002D51CD">
        <w:rPr>
          <w:rFonts w:ascii="Times New Roman" w:hAnsi="Times New Roman" w:cs="Times New Roman"/>
          <w:sz w:val="24"/>
          <w:szCs w:val="24"/>
          <w:lang w:val="en-US"/>
        </w:rPr>
        <w:t xml:space="preserve"> </w:t>
      </w:r>
      <w:proofErr w:type="gramStart"/>
      <w:r w:rsidRPr="002D51CD">
        <w:rPr>
          <w:rFonts w:ascii="Times New Roman" w:hAnsi="Times New Roman" w:cs="Times New Roman"/>
          <w:sz w:val="24"/>
          <w:szCs w:val="24"/>
          <w:lang w:val="en-US"/>
        </w:rPr>
        <w:t>of</w:t>
      </w:r>
      <w:proofErr w:type="gramEnd"/>
      <w:r w:rsidRPr="002D51CD">
        <w:rPr>
          <w:rFonts w:ascii="Times New Roman" w:hAnsi="Times New Roman" w:cs="Times New Roman"/>
          <w:sz w:val="24"/>
          <w:szCs w:val="24"/>
          <w:lang w:val="en-US"/>
        </w:rPr>
        <w:t xml:space="preserve"> Michigan Consumer Confidence Sentiment (CC) has the same indication for all commodities. This comes to support the findings of Brooks and Prokopczuk (2011). The authors attempted to examine whether different commodities’ (crude oil, gasoline, gold, silver, soybeans and wheat) returns move homogeneously. They reported that commodities lack of homogeneity at a high degree thus the treatment of conceiving different commodity families as a joined asset class becomes fallacious. Looking at the indications for currencies, we see that </w:t>
      </w:r>
      <w:r w:rsidR="00A13223">
        <w:rPr>
          <w:rFonts w:ascii="Times New Roman" w:hAnsi="Times New Roman" w:cs="Times New Roman"/>
          <w:sz w:val="24"/>
          <w:szCs w:val="24"/>
          <w:lang w:val="en-US"/>
        </w:rPr>
        <w:t>only the</w:t>
      </w:r>
      <w:r w:rsidRPr="002D51CD">
        <w:rPr>
          <w:rFonts w:ascii="Times New Roman" w:hAnsi="Times New Roman" w:cs="Times New Roman"/>
          <w:sz w:val="24"/>
          <w:szCs w:val="24"/>
          <w:lang w:val="en-US"/>
        </w:rPr>
        <w:t xml:space="preserve"> VIX has the same indication for all three currencies (t-1) which is expected due to the fact that it is a forward looking index. For </w:t>
      </w:r>
      <w:r w:rsidRPr="002D51CD">
        <w:rPr>
          <w:rFonts w:ascii="Times New Roman" w:hAnsi="Times New Roman" w:cs="Times New Roman"/>
          <w:sz w:val="24"/>
          <w:szCs w:val="24"/>
          <w:lang w:val="en-US"/>
        </w:rPr>
        <w:lastRenderedPageBreak/>
        <w:t xml:space="preserve">the other asset classes though, the results for VIX are rather mixed. The percentage for bonds is slightly higher (62.5%). This is contemplated since government bonds of Germany are, perhaps, the safest in the Euro zone even during the crisis and did not lose their attractiveness and their safe character. For U.S stocks (Russell 1000 and Russell 2000) almost 88% of the indices (7 out of 8, PCR was the only exception) are having the same indication while for German stocks the percentage falls down to 50% (4 out of 8). Furthermore, we can distinguish that the indication for U.S and German stocks is different. For instance, Merrill Lynch’s Risk Aversion Indicator (ML_RAI) is contemporaneous for U.S while lagging for Germany. This may steam from the fact that the majority of the indices are constructed from U.S components thus a different indication is justifiable.  </w:t>
      </w: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3.2.1 Methodology for commodities</w:t>
      </w:r>
    </w:p>
    <w:p w:rsidR="002D51CD" w:rsidRPr="002D51CD" w:rsidRDefault="002D51CD" w:rsidP="002D51CD">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Our aim is to check the relationship between the returns of the selected commodities with the indices that measure risk appetite or aversion. To accomplish that, we define the returns of commodities as our dependent variable and the indices as our independent. The regression formulas for each commodity were the following:</w:t>
      </w:r>
    </w:p>
    <w:p w:rsidR="002D51CD" w:rsidRPr="002D51CD" w:rsidRDefault="002D51CD" w:rsidP="002D51CD">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p>
    <w:p w:rsidR="002D51CD" w:rsidRPr="002D51CD" w:rsidRDefault="002D51CD" w:rsidP="002D51CD">
      <w:pPr>
        <w:spacing w:line="360" w:lineRule="auto"/>
        <w:jc w:val="both"/>
        <w:rPr>
          <w:rFonts w:ascii="Times New Roman" w:hAnsi="Times New Roman" w:cs="Times New Roman"/>
          <w:sz w:val="24"/>
          <w:szCs w:val="24"/>
          <w:lang w:val="en-US"/>
        </w:rPr>
      </w:pPr>
      <w:proofErr w:type="spellStart"/>
      <w:proofErr w:type="gramStart"/>
      <w:r w:rsidRPr="002D51CD">
        <w:rPr>
          <w:rFonts w:ascii="Times New Roman" w:hAnsi="Times New Roman" w:cs="Times New Roman"/>
          <w:sz w:val="24"/>
          <w:szCs w:val="24"/>
          <w:lang w:val="en-US"/>
        </w:rPr>
        <w:t>rgold</w:t>
      </w:r>
      <w:r w:rsidRPr="002D51CD">
        <w:rPr>
          <w:rFonts w:ascii="Times New Roman" w:hAnsi="Times New Roman" w:cs="Times New Roman"/>
          <w:sz w:val="24"/>
          <w:szCs w:val="24"/>
          <w:vertAlign w:val="subscript"/>
          <w:lang w:val="en-US"/>
        </w:rPr>
        <w:t>t</w:t>
      </w:r>
      <w:proofErr w:type="spellEnd"/>
      <w:proofErr w:type="gram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(6)</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proofErr w:type="gramStart"/>
      <w:r w:rsidRPr="002D51CD">
        <w:rPr>
          <w:rFonts w:ascii="Times New Roman" w:hAnsi="Times New Roman" w:cs="Times New Roman"/>
          <w:sz w:val="24"/>
          <w:szCs w:val="24"/>
          <w:lang w:val="en-US"/>
        </w:rPr>
        <w:t>rcorn</w:t>
      </w:r>
      <w:r w:rsidRPr="002D51CD">
        <w:rPr>
          <w:rFonts w:ascii="Times New Roman" w:hAnsi="Times New Roman" w:cs="Times New Roman"/>
          <w:sz w:val="24"/>
          <w:szCs w:val="24"/>
          <w:vertAlign w:val="subscript"/>
          <w:lang w:val="en-US"/>
        </w:rPr>
        <w:t>t</w:t>
      </w:r>
      <w:proofErr w:type="spellEnd"/>
      <w:proofErr w:type="gram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(7)</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proofErr w:type="gramStart"/>
      <w:r w:rsidRPr="002D51CD">
        <w:rPr>
          <w:rFonts w:ascii="Times New Roman" w:hAnsi="Times New Roman" w:cs="Times New Roman"/>
          <w:sz w:val="24"/>
          <w:szCs w:val="24"/>
          <w:lang w:val="en-US"/>
        </w:rPr>
        <w:t>rcopper</w:t>
      </w:r>
      <w:r w:rsidRPr="002D51CD">
        <w:rPr>
          <w:rFonts w:ascii="Times New Roman" w:hAnsi="Times New Roman" w:cs="Times New Roman"/>
          <w:sz w:val="24"/>
          <w:szCs w:val="24"/>
          <w:vertAlign w:val="subscript"/>
          <w:lang w:val="en-US"/>
        </w:rPr>
        <w:t>t</w:t>
      </w:r>
      <w:proofErr w:type="spellEnd"/>
      <w:proofErr w:type="gram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(8)</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where </w:t>
      </w:r>
      <w:proofErr w:type="spellStart"/>
      <w:r w:rsidRPr="002D51CD">
        <w:rPr>
          <w:rFonts w:ascii="Times New Roman" w:hAnsi="Times New Roman" w:cs="Times New Roman"/>
          <w:sz w:val="24"/>
          <w:szCs w:val="24"/>
          <w:lang w:val="en-US"/>
        </w:rPr>
        <w:t>rgold</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w:t>
      </w:r>
      <w:proofErr w:type="spellStart"/>
      <w:r w:rsidRPr="002D51CD">
        <w:rPr>
          <w:rFonts w:ascii="Times New Roman" w:hAnsi="Times New Roman" w:cs="Times New Roman"/>
          <w:sz w:val="24"/>
          <w:szCs w:val="24"/>
          <w:lang w:val="en-US"/>
        </w:rPr>
        <w:t>rcorn</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and </w:t>
      </w:r>
      <w:proofErr w:type="spellStart"/>
      <w:r w:rsidRPr="002D51CD">
        <w:rPr>
          <w:rFonts w:ascii="Times New Roman" w:hAnsi="Times New Roman" w:cs="Times New Roman"/>
          <w:sz w:val="24"/>
          <w:szCs w:val="24"/>
          <w:lang w:val="en-US"/>
        </w:rPr>
        <w:t>rcopper</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depict the returns of gold, corn and copper at time t respectively,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is the constant,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 xml:space="preserve">, and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 xml:space="preserve"> are the coefficients of the Baker and Wurgler (BW), University of Michigan Consumer Confidence Sentiment (CC), State Street Investor Confidence Index (ICI), Merrill Lynch’s Risk Aversion Indicator (ML_RAI), Global Risk Appetite Monitor by Nomura (NGRAM), Put-Call Ratio (PCR), VIX Index (VIX) and Westpac Risk Appetite (WP) with the appropriate indication respectively and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is the error term.</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To calculate the returns we used the above equation:</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r w:rsidRPr="002D51CD">
        <w:rPr>
          <w:rFonts w:ascii="Times New Roman" w:hAnsi="Times New Roman" w:cs="Times New Roman"/>
          <w:sz w:val="24"/>
          <w:szCs w:val="24"/>
          <w:lang w:val="en-US"/>
        </w:rPr>
        <w:t>Returns</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log (P</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 log (P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(9)</w:t>
      </w:r>
    </w:p>
    <w:p w:rsidR="002D51CD" w:rsidRPr="002D51CD" w:rsidRDefault="002D51CD" w:rsidP="002D51CD">
      <w:pPr>
        <w:spacing w:line="360" w:lineRule="auto"/>
        <w:jc w:val="both"/>
        <w:rPr>
          <w:rFonts w:ascii="Times New Roman" w:hAnsi="Times New Roman" w:cs="Times New Roman"/>
          <w:sz w:val="24"/>
          <w:szCs w:val="24"/>
          <w:lang w:val="en-US"/>
        </w:rPr>
      </w:pPr>
      <w:proofErr w:type="gramStart"/>
      <w:r w:rsidRPr="002D51CD">
        <w:rPr>
          <w:rFonts w:ascii="Times New Roman" w:hAnsi="Times New Roman" w:cs="Times New Roman"/>
          <w:sz w:val="24"/>
          <w:szCs w:val="24"/>
          <w:lang w:val="en-US"/>
        </w:rPr>
        <w:lastRenderedPageBreak/>
        <w:t>where</w:t>
      </w:r>
      <w:proofErr w:type="gramEnd"/>
      <w:r w:rsidRPr="002D51CD">
        <w:rPr>
          <w:rFonts w:ascii="Times New Roman" w:hAnsi="Times New Roman" w:cs="Times New Roman"/>
          <w:sz w:val="24"/>
          <w:szCs w:val="24"/>
          <w:lang w:val="en-US"/>
        </w:rPr>
        <w:t xml:space="preserve"> log (P</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stands for the natural logarithm of price at time t and log (P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at time t-1.     </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By using the returns, which is a very common process in finance, we cope with two phenomena that could distort our results, namely stationarity and outliers. In general, a variable is called stationary when it fluctuates around its mean, or put it differently when it exhibits mean reversion (Hill et al., 2012). When performing an Ordinary Least Square (OLS) regression stationary variables are a prerequisite. Two alternatives are available to examine for the presence or not of stationarity. The first one, which could be dubbed as an eyeball test, is to look at a simple graph of the level of the values and check whether there is evidence of a pattern or of a trend. If the graph displays such a pattern then we should be alarmed for the existence of a non stationary variable. The second one, which is more accredited, is to perform an Augmented Dickey-Fuller (ADF) test. This test presents a table which provides values of a t-statistic and the critical values for different levels of confidence (1, 5 and 10%). If the absolute value of the t-statistic is less than those critical values then we accept the null hypothesis meaning that our data are non stationary. To cope with stationarity, a common practice is to take instead of levels their first differences. Outliers on the other hand, are extreme values in our sample that can be recognized as a source of bias if taken into account. Outliers can be identified by exploring a simple box plot and a typical way to exclude them is to take the natural logarithm of the values oppositely to the raw data.</w:t>
      </w: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3.2.2 Methodology for currencies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To analyze exchange rate movements with regard to sentiment, we run a regression with the exchange rate of the Swiss franc (CHF) to U.S Dollar ($), the Euro (€) to U.S Dollar ($) and the Australian Dollar (AUD) to U.S Dollar ($) as the dependent variables. Since our currency pairs are of different scale, we will use their returns for our analysis in order the results to be more comparable. Equations above present the regressions that were performed:</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r w:rsidRPr="002D51CD">
        <w:rPr>
          <w:rFonts w:ascii="Times New Roman" w:hAnsi="Times New Roman" w:cs="Times New Roman"/>
          <w:sz w:val="24"/>
          <w:szCs w:val="24"/>
          <w:lang w:val="en-US"/>
        </w:rPr>
        <w:t>rswiss_usd</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proofErr w:type="spellStart"/>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proofErr w:type="spellStart"/>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(10)         </w:t>
      </w:r>
    </w:p>
    <w:p w:rsidR="002D51CD" w:rsidRPr="002D51CD" w:rsidRDefault="002D51CD" w:rsidP="002D51CD">
      <w:pPr>
        <w:spacing w:line="360" w:lineRule="auto"/>
        <w:jc w:val="both"/>
        <w:rPr>
          <w:rFonts w:ascii="Times New Roman" w:hAnsi="Times New Roman" w:cs="Times New Roman"/>
          <w:sz w:val="24"/>
          <w:szCs w:val="24"/>
          <w:vertAlign w:val="subscript"/>
          <w:lang w:val="en-US"/>
        </w:rPr>
      </w:pPr>
      <w:proofErr w:type="spellStart"/>
      <w:r w:rsidRPr="002D51CD">
        <w:rPr>
          <w:rFonts w:ascii="Times New Roman" w:hAnsi="Times New Roman" w:cs="Times New Roman"/>
          <w:sz w:val="24"/>
          <w:szCs w:val="24"/>
          <w:lang w:val="en-US"/>
        </w:rPr>
        <w:t>reur_usd</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(11)</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r w:rsidRPr="002D51CD">
        <w:rPr>
          <w:rFonts w:ascii="Times New Roman" w:hAnsi="Times New Roman" w:cs="Times New Roman"/>
          <w:sz w:val="24"/>
          <w:szCs w:val="24"/>
          <w:lang w:val="en-US"/>
        </w:rPr>
        <w:t>raud_usd</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proofErr w:type="spellStart"/>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proofErr w:type="spellStart"/>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(12)  </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lastRenderedPageBreak/>
        <w:t xml:space="preserve">where </w:t>
      </w:r>
      <w:proofErr w:type="spellStart"/>
      <w:r w:rsidRPr="002D51CD">
        <w:rPr>
          <w:rFonts w:ascii="Times New Roman" w:hAnsi="Times New Roman" w:cs="Times New Roman"/>
          <w:sz w:val="24"/>
          <w:szCs w:val="24"/>
          <w:lang w:val="en-US"/>
        </w:rPr>
        <w:t>rswiss_usd</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w:t>
      </w:r>
      <w:proofErr w:type="spellStart"/>
      <w:r w:rsidRPr="002D51CD">
        <w:rPr>
          <w:rFonts w:ascii="Times New Roman" w:hAnsi="Times New Roman" w:cs="Times New Roman"/>
          <w:sz w:val="24"/>
          <w:szCs w:val="24"/>
          <w:lang w:val="en-US"/>
        </w:rPr>
        <w:t>reur_usd</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and </w:t>
      </w:r>
      <w:proofErr w:type="spellStart"/>
      <w:r w:rsidRPr="002D51CD">
        <w:rPr>
          <w:rFonts w:ascii="Times New Roman" w:hAnsi="Times New Roman" w:cs="Times New Roman"/>
          <w:sz w:val="24"/>
          <w:szCs w:val="24"/>
          <w:lang w:val="en-US"/>
        </w:rPr>
        <w:t>raud_usd</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are the returns of Swiss franc, Euro and Australian Dollar to U.S Dollar at time t respectively,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is the constant,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 xml:space="preserve">, and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 xml:space="preserve"> are the coefficients of the Baker and Wurgler (BW), University of Michigan Consumer Confidence Sentiment (CC), State Street Investor Confidence Index (ICI), Merrill Lynch’s Risk Aversion Indicator (ML_RAI), Global Risk Appetite Monitor by Nomura (NGRAM), Put-Call Ratio (PCR), VIX Index (VIX) and Westpac Risk Appetite (WP) with the appropriate indication respectively and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is the error term. </w:t>
      </w:r>
      <w:r w:rsidRPr="002D51CD">
        <w:rPr>
          <w:rFonts w:ascii="Times New Roman" w:hAnsi="Times New Roman" w:cs="Times New Roman"/>
          <w:sz w:val="24"/>
          <w:szCs w:val="24"/>
          <w:vertAlign w:val="subscript"/>
          <w:lang w:val="en-US"/>
        </w:rPr>
        <w:t xml:space="preserve"> </w:t>
      </w: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3.2.3 Methodology for bonds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Place (2000) proposed that when the goal is to compare bonds it is more appropriate to use their yields. Taken that into consideration and aligned with Upper (2000), we used the yield spread of our selected bonds as our dependent variables and the indices as our independent. In this format, we will examine the correlation among government bonds and investor sentiment. More formally, the regression that we run is the following:</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r w:rsidRPr="002D51CD">
        <w:rPr>
          <w:rFonts w:ascii="Times New Roman" w:hAnsi="Times New Roman" w:cs="Times New Roman"/>
          <w:sz w:val="24"/>
          <w:szCs w:val="24"/>
          <w:lang w:val="en-US"/>
        </w:rPr>
        <w:t>yldspreadU.S</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006A6428">
        <w:rPr>
          <w:rFonts w:ascii="Times New Roman" w:hAnsi="Times New Roman" w:cs="Times New Roman"/>
          <w:sz w:val="24"/>
          <w:szCs w:val="24"/>
          <w:vertAlign w:val="subscript"/>
          <w:lang w:val="en-US"/>
        </w:rPr>
        <w:t>t-</w:t>
      </w:r>
      <w:r w:rsidRPr="002D51CD">
        <w:rPr>
          <w:rFonts w:ascii="Times New Roman" w:hAnsi="Times New Roman" w:cs="Times New Roman"/>
          <w:sz w:val="24"/>
          <w:szCs w:val="24"/>
          <w:vertAlign w:val="subscript"/>
          <w:lang w:val="en-US"/>
        </w:rPr>
        <w:t xml:space="preserve">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proofErr w:type="spellStart"/>
      <w:r w:rsidRPr="002D51CD">
        <w:rPr>
          <w:rFonts w:ascii="Times New Roman" w:hAnsi="Times New Roman" w:cs="Times New Roman"/>
          <w:sz w:val="24"/>
          <w:szCs w:val="24"/>
          <w:lang w:val="en-US"/>
        </w:rPr>
        <w:t>PCR</w:t>
      </w:r>
      <w:r w:rsidR="006A6428">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006A6428">
        <w:rPr>
          <w:rFonts w:ascii="Times New Roman" w:hAnsi="Times New Roman" w:cs="Times New Roman"/>
          <w:sz w:val="24"/>
          <w:szCs w:val="24"/>
          <w:vertAlign w:val="subscript"/>
          <w:lang w:val="en-US"/>
        </w:rPr>
        <w:t>t-</w:t>
      </w:r>
      <w:r w:rsidRPr="002D51CD">
        <w:rPr>
          <w:rFonts w:ascii="Times New Roman" w:hAnsi="Times New Roman" w:cs="Times New Roman"/>
          <w:sz w:val="24"/>
          <w:szCs w:val="24"/>
          <w:vertAlign w:val="subscript"/>
          <w:lang w:val="en-US"/>
        </w:rPr>
        <w:t xml:space="preserve">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(13)</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proofErr w:type="gramStart"/>
      <w:r w:rsidRPr="002D51CD">
        <w:rPr>
          <w:rFonts w:ascii="Times New Roman" w:hAnsi="Times New Roman" w:cs="Times New Roman"/>
          <w:sz w:val="24"/>
          <w:szCs w:val="24"/>
          <w:lang w:val="en-US"/>
        </w:rPr>
        <w:t>yldspreadG</w:t>
      </w:r>
      <w:r w:rsidRPr="002D51CD">
        <w:rPr>
          <w:rFonts w:ascii="Times New Roman" w:hAnsi="Times New Roman" w:cs="Times New Roman"/>
          <w:sz w:val="24"/>
          <w:szCs w:val="24"/>
          <w:vertAlign w:val="subscript"/>
          <w:lang w:val="en-US"/>
        </w:rPr>
        <w:t>t</w:t>
      </w:r>
      <w:proofErr w:type="spellEnd"/>
      <w:proofErr w:type="gram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006A6428">
        <w:rPr>
          <w:rFonts w:ascii="Times New Roman" w:hAnsi="Times New Roman" w:cs="Times New Roman"/>
          <w:sz w:val="24"/>
          <w:szCs w:val="24"/>
          <w:vertAlign w:val="subscript"/>
          <w:lang w:val="en-US"/>
        </w:rPr>
        <w:t>t+</w:t>
      </w:r>
      <w:r w:rsidRPr="002D51CD">
        <w:rPr>
          <w:rFonts w:ascii="Times New Roman" w:hAnsi="Times New Roman" w:cs="Times New Roman"/>
          <w:sz w:val="24"/>
          <w:szCs w:val="24"/>
          <w:vertAlign w:val="subscript"/>
          <w:lang w:val="en-US"/>
        </w:rPr>
        <w:t xml:space="preserve">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t</w:t>
      </w:r>
      <w:r w:rsidR="006A6428">
        <w:rPr>
          <w:rFonts w:ascii="Times New Roman" w:hAnsi="Times New Roman" w:cs="Times New Roman"/>
          <w:sz w:val="24"/>
          <w:szCs w:val="24"/>
          <w:vertAlign w:val="subscript"/>
          <w:lang w:val="en-US"/>
        </w:rPr>
        <w:t>-1</w:t>
      </w:r>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006A6428">
        <w:rPr>
          <w:rFonts w:ascii="Times New Roman" w:hAnsi="Times New Roman" w:cs="Times New Roman"/>
          <w:sz w:val="24"/>
          <w:szCs w:val="24"/>
          <w:vertAlign w:val="subscript"/>
          <w:lang w:val="en-US"/>
        </w:rPr>
        <w:t>t+</w:t>
      </w:r>
      <w:r w:rsidRPr="002D51CD">
        <w:rPr>
          <w:rFonts w:ascii="Times New Roman" w:hAnsi="Times New Roman" w:cs="Times New Roman"/>
          <w:sz w:val="24"/>
          <w:szCs w:val="24"/>
          <w:vertAlign w:val="subscript"/>
          <w:lang w:val="en-US"/>
        </w:rPr>
        <w:t xml:space="preserve">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(14)</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where </w:t>
      </w:r>
      <w:proofErr w:type="spellStart"/>
      <w:r w:rsidRPr="002D51CD">
        <w:rPr>
          <w:rFonts w:ascii="Times New Roman" w:hAnsi="Times New Roman" w:cs="Times New Roman"/>
          <w:sz w:val="24"/>
          <w:szCs w:val="24"/>
          <w:lang w:val="en-US"/>
        </w:rPr>
        <w:t>yldspreadU.S</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w:t>
      </w:r>
      <w:proofErr w:type="spellStart"/>
      <w:r w:rsidRPr="002D51CD">
        <w:rPr>
          <w:rFonts w:ascii="Times New Roman" w:hAnsi="Times New Roman" w:cs="Times New Roman"/>
          <w:sz w:val="24"/>
          <w:szCs w:val="24"/>
          <w:lang w:val="en-US"/>
        </w:rPr>
        <w:t>yldspreadG</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stands for the yield spread of U.S (Germany) government bonds with a ten year to maturity at time t,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is the constant,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 xml:space="preserve">, and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 xml:space="preserve"> are the coefficients of the Baker and Wurgler (BW), University of Michigan Consumer Confidence Sentiment (CC), State Street Investor Confidence Index (ICI), Merrill Lynch’s Risk Aversion Indicator (ML_RAI), Global Risk Appetite Monitor by Nomura (NGRAM), Put-Call Ratio (PCR), VIX Index (VIX) and Westpac Risk Appetite (WP) with the appropriate indication respectively and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is the error term.</w:t>
      </w: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3.2.4 Methodology for stocks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The methodology applied is based on the one by Baker and Wurgler (2006) nonetheless with several alterations. Our intention is to examine whether sentiment can be used as an explanatory factor of the swings in returns of stocks. Instead of using various proxies that purport to capture sentiment –for instance CEFD, the number of IPOs and IPOs’ first day returns or surveys- directly like other researchers did (Baker and Wurgler, Brown and Cliff among them) we will </w:t>
      </w:r>
      <w:r w:rsidRPr="002D51CD">
        <w:rPr>
          <w:rFonts w:ascii="Times New Roman" w:hAnsi="Times New Roman" w:cs="Times New Roman"/>
          <w:sz w:val="24"/>
          <w:szCs w:val="24"/>
          <w:lang w:val="en-US"/>
        </w:rPr>
        <w:lastRenderedPageBreak/>
        <w:t>use the values from existing indices as explanatory variables. To check this, we run a regression using the following equation:</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rRus1000</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proofErr w:type="spellStart"/>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proofErr w:type="spellStart"/>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(15)</w:t>
      </w:r>
    </w:p>
    <w:p w:rsidR="002D51CD" w:rsidRPr="002D51CD" w:rsidRDefault="002D51CD" w:rsidP="002D51CD">
      <w:pPr>
        <w:spacing w:line="360" w:lineRule="auto"/>
        <w:ind w:left="709" w:hanging="709"/>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rRus2000</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proofErr w:type="spellStart"/>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proofErr w:type="spellStart"/>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proofErr w:type="spellStart"/>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(16)  </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proofErr w:type="gramStart"/>
      <w:r w:rsidRPr="002D51CD">
        <w:rPr>
          <w:rFonts w:ascii="Times New Roman" w:hAnsi="Times New Roman" w:cs="Times New Roman"/>
          <w:sz w:val="24"/>
          <w:szCs w:val="24"/>
          <w:lang w:val="en-US"/>
        </w:rPr>
        <w:t>rDAX</w:t>
      </w:r>
      <w:r w:rsidRPr="002D51CD">
        <w:rPr>
          <w:rFonts w:ascii="Times New Roman" w:hAnsi="Times New Roman" w:cs="Times New Roman"/>
          <w:sz w:val="24"/>
          <w:szCs w:val="24"/>
          <w:vertAlign w:val="subscript"/>
          <w:lang w:val="en-US"/>
        </w:rPr>
        <w:t>t</w:t>
      </w:r>
      <w:proofErr w:type="spellEnd"/>
      <w:proofErr w:type="gram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005A47C1">
        <w:rPr>
          <w:rFonts w:ascii="Times New Roman" w:hAnsi="Times New Roman" w:cs="Times New Roman"/>
          <w:sz w:val="24"/>
          <w:szCs w:val="24"/>
          <w:vertAlign w:val="subscript"/>
          <w:lang w:val="en-US"/>
        </w:rPr>
        <w:t>t-</w:t>
      </w:r>
      <w:r w:rsidRPr="002D51CD">
        <w:rPr>
          <w:rFonts w:ascii="Times New Roman" w:hAnsi="Times New Roman" w:cs="Times New Roman"/>
          <w:sz w:val="24"/>
          <w:szCs w:val="24"/>
          <w:vertAlign w:val="subscript"/>
          <w:lang w:val="en-US"/>
        </w:rPr>
        <w:t xml:space="preserve">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005A47C1">
        <w:rPr>
          <w:rFonts w:ascii="Times New Roman" w:hAnsi="Times New Roman" w:cs="Times New Roman"/>
          <w:sz w:val="24"/>
          <w:szCs w:val="24"/>
          <w:vertAlign w:val="subscript"/>
          <w:lang w:val="en-US"/>
        </w:rPr>
        <w:t>t-</w:t>
      </w:r>
      <w:r w:rsidRPr="002D51CD">
        <w:rPr>
          <w:rFonts w:ascii="Times New Roman" w:hAnsi="Times New Roman" w:cs="Times New Roman"/>
          <w:sz w:val="24"/>
          <w:szCs w:val="24"/>
          <w:vertAlign w:val="subscript"/>
          <w:lang w:val="en-US"/>
        </w:rPr>
        <w:t xml:space="preserve">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(17)</w:t>
      </w:r>
    </w:p>
    <w:p w:rsidR="002D51CD" w:rsidRPr="002D51CD" w:rsidRDefault="002D51CD" w:rsidP="002D51CD">
      <w:pPr>
        <w:spacing w:line="360" w:lineRule="auto"/>
        <w:jc w:val="both"/>
        <w:rPr>
          <w:rFonts w:ascii="Times New Roman" w:hAnsi="Times New Roman" w:cs="Times New Roman"/>
          <w:sz w:val="24"/>
          <w:szCs w:val="24"/>
          <w:lang w:val="en-US"/>
        </w:rPr>
      </w:pPr>
      <w:proofErr w:type="spellStart"/>
      <w:proofErr w:type="gramStart"/>
      <w:r w:rsidRPr="002D51CD">
        <w:rPr>
          <w:rFonts w:ascii="Times New Roman" w:hAnsi="Times New Roman" w:cs="Times New Roman"/>
          <w:sz w:val="24"/>
          <w:szCs w:val="24"/>
          <w:lang w:val="en-US"/>
        </w:rPr>
        <w:t>rSDAX</w:t>
      </w:r>
      <w:r w:rsidRPr="002D51CD">
        <w:rPr>
          <w:rFonts w:ascii="Times New Roman" w:hAnsi="Times New Roman" w:cs="Times New Roman"/>
          <w:sz w:val="24"/>
          <w:szCs w:val="24"/>
          <w:vertAlign w:val="subscript"/>
          <w:lang w:val="en-US"/>
        </w:rPr>
        <w:t>t</w:t>
      </w:r>
      <w:proofErr w:type="spellEnd"/>
      <w:proofErr w:type="gram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005A47C1">
        <w:rPr>
          <w:rFonts w:ascii="Times New Roman" w:hAnsi="Times New Roman" w:cs="Times New Roman"/>
          <w:sz w:val="24"/>
          <w:szCs w:val="24"/>
          <w:vertAlign w:val="subscript"/>
          <w:lang w:val="en-US"/>
        </w:rPr>
        <w:t>t+</w:t>
      </w:r>
      <w:r w:rsidRPr="002D51CD">
        <w:rPr>
          <w:rFonts w:ascii="Times New Roman" w:hAnsi="Times New Roman" w:cs="Times New Roman"/>
          <w:sz w:val="24"/>
          <w:szCs w:val="24"/>
          <w:vertAlign w:val="subscript"/>
          <w:lang w:val="en-US"/>
        </w:rPr>
        <w:t xml:space="preserve">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005A47C1">
        <w:rPr>
          <w:rFonts w:ascii="Times New Roman" w:hAnsi="Times New Roman" w:cs="Times New Roman"/>
          <w:sz w:val="24"/>
          <w:szCs w:val="24"/>
          <w:vertAlign w:val="subscript"/>
          <w:lang w:val="en-US"/>
        </w:rPr>
        <w:t>t+</w:t>
      </w:r>
      <w:r w:rsidRPr="002D51CD">
        <w:rPr>
          <w:rFonts w:ascii="Times New Roman" w:hAnsi="Times New Roman" w:cs="Times New Roman"/>
          <w:sz w:val="24"/>
          <w:szCs w:val="24"/>
          <w:vertAlign w:val="subscript"/>
          <w:lang w:val="en-US"/>
        </w:rPr>
        <w:t xml:space="preserve">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(18)</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where rRus1000</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rRus2000</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xml:space="preserve">, </w:t>
      </w:r>
      <w:proofErr w:type="spellStart"/>
      <w:r w:rsidRPr="002D51CD">
        <w:rPr>
          <w:rFonts w:ascii="Times New Roman" w:hAnsi="Times New Roman" w:cs="Times New Roman"/>
          <w:sz w:val="24"/>
          <w:szCs w:val="24"/>
          <w:lang w:val="en-US"/>
        </w:rPr>
        <w:t>rDAX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and </w:t>
      </w:r>
      <w:proofErr w:type="spellStart"/>
      <w:r w:rsidRPr="002D51CD">
        <w:rPr>
          <w:rFonts w:ascii="Times New Roman" w:hAnsi="Times New Roman" w:cs="Times New Roman"/>
          <w:sz w:val="24"/>
          <w:szCs w:val="24"/>
          <w:lang w:val="en-US"/>
        </w:rPr>
        <w:t>rSDAX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are the returns of Russell 1000, Russell2000, DAX and SDAX (denominated in U.S Dollars) at time t respectively,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is the constant,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 xml:space="preserve">, and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 xml:space="preserve"> are the coefficients of the Baker and Wurgler (BW), University of Michigan Consumer Confidence Sentiment (CC), State Street Investor Confidence Index (ICI), Merrill Lynch’s Risk Aversion Indicator (ML_RAI), Global Risk Appetite Monitor by Nomura (NGRAM), Put-Call Ratio (PCR), VIX Index (VIX) and Westpac Risk Appetite (WP) with the appropriate indication respectively and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is the error term. </w:t>
      </w:r>
    </w:p>
    <w:p w:rsidR="002D51CD" w:rsidRPr="002D51CD" w:rsidRDefault="002D51CD" w:rsidP="002D51CD">
      <w:pPr>
        <w:autoSpaceDE w:val="0"/>
        <w:autoSpaceDN w:val="0"/>
        <w:adjustRightInd w:val="0"/>
        <w:spacing w:after="0"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We run a regression separately for the returns of small and big capitalization stock indices. Our expectation, based on the findings by Baker and Wurgler (2006), is that the big cap stocks will be less affected by sentiment than the small cap. </w:t>
      </w:r>
    </w:p>
    <w:p w:rsidR="002D51CD" w:rsidRPr="002D51CD" w:rsidRDefault="002D51CD" w:rsidP="002D51CD">
      <w:pPr>
        <w:autoSpaceDE w:val="0"/>
        <w:autoSpaceDN w:val="0"/>
        <w:adjustRightInd w:val="0"/>
        <w:spacing w:after="0" w:line="360" w:lineRule="auto"/>
        <w:jc w:val="both"/>
        <w:rPr>
          <w:rFonts w:ascii="Times New Roman" w:hAnsi="Times New Roman" w:cs="Times New Roman"/>
          <w:sz w:val="24"/>
          <w:szCs w:val="24"/>
          <w:lang w:val="en-US"/>
        </w:rPr>
      </w:pP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3.2.5 Robustness test for stocks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According to Baker and Wurgler (2006), small firms are affected by sentiment more than the big ones. If this is the case with our data, we will run additional regressions to control for the Fama and French (FF) factors. Fama and French (1993) identified that these factors are crucial for the pattern that stocks’ returns exhibit. In particular, they argued that small firms perform better than large ones –i.e. the “small size effect” depicted by the SMB factor which stands for “small minus big capitalization”. Moreover, value stocks, meaning stocks with a high book-to-market-ratio, perform better than growth stocks – i.e. the “value premium” depicted by the HML factor that stands for “high minus low”. The last factor is the general market factor which is depicted by the </w:t>
      </w:r>
      <w:r w:rsidRPr="002D51CD">
        <w:rPr>
          <w:rFonts w:ascii="Times New Roman" w:hAnsi="Times New Roman" w:cs="Times New Roman"/>
          <w:sz w:val="24"/>
          <w:szCs w:val="24"/>
          <w:lang w:val="en-US"/>
        </w:rPr>
        <w:lastRenderedPageBreak/>
        <w:t>market return minus the risk free rate (</w:t>
      </w:r>
      <w:proofErr w:type="spellStart"/>
      <w:r w:rsidRPr="002D51CD">
        <w:rPr>
          <w:rFonts w:ascii="Times New Roman" w:hAnsi="Times New Roman" w:cs="Times New Roman"/>
          <w:sz w:val="24"/>
          <w:szCs w:val="24"/>
          <w:lang w:val="en-US"/>
        </w:rPr>
        <w:t>r</w:t>
      </w:r>
      <w:r w:rsidRPr="002D51CD">
        <w:rPr>
          <w:rFonts w:ascii="Times New Roman" w:hAnsi="Times New Roman" w:cs="Times New Roman"/>
          <w:sz w:val="24"/>
          <w:szCs w:val="24"/>
          <w:vertAlign w:val="subscript"/>
          <w:lang w:val="en-US"/>
        </w:rPr>
        <w:t>m</w:t>
      </w:r>
      <w:r w:rsidRPr="002D51CD">
        <w:rPr>
          <w:rFonts w:ascii="Times New Roman" w:hAnsi="Times New Roman" w:cs="Times New Roman"/>
          <w:sz w:val="24"/>
          <w:szCs w:val="24"/>
          <w:lang w:val="en-US"/>
        </w:rPr>
        <w:t>-r</w:t>
      </w:r>
      <w:r w:rsidRPr="002D51CD">
        <w:rPr>
          <w:rFonts w:ascii="Times New Roman" w:hAnsi="Times New Roman" w:cs="Times New Roman"/>
          <w:sz w:val="24"/>
          <w:szCs w:val="24"/>
          <w:vertAlign w:val="subscript"/>
          <w:lang w:val="en-US"/>
        </w:rPr>
        <w:t>f</w:t>
      </w:r>
      <w:proofErr w:type="spellEnd"/>
      <w:r w:rsidRPr="002D51CD">
        <w:rPr>
          <w:rFonts w:ascii="Times New Roman" w:hAnsi="Times New Roman" w:cs="Times New Roman"/>
          <w:sz w:val="24"/>
          <w:szCs w:val="24"/>
          <w:lang w:val="en-US"/>
        </w:rPr>
        <w:t>). Data for these factors were obtained from K. French’s home page. We used the European factors</w:t>
      </w:r>
      <w:r w:rsidRPr="002D51CD">
        <w:rPr>
          <w:rStyle w:val="FootnoteReference"/>
          <w:rFonts w:ascii="Times New Roman" w:hAnsi="Times New Roman" w:cs="Times New Roman"/>
          <w:sz w:val="24"/>
          <w:szCs w:val="24"/>
        </w:rPr>
        <w:footnoteReference w:id="28"/>
      </w:r>
      <w:r w:rsidRPr="002D51CD">
        <w:rPr>
          <w:rFonts w:ascii="Times New Roman" w:hAnsi="Times New Roman" w:cs="Times New Roman"/>
          <w:sz w:val="24"/>
          <w:szCs w:val="24"/>
          <w:lang w:val="en-US"/>
        </w:rPr>
        <w:t xml:space="preserve"> for DAX and SDAX and the North American</w:t>
      </w:r>
      <w:r w:rsidRPr="002D51CD">
        <w:rPr>
          <w:rStyle w:val="FootnoteReference"/>
          <w:rFonts w:ascii="Times New Roman" w:hAnsi="Times New Roman" w:cs="Times New Roman"/>
          <w:sz w:val="24"/>
          <w:szCs w:val="24"/>
        </w:rPr>
        <w:footnoteReference w:id="29"/>
      </w:r>
      <w:r w:rsidRPr="002D51CD">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2D51CD">
        <w:rPr>
          <w:rFonts w:ascii="Times New Roman" w:hAnsi="Times New Roman" w:cs="Times New Roman"/>
          <w:sz w:val="24"/>
          <w:szCs w:val="24"/>
          <w:lang w:val="en-US"/>
        </w:rPr>
        <w:t>Russell 1000 and Russell 2000. If we take the Fama-French factors into consideration, we expect that the coefficient for sentiment will decrease nonetheless the significance will not be altered (Baker and Wurgler, 2006). Before examining this, we should again check the indication (lead, lag or contemporaneous) of the indices and that of FF-factors. For the difference between the returns of big and small cap stock returns in U.S and German stocks the results are presented in Table 4 (b) in Appendix A. In a similar spirit as before, the regressions we use are the following:</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(rrus1000 – rrus2000</w:t>
      </w:r>
      <w:proofErr w:type="gramStart"/>
      <w:r w:rsidRPr="002D51CD">
        <w:rPr>
          <w:rFonts w:ascii="Times New Roman" w:hAnsi="Times New Roman" w:cs="Times New Roman"/>
          <w:sz w:val="24"/>
          <w:szCs w:val="24"/>
          <w:lang w:val="en-US"/>
        </w:rPr>
        <w:t>)</w:t>
      </w:r>
      <w:r w:rsidRPr="002D51CD">
        <w:rPr>
          <w:rFonts w:ascii="Times New Roman" w:hAnsi="Times New Roman" w:cs="Times New Roman"/>
          <w:sz w:val="24"/>
          <w:szCs w:val="24"/>
          <w:vertAlign w:val="subscript"/>
          <w:lang w:val="en-US"/>
        </w:rPr>
        <w:t>t</w:t>
      </w:r>
      <w:proofErr w:type="gram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proofErr w:type="spellStart"/>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proofErr w:type="spellStart"/>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proofErr w:type="spellStart"/>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(19)</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(rrus1000 – rrus2000</w:t>
      </w:r>
      <w:proofErr w:type="gramStart"/>
      <w:r w:rsidRPr="002D51CD">
        <w:rPr>
          <w:rFonts w:ascii="Times New Roman" w:hAnsi="Times New Roman" w:cs="Times New Roman"/>
          <w:sz w:val="24"/>
          <w:szCs w:val="24"/>
          <w:lang w:val="en-US"/>
        </w:rPr>
        <w:t>)</w:t>
      </w:r>
      <w:r w:rsidRPr="002D51CD">
        <w:rPr>
          <w:rFonts w:ascii="Times New Roman" w:hAnsi="Times New Roman" w:cs="Times New Roman"/>
          <w:sz w:val="24"/>
          <w:szCs w:val="24"/>
          <w:vertAlign w:val="subscript"/>
          <w:lang w:val="en-US"/>
        </w:rPr>
        <w:t>t</w:t>
      </w:r>
      <w:proofErr w:type="gram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proofErr w:type="spellStart"/>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proofErr w:type="spellStart"/>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proofErr w:type="spellStart"/>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vertAlign w:val="subscript"/>
          <w:lang w:val="en-US"/>
        </w:rPr>
        <w:t xml:space="preserve">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proofErr w:type="spellStart"/>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w:t>
      </w:r>
      <w:proofErr w:type="spellEnd"/>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κ</w:t>
      </w:r>
      <w:r w:rsidRPr="002D51CD">
        <w:rPr>
          <w:rFonts w:ascii="Times New Roman" w:hAnsi="Times New Roman" w:cs="Times New Roman"/>
          <w:sz w:val="24"/>
          <w:szCs w:val="24"/>
          <w:lang w:val="en-US"/>
        </w:rPr>
        <w:t>MKT</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λ</w:t>
      </w:r>
      <w:r w:rsidRPr="002D51CD">
        <w:rPr>
          <w:rFonts w:ascii="Times New Roman" w:hAnsi="Times New Roman" w:cs="Times New Roman"/>
          <w:sz w:val="24"/>
          <w:szCs w:val="24"/>
          <w:lang w:val="en-US"/>
        </w:rPr>
        <w:t>HML</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(20)</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w:t>
      </w:r>
      <w:proofErr w:type="gramStart"/>
      <w:r w:rsidRPr="002D51CD">
        <w:rPr>
          <w:rFonts w:ascii="Times New Roman" w:hAnsi="Times New Roman" w:cs="Times New Roman"/>
          <w:sz w:val="24"/>
          <w:szCs w:val="24"/>
          <w:lang w:val="en-US"/>
        </w:rPr>
        <w:t>rdax</w:t>
      </w:r>
      <w:proofErr w:type="gramEnd"/>
      <w:r w:rsidRPr="002D51CD">
        <w:rPr>
          <w:rFonts w:ascii="Times New Roman" w:hAnsi="Times New Roman" w:cs="Times New Roman"/>
          <w:sz w:val="24"/>
          <w:szCs w:val="24"/>
          <w:lang w:val="en-US"/>
        </w:rPr>
        <w:t xml:space="preserve"> – rsdax)</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(21)</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w:t>
      </w:r>
      <w:proofErr w:type="gramStart"/>
      <w:r w:rsidRPr="002D51CD">
        <w:rPr>
          <w:rFonts w:ascii="Times New Roman" w:hAnsi="Times New Roman" w:cs="Times New Roman"/>
          <w:sz w:val="24"/>
          <w:szCs w:val="24"/>
          <w:lang w:val="en-US"/>
        </w:rPr>
        <w:t>rdax</w:t>
      </w:r>
      <w:proofErr w:type="gramEnd"/>
      <w:r w:rsidRPr="002D51CD">
        <w:rPr>
          <w:rFonts w:ascii="Times New Roman" w:hAnsi="Times New Roman" w:cs="Times New Roman"/>
          <w:sz w:val="24"/>
          <w:szCs w:val="24"/>
          <w:lang w:val="en-US"/>
        </w:rPr>
        <w:t xml:space="preserve"> – rsdax)</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BW</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CC</w:t>
      </w:r>
      <w:r w:rsidRPr="002D51CD">
        <w:rPr>
          <w:rFonts w:ascii="Times New Roman" w:hAnsi="Times New Roman" w:cs="Times New Roman"/>
          <w:sz w:val="24"/>
          <w:szCs w:val="24"/>
          <w:vertAlign w:val="subscript"/>
          <w:lang w:val="en-US"/>
        </w:rPr>
        <w:t xml:space="preserve">t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ICI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ML_RAI</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NGRAM</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PCR</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VIX</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WP</w:t>
      </w:r>
      <w:r w:rsidRPr="002D51CD">
        <w:rPr>
          <w:rFonts w:ascii="Times New Roman" w:hAnsi="Times New Roman" w:cs="Times New Roman"/>
          <w:sz w:val="24"/>
          <w:szCs w:val="24"/>
          <w:vertAlign w:val="subscript"/>
          <w:lang w:val="en-US"/>
        </w:rPr>
        <w:t>t-1</w:t>
      </w:r>
      <w:r w:rsidRPr="002D51CD">
        <w:rPr>
          <w:rFonts w:ascii="Times New Roman" w:hAnsi="Times New Roman" w:cs="Times New Roman"/>
          <w:sz w:val="24"/>
          <w:szCs w:val="24"/>
          <w:lang w:val="en-US"/>
        </w:rPr>
        <w:t xml:space="preserve"> + </w:t>
      </w:r>
      <w:r w:rsidRPr="002D51CD">
        <w:rPr>
          <w:rFonts w:ascii="Times New Roman" w:hAnsi="Times New Roman" w:cs="Times New Roman"/>
          <w:sz w:val="24"/>
          <w:szCs w:val="24"/>
        </w:rPr>
        <w:t>κ</w:t>
      </w:r>
      <w:r w:rsidRPr="002D51CD">
        <w:rPr>
          <w:rFonts w:ascii="Times New Roman" w:hAnsi="Times New Roman" w:cs="Times New Roman"/>
          <w:sz w:val="24"/>
          <w:szCs w:val="24"/>
          <w:lang w:val="en-US"/>
        </w:rPr>
        <w:t>MKT</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λ</w:t>
      </w:r>
      <w:r w:rsidRPr="002D51CD">
        <w:rPr>
          <w:rFonts w:ascii="Times New Roman" w:hAnsi="Times New Roman" w:cs="Times New Roman"/>
          <w:sz w:val="24"/>
          <w:szCs w:val="24"/>
          <w:lang w:val="en-US"/>
        </w:rPr>
        <w:t>HML</w:t>
      </w:r>
      <w:r w:rsidRPr="002D51CD">
        <w:rPr>
          <w:rFonts w:ascii="Times New Roman" w:hAnsi="Times New Roman" w:cs="Times New Roman"/>
          <w:sz w:val="24"/>
          <w:szCs w:val="24"/>
          <w:vertAlign w:val="subscript"/>
          <w:lang w:val="en-US"/>
        </w:rPr>
        <w:t xml:space="preserve">t-1 </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(22)</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The first set of formulas corresponds to U.S stocks. More specifically, (rrus1000 – rrus2000)</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xml:space="preserve"> is the difference of the returns between U.S big and small cap stocks at time t,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is the constant,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κ</w:t>
      </w:r>
      <w:r w:rsidRPr="002D51CD">
        <w:rPr>
          <w:rFonts w:ascii="Times New Roman" w:hAnsi="Times New Roman" w:cs="Times New Roman"/>
          <w:sz w:val="24"/>
          <w:szCs w:val="24"/>
          <w:lang w:val="en-US"/>
        </w:rPr>
        <w:t xml:space="preserve"> and </w:t>
      </w:r>
      <w:r w:rsidRPr="002D51CD">
        <w:rPr>
          <w:rFonts w:ascii="Times New Roman" w:hAnsi="Times New Roman" w:cs="Times New Roman"/>
          <w:sz w:val="24"/>
          <w:szCs w:val="24"/>
        </w:rPr>
        <w:t>λ</w:t>
      </w:r>
      <w:r w:rsidRPr="002D51CD">
        <w:rPr>
          <w:rFonts w:ascii="Times New Roman" w:hAnsi="Times New Roman" w:cs="Times New Roman"/>
          <w:sz w:val="24"/>
          <w:szCs w:val="24"/>
          <w:lang w:val="en-US"/>
        </w:rPr>
        <w:t xml:space="preserve"> are the coefficients of the Baker and Wurgler (BW), University of Michigan Consumer Confidence Sentiment (CC), State Street Investor Confidence Index (ICI), Merrill Lynch’s Risk Aversion Indicator (ML_RAI), Global Risk Appetite Monitor by Nomura (NGRAM), Put-Call Ratio (PCR), VIX Index (VIX), Westpac Risk Appetite (WP) general market factor and high minus low with the proper indication respectively and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is the error term. Equations (21) and (22) correspond to German stocks. In particular, (rdax – rsdax)</w:t>
      </w:r>
      <w:r w:rsidRPr="002D51CD">
        <w:rPr>
          <w:rFonts w:ascii="Times New Roman" w:hAnsi="Times New Roman" w:cs="Times New Roman"/>
          <w:sz w:val="24"/>
          <w:szCs w:val="24"/>
          <w:vertAlign w:val="subscript"/>
          <w:lang w:val="en-US"/>
        </w:rPr>
        <w:t>t</w:t>
      </w:r>
      <w:r w:rsidRPr="002D51CD">
        <w:rPr>
          <w:rFonts w:ascii="Times New Roman" w:hAnsi="Times New Roman" w:cs="Times New Roman"/>
          <w:sz w:val="24"/>
          <w:szCs w:val="24"/>
          <w:lang w:val="en-US"/>
        </w:rPr>
        <w:t xml:space="preserve"> is the difference of the returns between Germany big and small cap stocks at time t, </w:t>
      </w:r>
      <w:r w:rsidRPr="002D51CD">
        <w:rPr>
          <w:rFonts w:ascii="Times New Roman" w:hAnsi="Times New Roman" w:cs="Times New Roman"/>
          <w:sz w:val="24"/>
          <w:szCs w:val="24"/>
        </w:rPr>
        <w:t>α</w:t>
      </w:r>
      <w:r w:rsidRPr="002D51CD">
        <w:rPr>
          <w:rFonts w:ascii="Times New Roman" w:hAnsi="Times New Roman" w:cs="Times New Roman"/>
          <w:sz w:val="24"/>
          <w:szCs w:val="24"/>
          <w:lang w:val="en-US"/>
        </w:rPr>
        <w:t xml:space="preserve"> is the constant, </w:t>
      </w:r>
      <w:r w:rsidRPr="002D51CD">
        <w:rPr>
          <w:rFonts w:ascii="Times New Roman" w:hAnsi="Times New Roman" w:cs="Times New Roman"/>
          <w:sz w:val="24"/>
          <w:szCs w:val="24"/>
        </w:rPr>
        <w:t>β</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γ</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δ</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ζ</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η</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θ</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ι</w:t>
      </w:r>
      <w:r w:rsidRPr="002D51CD">
        <w:rPr>
          <w:rFonts w:ascii="Times New Roman" w:hAnsi="Times New Roman" w:cs="Times New Roman"/>
          <w:sz w:val="24"/>
          <w:szCs w:val="24"/>
          <w:lang w:val="en-US"/>
        </w:rPr>
        <w:t xml:space="preserve">, </w:t>
      </w:r>
      <w:r w:rsidRPr="002D51CD">
        <w:rPr>
          <w:rFonts w:ascii="Times New Roman" w:hAnsi="Times New Roman" w:cs="Times New Roman"/>
          <w:sz w:val="24"/>
          <w:szCs w:val="24"/>
        </w:rPr>
        <w:t>κ</w:t>
      </w:r>
      <w:r w:rsidRPr="002D51CD">
        <w:rPr>
          <w:rFonts w:ascii="Times New Roman" w:hAnsi="Times New Roman" w:cs="Times New Roman"/>
          <w:sz w:val="24"/>
          <w:szCs w:val="24"/>
          <w:lang w:val="en-US"/>
        </w:rPr>
        <w:t xml:space="preserve"> and </w:t>
      </w:r>
      <w:r w:rsidRPr="002D51CD">
        <w:rPr>
          <w:rFonts w:ascii="Times New Roman" w:hAnsi="Times New Roman" w:cs="Times New Roman"/>
          <w:sz w:val="24"/>
          <w:szCs w:val="24"/>
        </w:rPr>
        <w:t>λ</w:t>
      </w:r>
      <w:r w:rsidRPr="002D51CD">
        <w:rPr>
          <w:rFonts w:ascii="Times New Roman" w:hAnsi="Times New Roman" w:cs="Times New Roman"/>
          <w:sz w:val="24"/>
          <w:szCs w:val="24"/>
          <w:lang w:val="en-US"/>
        </w:rPr>
        <w:t xml:space="preserve"> are the coefficients of the Baker and Wurgler (BW), University of Michigan Consumer Confidence Sentiment (CC), State Street Investor Confidence Index (ICI), </w:t>
      </w:r>
      <w:r w:rsidRPr="002D51CD">
        <w:rPr>
          <w:rFonts w:ascii="Times New Roman" w:hAnsi="Times New Roman" w:cs="Times New Roman"/>
          <w:sz w:val="24"/>
          <w:szCs w:val="24"/>
          <w:lang w:val="en-US"/>
        </w:rPr>
        <w:lastRenderedPageBreak/>
        <w:t xml:space="preserve">Merrill Lynch’s Risk Aversion Indicator (ML_RAI), Global Risk Appetite Monitor by Nomura (NGRAM), Put-Call Ratio (PCR), VIX Index (VIX), Westpac Risk Appetite (WP) general market factor and high minus low with the appropriate indication respectively and  </w:t>
      </w:r>
      <w:r w:rsidRPr="002D51CD">
        <w:rPr>
          <w:rFonts w:ascii="Times New Roman" w:hAnsi="Times New Roman" w:cs="Times New Roman"/>
          <w:sz w:val="24"/>
          <w:szCs w:val="24"/>
        </w:rPr>
        <w:t>ε</w:t>
      </w:r>
      <w:r w:rsidRPr="002D51CD">
        <w:rPr>
          <w:rFonts w:ascii="Times New Roman" w:hAnsi="Times New Roman" w:cs="Times New Roman"/>
          <w:sz w:val="24"/>
          <w:szCs w:val="24"/>
          <w:lang w:val="en-US"/>
        </w:rPr>
        <w:t xml:space="preserve"> is the error term.    </w:t>
      </w: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Controlling for the FF- factors is an additional analysis often cited in finance literature. Several studies exist which point out that these factors play an important role in explaining equity returns. For the other asset classes factors have been identified that affect them but a universal consensus has not been reached. For example, agricultural commodities seem to be influenced by seasonality, government bonds by several macroeconomic variables such as inflation or the ratio of deficit to GDP (Gross Domestic Product) however, at least to our </w:t>
      </w:r>
      <w:proofErr w:type="gramStart"/>
      <w:r w:rsidRPr="002D51CD">
        <w:rPr>
          <w:rFonts w:ascii="Times New Roman" w:hAnsi="Times New Roman" w:cs="Times New Roman"/>
          <w:sz w:val="24"/>
          <w:szCs w:val="24"/>
          <w:lang w:val="en-US"/>
        </w:rPr>
        <w:t>knowledge,</w:t>
      </w:r>
      <w:proofErr w:type="gramEnd"/>
      <w:r w:rsidRPr="002D51CD">
        <w:rPr>
          <w:rFonts w:ascii="Times New Roman" w:hAnsi="Times New Roman" w:cs="Times New Roman"/>
          <w:sz w:val="24"/>
          <w:szCs w:val="24"/>
          <w:lang w:val="en-US"/>
        </w:rPr>
        <w:t xml:space="preserve"> a general agreement has not been achieved. </w:t>
      </w: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spacing w:line="360" w:lineRule="auto"/>
        <w:jc w:val="both"/>
        <w:rPr>
          <w:b/>
          <w:sz w:val="28"/>
          <w:szCs w:val="28"/>
          <w:lang w:val="en-US"/>
        </w:rPr>
      </w:pPr>
    </w:p>
    <w:p w:rsidR="002D51CD" w:rsidRPr="002D51CD" w:rsidRDefault="002D51CD" w:rsidP="002D51CD">
      <w:pPr>
        <w:spacing w:line="360" w:lineRule="auto"/>
        <w:jc w:val="both"/>
        <w:rPr>
          <w:b/>
          <w:sz w:val="28"/>
          <w:szCs w:val="28"/>
          <w:lang w:val="en-US"/>
        </w:rPr>
      </w:pPr>
    </w:p>
    <w:p w:rsidR="002D51CD" w:rsidRPr="002D51CD" w:rsidRDefault="002D51CD" w:rsidP="002D51CD">
      <w:pPr>
        <w:spacing w:line="360" w:lineRule="auto"/>
        <w:jc w:val="both"/>
        <w:rPr>
          <w:b/>
          <w:sz w:val="28"/>
          <w:szCs w:val="28"/>
          <w:lang w:val="en-US"/>
        </w:rPr>
      </w:pPr>
    </w:p>
    <w:p w:rsidR="002D51CD" w:rsidRPr="002D51CD" w:rsidRDefault="002D51CD" w:rsidP="002D51CD">
      <w:pPr>
        <w:spacing w:line="360" w:lineRule="auto"/>
        <w:jc w:val="both"/>
        <w:rPr>
          <w:b/>
          <w:sz w:val="28"/>
          <w:szCs w:val="28"/>
          <w:lang w:val="en-US"/>
        </w:rPr>
      </w:pPr>
    </w:p>
    <w:p w:rsidR="002D51CD" w:rsidRPr="002D51CD" w:rsidRDefault="002D51CD" w:rsidP="002D51CD">
      <w:pPr>
        <w:spacing w:line="360" w:lineRule="auto"/>
        <w:jc w:val="both"/>
        <w:rPr>
          <w:rFonts w:ascii="Times New Roman" w:hAnsi="Times New Roman" w:cs="Times New Roman"/>
          <w:b/>
          <w:sz w:val="28"/>
          <w:szCs w:val="28"/>
          <w:lang w:val="en-US"/>
        </w:rPr>
      </w:pPr>
      <w:r w:rsidRPr="002D51CD">
        <w:rPr>
          <w:rFonts w:ascii="Times New Roman" w:hAnsi="Times New Roman" w:cs="Times New Roman"/>
          <w:b/>
          <w:sz w:val="28"/>
          <w:szCs w:val="28"/>
          <w:lang w:val="en-US"/>
        </w:rPr>
        <w:lastRenderedPageBreak/>
        <w:t xml:space="preserve">Chapter 4 </w:t>
      </w:r>
    </w:p>
    <w:p w:rsidR="002D51CD" w:rsidRPr="002D51CD" w:rsidRDefault="002D51CD" w:rsidP="002D51CD">
      <w:pPr>
        <w:spacing w:line="360" w:lineRule="auto"/>
        <w:jc w:val="both"/>
        <w:rPr>
          <w:rFonts w:ascii="Times New Roman" w:hAnsi="Times New Roman" w:cs="Times New Roman"/>
          <w:b/>
          <w:sz w:val="28"/>
          <w:szCs w:val="28"/>
          <w:lang w:val="en-US"/>
        </w:rPr>
      </w:pPr>
    </w:p>
    <w:p w:rsidR="002D51CD" w:rsidRPr="002D51CD" w:rsidRDefault="002D51CD" w:rsidP="002D51CD">
      <w:pPr>
        <w:spacing w:line="360" w:lineRule="auto"/>
        <w:jc w:val="both"/>
        <w:rPr>
          <w:rFonts w:ascii="Times New Roman" w:hAnsi="Times New Roman" w:cs="Times New Roman"/>
          <w:b/>
          <w:sz w:val="28"/>
          <w:szCs w:val="28"/>
          <w:lang w:val="en-US"/>
        </w:rPr>
      </w:pPr>
      <w:r w:rsidRPr="002D51CD">
        <w:rPr>
          <w:rFonts w:ascii="Times New Roman" w:hAnsi="Times New Roman" w:cs="Times New Roman"/>
          <w:b/>
          <w:sz w:val="28"/>
          <w:szCs w:val="28"/>
          <w:lang w:val="en-US"/>
        </w:rPr>
        <w:t>Results</w:t>
      </w: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This chapter presents our results. It is divided in three parts. The first part presents the descriptive statistics of the indices along with an eyeball examination of the assets’ values graphs. To continue with, we display summary tables with our results and interpret them accordingly and finally, we present the outcomes of the robustness tests we conducted. Beforehand, we have to outline that, as Baker et al. (2012) stated, the interpretation of the indices and the results in general involves a high degree of conjecture along with an understanding of market conditions throughout history.  </w:t>
      </w: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4.1 Descriptive statistics and graphs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Table 5 presents the descriptive statistics of the level of our selected sample of indices. The table displays information concerning the mean, the median, the maximum and minimum values, the standard deviation, skewness and kurtosis. We mainly concentrate on the standard deviation which is a measure of volatility and the mean. Looking at Panel A which displays the level of indices, we find evidence that their standard deviations and their means are significantly different. This could be caused due to differences of scale. After standardization (values reported in Panel B), all indices have a zero mean and a standard deviation equal to one which was in fact the objective of this process. Moreover, concentrating on the last row of the table where the number of observations is illustrated, we detect that for three indices -Baker and Wurgler (BW), Merrill Lynch’s Risk Aversion Indicator (ML_RAI) and Global Risk Appetite Monitor by Nomura (NGRAM) -we had fewer available observations.</w:t>
      </w: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Furthermore, in Figure 3 we display the values of our selected assets graphically. Some interesting findings arise. Firstly, we concentrate on commodities. Gold exhibits an increasing pattern throughout our selected period. However, in mid-2011 gold’s prices decrease. Perhaps investors are becoming more reluctant against gold since its safe haven character is currently questioned and negative outlooks concerning its performance are expressed by practitioners in </w:t>
      </w:r>
      <w:r w:rsidRPr="002D51CD">
        <w:rPr>
          <w:rFonts w:ascii="Times New Roman" w:hAnsi="Times New Roman" w:cs="Times New Roman"/>
          <w:sz w:val="24"/>
          <w:szCs w:val="24"/>
          <w:lang w:val="en-US"/>
        </w:rPr>
        <w:lastRenderedPageBreak/>
        <w:t>financial media –see for example the article by J. Gaunt (Reuters, 26 August, 2011</w:t>
      </w:r>
      <w:r w:rsidRPr="002D51CD">
        <w:rPr>
          <w:rStyle w:val="FootnoteReference"/>
          <w:rFonts w:ascii="Times New Roman" w:hAnsi="Times New Roman" w:cs="Times New Roman"/>
          <w:sz w:val="24"/>
          <w:szCs w:val="24"/>
        </w:rPr>
        <w:footnoteReference w:id="30"/>
      </w:r>
      <w:r w:rsidRPr="002D51CD">
        <w:rPr>
          <w:rFonts w:ascii="Times New Roman" w:hAnsi="Times New Roman" w:cs="Times New Roman"/>
          <w:sz w:val="24"/>
          <w:szCs w:val="24"/>
          <w:lang w:val="en-US"/>
        </w:rPr>
        <w:t xml:space="preserve">). Corn is more volatile and has numerous peaks and troughs. Around 2007, the year of the mortgage crisis in the U.S, corn’s prices exhibit a remarkable raise. That year was a period of high uncertainty, i.e. of high risk aversion. This comes in accordance to the statement expressed by Chow et al. (1999) that when risk aversion is high commodities are more attractive to investors. Finally, copper’s prices at the beginning of our period exhibit an increasing pattern while after 2006 a mean reversion. This is rather expected. Until 2006, market conditions were considered good. That means that economic growth was present thus, investments in infrastructure were substantially high. Since copper is an industrial commodity, its prices would increase (due to high demand). After 2006 though, market conditions were unstable which justifies the mean reversion pattern. </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All currencies, in general, exhibit a decreasing pattern. More specifically, the Swiss franc depreciates against the U.S Dollar. An interesting observation is that in 2011 we get the lowest value which coincides with the announcement by the Swiss National Bank for a minimum exchange rate of the Swiss franc to Euro to ensure the competiveness of the country. The Euro appreciated against the U.S Dollar during 2007 but after that depreciated which is foreseen due to</w:t>
      </w:r>
      <w:r w:rsidR="006F055F">
        <w:rPr>
          <w:rFonts w:ascii="Times New Roman" w:hAnsi="Times New Roman" w:cs="Times New Roman"/>
          <w:sz w:val="24"/>
          <w:szCs w:val="24"/>
          <w:lang w:val="en-US"/>
        </w:rPr>
        <w:t xml:space="preserve"> the</w:t>
      </w:r>
      <w:r w:rsidRPr="002D51CD">
        <w:rPr>
          <w:rFonts w:ascii="Times New Roman" w:hAnsi="Times New Roman" w:cs="Times New Roman"/>
          <w:sz w:val="24"/>
          <w:szCs w:val="24"/>
          <w:lang w:val="en-US"/>
        </w:rPr>
        <w:t xml:space="preserve"> contagion of the crisis to Europe. Lastly, the Australian Dollar generally depreciates against the U.S Dollar. We should highlight that towards the end of 2008 the Australian Dollar has the lowest reported value since the beginning of our period. We presume that the reason for that is the collapse of Lehman Brothers (15 September 2008) and the bailout</w:t>
      </w:r>
      <w:r w:rsidR="00516262">
        <w:rPr>
          <w:rFonts w:ascii="Times New Roman" w:hAnsi="Times New Roman" w:cs="Times New Roman"/>
          <w:sz w:val="24"/>
          <w:szCs w:val="24"/>
          <w:lang w:val="en-US"/>
        </w:rPr>
        <w:t xml:space="preserve"> </w:t>
      </w:r>
      <w:r w:rsidR="00516262" w:rsidRPr="002D51CD">
        <w:rPr>
          <w:rFonts w:ascii="Times New Roman" w:hAnsi="Times New Roman" w:cs="Times New Roman"/>
          <w:sz w:val="24"/>
          <w:szCs w:val="24"/>
          <w:lang w:val="en-US"/>
        </w:rPr>
        <w:t>of AIG</w:t>
      </w:r>
      <w:r w:rsidRPr="002D51CD">
        <w:rPr>
          <w:rFonts w:ascii="Times New Roman" w:hAnsi="Times New Roman" w:cs="Times New Roman"/>
          <w:sz w:val="24"/>
          <w:szCs w:val="24"/>
          <w:lang w:val="en-US"/>
        </w:rPr>
        <w:t xml:space="preserve"> on behalf </w:t>
      </w:r>
      <w:r w:rsidR="00516262">
        <w:rPr>
          <w:rFonts w:ascii="Times New Roman" w:hAnsi="Times New Roman" w:cs="Times New Roman"/>
          <w:sz w:val="24"/>
          <w:szCs w:val="24"/>
          <w:lang w:val="en-US"/>
        </w:rPr>
        <w:t>of</w:t>
      </w:r>
      <w:r w:rsidRPr="002D51CD">
        <w:rPr>
          <w:rFonts w:ascii="Times New Roman" w:hAnsi="Times New Roman" w:cs="Times New Roman"/>
          <w:sz w:val="24"/>
          <w:szCs w:val="24"/>
          <w:lang w:val="en-US"/>
        </w:rPr>
        <w:t xml:space="preserve"> the U.S Federal Reserve Bank (16 September 2008) and the negative effect those events had on investors.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Government bonds for both countries (for U.S and Germany) display similar results. Their yields, in general over our sample period, are decreasing. This is anticipated </w:t>
      </w:r>
      <w:r w:rsidRPr="002D51CD">
        <w:rPr>
          <w:rFonts w:ascii="Times New Roman" w:hAnsi="Times New Roman" w:cs="Times New Roman"/>
          <w:color w:val="252525"/>
          <w:sz w:val="24"/>
          <w:szCs w:val="24"/>
          <w:shd w:val="clear" w:color="auto" w:fill="FFFFFF"/>
          <w:lang w:val="en-US"/>
        </w:rPr>
        <w:t>because FED was easing during this period, i.e. cutting interest rates</w:t>
      </w:r>
      <w:r w:rsidRPr="002D51CD">
        <w:rPr>
          <w:rFonts w:ascii="Times New Roman" w:hAnsi="Times New Roman" w:cs="Times New Roman"/>
          <w:sz w:val="24"/>
          <w:szCs w:val="24"/>
          <w:lang w:val="en-US"/>
        </w:rPr>
        <w:t xml:space="preserve">. The yield equals to the ratio of coupon to price. An increase in the demand for bonds is followed by a simultaneous increase in their price (supply and demand theory). Given that the coupon remains fixed, a decrease in yield when the demand for bonds increases is straightforward. Under normal market circumstances, bonds act as a hedge to risky assets- for example to stocks- (Ciner et al., 2010). That means that the demand for government bonds is high thus a decrease in yields is expected. However, our sample includes also abnormal periods, i.e. periods of relatively high risk aversion. Aside from hedging </w:t>
      </w:r>
      <w:r w:rsidRPr="002D51CD">
        <w:rPr>
          <w:rFonts w:ascii="Times New Roman" w:hAnsi="Times New Roman" w:cs="Times New Roman"/>
          <w:sz w:val="24"/>
          <w:szCs w:val="24"/>
          <w:lang w:val="en-US"/>
        </w:rPr>
        <w:lastRenderedPageBreak/>
        <w:t>instruments, government bonds are also considered safe haven assets. In this respect, in times of high risk aversion, investors turn to them thus their price is increasing resulting to a decrease in their yields.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Stock markets for U.S and Germany show an analogous motive. Stocks are considered risky assets. In a normal market, stock prices will increase while in adverse market conditions they will decrease. Graphs 9 to 12 demonstrate evidence for that. After the crisis in 2000, i.e. the “Internet bubble”, we observe a decrease. For the period from 2003 until 2006, where market conditions were considered good, we get an indication for an increase and the pattern is reversed after 2007 and the mortgage crisis. </w:t>
      </w: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4.2 Results from time series regressions</w:t>
      </w:r>
    </w:p>
    <w:p w:rsidR="002D51CD" w:rsidRPr="002D51CD" w:rsidRDefault="002D51CD" w:rsidP="002D51CD">
      <w:pPr>
        <w:pStyle w:val="ListParagraph"/>
        <w:spacing w:line="360" w:lineRule="auto"/>
        <w:ind w:left="0"/>
        <w:jc w:val="both"/>
        <w:rPr>
          <w:rFonts w:ascii="Times New Roman" w:hAnsi="Times New Roman" w:cs="Times New Roman"/>
          <w:sz w:val="24"/>
          <w:szCs w:val="24"/>
          <w:highlight w:val="yellow"/>
          <w:lang w:val="en-US"/>
        </w:rPr>
      </w:pP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r w:rsidRPr="00BA7F74">
        <w:rPr>
          <w:rFonts w:ascii="Times New Roman" w:hAnsi="Times New Roman" w:cs="Times New Roman"/>
          <w:sz w:val="24"/>
          <w:szCs w:val="24"/>
          <w:lang w:val="en-US"/>
        </w:rPr>
        <w:t>In section 3.2 we introduced thoroughly the applied methodology. Tables below display our main results from the time series regressions we performed based on equations (6) to (18). We state the significant results based on p-values and interpret the coefficients in terms of magnitude. One thing is crucial though, in case a lagging index proves to be significant. That would mean that tomorrow’s values of the index, i.e. at time t+1, affect today’s returns or yield spreads, i.e. at time t. Intuitively, we understand that such a relationship will not enable us to predict future returns but only to infer a historical relationship. Hence, among a lagging, a leading and a contemporaneous index, we select the latter ones as the best indices.</w:t>
      </w:r>
      <w:r w:rsidRPr="002D51CD">
        <w:rPr>
          <w:rFonts w:ascii="Times New Roman" w:hAnsi="Times New Roman" w:cs="Times New Roman"/>
          <w:sz w:val="24"/>
          <w:szCs w:val="24"/>
          <w:lang w:val="en-US"/>
        </w:rPr>
        <w:t xml:space="preserve">  </w:t>
      </w: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p>
    <w:p w:rsidR="002D51CD" w:rsidRPr="002D51CD" w:rsidRDefault="002D51CD" w:rsidP="002D51CD">
      <w:pPr>
        <w:spacing w:line="360" w:lineRule="auto"/>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4.2.1 Results from time series regressions of commodities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In this subsection we present the results we obtained from the time series regressions we performed based on equations (6) to (8) for the asset class of commodities. Table 6 below summarizes them.</w:t>
      </w:r>
    </w:p>
    <w:p w:rsidR="002D51CD" w:rsidRPr="002D51CD" w:rsidRDefault="002D51CD" w:rsidP="002D51CD">
      <w:pPr>
        <w:jc w:val="center"/>
        <w:rPr>
          <w:b/>
          <w:lang w:val="en-US"/>
        </w:rPr>
      </w:pPr>
    </w:p>
    <w:p w:rsidR="002D51CD" w:rsidRPr="002D51CD" w:rsidRDefault="002D51CD" w:rsidP="002D51CD">
      <w:pPr>
        <w:jc w:val="center"/>
        <w:rPr>
          <w:b/>
          <w:lang w:val="en-US"/>
        </w:rPr>
      </w:pPr>
    </w:p>
    <w:p w:rsidR="002D51CD" w:rsidRPr="002D51CD" w:rsidRDefault="002D51CD" w:rsidP="002D51CD">
      <w:pPr>
        <w:jc w:val="center"/>
        <w:rPr>
          <w:b/>
          <w:lang w:val="en-US"/>
        </w:rPr>
      </w:pPr>
    </w:p>
    <w:p w:rsidR="002D51CD" w:rsidRPr="002D51CD" w:rsidRDefault="002D51CD" w:rsidP="002D51CD">
      <w:pPr>
        <w:jc w:val="center"/>
        <w:rPr>
          <w:b/>
          <w:lang w:val="en-US"/>
        </w:rPr>
      </w:pPr>
    </w:p>
    <w:p w:rsidR="002D51CD" w:rsidRPr="002D51CD" w:rsidRDefault="002D51CD" w:rsidP="002D51CD">
      <w:pPr>
        <w:jc w:val="center"/>
        <w:rPr>
          <w:b/>
          <w:lang w:val="en-US"/>
        </w:rPr>
      </w:pPr>
    </w:p>
    <w:p w:rsidR="002D51CD" w:rsidRPr="002D51CD" w:rsidRDefault="002D51CD" w:rsidP="002D51CD">
      <w:pPr>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lastRenderedPageBreak/>
        <w:t>Table 6</w:t>
      </w:r>
    </w:p>
    <w:p w:rsidR="002D51CD" w:rsidRPr="002D51CD" w:rsidRDefault="002D51CD" w:rsidP="002D51CD">
      <w:pPr>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t>Analysis Summary of Commodities</w:t>
      </w:r>
    </w:p>
    <w:p w:rsidR="002D51CD" w:rsidRPr="002D51CD" w:rsidRDefault="002D51CD" w:rsidP="002D51CD">
      <w:pPr>
        <w:spacing w:line="360" w:lineRule="auto"/>
        <w:jc w:val="both"/>
        <w:rPr>
          <w:rFonts w:ascii="Times New Roman" w:hAnsi="Times New Roman" w:cs="Times New Roman"/>
          <w:sz w:val="20"/>
          <w:szCs w:val="20"/>
          <w:lang w:val="en-US"/>
        </w:rPr>
      </w:pPr>
      <w:r w:rsidRPr="002D51CD">
        <w:rPr>
          <w:rFonts w:ascii="Times New Roman" w:hAnsi="Times New Roman" w:cs="Times New Roman"/>
          <w:sz w:val="20"/>
          <w:szCs w:val="20"/>
          <w:lang w:val="en-US"/>
        </w:rPr>
        <w:t>This table presents the obtained results from equations (6) to (8). The first column of each panel denotes the indices, the second the coefficients and the third the p-value. The last row displays the value of R</w:t>
      </w:r>
      <w:r w:rsidRPr="002D51CD">
        <w:rPr>
          <w:rFonts w:ascii="Times New Roman" w:hAnsi="Times New Roman" w:cs="Times New Roman"/>
          <w:sz w:val="20"/>
          <w:szCs w:val="20"/>
          <w:vertAlign w:val="superscript"/>
          <w:lang w:val="en-US"/>
        </w:rPr>
        <w:t>2</w:t>
      </w:r>
      <w:r w:rsidRPr="002D51CD">
        <w:rPr>
          <w:rFonts w:ascii="Times New Roman" w:hAnsi="Times New Roman" w:cs="Times New Roman"/>
          <w:sz w:val="20"/>
          <w:szCs w:val="20"/>
          <w:lang w:val="en-US"/>
        </w:rPr>
        <w:t>. The indices represent the standardized values from the Baker and Wurgler (BW), University of Michigan Consumer Confidence Sentiment (CC), State Street Investor Confidence Index (ICI), Merrill Lynch’s Risk Aversion Indicator (ML_RAI), Global Risk Appetite Monitor by Nomura (NGRAM), Put-Call Ratio (PCR), VIX Index (VIX) and Westpac Risk Appetite (WP). Each variable is inserted with the proper lead-lag-comovement indication. Panel A is for the returns of gold, Panel B for the returns of corn and Panel C for the returns of copper all at time t.</w:t>
      </w:r>
    </w:p>
    <w:tbl>
      <w:tblPr>
        <w:tblStyle w:val="LightShading-Accent3"/>
        <w:tblW w:w="0" w:type="auto"/>
        <w:jc w:val="center"/>
        <w:tblLook w:val="04A0"/>
      </w:tblPr>
      <w:tblGrid>
        <w:gridCol w:w="2672"/>
        <w:gridCol w:w="2812"/>
        <w:gridCol w:w="4086"/>
      </w:tblGrid>
      <w:tr w:rsidR="002D51CD" w:rsidRPr="009A092A" w:rsidTr="002D51CD">
        <w:trPr>
          <w:cnfStyle w:val="100000000000"/>
          <w:trHeight w:val="552"/>
          <w:jc w:val="center"/>
        </w:trPr>
        <w:tc>
          <w:tcPr>
            <w:cnfStyle w:val="001000000000"/>
            <w:tcW w:w="9570" w:type="dxa"/>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color w:val="auto"/>
                <w:vertAlign w:val="subscript"/>
                <w:lang w:val="en-US"/>
              </w:rPr>
            </w:pPr>
            <w:r w:rsidRPr="00285294">
              <w:rPr>
                <w:color w:val="auto"/>
                <w:lang w:val="en-US"/>
              </w:rPr>
              <w:t xml:space="preserve">Panel A: Correlation with </w:t>
            </w:r>
            <w:proofErr w:type="spellStart"/>
            <w:r w:rsidRPr="00285294">
              <w:rPr>
                <w:color w:val="auto"/>
                <w:lang w:val="en-US"/>
              </w:rPr>
              <w:t>rgold</w:t>
            </w:r>
            <w:r w:rsidRPr="00285294">
              <w:rPr>
                <w:color w:val="auto"/>
                <w:vertAlign w:val="subscript"/>
                <w:lang w:val="en-US"/>
              </w:rPr>
              <w:t>t</w:t>
            </w:r>
            <w:proofErr w:type="spellEnd"/>
          </w:p>
        </w:tc>
      </w:tr>
      <w:tr w:rsidR="002D51CD" w:rsidRPr="00285294" w:rsidTr="002D51CD">
        <w:trPr>
          <w:cnfStyle w:val="000000100000"/>
          <w:trHeight w:val="261"/>
          <w:jc w:val="center"/>
        </w:trPr>
        <w:tc>
          <w:tcPr>
            <w:cnfStyle w:val="001000000000"/>
            <w:tcW w:w="2672" w:type="dxa"/>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lang w:val="en-US"/>
              </w:rPr>
            </w:pPr>
          </w:p>
        </w:tc>
        <w:tc>
          <w:tcPr>
            <w:tcW w:w="2812" w:type="dxa"/>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4086" w:type="dxa"/>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285294" w:rsidTr="002D51CD">
        <w:trPr>
          <w:trHeight w:val="245"/>
          <w:jc w:val="center"/>
        </w:trPr>
        <w:tc>
          <w:tcPr>
            <w:cnfStyle w:val="001000000000"/>
            <w:tcW w:w="2672" w:type="dxa"/>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2812" w:type="dxa"/>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0.122</w:t>
            </w:r>
          </w:p>
        </w:tc>
        <w:tc>
          <w:tcPr>
            <w:tcW w:w="4086" w:type="dxa"/>
            <w:tcBorders>
              <w:top w:val="single" w:sz="18" w:space="0" w:color="auto"/>
              <w:left w:val="single" w:sz="12" w:space="0" w:color="auto"/>
              <w:bottom w:val="single" w:sz="12" w:space="0" w:color="auto"/>
              <w:right w:val="single" w:sz="18" w:space="0" w:color="auto"/>
            </w:tcBorders>
          </w:tcPr>
          <w:p w:rsidR="002D51CD" w:rsidRPr="00285294" w:rsidRDefault="002D51CD" w:rsidP="002D51CD">
            <w:pPr>
              <w:cnfStyle w:val="000000000000"/>
              <w:rPr>
                <w:b/>
                <w:color w:val="auto"/>
                <w:sz w:val="22"/>
                <w:szCs w:val="22"/>
              </w:rPr>
            </w:pPr>
            <w:r w:rsidRPr="00285294">
              <w:rPr>
                <w:color w:val="auto"/>
                <w:sz w:val="22"/>
                <w:szCs w:val="22"/>
              </w:rPr>
              <w:t xml:space="preserve">                             (0.732)</w:t>
            </w:r>
          </w:p>
        </w:tc>
      </w:tr>
      <w:tr w:rsidR="002D51CD" w:rsidRPr="00285294" w:rsidTr="002D51CD">
        <w:trPr>
          <w:cnfStyle w:val="000000100000"/>
          <w:trHeight w:val="261"/>
          <w:jc w:val="center"/>
        </w:trPr>
        <w:tc>
          <w:tcPr>
            <w:cnfStyle w:val="001000000000"/>
            <w:tcW w:w="2672" w:type="dxa"/>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2812" w:type="dxa"/>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0.330</w:t>
            </w:r>
          </w:p>
        </w:tc>
        <w:tc>
          <w:tcPr>
            <w:tcW w:w="4086" w:type="dxa"/>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(0.604)</w:t>
            </w:r>
          </w:p>
        </w:tc>
      </w:tr>
      <w:tr w:rsidR="002D51CD" w:rsidRPr="00285294" w:rsidTr="002D51CD">
        <w:trPr>
          <w:trHeight w:val="261"/>
          <w:jc w:val="center"/>
        </w:trPr>
        <w:tc>
          <w:tcPr>
            <w:cnfStyle w:val="001000000000"/>
            <w:tcW w:w="2672" w:type="dxa"/>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2812" w:type="dxa"/>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-0.727</w:t>
            </w:r>
          </w:p>
        </w:tc>
        <w:tc>
          <w:tcPr>
            <w:tcW w:w="4086" w:type="dxa"/>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(0.279)</w:t>
            </w:r>
          </w:p>
        </w:tc>
      </w:tr>
      <w:tr w:rsidR="002D51CD" w:rsidRPr="00285294" w:rsidTr="002D51CD">
        <w:trPr>
          <w:cnfStyle w:val="000000100000"/>
          <w:trHeight w:val="261"/>
          <w:jc w:val="center"/>
        </w:trPr>
        <w:tc>
          <w:tcPr>
            <w:cnfStyle w:val="001000000000"/>
            <w:tcW w:w="2672" w:type="dxa"/>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Pr="00285294">
              <w:rPr>
                <w:color w:val="auto"/>
                <w:sz w:val="22"/>
                <w:szCs w:val="22"/>
                <w:vertAlign w:val="subscript"/>
              </w:rPr>
              <w:t>t-1</w:t>
            </w:r>
          </w:p>
        </w:tc>
        <w:tc>
          <w:tcPr>
            <w:tcW w:w="2812" w:type="dxa"/>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-0.584</w:t>
            </w:r>
          </w:p>
        </w:tc>
        <w:tc>
          <w:tcPr>
            <w:tcW w:w="4086" w:type="dxa"/>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(0.422)</w:t>
            </w:r>
          </w:p>
        </w:tc>
      </w:tr>
      <w:tr w:rsidR="002D51CD" w:rsidRPr="00285294" w:rsidTr="002D51CD">
        <w:trPr>
          <w:trHeight w:val="261"/>
          <w:jc w:val="center"/>
        </w:trPr>
        <w:tc>
          <w:tcPr>
            <w:cnfStyle w:val="001000000000"/>
            <w:tcW w:w="2672" w:type="dxa"/>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t-1</w:t>
            </w:r>
          </w:p>
        </w:tc>
        <w:tc>
          <w:tcPr>
            <w:tcW w:w="2812" w:type="dxa"/>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0.208</w:t>
            </w:r>
          </w:p>
        </w:tc>
        <w:tc>
          <w:tcPr>
            <w:tcW w:w="4086" w:type="dxa"/>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(0.720)</w:t>
            </w:r>
          </w:p>
        </w:tc>
      </w:tr>
      <w:tr w:rsidR="002D51CD" w:rsidRPr="00285294" w:rsidTr="002D51CD">
        <w:trPr>
          <w:cnfStyle w:val="000000100000"/>
          <w:trHeight w:val="261"/>
          <w:jc w:val="center"/>
        </w:trPr>
        <w:tc>
          <w:tcPr>
            <w:cnfStyle w:val="001000000000"/>
            <w:tcW w:w="2672" w:type="dxa"/>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t-1</w:t>
            </w:r>
          </w:p>
        </w:tc>
        <w:tc>
          <w:tcPr>
            <w:tcW w:w="2812" w:type="dxa"/>
            <w:tcBorders>
              <w:top w:val="single" w:sz="12" w:space="0" w:color="auto"/>
              <w:left w:val="single" w:sz="18" w:space="0" w:color="auto"/>
              <w:bottom w:val="single" w:sz="12" w:space="0" w:color="auto"/>
              <w:right w:val="single" w:sz="12" w:space="0" w:color="auto"/>
            </w:tcBorders>
          </w:tcPr>
          <w:p w:rsidR="002D51CD" w:rsidRPr="00285294" w:rsidRDefault="002D51CD" w:rsidP="002D51CD">
            <w:pPr>
              <w:tabs>
                <w:tab w:val="center" w:pos="491"/>
              </w:tabs>
              <w:jc w:val="center"/>
              <w:cnfStyle w:val="000000100000"/>
              <w:rPr>
                <w:color w:val="auto"/>
                <w:sz w:val="22"/>
                <w:szCs w:val="22"/>
              </w:rPr>
            </w:pPr>
            <w:r w:rsidRPr="00285294">
              <w:rPr>
                <w:color w:val="auto"/>
                <w:sz w:val="22"/>
                <w:szCs w:val="22"/>
              </w:rPr>
              <w:t>-0.095</w:t>
            </w:r>
          </w:p>
        </w:tc>
        <w:tc>
          <w:tcPr>
            <w:tcW w:w="4086" w:type="dxa"/>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(0.839)</w:t>
            </w:r>
          </w:p>
        </w:tc>
      </w:tr>
      <w:tr w:rsidR="002D51CD" w:rsidRPr="00285294" w:rsidTr="002D51CD">
        <w:trPr>
          <w:trHeight w:val="261"/>
          <w:jc w:val="center"/>
        </w:trPr>
        <w:tc>
          <w:tcPr>
            <w:cnfStyle w:val="001000000000"/>
            <w:tcW w:w="2672" w:type="dxa"/>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w:t>
            </w:r>
          </w:p>
        </w:tc>
        <w:tc>
          <w:tcPr>
            <w:tcW w:w="2812" w:type="dxa"/>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-0.017</w:t>
            </w:r>
          </w:p>
        </w:tc>
        <w:tc>
          <w:tcPr>
            <w:tcW w:w="4086" w:type="dxa"/>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(0.978)</w:t>
            </w:r>
          </w:p>
        </w:tc>
      </w:tr>
      <w:tr w:rsidR="002D51CD" w:rsidRPr="00285294" w:rsidTr="002D51CD">
        <w:trPr>
          <w:cnfStyle w:val="000000100000"/>
          <w:trHeight w:val="261"/>
          <w:jc w:val="center"/>
        </w:trPr>
        <w:tc>
          <w:tcPr>
            <w:cnfStyle w:val="001000000000"/>
            <w:tcW w:w="2672" w:type="dxa"/>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2812" w:type="dxa"/>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-0.349</w:t>
            </w:r>
          </w:p>
        </w:tc>
        <w:tc>
          <w:tcPr>
            <w:tcW w:w="4086" w:type="dxa"/>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(0.518)</w:t>
            </w:r>
          </w:p>
        </w:tc>
      </w:tr>
      <w:tr w:rsidR="002D51CD" w:rsidRPr="00285294" w:rsidTr="002D51CD">
        <w:trPr>
          <w:trHeight w:val="261"/>
          <w:jc w:val="center"/>
        </w:trPr>
        <w:tc>
          <w:tcPr>
            <w:cnfStyle w:val="001000000000"/>
            <w:tcW w:w="2672" w:type="dxa"/>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6898" w:type="dxa"/>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0.048</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tbl>
      <w:tblPr>
        <w:tblStyle w:val="LightShading-Accent3"/>
        <w:tblW w:w="5000" w:type="pct"/>
        <w:jc w:val="center"/>
        <w:tblLook w:val="04A0"/>
      </w:tblPr>
      <w:tblGrid>
        <w:gridCol w:w="2660"/>
        <w:gridCol w:w="3656"/>
        <w:gridCol w:w="3254"/>
      </w:tblGrid>
      <w:tr w:rsidR="002D51CD" w:rsidRPr="00285294" w:rsidTr="002D51CD">
        <w:trPr>
          <w:cnfStyle w:val="100000000000"/>
          <w:trHeight w:val="507"/>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b w:val="0"/>
                <w:color w:val="auto"/>
                <w:lang w:val="en-US"/>
              </w:rPr>
            </w:pPr>
          </w:p>
          <w:p w:rsidR="002D51CD" w:rsidRPr="00285294" w:rsidRDefault="002D51CD" w:rsidP="002D51CD">
            <w:pPr>
              <w:jc w:val="center"/>
              <w:rPr>
                <w:color w:val="auto"/>
                <w:vertAlign w:val="subscript"/>
              </w:rPr>
            </w:pPr>
            <w:r w:rsidRPr="00285294">
              <w:rPr>
                <w:color w:val="auto"/>
              </w:rPr>
              <w:t>Panel B: Correlation with rcorn</w:t>
            </w:r>
            <w:r w:rsidRPr="00285294">
              <w:rPr>
                <w:color w:val="auto"/>
                <w:vertAlign w:val="subscript"/>
              </w:rPr>
              <w:t>t</w:t>
            </w:r>
          </w:p>
          <w:p w:rsidR="002D51CD" w:rsidRPr="00285294" w:rsidRDefault="002D51CD" w:rsidP="002D51CD">
            <w:pPr>
              <w:jc w:val="center"/>
              <w:rPr>
                <w:b w:val="0"/>
                <w:color w:val="auto"/>
                <w:sz w:val="22"/>
                <w:szCs w:val="22"/>
                <w:vertAlign w:val="subscript"/>
              </w:rPr>
            </w:pPr>
          </w:p>
        </w:tc>
      </w:tr>
      <w:tr w:rsidR="002D51CD" w:rsidRPr="00285294" w:rsidTr="002D51CD">
        <w:trPr>
          <w:cnfStyle w:val="000000100000"/>
          <w:trHeight w:val="226"/>
          <w:jc w:val="center"/>
        </w:trPr>
        <w:tc>
          <w:tcPr>
            <w:cnfStyle w:val="001000000000"/>
            <w:tcW w:w="1390"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p>
        </w:tc>
        <w:tc>
          <w:tcPr>
            <w:tcW w:w="1910"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1700"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285294" w:rsidTr="002D51CD">
        <w:trPr>
          <w:trHeight w:val="268"/>
          <w:jc w:val="center"/>
        </w:trPr>
        <w:tc>
          <w:tcPr>
            <w:cnfStyle w:val="001000000000"/>
            <w:tcW w:w="1390"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1910"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7.044</w:t>
            </w:r>
          </w:p>
        </w:tc>
        <w:tc>
          <w:tcPr>
            <w:tcW w:w="1700"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(0.019)**</w:t>
            </w:r>
          </w:p>
        </w:tc>
      </w:tr>
      <w:tr w:rsidR="002D51CD" w:rsidRPr="00285294" w:rsidTr="002D51CD">
        <w:trPr>
          <w:cnfStyle w:val="000000100000"/>
          <w:trHeight w:val="253"/>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1910"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22.203</w:t>
            </w:r>
          </w:p>
        </w:tc>
        <w:tc>
          <w:tcPr>
            <w:tcW w:w="1700"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w:t>
            </w:r>
          </w:p>
        </w:tc>
      </w:tr>
      <w:tr w:rsidR="002D51CD" w:rsidRPr="00285294" w:rsidTr="002D51CD">
        <w:trPr>
          <w:trHeight w:val="268"/>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1910"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1.458</w:t>
            </w:r>
          </w:p>
        </w:tc>
        <w:tc>
          <w:tcPr>
            <w:tcW w:w="1700"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(0.689)</w:t>
            </w:r>
          </w:p>
        </w:tc>
      </w:tr>
      <w:tr w:rsidR="002D51CD" w:rsidRPr="00285294" w:rsidTr="002D51CD">
        <w:trPr>
          <w:cnfStyle w:val="000000100000"/>
          <w:trHeight w:val="253"/>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Pr="00285294">
              <w:rPr>
                <w:color w:val="auto"/>
                <w:sz w:val="22"/>
                <w:szCs w:val="22"/>
                <w:vertAlign w:val="subscript"/>
              </w:rPr>
              <w:t>t+1</w:t>
            </w:r>
          </w:p>
        </w:tc>
        <w:tc>
          <w:tcPr>
            <w:tcW w:w="1910"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-7.394</w:t>
            </w:r>
          </w:p>
        </w:tc>
        <w:tc>
          <w:tcPr>
            <w:tcW w:w="1700"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 xml:space="preserve">   (0.086)*</w:t>
            </w:r>
          </w:p>
        </w:tc>
      </w:tr>
      <w:tr w:rsidR="002D51CD" w:rsidRPr="00285294" w:rsidTr="002D51CD">
        <w:trPr>
          <w:trHeight w:val="253"/>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w:t>
            </w:r>
          </w:p>
        </w:tc>
        <w:tc>
          <w:tcPr>
            <w:tcW w:w="1910" w:type="pct"/>
            <w:tcBorders>
              <w:top w:val="single" w:sz="12" w:space="0" w:color="auto"/>
              <w:left w:val="single" w:sz="18" w:space="0" w:color="auto"/>
              <w:bottom w:val="single" w:sz="12" w:space="0" w:color="auto"/>
              <w:right w:val="single" w:sz="12" w:space="0" w:color="auto"/>
            </w:tcBorders>
            <w:shd w:val="clear" w:color="auto" w:fill="FFFFFF" w:themeFill="background1"/>
          </w:tcPr>
          <w:p w:rsidR="002D51CD" w:rsidRPr="00285294" w:rsidRDefault="002D51CD" w:rsidP="002D51CD">
            <w:pPr>
              <w:jc w:val="center"/>
              <w:cnfStyle w:val="000000000000"/>
              <w:rPr>
                <w:color w:val="auto"/>
                <w:sz w:val="22"/>
                <w:szCs w:val="22"/>
              </w:rPr>
            </w:pPr>
            <w:r w:rsidRPr="00285294">
              <w:rPr>
                <w:color w:val="auto"/>
                <w:sz w:val="22"/>
                <w:szCs w:val="22"/>
              </w:rPr>
              <w:t>-0.119</w:t>
            </w:r>
          </w:p>
        </w:tc>
        <w:tc>
          <w:tcPr>
            <w:tcW w:w="1700"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(0.947)</w:t>
            </w:r>
          </w:p>
        </w:tc>
      </w:tr>
      <w:tr w:rsidR="002D51CD" w:rsidRPr="00285294" w:rsidTr="002D51CD">
        <w:trPr>
          <w:cnfStyle w:val="000000100000"/>
          <w:trHeight w:val="253"/>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t+1</w:t>
            </w:r>
          </w:p>
        </w:tc>
        <w:tc>
          <w:tcPr>
            <w:tcW w:w="1910"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0.385</w:t>
            </w:r>
          </w:p>
        </w:tc>
        <w:tc>
          <w:tcPr>
            <w:tcW w:w="1700"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 xml:space="preserve"> (0.833)</w:t>
            </w:r>
          </w:p>
        </w:tc>
      </w:tr>
      <w:tr w:rsidR="002D51CD" w:rsidRPr="00285294" w:rsidTr="002D51CD">
        <w:trPr>
          <w:trHeight w:val="268"/>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t+1</w:t>
            </w:r>
          </w:p>
        </w:tc>
        <w:tc>
          <w:tcPr>
            <w:tcW w:w="1910"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2.798</w:t>
            </w:r>
          </w:p>
        </w:tc>
        <w:tc>
          <w:tcPr>
            <w:tcW w:w="1700"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(0.526)</w:t>
            </w:r>
          </w:p>
        </w:tc>
      </w:tr>
      <w:tr w:rsidR="002D51CD" w:rsidRPr="00285294" w:rsidTr="002D51CD">
        <w:trPr>
          <w:cnfStyle w:val="000000100000"/>
          <w:trHeight w:val="253"/>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1910"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-2.753</w:t>
            </w:r>
          </w:p>
        </w:tc>
        <w:tc>
          <w:tcPr>
            <w:tcW w:w="1700"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 xml:space="preserve"> (0.374)</w:t>
            </w:r>
          </w:p>
        </w:tc>
      </w:tr>
      <w:tr w:rsidR="002D51CD" w:rsidRPr="00285294" w:rsidTr="002D51CD">
        <w:trPr>
          <w:trHeight w:val="277"/>
          <w:jc w:val="center"/>
        </w:trPr>
        <w:tc>
          <w:tcPr>
            <w:cnfStyle w:val="001000000000"/>
            <w:tcW w:w="1390"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10"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0.615</w:t>
            </w:r>
          </w:p>
        </w:tc>
      </w:tr>
    </w:tbl>
    <w:p w:rsidR="002D51CD" w:rsidRPr="002D51CD" w:rsidRDefault="002D51CD" w:rsidP="002D51CD">
      <w:pPr>
        <w:spacing w:line="240" w:lineRule="auto"/>
        <w:ind w:left="-142"/>
        <w:rPr>
          <w:sz w:val="18"/>
          <w:szCs w:val="18"/>
          <w:lang w:val="en-US"/>
        </w:rPr>
      </w:pPr>
      <w:r w:rsidRPr="002D51CD">
        <w:rPr>
          <w:rFonts w:ascii="Times New Roman" w:hAnsi="Times New Roman" w:cs="Times New Roman"/>
          <w:sz w:val="18"/>
          <w:szCs w:val="18"/>
          <w:lang w:val="en-US"/>
        </w:rPr>
        <w:t>Reported values are rounded at the third decimal. (*) denotes significance at 10%, (**) at 5% and (***)</w:t>
      </w:r>
      <w:r w:rsidRPr="002D51CD">
        <w:rPr>
          <w:sz w:val="18"/>
          <w:szCs w:val="18"/>
          <w:lang w:val="en-US"/>
        </w:rPr>
        <w:t xml:space="preserve"> at 1%.</w:t>
      </w:r>
    </w:p>
    <w:p w:rsidR="002D51CD" w:rsidRPr="002D51CD" w:rsidRDefault="002D51CD" w:rsidP="002D51CD">
      <w:pPr>
        <w:rPr>
          <w:b/>
          <w:lang w:val="en-US"/>
        </w:rPr>
      </w:pPr>
    </w:p>
    <w:p w:rsidR="002D51CD" w:rsidRPr="002D51CD" w:rsidRDefault="002D51CD" w:rsidP="002D51CD">
      <w:pPr>
        <w:rPr>
          <w:b/>
          <w:lang w:val="en-US"/>
        </w:rPr>
      </w:pPr>
    </w:p>
    <w:p w:rsidR="002D51CD" w:rsidRPr="002D51CD" w:rsidRDefault="002D51CD" w:rsidP="002D51CD">
      <w:pPr>
        <w:rPr>
          <w:b/>
          <w:lang w:val="en-US"/>
        </w:rPr>
      </w:pPr>
    </w:p>
    <w:p w:rsidR="002D51CD" w:rsidRPr="002D51CD" w:rsidRDefault="002D51CD" w:rsidP="002D51CD">
      <w:pPr>
        <w:rPr>
          <w:b/>
          <w:lang w:val="en-US"/>
        </w:rPr>
      </w:pPr>
    </w:p>
    <w:p w:rsidR="002D51CD" w:rsidRPr="002D51CD" w:rsidRDefault="002D51CD" w:rsidP="002D51CD">
      <w:pPr>
        <w:jc w:val="right"/>
        <w:rPr>
          <w:rFonts w:ascii="Times New Roman" w:hAnsi="Times New Roman" w:cs="Times New Roman"/>
          <w:b/>
          <w:sz w:val="24"/>
          <w:szCs w:val="24"/>
        </w:rPr>
      </w:pPr>
      <w:r w:rsidRPr="002D51CD">
        <w:rPr>
          <w:rFonts w:ascii="Times New Roman" w:hAnsi="Times New Roman" w:cs="Times New Roman"/>
          <w:b/>
          <w:sz w:val="24"/>
          <w:szCs w:val="24"/>
        </w:rPr>
        <w:lastRenderedPageBreak/>
        <w:t>Table 6 cont.</w:t>
      </w:r>
    </w:p>
    <w:tbl>
      <w:tblPr>
        <w:tblStyle w:val="LightShading-Accent3"/>
        <w:tblW w:w="5000" w:type="pct"/>
        <w:jc w:val="center"/>
        <w:tblLook w:val="04A0"/>
      </w:tblPr>
      <w:tblGrid>
        <w:gridCol w:w="2661"/>
        <w:gridCol w:w="4004"/>
        <w:gridCol w:w="2905"/>
      </w:tblGrid>
      <w:tr w:rsidR="002D51CD" w:rsidRPr="00285294" w:rsidTr="002D51CD">
        <w:trPr>
          <w:cnfStyle w:val="100000000000"/>
          <w:trHeight w:val="525"/>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color w:val="auto"/>
                <w:vertAlign w:val="subscript"/>
              </w:rPr>
            </w:pPr>
            <w:r w:rsidRPr="00285294">
              <w:rPr>
                <w:color w:val="auto"/>
              </w:rPr>
              <w:t>Panel C: Correlation with rcopper</w:t>
            </w:r>
            <w:r w:rsidRPr="00285294">
              <w:rPr>
                <w:color w:val="auto"/>
                <w:vertAlign w:val="subscript"/>
              </w:rPr>
              <w:t>t</w:t>
            </w:r>
          </w:p>
          <w:p w:rsidR="002D51CD" w:rsidRPr="00285294" w:rsidRDefault="002D51CD" w:rsidP="002D51CD">
            <w:pPr>
              <w:jc w:val="center"/>
              <w:rPr>
                <w:b w:val="0"/>
                <w:color w:val="auto"/>
                <w:vertAlign w:val="subscript"/>
              </w:rPr>
            </w:pPr>
          </w:p>
        </w:tc>
      </w:tr>
      <w:tr w:rsidR="002D51CD" w:rsidRPr="00285294" w:rsidTr="002D51CD">
        <w:trPr>
          <w:cnfStyle w:val="000000100000"/>
          <w:trHeight w:val="234"/>
          <w:jc w:val="center"/>
        </w:trPr>
        <w:tc>
          <w:tcPr>
            <w:cnfStyle w:val="001000000000"/>
            <w:tcW w:w="1390"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p>
        </w:tc>
        <w:tc>
          <w:tcPr>
            <w:tcW w:w="2092"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1518"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285294" w:rsidTr="002D51CD">
        <w:trPr>
          <w:trHeight w:val="278"/>
          <w:jc w:val="center"/>
        </w:trPr>
        <w:tc>
          <w:tcPr>
            <w:cnfStyle w:val="001000000000"/>
            <w:tcW w:w="1390"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2092"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-1.031</w:t>
            </w:r>
          </w:p>
        </w:tc>
        <w:tc>
          <w:tcPr>
            <w:tcW w:w="1518"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(0.878)</w:t>
            </w:r>
          </w:p>
        </w:tc>
      </w:tr>
      <w:tr w:rsidR="002D51CD" w:rsidRPr="00285294" w:rsidTr="002D51CD">
        <w:trPr>
          <w:cnfStyle w:val="000000100000"/>
          <w:trHeight w:val="262"/>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2092"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30.392</w:t>
            </w:r>
          </w:p>
        </w:tc>
        <w:tc>
          <w:tcPr>
            <w:tcW w:w="1518"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w:t>
            </w:r>
          </w:p>
        </w:tc>
      </w:tr>
      <w:tr w:rsidR="002D51CD" w:rsidRPr="00285294" w:rsidTr="002D51CD">
        <w:trPr>
          <w:trHeight w:val="278"/>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2092"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31.142</w:t>
            </w:r>
          </w:p>
        </w:tc>
        <w:tc>
          <w:tcPr>
            <w:tcW w:w="1518"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w:t>
            </w:r>
          </w:p>
        </w:tc>
      </w:tr>
      <w:tr w:rsidR="002D51CD" w:rsidRPr="00285294" w:rsidTr="002D51CD">
        <w:trPr>
          <w:cnfStyle w:val="000000100000"/>
          <w:trHeight w:val="262"/>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Pr="00285294">
              <w:rPr>
                <w:color w:val="auto"/>
                <w:sz w:val="22"/>
                <w:szCs w:val="22"/>
                <w:vertAlign w:val="subscript"/>
              </w:rPr>
              <w:t>t+1</w:t>
            </w:r>
          </w:p>
        </w:tc>
        <w:tc>
          <w:tcPr>
            <w:tcW w:w="2092" w:type="pct"/>
            <w:tcBorders>
              <w:top w:val="single" w:sz="12" w:space="0" w:color="auto"/>
              <w:left w:val="single" w:sz="18" w:space="0" w:color="auto"/>
              <w:bottom w:val="single" w:sz="12" w:space="0" w:color="auto"/>
              <w:right w:val="single" w:sz="12" w:space="0" w:color="auto"/>
            </w:tcBorders>
          </w:tcPr>
          <w:p w:rsidR="002D51CD" w:rsidRPr="00BA7F74" w:rsidRDefault="002D51CD" w:rsidP="002D51CD">
            <w:pPr>
              <w:jc w:val="center"/>
              <w:cnfStyle w:val="000000100000"/>
              <w:rPr>
                <w:color w:val="auto"/>
                <w:sz w:val="22"/>
                <w:szCs w:val="22"/>
                <w:lang w:val="en-US"/>
              </w:rPr>
            </w:pPr>
            <w:r w:rsidRPr="00285294">
              <w:rPr>
                <w:color w:val="auto"/>
                <w:sz w:val="22"/>
                <w:szCs w:val="22"/>
              </w:rPr>
              <w:t>1.3</w:t>
            </w:r>
            <w:r w:rsidR="00BA7F74">
              <w:rPr>
                <w:color w:val="auto"/>
                <w:sz w:val="22"/>
                <w:szCs w:val="22"/>
                <w:lang w:val="en-US"/>
              </w:rPr>
              <w:t>00</w:t>
            </w:r>
          </w:p>
        </w:tc>
        <w:tc>
          <w:tcPr>
            <w:tcW w:w="1518"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 xml:space="preserve"> (0.857)</w:t>
            </w:r>
          </w:p>
        </w:tc>
      </w:tr>
      <w:tr w:rsidR="002D51CD" w:rsidRPr="00285294" w:rsidTr="002D51CD">
        <w:trPr>
          <w:trHeight w:val="262"/>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t-1</w:t>
            </w:r>
          </w:p>
        </w:tc>
        <w:tc>
          <w:tcPr>
            <w:tcW w:w="2092"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3.607</w:t>
            </w:r>
          </w:p>
        </w:tc>
        <w:tc>
          <w:tcPr>
            <w:tcW w:w="1518"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(0.276)</w:t>
            </w:r>
          </w:p>
        </w:tc>
      </w:tr>
      <w:tr w:rsidR="002D51CD" w:rsidRPr="00285294" w:rsidTr="002D51CD">
        <w:trPr>
          <w:cnfStyle w:val="000000100000"/>
          <w:trHeight w:val="262"/>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t+1</w:t>
            </w:r>
          </w:p>
        </w:tc>
        <w:tc>
          <w:tcPr>
            <w:tcW w:w="2092"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2.745</w:t>
            </w:r>
          </w:p>
        </w:tc>
        <w:tc>
          <w:tcPr>
            <w:tcW w:w="1518"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 xml:space="preserve"> (0.353)</w:t>
            </w:r>
          </w:p>
        </w:tc>
      </w:tr>
      <w:tr w:rsidR="002D51CD" w:rsidRPr="00285294" w:rsidTr="002D51CD">
        <w:trPr>
          <w:trHeight w:val="278"/>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t-1</w:t>
            </w:r>
          </w:p>
        </w:tc>
        <w:tc>
          <w:tcPr>
            <w:tcW w:w="2092" w:type="pct"/>
            <w:tcBorders>
              <w:top w:val="single" w:sz="12" w:space="0" w:color="auto"/>
              <w:left w:val="single" w:sz="18" w:space="0" w:color="auto"/>
              <w:bottom w:val="single" w:sz="12" w:space="0" w:color="auto"/>
              <w:right w:val="single" w:sz="12" w:space="0" w:color="auto"/>
            </w:tcBorders>
          </w:tcPr>
          <w:p w:rsidR="002D51CD" w:rsidRPr="00285294" w:rsidRDefault="00BA7F74" w:rsidP="002D51CD">
            <w:pPr>
              <w:jc w:val="center"/>
              <w:cnfStyle w:val="000000000000"/>
              <w:rPr>
                <w:color w:val="auto"/>
                <w:sz w:val="22"/>
                <w:szCs w:val="22"/>
              </w:rPr>
            </w:pPr>
            <w:r>
              <w:rPr>
                <w:color w:val="auto"/>
                <w:sz w:val="22"/>
                <w:szCs w:val="22"/>
                <w:lang w:val="en-US"/>
              </w:rPr>
              <w:t xml:space="preserve"> </w:t>
            </w:r>
            <w:r w:rsidR="002D51CD" w:rsidRPr="00285294">
              <w:rPr>
                <w:color w:val="auto"/>
                <w:sz w:val="22"/>
                <w:szCs w:val="22"/>
              </w:rPr>
              <w:t>28.221</w:t>
            </w:r>
          </w:p>
        </w:tc>
        <w:tc>
          <w:tcPr>
            <w:tcW w:w="1518"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w:t>
            </w:r>
          </w:p>
        </w:tc>
      </w:tr>
      <w:tr w:rsidR="002D51CD" w:rsidRPr="00285294" w:rsidTr="002D51CD">
        <w:trPr>
          <w:cnfStyle w:val="000000100000"/>
          <w:trHeight w:val="262"/>
          <w:jc w:val="center"/>
        </w:trPr>
        <w:tc>
          <w:tcPr>
            <w:cnfStyle w:val="001000000000"/>
            <w:tcW w:w="1390"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2092"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-3.271</w:t>
            </w:r>
          </w:p>
        </w:tc>
        <w:tc>
          <w:tcPr>
            <w:tcW w:w="1518"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(0.453)</w:t>
            </w:r>
          </w:p>
        </w:tc>
      </w:tr>
      <w:tr w:rsidR="002D51CD" w:rsidRPr="00285294" w:rsidTr="002D51CD">
        <w:trPr>
          <w:trHeight w:val="249"/>
          <w:jc w:val="center"/>
        </w:trPr>
        <w:tc>
          <w:tcPr>
            <w:cnfStyle w:val="001000000000"/>
            <w:tcW w:w="1390"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10"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0.694</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p w:rsidR="002D51CD" w:rsidRPr="002D51CD" w:rsidRDefault="002D51CD" w:rsidP="002D51CD">
      <w:pPr>
        <w:spacing w:line="360" w:lineRule="auto"/>
        <w:jc w:val="both"/>
        <w:rPr>
          <w:lang w:val="en-US"/>
        </w:rPr>
      </w:pP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At first glance, we observe that the R</w:t>
      </w:r>
      <w:r w:rsidRPr="002D51CD">
        <w:rPr>
          <w:rFonts w:ascii="Times New Roman" w:hAnsi="Times New Roman" w:cs="Times New Roman"/>
          <w:sz w:val="24"/>
          <w:szCs w:val="24"/>
          <w:vertAlign w:val="superscript"/>
          <w:lang w:val="en-US"/>
        </w:rPr>
        <w:t>2</w:t>
      </w:r>
      <w:r w:rsidRPr="002D51CD">
        <w:rPr>
          <w:rFonts w:ascii="Times New Roman" w:hAnsi="Times New Roman" w:cs="Times New Roman"/>
          <w:sz w:val="24"/>
          <w:szCs w:val="24"/>
          <w:lang w:val="en-US"/>
        </w:rPr>
        <w:t xml:space="preserve"> for gold is considerably low (4.8%) suggesting that our model does not s</w:t>
      </w:r>
      <w:r w:rsidR="0002152B">
        <w:rPr>
          <w:rFonts w:ascii="Times New Roman" w:hAnsi="Times New Roman" w:cs="Times New Roman"/>
          <w:sz w:val="24"/>
          <w:szCs w:val="24"/>
          <w:lang w:val="en-US"/>
        </w:rPr>
        <w:t xml:space="preserve">ufficiently capture swings in </w:t>
      </w:r>
      <w:r w:rsidRPr="002D51CD">
        <w:rPr>
          <w:rFonts w:ascii="Times New Roman" w:hAnsi="Times New Roman" w:cs="Times New Roman"/>
          <w:sz w:val="24"/>
          <w:szCs w:val="24"/>
          <w:lang w:val="en-US"/>
        </w:rPr>
        <w:t xml:space="preserve"> returns of gold while for corn and copper is above 60%. Focalizing on the coefficients and p-values we conclude that for gold all the indices are insignificant. This may be derived from several factors. Gold, apart from an investment asset, is also an industrial commodity and in fact holds the first place as a choice in the jewelry industry (Sari et. al, 2009). In a period of prosperity the demand for luxurious products, like jewelry for example, is high so it is straightforward that gold’s price will increase. Moreover, the behavior of commodities, in general, is influenced by other factors (Giot and Laurent, 2003; Symeonidis et al., 2012). Especially gold, is driven by the value of U.S Dollar since the bulk of its trades are carried out in this currency (Baur and McDermott, 2012).  </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For corn, we find significant results for three indices namely the leading Baker and Wurgler (BW), the lagging University of Michigan Consumer Confidence Sentiment (CC) and the lagging Merrill Lynch’s Risk Aversion Indicator (ML_RAI). The signs of the coefficients denote that the returns of gold are positively correlated with the first two that measure risk appetite while with ML_RAI (which measures risk aversion) a negative correlation is present. Examining the outcomes in terms of magnitude they could be interpreted as follows; the coefficient for the Baker and Wurgler index (BW), for instance, signifies that a one unit increase in the sentiment in the previous period –which entails to a one standard deviation increase due to the fact that indices are standardized- is connected with 7% higher monthly returns for gold for this period. In a similar vein, the coefficients for CC and ML_RAI signify that a one unit increase in the next </w:t>
      </w:r>
      <w:r w:rsidRPr="002D51CD">
        <w:rPr>
          <w:rFonts w:ascii="Times New Roman" w:hAnsi="Times New Roman" w:cs="Times New Roman"/>
          <w:sz w:val="24"/>
          <w:szCs w:val="24"/>
          <w:lang w:val="en-US"/>
        </w:rPr>
        <w:lastRenderedPageBreak/>
        <w:t>period’s sentiment corresponds to 22.203% higher and 7.394% lower monthly returns respectively.</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Finally for copper, the significant indices are the lagging University of Michigan Consumer Confidence Sentiment (CC), the lagging State Street Investor Confidence Index (ICI) and the leading VIX Index (VIX). The signs of </w:t>
      </w:r>
      <w:r w:rsidRPr="00F2720A">
        <w:rPr>
          <w:rFonts w:ascii="Times New Roman" w:hAnsi="Times New Roman" w:cs="Times New Roman"/>
          <w:sz w:val="24"/>
          <w:szCs w:val="24"/>
          <w:lang w:val="en-US"/>
        </w:rPr>
        <w:t>the coefficients point out that there is a positive relation between the returns of copper and these indices (with the proper indication). In summary, and for the purposes of this dissertation, we conclude that the best indices are the leading Baker and Wurgler (BW) and the leading VIX Index (VIX).</w:t>
      </w: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4.2.2 Results from time series regressions of currencies</w:t>
      </w: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Outcomes from the time series regressions we performed –based on equations (10) to (12)</w:t>
      </w:r>
      <w:r w:rsidR="007832D7">
        <w:rPr>
          <w:rFonts w:ascii="Times New Roman" w:hAnsi="Times New Roman" w:cs="Times New Roman"/>
          <w:sz w:val="24"/>
          <w:szCs w:val="24"/>
          <w:lang w:val="en-US"/>
        </w:rPr>
        <w:t xml:space="preserve"> -</w:t>
      </w:r>
      <w:r w:rsidRPr="002D51CD">
        <w:rPr>
          <w:rFonts w:ascii="Times New Roman" w:hAnsi="Times New Roman" w:cs="Times New Roman"/>
          <w:sz w:val="24"/>
          <w:szCs w:val="24"/>
          <w:lang w:val="en-US"/>
        </w:rPr>
        <w:t>for the returns of currencies against the U.S Dollar are reported in Table 7 below.</w:t>
      </w:r>
    </w:p>
    <w:p w:rsidR="002D51CD" w:rsidRPr="002D51CD" w:rsidRDefault="002D51CD" w:rsidP="002D51CD">
      <w:pPr>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t>Table 7</w:t>
      </w:r>
    </w:p>
    <w:p w:rsidR="002D51CD" w:rsidRPr="002D51CD" w:rsidRDefault="002D51CD" w:rsidP="002D51CD">
      <w:pPr>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t>Analysis Summary of Currencies</w:t>
      </w:r>
    </w:p>
    <w:p w:rsidR="002D51CD" w:rsidRPr="002D51CD" w:rsidRDefault="002D51CD" w:rsidP="002D51CD">
      <w:pPr>
        <w:spacing w:line="360" w:lineRule="auto"/>
        <w:jc w:val="both"/>
        <w:rPr>
          <w:rFonts w:ascii="Times New Roman" w:hAnsi="Times New Roman" w:cs="Times New Roman"/>
          <w:sz w:val="20"/>
          <w:szCs w:val="20"/>
          <w:lang w:val="en-US"/>
        </w:rPr>
      </w:pPr>
      <w:r w:rsidRPr="002D51CD">
        <w:rPr>
          <w:rFonts w:ascii="Times New Roman" w:hAnsi="Times New Roman" w:cs="Times New Roman"/>
          <w:sz w:val="20"/>
          <w:szCs w:val="20"/>
          <w:lang w:val="en-US"/>
        </w:rPr>
        <w:t>This table presents the obtained results from equations (10) to (12). The first column of each panel denotes the indices, the second the coefficients and the third the p-value. The last row displays the value of R</w:t>
      </w:r>
      <w:r w:rsidRPr="002D51CD">
        <w:rPr>
          <w:rFonts w:ascii="Times New Roman" w:hAnsi="Times New Roman" w:cs="Times New Roman"/>
          <w:sz w:val="20"/>
          <w:szCs w:val="20"/>
          <w:vertAlign w:val="superscript"/>
          <w:lang w:val="en-US"/>
        </w:rPr>
        <w:t>2</w:t>
      </w:r>
      <w:r w:rsidRPr="002D51CD">
        <w:rPr>
          <w:rFonts w:ascii="Times New Roman" w:hAnsi="Times New Roman" w:cs="Times New Roman"/>
          <w:sz w:val="20"/>
          <w:szCs w:val="20"/>
          <w:lang w:val="en-US"/>
        </w:rPr>
        <w:t>. The indices represent the standardized values from the Baker and Wurgler (BW), University of Michigan Consumer Confidence Sentiment (CC), State Street Investor Confidence Index (ICI), Merrill Lynch’s Risk Aversion Indicator (ML_RAI), Global Risk Appetite Monitor by Nomura (NGRAM), Put-Call Ratio (PCR), VIX Index (VIX) and Westpac Risk Appetite (WP). Each variable is inserted with the proper lead-lag-comevement indication. Panel A is for the returns of Swiss franc to U.S Dollar, Panel B for the returns of Euro to U.S Dollar and Panel C for the returns of Australian to U.S Dollar all at time t.</w:t>
      </w:r>
    </w:p>
    <w:tbl>
      <w:tblPr>
        <w:tblStyle w:val="LightShading-Accent3"/>
        <w:tblW w:w="5000" w:type="pct"/>
        <w:jc w:val="center"/>
        <w:tblLook w:val="04A0"/>
      </w:tblPr>
      <w:tblGrid>
        <w:gridCol w:w="2672"/>
        <w:gridCol w:w="2812"/>
        <w:gridCol w:w="4086"/>
      </w:tblGrid>
      <w:tr w:rsidR="002D51CD" w:rsidRPr="009A092A" w:rsidTr="002D51CD">
        <w:trPr>
          <w:cnfStyle w:val="100000000000"/>
          <w:trHeight w:val="552"/>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color w:val="auto"/>
                <w:vertAlign w:val="subscript"/>
                <w:lang w:val="en-US"/>
              </w:rPr>
            </w:pPr>
            <w:r w:rsidRPr="00285294">
              <w:rPr>
                <w:color w:val="auto"/>
                <w:lang w:val="en-US"/>
              </w:rPr>
              <w:t xml:space="preserve">Panel A: Correlation with </w:t>
            </w:r>
            <w:proofErr w:type="spellStart"/>
            <w:r w:rsidRPr="00285294">
              <w:rPr>
                <w:color w:val="auto"/>
                <w:lang w:val="en-US"/>
              </w:rPr>
              <w:t>rswiss_usd</w:t>
            </w:r>
            <w:r w:rsidRPr="00285294">
              <w:rPr>
                <w:color w:val="auto"/>
                <w:vertAlign w:val="subscript"/>
                <w:lang w:val="en-US"/>
              </w:rPr>
              <w:t>t</w:t>
            </w:r>
            <w:proofErr w:type="spellEnd"/>
          </w:p>
          <w:p w:rsidR="002D51CD" w:rsidRPr="00285294" w:rsidRDefault="002D51CD" w:rsidP="002D51CD">
            <w:pPr>
              <w:jc w:val="center"/>
              <w:rPr>
                <w:b w:val="0"/>
                <w:color w:val="auto"/>
                <w:sz w:val="22"/>
                <w:szCs w:val="22"/>
                <w:vertAlign w:val="subscript"/>
                <w:lang w:val="en-US"/>
              </w:rPr>
            </w:pPr>
          </w:p>
        </w:tc>
      </w:tr>
      <w:tr w:rsidR="002D51CD" w:rsidRPr="00285294" w:rsidTr="002D51CD">
        <w:trPr>
          <w:cnfStyle w:val="000000100000"/>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lang w:val="en-US"/>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285294" w:rsidTr="002D51CD">
        <w:trPr>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0.460</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(0.105)</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-0.084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rPr>
            </w:pPr>
            <w:r w:rsidRPr="00285294">
              <w:rPr>
                <w:color w:val="auto"/>
                <w:sz w:val="22"/>
                <w:szCs w:val="22"/>
              </w:rPr>
              <w:t>(0.859)</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0.133</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(0.739)</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Pr="00285294">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-0.259</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(0.447)</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0.655</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(0.037)**</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-0.521</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(0.027)**</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-0.097</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(0.739)</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0.528</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(0.045)**</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0.093</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p w:rsidR="002D51CD" w:rsidRPr="002D51CD" w:rsidRDefault="002D51CD" w:rsidP="002D51CD">
      <w:pPr>
        <w:jc w:val="right"/>
        <w:rPr>
          <w:rFonts w:ascii="Times New Roman" w:hAnsi="Times New Roman" w:cs="Times New Roman"/>
          <w:b/>
          <w:sz w:val="24"/>
          <w:szCs w:val="24"/>
        </w:rPr>
      </w:pPr>
      <w:r w:rsidRPr="002D51CD">
        <w:rPr>
          <w:rFonts w:ascii="Times New Roman" w:hAnsi="Times New Roman" w:cs="Times New Roman"/>
          <w:b/>
          <w:sz w:val="24"/>
          <w:szCs w:val="24"/>
        </w:rPr>
        <w:lastRenderedPageBreak/>
        <w:t>Table 7 cont.</w:t>
      </w:r>
    </w:p>
    <w:tbl>
      <w:tblPr>
        <w:tblStyle w:val="LightShading-Accent3"/>
        <w:tblW w:w="5000" w:type="pct"/>
        <w:jc w:val="center"/>
        <w:tblLook w:val="04A0"/>
      </w:tblPr>
      <w:tblGrid>
        <w:gridCol w:w="2672"/>
        <w:gridCol w:w="2812"/>
        <w:gridCol w:w="4086"/>
      </w:tblGrid>
      <w:tr w:rsidR="002D51CD" w:rsidRPr="009A092A" w:rsidTr="002D51CD">
        <w:trPr>
          <w:cnfStyle w:val="100000000000"/>
          <w:trHeight w:val="552"/>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color w:val="auto"/>
                <w:vertAlign w:val="subscript"/>
                <w:lang w:val="en-US"/>
              </w:rPr>
            </w:pPr>
            <w:r w:rsidRPr="00285294">
              <w:rPr>
                <w:color w:val="auto"/>
                <w:lang w:val="en-US"/>
              </w:rPr>
              <w:t xml:space="preserve">Panel B: Correlation with </w:t>
            </w:r>
            <w:proofErr w:type="spellStart"/>
            <w:r w:rsidRPr="00285294">
              <w:rPr>
                <w:color w:val="auto"/>
                <w:lang w:val="en-US"/>
              </w:rPr>
              <w:t>reur_usd</w:t>
            </w:r>
            <w:r w:rsidRPr="00285294">
              <w:rPr>
                <w:color w:val="auto"/>
                <w:vertAlign w:val="subscript"/>
                <w:lang w:val="en-US"/>
              </w:rPr>
              <w:t>t</w:t>
            </w:r>
            <w:proofErr w:type="spellEnd"/>
          </w:p>
          <w:p w:rsidR="002D51CD" w:rsidRPr="00285294" w:rsidRDefault="002D51CD" w:rsidP="002D51CD">
            <w:pPr>
              <w:jc w:val="center"/>
              <w:rPr>
                <w:b w:val="0"/>
                <w:color w:val="auto"/>
                <w:vertAlign w:val="subscript"/>
                <w:lang w:val="en-US"/>
              </w:rPr>
            </w:pPr>
          </w:p>
        </w:tc>
      </w:tr>
      <w:tr w:rsidR="002D51CD" w:rsidRPr="00285294" w:rsidTr="002D51CD">
        <w:trPr>
          <w:cnfStyle w:val="000000100000"/>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lang w:val="en-US"/>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285294" w:rsidTr="002D51CD">
        <w:trPr>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0.792</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(0.003)***</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-0.092</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rPr>
            </w:pPr>
            <w:r w:rsidRPr="00285294">
              <w:rPr>
                <w:color w:val="auto"/>
                <w:sz w:val="22"/>
                <w:szCs w:val="22"/>
              </w:rPr>
              <w:t>(0.783)</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tabs>
                <w:tab w:val="left" w:pos="190"/>
                <w:tab w:val="center" w:pos="491"/>
              </w:tabs>
              <w:jc w:val="center"/>
              <w:cnfStyle w:val="000000000000"/>
              <w:rPr>
                <w:color w:val="auto"/>
                <w:sz w:val="22"/>
                <w:szCs w:val="22"/>
              </w:rPr>
            </w:pPr>
            <w:r w:rsidRPr="00285294">
              <w:rPr>
                <w:color w:val="auto"/>
                <w:sz w:val="22"/>
                <w:szCs w:val="22"/>
              </w:rPr>
              <w:t>-0.429</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(0.254)</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-0.675</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(0.074)*</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-0.409</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(0.091)*</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0.393</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(0.088)*</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-0.035</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(0.913)</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0.780</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(0.01)***</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0.111</w:t>
            </w:r>
          </w:p>
        </w:tc>
      </w:tr>
      <w:tr w:rsidR="002D51CD" w:rsidRPr="009A092A" w:rsidTr="002D51CD">
        <w:trPr>
          <w:cnfStyle w:val="000000100000"/>
          <w:trHeight w:val="555"/>
          <w:jc w:val="center"/>
        </w:trPr>
        <w:tc>
          <w:tcPr>
            <w:cnfStyle w:val="001000000000"/>
            <w:tcW w:w="5000" w:type="pct"/>
            <w:gridSpan w:val="3"/>
            <w:tcBorders>
              <w:top w:val="single" w:sz="4"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ind w:left="-142"/>
              <w:rPr>
                <w:color w:val="auto"/>
                <w:sz w:val="18"/>
                <w:szCs w:val="18"/>
                <w:lang w:val="en-US"/>
              </w:rPr>
            </w:pPr>
            <w:r w:rsidRPr="00285294">
              <w:rPr>
                <w:color w:val="auto"/>
                <w:sz w:val="18"/>
                <w:szCs w:val="18"/>
                <w:lang w:val="en-US"/>
              </w:rPr>
              <w:t>Reported values are rounded at the third decimal. (*) denotes significance at 10%, (**) at 5% and (***) at 1%.</w:t>
            </w:r>
          </w:p>
          <w:p w:rsidR="002D51CD" w:rsidRPr="00285294" w:rsidRDefault="002D51CD" w:rsidP="002D51CD">
            <w:pPr>
              <w:jc w:val="both"/>
              <w:rPr>
                <w:b w:val="0"/>
                <w:color w:val="auto"/>
                <w:lang w:val="en-US"/>
              </w:rPr>
            </w:pPr>
          </w:p>
          <w:p w:rsidR="002D51CD" w:rsidRPr="00285294" w:rsidRDefault="002D51CD" w:rsidP="002D51CD">
            <w:pPr>
              <w:jc w:val="center"/>
              <w:rPr>
                <w:b w:val="0"/>
                <w:color w:val="auto"/>
                <w:lang w:val="en-US"/>
              </w:rPr>
            </w:pPr>
          </w:p>
          <w:p w:rsidR="002D51CD" w:rsidRPr="00285294" w:rsidRDefault="002D51CD" w:rsidP="002D51CD">
            <w:pPr>
              <w:jc w:val="center"/>
              <w:rPr>
                <w:color w:val="auto"/>
                <w:vertAlign w:val="subscript"/>
                <w:lang w:val="en-US"/>
              </w:rPr>
            </w:pPr>
            <w:r w:rsidRPr="00285294">
              <w:rPr>
                <w:color w:val="auto"/>
                <w:lang w:val="en-US"/>
              </w:rPr>
              <w:t xml:space="preserve">Panel C: Correlation with </w:t>
            </w:r>
            <w:proofErr w:type="spellStart"/>
            <w:r w:rsidRPr="00285294">
              <w:rPr>
                <w:color w:val="auto"/>
                <w:lang w:val="en-US"/>
              </w:rPr>
              <w:t>raud_usd</w:t>
            </w:r>
            <w:r w:rsidRPr="00285294">
              <w:rPr>
                <w:color w:val="auto"/>
                <w:vertAlign w:val="subscript"/>
                <w:lang w:val="en-US"/>
              </w:rPr>
              <w:t>t</w:t>
            </w:r>
            <w:proofErr w:type="spellEnd"/>
          </w:p>
          <w:p w:rsidR="002D51CD" w:rsidRPr="00285294" w:rsidRDefault="002D51CD" w:rsidP="002D51CD">
            <w:pPr>
              <w:jc w:val="center"/>
              <w:rPr>
                <w:b w:val="0"/>
                <w:color w:val="auto"/>
                <w:lang w:val="en-US"/>
              </w:rPr>
            </w:pPr>
          </w:p>
        </w:tc>
      </w:tr>
      <w:tr w:rsidR="002D51CD" w:rsidRPr="00285294" w:rsidTr="002D51CD">
        <w:trPr>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lang w:val="en-US"/>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0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000000"/>
              <w:rPr>
                <w:b/>
                <w:color w:val="auto"/>
                <w:sz w:val="22"/>
                <w:szCs w:val="22"/>
              </w:rPr>
            </w:pPr>
            <w:r w:rsidRPr="00285294">
              <w:rPr>
                <w:b/>
                <w:color w:val="auto"/>
                <w:sz w:val="22"/>
                <w:szCs w:val="22"/>
              </w:rPr>
              <w:t>p-value</w:t>
            </w:r>
          </w:p>
        </w:tc>
      </w:tr>
      <w:tr w:rsidR="002D51CD" w:rsidRPr="00285294" w:rsidTr="002D51CD">
        <w:trPr>
          <w:cnfStyle w:val="000000100000"/>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0.135</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(0.634)</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tabs>
                <w:tab w:val="left" w:pos="217"/>
                <w:tab w:val="center" w:pos="479"/>
              </w:tabs>
              <w:jc w:val="center"/>
              <w:cnfStyle w:val="000000000000"/>
              <w:rPr>
                <w:color w:val="auto"/>
                <w:sz w:val="22"/>
                <w:szCs w:val="22"/>
              </w:rPr>
            </w:pPr>
            <w:r w:rsidRPr="00285294">
              <w:rPr>
                <w:color w:val="auto"/>
                <w:sz w:val="22"/>
                <w:szCs w:val="22"/>
              </w:rPr>
              <w:t>0.197</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color w:val="auto"/>
              </w:rPr>
            </w:pPr>
            <w:r w:rsidRPr="00285294">
              <w:rPr>
                <w:color w:val="auto"/>
                <w:sz w:val="22"/>
                <w:szCs w:val="22"/>
              </w:rPr>
              <w:t xml:space="preserve"> (0.687)</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0.05</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(0.903)</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Pr="00285294">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0.744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(0.137)</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-0.573</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(0.217)</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0.568</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(0.069)*</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-0.407</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(0.252)</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0.641</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(0.084)*</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0.204</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p w:rsidR="002D51CD" w:rsidRPr="002D51CD" w:rsidRDefault="002D51CD" w:rsidP="002D51CD">
      <w:pPr>
        <w:rPr>
          <w:b/>
          <w:lang w:val="en-US"/>
        </w:rPr>
      </w:pP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Our models for currencies report a very low R</w:t>
      </w:r>
      <w:r w:rsidRPr="002D51CD">
        <w:rPr>
          <w:rFonts w:ascii="Times New Roman" w:hAnsi="Times New Roman" w:cs="Times New Roman"/>
          <w:sz w:val="24"/>
          <w:szCs w:val="24"/>
          <w:vertAlign w:val="superscript"/>
          <w:lang w:val="en-US"/>
        </w:rPr>
        <w:t xml:space="preserve">2 </w:t>
      </w:r>
      <w:r w:rsidRPr="002D51CD">
        <w:rPr>
          <w:rFonts w:ascii="Times New Roman" w:hAnsi="Times New Roman" w:cs="Times New Roman"/>
          <w:sz w:val="24"/>
          <w:szCs w:val="24"/>
          <w:lang w:val="en-US"/>
        </w:rPr>
        <w:t>corroborating Ranaldo and Söderlind (2010) findings. As the authors argue, a low R</w:t>
      </w:r>
      <w:r w:rsidRPr="002D51CD">
        <w:rPr>
          <w:rFonts w:ascii="Times New Roman" w:hAnsi="Times New Roman" w:cs="Times New Roman"/>
          <w:sz w:val="24"/>
          <w:szCs w:val="24"/>
          <w:vertAlign w:val="superscript"/>
          <w:lang w:val="en-US"/>
        </w:rPr>
        <w:t>2</w:t>
      </w:r>
      <w:r w:rsidRPr="002D51CD">
        <w:rPr>
          <w:rFonts w:ascii="Times New Roman" w:hAnsi="Times New Roman" w:cs="Times New Roman"/>
          <w:sz w:val="24"/>
          <w:szCs w:val="24"/>
          <w:lang w:val="en-US"/>
        </w:rPr>
        <w:t xml:space="preserve"> is not surprising if the noisiness of the foreign exchange market is taken into account on a daily basis. More specifically, for Swiss franc the significant indices are the Global Risk Appetite Monitor by Nomura (NGRAM), Put-Call Ratio (PCR) and the lagging Westpac Risk Appetite (WP). The coefficient for NGRAM indicates that a one unit increase in this index is associated with a 0.655% appreciation of the Swiss franc against the U.S Dollar. The PCR indicates a 0.521% depreciation of the Swiss franc while WP’s next period values are associated with a 0.528% appreciation. For Euro the significant indices are the l</w:t>
      </w:r>
      <w:r w:rsidR="00F27F61">
        <w:rPr>
          <w:rFonts w:ascii="Times New Roman" w:hAnsi="Times New Roman" w:cs="Times New Roman"/>
          <w:sz w:val="24"/>
          <w:szCs w:val="24"/>
          <w:lang w:val="en-US"/>
        </w:rPr>
        <w:t>eading</w:t>
      </w:r>
      <w:r w:rsidRPr="002D51CD">
        <w:rPr>
          <w:rFonts w:ascii="Times New Roman" w:hAnsi="Times New Roman" w:cs="Times New Roman"/>
          <w:sz w:val="24"/>
          <w:szCs w:val="24"/>
          <w:lang w:val="en-US"/>
        </w:rPr>
        <w:t xml:space="preserve"> Baker and Wurgler (BW), the lagging Merrill Lynch’s Risk Aversion Indicator (ML_RAI), the leading Global Risk Appetite Monitor by Nomura (NGRAM), the leading Put-Call Ratio (PCR) and the lagging Westpac Risk Appetite (WP). Finally, for the Australian Dollar we </w:t>
      </w:r>
      <w:r w:rsidRPr="00F27F61">
        <w:rPr>
          <w:rFonts w:ascii="Times New Roman" w:hAnsi="Times New Roman" w:cs="Times New Roman"/>
          <w:sz w:val="24"/>
          <w:szCs w:val="24"/>
          <w:lang w:val="en-US"/>
        </w:rPr>
        <w:t xml:space="preserve">obtain </w:t>
      </w:r>
      <w:r w:rsidRPr="00F27F61">
        <w:rPr>
          <w:rFonts w:ascii="Times New Roman" w:hAnsi="Times New Roman" w:cs="Times New Roman"/>
          <w:sz w:val="24"/>
          <w:szCs w:val="24"/>
          <w:lang w:val="en-US"/>
        </w:rPr>
        <w:lastRenderedPageBreak/>
        <w:t>significant results for the leading Put-Call ratio (PCR) and Westpac Risk Appetite (WP). Overall, the results recommend that the best index, the one that best captures swings in our selected exchange rates is the leading Put-Call ratio (PCR). The index is significant for 2 out of 3 exchange rates. In terms of magnitude, a one standard deviation increase of its value of the previous period is associated with a 0.4085% (on average) higher monthly returns for currencies.</w:t>
      </w: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4.2.3 Results from time series regressions of bonds</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Table 8 below displays the obtained results for the asset class of government bonds based on equations (13) and (14). </w:t>
      </w:r>
    </w:p>
    <w:p w:rsidR="002D51CD" w:rsidRPr="002D51CD" w:rsidRDefault="002D51CD" w:rsidP="002D51CD">
      <w:pPr>
        <w:spacing w:line="360" w:lineRule="auto"/>
        <w:jc w:val="both"/>
        <w:rPr>
          <w:lang w:val="en-US"/>
        </w:rPr>
      </w:pPr>
    </w:p>
    <w:p w:rsidR="002D51CD" w:rsidRPr="002D51CD" w:rsidRDefault="002D51CD" w:rsidP="002D51CD">
      <w:pPr>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t>Table 8</w:t>
      </w:r>
    </w:p>
    <w:p w:rsidR="002D51CD" w:rsidRPr="002D51CD" w:rsidRDefault="002D51CD" w:rsidP="002D51CD">
      <w:pPr>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t>Analysis Summary of Bonds</w:t>
      </w:r>
    </w:p>
    <w:p w:rsidR="002D51CD" w:rsidRPr="002D51CD" w:rsidRDefault="002D51CD" w:rsidP="002D51CD">
      <w:pPr>
        <w:spacing w:line="360" w:lineRule="auto"/>
        <w:jc w:val="both"/>
        <w:rPr>
          <w:rFonts w:ascii="Times New Roman" w:hAnsi="Times New Roman" w:cs="Times New Roman"/>
          <w:sz w:val="20"/>
          <w:szCs w:val="20"/>
          <w:lang w:val="en-US"/>
        </w:rPr>
      </w:pPr>
      <w:r w:rsidRPr="002D51CD">
        <w:rPr>
          <w:rFonts w:ascii="Times New Roman" w:hAnsi="Times New Roman" w:cs="Times New Roman"/>
          <w:sz w:val="20"/>
          <w:szCs w:val="20"/>
          <w:lang w:val="en-US"/>
        </w:rPr>
        <w:t>This table presents the obtained results from equations (13) and (14). The first column of each panel denotes the indices, the second the coefficients and the third the p-value. The last row displays the value of R</w:t>
      </w:r>
      <w:r w:rsidRPr="002D51CD">
        <w:rPr>
          <w:rFonts w:ascii="Times New Roman" w:hAnsi="Times New Roman" w:cs="Times New Roman"/>
          <w:sz w:val="20"/>
          <w:szCs w:val="20"/>
          <w:vertAlign w:val="superscript"/>
          <w:lang w:val="en-US"/>
        </w:rPr>
        <w:t>2</w:t>
      </w:r>
      <w:r w:rsidRPr="002D51CD">
        <w:rPr>
          <w:rFonts w:ascii="Times New Roman" w:hAnsi="Times New Roman" w:cs="Times New Roman"/>
          <w:sz w:val="20"/>
          <w:szCs w:val="20"/>
          <w:lang w:val="en-US"/>
        </w:rPr>
        <w:t>. The indices represent the standardized values from the Baker and Wurgler (BW), University of Michigan Consumer Confidence Sentiment (CC), State Street Investor Confidence Index (ICI), Merrill Lynch’s Risk Aversion Indicator (ML_RAI), Global Risk Appetite Monitor by Nomura (NGRAM), Put-Call Ratio (PCR), VIX Index (VIX) and Westpac Risk Appetite (WP). Each variable is inserted with the proper lead-lag-comevement indication. Panel A is for the yield spreads of German government bonds with a 10-year to maturity and Panel B for yield spreads of U.S government bonds with a 10-year to maturity both at time t.</w:t>
      </w:r>
    </w:p>
    <w:p w:rsidR="002D51CD" w:rsidRPr="002D51CD" w:rsidRDefault="002D51CD" w:rsidP="002D51CD">
      <w:pPr>
        <w:rPr>
          <w:b/>
          <w:lang w:val="en-US"/>
        </w:rPr>
      </w:pPr>
    </w:p>
    <w:tbl>
      <w:tblPr>
        <w:tblStyle w:val="LightShading-Accent3"/>
        <w:tblW w:w="5000" w:type="pct"/>
        <w:jc w:val="center"/>
        <w:tblLook w:val="04A0"/>
      </w:tblPr>
      <w:tblGrid>
        <w:gridCol w:w="2672"/>
        <w:gridCol w:w="2812"/>
        <w:gridCol w:w="4086"/>
      </w:tblGrid>
      <w:tr w:rsidR="002D51CD" w:rsidRPr="00176310" w:rsidTr="002D51CD">
        <w:trPr>
          <w:cnfStyle w:val="100000000000"/>
          <w:trHeight w:val="552"/>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color w:val="auto"/>
                <w:vertAlign w:val="subscript"/>
              </w:rPr>
            </w:pPr>
            <w:r w:rsidRPr="00285294">
              <w:rPr>
                <w:color w:val="auto"/>
              </w:rPr>
              <w:t>Panel A: Correlation with yldspreadG10</w:t>
            </w:r>
            <w:r w:rsidRPr="00285294">
              <w:rPr>
                <w:color w:val="auto"/>
                <w:vertAlign w:val="subscript"/>
              </w:rPr>
              <w:t>t</w:t>
            </w:r>
          </w:p>
          <w:p w:rsidR="002D51CD" w:rsidRPr="00176310" w:rsidRDefault="002D51CD" w:rsidP="002D51CD">
            <w:pPr>
              <w:jc w:val="center"/>
              <w:rPr>
                <w:b w:val="0"/>
                <w:sz w:val="22"/>
                <w:szCs w:val="22"/>
                <w:vertAlign w:val="subscript"/>
              </w:rPr>
            </w:pPr>
          </w:p>
        </w:tc>
      </w:tr>
      <w:tr w:rsidR="002D51CD" w:rsidRPr="00176310" w:rsidTr="002D51CD">
        <w:trPr>
          <w:cnfStyle w:val="000000100000"/>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176310" w:rsidTr="002D51CD">
        <w:trPr>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0.133</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(0.012)**</w:t>
            </w:r>
          </w:p>
        </w:tc>
      </w:tr>
      <w:tr w:rsidR="002D51CD" w:rsidRPr="00176310"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0.236</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rPr>
            </w:pPr>
            <w:r w:rsidRPr="00285294">
              <w:rPr>
                <w:color w:val="auto"/>
                <w:sz w:val="22"/>
                <w:szCs w:val="22"/>
              </w:rPr>
              <w:t xml:space="preserve">      (0.041)**</w:t>
            </w:r>
          </w:p>
        </w:tc>
      </w:tr>
      <w:tr w:rsidR="002D51CD" w:rsidRPr="00176310"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0.307</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cnfStyle w:val="000000000000"/>
              <w:rPr>
                <w:b/>
                <w:color w:val="auto"/>
              </w:rPr>
            </w:pPr>
            <w:r w:rsidRPr="00285294">
              <w:rPr>
                <w:color w:val="auto"/>
                <w:sz w:val="22"/>
                <w:szCs w:val="22"/>
              </w:rPr>
              <w:t xml:space="preserve">                              (0)***</w:t>
            </w:r>
          </w:p>
        </w:tc>
      </w:tr>
      <w:tr w:rsidR="002D51CD" w:rsidRPr="00176310"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005A47C1">
              <w:rPr>
                <w:color w:val="auto"/>
                <w:sz w:val="22"/>
                <w:szCs w:val="22"/>
                <w:vertAlign w:val="subscript"/>
              </w:rPr>
              <w:t>t</w:t>
            </w:r>
            <w:r w:rsidR="005A47C1">
              <w:rPr>
                <w:color w:val="auto"/>
                <w:sz w:val="22"/>
                <w:szCs w:val="22"/>
                <w:vertAlign w:val="subscript"/>
                <w:lang w:val="en-US"/>
              </w:rPr>
              <w:t>+</w:t>
            </w:r>
            <w:r w:rsidRPr="00285294">
              <w:rPr>
                <w:color w:val="auto"/>
                <w:sz w:val="22"/>
                <w:szCs w:val="22"/>
                <w:vertAlign w:val="subscript"/>
              </w:rPr>
              <w: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0.125</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cnfStyle w:val="000000100000"/>
              <w:rPr>
                <w:b/>
                <w:color w:val="auto"/>
              </w:rPr>
            </w:pPr>
            <w:r w:rsidRPr="00285294">
              <w:rPr>
                <w:color w:val="auto"/>
                <w:sz w:val="22"/>
                <w:szCs w:val="22"/>
              </w:rPr>
              <w:t xml:space="preserve">                              (0.187)</w:t>
            </w:r>
          </w:p>
        </w:tc>
      </w:tr>
      <w:tr w:rsidR="002D51CD" w:rsidRPr="00176310"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-0.044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(0.126)</w:t>
            </w:r>
          </w:p>
        </w:tc>
      </w:tr>
      <w:tr w:rsidR="002D51CD" w:rsidRPr="00176310"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lang w:val="en-US"/>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w:t>
            </w:r>
            <w:r w:rsidR="005A47C1">
              <w:rPr>
                <w:color w:val="auto"/>
                <w:sz w:val="22"/>
                <w:szCs w:val="22"/>
                <w:vertAlign w:val="subscript"/>
                <w:lang w:val="en-US"/>
              </w:rPr>
              <w: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-0.002</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(0.935)</w:t>
            </w:r>
          </w:p>
        </w:tc>
      </w:tr>
      <w:tr w:rsidR="002D51CD" w:rsidRPr="00176310"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w:t>
            </w:r>
            <w:r w:rsidR="005A47C1">
              <w:rPr>
                <w:color w:val="auto"/>
                <w:sz w:val="22"/>
                <w:szCs w:val="22"/>
                <w:vertAlign w:val="subscript"/>
                <w:lang w:val="en-US"/>
              </w:rPr>
              <w:t>+</w:t>
            </w:r>
            <w:r w:rsidRPr="00285294">
              <w:rPr>
                <w:color w:val="auto"/>
                <w:sz w:val="22"/>
                <w:szCs w:val="22"/>
                <w:vertAlign w:val="subscript"/>
              </w:rPr>
              <w: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0.097</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(0.247)</w:t>
            </w:r>
          </w:p>
        </w:tc>
      </w:tr>
      <w:tr w:rsidR="002D51CD" w:rsidRPr="00176310"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-0.032</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tabs>
                <w:tab w:val="left" w:pos="380"/>
                <w:tab w:val="center" w:pos="726"/>
              </w:tabs>
              <w:jc w:val="center"/>
              <w:cnfStyle w:val="000000100000"/>
              <w:rPr>
                <w:b/>
                <w:color w:val="auto"/>
              </w:rPr>
            </w:pPr>
            <w:r w:rsidRPr="00285294">
              <w:rPr>
                <w:color w:val="auto"/>
                <w:sz w:val="22"/>
                <w:szCs w:val="22"/>
              </w:rPr>
              <w:t xml:space="preserve"> (0.393)</w:t>
            </w:r>
          </w:p>
        </w:tc>
      </w:tr>
      <w:tr w:rsidR="002D51CD" w:rsidRPr="00176310" w:rsidTr="002D51CD">
        <w:trPr>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0.718</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p w:rsidR="002D51CD" w:rsidRPr="002D51CD" w:rsidRDefault="002D51CD" w:rsidP="002D51CD">
      <w:pPr>
        <w:rPr>
          <w:lang w:val="en-US"/>
        </w:rPr>
      </w:pPr>
    </w:p>
    <w:p w:rsidR="00F27F61" w:rsidRDefault="00F27F61" w:rsidP="002D51CD">
      <w:pPr>
        <w:jc w:val="right"/>
        <w:rPr>
          <w:rFonts w:ascii="Times New Roman" w:hAnsi="Times New Roman" w:cs="Times New Roman"/>
          <w:b/>
          <w:sz w:val="24"/>
          <w:szCs w:val="24"/>
          <w:lang w:val="en-US"/>
        </w:rPr>
      </w:pPr>
    </w:p>
    <w:p w:rsidR="002D51CD" w:rsidRPr="002D51CD" w:rsidRDefault="002D51CD" w:rsidP="002D51CD">
      <w:pPr>
        <w:jc w:val="right"/>
        <w:rPr>
          <w:rFonts w:ascii="Times New Roman" w:hAnsi="Times New Roman" w:cs="Times New Roman"/>
          <w:b/>
          <w:sz w:val="24"/>
          <w:szCs w:val="24"/>
        </w:rPr>
      </w:pPr>
      <w:r w:rsidRPr="002D51CD">
        <w:rPr>
          <w:rFonts w:ascii="Times New Roman" w:hAnsi="Times New Roman" w:cs="Times New Roman"/>
          <w:b/>
          <w:sz w:val="24"/>
          <w:szCs w:val="24"/>
        </w:rPr>
        <w:lastRenderedPageBreak/>
        <w:t>Table 8 cont.</w:t>
      </w:r>
    </w:p>
    <w:tbl>
      <w:tblPr>
        <w:tblStyle w:val="LightShading-Accent3"/>
        <w:tblW w:w="5000" w:type="pct"/>
        <w:jc w:val="center"/>
        <w:tblLook w:val="04A0"/>
      </w:tblPr>
      <w:tblGrid>
        <w:gridCol w:w="2672"/>
        <w:gridCol w:w="2812"/>
        <w:gridCol w:w="4086"/>
      </w:tblGrid>
      <w:tr w:rsidR="002D51CD" w:rsidRPr="009A092A" w:rsidTr="002D51CD">
        <w:trPr>
          <w:cnfStyle w:val="100000000000"/>
          <w:trHeight w:val="552"/>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color w:val="auto"/>
                <w:vertAlign w:val="subscript"/>
                <w:lang w:val="en-US"/>
              </w:rPr>
            </w:pPr>
            <w:r w:rsidRPr="00285294">
              <w:rPr>
                <w:color w:val="auto"/>
                <w:lang w:val="en-US"/>
              </w:rPr>
              <w:t>Panel B: Correlation with yldspreadU.S10</w:t>
            </w:r>
            <w:r w:rsidRPr="00285294">
              <w:rPr>
                <w:color w:val="auto"/>
                <w:vertAlign w:val="subscript"/>
                <w:lang w:val="en-US"/>
              </w:rPr>
              <w:t>t</w:t>
            </w:r>
          </w:p>
          <w:p w:rsidR="002D51CD" w:rsidRPr="002D51CD" w:rsidRDefault="002D51CD" w:rsidP="002D51CD">
            <w:pPr>
              <w:jc w:val="center"/>
              <w:rPr>
                <w:b w:val="0"/>
                <w:vertAlign w:val="subscript"/>
                <w:lang w:val="en-US"/>
              </w:rPr>
            </w:pPr>
          </w:p>
        </w:tc>
      </w:tr>
      <w:tr w:rsidR="002D51CD" w:rsidRPr="00176310" w:rsidTr="002D51CD">
        <w:trPr>
          <w:cnfStyle w:val="000000100000"/>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lang w:val="en-US"/>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176310" w:rsidTr="002D51CD">
        <w:trPr>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0.251</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(0.004)***</w:t>
            </w:r>
          </w:p>
        </w:tc>
      </w:tr>
      <w:tr w:rsidR="002D51CD" w:rsidRPr="00176310"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0.504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rPr>
            </w:pPr>
            <w:r w:rsidRPr="00285294">
              <w:rPr>
                <w:color w:val="auto"/>
                <w:sz w:val="22"/>
                <w:szCs w:val="22"/>
              </w:rPr>
              <w:t xml:space="preserve">      (0.001)***</w:t>
            </w:r>
          </w:p>
        </w:tc>
      </w:tr>
      <w:tr w:rsidR="002D51CD" w:rsidRPr="00176310"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0.113</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(0.224)</w:t>
            </w:r>
          </w:p>
        </w:tc>
      </w:tr>
      <w:tr w:rsidR="002D51CD" w:rsidRPr="00176310"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005A47C1">
              <w:rPr>
                <w:color w:val="auto"/>
                <w:sz w:val="22"/>
                <w:szCs w:val="22"/>
                <w:vertAlign w:val="subscript"/>
              </w:rPr>
              <w:t>t</w:t>
            </w:r>
            <w:r w:rsidR="005A47C1">
              <w:rPr>
                <w:color w:val="auto"/>
                <w:sz w:val="22"/>
                <w:szCs w:val="22"/>
                <w:vertAlign w:val="subscript"/>
                <w:lang w:val="en-US"/>
              </w:rPr>
              <w:t>-</w:t>
            </w:r>
            <w:r w:rsidRPr="00285294">
              <w:rPr>
                <w:color w:val="auto"/>
                <w:sz w:val="22"/>
                <w:szCs w:val="22"/>
                <w:vertAlign w:val="subscript"/>
              </w:rPr>
              <w: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-0.044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(0.636)</w:t>
            </w:r>
          </w:p>
        </w:tc>
      </w:tr>
      <w:tr w:rsidR="002D51CD" w:rsidRPr="00176310"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-0.115</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(0.004)***</w:t>
            </w:r>
          </w:p>
        </w:tc>
      </w:tr>
      <w:tr w:rsidR="002D51CD" w:rsidRPr="00176310"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lang w:val="en-US"/>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-0.02</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(0.597)</w:t>
            </w:r>
          </w:p>
        </w:tc>
      </w:tr>
      <w:tr w:rsidR="002D51CD" w:rsidRPr="00176310"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w:t>
            </w:r>
            <w:r w:rsidR="005A47C1">
              <w:rPr>
                <w:color w:val="auto"/>
                <w:sz w:val="22"/>
                <w:szCs w:val="22"/>
                <w:vertAlign w:val="subscript"/>
                <w:lang w:val="en-US"/>
              </w:rPr>
              <w:t>-</w:t>
            </w:r>
            <w:r w:rsidRPr="00285294">
              <w:rPr>
                <w:color w:val="auto"/>
                <w:sz w:val="22"/>
                <w:szCs w:val="22"/>
                <w:vertAlign w:val="subscript"/>
              </w:rPr>
              <w: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-0.04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(0.716)</w:t>
            </w:r>
          </w:p>
        </w:tc>
      </w:tr>
      <w:tr w:rsidR="002D51CD" w:rsidRPr="00176310"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-0.021</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(0.698)</w:t>
            </w:r>
          </w:p>
        </w:tc>
      </w:tr>
      <w:tr w:rsidR="002D51CD" w:rsidRPr="00176310" w:rsidTr="002D51CD">
        <w:trPr>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0.727</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p w:rsidR="002D51CD" w:rsidRPr="002D51CD" w:rsidRDefault="002D51CD" w:rsidP="002D51CD">
      <w:pPr>
        <w:spacing w:line="240" w:lineRule="auto"/>
        <w:ind w:left="-142"/>
        <w:rPr>
          <w:sz w:val="18"/>
          <w:szCs w:val="18"/>
          <w:lang w:val="en-US"/>
        </w:rPr>
      </w:pPr>
    </w:p>
    <w:p w:rsidR="002D51CD" w:rsidRPr="002D51CD" w:rsidRDefault="002D51CD" w:rsidP="002D51CD">
      <w:pPr>
        <w:pStyle w:val="ListParagraph"/>
        <w:spacing w:line="360" w:lineRule="auto"/>
        <w:ind w:left="0"/>
        <w:jc w:val="both"/>
        <w:rPr>
          <w:b/>
          <w:lang w:val="en-US"/>
        </w:rPr>
      </w:pP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For bonds we obtain the higher values of R</w:t>
      </w:r>
      <w:r w:rsidRPr="002D51CD">
        <w:rPr>
          <w:rFonts w:ascii="Times New Roman" w:hAnsi="Times New Roman" w:cs="Times New Roman"/>
          <w:sz w:val="24"/>
          <w:szCs w:val="24"/>
          <w:vertAlign w:val="superscript"/>
          <w:lang w:val="en-US"/>
        </w:rPr>
        <w:t>2</w:t>
      </w:r>
      <w:r w:rsidRPr="002D51CD">
        <w:rPr>
          <w:rFonts w:ascii="Times New Roman" w:hAnsi="Times New Roman" w:cs="Times New Roman"/>
          <w:sz w:val="24"/>
          <w:szCs w:val="24"/>
          <w:lang w:val="en-US"/>
        </w:rPr>
        <w:t xml:space="preserve"> for our whole analysis (71.8% and 72.7% for Germany and U.S respectively) a notion that points out that changes in the yields of government bonds are mainly caused by swings in sentiment. For the government bonds of Germany, we get significant results for the lagging Baker and Wurgler (BW), the leading University of Michigan Consumer Confidence Sentiment (CC) and the leading State Street Investor Confidence Index (ICI) with the respective coefficients being interpreted as before while for U.S the significant indices are the lagging Baker and Wurgler (BW), the leading University of Michigan Consumer </w:t>
      </w:r>
      <w:r w:rsidRPr="00B7011B">
        <w:rPr>
          <w:rFonts w:ascii="Times New Roman" w:hAnsi="Times New Roman" w:cs="Times New Roman"/>
          <w:sz w:val="24"/>
          <w:szCs w:val="24"/>
          <w:lang w:val="en-US"/>
        </w:rPr>
        <w:t>Confidence Sentiment (CC) and the lagging Global Risk Appetite Monitor by Nomura (NGRAM). Conclusively, the best index for the asset class of government bonds according to our analysis is the leading University of Michigan Consumer Confidence Sentiment (CC). The index is significant for both U.S and German government bonds. In terms of magnitude, a one standard deviation increase of its value of the previous period is associated with a 0.37% (on average) increase in monthly yield spreads.</w:t>
      </w: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4.2.4 Results from time series regressions of stocks</w:t>
      </w: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In this subsection we present the results for the returns of U.S and German stocks based in equations (15) to (18). Table 9 below summarizes them.</w:t>
      </w:r>
    </w:p>
    <w:p w:rsidR="00E56410" w:rsidRDefault="00E56410" w:rsidP="002D51CD">
      <w:pPr>
        <w:jc w:val="center"/>
        <w:rPr>
          <w:rFonts w:ascii="Times New Roman" w:hAnsi="Times New Roman" w:cs="Times New Roman"/>
          <w:b/>
          <w:sz w:val="24"/>
          <w:szCs w:val="24"/>
          <w:lang w:val="en-US"/>
        </w:rPr>
      </w:pPr>
    </w:p>
    <w:p w:rsidR="00065B3D" w:rsidRDefault="00065B3D" w:rsidP="002D51CD">
      <w:pPr>
        <w:jc w:val="center"/>
        <w:rPr>
          <w:rFonts w:ascii="Times New Roman" w:hAnsi="Times New Roman" w:cs="Times New Roman"/>
          <w:b/>
          <w:sz w:val="24"/>
          <w:szCs w:val="24"/>
          <w:lang w:val="en-US"/>
        </w:rPr>
      </w:pPr>
    </w:p>
    <w:p w:rsidR="00065B3D" w:rsidRDefault="00065B3D" w:rsidP="002D51CD">
      <w:pPr>
        <w:jc w:val="center"/>
        <w:rPr>
          <w:rFonts w:ascii="Times New Roman" w:hAnsi="Times New Roman" w:cs="Times New Roman"/>
          <w:b/>
          <w:sz w:val="24"/>
          <w:szCs w:val="24"/>
          <w:lang w:val="en-US"/>
        </w:rPr>
      </w:pPr>
    </w:p>
    <w:p w:rsidR="002D51CD" w:rsidRPr="002D51CD" w:rsidRDefault="002D51CD" w:rsidP="002D51CD">
      <w:pPr>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lastRenderedPageBreak/>
        <w:t>Table 9</w:t>
      </w:r>
    </w:p>
    <w:p w:rsidR="002D51CD" w:rsidRPr="002D51CD" w:rsidRDefault="002D51CD" w:rsidP="002D51CD">
      <w:pPr>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t>Analysis Summary of Stocks</w:t>
      </w:r>
    </w:p>
    <w:p w:rsidR="002D51CD" w:rsidRPr="002D51CD" w:rsidRDefault="002D51CD" w:rsidP="002D51CD">
      <w:pPr>
        <w:spacing w:line="360" w:lineRule="auto"/>
        <w:jc w:val="both"/>
        <w:rPr>
          <w:rFonts w:ascii="Times New Roman" w:hAnsi="Times New Roman" w:cs="Times New Roman"/>
          <w:sz w:val="20"/>
          <w:szCs w:val="20"/>
          <w:lang w:val="en-US"/>
        </w:rPr>
      </w:pPr>
      <w:r w:rsidRPr="002D51CD">
        <w:rPr>
          <w:rFonts w:ascii="Times New Roman" w:hAnsi="Times New Roman" w:cs="Times New Roman"/>
          <w:sz w:val="20"/>
          <w:szCs w:val="20"/>
          <w:lang w:val="en-US"/>
        </w:rPr>
        <w:t>This table presents the obtained results from equations (15) to (18). The first column of each panel denotes the indices, the second the coefficients and the third the p-value. The last row displays the value of R</w:t>
      </w:r>
      <w:r w:rsidRPr="002D51CD">
        <w:rPr>
          <w:rFonts w:ascii="Times New Roman" w:hAnsi="Times New Roman" w:cs="Times New Roman"/>
          <w:sz w:val="20"/>
          <w:szCs w:val="20"/>
          <w:vertAlign w:val="superscript"/>
          <w:lang w:val="en-US"/>
        </w:rPr>
        <w:t>2</w:t>
      </w:r>
      <w:r w:rsidRPr="002D51CD">
        <w:rPr>
          <w:rFonts w:ascii="Times New Roman" w:hAnsi="Times New Roman" w:cs="Times New Roman"/>
          <w:sz w:val="20"/>
          <w:szCs w:val="20"/>
          <w:lang w:val="en-US"/>
        </w:rPr>
        <w:t>. The indices represent the standardized values from the Baker and Wurgler (BW), University of Michigan Consumer Confidence Sentiment (CC), State Street Investor Confidence Index (ICI), Merrill Lynch’s Risk Aversion Indicator (ML_RAI), Global Risk Appetite Monitor by Nomura (NGRAM), Put-Call Ratio (PCR), VIX Index (VIX) and Westpac Risk Appetite (WP). Each variable is inserted with the proper lead-lag-comevement indication. Panel A is for the returns of Russell 1000, Panel B for the returns of Russell 2000, Panel C for the returns of DAX and Panel D for the returns of SDAX all at time t.</w:t>
      </w:r>
    </w:p>
    <w:tbl>
      <w:tblPr>
        <w:tblStyle w:val="LightShading-Accent3"/>
        <w:tblW w:w="5000" w:type="pct"/>
        <w:jc w:val="center"/>
        <w:tblLook w:val="04A0"/>
      </w:tblPr>
      <w:tblGrid>
        <w:gridCol w:w="2672"/>
        <w:gridCol w:w="2812"/>
        <w:gridCol w:w="4086"/>
      </w:tblGrid>
      <w:tr w:rsidR="002D51CD" w:rsidRPr="00285294" w:rsidTr="002D51CD">
        <w:trPr>
          <w:cnfStyle w:val="100000000000"/>
          <w:trHeight w:val="552"/>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5A47C1" w:rsidRDefault="002D51CD" w:rsidP="002D51CD">
            <w:pPr>
              <w:jc w:val="center"/>
              <w:rPr>
                <w:color w:val="auto"/>
                <w:vertAlign w:val="subscript"/>
              </w:rPr>
            </w:pPr>
            <w:r w:rsidRPr="005A47C1">
              <w:rPr>
                <w:color w:val="auto"/>
              </w:rPr>
              <w:t>Panel A: Correlation with rrus1000</w:t>
            </w:r>
            <w:r w:rsidRPr="005A47C1">
              <w:rPr>
                <w:color w:val="auto"/>
                <w:vertAlign w:val="subscript"/>
              </w:rPr>
              <w:t>t</w:t>
            </w:r>
          </w:p>
          <w:p w:rsidR="002D51CD" w:rsidRPr="00285294" w:rsidRDefault="002D51CD" w:rsidP="002D51CD">
            <w:pPr>
              <w:jc w:val="center"/>
              <w:rPr>
                <w:b w:val="0"/>
                <w:color w:val="auto"/>
                <w:sz w:val="22"/>
                <w:szCs w:val="22"/>
                <w:vertAlign w:val="subscript"/>
              </w:rPr>
            </w:pPr>
          </w:p>
        </w:tc>
      </w:tr>
      <w:tr w:rsidR="002D51CD" w:rsidRPr="00285294" w:rsidTr="002D51CD">
        <w:trPr>
          <w:cnfStyle w:val="000000100000"/>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285294" w:rsidTr="002D51CD">
        <w:trPr>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BW</w:t>
            </w:r>
            <w:r w:rsidRPr="005A47C1">
              <w:rPr>
                <w:color w:val="auto"/>
                <w:sz w:val="22"/>
                <w:szCs w:val="22"/>
                <w:vertAlign w:val="subscript"/>
              </w:rPr>
              <w:t>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-0.468</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(0.058)*</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CC</w:t>
            </w:r>
            <w:r w:rsidRPr="005A47C1">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0.186</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rPr>
            </w:pPr>
            <w:r w:rsidRPr="00285294">
              <w:rPr>
                <w:color w:val="auto"/>
                <w:sz w:val="22"/>
                <w:szCs w:val="22"/>
              </w:rPr>
              <w:t xml:space="preserve">    (0.695)</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ICI</w:t>
            </w:r>
            <w:r w:rsidRPr="005A47C1">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0.417</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(0.354)</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vertAlign w:val="subscript"/>
              </w:rPr>
            </w:pPr>
            <w:r w:rsidRPr="005A47C1">
              <w:rPr>
                <w:color w:val="auto"/>
                <w:sz w:val="22"/>
                <w:szCs w:val="22"/>
              </w:rPr>
              <w:t>ML_RAI</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-0.466</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(0.3)</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vertAlign w:val="subscript"/>
              </w:rPr>
            </w:pPr>
            <w:r w:rsidRPr="005A47C1">
              <w:rPr>
                <w:color w:val="auto"/>
                <w:sz w:val="22"/>
                <w:szCs w:val="22"/>
              </w:rPr>
              <w:t>NGRAM</w:t>
            </w:r>
            <w:r w:rsidRPr="005A47C1">
              <w:rPr>
                <w:color w:val="auto"/>
                <w:sz w:val="22"/>
                <w:szCs w:val="22"/>
                <w:vertAlign w:val="superscript"/>
              </w:rPr>
              <w:t xml:space="preserve"> </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1.814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PCR</w:t>
            </w:r>
            <w:r w:rsidRPr="005A47C1">
              <w:rPr>
                <w:color w:val="auto"/>
                <w:sz w:val="22"/>
                <w:szCs w:val="22"/>
                <w:vertAlign w:val="superscript"/>
              </w:rPr>
              <w:t xml:space="preserve"> </w:t>
            </w:r>
            <w:r w:rsidRPr="005A47C1">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-0.391</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(0.306)</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VIX</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-0.916</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(0.139)</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WP</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-0.873</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tabs>
                <w:tab w:val="left" w:pos="380"/>
                <w:tab w:val="center" w:pos="726"/>
              </w:tabs>
              <w:jc w:val="center"/>
              <w:cnfStyle w:val="000000100000"/>
              <w:rPr>
                <w:b/>
                <w:color w:val="auto"/>
              </w:rPr>
            </w:pPr>
            <w:r w:rsidRPr="00285294">
              <w:rPr>
                <w:color w:val="auto"/>
                <w:sz w:val="22"/>
                <w:szCs w:val="22"/>
              </w:rPr>
              <w:t xml:space="preserve">        (0.01)***</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5A47C1" w:rsidRDefault="002D51CD" w:rsidP="002D51CD">
            <w:pPr>
              <w:rPr>
                <w:color w:val="auto"/>
                <w:sz w:val="22"/>
                <w:szCs w:val="22"/>
                <w:vertAlign w:val="superscript"/>
              </w:rPr>
            </w:pPr>
            <w:r w:rsidRPr="005A47C1">
              <w:rPr>
                <w:color w:val="auto"/>
                <w:sz w:val="22"/>
                <w:szCs w:val="22"/>
              </w:rPr>
              <w:t>R</w:t>
            </w:r>
            <w:r w:rsidRPr="005A47C1">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0.506</w:t>
            </w:r>
          </w:p>
        </w:tc>
      </w:tr>
      <w:tr w:rsidR="002D51CD" w:rsidRPr="00285294" w:rsidTr="002D51CD">
        <w:trPr>
          <w:cnfStyle w:val="000000100000"/>
          <w:trHeight w:val="552"/>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ind w:left="-142"/>
              <w:rPr>
                <w:color w:val="auto"/>
                <w:sz w:val="18"/>
                <w:szCs w:val="18"/>
                <w:lang w:val="en-US"/>
              </w:rPr>
            </w:pPr>
            <w:r w:rsidRPr="00285294">
              <w:rPr>
                <w:color w:val="auto"/>
                <w:sz w:val="18"/>
                <w:szCs w:val="18"/>
                <w:lang w:val="en-US"/>
              </w:rPr>
              <w:t>Reported values are rounded at the third decimal. (*) denotes significance at 10%, (**) at 5% and (***) at 1%.</w:t>
            </w:r>
          </w:p>
          <w:p w:rsidR="002D51CD" w:rsidRPr="00285294" w:rsidRDefault="002D51CD" w:rsidP="002D51CD">
            <w:pPr>
              <w:jc w:val="both"/>
              <w:rPr>
                <w:b w:val="0"/>
                <w:color w:val="auto"/>
                <w:lang w:val="en-US"/>
              </w:rPr>
            </w:pPr>
          </w:p>
          <w:p w:rsidR="002D51CD" w:rsidRPr="005A47C1" w:rsidRDefault="002D51CD" w:rsidP="002D51CD">
            <w:pPr>
              <w:jc w:val="center"/>
              <w:rPr>
                <w:color w:val="auto"/>
                <w:vertAlign w:val="subscript"/>
                <w:lang w:val="en-US"/>
              </w:rPr>
            </w:pPr>
            <w:r w:rsidRPr="005A47C1">
              <w:rPr>
                <w:color w:val="auto"/>
                <w:lang w:val="en-US"/>
              </w:rPr>
              <w:t>Panel B: Correlation with rrus2000</w:t>
            </w:r>
            <w:r w:rsidRPr="005A47C1">
              <w:rPr>
                <w:color w:val="auto"/>
                <w:vertAlign w:val="subscript"/>
                <w:lang w:val="en-US"/>
              </w:rPr>
              <w:t>t</w:t>
            </w:r>
          </w:p>
          <w:p w:rsidR="002D51CD" w:rsidRPr="00285294" w:rsidRDefault="002D51CD" w:rsidP="002D51CD">
            <w:pPr>
              <w:jc w:val="center"/>
              <w:rPr>
                <w:b w:val="0"/>
                <w:color w:val="auto"/>
                <w:sz w:val="22"/>
                <w:szCs w:val="22"/>
                <w:vertAlign w:val="subscript"/>
                <w:lang w:val="en-US"/>
              </w:rPr>
            </w:pPr>
          </w:p>
        </w:tc>
      </w:tr>
      <w:tr w:rsidR="002D51CD" w:rsidRPr="00285294" w:rsidTr="002D51CD">
        <w:trPr>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lang w:val="en-US"/>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0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000000"/>
              <w:rPr>
                <w:b/>
                <w:color w:val="auto"/>
                <w:sz w:val="22"/>
                <w:szCs w:val="22"/>
              </w:rPr>
            </w:pPr>
            <w:r w:rsidRPr="00285294">
              <w:rPr>
                <w:b/>
                <w:color w:val="auto"/>
                <w:sz w:val="22"/>
                <w:szCs w:val="22"/>
              </w:rPr>
              <w:t>p-value</w:t>
            </w:r>
          </w:p>
        </w:tc>
      </w:tr>
      <w:tr w:rsidR="002D51CD" w:rsidRPr="00285294" w:rsidTr="002D51CD">
        <w:trPr>
          <w:cnfStyle w:val="000000100000"/>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BW</w:t>
            </w:r>
            <w:r w:rsidRPr="005A47C1">
              <w:rPr>
                <w:color w:val="auto"/>
                <w:sz w:val="22"/>
                <w:szCs w:val="22"/>
                <w:vertAlign w:val="subscript"/>
              </w:rPr>
              <w:t>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0.421</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(0.403)</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CC</w:t>
            </w:r>
            <w:r w:rsidRPr="005A47C1">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-0.079</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color w:val="auto"/>
              </w:rPr>
            </w:pPr>
            <w:r w:rsidRPr="00285294">
              <w:rPr>
                <w:color w:val="auto"/>
                <w:sz w:val="22"/>
                <w:szCs w:val="22"/>
              </w:rPr>
              <w:t xml:space="preserve"> (0.888)</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ICI</w:t>
            </w:r>
            <w:r w:rsidRPr="005A47C1">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0.204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(0.737)</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vertAlign w:val="subscript"/>
              </w:rPr>
            </w:pPr>
            <w:r w:rsidRPr="005A47C1">
              <w:rPr>
                <w:color w:val="auto"/>
                <w:sz w:val="22"/>
                <w:szCs w:val="22"/>
              </w:rPr>
              <w:t>ML_RAI</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-1.46</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(0.097)*</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vertAlign w:val="subscript"/>
              </w:rPr>
            </w:pPr>
            <w:r w:rsidRPr="005A47C1">
              <w:rPr>
                <w:color w:val="auto"/>
                <w:sz w:val="22"/>
                <w:szCs w:val="22"/>
              </w:rPr>
              <w:t>NGRAM</w:t>
            </w:r>
            <w:r w:rsidRPr="005A47C1">
              <w:rPr>
                <w:color w:val="auto"/>
                <w:sz w:val="22"/>
                <w:szCs w:val="22"/>
                <w:vertAlign w:val="superscript"/>
              </w:rPr>
              <w:t xml:space="preserve"> </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2.317</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(0)***</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PCR</w:t>
            </w:r>
            <w:r w:rsidRPr="005A47C1">
              <w:rPr>
                <w:color w:val="auto"/>
                <w:sz w:val="22"/>
                <w:szCs w:val="22"/>
                <w:vertAlign w:val="superscript"/>
              </w:rPr>
              <w:t xml:space="preserve"> </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-0.194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(0.645)</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VIX</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-0.822</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rPr>
            </w:pPr>
            <w:r w:rsidRPr="00285294">
              <w:rPr>
                <w:color w:val="auto"/>
                <w:sz w:val="22"/>
                <w:szCs w:val="22"/>
              </w:rPr>
              <w:t xml:space="preserve"> (0.379)</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5A47C1" w:rsidRDefault="002D51CD" w:rsidP="002D51CD">
            <w:pPr>
              <w:rPr>
                <w:color w:val="auto"/>
                <w:sz w:val="22"/>
                <w:szCs w:val="22"/>
              </w:rPr>
            </w:pPr>
            <w:r w:rsidRPr="005A47C1">
              <w:rPr>
                <w:color w:val="auto"/>
                <w:sz w:val="22"/>
                <w:szCs w:val="22"/>
              </w:rPr>
              <w:t>WP</w:t>
            </w:r>
            <w:r w:rsidRPr="005A47C1">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-0.966</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rPr>
            </w:pPr>
            <w:r w:rsidRPr="00285294">
              <w:rPr>
                <w:color w:val="auto"/>
                <w:sz w:val="22"/>
                <w:szCs w:val="22"/>
              </w:rPr>
              <w:t xml:space="preserve">  (0.066)*</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5A47C1" w:rsidRDefault="002D51CD" w:rsidP="002D51CD">
            <w:pPr>
              <w:rPr>
                <w:color w:val="auto"/>
                <w:sz w:val="22"/>
                <w:szCs w:val="22"/>
                <w:vertAlign w:val="superscript"/>
              </w:rPr>
            </w:pPr>
            <w:r w:rsidRPr="005A47C1">
              <w:rPr>
                <w:color w:val="auto"/>
                <w:sz w:val="22"/>
                <w:szCs w:val="22"/>
              </w:rPr>
              <w:t>R</w:t>
            </w:r>
            <w:r w:rsidRPr="005A47C1">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0.466</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p w:rsidR="002D51CD" w:rsidRPr="002D51CD" w:rsidRDefault="002D51CD" w:rsidP="002D51CD">
      <w:pPr>
        <w:jc w:val="both"/>
        <w:rPr>
          <w:b/>
          <w:lang w:val="en-US"/>
        </w:rPr>
      </w:pPr>
    </w:p>
    <w:p w:rsidR="002D51CD" w:rsidRPr="002D51CD" w:rsidRDefault="002D51CD" w:rsidP="002D51CD">
      <w:pPr>
        <w:jc w:val="right"/>
        <w:rPr>
          <w:b/>
          <w:lang w:val="en-US"/>
        </w:rPr>
      </w:pPr>
    </w:p>
    <w:p w:rsidR="002D51CD" w:rsidRPr="002D51CD" w:rsidRDefault="002D51CD" w:rsidP="002D51CD">
      <w:pPr>
        <w:jc w:val="right"/>
        <w:rPr>
          <w:b/>
          <w:lang w:val="en-US"/>
        </w:rPr>
      </w:pPr>
    </w:p>
    <w:p w:rsidR="002D51CD" w:rsidRPr="002D51CD" w:rsidRDefault="002D51CD" w:rsidP="002D51CD">
      <w:pPr>
        <w:jc w:val="right"/>
        <w:rPr>
          <w:rFonts w:ascii="Times New Roman" w:hAnsi="Times New Roman" w:cs="Times New Roman"/>
          <w:b/>
          <w:sz w:val="24"/>
          <w:szCs w:val="24"/>
          <w:lang w:val="en-US"/>
        </w:rPr>
      </w:pPr>
    </w:p>
    <w:p w:rsidR="002D51CD" w:rsidRPr="002D51CD" w:rsidRDefault="002D51CD" w:rsidP="002D51CD">
      <w:pPr>
        <w:jc w:val="right"/>
        <w:rPr>
          <w:rFonts w:ascii="Times New Roman" w:hAnsi="Times New Roman" w:cs="Times New Roman"/>
          <w:b/>
          <w:sz w:val="24"/>
          <w:szCs w:val="24"/>
        </w:rPr>
      </w:pPr>
      <w:r w:rsidRPr="002D51CD">
        <w:rPr>
          <w:rFonts w:ascii="Times New Roman" w:hAnsi="Times New Roman" w:cs="Times New Roman"/>
          <w:b/>
          <w:sz w:val="24"/>
          <w:szCs w:val="24"/>
        </w:rPr>
        <w:lastRenderedPageBreak/>
        <w:t>Table 9 cont.</w:t>
      </w:r>
    </w:p>
    <w:tbl>
      <w:tblPr>
        <w:tblStyle w:val="LightShading-Accent3"/>
        <w:tblW w:w="5000" w:type="pct"/>
        <w:jc w:val="center"/>
        <w:tblLook w:val="04A0"/>
      </w:tblPr>
      <w:tblGrid>
        <w:gridCol w:w="2672"/>
        <w:gridCol w:w="2812"/>
        <w:gridCol w:w="4086"/>
      </w:tblGrid>
      <w:tr w:rsidR="002D51CD" w:rsidRPr="00285294" w:rsidTr="002D51CD">
        <w:trPr>
          <w:cnfStyle w:val="100000000000"/>
          <w:trHeight w:val="552"/>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color w:val="auto"/>
                <w:vertAlign w:val="subscript"/>
              </w:rPr>
            </w:pPr>
            <w:r w:rsidRPr="00285294">
              <w:rPr>
                <w:color w:val="auto"/>
              </w:rPr>
              <w:t>Panel C: Correlation with rDAX</w:t>
            </w:r>
            <w:r w:rsidRPr="00285294">
              <w:rPr>
                <w:color w:val="auto"/>
                <w:vertAlign w:val="subscript"/>
              </w:rPr>
              <w:t>t</w:t>
            </w:r>
          </w:p>
          <w:p w:rsidR="002D51CD" w:rsidRPr="00285294" w:rsidRDefault="002D51CD" w:rsidP="002D51CD">
            <w:pPr>
              <w:jc w:val="center"/>
              <w:rPr>
                <w:b w:val="0"/>
                <w:color w:val="auto"/>
                <w:vertAlign w:val="subscript"/>
              </w:rPr>
            </w:pPr>
          </w:p>
        </w:tc>
      </w:tr>
      <w:tr w:rsidR="002D51CD" w:rsidRPr="00285294" w:rsidTr="002D51CD">
        <w:trPr>
          <w:cnfStyle w:val="000000100000"/>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285294" w:rsidTr="002D51CD">
        <w:trPr>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Pr="00285294">
              <w:rPr>
                <w:color w:val="auto"/>
                <w:sz w:val="22"/>
                <w:szCs w:val="22"/>
                <w:vertAlign w:val="subscript"/>
              </w:rPr>
              <w:t>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-20.346</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cnfStyle w:val="000000000000"/>
              <w:rPr>
                <w:b/>
                <w:color w:val="auto"/>
                <w:sz w:val="22"/>
                <w:szCs w:val="22"/>
              </w:rPr>
            </w:pPr>
            <w:r w:rsidRPr="00285294">
              <w:rPr>
                <w:color w:val="auto"/>
                <w:sz w:val="22"/>
                <w:szCs w:val="22"/>
              </w:rPr>
              <w:t xml:space="preserve">                             (0)***</w:t>
            </w:r>
          </w:p>
        </w:tc>
      </w:tr>
      <w:tr w:rsidR="002D51CD" w:rsidRPr="00285294" w:rsidTr="00673FE0">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005A47C1">
              <w:rPr>
                <w:color w:val="auto"/>
                <w:sz w:val="22"/>
                <w:szCs w:val="22"/>
                <w:vertAlign w:val="subscript"/>
              </w:rPr>
              <w:t xml:space="preserve"> t</w:t>
            </w:r>
            <w:r w:rsidR="005A47C1">
              <w:rPr>
                <w:color w:val="auto"/>
                <w:sz w:val="22"/>
                <w:szCs w:val="22"/>
                <w:vertAlign w:val="subscript"/>
                <w:lang w:val="en-US"/>
              </w:rPr>
              <w:t>-</w:t>
            </w:r>
            <w:r w:rsidRPr="00285294">
              <w:rPr>
                <w:color w:val="auto"/>
                <w:sz w:val="22"/>
                <w:szCs w:val="22"/>
                <w:vertAlign w:val="subscript"/>
              </w:rPr>
              <w:t>1</w:t>
            </w:r>
          </w:p>
        </w:tc>
        <w:tc>
          <w:tcPr>
            <w:tcW w:w="1469" w:type="pct"/>
            <w:tcBorders>
              <w:top w:val="single" w:sz="12" w:space="0" w:color="auto"/>
              <w:left w:val="single" w:sz="18" w:space="0" w:color="auto"/>
              <w:bottom w:val="single" w:sz="12" w:space="0" w:color="auto"/>
              <w:right w:val="single" w:sz="12" w:space="0" w:color="auto"/>
            </w:tcBorders>
            <w:shd w:val="clear" w:color="auto" w:fill="EAF1DD" w:themeFill="accent3" w:themeFillTint="33"/>
          </w:tcPr>
          <w:p w:rsidR="002D51CD" w:rsidRPr="00285294" w:rsidRDefault="002D51CD" w:rsidP="002D51CD">
            <w:pPr>
              <w:jc w:val="center"/>
              <w:cnfStyle w:val="000000100000"/>
              <w:rPr>
                <w:color w:val="auto"/>
                <w:sz w:val="22"/>
                <w:szCs w:val="22"/>
              </w:rPr>
            </w:pPr>
            <w:r w:rsidRPr="00285294">
              <w:rPr>
                <w:color w:val="auto"/>
                <w:sz w:val="22"/>
                <w:szCs w:val="22"/>
              </w:rPr>
              <w:t>-7.642</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 xml:space="preserve">    (0.046)**</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005A47C1">
              <w:rPr>
                <w:color w:val="auto"/>
                <w:sz w:val="22"/>
                <w:szCs w:val="22"/>
                <w:vertAlign w:val="subscript"/>
              </w:rPr>
              <w:t xml:space="preserve"> t</w:t>
            </w:r>
            <w:r w:rsidR="005A47C1">
              <w:rPr>
                <w:color w:val="auto"/>
                <w:sz w:val="22"/>
                <w:szCs w:val="22"/>
                <w:vertAlign w:val="subscript"/>
                <w:lang w:val="en-US"/>
              </w:rPr>
              <w:t>-</w:t>
            </w:r>
            <w:r w:rsidRPr="00285294">
              <w:rPr>
                <w:color w:val="auto"/>
                <w:sz w:val="22"/>
                <w:szCs w:val="22"/>
                <w:vertAlign w:val="subscript"/>
              </w:rPr>
              <w: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2.15</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(0.565)</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-5.909</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 xml:space="preserve">  (0.073)*</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0.86</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(0.609)</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PCR</w:t>
            </w:r>
            <w:r w:rsidRPr="00285294">
              <w:rPr>
                <w:color w:val="auto"/>
                <w:sz w:val="22"/>
                <w:szCs w:val="22"/>
                <w:vertAlign w:val="superscript"/>
              </w:rPr>
              <w:t xml:space="preserve"> </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0.234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(0.881)</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0.974</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(0.709)</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-0.912</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(0.707)</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rPr>
              <w:t>0.719</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p w:rsidR="002D51CD" w:rsidRPr="002D51CD" w:rsidRDefault="002D51CD" w:rsidP="002D51CD">
      <w:pPr>
        <w:spacing w:line="240" w:lineRule="auto"/>
        <w:ind w:left="-142"/>
        <w:rPr>
          <w:sz w:val="18"/>
          <w:szCs w:val="18"/>
          <w:lang w:val="en-US"/>
        </w:rPr>
      </w:pPr>
    </w:p>
    <w:tbl>
      <w:tblPr>
        <w:tblStyle w:val="LightShading-Accent3"/>
        <w:tblW w:w="5000" w:type="pct"/>
        <w:jc w:val="center"/>
        <w:tblLook w:val="04A0"/>
      </w:tblPr>
      <w:tblGrid>
        <w:gridCol w:w="2672"/>
        <w:gridCol w:w="2812"/>
        <w:gridCol w:w="4086"/>
      </w:tblGrid>
      <w:tr w:rsidR="002D51CD" w:rsidRPr="009A092A" w:rsidTr="002D51CD">
        <w:trPr>
          <w:cnfStyle w:val="100000000000"/>
          <w:trHeight w:val="552"/>
          <w:jc w:val="center"/>
        </w:trPr>
        <w:tc>
          <w:tcPr>
            <w:cnfStyle w:val="001000000000"/>
            <w:tcW w:w="5000" w:type="pct"/>
            <w:gridSpan w:val="3"/>
            <w:tcBorders>
              <w:top w:val="single" w:sz="12" w:space="0" w:color="FFFFFF" w:themeColor="background1"/>
              <w:left w:val="single" w:sz="12" w:space="0" w:color="FFFFFF" w:themeColor="background1"/>
              <w:bottom w:val="single" w:sz="18" w:space="0" w:color="auto"/>
              <w:right w:val="single" w:sz="12" w:space="0" w:color="FFFFFF" w:themeColor="background1"/>
            </w:tcBorders>
            <w:shd w:val="clear" w:color="auto" w:fill="FFFFFF" w:themeFill="background1"/>
          </w:tcPr>
          <w:p w:rsidR="002D51CD" w:rsidRPr="00285294" w:rsidRDefault="002D51CD" w:rsidP="002D51CD">
            <w:pPr>
              <w:jc w:val="center"/>
              <w:rPr>
                <w:color w:val="auto"/>
                <w:vertAlign w:val="subscript"/>
                <w:lang w:val="en-US"/>
              </w:rPr>
            </w:pPr>
            <w:r w:rsidRPr="00285294">
              <w:rPr>
                <w:color w:val="auto"/>
                <w:lang w:val="en-US"/>
              </w:rPr>
              <w:t xml:space="preserve">Panel D: Correlation with </w:t>
            </w:r>
            <w:proofErr w:type="spellStart"/>
            <w:r w:rsidRPr="00285294">
              <w:rPr>
                <w:color w:val="auto"/>
                <w:lang w:val="en-US"/>
              </w:rPr>
              <w:t>rSDAX</w:t>
            </w:r>
            <w:r w:rsidRPr="00285294">
              <w:rPr>
                <w:color w:val="auto"/>
                <w:vertAlign w:val="subscript"/>
                <w:lang w:val="en-US"/>
              </w:rPr>
              <w:t>t</w:t>
            </w:r>
            <w:proofErr w:type="spellEnd"/>
          </w:p>
        </w:tc>
      </w:tr>
      <w:tr w:rsidR="002D51CD" w:rsidRPr="00285294" w:rsidTr="002D51CD">
        <w:trPr>
          <w:cnfStyle w:val="000000100000"/>
          <w:trHeight w:val="261"/>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lang w:val="en-US"/>
              </w:rPr>
            </w:pPr>
          </w:p>
        </w:tc>
        <w:tc>
          <w:tcPr>
            <w:tcW w:w="1469" w:type="pct"/>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Coef.</w:t>
            </w:r>
          </w:p>
        </w:tc>
        <w:tc>
          <w:tcPr>
            <w:tcW w:w="2135" w:type="pct"/>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2D51CD" w:rsidRPr="00285294" w:rsidRDefault="002D51CD" w:rsidP="002D51CD">
            <w:pPr>
              <w:jc w:val="center"/>
              <w:cnfStyle w:val="000000100000"/>
              <w:rPr>
                <w:b/>
                <w:color w:val="auto"/>
                <w:sz w:val="22"/>
                <w:szCs w:val="22"/>
              </w:rPr>
            </w:pPr>
            <w:r w:rsidRPr="00285294">
              <w:rPr>
                <w:b/>
                <w:color w:val="auto"/>
                <w:sz w:val="22"/>
                <w:szCs w:val="22"/>
              </w:rPr>
              <w:t>p-value</w:t>
            </w:r>
          </w:p>
        </w:tc>
      </w:tr>
      <w:tr w:rsidR="002D51CD" w:rsidRPr="00285294" w:rsidTr="002D51CD">
        <w:trPr>
          <w:trHeight w:val="245"/>
          <w:jc w:val="center"/>
        </w:trPr>
        <w:tc>
          <w:tcPr>
            <w:cnfStyle w:val="001000000000"/>
            <w:tcW w:w="1396" w:type="pct"/>
            <w:tcBorders>
              <w:top w:val="single" w:sz="18"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BW</w:t>
            </w:r>
            <w:r w:rsidR="005A47C1">
              <w:rPr>
                <w:color w:val="auto"/>
                <w:sz w:val="22"/>
                <w:szCs w:val="22"/>
                <w:vertAlign w:val="subscript"/>
              </w:rPr>
              <w:t>t</w:t>
            </w:r>
            <w:r w:rsidR="005A47C1">
              <w:rPr>
                <w:color w:val="auto"/>
                <w:sz w:val="22"/>
                <w:szCs w:val="22"/>
                <w:vertAlign w:val="subscript"/>
                <w:lang w:val="en-US"/>
              </w:rPr>
              <w:t>+</w:t>
            </w:r>
            <w:r w:rsidRPr="00285294">
              <w:rPr>
                <w:color w:val="auto"/>
                <w:sz w:val="22"/>
                <w:szCs w:val="22"/>
                <w:vertAlign w:val="subscript"/>
              </w:rPr>
              <w:t>1</w:t>
            </w:r>
          </w:p>
        </w:tc>
        <w:tc>
          <w:tcPr>
            <w:tcW w:w="1469" w:type="pct"/>
            <w:tcBorders>
              <w:top w:val="single" w:sz="18"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-14.727</w:t>
            </w:r>
          </w:p>
        </w:tc>
        <w:tc>
          <w:tcPr>
            <w:tcW w:w="2135" w:type="pct"/>
            <w:tcBorders>
              <w:top w:val="single" w:sz="18"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CC</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-3.39</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(0.22)</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ICI</w:t>
            </w:r>
            <w:r w:rsidRPr="00285294">
              <w:rPr>
                <w:color w:val="auto"/>
                <w:sz w:val="22"/>
                <w:szCs w:val="22"/>
                <w:vertAlign w:val="subscript"/>
              </w:rPr>
              <w:t xml:space="preserve"> 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11.207</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ML_RAI</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-3.576</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 xml:space="preserve">  (0.317)</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bscript"/>
              </w:rPr>
            </w:pPr>
            <w:r w:rsidRPr="00285294">
              <w:rPr>
                <w:color w:val="auto"/>
                <w:sz w:val="22"/>
                <w:szCs w:val="22"/>
              </w:rPr>
              <w:t>NGRAM</w:t>
            </w:r>
            <w:r w:rsidRPr="00285294">
              <w:rPr>
                <w:color w:val="auto"/>
                <w:sz w:val="22"/>
                <w:szCs w:val="22"/>
                <w:vertAlign w:val="superscript"/>
              </w:rPr>
              <w:t xml:space="preserve"> </w:t>
            </w:r>
            <w:r w:rsidRPr="00285294">
              <w:rPr>
                <w:color w:val="auto"/>
                <w:sz w:val="22"/>
                <w:szCs w:val="22"/>
                <w:vertAlign w:val="subscript"/>
              </w:rPr>
              <w:t>t</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1.933</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(0.176)</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PCR</w:t>
            </w:r>
            <w:r w:rsidRPr="00285294">
              <w:rPr>
                <w:color w:val="auto"/>
                <w:sz w:val="22"/>
                <w:szCs w:val="22"/>
                <w:vertAlign w:val="superscript"/>
              </w:rPr>
              <w:t xml:space="preserve"> </w:t>
            </w:r>
            <w:r w:rsidR="005A47C1">
              <w:rPr>
                <w:color w:val="auto"/>
                <w:sz w:val="22"/>
                <w:szCs w:val="22"/>
                <w:vertAlign w:val="subscript"/>
              </w:rPr>
              <w:t>t</w:t>
            </w:r>
            <w:r w:rsidR="005A47C1">
              <w:rPr>
                <w:color w:val="auto"/>
                <w:sz w:val="22"/>
                <w:szCs w:val="22"/>
                <w:vertAlign w:val="subscript"/>
                <w:lang w:val="en-US"/>
              </w:rPr>
              <w:t>+</w:t>
            </w:r>
            <w:r w:rsidRPr="00285294">
              <w:rPr>
                <w:color w:val="auto"/>
                <w:sz w:val="22"/>
                <w:szCs w:val="22"/>
                <w:vertAlign w:val="subscript"/>
              </w:rPr>
              <w: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 xml:space="preserve">1.314 </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100000"/>
              <w:rPr>
                <w:b/>
                <w:color w:val="auto"/>
                <w:sz w:val="22"/>
                <w:szCs w:val="22"/>
              </w:rPr>
            </w:pPr>
            <w:r w:rsidRPr="00285294">
              <w:rPr>
                <w:color w:val="auto"/>
                <w:sz w:val="22"/>
                <w:szCs w:val="22"/>
              </w:rPr>
              <w:t xml:space="preserve">  (0.433)</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VIX</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000000"/>
              <w:rPr>
                <w:color w:val="auto"/>
                <w:sz w:val="22"/>
                <w:szCs w:val="22"/>
              </w:rPr>
            </w:pPr>
            <w:r w:rsidRPr="00285294">
              <w:rPr>
                <w:color w:val="auto"/>
                <w:sz w:val="22"/>
                <w:szCs w:val="22"/>
              </w:rPr>
              <w:t>13.341</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 xml:space="preserve"> (0)***</w:t>
            </w:r>
          </w:p>
        </w:tc>
      </w:tr>
      <w:tr w:rsidR="002D51CD" w:rsidRPr="00285294" w:rsidTr="002D51CD">
        <w:trPr>
          <w:cnfStyle w:val="000000100000"/>
          <w:trHeight w:val="261"/>
          <w:jc w:val="center"/>
        </w:trPr>
        <w:tc>
          <w:tcPr>
            <w:cnfStyle w:val="001000000000"/>
            <w:tcW w:w="1396" w:type="pct"/>
            <w:tcBorders>
              <w:top w:val="single" w:sz="12" w:space="0" w:color="auto"/>
              <w:left w:val="single" w:sz="18" w:space="0" w:color="auto"/>
              <w:bottom w:val="single" w:sz="12" w:space="0" w:color="auto"/>
              <w:right w:val="single" w:sz="18" w:space="0" w:color="auto"/>
            </w:tcBorders>
            <w:shd w:val="clear" w:color="auto" w:fill="B6DDE8" w:themeFill="accent5" w:themeFillTint="66"/>
          </w:tcPr>
          <w:p w:rsidR="002D51CD" w:rsidRPr="00285294" w:rsidRDefault="002D51CD" w:rsidP="002D51CD">
            <w:pPr>
              <w:rPr>
                <w:color w:val="auto"/>
                <w:sz w:val="22"/>
                <w:szCs w:val="22"/>
              </w:rPr>
            </w:pPr>
            <w:r w:rsidRPr="00285294">
              <w:rPr>
                <w:color w:val="auto"/>
                <w:sz w:val="22"/>
                <w:szCs w:val="22"/>
              </w:rPr>
              <w:t>WP</w:t>
            </w:r>
            <w:r w:rsidRPr="00285294">
              <w:rPr>
                <w:color w:val="auto"/>
                <w:sz w:val="22"/>
                <w:szCs w:val="22"/>
                <w:vertAlign w:val="subscript"/>
              </w:rPr>
              <w:t>t+1</w:t>
            </w:r>
          </w:p>
        </w:tc>
        <w:tc>
          <w:tcPr>
            <w:tcW w:w="1469" w:type="pct"/>
            <w:tcBorders>
              <w:top w:val="single" w:sz="12" w:space="0" w:color="auto"/>
              <w:left w:val="single" w:sz="18" w:space="0" w:color="auto"/>
              <w:bottom w:val="single" w:sz="12" w:space="0" w:color="auto"/>
              <w:right w:val="single" w:sz="12" w:space="0" w:color="auto"/>
            </w:tcBorders>
          </w:tcPr>
          <w:p w:rsidR="002D51CD" w:rsidRPr="00285294" w:rsidRDefault="002D51CD" w:rsidP="002D51CD">
            <w:pPr>
              <w:jc w:val="center"/>
              <w:cnfStyle w:val="000000100000"/>
              <w:rPr>
                <w:color w:val="auto"/>
                <w:sz w:val="22"/>
                <w:szCs w:val="22"/>
              </w:rPr>
            </w:pPr>
            <w:r w:rsidRPr="00285294">
              <w:rPr>
                <w:color w:val="auto"/>
                <w:sz w:val="22"/>
                <w:szCs w:val="22"/>
              </w:rPr>
              <w:t xml:space="preserve">-1.405 </w:t>
            </w:r>
          </w:p>
        </w:tc>
        <w:tc>
          <w:tcPr>
            <w:tcW w:w="2135" w:type="pct"/>
            <w:tcBorders>
              <w:top w:val="single" w:sz="12" w:space="0" w:color="auto"/>
              <w:left w:val="single" w:sz="12" w:space="0" w:color="auto"/>
              <w:bottom w:val="single" w:sz="12" w:space="0" w:color="auto"/>
              <w:right w:val="single" w:sz="18" w:space="0" w:color="auto"/>
            </w:tcBorders>
          </w:tcPr>
          <w:p w:rsidR="002D51CD" w:rsidRPr="00285294" w:rsidRDefault="002D51CD" w:rsidP="002D51CD">
            <w:pPr>
              <w:tabs>
                <w:tab w:val="left" w:pos="380"/>
                <w:tab w:val="center" w:pos="726"/>
              </w:tabs>
              <w:jc w:val="center"/>
              <w:cnfStyle w:val="000000100000"/>
              <w:rPr>
                <w:b/>
                <w:color w:val="auto"/>
                <w:sz w:val="22"/>
                <w:szCs w:val="22"/>
              </w:rPr>
            </w:pPr>
            <w:r w:rsidRPr="00285294">
              <w:rPr>
                <w:color w:val="auto"/>
                <w:sz w:val="22"/>
                <w:szCs w:val="22"/>
              </w:rPr>
              <w:t xml:space="preserve"> (0.519)</w:t>
            </w:r>
          </w:p>
        </w:tc>
      </w:tr>
      <w:tr w:rsidR="002D51CD" w:rsidRPr="00285294" w:rsidTr="002D51CD">
        <w:trPr>
          <w:trHeight w:val="261"/>
          <w:jc w:val="center"/>
        </w:trPr>
        <w:tc>
          <w:tcPr>
            <w:cnfStyle w:val="001000000000"/>
            <w:tcW w:w="1396" w:type="pct"/>
            <w:tcBorders>
              <w:top w:val="single" w:sz="12" w:space="0" w:color="auto"/>
              <w:left w:val="single" w:sz="18" w:space="0" w:color="auto"/>
              <w:bottom w:val="single" w:sz="18" w:space="0" w:color="auto"/>
              <w:right w:val="single" w:sz="18" w:space="0" w:color="auto"/>
            </w:tcBorders>
            <w:shd w:val="clear" w:color="auto" w:fill="B6DDE8" w:themeFill="accent5" w:themeFillTint="66"/>
          </w:tcPr>
          <w:p w:rsidR="002D51CD" w:rsidRPr="00285294" w:rsidRDefault="002D51CD" w:rsidP="002D51CD">
            <w:pPr>
              <w:rPr>
                <w:color w:val="auto"/>
                <w:sz w:val="22"/>
                <w:szCs w:val="22"/>
                <w:vertAlign w:val="superscript"/>
              </w:rPr>
            </w:pPr>
            <w:r w:rsidRPr="00285294">
              <w:rPr>
                <w:color w:val="auto"/>
                <w:sz w:val="22"/>
                <w:szCs w:val="22"/>
              </w:rPr>
              <w:t>R</w:t>
            </w:r>
            <w:r w:rsidRPr="00285294">
              <w:rPr>
                <w:color w:val="auto"/>
                <w:sz w:val="22"/>
                <w:szCs w:val="22"/>
                <w:vertAlign w:val="superscript"/>
              </w:rPr>
              <w:t>2</w:t>
            </w:r>
          </w:p>
        </w:tc>
        <w:tc>
          <w:tcPr>
            <w:tcW w:w="3604" w:type="pct"/>
            <w:gridSpan w:val="2"/>
            <w:tcBorders>
              <w:top w:val="single" w:sz="12" w:space="0" w:color="auto"/>
              <w:left w:val="single" w:sz="18" w:space="0" w:color="auto"/>
              <w:bottom w:val="single" w:sz="18" w:space="0" w:color="auto"/>
              <w:right w:val="single" w:sz="18" w:space="0" w:color="auto"/>
            </w:tcBorders>
          </w:tcPr>
          <w:p w:rsidR="002D51CD" w:rsidRPr="00285294" w:rsidRDefault="002D51CD" w:rsidP="002D51CD">
            <w:pPr>
              <w:jc w:val="center"/>
              <w:cnfStyle w:val="000000000000"/>
              <w:rPr>
                <w:b/>
                <w:color w:val="auto"/>
                <w:sz w:val="22"/>
                <w:szCs w:val="22"/>
              </w:rPr>
            </w:pPr>
            <w:r w:rsidRPr="00285294">
              <w:rPr>
                <w:color w:val="auto"/>
                <w:sz w:val="22"/>
                <w:szCs w:val="22"/>
              </w:rPr>
              <w:t>0.633</w:t>
            </w:r>
          </w:p>
        </w:tc>
      </w:tr>
    </w:tbl>
    <w:p w:rsidR="002D51CD" w:rsidRPr="002D51CD" w:rsidRDefault="002D51CD" w:rsidP="002D51CD">
      <w:pPr>
        <w:spacing w:line="240" w:lineRule="auto"/>
        <w:ind w:left="-142"/>
        <w:rPr>
          <w:rFonts w:ascii="Times New Roman" w:hAnsi="Times New Roman" w:cs="Times New Roman"/>
          <w:sz w:val="18"/>
          <w:szCs w:val="18"/>
          <w:lang w:val="en-US"/>
        </w:rPr>
      </w:pPr>
      <w:r w:rsidRPr="002D51CD">
        <w:rPr>
          <w:rFonts w:ascii="Times New Roman" w:hAnsi="Times New Roman" w:cs="Times New Roman"/>
          <w:sz w:val="18"/>
          <w:szCs w:val="18"/>
          <w:lang w:val="en-US"/>
        </w:rPr>
        <w:t>Reported values are rounded at the third decimal. (*) denotes significance at 10%, (**) at 5% and (***) at 1%.</w:t>
      </w:r>
    </w:p>
    <w:p w:rsidR="002D51CD" w:rsidRPr="002D51CD" w:rsidRDefault="002D51CD" w:rsidP="002D51CD">
      <w:pPr>
        <w:pStyle w:val="ListParagraph"/>
        <w:spacing w:line="360" w:lineRule="auto"/>
        <w:ind w:left="0"/>
        <w:jc w:val="both"/>
        <w:rPr>
          <w:lang w:val="en-US"/>
        </w:rPr>
      </w:pPr>
    </w:p>
    <w:p w:rsidR="002D51CD" w:rsidRPr="002D51CD" w:rsidRDefault="002D51CD" w:rsidP="002D51CD">
      <w:pPr>
        <w:pStyle w:val="ListParagraph"/>
        <w:spacing w:line="360" w:lineRule="auto"/>
        <w:ind w:left="0"/>
        <w:jc w:val="both"/>
        <w:rPr>
          <w:lang w:val="en-US"/>
        </w:rPr>
      </w:pP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The reported R</w:t>
      </w:r>
      <w:r w:rsidRPr="002D51CD">
        <w:rPr>
          <w:rFonts w:ascii="Times New Roman" w:hAnsi="Times New Roman" w:cs="Times New Roman"/>
          <w:sz w:val="24"/>
          <w:szCs w:val="24"/>
          <w:vertAlign w:val="superscript"/>
          <w:lang w:val="en-US"/>
        </w:rPr>
        <w:t>2</w:t>
      </w:r>
      <w:r w:rsidR="00F27F61">
        <w:rPr>
          <w:rFonts w:ascii="Times New Roman" w:hAnsi="Times New Roman" w:cs="Times New Roman"/>
          <w:sz w:val="24"/>
          <w:szCs w:val="24"/>
          <w:lang w:val="en-US"/>
        </w:rPr>
        <w:t xml:space="preserve"> signify</w:t>
      </w:r>
      <w:r w:rsidRPr="002D51CD">
        <w:rPr>
          <w:rFonts w:ascii="Times New Roman" w:hAnsi="Times New Roman" w:cs="Times New Roman"/>
          <w:sz w:val="24"/>
          <w:szCs w:val="24"/>
          <w:lang w:val="en-US"/>
        </w:rPr>
        <w:t xml:space="preserve"> that our model</w:t>
      </w:r>
      <w:r w:rsidR="00F27F61">
        <w:rPr>
          <w:rFonts w:ascii="Times New Roman" w:hAnsi="Times New Roman" w:cs="Times New Roman"/>
          <w:sz w:val="24"/>
          <w:szCs w:val="24"/>
          <w:lang w:val="en-US"/>
        </w:rPr>
        <w:t>s</w:t>
      </w:r>
      <w:r w:rsidRPr="002D51CD">
        <w:rPr>
          <w:rFonts w:ascii="Times New Roman" w:hAnsi="Times New Roman" w:cs="Times New Roman"/>
          <w:sz w:val="24"/>
          <w:szCs w:val="24"/>
          <w:lang w:val="en-US"/>
        </w:rPr>
        <w:t>, with indices that measure sentiment as our independent variables, explain on average 58.1% of the changes in stocks’ returns (R</w:t>
      </w:r>
      <w:r w:rsidRPr="002D51CD">
        <w:rPr>
          <w:rFonts w:ascii="Times New Roman" w:hAnsi="Times New Roman" w:cs="Times New Roman"/>
          <w:sz w:val="24"/>
          <w:szCs w:val="24"/>
          <w:vertAlign w:val="superscript"/>
          <w:lang w:val="en-US"/>
        </w:rPr>
        <w:t>2</w:t>
      </w:r>
      <w:r w:rsidRPr="002D51CD">
        <w:rPr>
          <w:rFonts w:ascii="Times New Roman" w:hAnsi="Times New Roman" w:cs="Times New Roman"/>
          <w:sz w:val="24"/>
          <w:szCs w:val="24"/>
          <w:lang w:val="en-US"/>
        </w:rPr>
        <w:t xml:space="preserve"> is ranging from 46.6% for Russell 2000 to 71.9% for DAX). Inquiring the U.S stock market, we get significant results for the lagging Baker and Wurgler (BW), Global Risk Appetite Monitor by Nomura (NGRAM) and Westpac Risk Appetite (WP) for big cap and respectively for small cap the significant results are for Merrill Lynch’s Risk Aversion Indicator (ML_RAI), the Global Risk Appetite Monitor by Nomura (NGRAM) and the Westpac Risk Appetite (WP). For German big cap stock market, we get significant outcomes for the lagging Baker and Wurgler (BW), the leading University of Michigan Consumer Confidence Sentiment (CC) and the lagging Merrill Lynch’s Risk Aversion Indicator (ML_RAI) while for small cap (SDAX) the significant indices are the lagging Baker </w:t>
      </w:r>
      <w:r w:rsidRPr="00C72B87">
        <w:rPr>
          <w:rFonts w:ascii="Times New Roman" w:hAnsi="Times New Roman" w:cs="Times New Roman"/>
          <w:sz w:val="24"/>
          <w:szCs w:val="24"/>
          <w:lang w:val="en-US"/>
        </w:rPr>
        <w:lastRenderedPageBreak/>
        <w:t>and Wurgler (BW), the lagging State Street Investor Confidence Index (ICI) and the leading VIX Index (VIX). To summarize and taking into consideration the significance of the indices as well as the level of the coefficients,</w:t>
      </w:r>
      <w:r w:rsidR="00C72B87" w:rsidRPr="00C72B87">
        <w:rPr>
          <w:rFonts w:ascii="Times New Roman" w:hAnsi="Times New Roman" w:cs="Times New Roman"/>
          <w:sz w:val="24"/>
          <w:szCs w:val="24"/>
          <w:lang w:val="en-US"/>
        </w:rPr>
        <w:t xml:space="preserve"> we conclude that the best indices for U.S are</w:t>
      </w:r>
      <w:r w:rsidRPr="00C72B87">
        <w:rPr>
          <w:rFonts w:ascii="Times New Roman" w:hAnsi="Times New Roman" w:cs="Times New Roman"/>
          <w:sz w:val="24"/>
          <w:szCs w:val="24"/>
          <w:lang w:val="en-US"/>
        </w:rPr>
        <w:t xml:space="preserve"> the Global Risk Appetite Monitor by Nomura (NGRAM)</w:t>
      </w:r>
      <w:r w:rsidR="00C72B87" w:rsidRPr="00C72B87">
        <w:rPr>
          <w:rFonts w:ascii="Times New Roman" w:hAnsi="Times New Roman" w:cs="Times New Roman"/>
          <w:sz w:val="24"/>
          <w:szCs w:val="24"/>
          <w:lang w:val="en-US"/>
        </w:rPr>
        <w:t xml:space="preserve"> and the Westpac Risk Appetite (WP)</w:t>
      </w:r>
      <w:r w:rsidRPr="00C72B87">
        <w:rPr>
          <w:rFonts w:ascii="Times New Roman" w:hAnsi="Times New Roman" w:cs="Times New Roman"/>
          <w:sz w:val="24"/>
          <w:szCs w:val="24"/>
          <w:lang w:val="en-US"/>
        </w:rPr>
        <w:t xml:space="preserve"> while for Germany the best indices are the leading University of Michigan Consumer Confidence Sentiment (CC) and th</w:t>
      </w:r>
      <w:r w:rsidR="00C72B87">
        <w:rPr>
          <w:rFonts w:ascii="Times New Roman" w:hAnsi="Times New Roman" w:cs="Times New Roman"/>
          <w:sz w:val="24"/>
          <w:szCs w:val="24"/>
          <w:lang w:val="en-US"/>
        </w:rPr>
        <w:t xml:space="preserve">e leading VIX Index (VIX). Our outcomes may be induced from the fact that the three indices -NGRAM, WP and VIX- use as their basic </w:t>
      </w:r>
      <w:r w:rsidR="00C72B87" w:rsidRPr="00C72B87">
        <w:rPr>
          <w:rFonts w:ascii="Times New Roman" w:hAnsi="Times New Roman" w:cs="Times New Roman"/>
          <w:sz w:val="24"/>
          <w:szCs w:val="24"/>
          <w:lang w:val="en-US"/>
        </w:rPr>
        <w:t>components equities</w:t>
      </w:r>
      <w:r w:rsidR="00C72B87">
        <w:rPr>
          <w:rFonts w:ascii="Times New Roman" w:hAnsi="Times New Roman" w:cs="Times New Roman"/>
          <w:sz w:val="24"/>
          <w:szCs w:val="24"/>
          <w:lang w:val="en-US"/>
        </w:rPr>
        <w:t xml:space="preserve">. Moreover, our findings support those by </w:t>
      </w:r>
      <w:r w:rsidRPr="00C72B87">
        <w:rPr>
          <w:rFonts w:ascii="Times New Roman" w:hAnsi="Times New Roman" w:cs="Times New Roman"/>
          <w:sz w:val="24"/>
          <w:szCs w:val="24"/>
          <w:lang w:val="en-US"/>
        </w:rPr>
        <w:t>Lemmon and Portniaguina (2006)</w:t>
      </w:r>
      <w:r w:rsidR="00C72B87">
        <w:rPr>
          <w:rFonts w:ascii="Times New Roman" w:hAnsi="Times New Roman" w:cs="Times New Roman"/>
          <w:sz w:val="24"/>
          <w:szCs w:val="24"/>
          <w:lang w:val="en-US"/>
        </w:rPr>
        <w:t xml:space="preserve"> and Zouaoui et al. (2011)</w:t>
      </w:r>
      <w:r w:rsidR="00A72089">
        <w:rPr>
          <w:rFonts w:ascii="Times New Roman" w:hAnsi="Times New Roman" w:cs="Times New Roman"/>
          <w:sz w:val="24"/>
          <w:szCs w:val="24"/>
          <w:lang w:val="en-US"/>
        </w:rPr>
        <w:t>, among others,</w:t>
      </w:r>
      <w:r w:rsidR="00C72B87">
        <w:rPr>
          <w:rFonts w:ascii="Times New Roman" w:hAnsi="Times New Roman" w:cs="Times New Roman"/>
          <w:sz w:val="24"/>
          <w:szCs w:val="24"/>
          <w:lang w:val="en-US"/>
        </w:rPr>
        <w:t xml:space="preserve"> who</w:t>
      </w:r>
      <w:r w:rsidRPr="00C72B87">
        <w:rPr>
          <w:rFonts w:ascii="Times New Roman" w:hAnsi="Times New Roman" w:cs="Times New Roman"/>
          <w:sz w:val="24"/>
          <w:szCs w:val="24"/>
          <w:lang w:val="en-US"/>
        </w:rPr>
        <w:t xml:space="preserve"> provide</w:t>
      </w:r>
      <w:r w:rsidR="00C72B87">
        <w:rPr>
          <w:rFonts w:ascii="Times New Roman" w:hAnsi="Times New Roman" w:cs="Times New Roman"/>
          <w:sz w:val="24"/>
          <w:szCs w:val="24"/>
          <w:lang w:val="en-US"/>
        </w:rPr>
        <w:t>d</w:t>
      </w:r>
      <w:r w:rsidRPr="00C72B87">
        <w:rPr>
          <w:rFonts w:ascii="Times New Roman" w:hAnsi="Times New Roman" w:cs="Times New Roman"/>
          <w:sz w:val="24"/>
          <w:szCs w:val="24"/>
          <w:lang w:val="en-US"/>
        </w:rPr>
        <w:t xml:space="preserve"> empirical evidence that University of Michigan Consumer Confidence Sentiment (CC) can forecast stock returns.</w:t>
      </w:r>
      <w:r w:rsidRPr="002D51CD">
        <w:rPr>
          <w:rFonts w:ascii="Times New Roman" w:hAnsi="Times New Roman" w:cs="Times New Roman"/>
          <w:sz w:val="24"/>
          <w:szCs w:val="24"/>
          <w:lang w:val="en-US"/>
        </w:rPr>
        <w:t xml:space="preserve"> </w:t>
      </w: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 xml:space="preserve">An interesting finding arises if we concentrate on the coefficients for Baker and Wurgler (BW) concerning the big and small cap stocks. We observe that the coefficient of U.S big cap stocks (Russell 1000) is -0.468 while for small cap (Russell 2000) is 0.421. That means that small cap stocks gain when the sentiment is increasing while big cap lose. This is in line with the findings by Baker and Wurgler (2006, 2012). German stocks both lose (negative coefficient) when sentiment increases. However, big cap stocks’ coefficient (-20.346) is higher than the one for small cap (-14.727). Hence, big cap stocks exhibit a higher loss which is in line with Baker and Wurgler findings (2006, 2012). </w:t>
      </w: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r w:rsidRPr="002D51CD">
        <w:rPr>
          <w:rFonts w:ascii="Times New Roman" w:hAnsi="Times New Roman" w:cs="Times New Roman"/>
          <w:b/>
          <w:sz w:val="24"/>
          <w:szCs w:val="24"/>
          <w:lang w:val="en-US"/>
        </w:rPr>
        <w:t>4.3 Robustness checks</w:t>
      </w:r>
    </w:p>
    <w:p w:rsidR="002D51CD" w:rsidRPr="002D51CD" w:rsidRDefault="002D51CD" w:rsidP="002D51CD">
      <w:pPr>
        <w:pStyle w:val="ListParagraph"/>
        <w:spacing w:line="360" w:lineRule="auto"/>
        <w:ind w:left="0"/>
        <w:jc w:val="both"/>
        <w:rPr>
          <w:rFonts w:ascii="Times New Roman" w:hAnsi="Times New Roman" w:cs="Times New Roman"/>
          <w:b/>
          <w:sz w:val="24"/>
          <w:szCs w:val="24"/>
          <w:lang w:val="en-US"/>
        </w:rPr>
      </w:pPr>
    </w:p>
    <w:p w:rsidR="002D51CD" w:rsidRPr="002D51CD" w:rsidRDefault="002D51CD" w:rsidP="002D51CD">
      <w:pPr>
        <w:pStyle w:val="ListParagraph"/>
        <w:spacing w:line="360" w:lineRule="auto"/>
        <w:ind w:left="0"/>
        <w:jc w:val="both"/>
        <w:rPr>
          <w:rFonts w:ascii="Times New Roman" w:hAnsi="Times New Roman" w:cs="Times New Roman"/>
          <w:sz w:val="24"/>
          <w:szCs w:val="24"/>
          <w:lang w:val="en-US"/>
        </w:rPr>
      </w:pPr>
      <w:r w:rsidRPr="002D51CD">
        <w:rPr>
          <w:rFonts w:ascii="Times New Roman" w:hAnsi="Times New Roman" w:cs="Times New Roman"/>
          <w:sz w:val="24"/>
          <w:szCs w:val="24"/>
          <w:lang w:val="en-US"/>
        </w:rPr>
        <w:t>In the previous section we presented the results from our main regressions. Here, we will present the robustness test that we explored, namely controlling for the Fama and French factors. In section 3.2, we described our methodology and the process that is followed. Table 6 suggests that both U.S and German stocks are in accordance to Baker and Wurgler (2006, 2012) findings. Thus, we run the regressions depicted on equations (19) to (22) –as those described in section 3.2.5- and results are presented in Table 10.</w:t>
      </w:r>
    </w:p>
    <w:p w:rsidR="002D51CD" w:rsidRPr="002D51CD" w:rsidRDefault="002D51CD" w:rsidP="002D51CD">
      <w:pPr>
        <w:spacing w:line="360" w:lineRule="auto"/>
        <w:jc w:val="center"/>
        <w:rPr>
          <w:b/>
          <w:lang w:val="en-US"/>
        </w:rPr>
      </w:pPr>
    </w:p>
    <w:p w:rsidR="002D51CD" w:rsidRPr="002D51CD" w:rsidRDefault="002D51CD" w:rsidP="002D51CD">
      <w:pPr>
        <w:spacing w:line="360" w:lineRule="auto"/>
        <w:jc w:val="center"/>
        <w:rPr>
          <w:b/>
          <w:lang w:val="en-US"/>
        </w:rPr>
      </w:pPr>
    </w:p>
    <w:p w:rsidR="002D51CD" w:rsidRPr="002D51CD" w:rsidRDefault="002D51CD" w:rsidP="002D51CD">
      <w:pPr>
        <w:spacing w:line="360" w:lineRule="auto"/>
        <w:jc w:val="center"/>
        <w:rPr>
          <w:b/>
          <w:lang w:val="en-US"/>
        </w:rPr>
      </w:pPr>
    </w:p>
    <w:p w:rsidR="008953B4" w:rsidRDefault="008953B4" w:rsidP="002D51CD">
      <w:pPr>
        <w:spacing w:line="360" w:lineRule="auto"/>
        <w:jc w:val="center"/>
        <w:rPr>
          <w:rFonts w:ascii="Times New Roman" w:hAnsi="Times New Roman" w:cs="Times New Roman"/>
          <w:b/>
          <w:sz w:val="24"/>
          <w:szCs w:val="24"/>
          <w:lang w:val="en-US"/>
        </w:rPr>
      </w:pPr>
    </w:p>
    <w:p w:rsidR="002D51CD" w:rsidRPr="002D51CD" w:rsidRDefault="002D51CD" w:rsidP="002D51CD">
      <w:pPr>
        <w:spacing w:line="360" w:lineRule="auto"/>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lastRenderedPageBreak/>
        <w:t>Table 10</w:t>
      </w:r>
    </w:p>
    <w:p w:rsidR="002D51CD" w:rsidRPr="002D51CD" w:rsidRDefault="002D51CD" w:rsidP="002D51CD">
      <w:pPr>
        <w:spacing w:line="360" w:lineRule="auto"/>
        <w:jc w:val="center"/>
        <w:rPr>
          <w:rFonts w:ascii="Times New Roman" w:hAnsi="Times New Roman" w:cs="Times New Roman"/>
          <w:b/>
          <w:sz w:val="24"/>
          <w:szCs w:val="24"/>
          <w:lang w:val="en-US"/>
        </w:rPr>
      </w:pPr>
      <w:r w:rsidRPr="002D51CD">
        <w:rPr>
          <w:rFonts w:ascii="Times New Roman" w:hAnsi="Times New Roman" w:cs="Times New Roman"/>
          <w:b/>
          <w:sz w:val="24"/>
          <w:szCs w:val="24"/>
          <w:lang w:val="en-US"/>
        </w:rPr>
        <w:t>Analysis Summary before and after controlling for the Fama-French factors</w:t>
      </w:r>
    </w:p>
    <w:p w:rsidR="002D51CD" w:rsidRPr="002D51CD" w:rsidRDefault="002D51CD" w:rsidP="002D51CD">
      <w:pPr>
        <w:spacing w:line="360" w:lineRule="auto"/>
        <w:jc w:val="both"/>
        <w:rPr>
          <w:rFonts w:ascii="Times New Roman" w:hAnsi="Times New Roman" w:cs="Times New Roman"/>
          <w:sz w:val="20"/>
          <w:szCs w:val="20"/>
          <w:lang w:val="en-US"/>
        </w:rPr>
      </w:pPr>
      <w:r w:rsidRPr="002D51CD">
        <w:rPr>
          <w:rFonts w:ascii="Times New Roman" w:hAnsi="Times New Roman" w:cs="Times New Roman"/>
          <w:sz w:val="20"/>
          <w:szCs w:val="20"/>
          <w:lang w:val="en-US"/>
        </w:rPr>
        <w:t>The table presents our obtained results from equations (19) to (22). Panel A presents the coefficients and the p-values before and after controlling for the Fama-French factors of “high minus low” (HML) and the general market factor (MKT) for the</w:t>
      </w:r>
      <w:r w:rsidR="002977AF">
        <w:rPr>
          <w:rFonts w:ascii="Times New Roman" w:hAnsi="Times New Roman" w:cs="Times New Roman"/>
          <w:sz w:val="20"/>
          <w:szCs w:val="20"/>
          <w:lang w:val="en-US"/>
        </w:rPr>
        <w:t xml:space="preserve"> difference in returns between of big and small capitalization of</w:t>
      </w:r>
      <w:r w:rsidRPr="002D51CD">
        <w:rPr>
          <w:rFonts w:ascii="Times New Roman" w:hAnsi="Times New Roman" w:cs="Times New Roman"/>
          <w:sz w:val="20"/>
          <w:szCs w:val="20"/>
          <w:lang w:val="en-US"/>
        </w:rPr>
        <w:t xml:space="preserve"> U.S stocks while Panel B the same features for German stocks. The last row of each panel reports the values of R</w:t>
      </w:r>
      <w:r w:rsidRPr="002D51CD">
        <w:rPr>
          <w:rFonts w:ascii="Times New Roman" w:hAnsi="Times New Roman" w:cs="Times New Roman"/>
          <w:sz w:val="20"/>
          <w:szCs w:val="20"/>
          <w:vertAlign w:val="superscript"/>
          <w:lang w:val="en-US"/>
        </w:rPr>
        <w:t>2</w:t>
      </w:r>
      <w:r w:rsidRPr="002D51CD">
        <w:rPr>
          <w:rFonts w:ascii="Times New Roman" w:hAnsi="Times New Roman" w:cs="Times New Roman"/>
          <w:sz w:val="20"/>
          <w:szCs w:val="20"/>
          <w:lang w:val="en-US"/>
        </w:rPr>
        <w:t xml:space="preserve">. The indices represent the standardized values from the Baker and Wurgler (BW), University of Michigan Consumer Confidence Sentiment (CC), State Street Investor Confidence Index (ICI), Merrill Lynch’s Risk Aversion Indicator (ML_RAI), Global Risk Appetite Monitor by Nomura (NGRAM), Put-Call Ratio (PCR), VIX Index (VIX) and Westpac Risk Appetite (WP) and are inserted with the proper lead-lag-comovement indication. </w:t>
      </w:r>
    </w:p>
    <w:p w:rsidR="002D51CD" w:rsidRPr="002D51CD" w:rsidRDefault="002D51CD" w:rsidP="002D51CD">
      <w:pPr>
        <w:spacing w:line="360" w:lineRule="auto"/>
        <w:jc w:val="both"/>
        <w:rPr>
          <w:rFonts w:ascii="Times New Roman" w:hAnsi="Times New Roman" w:cs="Times New Roman"/>
          <w:sz w:val="24"/>
          <w:szCs w:val="24"/>
          <w:lang w:val="en-US"/>
        </w:rPr>
      </w:pPr>
    </w:p>
    <w:tbl>
      <w:tblPr>
        <w:tblW w:w="479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98"/>
        <w:gridCol w:w="1263"/>
        <w:gridCol w:w="1783"/>
        <w:gridCol w:w="2043"/>
        <w:gridCol w:w="2493"/>
      </w:tblGrid>
      <w:tr w:rsidR="002D51CD" w:rsidRPr="009A092A" w:rsidTr="002D51CD">
        <w:trPr>
          <w:trHeight w:val="288"/>
          <w:jc w:val="center"/>
        </w:trPr>
        <w:tc>
          <w:tcPr>
            <w:tcW w:w="5000" w:type="pct"/>
            <w:gridSpan w:val="5"/>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noWrap/>
            <w:vAlign w:val="bottom"/>
            <w:hideMark/>
          </w:tcPr>
          <w:p w:rsidR="002D51CD" w:rsidRPr="002D51CD" w:rsidRDefault="002D51CD" w:rsidP="002D51CD">
            <w:pPr>
              <w:spacing w:after="0" w:line="360" w:lineRule="auto"/>
              <w:jc w:val="center"/>
              <w:rPr>
                <w:rFonts w:ascii="Times New Roman" w:eastAsia="Times New Roman" w:hAnsi="Times New Roman" w:cs="Times New Roman"/>
                <w:b/>
                <w:color w:val="000000"/>
                <w:sz w:val="24"/>
                <w:szCs w:val="24"/>
                <w:lang w:val="en-US" w:eastAsia="el-GR"/>
              </w:rPr>
            </w:pPr>
            <w:r w:rsidRPr="002D51CD">
              <w:rPr>
                <w:rFonts w:ascii="Times New Roman" w:eastAsia="Times New Roman" w:hAnsi="Times New Roman" w:cs="Times New Roman"/>
                <w:b/>
                <w:color w:val="000000"/>
                <w:sz w:val="24"/>
                <w:szCs w:val="24"/>
                <w:lang w:val="en-US" w:eastAsia="el-GR"/>
              </w:rPr>
              <w:t xml:space="preserve">Panel A: Difference in returns of U.S stocks </w:t>
            </w:r>
          </w:p>
          <w:p w:rsidR="002D51CD" w:rsidRPr="002D51CD" w:rsidRDefault="002D51CD" w:rsidP="002D51CD">
            <w:pPr>
              <w:spacing w:after="0" w:line="360" w:lineRule="auto"/>
              <w:jc w:val="center"/>
              <w:rPr>
                <w:rFonts w:ascii="Times New Roman" w:eastAsia="Times New Roman" w:hAnsi="Times New Roman" w:cs="Times New Roman"/>
                <w:b/>
                <w:color w:val="000000"/>
                <w:sz w:val="24"/>
                <w:szCs w:val="24"/>
                <w:lang w:val="en-US" w:eastAsia="el-GR"/>
              </w:rPr>
            </w:pPr>
          </w:p>
        </w:tc>
      </w:tr>
      <w:tr w:rsidR="002D51CD" w:rsidRPr="009A092A" w:rsidTr="002D51CD">
        <w:trPr>
          <w:trHeight w:val="288"/>
          <w:jc w:val="center"/>
        </w:trPr>
        <w:tc>
          <w:tcPr>
            <w:tcW w:w="2529" w:type="pct"/>
            <w:gridSpan w:val="3"/>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jc w:val="center"/>
              <w:rPr>
                <w:rFonts w:ascii="Times New Roman" w:eastAsia="Times New Roman" w:hAnsi="Times New Roman" w:cs="Times New Roman"/>
                <w:b/>
                <w:color w:val="000000"/>
                <w:lang w:val="en-US" w:eastAsia="el-GR"/>
              </w:rPr>
            </w:pPr>
            <w:r w:rsidRPr="002D51CD">
              <w:rPr>
                <w:rFonts w:ascii="Times New Roman" w:eastAsia="Times New Roman" w:hAnsi="Times New Roman" w:cs="Times New Roman"/>
                <w:b/>
                <w:color w:val="000000"/>
                <w:lang w:val="en-US" w:eastAsia="el-GR"/>
              </w:rPr>
              <w:t>Before controlling for HML and MKT</w:t>
            </w:r>
          </w:p>
        </w:tc>
        <w:tc>
          <w:tcPr>
            <w:tcW w:w="2471" w:type="pct"/>
            <w:gridSpan w:val="2"/>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jc w:val="center"/>
              <w:rPr>
                <w:rFonts w:ascii="Times New Roman" w:eastAsia="Times New Roman" w:hAnsi="Times New Roman" w:cs="Times New Roman"/>
                <w:b/>
                <w:color w:val="000000"/>
                <w:vertAlign w:val="subscript"/>
                <w:lang w:val="en-US" w:eastAsia="el-GR"/>
              </w:rPr>
            </w:pPr>
            <w:r w:rsidRPr="002D51CD">
              <w:rPr>
                <w:rFonts w:ascii="Times New Roman" w:eastAsia="Times New Roman" w:hAnsi="Times New Roman" w:cs="Times New Roman"/>
                <w:b/>
                <w:color w:val="000000"/>
                <w:lang w:val="en-US" w:eastAsia="el-GR"/>
              </w:rPr>
              <w:t>After controlling for HML</w:t>
            </w:r>
            <w:r w:rsidRPr="002D51CD">
              <w:rPr>
                <w:rFonts w:ascii="Times New Roman" w:eastAsia="Times New Roman" w:hAnsi="Times New Roman" w:cs="Times New Roman"/>
                <w:b/>
                <w:color w:val="000000"/>
                <w:vertAlign w:val="subscript"/>
                <w:lang w:val="en-US" w:eastAsia="el-GR"/>
              </w:rPr>
              <w:t>t-1</w:t>
            </w:r>
            <w:r w:rsidRPr="002D51CD">
              <w:rPr>
                <w:rFonts w:ascii="Times New Roman" w:eastAsia="Times New Roman" w:hAnsi="Times New Roman" w:cs="Times New Roman"/>
                <w:b/>
                <w:color w:val="000000"/>
                <w:lang w:val="en-US" w:eastAsia="el-GR"/>
              </w:rPr>
              <w:t xml:space="preserve"> and MKT</w:t>
            </w:r>
            <w:r w:rsidRPr="002D51CD">
              <w:rPr>
                <w:rFonts w:ascii="Times New Roman" w:eastAsia="Times New Roman" w:hAnsi="Times New Roman" w:cs="Times New Roman"/>
                <w:b/>
                <w:color w:val="000000"/>
                <w:vertAlign w:val="subscript"/>
                <w:lang w:val="en-US" w:eastAsia="el-GR"/>
              </w:rPr>
              <w:t>t+1</w:t>
            </w:r>
          </w:p>
        </w:tc>
      </w:tr>
      <w:tr w:rsidR="002D51CD" w:rsidRPr="005D1F51" w:rsidTr="002D51CD">
        <w:trPr>
          <w:trHeight w:val="288"/>
          <w:jc w:val="center"/>
        </w:trPr>
        <w:tc>
          <w:tcPr>
            <w:tcW w:w="870"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color w:val="000000"/>
                <w:lang w:val="en-US" w:eastAsia="el-GR"/>
              </w:rPr>
            </w:pPr>
          </w:p>
        </w:tc>
        <w:tc>
          <w:tcPr>
            <w:tcW w:w="688"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jc w:val="center"/>
              <w:rPr>
                <w:rFonts w:ascii="Times New Roman" w:eastAsia="Times New Roman" w:hAnsi="Times New Roman" w:cs="Times New Roman"/>
                <w:b/>
                <w:color w:val="000000"/>
                <w:lang w:eastAsia="el-GR"/>
              </w:rPr>
            </w:pPr>
            <w:r w:rsidRPr="002D51CD">
              <w:rPr>
                <w:rFonts w:ascii="Times New Roman" w:eastAsia="Times New Roman" w:hAnsi="Times New Roman" w:cs="Times New Roman"/>
                <w:b/>
                <w:color w:val="000000"/>
                <w:lang w:eastAsia="el-GR"/>
              </w:rPr>
              <w:t>coef.</w:t>
            </w:r>
          </w:p>
        </w:tc>
        <w:tc>
          <w:tcPr>
            <w:tcW w:w="971"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jc w:val="center"/>
              <w:rPr>
                <w:rFonts w:ascii="Times New Roman" w:eastAsia="Times New Roman" w:hAnsi="Times New Roman" w:cs="Times New Roman"/>
                <w:b/>
                <w:color w:val="000000"/>
                <w:lang w:eastAsia="el-GR"/>
              </w:rPr>
            </w:pPr>
            <w:r w:rsidRPr="002D51CD">
              <w:rPr>
                <w:rFonts w:ascii="Times New Roman" w:eastAsia="Times New Roman" w:hAnsi="Times New Roman" w:cs="Times New Roman"/>
                <w:b/>
                <w:color w:val="000000"/>
                <w:lang w:eastAsia="el-GR"/>
              </w:rPr>
              <w:t>p-value</w:t>
            </w:r>
          </w:p>
        </w:tc>
        <w:tc>
          <w:tcPr>
            <w:tcW w:w="1113"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jc w:val="center"/>
              <w:rPr>
                <w:rFonts w:ascii="Times New Roman" w:eastAsia="Times New Roman" w:hAnsi="Times New Roman" w:cs="Times New Roman"/>
                <w:b/>
                <w:color w:val="000000"/>
                <w:lang w:eastAsia="el-GR"/>
              </w:rPr>
            </w:pPr>
            <w:r w:rsidRPr="002D51CD">
              <w:rPr>
                <w:rFonts w:ascii="Times New Roman" w:eastAsia="Times New Roman" w:hAnsi="Times New Roman" w:cs="Times New Roman"/>
                <w:b/>
                <w:color w:val="000000"/>
                <w:lang w:eastAsia="el-GR"/>
              </w:rPr>
              <w:t>coef.</w:t>
            </w:r>
          </w:p>
        </w:tc>
        <w:tc>
          <w:tcPr>
            <w:tcW w:w="1358"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jc w:val="center"/>
              <w:rPr>
                <w:rFonts w:ascii="Times New Roman" w:eastAsia="Times New Roman" w:hAnsi="Times New Roman" w:cs="Times New Roman"/>
                <w:b/>
                <w:color w:val="000000"/>
                <w:lang w:eastAsia="el-GR"/>
              </w:rPr>
            </w:pPr>
            <w:r w:rsidRPr="002D51CD">
              <w:rPr>
                <w:rFonts w:ascii="Times New Roman" w:eastAsia="Times New Roman" w:hAnsi="Times New Roman" w:cs="Times New Roman"/>
                <w:b/>
                <w:color w:val="000000"/>
                <w:lang w:eastAsia="el-GR"/>
              </w:rPr>
              <w:t>p-value</w:t>
            </w:r>
          </w:p>
        </w:tc>
      </w:tr>
      <w:tr w:rsidR="002D51CD" w:rsidRPr="005D1F51" w:rsidTr="002D51CD">
        <w:trPr>
          <w:trHeight w:val="170"/>
          <w:jc w:val="center"/>
        </w:trPr>
        <w:tc>
          <w:tcPr>
            <w:tcW w:w="870" w:type="pct"/>
            <w:tcBorders>
              <w:top w:val="single" w:sz="18" w:space="0" w:color="auto"/>
              <w:left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BW</w:t>
            </w:r>
            <w:r w:rsidRPr="002D51CD">
              <w:rPr>
                <w:rFonts w:ascii="Times New Roman" w:eastAsia="Times New Roman" w:hAnsi="Times New Roman" w:cs="Times New Roman"/>
                <w:b/>
                <w:color w:val="000000"/>
                <w:vertAlign w:val="subscript"/>
                <w:lang w:eastAsia="el-GR"/>
              </w:rPr>
              <w:t>t+1</w:t>
            </w:r>
          </w:p>
        </w:tc>
        <w:tc>
          <w:tcPr>
            <w:tcW w:w="688" w:type="pct"/>
            <w:tcBorders>
              <w:top w:val="single" w:sz="18" w:space="0" w:color="auto"/>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-0.993</w:t>
            </w:r>
          </w:p>
        </w:tc>
        <w:tc>
          <w:tcPr>
            <w:tcW w:w="971" w:type="pct"/>
            <w:tcBorders>
              <w:top w:val="single" w:sz="18" w:space="0" w:color="auto"/>
              <w:left w:val="single" w:sz="18" w:space="0" w:color="auto"/>
              <w:right w:val="single" w:sz="18" w:space="0" w:color="auto"/>
            </w:tcBorders>
            <w:shd w:val="clear" w:color="auto" w:fill="auto"/>
            <w:noWrap/>
            <w:vAlign w:val="bottom"/>
            <w:hideMark/>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 xml:space="preserve">   (0.025)**</w:t>
            </w:r>
          </w:p>
        </w:tc>
        <w:tc>
          <w:tcPr>
            <w:tcW w:w="1113" w:type="pct"/>
            <w:tcBorders>
              <w:top w:val="single" w:sz="18" w:space="0" w:color="auto"/>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-0.972</w:t>
            </w:r>
          </w:p>
        </w:tc>
        <w:tc>
          <w:tcPr>
            <w:tcW w:w="1358" w:type="pct"/>
            <w:tcBorders>
              <w:top w:val="single" w:sz="18" w:space="0" w:color="auto"/>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 xml:space="preserve">   (0.029)**</w:t>
            </w:r>
          </w:p>
        </w:tc>
      </w:tr>
      <w:tr w:rsidR="002D51CD" w:rsidRPr="005D1F51" w:rsidTr="00673FE0">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CC</w:t>
            </w:r>
            <w:r w:rsidRPr="002D51CD">
              <w:rPr>
                <w:rFonts w:ascii="Times New Roman" w:eastAsia="Times New Roman" w:hAnsi="Times New Roman" w:cs="Times New Roman"/>
                <w:b/>
                <w:color w:val="000000"/>
                <w:vertAlign w:val="subscript"/>
                <w:lang w:eastAsia="el-GR"/>
              </w:rPr>
              <w:t>t-1</w:t>
            </w:r>
          </w:p>
        </w:tc>
        <w:tc>
          <w:tcPr>
            <w:tcW w:w="68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0.602</w:t>
            </w:r>
          </w:p>
        </w:tc>
        <w:tc>
          <w:tcPr>
            <w:tcW w:w="971" w:type="pct"/>
            <w:tcBorders>
              <w:left w:val="single" w:sz="18" w:space="0" w:color="auto"/>
              <w:right w:val="single" w:sz="18" w:space="0" w:color="auto"/>
            </w:tcBorders>
            <w:shd w:val="clear" w:color="auto" w:fill="EAF1DD" w:themeFill="accent3" w:themeFillTint="33"/>
            <w:noWrap/>
            <w:vAlign w:val="bottom"/>
            <w:hideMark/>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(0.182)</w:t>
            </w:r>
          </w:p>
        </w:tc>
        <w:tc>
          <w:tcPr>
            <w:tcW w:w="1113"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0.454</w:t>
            </w:r>
          </w:p>
        </w:tc>
        <w:tc>
          <w:tcPr>
            <w:tcW w:w="135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(0.361)</w:t>
            </w:r>
          </w:p>
        </w:tc>
      </w:tr>
      <w:tr w:rsidR="002D51CD" w:rsidRPr="005D1F51" w:rsidTr="002D51CD">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ICI</w:t>
            </w:r>
            <w:r w:rsidRPr="002D51CD">
              <w:rPr>
                <w:rFonts w:ascii="Times New Roman" w:eastAsia="Times New Roman" w:hAnsi="Times New Roman" w:cs="Times New Roman"/>
                <w:b/>
                <w:color w:val="000000"/>
                <w:vertAlign w:val="subscript"/>
                <w:lang w:eastAsia="el-GR"/>
              </w:rPr>
              <w:t>t-1</w:t>
            </w:r>
          </w:p>
        </w:tc>
        <w:tc>
          <w:tcPr>
            <w:tcW w:w="688"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0.084</w:t>
            </w:r>
          </w:p>
        </w:tc>
        <w:tc>
          <w:tcPr>
            <w:tcW w:w="971" w:type="pct"/>
            <w:tcBorders>
              <w:left w:val="single" w:sz="18" w:space="0" w:color="auto"/>
              <w:right w:val="single" w:sz="18" w:space="0" w:color="auto"/>
            </w:tcBorders>
            <w:shd w:val="clear" w:color="auto" w:fill="auto"/>
            <w:noWrap/>
            <w:vAlign w:val="bottom"/>
            <w:hideMark/>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(0.853)</w:t>
            </w:r>
          </w:p>
        </w:tc>
        <w:tc>
          <w:tcPr>
            <w:tcW w:w="1113"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0.218</w:t>
            </w:r>
          </w:p>
        </w:tc>
        <w:tc>
          <w:tcPr>
            <w:tcW w:w="1358"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(0.661)</w:t>
            </w:r>
          </w:p>
        </w:tc>
      </w:tr>
      <w:tr w:rsidR="002D51CD" w:rsidRPr="005D1F51" w:rsidTr="00673FE0">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ML_RAI</w:t>
            </w:r>
            <w:r w:rsidRPr="002D51CD">
              <w:rPr>
                <w:rFonts w:ascii="Times New Roman" w:eastAsia="Times New Roman" w:hAnsi="Times New Roman" w:cs="Times New Roman"/>
                <w:b/>
                <w:color w:val="000000"/>
                <w:vertAlign w:val="subscript"/>
                <w:lang w:eastAsia="el-GR"/>
              </w:rPr>
              <w:t>t</w:t>
            </w:r>
          </w:p>
        </w:tc>
        <w:tc>
          <w:tcPr>
            <w:tcW w:w="68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1.069</w:t>
            </w:r>
          </w:p>
        </w:tc>
        <w:tc>
          <w:tcPr>
            <w:tcW w:w="971" w:type="pct"/>
            <w:tcBorders>
              <w:left w:val="single" w:sz="18" w:space="0" w:color="auto"/>
              <w:right w:val="single" w:sz="18" w:space="0" w:color="auto"/>
            </w:tcBorders>
            <w:shd w:val="clear" w:color="auto" w:fill="EAF1DD" w:themeFill="accent3" w:themeFillTint="33"/>
            <w:noWrap/>
            <w:vAlign w:val="bottom"/>
            <w:hideMark/>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(0.102)</w:t>
            </w:r>
          </w:p>
        </w:tc>
        <w:tc>
          <w:tcPr>
            <w:tcW w:w="1113"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1.001</w:t>
            </w:r>
          </w:p>
        </w:tc>
        <w:tc>
          <w:tcPr>
            <w:tcW w:w="135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(0.136)</w:t>
            </w:r>
          </w:p>
        </w:tc>
      </w:tr>
      <w:tr w:rsidR="002D51CD" w:rsidRPr="005D1F51" w:rsidTr="002D51CD">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NGRAM</w:t>
            </w:r>
            <w:r w:rsidRPr="002D51CD">
              <w:rPr>
                <w:rFonts w:ascii="Times New Roman" w:eastAsia="Times New Roman" w:hAnsi="Times New Roman" w:cs="Times New Roman"/>
                <w:b/>
                <w:color w:val="000000"/>
                <w:vertAlign w:val="subscript"/>
                <w:lang w:eastAsia="el-GR"/>
              </w:rPr>
              <w:t>t</w:t>
            </w:r>
          </w:p>
        </w:tc>
        <w:tc>
          <w:tcPr>
            <w:tcW w:w="688"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-0.341</w:t>
            </w:r>
          </w:p>
        </w:tc>
        <w:tc>
          <w:tcPr>
            <w:tcW w:w="971" w:type="pct"/>
            <w:tcBorders>
              <w:left w:val="single" w:sz="18" w:space="0" w:color="auto"/>
              <w:right w:val="single" w:sz="18" w:space="0" w:color="auto"/>
            </w:tcBorders>
            <w:shd w:val="clear" w:color="auto" w:fill="auto"/>
            <w:noWrap/>
            <w:vAlign w:val="bottom"/>
            <w:hideMark/>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(0.312)</w:t>
            </w:r>
          </w:p>
        </w:tc>
        <w:tc>
          <w:tcPr>
            <w:tcW w:w="1113"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-0.339</w:t>
            </w:r>
          </w:p>
        </w:tc>
        <w:tc>
          <w:tcPr>
            <w:tcW w:w="1358"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(0.318)</w:t>
            </w:r>
          </w:p>
        </w:tc>
      </w:tr>
      <w:tr w:rsidR="002D51CD" w:rsidRPr="005D1F51" w:rsidTr="00673FE0">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PCR</w:t>
            </w:r>
            <w:r w:rsidRPr="002D51CD">
              <w:rPr>
                <w:rFonts w:ascii="Times New Roman" w:eastAsia="Times New Roman" w:hAnsi="Times New Roman" w:cs="Times New Roman"/>
                <w:b/>
                <w:color w:val="000000"/>
                <w:vertAlign w:val="subscript"/>
                <w:lang w:eastAsia="el-GR"/>
              </w:rPr>
              <w:t>t</w:t>
            </w:r>
          </w:p>
        </w:tc>
        <w:tc>
          <w:tcPr>
            <w:tcW w:w="68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-0.108</w:t>
            </w:r>
          </w:p>
        </w:tc>
        <w:tc>
          <w:tcPr>
            <w:tcW w:w="971" w:type="pct"/>
            <w:tcBorders>
              <w:left w:val="single" w:sz="18" w:space="0" w:color="auto"/>
              <w:right w:val="single" w:sz="18" w:space="0" w:color="auto"/>
            </w:tcBorders>
            <w:shd w:val="clear" w:color="auto" w:fill="EAF1DD" w:themeFill="accent3" w:themeFillTint="33"/>
            <w:noWrap/>
            <w:vAlign w:val="bottom"/>
            <w:hideMark/>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(0.810)</w:t>
            </w:r>
          </w:p>
        </w:tc>
        <w:tc>
          <w:tcPr>
            <w:tcW w:w="1113"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-0.154</w:t>
            </w:r>
          </w:p>
        </w:tc>
        <w:tc>
          <w:tcPr>
            <w:tcW w:w="135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(0.732)</w:t>
            </w:r>
          </w:p>
        </w:tc>
      </w:tr>
      <w:tr w:rsidR="002D51CD" w:rsidRPr="005D1F51" w:rsidTr="002D51CD">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VIX</w:t>
            </w:r>
            <w:r w:rsidRPr="002D51CD">
              <w:rPr>
                <w:rFonts w:ascii="Times New Roman" w:eastAsia="Times New Roman" w:hAnsi="Times New Roman" w:cs="Times New Roman"/>
                <w:b/>
                <w:color w:val="000000"/>
                <w:vertAlign w:val="subscript"/>
                <w:lang w:eastAsia="el-GR"/>
              </w:rPr>
              <w:t>t</w:t>
            </w:r>
          </w:p>
        </w:tc>
        <w:tc>
          <w:tcPr>
            <w:tcW w:w="688"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0.010</w:t>
            </w:r>
          </w:p>
        </w:tc>
        <w:tc>
          <w:tcPr>
            <w:tcW w:w="971" w:type="pct"/>
            <w:tcBorders>
              <w:left w:val="single" w:sz="18" w:space="0" w:color="auto"/>
              <w:right w:val="single" w:sz="18" w:space="0" w:color="auto"/>
            </w:tcBorders>
            <w:shd w:val="clear" w:color="auto" w:fill="auto"/>
            <w:noWrap/>
            <w:vAlign w:val="bottom"/>
            <w:hideMark/>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(0.979)</w:t>
            </w:r>
          </w:p>
        </w:tc>
        <w:tc>
          <w:tcPr>
            <w:tcW w:w="1113"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0.010</w:t>
            </w:r>
          </w:p>
        </w:tc>
        <w:tc>
          <w:tcPr>
            <w:tcW w:w="1358"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(0.980)</w:t>
            </w:r>
          </w:p>
        </w:tc>
      </w:tr>
      <w:tr w:rsidR="002D51CD" w:rsidRPr="005D1F51" w:rsidTr="00673FE0">
        <w:trPr>
          <w:trHeight w:val="288"/>
          <w:jc w:val="center"/>
        </w:trPr>
        <w:tc>
          <w:tcPr>
            <w:tcW w:w="870" w:type="pct"/>
            <w:tcBorders>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WP</w:t>
            </w:r>
            <w:r w:rsidRPr="002D51CD">
              <w:rPr>
                <w:rFonts w:ascii="Times New Roman" w:eastAsia="Times New Roman" w:hAnsi="Times New Roman" w:cs="Times New Roman"/>
                <w:b/>
                <w:color w:val="000000"/>
                <w:vertAlign w:val="subscript"/>
                <w:lang w:eastAsia="el-GR"/>
              </w:rPr>
              <w:t>t</w:t>
            </w:r>
          </w:p>
        </w:tc>
        <w:tc>
          <w:tcPr>
            <w:tcW w:w="688" w:type="pct"/>
            <w:tcBorders>
              <w:left w:val="single" w:sz="18" w:space="0" w:color="auto"/>
              <w:bottom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0.076</w:t>
            </w:r>
          </w:p>
        </w:tc>
        <w:tc>
          <w:tcPr>
            <w:tcW w:w="971" w:type="pct"/>
            <w:tcBorders>
              <w:left w:val="single" w:sz="18" w:space="0" w:color="auto"/>
              <w:bottom w:val="single" w:sz="18" w:space="0" w:color="auto"/>
              <w:right w:val="single" w:sz="18" w:space="0" w:color="auto"/>
            </w:tcBorders>
            <w:shd w:val="clear" w:color="auto" w:fill="EAF1DD" w:themeFill="accent3" w:themeFillTint="33"/>
            <w:noWrap/>
            <w:vAlign w:val="bottom"/>
            <w:hideMark/>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(0.852)</w:t>
            </w:r>
          </w:p>
        </w:tc>
        <w:tc>
          <w:tcPr>
            <w:tcW w:w="1113" w:type="pct"/>
            <w:tcBorders>
              <w:left w:val="single" w:sz="18" w:space="0" w:color="auto"/>
              <w:bottom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0.112</w:t>
            </w:r>
          </w:p>
        </w:tc>
        <w:tc>
          <w:tcPr>
            <w:tcW w:w="1358" w:type="pct"/>
            <w:tcBorders>
              <w:left w:val="single" w:sz="18" w:space="0" w:color="auto"/>
              <w:bottom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(0.787)</w:t>
            </w:r>
          </w:p>
        </w:tc>
      </w:tr>
      <w:tr w:rsidR="002D51CD" w:rsidRPr="005D1F51" w:rsidTr="002D51CD">
        <w:trPr>
          <w:trHeight w:val="420"/>
          <w:jc w:val="center"/>
        </w:trPr>
        <w:tc>
          <w:tcPr>
            <w:tcW w:w="870"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hideMark/>
          </w:tcPr>
          <w:p w:rsidR="002D51CD" w:rsidRPr="002D51CD" w:rsidRDefault="002D51CD" w:rsidP="002D51CD">
            <w:pPr>
              <w:spacing w:after="0" w:line="360" w:lineRule="auto"/>
              <w:rPr>
                <w:rFonts w:ascii="Times New Roman" w:eastAsia="Times New Roman" w:hAnsi="Times New Roman" w:cs="Times New Roman"/>
                <w:b/>
                <w:color w:val="000000"/>
                <w:vertAlign w:val="superscript"/>
                <w:lang w:eastAsia="el-GR"/>
              </w:rPr>
            </w:pPr>
            <w:r w:rsidRPr="002D51CD">
              <w:rPr>
                <w:rFonts w:ascii="Times New Roman" w:eastAsia="Times New Roman" w:hAnsi="Times New Roman" w:cs="Times New Roman"/>
                <w:b/>
                <w:color w:val="000000"/>
                <w:lang w:eastAsia="el-GR"/>
              </w:rPr>
              <w:t>R</w:t>
            </w:r>
            <w:r w:rsidRPr="002D51CD">
              <w:rPr>
                <w:rFonts w:ascii="Times New Roman" w:eastAsia="Times New Roman" w:hAnsi="Times New Roman" w:cs="Times New Roman"/>
                <w:b/>
                <w:color w:val="000000"/>
                <w:vertAlign w:val="superscript"/>
                <w:lang w:eastAsia="el-GR"/>
              </w:rPr>
              <w:t>2</w:t>
            </w:r>
          </w:p>
        </w:tc>
        <w:tc>
          <w:tcPr>
            <w:tcW w:w="1659" w:type="pct"/>
            <w:gridSpan w:val="2"/>
            <w:tcBorders>
              <w:left w:val="single" w:sz="18" w:space="0" w:color="auto"/>
              <w:bottom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0.126</w:t>
            </w:r>
          </w:p>
        </w:tc>
        <w:tc>
          <w:tcPr>
            <w:tcW w:w="2471" w:type="pct"/>
            <w:gridSpan w:val="2"/>
            <w:tcBorders>
              <w:left w:val="single" w:sz="18" w:space="0" w:color="auto"/>
              <w:bottom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0.136</w:t>
            </w:r>
          </w:p>
        </w:tc>
      </w:tr>
      <w:tr w:rsidR="002D51CD" w:rsidRPr="005D1F51" w:rsidTr="002D51CD">
        <w:trPr>
          <w:trHeight w:val="288"/>
          <w:jc w:val="center"/>
        </w:trPr>
        <w:tc>
          <w:tcPr>
            <w:tcW w:w="5000" w:type="pct"/>
            <w:gridSpan w:val="5"/>
            <w:tcBorders>
              <w:left w:val="single" w:sz="4" w:space="0" w:color="FFFFFF" w:themeColor="background1"/>
              <w:bottom w:val="single" w:sz="18" w:space="0" w:color="FFFFFF" w:themeColor="background1"/>
              <w:right w:val="single" w:sz="4" w:space="0" w:color="FFFFFF" w:themeColor="background1"/>
            </w:tcBorders>
            <w:shd w:val="clear" w:color="auto" w:fill="FFFFFF" w:themeFill="background1"/>
            <w:noWrap/>
            <w:vAlign w:val="bottom"/>
          </w:tcPr>
          <w:p w:rsidR="002D51CD" w:rsidRDefault="002D51CD" w:rsidP="002D51CD">
            <w:pPr>
              <w:spacing w:line="360" w:lineRule="auto"/>
              <w:ind w:left="-142"/>
              <w:rPr>
                <w:rFonts w:eastAsia="Times New Roman"/>
                <w:b/>
                <w:color w:val="000000"/>
                <w:lang w:eastAsia="el-GR"/>
              </w:rPr>
            </w:pPr>
          </w:p>
        </w:tc>
      </w:tr>
      <w:tr w:rsidR="002D51CD" w:rsidRPr="005D1F51" w:rsidTr="002D51CD">
        <w:trPr>
          <w:trHeight w:val="840"/>
          <w:jc w:val="center"/>
        </w:trPr>
        <w:tc>
          <w:tcPr>
            <w:tcW w:w="5000" w:type="pct"/>
            <w:gridSpan w:val="5"/>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FFFFFF" w:themeFill="background1"/>
            <w:noWrap/>
            <w:vAlign w:val="bottom"/>
          </w:tcPr>
          <w:p w:rsidR="002D51CD" w:rsidRDefault="002D51CD" w:rsidP="002D51CD">
            <w:pPr>
              <w:spacing w:after="0" w:line="360" w:lineRule="auto"/>
              <w:jc w:val="center"/>
              <w:rPr>
                <w:rFonts w:eastAsia="Times New Roman"/>
                <w:b/>
                <w:color w:val="000000"/>
                <w:lang w:eastAsia="el-GR"/>
              </w:rPr>
            </w:pPr>
          </w:p>
          <w:p w:rsidR="002D51CD" w:rsidRDefault="002D51CD" w:rsidP="002D51CD">
            <w:pPr>
              <w:spacing w:after="0" w:line="360" w:lineRule="auto"/>
              <w:jc w:val="center"/>
              <w:rPr>
                <w:rFonts w:eastAsia="Times New Roman"/>
                <w:b/>
                <w:color w:val="000000"/>
                <w:lang w:eastAsia="el-GR"/>
              </w:rPr>
            </w:pPr>
          </w:p>
        </w:tc>
      </w:tr>
      <w:tr w:rsidR="002D51CD" w:rsidRPr="005D1F51" w:rsidTr="002D51CD">
        <w:trPr>
          <w:trHeight w:val="450"/>
          <w:jc w:val="center"/>
        </w:trPr>
        <w:tc>
          <w:tcPr>
            <w:tcW w:w="5000" w:type="pct"/>
            <w:gridSpan w:val="5"/>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FFFFFF" w:themeFill="background1"/>
            <w:noWrap/>
            <w:vAlign w:val="bottom"/>
          </w:tcPr>
          <w:p w:rsidR="002D51CD" w:rsidRPr="002D51CD" w:rsidRDefault="002D51CD" w:rsidP="002D51CD">
            <w:pPr>
              <w:spacing w:after="0" w:line="360" w:lineRule="auto"/>
              <w:jc w:val="right"/>
              <w:rPr>
                <w:rFonts w:ascii="Times New Roman" w:eastAsia="Times New Roman" w:hAnsi="Times New Roman" w:cs="Times New Roman"/>
                <w:b/>
                <w:color w:val="000000"/>
                <w:sz w:val="24"/>
                <w:szCs w:val="24"/>
                <w:lang w:eastAsia="el-GR"/>
              </w:rPr>
            </w:pPr>
            <w:r w:rsidRPr="002D51CD">
              <w:rPr>
                <w:rFonts w:ascii="Times New Roman" w:eastAsia="Times New Roman" w:hAnsi="Times New Roman" w:cs="Times New Roman"/>
                <w:b/>
                <w:color w:val="000000"/>
                <w:sz w:val="24"/>
                <w:szCs w:val="24"/>
                <w:lang w:eastAsia="el-GR"/>
              </w:rPr>
              <w:lastRenderedPageBreak/>
              <w:t>Table 10 cont.</w:t>
            </w:r>
          </w:p>
        </w:tc>
      </w:tr>
      <w:tr w:rsidR="002D51CD" w:rsidRPr="009A092A" w:rsidTr="002D51CD">
        <w:trPr>
          <w:trHeight w:val="763"/>
          <w:jc w:val="center"/>
        </w:trPr>
        <w:tc>
          <w:tcPr>
            <w:tcW w:w="5000" w:type="pct"/>
            <w:gridSpan w:val="5"/>
            <w:tcBorders>
              <w:top w:val="single" w:sz="18" w:space="0" w:color="FFFFFF" w:themeColor="background1"/>
              <w:left w:val="single" w:sz="4" w:space="0" w:color="FFFFFF" w:themeColor="background1"/>
              <w:bottom w:val="single" w:sz="18" w:space="0" w:color="auto"/>
              <w:right w:val="single" w:sz="4" w:space="0" w:color="FFFFFF" w:themeColor="background1"/>
            </w:tcBorders>
            <w:shd w:val="clear" w:color="auto" w:fill="FFFFFF" w:themeFill="background1"/>
            <w:noWrap/>
            <w:vAlign w:val="bottom"/>
          </w:tcPr>
          <w:p w:rsidR="002D51CD" w:rsidRPr="002D51CD" w:rsidRDefault="002D51CD" w:rsidP="002D51CD">
            <w:pPr>
              <w:spacing w:after="0" w:line="360" w:lineRule="auto"/>
              <w:jc w:val="center"/>
              <w:rPr>
                <w:rFonts w:ascii="Times New Roman" w:eastAsia="Times New Roman" w:hAnsi="Times New Roman" w:cs="Times New Roman"/>
                <w:b/>
                <w:color w:val="000000"/>
                <w:sz w:val="24"/>
                <w:szCs w:val="24"/>
                <w:lang w:val="en-US" w:eastAsia="el-GR"/>
              </w:rPr>
            </w:pPr>
            <w:r w:rsidRPr="002D51CD">
              <w:rPr>
                <w:rFonts w:ascii="Times New Roman" w:eastAsia="Times New Roman" w:hAnsi="Times New Roman" w:cs="Times New Roman"/>
                <w:b/>
                <w:color w:val="000000"/>
                <w:sz w:val="24"/>
                <w:szCs w:val="24"/>
                <w:lang w:val="en-US" w:eastAsia="el-GR"/>
              </w:rPr>
              <w:t>Panel B: Difference in returns of German stocks</w:t>
            </w:r>
          </w:p>
          <w:p w:rsidR="002D51CD" w:rsidRPr="002D51CD" w:rsidRDefault="002D51CD" w:rsidP="002D51CD">
            <w:pPr>
              <w:spacing w:after="0" w:line="360" w:lineRule="auto"/>
              <w:jc w:val="center"/>
              <w:rPr>
                <w:rFonts w:ascii="Times New Roman" w:eastAsia="Times New Roman" w:hAnsi="Times New Roman" w:cs="Times New Roman"/>
                <w:b/>
                <w:color w:val="000000"/>
                <w:sz w:val="24"/>
                <w:szCs w:val="24"/>
                <w:lang w:val="en-US" w:eastAsia="el-GR"/>
              </w:rPr>
            </w:pPr>
          </w:p>
        </w:tc>
      </w:tr>
      <w:tr w:rsidR="002D51CD" w:rsidRPr="009A092A" w:rsidTr="002D51CD">
        <w:trPr>
          <w:trHeight w:val="288"/>
          <w:jc w:val="center"/>
        </w:trPr>
        <w:tc>
          <w:tcPr>
            <w:tcW w:w="2529" w:type="pct"/>
            <w:gridSpan w:val="3"/>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jc w:val="center"/>
              <w:rPr>
                <w:rFonts w:ascii="Times New Roman" w:eastAsia="Times New Roman" w:hAnsi="Times New Roman" w:cs="Times New Roman"/>
                <w:color w:val="000000"/>
                <w:lang w:val="en-US" w:eastAsia="el-GR"/>
              </w:rPr>
            </w:pPr>
            <w:r w:rsidRPr="002D51CD">
              <w:rPr>
                <w:rFonts w:ascii="Times New Roman" w:eastAsia="Times New Roman" w:hAnsi="Times New Roman" w:cs="Times New Roman"/>
                <w:b/>
                <w:color w:val="000000"/>
                <w:lang w:val="en-US" w:eastAsia="el-GR"/>
              </w:rPr>
              <w:t>Before controlling for HML and MKT</w:t>
            </w:r>
          </w:p>
        </w:tc>
        <w:tc>
          <w:tcPr>
            <w:tcW w:w="2471" w:type="pct"/>
            <w:gridSpan w:val="2"/>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jc w:val="center"/>
              <w:rPr>
                <w:rFonts w:ascii="Times New Roman" w:eastAsia="Times New Roman" w:hAnsi="Times New Roman" w:cs="Times New Roman"/>
                <w:b/>
                <w:color w:val="000000"/>
                <w:lang w:val="en-US" w:eastAsia="el-GR"/>
              </w:rPr>
            </w:pPr>
            <w:r w:rsidRPr="002D51CD">
              <w:rPr>
                <w:rFonts w:ascii="Times New Roman" w:eastAsia="Times New Roman" w:hAnsi="Times New Roman" w:cs="Times New Roman"/>
                <w:b/>
                <w:color w:val="000000"/>
                <w:lang w:val="en-US" w:eastAsia="el-GR"/>
              </w:rPr>
              <w:t>After controlling for HML</w:t>
            </w:r>
            <w:r w:rsidRPr="002D51CD">
              <w:rPr>
                <w:rFonts w:ascii="Times New Roman" w:eastAsia="Times New Roman" w:hAnsi="Times New Roman" w:cs="Times New Roman"/>
                <w:b/>
                <w:color w:val="000000"/>
                <w:vertAlign w:val="subscript"/>
                <w:lang w:val="en-US" w:eastAsia="el-GR"/>
              </w:rPr>
              <w:t>t-1</w:t>
            </w:r>
            <w:r w:rsidRPr="002D51CD">
              <w:rPr>
                <w:rFonts w:ascii="Times New Roman" w:eastAsia="Times New Roman" w:hAnsi="Times New Roman" w:cs="Times New Roman"/>
                <w:b/>
                <w:color w:val="000000"/>
                <w:lang w:val="en-US" w:eastAsia="el-GR"/>
              </w:rPr>
              <w:t xml:space="preserve"> and MKT</w:t>
            </w:r>
            <w:r w:rsidRPr="002D51CD">
              <w:rPr>
                <w:rFonts w:ascii="Times New Roman" w:eastAsia="Times New Roman" w:hAnsi="Times New Roman" w:cs="Times New Roman"/>
                <w:b/>
                <w:color w:val="000000"/>
                <w:vertAlign w:val="subscript"/>
                <w:lang w:val="en-US" w:eastAsia="el-GR"/>
              </w:rPr>
              <w:t>t+1</w:t>
            </w:r>
          </w:p>
        </w:tc>
      </w:tr>
      <w:tr w:rsidR="002D51CD" w:rsidRPr="005D1F51" w:rsidTr="002D51CD">
        <w:trPr>
          <w:trHeight w:val="288"/>
          <w:jc w:val="center"/>
        </w:trPr>
        <w:tc>
          <w:tcPr>
            <w:tcW w:w="870"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color w:val="000000"/>
                <w:lang w:val="en-US" w:eastAsia="el-GR"/>
              </w:rPr>
            </w:pPr>
          </w:p>
        </w:tc>
        <w:tc>
          <w:tcPr>
            <w:tcW w:w="688"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jc w:val="center"/>
              <w:rPr>
                <w:rFonts w:ascii="Times New Roman" w:eastAsia="Times New Roman" w:hAnsi="Times New Roman" w:cs="Times New Roman"/>
                <w:b/>
                <w:color w:val="000000"/>
                <w:lang w:eastAsia="el-GR"/>
              </w:rPr>
            </w:pPr>
            <w:r w:rsidRPr="002D51CD">
              <w:rPr>
                <w:rFonts w:ascii="Times New Roman" w:eastAsia="Times New Roman" w:hAnsi="Times New Roman" w:cs="Times New Roman"/>
                <w:b/>
                <w:color w:val="000000"/>
                <w:lang w:eastAsia="el-GR"/>
              </w:rPr>
              <w:t>coef.</w:t>
            </w:r>
          </w:p>
        </w:tc>
        <w:tc>
          <w:tcPr>
            <w:tcW w:w="971" w:type="pct"/>
            <w:tcBorders>
              <w:top w:val="single" w:sz="18" w:space="0" w:color="auto"/>
              <w:left w:val="single" w:sz="18" w:space="0" w:color="auto"/>
              <w:bottom w:val="single" w:sz="18" w:space="0" w:color="auto"/>
              <w:right w:val="single" w:sz="18" w:space="0" w:color="auto"/>
            </w:tcBorders>
            <w:shd w:val="clear" w:color="auto" w:fill="B6DDE8" w:themeFill="accent5" w:themeFillTint="66"/>
            <w:vAlign w:val="bottom"/>
          </w:tcPr>
          <w:p w:rsidR="002D51CD" w:rsidRPr="002D51CD" w:rsidRDefault="002D51CD" w:rsidP="002D51CD">
            <w:pPr>
              <w:spacing w:after="0" w:line="360" w:lineRule="auto"/>
              <w:jc w:val="center"/>
              <w:rPr>
                <w:rFonts w:ascii="Times New Roman" w:eastAsia="Times New Roman" w:hAnsi="Times New Roman" w:cs="Times New Roman"/>
                <w:b/>
                <w:color w:val="000000"/>
                <w:lang w:eastAsia="el-GR"/>
              </w:rPr>
            </w:pPr>
            <w:r w:rsidRPr="002D51CD">
              <w:rPr>
                <w:rFonts w:ascii="Times New Roman" w:eastAsia="Times New Roman" w:hAnsi="Times New Roman" w:cs="Times New Roman"/>
                <w:b/>
                <w:color w:val="000000"/>
                <w:lang w:eastAsia="el-GR"/>
              </w:rPr>
              <w:t>p-value</w:t>
            </w:r>
          </w:p>
        </w:tc>
        <w:tc>
          <w:tcPr>
            <w:tcW w:w="1113"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jc w:val="center"/>
              <w:rPr>
                <w:rFonts w:ascii="Times New Roman" w:eastAsia="Times New Roman" w:hAnsi="Times New Roman" w:cs="Times New Roman"/>
                <w:b/>
                <w:color w:val="000000"/>
                <w:lang w:eastAsia="el-GR"/>
              </w:rPr>
            </w:pPr>
            <w:r w:rsidRPr="002D51CD">
              <w:rPr>
                <w:rFonts w:ascii="Times New Roman" w:eastAsia="Times New Roman" w:hAnsi="Times New Roman" w:cs="Times New Roman"/>
                <w:b/>
                <w:color w:val="000000"/>
                <w:lang w:eastAsia="el-GR"/>
              </w:rPr>
              <w:t>coef.</w:t>
            </w:r>
          </w:p>
        </w:tc>
        <w:tc>
          <w:tcPr>
            <w:tcW w:w="1358" w:type="pct"/>
            <w:tcBorders>
              <w:top w:val="single" w:sz="18" w:space="0" w:color="auto"/>
              <w:left w:val="single" w:sz="18" w:space="0" w:color="auto"/>
              <w:bottom w:val="single" w:sz="18" w:space="0" w:color="auto"/>
              <w:right w:val="single" w:sz="18" w:space="0" w:color="auto"/>
            </w:tcBorders>
            <w:shd w:val="clear" w:color="auto" w:fill="B6DDE8" w:themeFill="accent5" w:themeFillTint="66"/>
            <w:vAlign w:val="bottom"/>
          </w:tcPr>
          <w:p w:rsidR="002D51CD" w:rsidRPr="002D51CD" w:rsidRDefault="002D51CD" w:rsidP="002D51CD">
            <w:pPr>
              <w:spacing w:after="0" w:line="360" w:lineRule="auto"/>
              <w:jc w:val="center"/>
              <w:rPr>
                <w:rFonts w:ascii="Times New Roman" w:eastAsia="Times New Roman" w:hAnsi="Times New Roman" w:cs="Times New Roman"/>
                <w:b/>
                <w:color w:val="000000"/>
                <w:lang w:eastAsia="el-GR"/>
              </w:rPr>
            </w:pPr>
            <w:r w:rsidRPr="002D51CD">
              <w:rPr>
                <w:rFonts w:ascii="Times New Roman" w:eastAsia="Times New Roman" w:hAnsi="Times New Roman" w:cs="Times New Roman"/>
                <w:b/>
                <w:color w:val="000000"/>
                <w:lang w:eastAsia="el-GR"/>
              </w:rPr>
              <w:t>p-value</w:t>
            </w:r>
          </w:p>
        </w:tc>
      </w:tr>
      <w:tr w:rsidR="002D51CD" w:rsidRPr="005D1F51" w:rsidTr="002D51CD">
        <w:trPr>
          <w:trHeight w:val="288"/>
          <w:jc w:val="center"/>
        </w:trPr>
        <w:tc>
          <w:tcPr>
            <w:tcW w:w="870" w:type="pct"/>
            <w:tcBorders>
              <w:top w:val="single" w:sz="18" w:space="0" w:color="auto"/>
              <w:left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BW</w:t>
            </w:r>
            <w:r w:rsidRPr="002D51CD">
              <w:rPr>
                <w:rFonts w:ascii="Times New Roman" w:eastAsia="Times New Roman" w:hAnsi="Times New Roman" w:cs="Times New Roman"/>
                <w:b/>
                <w:color w:val="000000"/>
                <w:vertAlign w:val="subscript"/>
                <w:lang w:eastAsia="el-GR"/>
              </w:rPr>
              <w:t>t-1</w:t>
            </w:r>
          </w:p>
        </w:tc>
        <w:tc>
          <w:tcPr>
            <w:tcW w:w="688" w:type="pct"/>
            <w:tcBorders>
              <w:top w:val="single" w:sz="18" w:space="0" w:color="auto"/>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-4.823</w:t>
            </w:r>
          </w:p>
        </w:tc>
        <w:tc>
          <w:tcPr>
            <w:tcW w:w="971" w:type="pct"/>
            <w:tcBorders>
              <w:top w:val="single" w:sz="18" w:space="0" w:color="auto"/>
              <w:left w:val="single" w:sz="18" w:space="0" w:color="auto"/>
              <w:right w:val="single" w:sz="18" w:space="0" w:color="auto"/>
            </w:tcBorders>
            <w:shd w:val="clear" w:color="auto" w:fill="auto"/>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(0.005)***</w:t>
            </w:r>
          </w:p>
        </w:tc>
        <w:tc>
          <w:tcPr>
            <w:tcW w:w="1113" w:type="pct"/>
            <w:tcBorders>
              <w:top w:val="single" w:sz="18" w:space="0" w:color="auto"/>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-4.830</w:t>
            </w:r>
          </w:p>
        </w:tc>
        <w:tc>
          <w:tcPr>
            <w:tcW w:w="1358" w:type="pct"/>
            <w:tcBorders>
              <w:top w:val="single" w:sz="18" w:space="0" w:color="auto"/>
              <w:left w:val="single" w:sz="18" w:space="0" w:color="auto"/>
              <w:right w:val="single" w:sz="18" w:space="0" w:color="auto"/>
            </w:tcBorders>
            <w:shd w:val="clear" w:color="auto" w:fill="auto"/>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(0.005)***</w:t>
            </w:r>
          </w:p>
        </w:tc>
      </w:tr>
      <w:tr w:rsidR="002D51CD" w:rsidRPr="005D1F51" w:rsidTr="00673FE0">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CC</w:t>
            </w:r>
            <w:r w:rsidRPr="002D51CD">
              <w:rPr>
                <w:rFonts w:ascii="Times New Roman" w:eastAsia="Times New Roman" w:hAnsi="Times New Roman" w:cs="Times New Roman"/>
                <w:b/>
                <w:color w:val="000000"/>
                <w:vertAlign w:val="subscript"/>
                <w:lang w:eastAsia="el-GR"/>
              </w:rPr>
              <w:t>t</w:t>
            </w:r>
          </w:p>
        </w:tc>
        <w:tc>
          <w:tcPr>
            <w:tcW w:w="68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-4.878</w:t>
            </w:r>
          </w:p>
        </w:tc>
        <w:tc>
          <w:tcPr>
            <w:tcW w:w="971" w:type="pct"/>
            <w:tcBorders>
              <w:left w:val="single" w:sz="18" w:space="0" w:color="auto"/>
              <w:right w:val="single" w:sz="18" w:space="0" w:color="auto"/>
            </w:tcBorders>
            <w:shd w:val="clear" w:color="auto" w:fill="EAF1DD" w:themeFill="accent3" w:themeFillTint="33"/>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(0.042)**</w:t>
            </w:r>
          </w:p>
        </w:tc>
        <w:tc>
          <w:tcPr>
            <w:tcW w:w="1113"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-4.834</w:t>
            </w:r>
          </w:p>
        </w:tc>
        <w:tc>
          <w:tcPr>
            <w:tcW w:w="1358" w:type="pct"/>
            <w:tcBorders>
              <w:left w:val="single" w:sz="18" w:space="0" w:color="auto"/>
              <w:right w:val="single" w:sz="18" w:space="0" w:color="auto"/>
            </w:tcBorders>
            <w:shd w:val="clear" w:color="auto" w:fill="EAF1DD" w:themeFill="accent3" w:themeFillTint="33"/>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(0.055)*</w:t>
            </w:r>
          </w:p>
        </w:tc>
      </w:tr>
      <w:tr w:rsidR="002D51CD" w:rsidRPr="005D1F51" w:rsidTr="002D51CD">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ICI</w:t>
            </w:r>
            <w:r w:rsidRPr="002D51CD">
              <w:rPr>
                <w:rFonts w:ascii="Times New Roman" w:eastAsia="Times New Roman" w:hAnsi="Times New Roman" w:cs="Times New Roman"/>
                <w:b/>
                <w:color w:val="000000"/>
                <w:vertAlign w:val="subscript"/>
                <w:lang w:eastAsia="el-GR"/>
              </w:rPr>
              <w:t>t+1</w:t>
            </w:r>
          </w:p>
        </w:tc>
        <w:tc>
          <w:tcPr>
            <w:tcW w:w="688"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-10.504</w:t>
            </w:r>
          </w:p>
        </w:tc>
        <w:tc>
          <w:tcPr>
            <w:tcW w:w="971" w:type="pct"/>
            <w:tcBorders>
              <w:left w:val="single" w:sz="18" w:space="0" w:color="auto"/>
              <w:right w:val="single" w:sz="18" w:space="0" w:color="auto"/>
            </w:tcBorders>
            <w:shd w:val="clear" w:color="auto" w:fill="auto"/>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w:t>
            </w:r>
          </w:p>
        </w:tc>
        <w:tc>
          <w:tcPr>
            <w:tcW w:w="1113"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-10.485</w:t>
            </w:r>
          </w:p>
        </w:tc>
        <w:tc>
          <w:tcPr>
            <w:tcW w:w="1358" w:type="pct"/>
            <w:tcBorders>
              <w:left w:val="single" w:sz="18" w:space="0" w:color="auto"/>
              <w:right w:val="single" w:sz="18" w:space="0" w:color="auto"/>
            </w:tcBorders>
            <w:shd w:val="clear" w:color="auto" w:fill="auto"/>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w:t>
            </w:r>
          </w:p>
        </w:tc>
      </w:tr>
      <w:tr w:rsidR="002D51CD" w:rsidRPr="005D1F51" w:rsidTr="00673FE0">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ML_RAI</w:t>
            </w:r>
            <w:r w:rsidRPr="002D51CD">
              <w:rPr>
                <w:rFonts w:ascii="Times New Roman" w:eastAsia="Times New Roman" w:hAnsi="Times New Roman" w:cs="Times New Roman"/>
                <w:b/>
                <w:color w:val="000000"/>
                <w:vertAlign w:val="subscript"/>
                <w:lang w:eastAsia="el-GR"/>
              </w:rPr>
              <w:t>t-1</w:t>
            </w:r>
          </w:p>
        </w:tc>
        <w:tc>
          <w:tcPr>
            <w:tcW w:w="68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-1.322</w:t>
            </w:r>
          </w:p>
        </w:tc>
        <w:tc>
          <w:tcPr>
            <w:tcW w:w="971" w:type="pct"/>
            <w:tcBorders>
              <w:left w:val="single" w:sz="18" w:space="0" w:color="auto"/>
              <w:right w:val="single" w:sz="18" w:space="0" w:color="auto"/>
            </w:tcBorders>
            <w:shd w:val="clear" w:color="auto" w:fill="EAF1DD" w:themeFill="accent3" w:themeFillTint="33"/>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(0.596)</w:t>
            </w:r>
          </w:p>
        </w:tc>
        <w:tc>
          <w:tcPr>
            <w:tcW w:w="1113"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-1.248</w:t>
            </w:r>
          </w:p>
        </w:tc>
        <w:tc>
          <w:tcPr>
            <w:tcW w:w="1358" w:type="pct"/>
            <w:tcBorders>
              <w:left w:val="single" w:sz="18" w:space="0" w:color="auto"/>
              <w:right w:val="single" w:sz="18" w:space="0" w:color="auto"/>
            </w:tcBorders>
            <w:shd w:val="clear" w:color="auto" w:fill="EAF1DD" w:themeFill="accent3" w:themeFillTint="33"/>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(0.627)</w:t>
            </w:r>
          </w:p>
        </w:tc>
      </w:tr>
      <w:tr w:rsidR="002D51CD" w:rsidRPr="005D1F51" w:rsidTr="002D51CD">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NGRAM</w:t>
            </w:r>
            <w:r w:rsidRPr="002D51CD">
              <w:rPr>
                <w:rFonts w:ascii="Times New Roman" w:eastAsia="Times New Roman" w:hAnsi="Times New Roman" w:cs="Times New Roman"/>
                <w:b/>
                <w:color w:val="000000"/>
                <w:vertAlign w:val="subscript"/>
                <w:lang w:eastAsia="el-GR"/>
              </w:rPr>
              <w:t>t+1</w:t>
            </w:r>
          </w:p>
        </w:tc>
        <w:tc>
          <w:tcPr>
            <w:tcW w:w="688"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-1.827</w:t>
            </w:r>
          </w:p>
        </w:tc>
        <w:tc>
          <w:tcPr>
            <w:tcW w:w="971" w:type="pct"/>
            <w:tcBorders>
              <w:left w:val="single" w:sz="18" w:space="0" w:color="auto"/>
              <w:right w:val="single" w:sz="18" w:space="0" w:color="auto"/>
            </w:tcBorders>
            <w:shd w:val="clear" w:color="auto" w:fill="auto"/>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(0.134)</w:t>
            </w:r>
          </w:p>
        </w:tc>
        <w:tc>
          <w:tcPr>
            <w:tcW w:w="1113" w:type="pct"/>
            <w:tcBorders>
              <w:left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-1.878</w:t>
            </w:r>
          </w:p>
        </w:tc>
        <w:tc>
          <w:tcPr>
            <w:tcW w:w="1358" w:type="pct"/>
            <w:tcBorders>
              <w:left w:val="single" w:sz="18" w:space="0" w:color="auto"/>
              <w:right w:val="single" w:sz="18" w:space="0" w:color="auto"/>
            </w:tcBorders>
            <w:shd w:val="clear" w:color="auto" w:fill="auto"/>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(0.145)</w:t>
            </w:r>
          </w:p>
        </w:tc>
      </w:tr>
      <w:tr w:rsidR="002D51CD" w:rsidRPr="005D1F51" w:rsidTr="00673FE0">
        <w:trPr>
          <w:trHeight w:val="288"/>
          <w:jc w:val="center"/>
        </w:trPr>
        <w:tc>
          <w:tcPr>
            <w:tcW w:w="870" w:type="pct"/>
            <w:tcBorders>
              <w:left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PCR</w:t>
            </w:r>
            <w:r w:rsidRPr="002D51CD">
              <w:rPr>
                <w:rFonts w:ascii="Times New Roman" w:eastAsia="Times New Roman" w:hAnsi="Times New Roman" w:cs="Times New Roman"/>
                <w:b/>
                <w:color w:val="000000"/>
                <w:vertAlign w:val="subscript"/>
                <w:lang w:eastAsia="el-GR"/>
              </w:rPr>
              <w:t>t+1</w:t>
            </w:r>
          </w:p>
        </w:tc>
        <w:tc>
          <w:tcPr>
            <w:tcW w:w="688"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1.331</w:t>
            </w:r>
          </w:p>
        </w:tc>
        <w:tc>
          <w:tcPr>
            <w:tcW w:w="971" w:type="pct"/>
            <w:tcBorders>
              <w:left w:val="single" w:sz="18" w:space="0" w:color="auto"/>
              <w:right w:val="single" w:sz="18" w:space="0" w:color="auto"/>
            </w:tcBorders>
            <w:shd w:val="clear" w:color="auto" w:fill="EAF1DD" w:themeFill="accent3" w:themeFillTint="33"/>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w:t>
            </w:r>
          </w:p>
        </w:tc>
        <w:tc>
          <w:tcPr>
            <w:tcW w:w="1113" w:type="pct"/>
            <w:tcBorders>
              <w:left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1.386</w:t>
            </w:r>
          </w:p>
        </w:tc>
        <w:tc>
          <w:tcPr>
            <w:tcW w:w="1358" w:type="pct"/>
            <w:tcBorders>
              <w:left w:val="single" w:sz="18" w:space="0" w:color="auto"/>
              <w:right w:val="single" w:sz="18" w:space="0" w:color="auto"/>
            </w:tcBorders>
            <w:shd w:val="clear" w:color="auto" w:fill="EAF1DD" w:themeFill="accent3" w:themeFillTint="33"/>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(0.107)</w:t>
            </w:r>
          </w:p>
        </w:tc>
      </w:tr>
      <w:tr w:rsidR="002D51CD" w:rsidRPr="005D1F51" w:rsidTr="002D51CD">
        <w:trPr>
          <w:trHeight w:val="288"/>
          <w:jc w:val="center"/>
        </w:trPr>
        <w:tc>
          <w:tcPr>
            <w:tcW w:w="870" w:type="pct"/>
            <w:tcBorders>
              <w:left w:val="single" w:sz="18" w:space="0" w:color="auto"/>
              <w:bottom w:val="single" w:sz="12"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VIX</w:t>
            </w:r>
            <w:r w:rsidRPr="002D51CD">
              <w:rPr>
                <w:rFonts w:ascii="Times New Roman" w:eastAsia="Times New Roman" w:hAnsi="Times New Roman" w:cs="Times New Roman"/>
                <w:b/>
                <w:color w:val="000000"/>
                <w:vertAlign w:val="subscript"/>
                <w:lang w:eastAsia="el-GR"/>
              </w:rPr>
              <w:t>t+1</w:t>
            </w:r>
          </w:p>
        </w:tc>
        <w:tc>
          <w:tcPr>
            <w:tcW w:w="688" w:type="pct"/>
            <w:tcBorders>
              <w:left w:val="single" w:sz="18" w:space="0" w:color="auto"/>
              <w:bottom w:val="single" w:sz="12"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-13.269</w:t>
            </w:r>
          </w:p>
        </w:tc>
        <w:tc>
          <w:tcPr>
            <w:tcW w:w="971" w:type="pct"/>
            <w:tcBorders>
              <w:left w:val="single" w:sz="18" w:space="0" w:color="auto"/>
              <w:bottom w:val="single" w:sz="12" w:space="0" w:color="auto"/>
              <w:right w:val="single" w:sz="18" w:space="0" w:color="auto"/>
            </w:tcBorders>
            <w:shd w:val="clear" w:color="auto" w:fill="auto"/>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w:t>
            </w:r>
          </w:p>
        </w:tc>
        <w:tc>
          <w:tcPr>
            <w:tcW w:w="1113" w:type="pct"/>
            <w:tcBorders>
              <w:left w:val="single" w:sz="18" w:space="0" w:color="auto"/>
              <w:bottom w:val="single" w:sz="12"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-13.366</w:t>
            </w:r>
          </w:p>
        </w:tc>
        <w:tc>
          <w:tcPr>
            <w:tcW w:w="1358" w:type="pct"/>
            <w:tcBorders>
              <w:left w:val="single" w:sz="18" w:space="0" w:color="auto"/>
              <w:bottom w:val="single" w:sz="12" w:space="0" w:color="auto"/>
              <w:right w:val="single" w:sz="18" w:space="0" w:color="auto"/>
            </w:tcBorders>
            <w:shd w:val="clear" w:color="auto" w:fill="auto"/>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w:t>
            </w:r>
          </w:p>
        </w:tc>
      </w:tr>
      <w:tr w:rsidR="002D51CD" w:rsidRPr="005D1F51" w:rsidTr="00673FE0">
        <w:trPr>
          <w:trHeight w:val="288"/>
          <w:jc w:val="center"/>
        </w:trPr>
        <w:tc>
          <w:tcPr>
            <w:tcW w:w="870" w:type="pct"/>
            <w:tcBorders>
              <w:left w:val="single" w:sz="18" w:space="0" w:color="auto"/>
              <w:bottom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bscript"/>
                <w:lang w:eastAsia="el-GR"/>
              </w:rPr>
            </w:pPr>
            <w:r w:rsidRPr="002D51CD">
              <w:rPr>
                <w:rFonts w:ascii="Times New Roman" w:eastAsia="Times New Roman" w:hAnsi="Times New Roman" w:cs="Times New Roman"/>
                <w:b/>
                <w:color w:val="000000"/>
                <w:lang w:eastAsia="el-GR"/>
              </w:rPr>
              <w:t>WP</w:t>
            </w:r>
            <w:r w:rsidRPr="002D51CD">
              <w:rPr>
                <w:rFonts w:ascii="Times New Roman" w:eastAsia="Times New Roman" w:hAnsi="Times New Roman" w:cs="Times New Roman"/>
                <w:b/>
                <w:color w:val="000000"/>
                <w:vertAlign w:val="subscript"/>
                <w:lang w:eastAsia="el-GR"/>
              </w:rPr>
              <w:t>t-1</w:t>
            </w:r>
          </w:p>
        </w:tc>
        <w:tc>
          <w:tcPr>
            <w:tcW w:w="688" w:type="pct"/>
            <w:tcBorders>
              <w:left w:val="single" w:sz="18" w:space="0" w:color="auto"/>
              <w:bottom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3.138</w:t>
            </w:r>
          </w:p>
        </w:tc>
        <w:tc>
          <w:tcPr>
            <w:tcW w:w="971" w:type="pct"/>
            <w:tcBorders>
              <w:left w:val="single" w:sz="18" w:space="0" w:color="auto"/>
              <w:bottom w:val="single" w:sz="18" w:space="0" w:color="auto"/>
              <w:right w:val="single" w:sz="18" w:space="0" w:color="auto"/>
            </w:tcBorders>
            <w:shd w:val="clear" w:color="auto" w:fill="EAF1DD" w:themeFill="accent3" w:themeFillTint="33"/>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(0.034)**</w:t>
            </w:r>
          </w:p>
        </w:tc>
        <w:tc>
          <w:tcPr>
            <w:tcW w:w="1113" w:type="pct"/>
            <w:tcBorders>
              <w:left w:val="single" w:sz="18" w:space="0" w:color="auto"/>
              <w:bottom w:val="single" w:sz="18" w:space="0" w:color="auto"/>
              <w:right w:val="single" w:sz="18" w:space="0" w:color="auto"/>
            </w:tcBorders>
            <w:shd w:val="clear" w:color="auto" w:fill="EAF1DD" w:themeFill="accent3" w:themeFillTint="33"/>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3.153</w:t>
            </w:r>
          </w:p>
        </w:tc>
        <w:tc>
          <w:tcPr>
            <w:tcW w:w="1358" w:type="pct"/>
            <w:tcBorders>
              <w:left w:val="single" w:sz="18" w:space="0" w:color="auto"/>
              <w:bottom w:val="single" w:sz="18" w:space="0" w:color="auto"/>
              <w:right w:val="single" w:sz="18" w:space="0" w:color="auto"/>
            </w:tcBorders>
            <w:shd w:val="clear" w:color="auto" w:fill="EAF1DD" w:themeFill="accent3" w:themeFillTint="33"/>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(0.035)**</w:t>
            </w:r>
          </w:p>
        </w:tc>
      </w:tr>
      <w:tr w:rsidR="002D51CD" w:rsidRPr="005D1F51" w:rsidTr="002D51CD">
        <w:trPr>
          <w:trHeight w:val="301"/>
          <w:jc w:val="center"/>
        </w:trPr>
        <w:tc>
          <w:tcPr>
            <w:tcW w:w="870" w:type="pct"/>
            <w:tcBorders>
              <w:top w:val="single" w:sz="18" w:space="0" w:color="auto"/>
              <w:left w:val="single" w:sz="18" w:space="0" w:color="auto"/>
              <w:bottom w:val="single" w:sz="18" w:space="0" w:color="auto"/>
              <w:right w:val="single" w:sz="18" w:space="0" w:color="auto"/>
            </w:tcBorders>
            <w:shd w:val="clear" w:color="auto" w:fill="B6DDE8" w:themeFill="accent5" w:themeFillTint="66"/>
            <w:noWrap/>
            <w:vAlign w:val="bottom"/>
          </w:tcPr>
          <w:p w:rsidR="002D51CD" w:rsidRPr="002D51CD" w:rsidRDefault="002D51CD" w:rsidP="002D51CD">
            <w:pPr>
              <w:spacing w:after="0" w:line="360" w:lineRule="auto"/>
              <w:rPr>
                <w:rFonts w:ascii="Times New Roman" w:eastAsia="Times New Roman" w:hAnsi="Times New Roman" w:cs="Times New Roman"/>
                <w:b/>
                <w:color w:val="000000"/>
                <w:vertAlign w:val="superscript"/>
                <w:lang w:eastAsia="el-GR"/>
              </w:rPr>
            </w:pPr>
            <w:r w:rsidRPr="002D51CD">
              <w:rPr>
                <w:rFonts w:ascii="Times New Roman" w:eastAsia="Times New Roman" w:hAnsi="Times New Roman" w:cs="Times New Roman"/>
                <w:b/>
                <w:color w:val="000000"/>
                <w:lang w:eastAsia="el-GR"/>
              </w:rPr>
              <w:t>R</w:t>
            </w:r>
            <w:r w:rsidRPr="002D51CD">
              <w:rPr>
                <w:rFonts w:ascii="Times New Roman" w:eastAsia="Times New Roman" w:hAnsi="Times New Roman" w:cs="Times New Roman"/>
                <w:b/>
                <w:color w:val="000000"/>
                <w:vertAlign w:val="superscript"/>
                <w:lang w:eastAsia="el-GR"/>
              </w:rPr>
              <w:t>2</w:t>
            </w:r>
          </w:p>
        </w:tc>
        <w:tc>
          <w:tcPr>
            <w:tcW w:w="1659" w:type="pct"/>
            <w:gridSpan w:val="2"/>
            <w:tcBorders>
              <w:top w:val="single" w:sz="18" w:space="0" w:color="auto"/>
              <w:left w:val="single" w:sz="18" w:space="0" w:color="auto"/>
              <w:bottom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0.78</w:t>
            </w:r>
          </w:p>
        </w:tc>
        <w:tc>
          <w:tcPr>
            <w:tcW w:w="2471" w:type="pct"/>
            <w:gridSpan w:val="2"/>
            <w:tcBorders>
              <w:top w:val="single" w:sz="18" w:space="0" w:color="auto"/>
              <w:left w:val="single" w:sz="18" w:space="0" w:color="auto"/>
              <w:bottom w:val="single" w:sz="18" w:space="0" w:color="auto"/>
              <w:right w:val="single" w:sz="18" w:space="0" w:color="auto"/>
            </w:tcBorders>
            <w:shd w:val="clear" w:color="auto" w:fill="auto"/>
            <w:noWrap/>
            <w:vAlign w:val="bottom"/>
          </w:tcPr>
          <w:p w:rsidR="002D51CD" w:rsidRPr="002D51CD" w:rsidRDefault="002D51CD" w:rsidP="002D51CD">
            <w:pPr>
              <w:spacing w:line="360" w:lineRule="auto"/>
              <w:jc w:val="center"/>
              <w:rPr>
                <w:rFonts w:ascii="Times New Roman" w:hAnsi="Times New Roman" w:cs="Times New Roman"/>
                <w:color w:val="000000"/>
              </w:rPr>
            </w:pPr>
            <w:r w:rsidRPr="002D51CD">
              <w:rPr>
                <w:rFonts w:ascii="Times New Roman" w:hAnsi="Times New Roman" w:cs="Times New Roman"/>
                <w:color w:val="000000"/>
              </w:rPr>
              <w:t>0.779</w:t>
            </w:r>
          </w:p>
        </w:tc>
      </w:tr>
    </w:tbl>
    <w:p w:rsidR="002D51CD" w:rsidRPr="002D51CD" w:rsidRDefault="002D51CD" w:rsidP="002D51CD">
      <w:pPr>
        <w:spacing w:line="240" w:lineRule="auto"/>
        <w:ind w:left="-142"/>
        <w:rPr>
          <w:sz w:val="18"/>
          <w:szCs w:val="18"/>
          <w:lang w:val="en-US"/>
        </w:rPr>
      </w:pPr>
      <w:r w:rsidRPr="002D51CD">
        <w:rPr>
          <w:sz w:val="18"/>
          <w:szCs w:val="18"/>
          <w:lang w:val="en-US"/>
        </w:rPr>
        <w:t xml:space="preserve">    Reported values are rounded at the third decimal. (*) denotes significance at 10%, (**) at 5% and (***) at 1%.</w:t>
      </w:r>
    </w:p>
    <w:p w:rsidR="002D51CD" w:rsidRPr="002D51CD" w:rsidRDefault="002D51CD" w:rsidP="002D51CD">
      <w:pPr>
        <w:spacing w:line="360" w:lineRule="auto"/>
        <w:ind w:left="-142"/>
        <w:rPr>
          <w:sz w:val="18"/>
          <w:szCs w:val="18"/>
          <w:lang w:val="en-US"/>
        </w:rPr>
      </w:pPr>
    </w:p>
    <w:p w:rsidR="002D51CD" w:rsidRPr="002D51CD" w:rsidRDefault="002D51CD" w:rsidP="002D51CD">
      <w:pPr>
        <w:spacing w:line="360" w:lineRule="auto"/>
        <w:jc w:val="both"/>
        <w:rPr>
          <w:rFonts w:ascii="Times New Roman" w:hAnsi="Times New Roman" w:cs="Times New Roman"/>
          <w:sz w:val="24"/>
          <w:szCs w:val="24"/>
          <w:lang w:val="en-US"/>
        </w:rPr>
      </w:pPr>
      <w:r w:rsidRPr="002D51CD">
        <w:rPr>
          <w:sz w:val="20"/>
          <w:szCs w:val="20"/>
          <w:lang w:val="en-US"/>
        </w:rPr>
        <w:br/>
      </w:r>
      <w:r w:rsidRPr="002D51CD">
        <w:rPr>
          <w:rFonts w:ascii="Times New Roman" w:hAnsi="Times New Roman" w:cs="Times New Roman"/>
          <w:sz w:val="24"/>
          <w:szCs w:val="24"/>
          <w:lang w:val="en-US"/>
        </w:rPr>
        <w:t>Not surprisingly, the results indicate that the inclusion of the factors improves our model for U.S stocks (slightly higher reported R</w:t>
      </w:r>
      <w:r w:rsidRPr="002D51CD">
        <w:rPr>
          <w:rFonts w:ascii="Times New Roman" w:hAnsi="Times New Roman" w:cs="Times New Roman"/>
          <w:sz w:val="24"/>
          <w:szCs w:val="24"/>
          <w:vertAlign w:val="superscript"/>
          <w:lang w:val="en-US"/>
        </w:rPr>
        <w:t>2</w:t>
      </w:r>
      <w:r w:rsidRPr="002D51CD">
        <w:rPr>
          <w:rFonts w:ascii="Times New Roman" w:hAnsi="Times New Roman" w:cs="Times New Roman"/>
          <w:sz w:val="24"/>
          <w:szCs w:val="24"/>
          <w:lang w:val="en-US"/>
        </w:rPr>
        <w:t>) while for German stocks the reported R</w:t>
      </w:r>
      <w:r w:rsidRPr="002D51CD">
        <w:rPr>
          <w:rFonts w:ascii="Times New Roman" w:hAnsi="Times New Roman" w:cs="Times New Roman"/>
          <w:sz w:val="24"/>
          <w:szCs w:val="24"/>
          <w:vertAlign w:val="superscript"/>
          <w:lang w:val="en-US"/>
        </w:rPr>
        <w:t>2</w:t>
      </w:r>
      <w:r w:rsidRPr="002D51CD">
        <w:rPr>
          <w:rFonts w:ascii="Times New Roman" w:hAnsi="Times New Roman" w:cs="Times New Roman"/>
          <w:sz w:val="24"/>
          <w:szCs w:val="24"/>
          <w:lang w:val="en-US"/>
        </w:rPr>
        <w:t xml:space="preserve"> indicates that the two models are almost equivalent. Moreover, after controlling for the FF-factors the coefficients of 4 out of 8 indices (for U.S stocks) and 3 out of 8 (for German stocks) diminish but still the significance does not depend on controlling or not for these factors (for both countries). These results confirm Baker et al. (2012) findings. </w:t>
      </w:r>
    </w:p>
    <w:p w:rsidR="002D51CD" w:rsidRPr="002D51CD" w:rsidRDefault="002D51CD" w:rsidP="002D51CD">
      <w:pPr>
        <w:pStyle w:val="ListParagraph"/>
        <w:spacing w:line="360" w:lineRule="auto"/>
        <w:ind w:left="0"/>
        <w:jc w:val="both"/>
        <w:rPr>
          <w:lang w:val="en-US"/>
        </w:rPr>
      </w:pPr>
    </w:p>
    <w:p w:rsidR="002D51CD" w:rsidRDefault="002D51CD" w:rsidP="002D51CD">
      <w:pPr>
        <w:rPr>
          <w:b/>
          <w:sz w:val="28"/>
          <w:szCs w:val="28"/>
          <w:shd w:val="clear" w:color="auto" w:fill="FFFFFF"/>
          <w:lang w:val="en-US"/>
        </w:rPr>
      </w:pPr>
    </w:p>
    <w:p w:rsidR="002D51CD" w:rsidRDefault="002D51CD" w:rsidP="002D51CD">
      <w:pPr>
        <w:rPr>
          <w:b/>
          <w:sz w:val="28"/>
          <w:szCs w:val="28"/>
          <w:shd w:val="clear" w:color="auto" w:fill="FFFFFF"/>
          <w:lang w:val="en-US"/>
        </w:rPr>
      </w:pPr>
    </w:p>
    <w:p w:rsidR="00682A0E" w:rsidRDefault="00682A0E" w:rsidP="002D51CD">
      <w:pPr>
        <w:rPr>
          <w:rFonts w:ascii="Times New Roman" w:hAnsi="Times New Roman" w:cs="Times New Roman"/>
          <w:b/>
          <w:sz w:val="28"/>
          <w:szCs w:val="28"/>
          <w:shd w:val="clear" w:color="auto" w:fill="FFFFFF"/>
          <w:lang w:val="en-US"/>
        </w:rPr>
      </w:pPr>
    </w:p>
    <w:p w:rsidR="002D51CD" w:rsidRPr="002D51CD" w:rsidRDefault="002D51CD" w:rsidP="002D51CD">
      <w:pPr>
        <w:rPr>
          <w:rFonts w:ascii="Times New Roman" w:hAnsi="Times New Roman" w:cs="Times New Roman"/>
          <w:b/>
          <w:sz w:val="28"/>
          <w:szCs w:val="28"/>
          <w:shd w:val="clear" w:color="auto" w:fill="FFFFFF"/>
          <w:lang w:val="en-US"/>
        </w:rPr>
      </w:pPr>
      <w:r w:rsidRPr="002D51CD">
        <w:rPr>
          <w:rFonts w:ascii="Times New Roman" w:hAnsi="Times New Roman" w:cs="Times New Roman"/>
          <w:b/>
          <w:sz w:val="28"/>
          <w:szCs w:val="28"/>
          <w:shd w:val="clear" w:color="auto" w:fill="FFFFFF"/>
          <w:lang w:val="en-US"/>
        </w:rPr>
        <w:lastRenderedPageBreak/>
        <w:t>Chapter 5</w:t>
      </w:r>
    </w:p>
    <w:p w:rsidR="002D51CD" w:rsidRPr="002D51CD" w:rsidRDefault="002D51CD" w:rsidP="002D51CD">
      <w:pPr>
        <w:rPr>
          <w:rFonts w:ascii="Times New Roman" w:hAnsi="Times New Roman" w:cs="Times New Roman"/>
          <w:b/>
          <w:sz w:val="28"/>
          <w:szCs w:val="28"/>
          <w:shd w:val="clear" w:color="auto" w:fill="FFFFFF"/>
          <w:lang w:val="en-US"/>
        </w:rPr>
      </w:pPr>
    </w:p>
    <w:p w:rsidR="002D51CD" w:rsidRPr="002D51CD" w:rsidRDefault="002D51CD" w:rsidP="002D51CD">
      <w:pPr>
        <w:rPr>
          <w:rFonts w:ascii="Times New Roman" w:hAnsi="Times New Roman" w:cs="Times New Roman"/>
          <w:b/>
          <w:shd w:val="clear" w:color="auto" w:fill="FFFFFF"/>
          <w:lang w:val="en-US"/>
        </w:rPr>
      </w:pPr>
      <w:r w:rsidRPr="002D51CD">
        <w:rPr>
          <w:rFonts w:ascii="Times New Roman" w:hAnsi="Times New Roman" w:cs="Times New Roman"/>
          <w:b/>
          <w:sz w:val="28"/>
          <w:szCs w:val="28"/>
          <w:shd w:val="clear" w:color="auto" w:fill="FFFFFF"/>
          <w:lang w:val="en-US"/>
        </w:rPr>
        <w:t>Conclusion</w:t>
      </w:r>
    </w:p>
    <w:p w:rsidR="002D51CD" w:rsidRPr="002D51CD" w:rsidRDefault="002D51CD" w:rsidP="002D51CD">
      <w:pPr>
        <w:rPr>
          <w:b/>
          <w:shd w:val="clear" w:color="auto" w:fill="FFFFFF"/>
          <w:lang w:val="en-US"/>
        </w:rPr>
      </w:pPr>
    </w:p>
    <w:p w:rsidR="002D51CD" w:rsidRPr="002D51CD"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shd w:val="clear" w:color="auto" w:fill="FFFFFF"/>
          <w:lang w:val="en-US"/>
        </w:rPr>
        <w:t xml:space="preserve">We have seen that investor sentiment is a notion being used at a growing rate in finance parlance </w:t>
      </w:r>
      <w:r w:rsidRPr="002D51CD">
        <w:rPr>
          <w:rFonts w:ascii="Times New Roman" w:hAnsi="Times New Roman" w:cs="Times New Roman"/>
          <w:sz w:val="24"/>
          <w:szCs w:val="24"/>
          <w:lang w:val="en-US"/>
        </w:rPr>
        <w:t xml:space="preserve">and it has been under intensive investigation during the last decades. That resulted to the construction of numerous indices that purport to measure it. This paper has two main goals. Our first aim is to suggest, after reviewing the majority of these indices along with the rationale behind them, the fundamental characteristics that an index should share in order for it to be considered “good”. We introduce 4 key characteristics. Firstly, an index should be recognized as something “innovative” by academia and practitioners that will stimulate further research (impact). Moreover, it should generate persistent results over the passage of time (persistency). Furthermore, an index can be characterized as “good” only when it explicitly demonstrates not only the inputs and outputs that it uses but also the intuition underlying them (clear inputs and outputs and intuition behind them). Finally, an index should exhibit well documented assumptions. By that we mean that, any, assumptions should be simple and well documented so that they can be understood by everyone. </w:t>
      </w:r>
      <w:r w:rsidR="00BC5857">
        <w:rPr>
          <w:rFonts w:ascii="Times New Roman" w:hAnsi="Times New Roman" w:cs="Times New Roman"/>
          <w:sz w:val="24"/>
          <w:szCs w:val="24"/>
          <w:lang w:val="en-US"/>
        </w:rPr>
        <w:t>In this respect, the index will provide us the opportunity of</w:t>
      </w:r>
      <w:r w:rsidRPr="002D51CD">
        <w:rPr>
          <w:rFonts w:ascii="Times New Roman" w:hAnsi="Times New Roman" w:cs="Times New Roman"/>
          <w:sz w:val="24"/>
          <w:szCs w:val="24"/>
          <w:lang w:val="en-US"/>
        </w:rPr>
        <w:t xml:space="preserve"> being critical against </w:t>
      </w:r>
      <w:r w:rsidR="00BC5857">
        <w:rPr>
          <w:rFonts w:ascii="Times New Roman" w:hAnsi="Times New Roman" w:cs="Times New Roman"/>
          <w:sz w:val="24"/>
          <w:szCs w:val="24"/>
          <w:lang w:val="en-US"/>
        </w:rPr>
        <w:t>it</w:t>
      </w:r>
      <w:r w:rsidRPr="002D51CD">
        <w:rPr>
          <w:rFonts w:ascii="Times New Roman" w:hAnsi="Times New Roman" w:cs="Times New Roman"/>
          <w:sz w:val="24"/>
          <w:szCs w:val="24"/>
          <w:lang w:val="en-US"/>
        </w:rPr>
        <w:t xml:space="preserve"> which is essential for </w:t>
      </w:r>
      <w:r w:rsidR="00BC5857">
        <w:rPr>
          <w:rFonts w:ascii="Times New Roman" w:hAnsi="Times New Roman" w:cs="Times New Roman"/>
          <w:sz w:val="24"/>
          <w:szCs w:val="24"/>
          <w:lang w:val="en-US"/>
        </w:rPr>
        <w:t>its</w:t>
      </w:r>
      <w:r w:rsidRPr="002D51CD">
        <w:rPr>
          <w:rFonts w:ascii="Times New Roman" w:hAnsi="Times New Roman" w:cs="Times New Roman"/>
          <w:sz w:val="24"/>
          <w:szCs w:val="24"/>
          <w:lang w:val="en-US"/>
        </w:rPr>
        <w:t xml:space="preserve"> improvement and the development of new ones.</w:t>
      </w:r>
    </w:p>
    <w:p w:rsidR="00C92DD0" w:rsidRDefault="002D51CD" w:rsidP="002D51CD">
      <w:pPr>
        <w:spacing w:line="360" w:lineRule="auto"/>
        <w:jc w:val="both"/>
        <w:rPr>
          <w:rFonts w:ascii="Times New Roman" w:hAnsi="Times New Roman" w:cs="Times New Roman"/>
          <w:sz w:val="24"/>
          <w:szCs w:val="24"/>
          <w:lang w:val="en-US"/>
        </w:rPr>
      </w:pPr>
      <w:r w:rsidRPr="002D51CD">
        <w:rPr>
          <w:rFonts w:ascii="Times New Roman" w:hAnsi="Times New Roman" w:cs="Times New Roman"/>
          <w:sz w:val="24"/>
          <w:szCs w:val="24"/>
          <w:shd w:val="clear" w:color="auto" w:fill="FFFFFF"/>
          <w:lang w:val="en-US"/>
        </w:rPr>
        <w:t xml:space="preserve">Our second objective is to identify which </w:t>
      </w:r>
      <w:r w:rsidRPr="002D51CD">
        <w:rPr>
          <w:rFonts w:ascii="Times New Roman" w:hAnsi="Times New Roman" w:cs="Times New Roman"/>
          <w:sz w:val="24"/>
          <w:szCs w:val="24"/>
          <w:lang w:val="en-US"/>
        </w:rPr>
        <w:t>of the already existing indices perform better and for which asset classes. For the purposes of our analysis we selected, in order to be used as independent variables, an initial sample of 12 indices that measure sentiment. The determinants of the selection were the characteristics of a “good” index and data availability. Due to multicollinearity, our sample was confined to 8 indices namely the Baker and Wurgler (BW), University of Michigan Consumer Confidence Sentiment (CONCONF), State Street Investor Confidence Index (ICI), Merrill Lynch’s Risk Aversion Indicator (ML_RAI), Global Risk Appetite Monitor + (Short Run) (NGRAM), Put-Call Ratio (PCR),  VIX Index (VIX), and Westpac Risk Appetite Index (WP).</w:t>
      </w:r>
      <w:r w:rsidR="0093424A">
        <w:rPr>
          <w:rFonts w:ascii="Times New Roman" w:hAnsi="Times New Roman" w:cs="Times New Roman"/>
          <w:sz w:val="24"/>
          <w:szCs w:val="24"/>
          <w:lang w:val="en-US"/>
        </w:rPr>
        <w:t xml:space="preserve"> The indices were of different scale thus we standardize them in order to be comparable.</w:t>
      </w:r>
      <w:r w:rsidRPr="002D51CD">
        <w:rPr>
          <w:rFonts w:ascii="Times New Roman" w:hAnsi="Times New Roman" w:cs="Times New Roman"/>
          <w:sz w:val="24"/>
          <w:szCs w:val="24"/>
          <w:lang w:val="en-US"/>
        </w:rPr>
        <w:t xml:space="preserve"> As dependent variables we used several assets from different asset classes. More specifically, we used returns of commodities (gold, corn and copper), returns of different currencies to U.S Dollar (Swiss franc, Euro and Australian Dollar), yield spreads of government bonds (U.S and Germany) and finally, returns of stocks (Russell 1000, Russell 2000, </w:t>
      </w:r>
      <w:r w:rsidRPr="002D51CD">
        <w:rPr>
          <w:rFonts w:ascii="Times New Roman" w:hAnsi="Times New Roman" w:cs="Times New Roman"/>
          <w:sz w:val="24"/>
          <w:szCs w:val="24"/>
          <w:lang w:val="en-US"/>
        </w:rPr>
        <w:lastRenderedPageBreak/>
        <w:t xml:space="preserve">DAX and SDAX). The period which was selected is from 30/6/1999 to 30/8/2012 with a monthly frequency. We run time series regressions to examine the relation of the indices with the assets. One feature that needs to be highlighted is that each index is inserted in the regression formula with the proper lead, lag or contemporaneous indication. Our results indicate that for the asset class of commodities the leading Baker and Wurgler (BW) and the leading VIX Index (VIX) are the </w:t>
      </w:r>
      <w:r w:rsidR="00C92DD0">
        <w:rPr>
          <w:rFonts w:ascii="Times New Roman" w:hAnsi="Times New Roman" w:cs="Times New Roman"/>
          <w:sz w:val="24"/>
          <w:szCs w:val="24"/>
          <w:lang w:val="en-US"/>
        </w:rPr>
        <w:t>most appropriate indices to capture swings in commodities’ returns</w:t>
      </w:r>
      <w:r w:rsidRPr="002D51CD">
        <w:rPr>
          <w:rFonts w:ascii="Times New Roman" w:hAnsi="Times New Roman" w:cs="Times New Roman"/>
          <w:sz w:val="24"/>
          <w:szCs w:val="24"/>
          <w:lang w:val="en-US"/>
        </w:rPr>
        <w:t xml:space="preserve">. For the asset class of currencies, the leading Put-Call ratio (PCR) is the most suitable. Moreover, for government bonds the most appropriate index is the leading University of Michigan Consumer Confidence Sentiment (CC). Furthermore, for </w:t>
      </w:r>
      <w:r w:rsidR="00C92DD0">
        <w:rPr>
          <w:rFonts w:ascii="Times New Roman" w:hAnsi="Times New Roman" w:cs="Times New Roman"/>
          <w:sz w:val="24"/>
          <w:szCs w:val="24"/>
          <w:lang w:val="en-US"/>
        </w:rPr>
        <w:t>U.S stock returns the best indices</w:t>
      </w:r>
      <w:r w:rsidRPr="002D51CD">
        <w:rPr>
          <w:rFonts w:ascii="Times New Roman" w:hAnsi="Times New Roman" w:cs="Times New Roman"/>
          <w:sz w:val="24"/>
          <w:szCs w:val="24"/>
          <w:lang w:val="en-US"/>
        </w:rPr>
        <w:t xml:space="preserve"> for U.S </w:t>
      </w:r>
      <w:r w:rsidR="00C92DD0">
        <w:rPr>
          <w:rFonts w:ascii="Times New Roman" w:hAnsi="Times New Roman" w:cs="Times New Roman"/>
          <w:sz w:val="24"/>
          <w:szCs w:val="24"/>
          <w:lang w:val="en-US"/>
        </w:rPr>
        <w:t>are</w:t>
      </w:r>
      <w:r w:rsidRPr="002D51CD">
        <w:rPr>
          <w:rFonts w:ascii="Times New Roman" w:hAnsi="Times New Roman" w:cs="Times New Roman"/>
          <w:sz w:val="24"/>
          <w:szCs w:val="24"/>
          <w:lang w:val="en-US"/>
        </w:rPr>
        <w:t xml:space="preserve"> the Global Risk Appetite Monitor by Nomura (NGRAM)</w:t>
      </w:r>
      <w:r w:rsidR="00C92DD0">
        <w:rPr>
          <w:rFonts w:ascii="Times New Roman" w:hAnsi="Times New Roman" w:cs="Times New Roman"/>
          <w:sz w:val="24"/>
          <w:szCs w:val="24"/>
          <w:lang w:val="en-US"/>
        </w:rPr>
        <w:t xml:space="preserve"> and </w:t>
      </w:r>
      <w:r w:rsidR="00C92DD0" w:rsidRPr="00C72B87">
        <w:rPr>
          <w:rFonts w:ascii="Times New Roman" w:hAnsi="Times New Roman" w:cs="Times New Roman"/>
          <w:sz w:val="24"/>
          <w:szCs w:val="24"/>
          <w:lang w:val="en-US"/>
        </w:rPr>
        <w:t xml:space="preserve">the Westpac Risk Appetite (WP) </w:t>
      </w:r>
      <w:r w:rsidRPr="002D51CD">
        <w:rPr>
          <w:rFonts w:ascii="Times New Roman" w:hAnsi="Times New Roman" w:cs="Times New Roman"/>
          <w:sz w:val="24"/>
          <w:szCs w:val="24"/>
          <w:lang w:val="en-US"/>
        </w:rPr>
        <w:t xml:space="preserve">while for Germany the best indices are the leading University of Michigan Consumer Confidence Sentiment (CC) and the leading VIX Index (VIX). </w:t>
      </w:r>
      <w:r w:rsidR="00C92DD0">
        <w:rPr>
          <w:rFonts w:ascii="Times New Roman" w:hAnsi="Times New Roman" w:cs="Times New Roman"/>
          <w:sz w:val="24"/>
          <w:szCs w:val="24"/>
          <w:lang w:val="en-US"/>
        </w:rPr>
        <w:t xml:space="preserve">Our results for the CC contend the findings by </w:t>
      </w:r>
      <w:r w:rsidR="00C92DD0" w:rsidRPr="002D51CD">
        <w:rPr>
          <w:rFonts w:ascii="Times New Roman" w:hAnsi="Times New Roman" w:cs="Times New Roman"/>
          <w:sz w:val="24"/>
          <w:szCs w:val="24"/>
          <w:lang w:val="en-US"/>
        </w:rPr>
        <w:t>Lemmon and Portniaguina (2006)</w:t>
      </w:r>
      <w:r w:rsidR="00C92DD0">
        <w:rPr>
          <w:rFonts w:ascii="Times New Roman" w:hAnsi="Times New Roman" w:cs="Times New Roman"/>
          <w:sz w:val="24"/>
          <w:szCs w:val="24"/>
          <w:lang w:val="en-US"/>
        </w:rPr>
        <w:t xml:space="preserve"> and Zouaoui et al. (2011)</w:t>
      </w:r>
      <w:r w:rsidR="002D0647">
        <w:rPr>
          <w:rFonts w:ascii="Times New Roman" w:hAnsi="Times New Roman" w:cs="Times New Roman"/>
          <w:sz w:val="24"/>
          <w:szCs w:val="24"/>
          <w:lang w:val="en-US"/>
        </w:rPr>
        <w:t>, among others,</w:t>
      </w:r>
      <w:r w:rsidR="00C92DD0">
        <w:rPr>
          <w:rFonts w:ascii="Times New Roman" w:hAnsi="Times New Roman" w:cs="Times New Roman"/>
          <w:sz w:val="24"/>
          <w:szCs w:val="24"/>
          <w:lang w:val="en-US"/>
        </w:rPr>
        <w:t xml:space="preserve"> who reported empirical evidence </w:t>
      </w:r>
      <w:r w:rsidR="00C92DD0" w:rsidRPr="002D51CD">
        <w:rPr>
          <w:rFonts w:ascii="Times New Roman" w:hAnsi="Times New Roman" w:cs="Times New Roman"/>
          <w:sz w:val="24"/>
          <w:szCs w:val="24"/>
          <w:lang w:val="en-US"/>
        </w:rPr>
        <w:t>that University of Michigan Consumer Confidence Sentiment (CC) can forecast stock returns.</w:t>
      </w:r>
      <w:r w:rsidR="00C92DD0">
        <w:rPr>
          <w:rFonts w:ascii="Times New Roman" w:hAnsi="Times New Roman" w:cs="Times New Roman"/>
          <w:sz w:val="24"/>
          <w:szCs w:val="24"/>
          <w:lang w:val="en-US"/>
        </w:rPr>
        <w:t xml:space="preserve"> Additionally, </w:t>
      </w:r>
      <w:r w:rsidR="00CC6B4F">
        <w:rPr>
          <w:rFonts w:ascii="Times New Roman" w:hAnsi="Times New Roman" w:cs="Times New Roman"/>
          <w:sz w:val="24"/>
          <w:szCs w:val="24"/>
          <w:lang w:val="en-US"/>
        </w:rPr>
        <w:t xml:space="preserve">the outcomes regarding the other three indices –NGRAM, WP and VIX- may </w:t>
      </w:r>
      <w:r w:rsidR="00594DF5">
        <w:rPr>
          <w:rFonts w:ascii="Times New Roman" w:hAnsi="Times New Roman" w:cs="Times New Roman"/>
          <w:sz w:val="24"/>
          <w:szCs w:val="24"/>
          <w:lang w:val="en-US"/>
        </w:rPr>
        <w:t xml:space="preserve">steam </w:t>
      </w:r>
      <w:r w:rsidR="00CC6B4F">
        <w:rPr>
          <w:rFonts w:ascii="Times New Roman" w:hAnsi="Times New Roman" w:cs="Times New Roman"/>
          <w:sz w:val="24"/>
          <w:szCs w:val="24"/>
          <w:lang w:val="en-US"/>
        </w:rPr>
        <w:t>from the fact that equities are basic components for their construction.</w:t>
      </w:r>
    </w:p>
    <w:p w:rsidR="002D51CD" w:rsidRPr="002D51CD" w:rsidRDefault="002D51CD" w:rsidP="002D51CD">
      <w:pPr>
        <w:spacing w:line="360" w:lineRule="auto"/>
        <w:jc w:val="both"/>
        <w:rPr>
          <w:rFonts w:ascii="Times New Roman" w:hAnsi="Times New Roman" w:cs="Times New Roman"/>
          <w:sz w:val="24"/>
          <w:szCs w:val="24"/>
          <w:shd w:val="clear" w:color="auto" w:fill="FFFFFF"/>
          <w:lang w:val="en-US"/>
        </w:rPr>
      </w:pPr>
      <w:r w:rsidRPr="002D51CD">
        <w:rPr>
          <w:rFonts w:ascii="Times New Roman" w:hAnsi="Times New Roman" w:cs="Times New Roman"/>
          <w:sz w:val="24"/>
          <w:szCs w:val="24"/>
          <w:shd w:val="clear" w:color="auto" w:fill="FFFFFF"/>
          <w:lang w:val="en-US"/>
        </w:rPr>
        <w:t>Finally, we performed a robustness test. Since our findings supported those by Baker and Wurgler (2006, 2012), meaning that small cap stocks are more affected by sentiment than big cap, we controlled for the Fama-French factors. In line with expectation and the findings of Baker and Wurgler (2006, 2012), we conclude that after the inclusion of these factors the coefficients of sentiment decrease nonetheless the significance does not depend on controlling or not for these factors.</w:t>
      </w:r>
    </w:p>
    <w:p w:rsidR="002D51CD" w:rsidRDefault="002D51CD" w:rsidP="002D51CD">
      <w:pPr>
        <w:rPr>
          <w:b/>
          <w:lang w:val="en-US"/>
        </w:rPr>
      </w:pPr>
    </w:p>
    <w:p w:rsidR="002D51CD" w:rsidRDefault="002D51CD" w:rsidP="002D51CD">
      <w:pPr>
        <w:rPr>
          <w:b/>
          <w:lang w:val="en-US"/>
        </w:rPr>
      </w:pPr>
    </w:p>
    <w:p w:rsidR="002D51CD" w:rsidRDefault="002D51CD" w:rsidP="002D51CD">
      <w:pPr>
        <w:rPr>
          <w:b/>
          <w:lang w:val="en-US"/>
        </w:rPr>
      </w:pPr>
    </w:p>
    <w:p w:rsidR="002D51CD" w:rsidRDefault="002D51CD" w:rsidP="002D51CD">
      <w:pPr>
        <w:rPr>
          <w:b/>
          <w:lang w:val="en-US"/>
        </w:rPr>
      </w:pPr>
    </w:p>
    <w:p w:rsidR="00CC6B4F" w:rsidRDefault="00CC6B4F" w:rsidP="00682A0E">
      <w:pPr>
        <w:spacing w:line="360" w:lineRule="auto"/>
        <w:rPr>
          <w:rFonts w:ascii="Times New Roman" w:hAnsi="Times New Roman" w:cs="Times New Roman"/>
          <w:b/>
          <w:sz w:val="28"/>
          <w:szCs w:val="28"/>
          <w:lang w:val="en-US"/>
        </w:rPr>
      </w:pPr>
    </w:p>
    <w:p w:rsidR="00CC6B4F" w:rsidRDefault="00CC6B4F" w:rsidP="00682A0E">
      <w:pPr>
        <w:spacing w:line="360" w:lineRule="auto"/>
        <w:rPr>
          <w:rFonts w:ascii="Times New Roman" w:hAnsi="Times New Roman" w:cs="Times New Roman"/>
          <w:b/>
          <w:sz w:val="28"/>
          <w:szCs w:val="28"/>
          <w:lang w:val="en-US"/>
        </w:rPr>
      </w:pPr>
    </w:p>
    <w:p w:rsidR="00CC6B4F" w:rsidRDefault="00CC6B4F" w:rsidP="00682A0E">
      <w:pPr>
        <w:spacing w:line="360" w:lineRule="auto"/>
        <w:rPr>
          <w:rFonts w:ascii="Times New Roman" w:hAnsi="Times New Roman" w:cs="Times New Roman"/>
          <w:b/>
          <w:sz w:val="28"/>
          <w:szCs w:val="28"/>
          <w:lang w:val="en-US"/>
        </w:rPr>
      </w:pPr>
    </w:p>
    <w:p w:rsidR="00D167A3" w:rsidRDefault="00D167A3" w:rsidP="00682A0E">
      <w:pPr>
        <w:spacing w:line="360" w:lineRule="auto"/>
        <w:rPr>
          <w:rFonts w:ascii="Times New Roman" w:hAnsi="Times New Roman" w:cs="Times New Roman"/>
          <w:b/>
          <w:sz w:val="28"/>
          <w:szCs w:val="28"/>
          <w:lang w:val="en-US"/>
        </w:rPr>
      </w:pPr>
    </w:p>
    <w:p w:rsidR="00682A0E" w:rsidRPr="00682A0E" w:rsidRDefault="00682A0E" w:rsidP="00682A0E">
      <w:pPr>
        <w:spacing w:line="360" w:lineRule="auto"/>
        <w:rPr>
          <w:rFonts w:ascii="Times New Roman" w:hAnsi="Times New Roman" w:cs="Times New Roman"/>
          <w:b/>
          <w:sz w:val="28"/>
          <w:szCs w:val="28"/>
          <w:lang w:val="en-US"/>
        </w:rPr>
      </w:pPr>
      <w:r w:rsidRPr="00682A0E">
        <w:rPr>
          <w:rFonts w:ascii="Times New Roman" w:hAnsi="Times New Roman" w:cs="Times New Roman"/>
          <w:b/>
          <w:sz w:val="28"/>
          <w:szCs w:val="28"/>
          <w:lang w:val="en-US"/>
        </w:rPr>
        <w:lastRenderedPageBreak/>
        <w:t>Chapter 6</w:t>
      </w:r>
    </w:p>
    <w:p w:rsidR="00682A0E" w:rsidRPr="00682A0E" w:rsidRDefault="00682A0E" w:rsidP="00682A0E">
      <w:pPr>
        <w:spacing w:line="360" w:lineRule="auto"/>
        <w:rPr>
          <w:rFonts w:ascii="Times New Roman" w:hAnsi="Times New Roman" w:cs="Times New Roman"/>
          <w:b/>
          <w:sz w:val="28"/>
          <w:szCs w:val="28"/>
          <w:lang w:val="en-US"/>
        </w:rPr>
      </w:pPr>
    </w:p>
    <w:p w:rsidR="00682A0E" w:rsidRPr="00682A0E" w:rsidRDefault="00682A0E" w:rsidP="00682A0E">
      <w:pPr>
        <w:spacing w:line="360" w:lineRule="auto"/>
        <w:rPr>
          <w:rFonts w:ascii="Times New Roman" w:hAnsi="Times New Roman" w:cs="Times New Roman"/>
          <w:b/>
          <w:sz w:val="28"/>
          <w:szCs w:val="28"/>
          <w:lang w:val="en-US"/>
        </w:rPr>
      </w:pPr>
      <w:r w:rsidRPr="00682A0E">
        <w:rPr>
          <w:rFonts w:ascii="Times New Roman" w:hAnsi="Times New Roman" w:cs="Times New Roman"/>
          <w:b/>
          <w:sz w:val="28"/>
          <w:szCs w:val="28"/>
          <w:lang w:val="en-US"/>
        </w:rPr>
        <w:t>Implications – Limitations – Future research</w:t>
      </w:r>
    </w:p>
    <w:p w:rsidR="00682A0E" w:rsidRPr="00682A0E" w:rsidRDefault="00682A0E" w:rsidP="00682A0E">
      <w:pPr>
        <w:autoSpaceDE w:val="0"/>
        <w:autoSpaceDN w:val="0"/>
        <w:adjustRightInd w:val="0"/>
        <w:spacing w:after="0" w:line="360" w:lineRule="auto"/>
        <w:jc w:val="both"/>
        <w:rPr>
          <w:lang w:val="en-US"/>
        </w:rPr>
      </w:pPr>
    </w:p>
    <w:p w:rsidR="00682A0E" w:rsidRPr="00682A0E" w:rsidRDefault="00682A0E" w:rsidP="00682A0E">
      <w:pPr>
        <w:autoSpaceDE w:val="0"/>
        <w:autoSpaceDN w:val="0"/>
        <w:adjustRightInd w:val="0"/>
        <w:spacing w:after="0" w:line="360" w:lineRule="auto"/>
        <w:jc w:val="both"/>
        <w:rPr>
          <w:rFonts w:ascii="Times New Roman" w:hAnsi="Times New Roman" w:cs="Times New Roman"/>
          <w:sz w:val="24"/>
          <w:szCs w:val="24"/>
          <w:lang w:val="en-US"/>
        </w:rPr>
      </w:pPr>
      <w:r w:rsidRPr="00682A0E">
        <w:rPr>
          <w:rFonts w:ascii="Times New Roman" w:hAnsi="Times New Roman" w:cs="Times New Roman"/>
          <w:sz w:val="24"/>
          <w:szCs w:val="24"/>
          <w:lang w:val="en-US"/>
        </w:rPr>
        <w:t>This final chapter is divided in three parts. In the first part, we state the implications of our research. The implication is twofold. Firstly, we argue concerning the implications from an academic perspective and next from a more practical one. In the second part, we present some limitations that our study may suffer from and in the third one we provide suggestions for future research.</w:t>
      </w:r>
    </w:p>
    <w:p w:rsidR="00682A0E" w:rsidRPr="00682A0E" w:rsidRDefault="00682A0E" w:rsidP="00682A0E">
      <w:pPr>
        <w:autoSpaceDE w:val="0"/>
        <w:autoSpaceDN w:val="0"/>
        <w:adjustRightInd w:val="0"/>
        <w:spacing w:after="0" w:line="360" w:lineRule="auto"/>
        <w:jc w:val="both"/>
        <w:rPr>
          <w:lang w:val="en-US"/>
        </w:rPr>
      </w:pPr>
      <w:r w:rsidRPr="00682A0E">
        <w:rPr>
          <w:lang w:val="en-US"/>
        </w:rPr>
        <w:t xml:space="preserve"> </w:t>
      </w:r>
    </w:p>
    <w:p w:rsidR="00682A0E" w:rsidRPr="00682A0E" w:rsidRDefault="00065B3D" w:rsidP="00682A0E">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6</w:t>
      </w:r>
      <w:r w:rsidR="00682A0E" w:rsidRPr="00682A0E">
        <w:rPr>
          <w:rFonts w:ascii="Times New Roman" w:hAnsi="Times New Roman" w:cs="Times New Roman"/>
          <w:b/>
          <w:sz w:val="24"/>
          <w:szCs w:val="24"/>
          <w:lang w:val="en-US"/>
        </w:rPr>
        <w:t>.1 Implications</w:t>
      </w:r>
    </w:p>
    <w:p w:rsidR="00682A0E" w:rsidRPr="00682A0E" w:rsidRDefault="00682A0E" w:rsidP="00682A0E">
      <w:pPr>
        <w:spacing w:line="360" w:lineRule="auto"/>
        <w:jc w:val="both"/>
        <w:rPr>
          <w:rFonts w:ascii="Times New Roman" w:hAnsi="Times New Roman" w:cs="Times New Roman"/>
          <w:sz w:val="24"/>
          <w:szCs w:val="24"/>
          <w:lang w:val="en-US"/>
        </w:rPr>
      </w:pPr>
      <w:r w:rsidRPr="00682A0E">
        <w:rPr>
          <w:rFonts w:ascii="Times New Roman" w:hAnsi="Times New Roman" w:cs="Times New Roman"/>
          <w:sz w:val="24"/>
          <w:szCs w:val="24"/>
          <w:lang w:val="en-US"/>
        </w:rPr>
        <w:t xml:space="preserve">The aim of this dissertation is to present empirical evidence regarding which of the already existing indices perform better and for which asset classes. We have already seen that literature exists examining the way that sentiment affects stock returns. Moreover, studies exist that relate sentiment with other asset classes which concentrate more on whether specific assets exhibit a safe haven character. Nevertheless, studies that relate sentiment with various asset classes and compare them simultaneously do not exist, at least to our knowledge. With this dissertation, we fill in this gap in the literature.  </w:t>
      </w:r>
    </w:p>
    <w:p w:rsidR="00682A0E" w:rsidRPr="00682A0E" w:rsidRDefault="00682A0E" w:rsidP="00682A0E">
      <w:pPr>
        <w:spacing w:line="360" w:lineRule="auto"/>
        <w:jc w:val="both"/>
        <w:rPr>
          <w:rFonts w:ascii="Times New Roman" w:hAnsi="Times New Roman" w:cs="Times New Roman"/>
          <w:sz w:val="24"/>
          <w:szCs w:val="24"/>
          <w:lang w:val="en-US"/>
        </w:rPr>
      </w:pPr>
      <w:r w:rsidRPr="00682A0E">
        <w:rPr>
          <w:rFonts w:ascii="Times New Roman" w:hAnsi="Times New Roman" w:cs="Times New Roman"/>
          <w:sz w:val="24"/>
          <w:szCs w:val="24"/>
          <w:lang w:val="en-US"/>
        </w:rPr>
        <w:t xml:space="preserve">Nonetheless, we should state that these results could also apply in practice since the merits of gauging investor sentiment are numerous. First of all, these results could be used by policymakers. The way this dissertation is organized and the empirical evidence we present lead to a more profound understanding of investor sentiment, in general, as well as a deeper </w:t>
      </w:r>
      <w:r w:rsidR="00F24EE8" w:rsidRPr="00F24EE8">
        <w:rPr>
          <w:rFonts w:ascii="Times New Roman" w:hAnsi="Times New Roman" w:cs="Times New Roman"/>
          <w:sz w:val="24"/>
          <w:szCs w:val="24"/>
          <w:lang w:val="en-US"/>
        </w:rPr>
        <w:t>comprehension</w:t>
      </w:r>
      <w:r w:rsidRPr="00682A0E">
        <w:rPr>
          <w:rFonts w:ascii="Times New Roman" w:hAnsi="Times New Roman" w:cs="Times New Roman"/>
          <w:sz w:val="24"/>
          <w:szCs w:val="24"/>
          <w:lang w:val="en-US"/>
        </w:rPr>
        <w:t xml:space="preserve"> regarding the indices that exist and their appropriateness for each asset class. Given that investors’ sentiment has been identified as an important element for assessing the stability of the financial markets (Illing and Aaron, 2005; Uhlenbrock, 2009), this study could help policymakers to improve their monitoring in the markets which indeed is their key objective.  </w:t>
      </w:r>
    </w:p>
    <w:p w:rsidR="00682A0E" w:rsidRPr="00682A0E" w:rsidRDefault="00682A0E" w:rsidP="00682A0E">
      <w:pPr>
        <w:pStyle w:val="ListParagraph"/>
        <w:spacing w:line="360" w:lineRule="auto"/>
        <w:ind w:left="0"/>
        <w:jc w:val="both"/>
        <w:rPr>
          <w:rFonts w:ascii="Times New Roman" w:hAnsi="Times New Roman" w:cs="Times New Roman"/>
          <w:sz w:val="24"/>
          <w:szCs w:val="24"/>
          <w:lang w:val="en-US"/>
        </w:rPr>
      </w:pPr>
      <w:r w:rsidRPr="00682A0E">
        <w:rPr>
          <w:rFonts w:ascii="Times New Roman" w:hAnsi="Times New Roman" w:cs="Times New Roman"/>
          <w:sz w:val="24"/>
          <w:szCs w:val="24"/>
          <w:lang w:val="en-US"/>
        </w:rPr>
        <w:t xml:space="preserve">Furthermore, we have seen that some financial institutions have constructed their own indices of risk appetite or risk aversion and others adopted indices that were based on a theoretic model. For example, in the first category we can identify the UBS’s Investor Sentiment Index (UBS), </w:t>
      </w:r>
      <w:r w:rsidRPr="00682A0E">
        <w:rPr>
          <w:rFonts w:ascii="Times New Roman" w:hAnsi="Times New Roman" w:cs="Times New Roman"/>
          <w:sz w:val="24"/>
          <w:szCs w:val="24"/>
          <w:lang w:val="en-US"/>
        </w:rPr>
        <w:lastRenderedPageBreak/>
        <w:t xml:space="preserve">the Merrill Lynch’s Financial Stress Index (ML), and the Westpac Risk Appetite Index (WP) among others while in the second category we have the Kumar and Persaud Global Risk-Appetite Index (2002) which was later adopted by both the International Monetary Fund (IMF) and J.P. Morgan. This practice on behalf of these institutions is far from accidental. </w:t>
      </w:r>
      <w:proofErr w:type="gramStart"/>
      <w:r w:rsidRPr="00682A0E">
        <w:rPr>
          <w:rFonts w:ascii="Times New Roman" w:hAnsi="Times New Roman" w:cs="Times New Roman"/>
          <w:sz w:val="24"/>
          <w:szCs w:val="24"/>
          <w:lang w:val="en-US"/>
        </w:rPr>
        <w:t>Institutions,</w:t>
      </w:r>
      <w:proofErr w:type="gramEnd"/>
      <w:r w:rsidRPr="00682A0E">
        <w:rPr>
          <w:rFonts w:ascii="Times New Roman" w:hAnsi="Times New Roman" w:cs="Times New Roman"/>
          <w:sz w:val="24"/>
          <w:szCs w:val="24"/>
          <w:lang w:val="en-US"/>
        </w:rPr>
        <w:t xml:space="preserve"> and corporations in general, derive benefits from effectively gauging risk appetite in two levels. At a first level, timed and proper articulation of risk appetite enables them to clarify on the risks that the organization is facing and to better address them to stakeholders (R. Barfield: Director, Valuation &amp; Strategy in PriceWaterhouseCoopers UK). Moreover, the institutions can engage in a more efficacious risk management strategy. In this sense, they can better diversify their portfolios hence increasing their earnings. The latter, of course, applies for individual investors as well.  </w:t>
      </w:r>
    </w:p>
    <w:p w:rsidR="00682A0E" w:rsidRPr="00682A0E" w:rsidRDefault="00682A0E" w:rsidP="00682A0E">
      <w:pPr>
        <w:pStyle w:val="ListParagraph"/>
        <w:spacing w:line="360" w:lineRule="auto"/>
        <w:ind w:left="0"/>
        <w:jc w:val="both"/>
        <w:rPr>
          <w:rFonts w:ascii="Times New Roman" w:hAnsi="Times New Roman" w:cs="Times New Roman"/>
          <w:sz w:val="24"/>
          <w:szCs w:val="24"/>
          <w:lang w:val="en-US"/>
        </w:rPr>
      </w:pPr>
    </w:p>
    <w:p w:rsidR="00682A0E" w:rsidRPr="00682A0E" w:rsidRDefault="00065B3D" w:rsidP="00682A0E">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00682A0E" w:rsidRPr="00682A0E">
        <w:rPr>
          <w:rFonts w:ascii="Times New Roman" w:hAnsi="Times New Roman" w:cs="Times New Roman"/>
          <w:b/>
          <w:sz w:val="24"/>
          <w:szCs w:val="24"/>
          <w:lang w:val="en-US"/>
        </w:rPr>
        <w:t>.2 Limitations</w:t>
      </w:r>
    </w:p>
    <w:p w:rsidR="00682A0E" w:rsidRPr="00682A0E" w:rsidRDefault="00682A0E" w:rsidP="00682A0E">
      <w:pPr>
        <w:autoSpaceDE w:val="0"/>
        <w:autoSpaceDN w:val="0"/>
        <w:adjustRightInd w:val="0"/>
        <w:spacing w:after="0" w:line="360" w:lineRule="auto"/>
        <w:jc w:val="both"/>
        <w:rPr>
          <w:rFonts w:ascii="Times New Roman" w:hAnsi="Times New Roman" w:cs="Times New Roman"/>
          <w:b/>
          <w:sz w:val="24"/>
          <w:szCs w:val="24"/>
          <w:lang w:val="en-US"/>
        </w:rPr>
      </w:pPr>
    </w:p>
    <w:p w:rsidR="00682A0E" w:rsidRPr="00682A0E" w:rsidRDefault="00682A0E" w:rsidP="00682A0E">
      <w:pPr>
        <w:autoSpaceDE w:val="0"/>
        <w:autoSpaceDN w:val="0"/>
        <w:adjustRightInd w:val="0"/>
        <w:spacing w:after="0" w:line="360" w:lineRule="auto"/>
        <w:jc w:val="both"/>
        <w:rPr>
          <w:rFonts w:ascii="Times New Roman" w:hAnsi="Times New Roman" w:cs="Times New Roman"/>
          <w:sz w:val="24"/>
          <w:szCs w:val="24"/>
          <w:lang w:val="en-US"/>
        </w:rPr>
      </w:pPr>
      <w:r w:rsidRPr="00682A0E">
        <w:rPr>
          <w:rFonts w:ascii="Times New Roman" w:hAnsi="Times New Roman" w:cs="Times New Roman"/>
          <w:sz w:val="24"/>
          <w:szCs w:val="24"/>
          <w:lang w:val="en-US"/>
        </w:rPr>
        <w:t xml:space="preserve">This subsection displays some limitations that our research may suffer from. First of all, we discussed the intuition concerning our selected indices. We described the criteria based on which the selection was made. Those were the characteristics of a “good” index and data availability. We selected indices that were available in accessible, to us, databases. That may be a potential source of bias. If we included other indices perhaps our results would be different. For instance, the index constructed by Kumar and Persaud (2002) was not available to us thus stayed out of the scope of our research. </w:t>
      </w:r>
    </w:p>
    <w:p w:rsidR="00682A0E" w:rsidRPr="00682A0E" w:rsidRDefault="00682A0E" w:rsidP="00682A0E">
      <w:pPr>
        <w:autoSpaceDE w:val="0"/>
        <w:autoSpaceDN w:val="0"/>
        <w:adjustRightInd w:val="0"/>
        <w:spacing w:after="0" w:line="240" w:lineRule="auto"/>
        <w:jc w:val="both"/>
        <w:rPr>
          <w:rFonts w:ascii="Times New Roman" w:hAnsi="Times New Roman" w:cs="Times New Roman"/>
          <w:sz w:val="24"/>
          <w:szCs w:val="24"/>
          <w:lang w:val="en-US"/>
        </w:rPr>
      </w:pPr>
    </w:p>
    <w:p w:rsidR="00682A0E" w:rsidRPr="00682A0E" w:rsidRDefault="00682A0E" w:rsidP="00682A0E">
      <w:pPr>
        <w:autoSpaceDE w:val="0"/>
        <w:autoSpaceDN w:val="0"/>
        <w:adjustRightInd w:val="0"/>
        <w:spacing w:after="0" w:line="360" w:lineRule="auto"/>
        <w:jc w:val="both"/>
        <w:rPr>
          <w:rFonts w:ascii="Times New Roman" w:hAnsi="Times New Roman" w:cs="Times New Roman"/>
          <w:sz w:val="24"/>
          <w:szCs w:val="24"/>
          <w:lang w:val="en-US"/>
        </w:rPr>
      </w:pPr>
      <w:r w:rsidRPr="00682A0E">
        <w:rPr>
          <w:rFonts w:ascii="Times New Roman" w:hAnsi="Times New Roman" w:cs="Times New Roman"/>
          <w:sz w:val="24"/>
          <w:szCs w:val="24"/>
          <w:lang w:val="en-US"/>
        </w:rPr>
        <w:t>Furthermore, another potential source of noise in our results could be the selected period. Our period covers almost 13 years of data from mid-</w:t>
      </w:r>
      <w:r w:rsidR="00393099">
        <w:rPr>
          <w:rFonts w:ascii="Times New Roman" w:hAnsi="Times New Roman" w:cs="Times New Roman"/>
          <w:sz w:val="24"/>
          <w:szCs w:val="24"/>
          <w:lang w:val="en-US"/>
        </w:rPr>
        <w:t>1999</w:t>
      </w:r>
      <w:r w:rsidRPr="00682A0E">
        <w:rPr>
          <w:rFonts w:ascii="Times New Roman" w:hAnsi="Times New Roman" w:cs="Times New Roman"/>
          <w:sz w:val="24"/>
          <w:szCs w:val="24"/>
          <w:lang w:val="en-US"/>
        </w:rPr>
        <w:t xml:space="preserve"> until mid-2012. During the last 6 years though, markets are being dominated by a main subject; Greece’s sovereign debt and Europe’s financial crisis in general. Every day, investors are overwhelmed by news regarding the fiscal problems that Greece is facing, its potential exit from the Euro (€) and many more. This could generate noise to the results of quantitative models and distort our empirical results. This is supported by Mohamed A. El-</w:t>
      </w:r>
      <w:proofErr w:type="spellStart"/>
      <w:r w:rsidRPr="00682A0E">
        <w:rPr>
          <w:rFonts w:ascii="Times New Roman" w:hAnsi="Times New Roman" w:cs="Times New Roman"/>
          <w:sz w:val="24"/>
          <w:szCs w:val="24"/>
          <w:lang w:val="en-US"/>
        </w:rPr>
        <w:t>Erian</w:t>
      </w:r>
      <w:proofErr w:type="spellEnd"/>
      <w:r w:rsidRPr="00682A0E">
        <w:rPr>
          <w:rFonts w:ascii="Times New Roman" w:hAnsi="Times New Roman" w:cs="Times New Roman"/>
          <w:sz w:val="24"/>
          <w:szCs w:val="24"/>
          <w:lang w:val="en-US"/>
        </w:rPr>
        <w:t xml:space="preserve">, the chief executive of </w:t>
      </w:r>
      <w:hyperlink r:id="rId16" w:tooltip="Pimco’s Web site." w:history="1">
        <w:proofErr w:type="spellStart"/>
        <w:r w:rsidRPr="00682A0E">
          <w:rPr>
            <w:rFonts w:ascii="Times New Roman" w:hAnsi="Times New Roman" w:cs="Times New Roman"/>
            <w:sz w:val="24"/>
            <w:szCs w:val="24"/>
            <w:lang w:val="en-US"/>
          </w:rPr>
          <w:t>Pimco</w:t>
        </w:r>
        <w:proofErr w:type="spellEnd"/>
      </w:hyperlink>
      <w:r w:rsidRPr="00682A0E">
        <w:rPr>
          <w:rFonts w:ascii="Times New Roman" w:hAnsi="Times New Roman" w:cs="Times New Roman"/>
          <w:sz w:val="24"/>
          <w:szCs w:val="24"/>
          <w:lang w:val="en-US"/>
        </w:rPr>
        <w:t xml:space="preserve">, the world’s largest bond manager, who said that </w:t>
      </w:r>
      <w:r w:rsidRPr="00682A0E">
        <w:rPr>
          <w:rFonts w:ascii="Times New Roman" w:hAnsi="Times New Roman" w:cs="Times New Roman"/>
          <w:i/>
          <w:sz w:val="24"/>
          <w:szCs w:val="24"/>
          <w:lang w:val="en-US"/>
        </w:rPr>
        <w:t xml:space="preserve">"We are living in very unusual times” </w:t>
      </w:r>
      <w:r w:rsidRPr="00682A0E">
        <w:rPr>
          <w:rFonts w:ascii="Times New Roman" w:hAnsi="Times New Roman" w:cs="Times New Roman"/>
          <w:sz w:val="24"/>
          <w:szCs w:val="24"/>
          <w:lang w:val="en-US"/>
        </w:rPr>
        <w:t>(The New York Times, 12 May, 2012).</w:t>
      </w:r>
    </w:p>
    <w:p w:rsidR="00682A0E" w:rsidRPr="00682A0E" w:rsidRDefault="00682A0E" w:rsidP="00682A0E">
      <w:pPr>
        <w:autoSpaceDE w:val="0"/>
        <w:autoSpaceDN w:val="0"/>
        <w:adjustRightInd w:val="0"/>
        <w:spacing w:after="0" w:line="240" w:lineRule="auto"/>
        <w:jc w:val="both"/>
        <w:rPr>
          <w:rFonts w:ascii="Times New Roman" w:hAnsi="Times New Roman" w:cs="Times New Roman"/>
          <w:sz w:val="24"/>
          <w:szCs w:val="24"/>
          <w:lang w:val="en-US"/>
        </w:rPr>
      </w:pPr>
    </w:p>
    <w:p w:rsidR="00682A0E" w:rsidRPr="00682A0E" w:rsidRDefault="00682A0E" w:rsidP="00682A0E">
      <w:pPr>
        <w:autoSpaceDE w:val="0"/>
        <w:autoSpaceDN w:val="0"/>
        <w:adjustRightInd w:val="0"/>
        <w:spacing w:after="0" w:line="360" w:lineRule="auto"/>
        <w:jc w:val="both"/>
        <w:rPr>
          <w:rFonts w:ascii="Times New Roman" w:hAnsi="Times New Roman" w:cs="Times New Roman"/>
          <w:color w:val="282828"/>
          <w:sz w:val="24"/>
          <w:szCs w:val="24"/>
          <w:shd w:val="clear" w:color="auto" w:fill="FFFFFF"/>
          <w:lang w:val="en-US"/>
        </w:rPr>
      </w:pPr>
      <w:r w:rsidRPr="00682A0E">
        <w:rPr>
          <w:rFonts w:ascii="Times New Roman" w:hAnsi="Times New Roman" w:cs="Times New Roman"/>
          <w:sz w:val="24"/>
          <w:szCs w:val="24"/>
          <w:lang w:val="en-US"/>
        </w:rPr>
        <w:t xml:space="preserve">Last but not least, we have to highlight a feature regarding the safe haven character of assets. In our analysis we used this notion and interpret some of the results based on that. However, the </w:t>
      </w:r>
      <w:r w:rsidRPr="00682A0E">
        <w:rPr>
          <w:rFonts w:ascii="Times New Roman" w:hAnsi="Times New Roman" w:cs="Times New Roman"/>
          <w:sz w:val="24"/>
          <w:szCs w:val="24"/>
          <w:lang w:val="en-US"/>
        </w:rPr>
        <w:lastRenderedPageBreak/>
        <w:t xml:space="preserve">characterization of an asset as safe or safe haven is not a static process but rather a dynamic one. Investors should always thoroughly monitor the market trends and update their views accordingly. A peculiar example is the Swiss franc that was considered as a safe haven asset but nowadays it is regarded as a non-safe haven. Finally, we should bear in mind that although the demand for safe assets is increasing, especially nowadays with the ongoing turbulence, the “safe asset category” is </w:t>
      </w:r>
      <w:r w:rsidRPr="00682A0E">
        <w:rPr>
          <w:rFonts w:ascii="Times New Roman" w:hAnsi="Times New Roman" w:cs="Times New Roman"/>
          <w:color w:val="282828"/>
          <w:sz w:val="24"/>
          <w:szCs w:val="24"/>
          <w:shd w:val="clear" w:color="auto" w:fill="FFFFFF"/>
          <w:lang w:val="en-US"/>
        </w:rPr>
        <w:t>shrinking (The Telegraph, 11 April, 2012</w:t>
      </w:r>
      <w:r w:rsidRPr="00682A0E">
        <w:rPr>
          <w:rStyle w:val="FootnoteReference"/>
          <w:rFonts w:ascii="Times New Roman" w:hAnsi="Times New Roman" w:cs="Times New Roman"/>
          <w:color w:val="282828"/>
          <w:sz w:val="24"/>
          <w:szCs w:val="24"/>
          <w:shd w:val="clear" w:color="auto" w:fill="FFFFFF"/>
        </w:rPr>
        <w:footnoteReference w:id="31"/>
      </w:r>
      <w:r w:rsidRPr="00682A0E">
        <w:rPr>
          <w:rFonts w:ascii="Times New Roman" w:hAnsi="Times New Roman" w:cs="Times New Roman"/>
          <w:color w:val="282828"/>
          <w:sz w:val="24"/>
          <w:szCs w:val="24"/>
          <w:shd w:val="clear" w:color="auto" w:fill="FFFFFF"/>
          <w:lang w:val="en-US"/>
        </w:rPr>
        <w:t>).</w:t>
      </w:r>
    </w:p>
    <w:p w:rsidR="00682A0E" w:rsidRPr="00682A0E" w:rsidRDefault="00682A0E" w:rsidP="00682A0E">
      <w:pPr>
        <w:autoSpaceDE w:val="0"/>
        <w:autoSpaceDN w:val="0"/>
        <w:adjustRightInd w:val="0"/>
        <w:spacing w:after="0" w:line="360" w:lineRule="auto"/>
        <w:jc w:val="both"/>
        <w:rPr>
          <w:rFonts w:ascii="Times New Roman" w:hAnsi="Times New Roman" w:cs="Times New Roman"/>
          <w:color w:val="282828"/>
          <w:sz w:val="24"/>
          <w:szCs w:val="24"/>
          <w:shd w:val="clear" w:color="auto" w:fill="FFFFFF"/>
          <w:lang w:val="en-US"/>
        </w:rPr>
      </w:pPr>
    </w:p>
    <w:p w:rsidR="00682A0E" w:rsidRPr="00AF45E6" w:rsidRDefault="00065B3D" w:rsidP="00682A0E">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00682A0E" w:rsidRPr="00AF45E6">
        <w:rPr>
          <w:rFonts w:ascii="Times New Roman" w:hAnsi="Times New Roman" w:cs="Times New Roman"/>
          <w:b/>
          <w:sz w:val="24"/>
          <w:szCs w:val="24"/>
          <w:lang w:val="en-US"/>
        </w:rPr>
        <w:t>.3 Suggestions for future research</w:t>
      </w:r>
    </w:p>
    <w:p w:rsidR="00682A0E" w:rsidRPr="00AF45E6" w:rsidRDefault="00682A0E" w:rsidP="00682A0E">
      <w:pPr>
        <w:autoSpaceDE w:val="0"/>
        <w:autoSpaceDN w:val="0"/>
        <w:adjustRightInd w:val="0"/>
        <w:spacing w:after="0" w:line="240" w:lineRule="auto"/>
        <w:jc w:val="both"/>
        <w:rPr>
          <w:rFonts w:ascii="Times New Roman" w:hAnsi="Times New Roman" w:cs="Times New Roman"/>
          <w:b/>
          <w:sz w:val="24"/>
          <w:szCs w:val="24"/>
          <w:lang w:val="en-US"/>
        </w:rPr>
      </w:pPr>
    </w:p>
    <w:p w:rsidR="00682A0E" w:rsidRPr="00682A0E" w:rsidRDefault="00682A0E" w:rsidP="00682A0E">
      <w:pPr>
        <w:spacing w:line="360" w:lineRule="auto"/>
        <w:jc w:val="both"/>
        <w:rPr>
          <w:rFonts w:ascii="Times New Roman" w:hAnsi="Times New Roman" w:cs="Times New Roman"/>
          <w:sz w:val="24"/>
          <w:szCs w:val="24"/>
          <w:lang w:val="en-US"/>
        </w:rPr>
      </w:pPr>
      <w:r w:rsidRPr="00682A0E">
        <w:rPr>
          <w:rFonts w:ascii="Times New Roman" w:hAnsi="Times New Roman" w:cs="Times New Roman"/>
          <w:sz w:val="24"/>
          <w:szCs w:val="24"/>
          <w:lang w:val="en-US"/>
        </w:rPr>
        <w:t>In this part we provide suggestions regarding potential future research. We argued previously that data availability concerning the selection of indices was a disruptive factor to us. That means that some indices which meet the criteria for a “good” index were left out. A characteristic example is the Global Risk-Appetite Index constructed by Kumar and Persaud (2002). Hence, future researches can be performed that will incorporate these indices. Also, we controlled for the Fama-French factors for stocks. In finance literature a consensus has been achieved regarding the effect of these factors towards stock returns. For the other asset classes we used, an equivalent consensus concerning factors that affect their returns has not been achieved, at least to our knowledge. Nonetheless, researchers have provided empirical evidence that factors exist which influence them. For instance, seasonality plays an important role for the returns of agricultural commodities (Giot and Laurent, 2003; Symeonidis et al., 2012). Also, macroeconomic variables such as the inflation or the ratio of deficit to GDP (Gross Domestic Product) influence the yield spreads of government bonds (see for example Min, 1998). Future researches could control for these factors as well and examine potential deviations in a similar spirit to our control for the Fama-French factors.</w:t>
      </w:r>
    </w:p>
    <w:p w:rsidR="002D51CD" w:rsidRPr="00682A0E" w:rsidRDefault="002D51CD" w:rsidP="00682A0E">
      <w:pPr>
        <w:jc w:val="both"/>
        <w:rPr>
          <w:rFonts w:ascii="Times New Roman" w:hAnsi="Times New Roman" w:cs="Times New Roman"/>
          <w:b/>
          <w:sz w:val="24"/>
          <w:szCs w:val="24"/>
          <w:lang w:val="en-US"/>
        </w:rPr>
      </w:pPr>
    </w:p>
    <w:p w:rsidR="002D51CD" w:rsidRPr="002D51CD" w:rsidRDefault="002D51CD" w:rsidP="002D51CD">
      <w:pPr>
        <w:rPr>
          <w:b/>
          <w:lang w:val="en-US"/>
        </w:rPr>
      </w:pPr>
    </w:p>
    <w:p w:rsidR="002D51CD" w:rsidRPr="002D51CD" w:rsidRDefault="002D51CD" w:rsidP="002D51CD">
      <w:pPr>
        <w:spacing w:line="360" w:lineRule="auto"/>
        <w:jc w:val="both"/>
        <w:rPr>
          <w:b/>
          <w:lang w:val="en-US"/>
        </w:rPr>
      </w:pPr>
      <w:r w:rsidRPr="002D51CD">
        <w:rPr>
          <w:sz w:val="20"/>
          <w:szCs w:val="20"/>
          <w:lang w:val="en-US"/>
        </w:rPr>
        <w:br/>
      </w:r>
    </w:p>
    <w:p w:rsidR="002D51CD" w:rsidRPr="00682A0E" w:rsidRDefault="002D51CD" w:rsidP="002D51CD">
      <w:pPr>
        <w:rPr>
          <w:shd w:val="clear" w:color="auto" w:fill="FFFFFF"/>
          <w:lang w:val="en-US"/>
        </w:rPr>
      </w:pPr>
    </w:p>
    <w:p w:rsidR="002D51CD" w:rsidRPr="00682A0E" w:rsidRDefault="002D51CD" w:rsidP="002D51CD">
      <w:pPr>
        <w:spacing w:line="360" w:lineRule="auto"/>
        <w:rPr>
          <w:lang w:val="en-US"/>
        </w:rPr>
      </w:pPr>
    </w:p>
    <w:p w:rsidR="00E56410" w:rsidRPr="00E56410" w:rsidRDefault="00E56410" w:rsidP="00895B12">
      <w:pPr>
        <w:jc w:val="center"/>
        <w:rPr>
          <w:rFonts w:ascii="Times New Roman" w:hAnsi="Times New Roman" w:cs="Times New Roman"/>
          <w:b/>
          <w:sz w:val="28"/>
          <w:szCs w:val="28"/>
          <w:lang w:val="en-US"/>
        </w:rPr>
      </w:pPr>
      <w:r w:rsidRPr="00E56410">
        <w:rPr>
          <w:rFonts w:ascii="Times New Roman" w:hAnsi="Times New Roman" w:cs="Times New Roman"/>
          <w:b/>
          <w:sz w:val="28"/>
          <w:szCs w:val="28"/>
          <w:lang w:val="en-US"/>
        </w:rPr>
        <w:lastRenderedPageBreak/>
        <w:t>REFERENCES</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Backus, D. K., Chernov, M. and Zin, S. E. (2011) “Sources of Entropy in Representative Agent Models”, </w:t>
      </w:r>
      <w:r w:rsidRPr="00E56410">
        <w:rPr>
          <w:rFonts w:ascii="Times New Roman" w:hAnsi="Times New Roman" w:cs="Times New Roman"/>
          <w:i/>
          <w:sz w:val="24"/>
          <w:szCs w:val="24"/>
          <w:lang w:val="en-US"/>
        </w:rPr>
        <w:t>NBER Working Paper</w:t>
      </w:r>
      <w:r w:rsidRPr="00E56410">
        <w:rPr>
          <w:rFonts w:ascii="Times New Roman" w:hAnsi="Times New Roman" w:cs="Times New Roman"/>
          <w:sz w:val="24"/>
          <w:szCs w:val="24"/>
          <w:lang w:val="en-US"/>
        </w:rPr>
        <w:t>,</w:t>
      </w:r>
      <w:r w:rsidRPr="00E56410">
        <w:rPr>
          <w:rFonts w:ascii="Times New Roman" w:hAnsi="Times New Roman" w:cs="Times New Roman"/>
          <w:i/>
          <w:sz w:val="24"/>
          <w:szCs w:val="24"/>
          <w:lang w:val="en-US"/>
        </w:rPr>
        <w:t xml:space="preserve"> </w:t>
      </w:r>
      <w:r w:rsidRPr="00E56410">
        <w:rPr>
          <w:rFonts w:ascii="Times New Roman" w:hAnsi="Times New Roman" w:cs="Times New Roman"/>
          <w:sz w:val="24"/>
          <w:szCs w:val="24"/>
          <w:lang w:val="en-US"/>
        </w:rPr>
        <w:t>no. 17219, July, pp. 1-54.</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Baek, I., Bandopadhyaya, A. and Du, C. (2005) “Determinants of market-assessed sovereign risk: economic fundamentals or market risk appetite?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International Money and Finance</w:t>
      </w:r>
      <w:r w:rsidRPr="00E56410">
        <w:rPr>
          <w:rFonts w:ascii="Times New Roman" w:hAnsi="Times New Roman" w:cs="Times New Roman"/>
          <w:sz w:val="24"/>
          <w:szCs w:val="24"/>
          <w:lang w:val="en-US"/>
        </w:rPr>
        <w:t>, vol. 24, no. 4, pp. 533-548.</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Baker, H. K. and Nofsinger, J. R. (2010).</w:t>
      </w:r>
      <w:proofErr w:type="gramEnd"/>
      <w:r w:rsidRPr="00E56410">
        <w:rPr>
          <w:rFonts w:ascii="Times New Roman" w:hAnsi="Times New Roman" w:cs="Times New Roman"/>
          <w:sz w:val="24"/>
          <w:szCs w:val="24"/>
          <w:lang w:val="en-US"/>
        </w:rPr>
        <w:t xml:space="preserve"> </w:t>
      </w:r>
      <w:proofErr w:type="gramStart"/>
      <w:r w:rsidRPr="00E56410">
        <w:rPr>
          <w:rFonts w:ascii="Times New Roman" w:hAnsi="Times New Roman" w:cs="Times New Roman"/>
          <w:sz w:val="24"/>
          <w:szCs w:val="24"/>
          <w:lang w:val="en-US"/>
        </w:rPr>
        <w:t>“Behavioral Finance: Investors, Corporations, and Markets”, John Wiley and Sons Inc.</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Baker, M. and Wurgler, J. (2006) “Investor sentiment and the cross-section of stock returns.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Journal of Finance</w:t>
      </w:r>
      <w:r w:rsidRPr="00E56410">
        <w:rPr>
          <w:rFonts w:ascii="Times New Roman" w:hAnsi="Times New Roman" w:cs="Times New Roman"/>
          <w:sz w:val="24"/>
          <w:szCs w:val="24"/>
          <w:lang w:val="en-US"/>
        </w:rPr>
        <w:t>, vol. 61, pp. 1645-1680.</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Baker, M. and Wurgler, J. (2007) “Investor sentiment in the stock market.</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Journal of Economic Perspectives</w:t>
      </w:r>
      <w:r w:rsidRPr="00E56410">
        <w:rPr>
          <w:rFonts w:ascii="Times New Roman" w:hAnsi="Times New Roman" w:cs="Times New Roman"/>
          <w:sz w:val="24"/>
          <w:szCs w:val="24"/>
          <w:lang w:val="en-US"/>
        </w:rPr>
        <w:t>, vol. 21, pp. 129-151.</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Baker, M., Wurgler, J. and Yuan, Y. (2012) “Global, Local and Contagious Investor Sentiment”, </w:t>
      </w:r>
      <w:hyperlink r:id="rId17" w:anchor="#" w:history="1">
        <w:r w:rsidRPr="00E56410">
          <w:rPr>
            <w:rFonts w:ascii="Times New Roman" w:hAnsi="Times New Roman" w:cs="Times New Roman"/>
            <w:i/>
            <w:sz w:val="24"/>
            <w:szCs w:val="24"/>
            <w:lang w:val="en-US"/>
          </w:rPr>
          <w:t>Journal of Financial Economics</w:t>
        </w:r>
        <w:r w:rsidRPr="00E56410">
          <w:rPr>
            <w:rFonts w:ascii="Times New Roman" w:hAnsi="Times New Roman" w:cs="Times New Roman"/>
            <w:sz w:val="24"/>
            <w:szCs w:val="24"/>
            <w:lang w:val="en-US"/>
          </w:rPr>
          <w:t>, vol. 104, no. 2</w:t>
        </w:r>
      </w:hyperlink>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Bandopadhyaya, A. (2006) “Measures of Investor Sentiment: Who Wins the Horse Race?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Working Paper 1012</w:t>
      </w:r>
      <w:r w:rsidRPr="00E56410">
        <w:rPr>
          <w:rFonts w:ascii="Times New Roman" w:hAnsi="Times New Roman" w:cs="Times New Roman"/>
          <w:sz w:val="24"/>
          <w:szCs w:val="24"/>
          <w:lang w:val="en-US"/>
        </w:rPr>
        <w:t>, Boston: University of Massachusetts.</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Bandopadhyaya, A. and Jones, A. L. (2005) "Measuring Investor Sentiment in Equity Markets", </w:t>
      </w:r>
      <w:r w:rsidRPr="00E56410">
        <w:rPr>
          <w:rFonts w:ascii="Times New Roman" w:hAnsi="Times New Roman" w:cs="Times New Roman"/>
          <w:i/>
          <w:sz w:val="24"/>
          <w:szCs w:val="24"/>
          <w:lang w:val="en-US"/>
        </w:rPr>
        <w:t>Financial Services Forum Publications</w:t>
      </w:r>
      <w:r w:rsidRPr="00E56410">
        <w:rPr>
          <w:rFonts w:ascii="Times New Roman" w:hAnsi="Times New Roman" w:cs="Times New Roman"/>
          <w:sz w:val="24"/>
          <w:szCs w:val="24"/>
          <w:lang w:val="en-US"/>
        </w:rPr>
        <w:t>, paper 6.</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E56410">
        <w:rPr>
          <w:rFonts w:ascii="Times New Roman" w:hAnsi="Times New Roman" w:cs="Times New Roman"/>
          <w:sz w:val="24"/>
          <w:szCs w:val="24"/>
          <w:lang w:val="en-US"/>
        </w:rPr>
        <w:t>Barberis</w:t>
      </w:r>
      <w:proofErr w:type="spellEnd"/>
      <w:r w:rsidRPr="00E56410">
        <w:rPr>
          <w:rFonts w:ascii="Times New Roman" w:hAnsi="Times New Roman" w:cs="Times New Roman"/>
          <w:sz w:val="24"/>
          <w:szCs w:val="24"/>
          <w:lang w:val="en-US"/>
        </w:rPr>
        <w:t xml:space="preserve">, N. C. and Thaler, R. H. (2003) “A Survey of Behavioral Finance” in: G. M. </w:t>
      </w:r>
      <w:proofErr w:type="spellStart"/>
      <w:r w:rsidRPr="00E56410">
        <w:rPr>
          <w:rFonts w:ascii="Times New Roman" w:hAnsi="Times New Roman" w:cs="Times New Roman"/>
          <w:sz w:val="24"/>
          <w:szCs w:val="24"/>
          <w:lang w:val="en-US"/>
        </w:rPr>
        <w:t>Constantinides</w:t>
      </w:r>
      <w:proofErr w:type="spellEnd"/>
      <w:r w:rsidRPr="00E56410">
        <w:rPr>
          <w:rFonts w:ascii="Times New Roman" w:hAnsi="Times New Roman" w:cs="Times New Roman"/>
          <w:sz w:val="24"/>
          <w:szCs w:val="24"/>
          <w:lang w:val="en-US"/>
        </w:rPr>
        <w:t xml:space="preserve">, M. Harris, and R. M. </w:t>
      </w:r>
      <w:proofErr w:type="spellStart"/>
      <w:r w:rsidRPr="00E56410">
        <w:rPr>
          <w:rFonts w:ascii="Times New Roman" w:hAnsi="Times New Roman" w:cs="Times New Roman"/>
          <w:sz w:val="24"/>
          <w:szCs w:val="24"/>
          <w:lang w:val="en-US"/>
        </w:rPr>
        <w:t>Stulz</w:t>
      </w:r>
      <w:proofErr w:type="spellEnd"/>
      <w:r w:rsidRPr="00E56410">
        <w:rPr>
          <w:rFonts w:ascii="Times New Roman" w:hAnsi="Times New Roman" w:cs="Times New Roman"/>
          <w:sz w:val="24"/>
          <w:szCs w:val="24"/>
          <w:lang w:val="en-US"/>
        </w:rPr>
        <w:t>, eds. Handbook of the Economics of Finance: vol. 1b, Financial Markets and Asset Pricing. North Holland: Elsevier, Chapter 18, pp. 1053-1128.</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Baur, D. G., </w:t>
      </w:r>
      <w:proofErr w:type="spellStart"/>
      <w:r w:rsidRPr="00E56410">
        <w:rPr>
          <w:rFonts w:ascii="Times New Roman" w:hAnsi="Times New Roman" w:cs="Times New Roman"/>
          <w:sz w:val="24"/>
          <w:szCs w:val="24"/>
          <w:lang w:val="en-US"/>
        </w:rPr>
        <w:t>Mcdermott</w:t>
      </w:r>
      <w:proofErr w:type="spellEnd"/>
      <w:r w:rsidRPr="00E56410">
        <w:rPr>
          <w:rFonts w:ascii="Times New Roman" w:hAnsi="Times New Roman" w:cs="Times New Roman"/>
          <w:sz w:val="24"/>
          <w:szCs w:val="24"/>
          <w:lang w:val="en-US"/>
        </w:rPr>
        <w:t xml:space="preserve">, T. K. J., &amp; Dublin, T. C. (2012). </w:t>
      </w:r>
      <w:proofErr w:type="gramStart"/>
      <w:r w:rsidRPr="00E56410">
        <w:rPr>
          <w:rFonts w:ascii="Times New Roman" w:hAnsi="Times New Roman" w:cs="Times New Roman"/>
          <w:sz w:val="24"/>
          <w:szCs w:val="24"/>
          <w:lang w:val="en-US"/>
        </w:rPr>
        <w:t xml:space="preserve">Safe Haven Assets and Investor </w:t>
      </w:r>
      <w:proofErr w:type="spellStart"/>
      <w:r w:rsidRPr="00E56410">
        <w:rPr>
          <w:rFonts w:ascii="Times New Roman" w:hAnsi="Times New Roman" w:cs="Times New Roman"/>
          <w:sz w:val="24"/>
          <w:szCs w:val="24"/>
          <w:lang w:val="en-US"/>
        </w:rPr>
        <w:t>Behaviour</w:t>
      </w:r>
      <w:proofErr w:type="spellEnd"/>
      <w:r w:rsidRPr="00E56410">
        <w:rPr>
          <w:rFonts w:ascii="Times New Roman" w:hAnsi="Times New Roman" w:cs="Times New Roman"/>
          <w:sz w:val="24"/>
          <w:szCs w:val="24"/>
          <w:lang w:val="en-US"/>
        </w:rPr>
        <w:t xml:space="preserve"> under Uncertainty Safe Haven Assets and Investor </w:t>
      </w:r>
      <w:proofErr w:type="spellStart"/>
      <w:r w:rsidRPr="00E56410">
        <w:rPr>
          <w:rFonts w:ascii="Times New Roman" w:hAnsi="Times New Roman" w:cs="Times New Roman"/>
          <w:sz w:val="24"/>
          <w:szCs w:val="24"/>
          <w:lang w:val="en-US"/>
        </w:rPr>
        <w:t>Behaviour</w:t>
      </w:r>
      <w:proofErr w:type="spellEnd"/>
      <w:r w:rsidRPr="00E56410">
        <w:rPr>
          <w:rFonts w:ascii="Times New Roman" w:hAnsi="Times New Roman" w:cs="Times New Roman"/>
          <w:sz w:val="24"/>
          <w:szCs w:val="24"/>
          <w:lang w:val="en-US"/>
        </w:rPr>
        <w:t xml:space="preserve"> under Uncertainty.</w:t>
      </w:r>
      <w:proofErr w:type="gramEnd"/>
      <w:r w:rsidRPr="00E56410">
        <w:rPr>
          <w:rFonts w:ascii="Times New Roman" w:hAnsi="Times New Roman" w:cs="Times New Roman"/>
          <w:sz w:val="24"/>
          <w:szCs w:val="24"/>
          <w:lang w:val="en-US"/>
        </w:rPr>
        <w:t xml:space="preserve">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lastRenderedPageBreak/>
        <w:t>Baur, D.G. and Lucey, B. M. (2010) "Is gold a hedge or a safe haven? An analysis of stocks, bonds and gold.</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Financial Review</w:t>
      </w:r>
      <w:r w:rsidRPr="00E56410">
        <w:rPr>
          <w:rFonts w:ascii="Times New Roman" w:hAnsi="Times New Roman" w:cs="Times New Roman"/>
          <w:sz w:val="24"/>
          <w:szCs w:val="24"/>
          <w:lang w:val="en-US"/>
        </w:rPr>
        <w:t>, no. 45, pp. 217-229.</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Baur, D.G. and McDermott, T. K. J.</w:t>
      </w:r>
      <w:proofErr w:type="gramEnd"/>
      <w:r w:rsidRPr="00E56410">
        <w:rPr>
          <w:rFonts w:ascii="Times New Roman" w:hAnsi="Times New Roman" w:cs="Times New Roman"/>
          <w:sz w:val="24"/>
          <w:szCs w:val="24"/>
          <w:lang w:val="en-US"/>
        </w:rPr>
        <w:t xml:space="preserve">  (2010) "Is gold a safe haven? International evidence.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Banking and Finance</w:t>
      </w:r>
      <w:r w:rsidRPr="00E56410">
        <w:rPr>
          <w:rFonts w:ascii="Times New Roman" w:hAnsi="Times New Roman" w:cs="Times New Roman"/>
          <w:sz w:val="24"/>
          <w:szCs w:val="24"/>
          <w:lang w:val="en-US"/>
        </w:rPr>
        <w:t>, no. 34, pp. 1886-1898.</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Beaumont, R., </w:t>
      </w:r>
      <w:proofErr w:type="spellStart"/>
      <w:r w:rsidRPr="00E56410">
        <w:rPr>
          <w:rFonts w:ascii="Times New Roman" w:hAnsi="Times New Roman" w:cs="Times New Roman"/>
          <w:sz w:val="24"/>
          <w:szCs w:val="24"/>
          <w:lang w:val="en-US"/>
        </w:rPr>
        <w:t>Daele</w:t>
      </w:r>
      <w:proofErr w:type="spellEnd"/>
      <w:r w:rsidRPr="00E56410">
        <w:rPr>
          <w:rFonts w:ascii="Times New Roman" w:hAnsi="Times New Roman" w:cs="Times New Roman"/>
          <w:sz w:val="24"/>
          <w:szCs w:val="24"/>
          <w:lang w:val="en-US"/>
        </w:rPr>
        <w:t xml:space="preserve">, van M., </w:t>
      </w:r>
      <w:proofErr w:type="spellStart"/>
      <w:r w:rsidRPr="00E56410">
        <w:rPr>
          <w:rFonts w:ascii="Times New Roman" w:hAnsi="Times New Roman" w:cs="Times New Roman"/>
          <w:sz w:val="24"/>
          <w:szCs w:val="24"/>
          <w:lang w:val="en-US"/>
        </w:rPr>
        <w:t>Frijns</w:t>
      </w:r>
      <w:proofErr w:type="spellEnd"/>
      <w:r w:rsidRPr="00E56410">
        <w:rPr>
          <w:rFonts w:ascii="Times New Roman" w:hAnsi="Times New Roman" w:cs="Times New Roman"/>
          <w:sz w:val="24"/>
          <w:szCs w:val="24"/>
          <w:lang w:val="en-US"/>
        </w:rPr>
        <w:t xml:space="preserve">, B. and </w:t>
      </w:r>
      <w:proofErr w:type="spellStart"/>
      <w:r w:rsidRPr="00E56410">
        <w:rPr>
          <w:rFonts w:ascii="Times New Roman" w:hAnsi="Times New Roman" w:cs="Times New Roman"/>
          <w:sz w:val="24"/>
          <w:szCs w:val="24"/>
          <w:lang w:val="en-US"/>
        </w:rPr>
        <w:t>Lehnert</w:t>
      </w:r>
      <w:proofErr w:type="spellEnd"/>
      <w:r w:rsidRPr="00E56410">
        <w:rPr>
          <w:rFonts w:ascii="Times New Roman" w:hAnsi="Times New Roman" w:cs="Times New Roman"/>
          <w:sz w:val="24"/>
          <w:szCs w:val="24"/>
          <w:lang w:val="en-US"/>
        </w:rPr>
        <w:t>, T. (2005) “On Individual and Institutional Noise Trading”, Working paper, Maastricht University.</w:t>
      </w:r>
      <w:proofErr w:type="gramEnd"/>
      <w:r w:rsidRPr="00E56410">
        <w:rPr>
          <w:rFonts w:ascii="Times New Roman" w:hAnsi="Times New Roman" w:cs="Times New Roman"/>
          <w:sz w:val="24"/>
          <w:szCs w:val="24"/>
          <w:lang w:val="en-US"/>
        </w:rPr>
        <w:t xml:space="preserve"> </w:t>
      </w: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Beer, F. and Zouaoui, M. (2011) “Measuring Investor Sentiment in the Stock Market”, Available at SSRN: http://ssrn.com/abstract=1939527</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Bernoulli, D. (1954) “Exposition of a New Theory on the Measurement of Risk”, </w:t>
      </w:r>
      <w:proofErr w:type="spellStart"/>
      <w:r w:rsidRPr="00E56410">
        <w:rPr>
          <w:rFonts w:ascii="Times New Roman" w:hAnsi="Times New Roman" w:cs="Times New Roman"/>
          <w:i/>
          <w:sz w:val="24"/>
          <w:szCs w:val="24"/>
          <w:lang w:val="en-US"/>
        </w:rPr>
        <w:t>Econometrica</w:t>
      </w:r>
      <w:proofErr w:type="spellEnd"/>
      <w:r w:rsidRPr="00E56410">
        <w:rPr>
          <w:rFonts w:ascii="Times New Roman" w:hAnsi="Times New Roman" w:cs="Times New Roman"/>
          <w:sz w:val="24"/>
          <w:szCs w:val="24"/>
          <w:lang w:val="en-US"/>
        </w:rPr>
        <w:t xml:space="preserve">, vol. 22, no. 1, pp. 23-36.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Black, F. and </w:t>
      </w:r>
      <w:proofErr w:type="spellStart"/>
      <w:r w:rsidRPr="00E56410">
        <w:rPr>
          <w:rFonts w:ascii="Times New Roman" w:hAnsi="Times New Roman" w:cs="Times New Roman"/>
          <w:sz w:val="24"/>
          <w:szCs w:val="24"/>
          <w:lang w:val="en-US"/>
        </w:rPr>
        <w:t>Scholes</w:t>
      </w:r>
      <w:proofErr w:type="spellEnd"/>
      <w:r w:rsidRPr="00E56410">
        <w:rPr>
          <w:rFonts w:ascii="Times New Roman" w:hAnsi="Times New Roman" w:cs="Times New Roman"/>
          <w:sz w:val="24"/>
          <w:szCs w:val="24"/>
          <w:lang w:val="en-US"/>
        </w:rPr>
        <w:t>, M. (1973) “The Pricing of Options and Corporate liabilities.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Political Economy</w:t>
      </w:r>
      <w:r w:rsidRPr="00E56410">
        <w:rPr>
          <w:rFonts w:ascii="Times New Roman" w:hAnsi="Times New Roman" w:cs="Times New Roman"/>
          <w:sz w:val="24"/>
          <w:szCs w:val="24"/>
          <w:lang w:val="en-US"/>
        </w:rPr>
        <w:t>, vol. 81, pp. 637-659.</w:t>
      </w: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color w:val="000000"/>
          <w:sz w:val="24"/>
          <w:szCs w:val="24"/>
          <w:lang w:val="en-US"/>
        </w:rPr>
      </w:pPr>
      <w:r w:rsidRPr="00E56410">
        <w:rPr>
          <w:rFonts w:ascii="Times New Roman" w:hAnsi="Times New Roman" w:cs="Times New Roman"/>
          <w:sz w:val="24"/>
          <w:szCs w:val="24"/>
          <w:lang w:val="en-US"/>
        </w:rPr>
        <w:t>Brooks, C. and Prokopczuk, M. (2011) “The dynamics of commodity prices.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Working Paper, </w:t>
      </w:r>
      <w:r w:rsidRPr="00E56410">
        <w:rPr>
          <w:rFonts w:ascii="Times New Roman" w:hAnsi="Times New Roman" w:cs="Times New Roman"/>
          <w:color w:val="000000"/>
          <w:sz w:val="24"/>
          <w:szCs w:val="24"/>
          <w:lang w:val="en-US"/>
        </w:rPr>
        <w:t>Available at SSRN: hhtp://ssrn.com/abstract=1849505.</w:t>
      </w:r>
    </w:p>
    <w:p w:rsidR="00E56410" w:rsidRPr="00E56410" w:rsidRDefault="00E56410" w:rsidP="00E56410">
      <w:pPr>
        <w:spacing w:line="240" w:lineRule="auto"/>
        <w:jc w:val="both"/>
        <w:rPr>
          <w:rFonts w:ascii="Times New Roman" w:hAnsi="Times New Roman" w:cs="Times New Roman"/>
          <w:sz w:val="24"/>
          <w:szCs w:val="24"/>
          <w:lang w:val="en-US"/>
        </w:rPr>
      </w:pPr>
    </w:p>
    <w:p w:rsidR="00E56410" w:rsidRPr="00E56410" w:rsidRDefault="00E56410" w:rsidP="00E56410">
      <w:pPr>
        <w:spacing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Brown, G.W. and Cliff, M.T. (2004) “Investor sentiment and the near-term stock market.</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Journal of Empirical Finance</w:t>
      </w:r>
      <w:r w:rsidRPr="00E56410">
        <w:rPr>
          <w:rFonts w:ascii="Times New Roman" w:hAnsi="Times New Roman" w:cs="Times New Roman"/>
          <w:sz w:val="24"/>
          <w:szCs w:val="24"/>
          <w:lang w:val="en-US"/>
        </w:rPr>
        <w:t>, vol. 11, pp. 1-27.</w:t>
      </w:r>
    </w:p>
    <w:p w:rsidR="00E56410" w:rsidRPr="00E56410" w:rsidRDefault="00E56410" w:rsidP="00E56410">
      <w:pPr>
        <w:spacing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Brown, G.W. and Cliff, M.T. (2005) “Investor sentiment and asset valuation.</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Journal of Business</w:t>
      </w:r>
      <w:r w:rsidRPr="00E56410">
        <w:rPr>
          <w:rFonts w:ascii="Times New Roman" w:hAnsi="Times New Roman" w:cs="Times New Roman"/>
          <w:sz w:val="24"/>
          <w:szCs w:val="24"/>
          <w:lang w:val="en-US"/>
        </w:rPr>
        <w:t>, vol. 78, pp. 405-440.</w:t>
      </w: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en-US"/>
        </w:rPr>
      </w:pPr>
      <w:proofErr w:type="spellStart"/>
      <w:r w:rsidRPr="00E56410">
        <w:rPr>
          <w:rFonts w:ascii="Times New Roman" w:hAnsi="Times New Roman" w:cs="Times New Roman"/>
          <w:sz w:val="24"/>
          <w:szCs w:val="24"/>
          <w:lang w:val="en-US"/>
        </w:rPr>
        <w:t>Cashin</w:t>
      </w:r>
      <w:proofErr w:type="spellEnd"/>
      <w:r w:rsidRPr="00E56410">
        <w:rPr>
          <w:rFonts w:ascii="Times New Roman" w:hAnsi="Times New Roman" w:cs="Times New Roman"/>
          <w:sz w:val="24"/>
          <w:szCs w:val="24"/>
          <w:lang w:val="en-US"/>
        </w:rPr>
        <w:t xml:space="preserve">, P., </w:t>
      </w:r>
      <w:proofErr w:type="spellStart"/>
      <w:r w:rsidRPr="00E56410">
        <w:rPr>
          <w:rFonts w:ascii="Times New Roman" w:hAnsi="Times New Roman" w:cs="Times New Roman"/>
          <w:sz w:val="24"/>
          <w:szCs w:val="24"/>
          <w:lang w:val="en-US"/>
        </w:rPr>
        <w:t>Cespedes</w:t>
      </w:r>
      <w:proofErr w:type="spellEnd"/>
      <w:r w:rsidRPr="00E56410">
        <w:rPr>
          <w:rFonts w:ascii="Times New Roman" w:hAnsi="Times New Roman" w:cs="Times New Roman"/>
          <w:sz w:val="24"/>
          <w:szCs w:val="24"/>
          <w:lang w:val="en-US"/>
        </w:rPr>
        <w:t xml:space="preserve">, L. and </w:t>
      </w:r>
      <w:proofErr w:type="spellStart"/>
      <w:r w:rsidRPr="00E56410">
        <w:rPr>
          <w:rFonts w:ascii="Times New Roman" w:hAnsi="Times New Roman" w:cs="Times New Roman"/>
          <w:sz w:val="24"/>
          <w:szCs w:val="24"/>
          <w:lang w:val="en-US"/>
        </w:rPr>
        <w:t>Sahay</w:t>
      </w:r>
      <w:proofErr w:type="spellEnd"/>
      <w:r w:rsidRPr="00E56410">
        <w:rPr>
          <w:rFonts w:ascii="Times New Roman" w:hAnsi="Times New Roman" w:cs="Times New Roman"/>
          <w:sz w:val="24"/>
          <w:szCs w:val="24"/>
          <w:lang w:val="en-US"/>
        </w:rPr>
        <w:t>, R. (2002) “Keynes, Cocoa and Copper: In Search of Commodity Currencies”, Working Paper, WP/02/223, International Monetary Fund, Washington.</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Chen, N. F., Roll, R. and Ross, S. A. (1986) “Economic forces and the stock market”, </w:t>
      </w:r>
      <w:r w:rsidRPr="00E56410">
        <w:rPr>
          <w:rFonts w:ascii="Times New Roman" w:hAnsi="Times New Roman" w:cs="Times New Roman"/>
          <w:i/>
          <w:sz w:val="24"/>
          <w:szCs w:val="24"/>
          <w:lang w:val="en-US"/>
        </w:rPr>
        <w:t>Journal of Business</w:t>
      </w:r>
      <w:r w:rsidRPr="00E56410">
        <w:rPr>
          <w:rFonts w:ascii="Times New Roman" w:hAnsi="Times New Roman" w:cs="Times New Roman"/>
          <w:sz w:val="24"/>
          <w:szCs w:val="24"/>
          <w:lang w:val="en-US"/>
        </w:rPr>
        <w:t>, no. 59, pp. 383-403.</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lastRenderedPageBreak/>
        <w:t xml:space="preserve">Chen, </w:t>
      </w:r>
      <w:proofErr w:type="spellStart"/>
      <w:r w:rsidRPr="00E56410">
        <w:rPr>
          <w:rFonts w:ascii="Times New Roman" w:hAnsi="Times New Roman" w:cs="Times New Roman"/>
          <w:sz w:val="24"/>
          <w:szCs w:val="24"/>
          <w:lang w:val="en-US"/>
        </w:rPr>
        <w:t>Nai</w:t>
      </w:r>
      <w:proofErr w:type="spellEnd"/>
      <w:r w:rsidRPr="00E56410">
        <w:rPr>
          <w:rFonts w:ascii="Times New Roman" w:hAnsi="Times New Roman" w:cs="Times New Roman"/>
          <w:sz w:val="24"/>
          <w:szCs w:val="24"/>
          <w:lang w:val="en-US"/>
        </w:rPr>
        <w:t>-Fu, Raymond Kan, and Merton H. Miller, (1993a) “Are the Discounts on Closed-End Funds a Sentiment Index?</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Finance</w:t>
      </w:r>
      <w:r w:rsidRPr="00E56410">
        <w:rPr>
          <w:rFonts w:ascii="Times New Roman" w:hAnsi="Times New Roman" w:cs="Times New Roman"/>
          <w:sz w:val="24"/>
          <w:szCs w:val="24"/>
          <w:lang w:val="en-US"/>
        </w:rPr>
        <w:t>, vol. 48, pp. 795-800.</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Chen, </w:t>
      </w:r>
      <w:proofErr w:type="spellStart"/>
      <w:r w:rsidRPr="00E56410">
        <w:rPr>
          <w:rFonts w:ascii="Times New Roman" w:hAnsi="Times New Roman" w:cs="Times New Roman"/>
          <w:sz w:val="24"/>
          <w:szCs w:val="24"/>
          <w:lang w:val="en-US"/>
        </w:rPr>
        <w:t>Nai</w:t>
      </w:r>
      <w:proofErr w:type="spellEnd"/>
      <w:r w:rsidRPr="00E56410">
        <w:rPr>
          <w:rFonts w:ascii="Times New Roman" w:hAnsi="Times New Roman" w:cs="Times New Roman"/>
          <w:sz w:val="24"/>
          <w:szCs w:val="24"/>
          <w:lang w:val="en-US"/>
        </w:rPr>
        <w:t xml:space="preserve">-Fu, Raymond Kan, and Merton H. Miller, (1993b) “A Rejoinder”, </w:t>
      </w:r>
      <w:r w:rsidRPr="00E56410">
        <w:rPr>
          <w:rFonts w:ascii="Times New Roman" w:hAnsi="Times New Roman" w:cs="Times New Roman"/>
          <w:i/>
          <w:sz w:val="24"/>
          <w:szCs w:val="24"/>
          <w:lang w:val="en-US"/>
        </w:rPr>
        <w:t>Journal of Finance</w:t>
      </w:r>
      <w:r w:rsidRPr="00E56410">
        <w:rPr>
          <w:rFonts w:ascii="Times New Roman" w:hAnsi="Times New Roman" w:cs="Times New Roman"/>
          <w:sz w:val="24"/>
          <w:szCs w:val="24"/>
          <w:lang w:val="en-US"/>
        </w:rPr>
        <w:t>, vol. 48, pp. 809-810.</w:t>
      </w:r>
    </w:p>
    <w:p w:rsidR="00E56410" w:rsidRPr="00E56410" w:rsidRDefault="00E56410" w:rsidP="00E56410">
      <w:pPr>
        <w:autoSpaceDE w:val="0"/>
        <w:autoSpaceDN w:val="0"/>
        <w:adjustRightInd w:val="0"/>
        <w:spacing w:after="0" w:line="360" w:lineRule="auto"/>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Chen, Y. and </w:t>
      </w:r>
      <w:proofErr w:type="spellStart"/>
      <w:r w:rsidRPr="00E56410">
        <w:rPr>
          <w:rFonts w:ascii="Times New Roman" w:hAnsi="Times New Roman" w:cs="Times New Roman"/>
          <w:sz w:val="24"/>
          <w:szCs w:val="24"/>
          <w:lang w:val="en-US"/>
        </w:rPr>
        <w:t>Rogoff</w:t>
      </w:r>
      <w:proofErr w:type="spellEnd"/>
      <w:r w:rsidRPr="00E56410">
        <w:rPr>
          <w:rFonts w:ascii="Times New Roman" w:hAnsi="Times New Roman" w:cs="Times New Roman"/>
          <w:sz w:val="24"/>
          <w:szCs w:val="24"/>
          <w:lang w:val="en-US"/>
        </w:rPr>
        <w:t xml:space="preserve">, K. (2003) “Commodity Currencies”, </w:t>
      </w:r>
      <w:r w:rsidRPr="00E56410">
        <w:rPr>
          <w:rFonts w:ascii="Times New Roman" w:hAnsi="Times New Roman" w:cs="Times New Roman"/>
          <w:i/>
          <w:sz w:val="24"/>
          <w:szCs w:val="24"/>
          <w:lang w:val="en-US"/>
        </w:rPr>
        <w:t>Journal of International Economics</w:t>
      </w:r>
      <w:r w:rsidRPr="00E56410">
        <w:rPr>
          <w:rFonts w:ascii="Times New Roman" w:hAnsi="Times New Roman" w:cs="Times New Roman"/>
          <w:sz w:val="24"/>
          <w:szCs w:val="24"/>
          <w:lang w:val="en-US"/>
        </w:rPr>
        <w:t>, vol. 60, no. 1, pp. 133-160.</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Chicago Board Options Exchange (2004) “VIX, CBOE volatility index”, White Paper.</w:t>
      </w:r>
    </w:p>
    <w:p w:rsidR="00E56410" w:rsidRPr="00E56410" w:rsidRDefault="00E56410" w:rsidP="00E5641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Chow, G., </w:t>
      </w:r>
      <w:proofErr w:type="spellStart"/>
      <w:r w:rsidRPr="00E56410">
        <w:rPr>
          <w:rFonts w:ascii="Times New Roman" w:hAnsi="Times New Roman" w:cs="Times New Roman"/>
          <w:sz w:val="24"/>
          <w:szCs w:val="24"/>
          <w:lang w:val="en-US"/>
        </w:rPr>
        <w:t>Jacquier</w:t>
      </w:r>
      <w:proofErr w:type="spellEnd"/>
      <w:r w:rsidRPr="00E56410">
        <w:rPr>
          <w:rFonts w:ascii="Times New Roman" w:hAnsi="Times New Roman" w:cs="Times New Roman"/>
          <w:sz w:val="24"/>
          <w:szCs w:val="24"/>
          <w:lang w:val="en-US"/>
        </w:rPr>
        <w:t xml:space="preserve">, E., </w:t>
      </w:r>
      <w:proofErr w:type="spellStart"/>
      <w:r w:rsidRPr="00E56410">
        <w:rPr>
          <w:rFonts w:ascii="Times New Roman" w:hAnsi="Times New Roman" w:cs="Times New Roman"/>
          <w:sz w:val="24"/>
          <w:szCs w:val="24"/>
          <w:lang w:val="en-US"/>
        </w:rPr>
        <w:t>Kritzman</w:t>
      </w:r>
      <w:proofErr w:type="spellEnd"/>
      <w:r w:rsidRPr="00E56410">
        <w:rPr>
          <w:rFonts w:ascii="Times New Roman" w:hAnsi="Times New Roman" w:cs="Times New Roman"/>
          <w:sz w:val="24"/>
          <w:szCs w:val="24"/>
          <w:lang w:val="en-US"/>
        </w:rPr>
        <w:t xml:space="preserve">, M. and Lowry K. (1999) “Optimal portfolios in good and bad times”, </w:t>
      </w:r>
      <w:r w:rsidRPr="00E56410">
        <w:rPr>
          <w:rFonts w:ascii="Times New Roman" w:hAnsi="Times New Roman" w:cs="Times New Roman"/>
          <w:i/>
          <w:iCs/>
          <w:sz w:val="24"/>
          <w:szCs w:val="24"/>
          <w:lang w:val="en-US"/>
        </w:rPr>
        <w:t>Financial Analysts Journal</w:t>
      </w:r>
      <w:r w:rsidRPr="00E56410">
        <w:rPr>
          <w:rFonts w:ascii="Times New Roman" w:hAnsi="Times New Roman" w:cs="Times New Roman"/>
          <w:sz w:val="24"/>
          <w:szCs w:val="24"/>
          <w:lang w:val="en-US"/>
        </w:rPr>
        <w:t>, vol. 55, no. 3, pp. 65- 73.</w:t>
      </w:r>
      <w:proofErr w:type="gramEnd"/>
    </w:p>
    <w:p w:rsidR="00E56410" w:rsidRPr="00E56410" w:rsidRDefault="00E56410" w:rsidP="00E56410">
      <w:pPr>
        <w:spacing w:line="240" w:lineRule="auto"/>
        <w:rPr>
          <w:rFonts w:ascii="Times New Roman" w:hAnsi="Times New Roman" w:cs="Times New Roman"/>
          <w:sz w:val="24"/>
          <w:szCs w:val="24"/>
          <w:lang w:val="en-US"/>
        </w:rPr>
      </w:pPr>
    </w:p>
    <w:p w:rsidR="00E56410" w:rsidRPr="00E56410" w:rsidRDefault="00E56410" w:rsidP="00E56410">
      <w:pPr>
        <w:spacing w:line="360" w:lineRule="auto"/>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Ciner, C., </w:t>
      </w:r>
      <w:proofErr w:type="spellStart"/>
      <w:r w:rsidRPr="00E56410">
        <w:rPr>
          <w:rFonts w:ascii="Times New Roman" w:hAnsi="Times New Roman" w:cs="Times New Roman"/>
          <w:sz w:val="24"/>
          <w:szCs w:val="24"/>
          <w:lang w:val="en-US"/>
        </w:rPr>
        <w:t>Gurdgiev</w:t>
      </w:r>
      <w:proofErr w:type="spellEnd"/>
      <w:r w:rsidRPr="00E56410">
        <w:rPr>
          <w:rFonts w:ascii="Times New Roman" w:hAnsi="Times New Roman" w:cs="Times New Roman"/>
          <w:sz w:val="24"/>
          <w:szCs w:val="24"/>
          <w:lang w:val="en-US"/>
        </w:rPr>
        <w:t>, C. and Lucey, B. (2010) “Hedges and Safe Havens- An examination of Stocks, Bonds, Oil, Gold and the Dollar”, IIIS Discussion Paper, September, no. 337.</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Clarke, R. G. and Statman, M. (1998) “Bullish or Bearish?</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Financial Analysts Journal</w:t>
      </w:r>
      <w:r w:rsidRPr="00E56410">
        <w:rPr>
          <w:rFonts w:ascii="Times New Roman" w:hAnsi="Times New Roman" w:cs="Times New Roman"/>
          <w:sz w:val="24"/>
          <w:szCs w:val="24"/>
          <w:lang w:val="en-US"/>
        </w:rPr>
        <w:t> , vol. 54, no. 3, pp. 63-72.</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Cochrane, J. (2001) “Asset pricing”, Princeton University Press, Princeton, New Jersey.</w:t>
      </w:r>
      <w:proofErr w:type="gramEnd"/>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Cohen, K. J. and Pogue, J. A. (1967) “An Empirical Evaluation of Alternative Portfolio-Selection Models.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The Journal of Business</w:t>
      </w:r>
      <w:r w:rsidRPr="00E56410">
        <w:rPr>
          <w:rFonts w:ascii="Times New Roman" w:hAnsi="Times New Roman" w:cs="Times New Roman"/>
          <w:sz w:val="24"/>
          <w:szCs w:val="24"/>
          <w:lang w:val="en-US"/>
        </w:rPr>
        <w:t>, vol. 40, no. 2, pp. 166-193.</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spacing w:line="360" w:lineRule="auto"/>
        <w:rPr>
          <w:rFonts w:ascii="Times New Roman" w:hAnsi="Times New Roman" w:cs="Times New Roman"/>
          <w:sz w:val="24"/>
          <w:szCs w:val="24"/>
          <w:lang w:val="en-US"/>
        </w:rPr>
      </w:pPr>
      <w:r w:rsidRPr="00E56410">
        <w:rPr>
          <w:rFonts w:ascii="Times New Roman" w:hAnsi="Times New Roman" w:cs="Times New Roman"/>
          <w:sz w:val="24"/>
          <w:szCs w:val="24"/>
          <w:lang w:val="en-US"/>
        </w:rPr>
        <w:t>Collin-</w:t>
      </w:r>
      <w:proofErr w:type="spellStart"/>
      <w:r w:rsidRPr="00E56410">
        <w:rPr>
          <w:rFonts w:ascii="Times New Roman" w:hAnsi="Times New Roman" w:cs="Times New Roman"/>
          <w:sz w:val="24"/>
          <w:szCs w:val="24"/>
          <w:lang w:val="en-US"/>
        </w:rPr>
        <w:t>Dufresne</w:t>
      </w:r>
      <w:proofErr w:type="spellEnd"/>
      <w:r w:rsidRPr="00E56410">
        <w:rPr>
          <w:rFonts w:ascii="Times New Roman" w:hAnsi="Times New Roman" w:cs="Times New Roman"/>
          <w:sz w:val="24"/>
          <w:szCs w:val="24"/>
          <w:lang w:val="en-US"/>
        </w:rPr>
        <w:t xml:space="preserve">, P., Goldstein, S. R. and Martin, J. S. (2001) “The Determinants of Credit Spread Changes”, </w:t>
      </w:r>
      <w:proofErr w:type="gramStart"/>
      <w:r w:rsidRPr="00E56410">
        <w:rPr>
          <w:rFonts w:ascii="Times New Roman" w:hAnsi="Times New Roman" w:cs="Times New Roman"/>
          <w:i/>
          <w:sz w:val="24"/>
          <w:szCs w:val="24"/>
          <w:lang w:val="en-US"/>
        </w:rPr>
        <w:t>The</w:t>
      </w:r>
      <w:proofErr w:type="gramEnd"/>
      <w:r w:rsidRPr="00E56410">
        <w:rPr>
          <w:rFonts w:ascii="Times New Roman" w:hAnsi="Times New Roman" w:cs="Times New Roman"/>
          <w:i/>
          <w:sz w:val="24"/>
          <w:szCs w:val="24"/>
          <w:lang w:val="en-US"/>
        </w:rPr>
        <w:t xml:space="preserve"> Journal of Finance</w:t>
      </w:r>
      <w:r w:rsidRPr="00E56410">
        <w:rPr>
          <w:rFonts w:ascii="Times New Roman" w:hAnsi="Times New Roman" w:cs="Times New Roman"/>
          <w:sz w:val="24"/>
          <w:szCs w:val="24"/>
          <w:lang w:val="en-US"/>
        </w:rPr>
        <w:t>, vol. 56, no. 6, pp. 2177-2207.</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Coudert, V. and Gex, M. (2007) “Does Risk Aversion Drive Financial Crises?</w:t>
      </w:r>
      <w:proofErr w:type="gramEnd"/>
      <w:r w:rsidRPr="00E56410">
        <w:rPr>
          <w:rFonts w:ascii="Times New Roman" w:hAnsi="Times New Roman" w:cs="Times New Roman"/>
          <w:sz w:val="24"/>
          <w:szCs w:val="24"/>
          <w:lang w:val="en-US"/>
        </w:rPr>
        <w:t xml:space="preserve"> Testing the</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Coudert, V. and Raymond, H. (2010) "</w:t>
      </w:r>
      <w:hyperlink r:id="rId18" w:history="1">
        <w:r w:rsidRPr="00E56410">
          <w:rPr>
            <w:rFonts w:ascii="Times New Roman" w:hAnsi="Times New Roman" w:cs="Times New Roman"/>
            <w:sz w:val="24"/>
            <w:szCs w:val="24"/>
            <w:lang w:val="en-US"/>
          </w:rPr>
          <w:t>Gold and Financial Assets: Are There Any Safe Havens in Bear Markets?</w:t>
        </w:r>
      </w:hyperlink>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CEPII research center</w:t>
      </w:r>
      <w:r w:rsidRPr="00E56410">
        <w:rPr>
          <w:rFonts w:ascii="Times New Roman" w:hAnsi="Times New Roman" w:cs="Times New Roman"/>
          <w:sz w:val="24"/>
          <w:szCs w:val="24"/>
          <w:lang w:val="en-US"/>
        </w:rPr>
        <w:t>, </w:t>
      </w:r>
      <w:hyperlink r:id="rId19" w:history="1">
        <w:r w:rsidRPr="00E56410">
          <w:rPr>
            <w:rFonts w:ascii="Times New Roman" w:hAnsi="Times New Roman" w:cs="Times New Roman"/>
            <w:sz w:val="24"/>
            <w:szCs w:val="24"/>
            <w:lang w:val="en-US"/>
          </w:rPr>
          <w:t>Working Papers</w:t>
        </w:r>
      </w:hyperlink>
      <w:r w:rsidRPr="00E56410">
        <w:rPr>
          <w:rFonts w:ascii="Times New Roman" w:hAnsi="Times New Roman" w:cs="Times New Roman"/>
          <w:sz w:val="24"/>
          <w:szCs w:val="24"/>
          <w:lang w:val="en-US"/>
        </w:rPr>
        <w:t> 2010-13.</w:t>
      </w:r>
    </w:p>
    <w:p w:rsidR="00E56410" w:rsidRPr="00E56410" w:rsidRDefault="00E56410" w:rsidP="00E56410">
      <w:pPr>
        <w:spacing w:line="240" w:lineRule="auto"/>
        <w:jc w:val="both"/>
        <w:rPr>
          <w:rFonts w:ascii="Times New Roman" w:hAnsi="Times New Roman" w:cs="Times New Roman"/>
          <w:sz w:val="24"/>
          <w:szCs w:val="24"/>
          <w:lang w:val="en-US"/>
        </w:rPr>
      </w:pPr>
    </w:p>
    <w:p w:rsidR="00E56410" w:rsidRPr="00E56410" w:rsidRDefault="00E56410" w:rsidP="00E56410">
      <w:pPr>
        <w:spacing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Credit Suisse (2011) Structured Products Term sheet, Indicative Terms.</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De Bondt, W. F. M. (1993) “Betting on trends: Intuitive forecasts of financial risk and return.</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International Journal of Forecasting</w:t>
      </w:r>
      <w:r w:rsidRPr="00E56410">
        <w:rPr>
          <w:rFonts w:ascii="Times New Roman" w:hAnsi="Times New Roman" w:cs="Times New Roman"/>
          <w:sz w:val="24"/>
          <w:szCs w:val="24"/>
          <w:lang w:val="en-US"/>
        </w:rPr>
        <w:t>, vol. 9, pp. 355-371.</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lastRenderedPageBreak/>
        <w:t xml:space="preserve">De Bondt, W. F. M., and Thaler, R. (1985) “Does the Stock Market Overreact?”, </w:t>
      </w:r>
      <w:r w:rsidRPr="00E56410">
        <w:rPr>
          <w:rFonts w:ascii="Times New Roman" w:hAnsi="Times New Roman" w:cs="Times New Roman"/>
          <w:i/>
          <w:sz w:val="24"/>
          <w:szCs w:val="24"/>
          <w:lang w:val="en-US"/>
        </w:rPr>
        <w:t>Journal of Finance</w:t>
      </w:r>
      <w:r w:rsidRPr="00E56410">
        <w:rPr>
          <w:rFonts w:ascii="Times New Roman" w:hAnsi="Times New Roman" w:cs="Times New Roman"/>
          <w:sz w:val="24"/>
          <w:szCs w:val="24"/>
          <w:lang w:val="en-US"/>
        </w:rPr>
        <w:t>, vol. 40, no. 3, pp. 793-805.</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De Bondt, W. F. M. and Thaler, R. (1987) “Further evidence on investor overreaction and stock market seasonality.</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Finance</w:t>
      </w:r>
      <w:r w:rsidRPr="00E56410">
        <w:rPr>
          <w:rFonts w:ascii="Times New Roman" w:hAnsi="Times New Roman" w:cs="Times New Roman"/>
          <w:sz w:val="24"/>
          <w:szCs w:val="24"/>
          <w:lang w:val="en-US"/>
        </w:rPr>
        <w:t>, vol. 42, pp. 557-580.</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Dennis, P. and Mayhew, S. (2002)” Risk-neutral skewness: evidence from stock options.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Financial and Quantitative Analysis</w:t>
      </w:r>
      <w:r w:rsidRPr="00E56410">
        <w:rPr>
          <w:rFonts w:ascii="Times New Roman" w:hAnsi="Times New Roman" w:cs="Times New Roman"/>
          <w:sz w:val="24"/>
          <w:szCs w:val="24"/>
          <w:lang w:val="en-US"/>
        </w:rPr>
        <w:t>, vol. 37, pp. 471-493.</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E56410">
        <w:rPr>
          <w:rFonts w:ascii="Times New Roman" w:hAnsi="Times New Roman" w:cs="Times New Roman"/>
          <w:sz w:val="24"/>
          <w:szCs w:val="24"/>
          <w:lang w:val="en-US"/>
        </w:rPr>
        <w:t>Dunsby</w:t>
      </w:r>
      <w:proofErr w:type="spellEnd"/>
      <w:r w:rsidRPr="00E56410">
        <w:rPr>
          <w:rFonts w:ascii="Times New Roman" w:hAnsi="Times New Roman" w:cs="Times New Roman"/>
          <w:sz w:val="24"/>
          <w:szCs w:val="24"/>
          <w:lang w:val="en-US"/>
        </w:rPr>
        <w:t>, A., Eckstein, J., Gaspar, J. and Mulholland, S. (2008) “Commodity Investing: Maximizing Returns Through Fundamental Analysis.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John Wiley and Sons Inc., New York.</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Edwards, E. R. and M. O. </w:t>
      </w:r>
      <w:proofErr w:type="spellStart"/>
      <w:r w:rsidRPr="00E56410">
        <w:rPr>
          <w:rFonts w:ascii="Times New Roman" w:hAnsi="Times New Roman" w:cs="Times New Roman"/>
          <w:sz w:val="24"/>
          <w:szCs w:val="24"/>
          <w:lang w:val="en-US"/>
        </w:rPr>
        <w:t>Caglayan</w:t>
      </w:r>
      <w:proofErr w:type="spellEnd"/>
      <w:r w:rsidRPr="00E56410">
        <w:rPr>
          <w:rFonts w:ascii="Times New Roman" w:hAnsi="Times New Roman" w:cs="Times New Roman"/>
          <w:sz w:val="24"/>
          <w:szCs w:val="24"/>
          <w:lang w:val="en-US"/>
        </w:rPr>
        <w:t xml:space="preserve"> (2001) “Hedge fund and commodity investments in bull and bear markets”, </w:t>
      </w:r>
      <w:r w:rsidRPr="00E56410">
        <w:rPr>
          <w:rFonts w:ascii="Times New Roman" w:hAnsi="Times New Roman" w:cs="Times New Roman"/>
          <w:i/>
          <w:sz w:val="24"/>
          <w:szCs w:val="24"/>
          <w:lang w:val="en-US"/>
        </w:rPr>
        <w:t>Journal of Portfolio Management</w:t>
      </w:r>
      <w:r w:rsidRPr="00E56410">
        <w:rPr>
          <w:rFonts w:ascii="Times New Roman" w:hAnsi="Times New Roman" w:cs="Times New Roman"/>
          <w:sz w:val="24"/>
          <w:szCs w:val="24"/>
          <w:lang w:val="en-US"/>
        </w:rPr>
        <w:t>, pp. 97- 108.</w:t>
      </w:r>
      <w:proofErr w:type="gramEnd"/>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European Central Bank (2007) “Financial Stability Review, Section D: Measuring Investors’ Risk Appetite.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June, pp. 166-171.</w:t>
      </w:r>
    </w:p>
    <w:p w:rsidR="00E56410" w:rsidRPr="00E56410" w:rsidRDefault="00E56410" w:rsidP="00E56410">
      <w:pPr>
        <w:spacing w:line="240" w:lineRule="auto"/>
        <w:jc w:val="both"/>
        <w:rPr>
          <w:rFonts w:ascii="Times New Roman" w:hAnsi="Times New Roman" w:cs="Times New Roman"/>
          <w:sz w:val="24"/>
          <w:szCs w:val="24"/>
          <w:lang w:val="en-US"/>
        </w:rPr>
      </w:pPr>
    </w:p>
    <w:p w:rsidR="00E56410" w:rsidRPr="00E56410" w:rsidRDefault="00E56410" w:rsidP="00E56410">
      <w:pPr>
        <w:spacing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Fama, E. F. (1970) “Efficient capital markets: A review of theory and empirical work.</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Finance</w:t>
      </w:r>
      <w:r w:rsidRPr="00E56410">
        <w:rPr>
          <w:rFonts w:ascii="Times New Roman" w:hAnsi="Times New Roman" w:cs="Times New Roman"/>
          <w:sz w:val="24"/>
          <w:szCs w:val="24"/>
          <w:lang w:val="en-US"/>
        </w:rPr>
        <w:t>, vol. 25, no. 2, pp. 383–417.</w:t>
      </w:r>
    </w:p>
    <w:p w:rsidR="00E56410" w:rsidRPr="00E56410" w:rsidRDefault="00E56410" w:rsidP="00E56410">
      <w:pPr>
        <w:spacing w:line="360" w:lineRule="auto"/>
        <w:jc w:val="both"/>
        <w:rPr>
          <w:rFonts w:ascii="Times New Roman" w:hAnsi="Times New Roman" w:cs="Times New Roman"/>
          <w:sz w:val="24"/>
          <w:szCs w:val="24"/>
          <w:lang w:val="en-US"/>
        </w:rPr>
      </w:pPr>
      <w:r w:rsidRPr="00E56410">
        <w:rPr>
          <w:rFonts w:ascii="Times New Roman" w:hAnsi="Times New Roman" w:cs="Times New Roman"/>
          <w:color w:val="000000"/>
          <w:sz w:val="24"/>
          <w:szCs w:val="24"/>
          <w:shd w:val="clear" w:color="auto" w:fill="FFFFFF"/>
          <w:lang w:val="en-US"/>
        </w:rPr>
        <w:t>Fama, E. F. and French, R. K. (1993) "Common Risk Factors in the Returns on Stocks and Bonds",</w:t>
      </w:r>
      <w:r w:rsidRPr="00E56410">
        <w:rPr>
          <w:rStyle w:val="apple-converted-space"/>
          <w:rFonts w:ascii="Times New Roman" w:hAnsi="Times New Roman" w:cs="Times New Roman"/>
          <w:color w:val="000000"/>
          <w:sz w:val="24"/>
          <w:szCs w:val="24"/>
          <w:shd w:val="clear" w:color="auto" w:fill="FFFFFF"/>
          <w:lang w:val="en-US"/>
        </w:rPr>
        <w:t> </w:t>
      </w:r>
      <w:r w:rsidRPr="00E56410">
        <w:rPr>
          <w:rFonts w:ascii="Times New Roman" w:hAnsi="Times New Roman" w:cs="Times New Roman"/>
          <w:i/>
          <w:iCs/>
          <w:color w:val="000000"/>
          <w:sz w:val="24"/>
          <w:szCs w:val="24"/>
          <w:shd w:val="clear" w:color="auto" w:fill="FFFFFF"/>
          <w:lang w:val="en-US"/>
        </w:rPr>
        <w:t xml:space="preserve">Journal of Financial Economics, </w:t>
      </w:r>
      <w:r w:rsidRPr="00E56410">
        <w:rPr>
          <w:rFonts w:ascii="Times New Roman" w:hAnsi="Times New Roman" w:cs="Times New Roman"/>
          <w:iCs/>
          <w:color w:val="000000"/>
          <w:sz w:val="24"/>
          <w:szCs w:val="24"/>
          <w:shd w:val="clear" w:color="auto" w:fill="FFFFFF"/>
          <w:lang w:val="en-US"/>
        </w:rPr>
        <w:t>vol.33</w:t>
      </w:r>
      <w:r w:rsidRPr="00E56410">
        <w:rPr>
          <w:rFonts w:ascii="Times New Roman" w:hAnsi="Times New Roman" w:cs="Times New Roman"/>
          <w:bCs/>
          <w:color w:val="000000"/>
          <w:sz w:val="24"/>
          <w:szCs w:val="24"/>
          <w:shd w:val="clear" w:color="auto" w:fill="FFFFFF"/>
          <w:lang w:val="en-US"/>
        </w:rPr>
        <w:t xml:space="preserve">, no. </w:t>
      </w:r>
      <w:r w:rsidRPr="00E56410">
        <w:rPr>
          <w:rFonts w:ascii="Times New Roman" w:hAnsi="Times New Roman" w:cs="Times New Roman"/>
          <w:color w:val="000000"/>
          <w:sz w:val="24"/>
          <w:szCs w:val="24"/>
          <w:shd w:val="clear" w:color="auto" w:fill="FFFFFF"/>
          <w:lang w:val="en-US"/>
        </w:rPr>
        <w:t>1, pp. 3</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Farrell, J. (1974) “Analyzing </w:t>
      </w:r>
      <w:proofErr w:type="spellStart"/>
      <w:r w:rsidRPr="00E56410">
        <w:rPr>
          <w:rFonts w:ascii="Times New Roman" w:hAnsi="Times New Roman" w:cs="Times New Roman"/>
          <w:sz w:val="24"/>
          <w:szCs w:val="24"/>
          <w:lang w:val="en-US"/>
        </w:rPr>
        <w:t>covariation</w:t>
      </w:r>
      <w:proofErr w:type="spellEnd"/>
      <w:r w:rsidRPr="00E56410">
        <w:rPr>
          <w:rFonts w:ascii="Times New Roman" w:hAnsi="Times New Roman" w:cs="Times New Roman"/>
          <w:sz w:val="24"/>
          <w:szCs w:val="24"/>
          <w:lang w:val="en-US"/>
        </w:rPr>
        <w:t xml:space="preserve"> of returns to determine homogenous stock groupings.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Business</w:t>
      </w:r>
      <w:r w:rsidRPr="00E56410">
        <w:rPr>
          <w:rFonts w:ascii="Times New Roman" w:hAnsi="Times New Roman" w:cs="Times New Roman"/>
          <w:sz w:val="24"/>
          <w:szCs w:val="24"/>
          <w:lang w:val="en-US"/>
        </w:rPr>
        <w:t>, vol. 47, no. 2, pp. 186-207.</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Feeney, G. and Hester, D. (1967) “Stock market indices: A principal component analysis”, in Hester, D. and Tobin, J. (ed</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Risk Aversion and Portfolio Choice</w:t>
      </w:r>
      <w:r w:rsidRPr="00E56410">
        <w:rPr>
          <w:rFonts w:ascii="Times New Roman" w:hAnsi="Times New Roman" w:cs="Times New Roman"/>
          <w:sz w:val="24"/>
          <w:szCs w:val="24"/>
          <w:lang w:val="en-US"/>
        </w:rPr>
        <w:t>, New York: Wiley Press.</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Fisher, K. and Statman, M. (2000) “Investor Sentiment and Stock Returns.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Financial Analysts Journal</w:t>
      </w:r>
      <w:r w:rsidRPr="00E56410">
        <w:rPr>
          <w:rFonts w:ascii="Times New Roman" w:hAnsi="Times New Roman" w:cs="Times New Roman"/>
          <w:sz w:val="24"/>
          <w:szCs w:val="24"/>
          <w:lang w:val="en-US"/>
        </w:rPr>
        <w:t>, vol. 56, no. 2, pp. 16-23.</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Fisher, K. and Statman, M. (2003) “Consumer confidence and stock returns.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Journal of Portfolio Management</w:t>
      </w:r>
      <w:r w:rsidRPr="00E56410">
        <w:rPr>
          <w:rFonts w:ascii="Times New Roman" w:hAnsi="Times New Roman" w:cs="Times New Roman"/>
          <w:sz w:val="24"/>
          <w:szCs w:val="24"/>
          <w:lang w:val="en-US"/>
        </w:rPr>
        <w:t>, vol. 30, pp.115-127.</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lastRenderedPageBreak/>
        <w:t>Froot, K. and O’Connell, P. (2003) “The risk tolerance of international investors.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NBER Working Paper</w:t>
      </w:r>
      <w:r w:rsidRPr="00E56410">
        <w:rPr>
          <w:rFonts w:ascii="Times New Roman" w:hAnsi="Times New Roman" w:cs="Times New Roman"/>
          <w:sz w:val="24"/>
          <w:szCs w:val="24"/>
          <w:lang w:val="en-US"/>
        </w:rPr>
        <w:t>, no. 10157.</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Gai, P. and Vause, N. (2004) “Risk Appetite: Concept and Measurement.</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Bank of England Financial Stability Review</w:t>
      </w:r>
      <w:r w:rsidRPr="00E56410">
        <w:rPr>
          <w:rFonts w:ascii="Times New Roman" w:hAnsi="Times New Roman" w:cs="Times New Roman"/>
          <w:sz w:val="24"/>
          <w:szCs w:val="24"/>
          <w:lang w:val="en-US"/>
        </w:rPr>
        <w:t>, December, pp. 127–136.</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Gai, P. and Vause, N. (2006) “Measuring investors’ risk appetite.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International Journal of Central Banking</w:t>
      </w:r>
      <w:r w:rsidRPr="00E56410">
        <w:rPr>
          <w:rFonts w:ascii="Times New Roman" w:hAnsi="Times New Roman" w:cs="Times New Roman"/>
          <w:sz w:val="24"/>
          <w:szCs w:val="24"/>
          <w:lang w:val="en-US"/>
        </w:rPr>
        <w:t>, vol. 2, no. 1, pp. 167-188.</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Giot, P. (2005) “Relationships Between Implied Volatility Indexes and Stock Index Returns.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Portfolio Management</w:t>
      </w:r>
      <w:r w:rsidRPr="00E56410">
        <w:rPr>
          <w:rFonts w:ascii="Times New Roman" w:hAnsi="Times New Roman" w:cs="Times New Roman"/>
          <w:sz w:val="24"/>
          <w:szCs w:val="24"/>
          <w:lang w:val="en-US"/>
        </w:rPr>
        <w:t>, vol. 31, no. 3, pp. 92-100.</w:t>
      </w:r>
    </w:p>
    <w:p w:rsidR="00E56410" w:rsidRPr="00E56410" w:rsidRDefault="00E56410" w:rsidP="00E56410">
      <w:pPr>
        <w:spacing w:line="240" w:lineRule="auto"/>
        <w:jc w:val="both"/>
        <w:rPr>
          <w:rFonts w:ascii="Times New Roman" w:hAnsi="Times New Roman" w:cs="Times New Roman"/>
          <w:sz w:val="24"/>
          <w:szCs w:val="24"/>
          <w:lang w:val="en-US"/>
        </w:rPr>
      </w:pPr>
    </w:p>
    <w:p w:rsidR="00E56410" w:rsidRPr="00E56410" w:rsidRDefault="00E56410" w:rsidP="00E56410">
      <w:pPr>
        <w:spacing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Giot, P. and Laurent, S. (2003) “Market risk in commodity markets: a </w:t>
      </w:r>
      <w:proofErr w:type="spellStart"/>
      <w:r w:rsidRPr="00E56410">
        <w:rPr>
          <w:rFonts w:ascii="Times New Roman" w:hAnsi="Times New Roman" w:cs="Times New Roman"/>
          <w:sz w:val="24"/>
          <w:szCs w:val="24"/>
          <w:lang w:val="en-US"/>
        </w:rPr>
        <w:t>VaR</w:t>
      </w:r>
      <w:proofErr w:type="spellEnd"/>
      <w:r w:rsidRPr="00E56410">
        <w:rPr>
          <w:rFonts w:ascii="Times New Roman" w:hAnsi="Times New Roman" w:cs="Times New Roman"/>
          <w:sz w:val="24"/>
          <w:szCs w:val="24"/>
          <w:lang w:val="en-US"/>
        </w:rPr>
        <w:t xml:space="preserve"> approach”, </w:t>
      </w:r>
      <w:r w:rsidRPr="00E56410">
        <w:rPr>
          <w:rFonts w:ascii="Times New Roman" w:hAnsi="Times New Roman" w:cs="Times New Roman"/>
          <w:i/>
          <w:sz w:val="24"/>
          <w:szCs w:val="24"/>
          <w:lang w:val="en-US"/>
        </w:rPr>
        <w:t>Energy Economics</w:t>
      </w:r>
      <w:r w:rsidRPr="00E56410">
        <w:rPr>
          <w:rFonts w:ascii="Times New Roman" w:hAnsi="Times New Roman" w:cs="Times New Roman"/>
          <w:sz w:val="24"/>
          <w:szCs w:val="24"/>
          <w:lang w:val="en-US"/>
        </w:rPr>
        <w:t>, vol. 25, pp. 435-457.</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González-Hermosillo, B. (2008) “Investors’ risk appetite and global financial market conditions”, </w:t>
      </w:r>
      <w:r w:rsidRPr="00E56410">
        <w:rPr>
          <w:rFonts w:ascii="Times New Roman" w:hAnsi="Times New Roman" w:cs="Times New Roman"/>
          <w:i/>
          <w:sz w:val="24"/>
          <w:szCs w:val="24"/>
          <w:lang w:val="en-US"/>
        </w:rPr>
        <w:t>IMF Working Paper</w:t>
      </w:r>
      <w:r w:rsidRPr="00E56410">
        <w:rPr>
          <w:rFonts w:ascii="Times New Roman" w:hAnsi="Times New Roman" w:cs="Times New Roman"/>
          <w:sz w:val="24"/>
          <w:szCs w:val="24"/>
          <w:lang w:val="en-US"/>
        </w:rPr>
        <w:t>, no. 08/85, April.</w:t>
      </w:r>
      <w:proofErr w:type="gramEnd"/>
      <w:r w:rsidRPr="00E56410">
        <w:rPr>
          <w:rFonts w:ascii="Times New Roman" w:hAnsi="Times New Roman" w:cs="Times New Roman"/>
          <w:sz w:val="24"/>
          <w:szCs w:val="24"/>
          <w:lang w:val="en-US"/>
        </w:rPr>
        <w:t xml:space="preserve">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Gorton, G. and </w:t>
      </w:r>
      <w:proofErr w:type="spellStart"/>
      <w:r w:rsidRPr="00E56410">
        <w:rPr>
          <w:rFonts w:ascii="Times New Roman" w:hAnsi="Times New Roman" w:cs="Times New Roman"/>
          <w:sz w:val="24"/>
          <w:szCs w:val="24"/>
          <w:lang w:val="en-US"/>
        </w:rPr>
        <w:t>Rouwenhorst</w:t>
      </w:r>
      <w:proofErr w:type="spellEnd"/>
      <w:r w:rsidRPr="00E56410">
        <w:rPr>
          <w:rFonts w:ascii="Times New Roman" w:hAnsi="Times New Roman" w:cs="Times New Roman"/>
          <w:sz w:val="24"/>
          <w:szCs w:val="24"/>
          <w:lang w:val="en-US"/>
        </w:rPr>
        <w:t xml:space="preserve">, K. G. (2006) “Facts and fantasies about commodity futures”,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i/>
          <w:iCs/>
          <w:sz w:val="24"/>
          <w:szCs w:val="24"/>
          <w:lang w:val="en-US"/>
        </w:rPr>
        <w:t>Financial Analysts Journal</w:t>
      </w:r>
      <w:r w:rsidRPr="00E56410">
        <w:rPr>
          <w:rFonts w:ascii="Times New Roman" w:hAnsi="Times New Roman" w:cs="Times New Roman"/>
          <w:iCs/>
          <w:sz w:val="24"/>
          <w:szCs w:val="24"/>
          <w:lang w:val="en-US"/>
        </w:rPr>
        <w:t xml:space="preserve">, vol. </w:t>
      </w:r>
      <w:r w:rsidRPr="00E56410">
        <w:rPr>
          <w:rFonts w:ascii="Times New Roman" w:hAnsi="Times New Roman" w:cs="Times New Roman"/>
          <w:sz w:val="24"/>
          <w:szCs w:val="24"/>
          <w:lang w:val="en-US"/>
        </w:rPr>
        <w:t>62, pp. 47- 68.</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Grabner, M. (2002) “Representative Agents and the </w:t>
      </w:r>
      <w:proofErr w:type="spellStart"/>
      <w:r w:rsidRPr="00E56410">
        <w:rPr>
          <w:rFonts w:ascii="Times New Roman" w:hAnsi="Times New Roman" w:cs="Times New Roman"/>
          <w:sz w:val="24"/>
          <w:szCs w:val="24"/>
          <w:lang w:val="en-US"/>
        </w:rPr>
        <w:t>Microfoundations</w:t>
      </w:r>
      <w:proofErr w:type="spellEnd"/>
      <w:r w:rsidRPr="00E56410">
        <w:rPr>
          <w:rFonts w:ascii="Times New Roman" w:hAnsi="Times New Roman" w:cs="Times New Roman"/>
          <w:sz w:val="24"/>
          <w:szCs w:val="24"/>
          <w:lang w:val="en-US"/>
        </w:rPr>
        <w:t xml:space="preserve"> of Macroeconomics</w:t>
      </w:r>
      <w:r w:rsidR="00EA4F22">
        <w:rPr>
          <w:rFonts w:ascii="Times New Roman" w:hAnsi="Times New Roman" w:cs="Times New Roman"/>
          <w:sz w:val="24"/>
          <w:szCs w:val="24"/>
          <w:lang w:val="en-US"/>
        </w:rPr>
        <w:t>”</w:t>
      </w:r>
      <w:r w:rsidRPr="00E56410">
        <w:rPr>
          <w:rFonts w:ascii="Times New Roman" w:hAnsi="Times New Roman" w:cs="Times New Roman"/>
          <w:sz w:val="24"/>
          <w:szCs w:val="24"/>
          <w:lang w:val="en-US"/>
        </w:rPr>
        <w:t>, retrieved</w:t>
      </w:r>
      <w:r w:rsidR="00EA4F22">
        <w:rPr>
          <w:rFonts w:ascii="Times New Roman" w:hAnsi="Times New Roman" w:cs="Times New Roman"/>
          <w:sz w:val="24"/>
          <w:szCs w:val="24"/>
          <w:lang w:val="en-US"/>
        </w:rPr>
        <w:t xml:space="preserve"> </w:t>
      </w:r>
      <w:r w:rsidRPr="00E56410">
        <w:rPr>
          <w:rFonts w:ascii="Times New Roman" w:hAnsi="Times New Roman" w:cs="Times New Roman"/>
          <w:sz w:val="24"/>
          <w:szCs w:val="24"/>
          <w:lang w:val="en-US"/>
        </w:rPr>
        <w:t xml:space="preserve">from </w:t>
      </w:r>
      <w:hyperlink r:id="rId20" w:history="1">
        <w:r w:rsidRPr="00EA4F22">
          <w:rPr>
            <w:rStyle w:val="Hyperlink"/>
            <w:rFonts w:ascii="Times New Roman" w:hAnsi="Times New Roman" w:cs="Times New Roman"/>
            <w:color w:val="auto"/>
            <w:sz w:val="24"/>
            <w:szCs w:val="24"/>
            <w:u w:val="none"/>
            <w:lang w:val="en-US"/>
          </w:rPr>
          <w:t>http://www.econ.ucdavis.edu/graduate/mgrabner/research/microfoundations.pdf</w:t>
        </w:r>
      </w:hyperlink>
    </w:p>
    <w:p w:rsidR="00E56410" w:rsidRPr="00E56410" w:rsidRDefault="00E56410" w:rsidP="00E56410">
      <w:pPr>
        <w:autoSpaceDE w:val="0"/>
        <w:autoSpaceDN w:val="0"/>
        <w:adjustRightInd w:val="0"/>
        <w:spacing w:after="0" w:line="360" w:lineRule="auto"/>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rPr>
          <w:rFonts w:ascii="Times New Roman" w:hAnsi="Times New Roman" w:cs="Times New Roman"/>
          <w:sz w:val="24"/>
          <w:szCs w:val="24"/>
          <w:lang w:val="en-US"/>
        </w:rPr>
      </w:pPr>
      <w:proofErr w:type="spellStart"/>
      <w:r w:rsidRPr="00E56410">
        <w:rPr>
          <w:rFonts w:ascii="Times New Roman" w:hAnsi="Times New Roman" w:cs="Times New Roman"/>
          <w:sz w:val="24"/>
          <w:szCs w:val="24"/>
          <w:lang w:val="en-US"/>
        </w:rPr>
        <w:t>Habib</w:t>
      </w:r>
      <w:proofErr w:type="spellEnd"/>
      <w:r w:rsidRPr="00E56410">
        <w:rPr>
          <w:rFonts w:ascii="Times New Roman" w:hAnsi="Times New Roman" w:cs="Times New Roman"/>
          <w:sz w:val="24"/>
          <w:szCs w:val="24"/>
          <w:lang w:val="en-US"/>
        </w:rPr>
        <w:t>, M. M. and Stracca, L. (2012) “Getting beyond carry trade: What makes a safe haven currency?</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International Economics</w:t>
      </w:r>
      <w:r w:rsidRPr="00E56410">
        <w:rPr>
          <w:rFonts w:ascii="Times New Roman" w:hAnsi="Times New Roman" w:cs="Times New Roman"/>
          <w:sz w:val="24"/>
          <w:szCs w:val="24"/>
          <w:lang w:val="en-US"/>
        </w:rPr>
        <w:t>, vol. 87, pp. 50-64.</w:t>
      </w:r>
    </w:p>
    <w:p w:rsidR="00E56410" w:rsidRPr="00E56410" w:rsidRDefault="00E56410" w:rsidP="00E56410">
      <w:pPr>
        <w:autoSpaceDE w:val="0"/>
        <w:autoSpaceDN w:val="0"/>
        <w:adjustRightInd w:val="0"/>
        <w:spacing w:after="0" w:line="360" w:lineRule="auto"/>
        <w:jc w:val="both"/>
        <w:rPr>
          <w:rFonts w:ascii="Times New Roman" w:eastAsia="Calibri"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eastAsia="Calibri" w:hAnsi="Times New Roman" w:cs="Times New Roman"/>
          <w:sz w:val="24"/>
          <w:szCs w:val="24"/>
          <w:lang w:val="en-US"/>
        </w:rPr>
      </w:pPr>
      <w:r w:rsidRPr="00E56410">
        <w:rPr>
          <w:rFonts w:ascii="Times New Roman" w:eastAsia="Calibri" w:hAnsi="Times New Roman" w:cs="Times New Roman"/>
          <w:sz w:val="24"/>
          <w:szCs w:val="24"/>
          <w:lang w:val="en-US"/>
        </w:rPr>
        <w:t xml:space="preserve">Hartley, P. (1997) Group Communication. London: </w:t>
      </w:r>
      <w:proofErr w:type="spellStart"/>
      <w:r w:rsidRPr="00E56410">
        <w:rPr>
          <w:rFonts w:ascii="Times New Roman" w:eastAsia="Calibri" w:hAnsi="Times New Roman" w:cs="Times New Roman"/>
          <w:sz w:val="24"/>
          <w:szCs w:val="24"/>
          <w:lang w:val="en-US"/>
        </w:rPr>
        <w:t>Routledge</w:t>
      </w:r>
      <w:proofErr w:type="spellEnd"/>
      <w:r w:rsidRPr="00E56410">
        <w:rPr>
          <w:rFonts w:ascii="Times New Roman" w:eastAsia="Calibri" w:hAnsi="Times New Roman" w:cs="Times New Roman"/>
          <w:sz w:val="24"/>
          <w:szCs w:val="24"/>
          <w:lang w:val="en-US"/>
        </w:rPr>
        <w:t>.</w:t>
      </w: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Hill, R. C., Griffiths, E. W. and Lim, C. G. (2012) “Principles of Econometrics”, ed. 4</w:t>
      </w:r>
      <w:r w:rsidRPr="00E56410">
        <w:rPr>
          <w:rFonts w:ascii="Times New Roman" w:hAnsi="Times New Roman" w:cs="Times New Roman"/>
          <w:sz w:val="24"/>
          <w:szCs w:val="24"/>
          <w:vertAlign w:val="superscript"/>
          <w:lang w:val="en-US"/>
        </w:rPr>
        <w:t>th</w:t>
      </w:r>
      <w:r w:rsidRPr="00E56410">
        <w:rPr>
          <w:rFonts w:ascii="Times New Roman" w:hAnsi="Times New Roman" w:cs="Times New Roman"/>
          <w:sz w:val="24"/>
          <w:szCs w:val="24"/>
          <w:lang w:val="en-US"/>
        </w:rPr>
        <w:t>, John Wiley and Sons Inc.</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Huang, R., </w:t>
      </w:r>
      <w:proofErr w:type="spellStart"/>
      <w:r w:rsidRPr="00E56410">
        <w:rPr>
          <w:rFonts w:ascii="Times New Roman" w:hAnsi="Times New Roman" w:cs="Times New Roman"/>
          <w:sz w:val="24"/>
          <w:szCs w:val="24"/>
          <w:lang w:val="en-US"/>
        </w:rPr>
        <w:t>Masulis</w:t>
      </w:r>
      <w:proofErr w:type="spellEnd"/>
      <w:r w:rsidRPr="00E56410">
        <w:rPr>
          <w:rFonts w:ascii="Times New Roman" w:hAnsi="Times New Roman" w:cs="Times New Roman"/>
          <w:sz w:val="24"/>
          <w:szCs w:val="24"/>
          <w:lang w:val="en-US"/>
        </w:rPr>
        <w:t xml:space="preserve">, R. and Stoll, H. (1996) “Energy shocks and </w:t>
      </w:r>
      <w:r w:rsidRPr="00E56410">
        <w:rPr>
          <w:rFonts w:ascii="Times New Roman" w:hAnsi="Times New Roman" w:cs="Times New Roman"/>
          <w:sz w:val="24"/>
          <w:szCs w:val="24"/>
        </w:rPr>
        <w:t>ﬁ</w:t>
      </w:r>
      <w:proofErr w:type="spellStart"/>
      <w:r w:rsidRPr="00E56410">
        <w:rPr>
          <w:rFonts w:ascii="Times New Roman" w:hAnsi="Times New Roman" w:cs="Times New Roman"/>
          <w:sz w:val="24"/>
          <w:szCs w:val="24"/>
          <w:lang w:val="en-US"/>
        </w:rPr>
        <w:t>nancial</w:t>
      </w:r>
      <w:proofErr w:type="spellEnd"/>
      <w:r w:rsidRPr="00E56410">
        <w:rPr>
          <w:rFonts w:ascii="Times New Roman" w:hAnsi="Times New Roman" w:cs="Times New Roman"/>
          <w:sz w:val="24"/>
          <w:szCs w:val="24"/>
          <w:lang w:val="en-US"/>
        </w:rPr>
        <w:t xml:space="preserve"> markets”, </w:t>
      </w:r>
      <w:r w:rsidRPr="00E56410">
        <w:rPr>
          <w:rFonts w:ascii="Times New Roman" w:hAnsi="Times New Roman" w:cs="Times New Roman"/>
          <w:i/>
          <w:sz w:val="24"/>
          <w:szCs w:val="24"/>
          <w:lang w:val="en-US"/>
        </w:rPr>
        <w:t>Journal of Futures Markets</w:t>
      </w:r>
      <w:r w:rsidRPr="00E56410">
        <w:rPr>
          <w:rFonts w:ascii="Times New Roman" w:hAnsi="Times New Roman" w:cs="Times New Roman"/>
          <w:sz w:val="24"/>
          <w:szCs w:val="24"/>
          <w:lang w:val="en-US"/>
        </w:rPr>
        <w:t>, no. 16, pp. 1-27.</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lastRenderedPageBreak/>
        <w:t>Illing, M. and Aaron, M. (2005) “A brief survey of risk-appetite indexes.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Bank of Canada Financial System Review</w:t>
      </w:r>
      <w:r w:rsidRPr="00E56410">
        <w:rPr>
          <w:rFonts w:ascii="Times New Roman" w:hAnsi="Times New Roman" w:cs="Times New Roman"/>
          <w:sz w:val="24"/>
          <w:szCs w:val="24"/>
          <w:lang w:val="en-US"/>
        </w:rPr>
        <w:t>, June, pp. 37–43.</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Jansen, W. and </w:t>
      </w:r>
      <w:proofErr w:type="spellStart"/>
      <w:r w:rsidRPr="00E56410">
        <w:rPr>
          <w:rFonts w:ascii="Times New Roman" w:hAnsi="Times New Roman" w:cs="Times New Roman"/>
          <w:sz w:val="24"/>
          <w:szCs w:val="24"/>
          <w:lang w:val="en-US"/>
        </w:rPr>
        <w:t>Nahuis</w:t>
      </w:r>
      <w:proofErr w:type="spellEnd"/>
      <w:r w:rsidRPr="00E56410">
        <w:rPr>
          <w:rFonts w:ascii="Times New Roman" w:hAnsi="Times New Roman" w:cs="Times New Roman"/>
          <w:sz w:val="24"/>
          <w:szCs w:val="24"/>
          <w:lang w:val="en-US"/>
        </w:rPr>
        <w:t>, N. (2003) “The stock market and consumer confidence: European evidence.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Economic Letters</w:t>
      </w:r>
      <w:r w:rsidRPr="00E56410">
        <w:rPr>
          <w:rFonts w:ascii="Times New Roman" w:hAnsi="Times New Roman" w:cs="Times New Roman"/>
          <w:sz w:val="24"/>
          <w:szCs w:val="24"/>
          <w:lang w:val="en-US"/>
        </w:rPr>
        <w:t>, vol. 79, pp. 89-98.</w:t>
      </w:r>
    </w:p>
    <w:p w:rsidR="00E56410" w:rsidRPr="00E56410" w:rsidRDefault="00E56410" w:rsidP="00E56410">
      <w:pPr>
        <w:shd w:val="clear" w:color="auto" w:fill="FFFFFF" w:themeFill="background1"/>
        <w:spacing w:line="360" w:lineRule="auto"/>
        <w:jc w:val="both"/>
        <w:rPr>
          <w:rFonts w:ascii="Times New Roman" w:hAnsi="Times New Roman" w:cs="Times New Roman"/>
          <w:sz w:val="24"/>
          <w:szCs w:val="24"/>
          <w:lang w:val="en-US"/>
        </w:rPr>
      </w:pPr>
    </w:p>
    <w:p w:rsidR="00E56410" w:rsidRPr="00E56410" w:rsidRDefault="00E56410" w:rsidP="00E56410">
      <w:pPr>
        <w:shd w:val="clear" w:color="auto" w:fill="FFFFFF" w:themeFill="background1"/>
        <w:spacing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Jensen, N. (2010) “The Commodities Con. The Absolute Return Letter (May 1–9).</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Kahneman, D. and Tversky, A. (1973) “On the Psychology of Prediction.</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Psychological Review</w:t>
      </w:r>
      <w:r w:rsidRPr="00E56410">
        <w:rPr>
          <w:rFonts w:ascii="Times New Roman" w:hAnsi="Times New Roman" w:cs="Times New Roman"/>
          <w:sz w:val="24"/>
          <w:szCs w:val="24"/>
          <w:lang w:val="en-US"/>
        </w:rPr>
        <w:t>, vol. 80, no. 4, pp. 237–251.</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Kahneman, D. and Tversky, A. (1974) “Judgment Under Uncertainty: Heuristics and Biases.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Science</w:t>
      </w:r>
      <w:r w:rsidRPr="00E56410">
        <w:rPr>
          <w:rFonts w:ascii="Times New Roman" w:hAnsi="Times New Roman" w:cs="Times New Roman"/>
          <w:sz w:val="24"/>
          <w:szCs w:val="24"/>
          <w:lang w:val="en-US"/>
        </w:rPr>
        <w:t>, vol. 185, no. 4157, pp. 1124-1131.</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Kahneman, D. and Tversky, A. (1979) “Prospect Theory: An Analysis of Decisions under Risk.</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proofErr w:type="spellStart"/>
      <w:r w:rsidRPr="00E56410">
        <w:rPr>
          <w:rFonts w:ascii="Times New Roman" w:hAnsi="Times New Roman" w:cs="Times New Roman"/>
          <w:i/>
          <w:sz w:val="24"/>
          <w:szCs w:val="24"/>
          <w:lang w:val="en-US"/>
        </w:rPr>
        <w:t>Econometrica</w:t>
      </w:r>
      <w:proofErr w:type="spellEnd"/>
      <w:r w:rsidRPr="00E56410">
        <w:rPr>
          <w:rFonts w:ascii="Times New Roman" w:hAnsi="Times New Roman" w:cs="Times New Roman"/>
          <w:sz w:val="24"/>
          <w:szCs w:val="24"/>
          <w:lang w:val="en-US"/>
        </w:rPr>
        <w:t>, vol. 47, no. 2, pp. 263–291.</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E56410">
        <w:rPr>
          <w:rFonts w:ascii="Times New Roman" w:hAnsi="Times New Roman" w:cs="Times New Roman"/>
          <w:sz w:val="24"/>
          <w:szCs w:val="24"/>
          <w:lang w:val="en-US"/>
        </w:rPr>
        <w:t>Kaul</w:t>
      </w:r>
      <w:proofErr w:type="spellEnd"/>
      <w:r w:rsidRPr="00E56410">
        <w:rPr>
          <w:rFonts w:ascii="Times New Roman" w:hAnsi="Times New Roman" w:cs="Times New Roman"/>
          <w:sz w:val="24"/>
          <w:szCs w:val="24"/>
          <w:lang w:val="en-US"/>
        </w:rPr>
        <w:t>, A. and Sapp, S. (2006) "Y2K fears and safe haven trading of the U.S. dollar.</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International Money and Finance</w:t>
      </w:r>
      <w:r w:rsidRPr="00E56410">
        <w:rPr>
          <w:rFonts w:ascii="Times New Roman" w:hAnsi="Times New Roman" w:cs="Times New Roman"/>
          <w:sz w:val="24"/>
          <w:szCs w:val="24"/>
          <w:lang w:val="en-US"/>
        </w:rPr>
        <w:t>, no. 25, pp. 760–779.</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Keynes, J. M. (1936) “The General Theory of Employment, Interest, and Money.”</w:t>
      </w:r>
      <w:proofErr w:type="gramStart"/>
      <w:r w:rsidRPr="00E56410">
        <w:rPr>
          <w:rFonts w:ascii="Times New Roman" w:hAnsi="Times New Roman" w:cs="Times New Roman"/>
          <w:sz w:val="24"/>
          <w:szCs w:val="24"/>
          <w:lang w:val="en-US"/>
        </w:rPr>
        <w:t>, ,</w:t>
      </w:r>
      <w:proofErr w:type="gramEnd"/>
      <w:r w:rsidRPr="00E56410">
        <w:rPr>
          <w:rFonts w:ascii="Times New Roman" w:hAnsi="Times New Roman" w:cs="Times New Roman"/>
          <w:sz w:val="24"/>
          <w:szCs w:val="24"/>
          <w:lang w:val="en-US"/>
        </w:rPr>
        <w:t xml:space="preserve"> London: MacMillan Press.</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Kumar, M. and Persaud, A. (2002) “Pure contagion and investors’ shifting risk appetite: analytical issues and empirical evidence.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International Finance</w:t>
      </w:r>
      <w:r w:rsidRPr="00E56410">
        <w:rPr>
          <w:rFonts w:ascii="Times New Roman" w:hAnsi="Times New Roman" w:cs="Times New Roman"/>
          <w:sz w:val="24"/>
          <w:szCs w:val="24"/>
          <w:lang w:val="en-US"/>
        </w:rPr>
        <w:t>, vol. 5, no. 3, pp. 401-436.</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Lee, C., Shleifer, A. and Thaler, R. (1991) “Investor sentiment and the closed-end fund puzzle.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Journal of Finance</w:t>
      </w:r>
      <w:r w:rsidRPr="00E56410">
        <w:rPr>
          <w:rFonts w:ascii="Times New Roman" w:hAnsi="Times New Roman" w:cs="Times New Roman"/>
          <w:iCs/>
          <w:sz w:val="24"/>
          <w:szCs w:val="24"/>
          <w:lang w:val="en-US"/>
        </w:rPr>
        <w:t>, vol.</w:t>
      </w:r>
      <w:r w:rsidRPr="00E56410">
        <w:rPr>
          <w:rFonts w:ascii="Times New Roman" w:hAnsi="Times New Roman" w:cs="Times New Roman"/>
          <w:i/>
          <w:iCs/>
          <w:sz w:val="24"/>
          <w:szCs w:val="24"/>
          <w:lang w:val="en-US"/>
        </w:rPr>
        <w:t xml:space="preserve"> </w:t>
      </w:r>
      <w:r w:rsidRPr="00E56410">
        <w:rPr>
          <w:rFonts w:ascii="Times New Roman" w:hAnsi="Times New Roman" w:cs="Times New Roman"/>
          <w:sz w:val="24"/>
          <w:szCs w:val="24"/>
          <w:lang w:val="en-US"/>
        </w:rPr>
        <w:t>46, pp. 75–109.</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Lemmon, M. and Portniaguina, E. (2006) “Consumer confidence and asset prices: Some empirical evidence.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Review of Financial Studies</w:t>
      </w:r>
      <w:r w:rsidRPr="00E56410">
        <w:rPr>
          <w:rFonts w:ascii="Times New Roman" w:hAnsi="Times New Roman" w:cs="Times New Roman"/>
          <w:sz w:val="24"/>
          <w:szCs w:val="24"/>
          <w:lang w:val="en-US"/>
        </w:rPr>
        <w:t>, vol. 19, pp.1499-1529.</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Malkiel, B. G. (2003) "The Efficient Market Hypothesis and Its Critics.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Economic Perspectives</w:t>
      </w:r>
      <w:r w:rsidRPr="00E56410">
        <w:rPr>
          <w:rFonts w:ascii="Times New Roman" w:hAnsi="Times New Roman" w:cs="Times New Roman"/>
          <w:sz w:val="24"/>
          <w:szCs w:val="24"/>
          <w:lang w:val="en-US"/>
        </w:rPr>
        <w:t>, vol. 17, no. 1, pp. 59–82.</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highlight w:val="yellow"/>
          <w:lang w:val="en-US"/>
        </w:rPr>
      </w:pPr>
      <w:r w:rsidRPr="00E56410">
        <w:rPr>
          <w:rFonts w:ascii="Times New Roman" w:hAnsi="Times New Roman" w:cs="Times New Roman"/>
          <w:sz w:val="24"/>
          <w:szCs w:val="24"/>
          <w:lang w:val="en-US"/>
        </w:rPr>
        <w:lastRenderedPageBreak/>
        <w:t xml:space="preserve">Markowitz, H. (1952) “Portfolio Selection”, </w:t>
      </w:r>
      <w:proofErr w:type="gramStart"/>
      <w:r w:rsidRPr="00E56410">
        <w:rPr>
          <w:rFonts w:ascii="Times New Roman" w:hAnsi="Times New Roman" w:cs="Times New Roman"/>
          <w:i/>
          <w:sz w:val="24"/>
          <w:szCs w:val="24"/>
          <w:lang w:val="en-US"/>
        </w:rPr>
        <w:t>The</w:t>
      </w:r>
      <w:proofErr w:type="gramEnd"/>
      <w:r w:rsidRPr="00E56410">
        <w:rPr>
          <w:rFonts w:ascii="Times New Roman" w:hAnsi="Times New Roman" w:cs="Times New Roman"/>
          <w:i/>
          <w:sz w:val="24"/>
          <w:szCs w:val="24"/>
          <w:lang w:val="en-US"/>
        </w:rPr>
        <w:t xml:space="preserve"> Journal of Finance</w:t>
      </w:r>
      <w:r w:rsidRPr="00E56410">
        <w:rPr>
          <w:rFonts w:ascii="Times New Roman" w:hAnsi="Times New Roman" w:cs="Times New Roman"/>
          <w:sz w:val="24"/>
          <w:szCs w:val="24"/>
          <w:lang w:val="en-US"/>
        </w:rPr>
        <w:t>, vol. 7, no. 1, pp. 77-91.</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Marshall, A. (1890) “Principles of Economics”, ed. 8, </w:t>
      </w:r>
      <w:proofErr w:type="spellStart"/>
      <w:r w:rsidRPr="00E56410">
        <w:rPr>
          <w:rFonts w:ascii="Times New Roman" w:hAnsi="Times New Roman" w:cs="Times New Roman"/>
          <w:sz w:val="24"/>
          <w:szCs w:val="24"/>
          <w:lang w:val="en-US"/>
        </w:rPr>
        <w:t>London</w:t>
      </w:r>
      <w:proofErr w:type="gramStart"/>
      <w:r w:rsidRPr="00E56410">
        <w:rPr>
          <w:rFonts w:ascii="Times New Roman" w:hAnsi="Times New Roman" w:cs="Times New Roman"/>
          <w:sz w:val="24"/>
          <w:szCs w:val="24"/>
          <w:lang w:val="en-US"/>
        </w:rPr>
        <w:t>:Macmillan</w:t>
      </w:r>
      <w:proofErr w:type="spellEnd"/>
      <w:proofErr w:type="gramEnd"/>
      <w:r w:rsidRPr="00E56410">
        <w:rPr>
          <w:rFonts w:ascii="Times New Roman" w:hAnsi="Times New Roman" w:cs="Times New Roman"/>
          <w:sz w:val="24"/>
          <w:szCs w:val="24"/>
          <w:lang w:val="en-US"/>
        </w:rPr>
        <w:t xml:space="preserve"> and Co., Limited, 1938.</w:t>
      </w:r>
    </w:p>
    <w:p w:rsidR="00E56410" w:rsidRPr="00E56410" w:rsidRDefault="00E56410" w:rsidP="00E56410">
      <w:pPr>
        <w:spacing w:line="240" w:lineRule="auto"/>
        <w:jc w:val="both"/>
        <w:rPr>
          <w:rFonts w:ascii="Times New Roman" w:hAnsi="Times New Roman" w:cs="Times New Roman"/>
          <w:sz w:val="24"/>
          <w:szCs w:val="24"/>
          <w:lang w:val="en-US"/>
        </w:rPr>
      </w:pPr>
    </w:p>
    <w:p w:rsidR="00E56410" w:rsidRPr="00E56410" w:rsidRDefault="00E56410" w:rsidP="00E56410">
      <w:pPr>
        <w:spacing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Marshall, B. R., Nguyen, N. H. and </w:t>
      </w:r>
      <w:proofErr w:type="spellStart"/>
      <w:r w:rsidRPr="00E56410">
        <w:rPr>
          <w:rFonts w:ascii="Times New Roman" w:hAnsi="Times New Roman" w:cs="Times New Roman"/>
          <w:sz w:val="24"/>
          <w:szCs w:val="24"/>
          <w:lang w:val="en-US"/>
        </w:rPr>
        <w:t>Visaltanachoti</w:t>
      </w:r>
      <w:proofErr w:type="spellEnd"/>
      <w:r w:rsidRPr="00E56410">
        <w:rPr>
          <w:rFonts w:ascii="Times New Roman" w:hAnsi="Times New Roman" w:cs="Times New Roman"/>
          <w:sz w:val="24"/>
          <w:szCs w:val="24"/>
          <w:lang w:val="en-US"/>
        </w:rPr>
        <w:t xml:space="preserve">, N. (2012) “Liquidity commonality in commodities”, </w:t>
      </w:r>
      <w:r w:rsidRPr="00E56410">
        <w:rPr>
          <w:rFonts w:ascii="Times New Roman" w:hAnsi="Times New Roman" w:cs="Times New Roman"/>
          <w:i/>
          <w:sz w:val="24"/>
          <w:szCs w:val="24"/>
          <w:lang w:val="en-US"/>
        </w:rPr>
        <w:t>Journal of Banking and Finance</w:t>
      </w:r>
      <w:r w:rsidRPr="00E56410">
        <w:rPr>
          <w:rFonts w:ascii="Times New Roman" w:hAnsi="Times New Roman" w:cs="Times New Roman"/>
          <w:sz w:val="24"/>
          <w:szCs w:val="24"/>
          <w:lang w:val="en-US"/>
        </w:rPr>
        <w:t>, article in press.</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McCauley, R. and McGuire, P. (2009) "Dollar appreciation in 2008: safe haven, carry trades, dollar shortage and </w:t>
      </w:r>
      <w:proofErr w:type="spellStart"/>
      <w:r w:rsidRPr="00E56410">
        <w:rPr>
          <w:rFonts w:ascii="Times New Roman" w:hAnsi="Times New Roman" w:cs="Times New Roman"/>
          <w:sz w:val="24"/>
          <w:szCs w:val="24"/>
          <w:lang w:val="en-US"/>
        </w:rPr>
        <w:t>overhedging</w:t>
      </w:r>
      <w:proofErr w:type="spell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BIS Quarterly Review</w:t>
      </w:r>
      <w:r w:rsidRPr="00E56410">
        <w:rPr>
          <w:rFonts w:ascii="Times New Roman" w:hAnsi="Times New Roman" w:cs="Times New Roman"/>
          <w:sz w:val="24"/>
          <w:szCs w:val="24"/>
          <w:lang w:val="en-US"/>
        </w:rPr>
        <w:t>, no. 4, pp. 85-94.</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McGuire, P. and Schrijvers, M. (2003) “Common factors in emerging market spreads.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BIS Quarterly Review</w:t>
      </w:r>
      <w:r w:rsidRPr="00E56410">
        <w:rPr>
          <w:rFonts w:ascii="Times New Roman" w:hAnsi="Times New Roman" w:cs="Times New Roman"/>
          <w:sz w:val="24"/>
          <w:szCs w:val="24"/>
          <w:lang w:val="en-US"/>
        </w:rPr>
        <w:t>, December, pp. 65-78.</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spacing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Min, H. G., (1998) “Determinants of Emerging Market Bond Spreads: Do Economic Fundamentals Matter?</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World Bank Policy, Research Paper 1899.</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Misina, M. (2003) “What does the risk-appetite index measure?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Bank of Canada</w:t>
      </w:r>
      <w:r w:rsidRPr="00E56410">
        <w:rPr>
          <w:rFonts w:ascii="Times New Roman" w:hAnsi="Times New Roman" w:cs="Times New Roman"/>
          <w:sz w:val="24"/>
          <w:szCs w:val="24"/>
          <w:lang w:val="en-US"/>
        </w:rPr>
        <w:t>, Working Paper, no 2003-23.</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Misina, M. (2006) “Benchmark index of risk appetite.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Bank of Canada</w:t>
      </w:r>
      <w:r w:rsidRPr="00E56410">
        <w:rPr>
          <w:rFonts w:ascii="Times New Roman" w:hAnsi="Times New Roman" w:cs="Times New Roman"/>
          <w:sz w:val="24"/>
          <w:szCs w:val="24"/>
          <w:lang w:val="en-US"/>
        </w:rPr>
        <w:t>, Working Paper, no 2006-16.</w:t>
      </w:r>
    </w:p>
    <w:p w:rsidR="00E56410" w:rsidRPr="00E56410" w:rsidRDefault="00E56410" w:rsidP="00E56410">
      <w:pPr>
        <w:pStyle w:val="NormalWeb"/>
        <w:spacing w:line="360" w:lineRule="auto"/>
        <w:jc w:val="both"/>
        <w:rPr>
          <w:lang w:val="en-US"/>
        </w:rPr>
      </w:pPr>
      <w:r w:rsidRPr="00E56410">
        <w:rPr>
          <w:lang w:val="en-US"/>
        </w:rPr>
        <w:t>Misina, M. (2008) “Changing investors’ risk appetite: Reality or fiction?</w:t>
      </w:r>
      <w:proofErr w:type="gramStart"/>
      <w:r w:rsidRPr="00E56410">
        <w:rPr>
          <w:lang w:val="en-US"/>
        </w:rPr>
        <w:t>”,</w:t>
      </w:r>
      <w:proofErr w:type="gramEnd"/>
      <w:r w:rsidRPr="00E56410">
        <w:rPr>
          <w:lang w:val="en-US"/>
        </w:rPr>
        <w:t xml:space="preserve"> </w:t>
      </w:r>
      <w:r w:rsidRPr="00E56410">
        <w:rPr>
          <w:i/>
          <w:iCs/>
          <w:lang w:val="en-US"/>
        </w:rPr>
        <w:t>The European Journal of Finance</w:t>
      </w:r>
      <w:r w:rsidRPr="00E56410">
        <w:rPr>
          <w:lang w:val="en-US"/>
        </w:rPr>
        <w:t>, vol. 14, no. 6, pp. 489–501.</w:t>
      </w: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shd w:val="clear" w:color="auto" w:fill="FFFFFF"/>
          <w:lang w:val="en-US"/>
        </w:rPr>
      </w:pPr>
      <w:r w:rsidRPr="00E56410">
        <w:rPr>
          <w:rFonts w:ascii="Times New Roman" w:hAnsi="Times New Roman" w:cs="Times New Roman"/>
          <w:sz w:val="24"/>
          <w:szCs w:val="24"/>
          <w:shd w:val="clear" w:color="auto" w:fill="FFFFFF"/>
          <w:lang w:val="en-US"/>
        </w:rPr>
        <w:t>Mongin, P. (1997) “</w:t>
      </w:r>
      <w:proofErr w:type="spellStart"/>
      <w:r w:rsidRPr="00E56410">
        <w:rPr>
          <w:rFonts w:ascii="Times New Roman" w:hAnsi="Times New Roman" w:cs="Times New Roman"/>
          <w:sz w:val="24"/>
          <w:szCs w:val="24"/>
          <w:shd w:val="clear" w:color="auto" w:fill="FFFFFF"/>
          <w:lang w:val="en-US"/>
        </w:rPr>
        <w:t>Exoected</w:t>
      </w:r>
      <w:proofErr w:type="spellEnd"/>
      <w:r w:rsidRPr="00E56410">
        <w:rPr>
          <w:rFonts w:ascii="Times New Roman" w:hAnsi="Times New Roman" w:cs="Times New Roman"/>
          <w:sz w:val="24"/>
          <w:szCs w:val="24"/>
          <w:shd w:val="clear" w:color="auto" w:fill="FFFFFF"/>
          <w:lang w:val="en-US"/>
        </w:rPr>
        <w:t xml:space="preserve"> Utility Theory”, Prepared for the Handbook of Economic Methodology (Davis, J., Hands, W. and Maki, E., London, E. Elgar, 1997, pp. 342-350).</w:t>
      </w: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shd w:val="clear" w:color="auto" w:fill="FFFFFF"/>
          <w:lang w:val="en-US"/>
        </w:rPr>
      </w:pP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shd w:val="clear" w:color="auto" w:fill="F2F2F2"/>
          <w:lang w:val="en-US"/>
        </w:rPr>
      </w:pPr>
      <w:proofErr w:type="spellStart"/>
      <w:r w:rsidRPr="00E56410">
        <w:rPr>
          <w:rFonts w:ascii="Times New Roman" w:hAnsi="Times New Roman" w:cs="Times New Roman"/>
          <w:sz w:val="24"/>
          <w:szCs w:val="24"/>
          <w:shd w:val="clear" w:color="auto" w:fill="FFFFFF"/>
          <w:lang w:val="en-US"/>
        </w:rPr>
        <w:t>Nayak</w:t>
      </w:r>
      <w:proofErr w:type="spellEnd"/>
      <w:r w:rsidRPr="00E56410">
        <w:rPr>
          <w:rFonts w:ascii="Times New Roman" w:hAnsi="Times New Roman" w:cs="Times New Roman"/>
          <w:sz w:val="24"/>
          <w:szCs w:val="24"/>
          <w:shd w:val="clear" w:color="auto" w:fill="FFFFFF"/>
          <w:lang w:val="en-US"/>
        </w:rPr>
        <w:t xml:space="preserve">, S. (2010) "Investor Sentiment and Corporate Bond Yield Spreads", </w:t>
      </w:r>
      <w:r w:rsidRPr="00E56410">
        <w:rPr>
          <w:rFonts w:ascii="Times New Roman" w:hAnsi="Times New Roman" w:cs="Times New Roman"/>
          <w:i/>
          <w:sz w:val="24"/>
          <w:szCs w:val="24"/>
          <w:shd w:val="clear" w:color="auto" w:fill="FFFFFF"/>
          <w:lang w:val="en-US"/>
        </w:rPr>
        <w:t>Review of Behavioral Finance</w:t>
      </w:r>
      <w:r w:rsidRPr="00E56410">
        <w:rPr>
          <w:rFonts w:ascii="Times New Roman" w:hAnsi="Times New Roman" w:cs="Times New Roman"/>
          <w:sz w:val="24"/>
          <w:szCs w:val="24"/>
          <w:shd w:val="clear" w:color="auto" w:fill="FFFFFF"/>
          <w:lang w:val="en-US"/>
        </w:rPr>
        <w:t>, vol. 2, no. 2, pp.59 – 80.</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Neal, R. and Wheatley, S. M. (1998) “Do Measures of Investor Sentiment Predict Returns?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Financial and Quantitative Analysis</w:t>
      </w:r>
      <w:r w:rsidRPr="00E56410">
        <w:rPr>
          <w:rFonts w:ascii="Times New Roman" w:hAnsi="Times New Roman" w:cs="Times New Roman"/>
          <w:sz w:val="24"/>
          <w:szCs w:val="24"/>
          <w:lang w:val="en-US"/>
        </w:rPr>
        <w:t>, vol. 33, pp 523-547.</w:t>
      </w:r>
    </w:p>
    <w:p w:rsidR="00E56410" w:rsidRPr="00E56410" w:rsidRDefault="00E56410" w:rsidP="00E56410">
      <w:pPr>
        <w:shd w:val="clear" w:color="auto" w:fill="FFFFFF" w:themeFill="background1"/>
        <w:autoSpaceDE w:val="0"/>
        <w:autoSpaceDN w:val="0"/>
        <w:adjustRightInd w:val="0"/>
        <w:spacing w:after="0" w:line="240" w:lineRule="auto"/>
        <w:jc w:val="both"/>
        <w:rPr>
          <w:rFonts w:ascii="Times New Roman" w:hAnsi="Times New Roman" w:cs="Times New Roman"/>
          <w:bCs/>
          <w:sz w:val="24"/>
          <w:szCs w:val="24"/>
          <w:lang w:val="en-US"/>
        </w:rPr>
      </w:pP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bCs/>
          <w:sz w:val="24"/>
          <w:szCs w:val="24"/>
          <w:lang w:val="en-US"/>
        </w:rPr>
      </w:pPr>
      <w:proofErr w:type="gramStart"/>
      <w:r w:rsidRPr="00E56410">
        <w:rPr>
          <w:rFonts w:ascii="Times New Roman" w:hAnsi="Times New Roman" w:cs="Times New Roman"/>
          <w:bCs/>
          <w:sz w:val="24"/>
          <w:szCs w:val="24"/>
          <w:lang w:val="en-US"/>
        </w:rPr>
        <w:lastRenderedPageBreak/>
        <w:t>Nomura International PLC (2009) Global Foreign Exchange Research.</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highlight w:val="green"/>
          <w:lang w:val="en-US"/>
        </w:rPr>
      </w:pPr>
      <w:r w:rsidRPr="00E56410">
        <w:rPr>
          <w:rFonts w:ascii="Times New Roman" w:hAnsi="Times New Roman" w:cs="Times New Roman"/>
          <w:sz w:val="24"/>
          <w:szCs w:val="24"/>
          <w:lang w:val="en-US"/>
        </w:rPr>
        <w:t>Otoo, M. (1999) “Consumer Sentiment and The Stock Market.</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Working Paper Board of Governors of the Federal Reserve System.</w:t>
      </w:r>
    </w:p>
    <w:p w:rsidR="00E56410" w:rsidRPr="00E56410" w:rsidRDefault="00E56410" w:rsidP="00E56410">
      <w:pPr>
        <w:spacing w:line="240" w:lineRule="auto"/>
        <w:jc w:val="both"/>
        <w:rPr>
          <w:rFonts w:ascii="Times New Roman" w:hAnsi="Times New Roman" w:cs="Times New Roman"/>
          <w:sz w:val="24"/>
          <w:szCs w:val="24"/>
          <w:lang w:val="en-US"/>
        </w:rPr>
      </w:pPr>
    </w:p>
    <w:p w:rsidR="00E56410" w:rsidRPr="00E56410" w:rsidRDefault="00E56410" w:rsidP="00E56410">
      <w:pPr>
        <w:spacing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Ouliaris, S. (2011) “What are economic models? How economists try to simulate reality.</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Finance &amp; Development</w:t>
      </w:r>
      <w:r w:rsidRPr="00E56410">
        <w:rPr>
          <w:rFonts w:ascii="Times New Roman" w:hAnsi="Times New Roman" w:cs="Times New Roman"/>
          <w:sz w:val="24"/>
          <w:szCs w:val="24"/>
          <w:lang w:val="en-US"/>
        </w:rPr>
        <w:t xml:space="preserve">, June, vol. 48, no. 2.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Peck, R. and Devore, J. L. (2010) </w:t>
      </w:r>
      <w:r w:rsidRPr="00E56410">
        <w:rPr>
          <w:rFonts w:ascii="Times New Roman" w:hAnsi="Times New Roman" w:cs="Times New Roman"/>
          <w:i/>
          <w:sz w:val="24"/>
          <w:szCs w:val="24"/>
          <w:lang w:val="en-US"/>
        </w:rPr>
        <w:t>Statistics: The Exploration &amp; Analysis of Data</w:t>
      </w:r>
      <w:r w:rsidRPr="00E56410">
        <w:rPr>
          <w:rFonts w:ascii="Times New Roman" w:hAnsi="Times New Roman" w:cs="Times New Roman"/>
          <w:sz w:val="24"/>
          <w:szCs w:val="24"/>
          <w:lang w:val="en-US"/>
        </w:rPr>
        <w:t>, 7</w:t>
      </w:r>
      <w:r w:rsidRPr="00E56410">
        <w:rPr>
          <w:rFonts w:ascii="Times New Roman" w:hAnsi="Times New Roman" w:cs="Times New Roman"/>
          <w:sz w:val="24"/>
          <w:szCs w:val="24"/>
          <w:vertAlign w:val="superscript"/>
          <w:lang w:val="en-US"/>
        </w:rPr>
        <w:t>th</w:t>
      </w:r>
      <w:r w:rsidRPr="00E56410">
        <w:rPr>
          <w:rFonts w:ascii="Times New Roman" w:hAnsi="Times New Roman" w:cs="Times New Roman"/>
          <w:sz w:val="24"/>
          <w:szCs w:val="24"/>
          <w:lang w:val="en-US"/>
        </w:rPr>
        <w:t xml:space="preserve"> ed., Brooks/Cole.</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 xml:space="preserve">Place, J. (2000) “Basic Bond Analysis”, </w:t>
      </w:r>
      <w:r w:rsidRPr="00E56410">
        <w:rPr>
          <w:rFonts w:ascii="Times New Roman" w:hAnsi="Times New Roman" w:cs="Times New Roman"/>
          <w:i/>
          <w:sz w:val="24"/>
          <w:szCs w:val="24"/>
          <w:lang w:val="en-US"/>
        </w:rPr>
        <w:t>Handbook in Central Banking</w:t>
      </w:r>
      <w:r w:rsidRPr="00E56410">
        <w:rPr>
          <w:rFonts w:ascii="Times New Roman" w:hAnsi="Times New Roman" w:cs="Times New Roman"/>
          <w:sz w:val="24"/>
          <w:szCs w:val="24"/>
          <w:lang w:val="en-US"/>
        </w:rPr>
        <w:t xml:space="preserve">, Bank of England, no. 20.Predictive Power of Empirical Indicators”, </w:t>
      </w:r>
      <w:r w:rsidRPr="00E56410">
        <w:rPr>
          <w:rFonts w:ascii="Times New Roman" w:hAnsi="Times New Roman" w:cs="Times New Roman"/>
          <w:i/>
          <w:sz w:val="24"/>
          <w:szCs w:val="24"/>
          <w:lang w:val="en-US"/>
        </w:rPr>
        <w:t>CEPII Working Paper</w:t>
      </w:r>
      <w:r w:rsidRPr="00E56410">
        <w:rPr>
          <w:rFonts w:ascii="Times New Roman" w:hAnsi="Times New Roman" w:cs="Times New Roman"/>
          <w:sz w:val="24"/>
          <w:szCs w:val="24"/>
          <w:lang w:val="en-US"/>
        </w:rPr>
        <w:t>, no. 2007-02.</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Qiu, L. and Welch, I. (2006) “Investor Sentiment Measures.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Working Paper, Brown University.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Ranaldo, A. and </w:t>
      </w:r>
      <w:proofErr w:type="spellStart"/>
      <w:r w:rsidRPr="00E56410">
        <w:rPr>
          <w:rFonts w:ascii="Times New Roman" w:hAnsi="Times New Roman" w:cs="Times New Roman"/>
          <w:sz w:val="24"/>
          <w:szCs w:val="24"/>
          <w:lang w:val="en-US"/>
        </w:rPr>
        <w:t>Soderlind</w:t>
      </w:r>
      <w:proofErr w:type="spellEnd"/>
      <w:r w:rsidRPr="00E56410">
        <w:rPr>
          <w:rFonts w:ascii="Times New Roman" w:hAnsi="Times New Roman" w:cs="Times New Roman"/>
          <w:sz w:val="24"/>
          <w:szCs w:val="24"/>
          <w:lang w:val="en-US"/>
        </w:rPr>
        <w:t xml:space="preserve">, P. (2010) "Safe haven currencies", </w:t>
      </w:r>
      <w:r w:rsidRPr="00E56410">
        <w:rPr>
          <w:rFonts w:ascii="Times New Roman" w:hAnsi="Times New Roman" w:cs="Times New Roman"/>
          <w:i/>
          <w:sz w:val="24"/>
          <w:szCs w:val="24"/>
          <w:lang w:val="en-US"/>
        </w:rPr>
        <w:t>Review of Finance</w:t>
      </w:r>
      <w:r w:rsidRPr="00E56410">
        <w:rPr>
          <w:rFonts w:ascii="Times New Roman" w:hAnsi="Times New Roman" w:cs="Times New Roman"/>
          <w:sz w:val="24"/>
          <w:szCs w:val="24"/>
          <w:lang w:val="en-US"/>
        </w:rPr>
        <w:t>, vol.10, pp. 385-407.</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Samuelson, P. A. (1965) “Proof that properly anticipated prices fluctuate randomly.</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Industrial Management Review</w:t>
      </w:r>
      <w:r w:rsidRPr="00E56410">
        <w:rPr>
          <w:rFonts w:ascii="Times New Roman" w:hAnsi="Times New Roman" w:cs="Times New Roman"/>
          <w:sz w:val="24"/>
          <w:szCs w:val="24"/>
          <w:lang w:val="en-US"/>
        </w:rPr>
        <w:t>, vol. 6, pp. 41-49.</w:t>
      </w:r>
    </w:p>
    <w:p w:rsidR="00E56410" w:rsidRPr="00E56410" w:rsidRDefault="00E56410" w:rsidP="00E56410">
      <w:pPr>
        <w:autoSpaceDE w:val="0"/>
        <w:autoSpaceDN w:val="0"/>
        <w:adjustRightInd w:val="0"/>
        <w:spacing w:after="0" w:line="360" w:lineRule="auto"/>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rPr>
          <w:rFonts w:ascii="Times New Roman" w:hAnsi="Times New Roman" w:cs="Times New Roman"/>
          <w:sz w:val="24"/>
          <w:szCs w:val="24"/>
          <w:lang w:val="en-US"/>
        </w:rPr>
      </w:pPr>
      <w:proofErr w:type="spellStart"/>
      <w:r w:rsidRPr="00E56410">
        <w:rPr>
          <w:rFonts w:ascii="Times New Roman" w:hAnsi="Times New Roman" w:cs="Times New Roman"/>
          <w:sz w:val="24"/>
          <w:szCs w:val="24"/>
          <w:lang w:val="en-US"/>
        </w:rPr>
        <w:t>Sanidas</w:t>
      </w:r>
      <w:proofErr w:type="spellEnd"/>
      <w:r w:rsidRPr="00E56410">
        <w:rPr>
          <w:rFonts w:ascii="Times New Roman" w:hAnsi="Times New Roman" w:cs="Times New Roman"/>
          <w:sz w:val="24"/>
          <w:szCs w:val="24"/>
          <w:lang w:val="en-US"/>
        </w:rPr>
        <w:t>, E, (2005) “The Australian Dollar’s Long-term Fluctuations and Trend: The Commodity Prices-cum-Economic Cycles Hypothesis”, Working Paper 05-29, Department of Economics, University of Wollongong.</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Sari, R., </w:t>
      </w:r>
      <w:proofErr w:type="spellStart"/>
      <w:r w:rsidRPr="00E56410">
        <w:rPr>
          <w:rFonts w:ascii="Times New Roman" w:hAnsi="Times New Roman" w:cs="Times New Roman"/>
          <w:sz w:val="24"/>
          <w:szCs w:val="24"/>
          <w:lang w:val="en-US"/>
        </w:rPr>
        <w:t>Hammoudeh</w:t>
      </w:r>
      <w:proofErr w:type="spellEnd"/>
      <w:r w:rsidRPr="00E56410">
        <w:rPr>
          <w:rFonts w:ascii="Times New Roman" w:hAnsi="Times New Roman" w:cs="Times New Roman"/>
          <w:sz w:val="24"/>
          <w:szCs w:val="24"/>
          <w:lang w:val="en-US"/>
        </w:rPr>
        <w:t xml:space="preserve">, S. and </w:t>
      </w:r>
      <w:proofErr w:type="spellStart"/>
      <w:r w:rsidRPr="00E56410">
        <w:rPr>
          <w:rFonts w:ascii="Times New Roman" w:hAnsi="Times New Roman" w:cs="Times New Roman"/>
          <w:sz w:val="24"/>
          <w:szCs w:val="24"/>
          <w:lang w:val="en-US"/>
        </w:rPr>
        <w:t>Soytas</w:t>
      </w:r>
      <w:proofErr w:type="spellEnd"/>
      <w:r w:rsidRPr="00E56410">
        <w:rPr>
          <w:rFonts w:ascii="Times New Roman" w:hAnsi="Times New Roman" w:cs="Times New Roman"/>
          <w:sz w:val="24"/>
          <w:szCs w:val="24"/>
          <w:lang w:val="en-US"/>
        </w:rPr>
        <w:t xml:space="preserve">, U. (2009) “Dynamics of oil price, precious metal </w:t>
      </w:r>
      <w:proofErr w:type="gramStart"/>
      <w:r w:rsidRPr="00E56410">
        <w:rPr>
          <w:rFonts w:ascii="Times New Roman" w:hAnsi="Times New Roman" w:cs="Times New Roman"/>
          <w:sz w:val="24"/>
          <w:szCs w:val="24"/>
          <w:lang w:val="en-US"/>
        </w:rPr>
        <w:t>prices ,</w:t>
      </w:r>
      <w:proofErr w:type="gramEnd"/>
      <w:r w:rsidRPr="00E56410">
        <w:rPr>
          <w:rFonts w:ascii="Times New Roman" w:hAnsi="Times New Roman" w:cs="Times New Roman"/>
          <w:sz w:val="24"/>
          <w:szCs w:val="24"/>
          <w:lang w:val="en-US"/>
        </w:rPr>
        <w:t xml:space="preserve"> and exchange rate.”, </w:t>
      </w:r>
      <w:r w:rsidRPr="00E56410">
        <w:rPr>
          <w:rFonts w:ascii="Times New Roman" w:hAnsi="Times New Roman" w:cs="Times New Roman"/>
          <w:i/>
          <w:sz w:val="24"/>
          <w:szCs w:val="24"/>
          <w:lang w:val="en-US"/>
        </w:rPr>
        <w:t>Energy Economics</w:t>
      </w:r>
      <w:r w:rsidRPr="00E56410">
        <w:rPr>
          <w:rFonts w:ascii="Times New Roman" w:hAnsi="Times New Roman" w:cs="Times New Roman"/>
          <w:sz w:val="24"/>
          <w:szCs w:val="24"/>
          <w:lang w:val="en-US"/>
        </w:rPr>
        <w:t xml:space="preserve">, vol. 32, no. 2, pp. 351–362.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E56410">
        <w:rPr>
          <w:rFonts w:ascii="Times New Roman" w:hAnsi="Times New Roman" w:cs="Times New Roman"/>
          <w:sz w:val="24"/>
          <w:szCs w:val="24"/>
          <w:lang w:val="en-US"/>
        </w:rPr>
        <w:t>Schmeling</w:t>
      </w:r>
      <w:proofErr w:type="spellEnd"/>
      <w:r w:rsidRPr="00E56410">
        <w:rPr>
          <w:rFonts w:ascii="Times New Roman" w:hAnsi="Times New Roman" w:cs="Times New Roman"/>
          <w:sz w:val="24"/>
          <w:szCs w:val="24"/>
          <w:lang w:val="en-US"/>
        </w:rPr>
        <w:t>, M. (2009) “Investor sentiment and stock returns: Some international evidence.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Journal of Empirical Finance</w:t>
      </w:r>
      <w:r w:rsidRPr="00E56410">
        <w:rPr>
          <w:rFonts w:ascii="Times New Roman" w:hAnsi="Times New Roman" w:cs="Times New Roman"/>
          <w:iCs/>
          <w:sz w:val="24"/>
          <w:szCs w:val="24"/>
          <w:lang w:val="en-US"/>
        </w:rPr>
        <w:t>, vol.</w:t>
      </w:r>
      <w:r w:rsidRPr="00E56410">
        <w:rPr>
          <w:rFonts w:ascii="Times New Roman" w:hAnsi="Times New Roman" w:cs="Times New Roman"/>
          <w:i/>
          <w:iCs/>
          <w:sz w:val="24"/>
          <w:szCs w:val="24"/>
          <w:lang w:val="en-US"/>
        </w:rPr>
        <w:t xml:space="preserve"> </w:t>
      </w:r>
      <w:r w:rsidRPr="00E56410">
        <w:rPr>
          <w:rFonts w:ascii="Times New Roman" w:hAnsi="Times New Roman" w:cs="Times New Roman"/>
          <w:sz w:val="24"/>
          <w:szCs w:val="24"/>
          <w:lang w:val="en-US"/>
        </w:rPr>
        <w:t>16, pp. 394-408.</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lastRenderedPageBreak/>
        <w:t>Simon, D.P. and Wiggins III, R.A. (2001) “S&amp;P futures returns and contrary sentiment indicators.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Journal of Futures Markets</w:t>
      </w:r>
      <w:r w:rsidRPr="00E56410">
        <w:rPr>
          <w:rFonts w:ascii="Times New Roman" w:hAnsi="Times New Roman" w:cs="Times New Roman"/>
          <w:sz w:val="24"/>
          <w:szCs w:val="24"/>
          <w:lang w:val="en-US"/>
        </w:rPr>
        <w:t>, vol. 21, pp. 447-462.</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Sløk, T. and Kennedy, M. (2004) “Factors driving risk </w:t>
      </w:r>
      <w:proofErr w:type="spellStart"/>
      <w:r w:rsidRPr="00E56410">
        <w:rPr>
          <w:rFonts w:ascii="Times New Roman" w:hAnsi="Times New Roman" w:cs="Times New Roman"/>
          <w:sz w:val="24"/>
          <w:szCs w:val="24"/>
          <w:lang w:val="en-US"/>
        </w:rPr>
        <w:t>premia</w:t>
      </w:r>
      <w:proofErr w:type="spellEnd"/>
      <w:r w:rsidRPr="00E56410">
        <w:rPr>
          <w:rFonts w:ascii="Times New Roman" w:hAnsi="Times New Roman" w:cs="Times New Roman"/>
          <w:sz w:val="24"/>
          <w:szCs w:val="24"/>
          <w:lang w:val="en-US"/>
        </w:rPr>
        <w:t>.</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OECD Working Paper</w:t>
      </w:r>
      <w:r w:rsidRPr="00E56410">
        <w:rPr>
          <w:rFonts w:ascii="Times New Roman" w:hAnsi="Times New Roman" w:cs="Times New Roman"/>
          <w:sz w:val="24"/>
          <w:szCs w:val="24"/>
          <w:lang w:val="en-US"/>
        </w:rPr>
        <w:t>, no. 385.</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Solt, M. and Statman, M. (1988) “How Useful is the Sentiment Index</w:t>
      </w:r>
      <w:r w:rsidRPr="00E56410">
        <w:rPr>
          <w:rFonts w:ascii="Times New Roman" w:hAnsi="Times New Roman" w:cs="Times New Roman"/>
          <w:i/>
          <w:sz w:val="24"/>
          <w:szCs w:val="24"/>
          <w:lang w:val="en-US"/>
        </w:rPr>
        <w:t>.”, Financial Analysts Journal</w:t>
      </w:r>
      <w:r w:rsidRPr="00E56410">
        <w:rPr>
          <w:rFonts w:ascii="Times New Roman" w:hAnsi="Times New Roman" w:cs="Times New Roman"/>
          <w:sz w:val="24"/>
          <w:szCs w:val="24"/>
          <w:lang w:val="en-US"/>
        </w:rPr>
        <w:t>, vol. 44, no. 5, pp. 45-55.</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E56410">
        <w:rPr>
          <w:rFonts w:ascii="Times New Roman" w:hAnsi="Times New Roman" w:cs="Times New Roman"/>
          <w:sz w:val="24"/>
          <w:szCs w:val="24"/>
          <w:lang w:val="en-US"/>
        </w:rPr>
        <w:t>Stambaugh</w:t>
      </w:r>
      <w:proofErr w:type="spellEnd"/>
      <w:r w:rsidRPr="00E56410">
        <w:rPr>
          <w:rFonts w:ascii="Times New Roman" w:hAnsi="Times New Roman" w:cs="Times New Roman"/>
          <w:sz w:val="24"/>
          <w:szCs w:val="24"/>
          <w:lang w:val="en-US"/>
        </w:rPr>
        <w:t>, R. F., Yu, J. and Yuan, Y. (2011) “The Short of It: Investor Sentiment and Anomalies.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Financial Economics</w:t>
      </w:r>
      <w:r w:rsidRPr="00E56410">
        <w:rPr>
          <w:rFonts w:ascii="Times New Roman" w:hAnsi="Times New Roman" w:cs="Times New Roman"/>
          <w:sz w:val="24"/>
          <w:szCs w:val="24"/>
          <w:lang w:val="en-US"/>
        </w:rPr>
        <w:t>, vol. 104, pp. 288-302.</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Swaminathan, B. (1996) “Time-Varying Expected Small Firm Returns and Closed-End Fund Discounts.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Review of Financial Studies</w:t>
      </w:r>
      <w:r w:rsidRPr="00E56410">
        <w:rPr>
          <w:rFonts w:ascii="Times New Roman" w:hAnsi="Times New Roman" w:cs="Times New Roman"/>
          <w:sz w:val="24"/>
          <w:szCs w:val="24"/>
          <w:lang w:val="en-US"/>
        </w:rPr>
        <w:t>, vol. 9, pp. 845-887.</w:t>
      </w:r>
    </w:p>
    <w:p w:rsidR="00E56410" w:rsidRPr="00E56410" w:rsidRDefault="00E56410" w:rsidP="00E5641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4"/>
          <w:szCs w:val="24"/>
          <w:lang w:val="en-US"/>
        </w:rPr>
      </w:pPr>
    </w:p>
    <w:p w:rsidR="00E56410" w:rsidRPr="00E56410" w:rsidRDefault="00E56410" w:rsidP="00E56410">
      <w:pPr>
        <w:shd w:val="clear" w:color="auto" w:fill="FFFFFF" w:themeFill="background1"/>
        <w:autoSpaceDE w:val="0"/>
        <w:autoSpaceDN w:val="0"/>
        <w:adjustRightInd w:val="0"/>
        <w:spacing w:after="0" w:line="360" w:lineRule="auto"/>
        <w:jc w:val="both"/>
        <w:rPr>
          <w:rFonts w:ascii="Times New Roman" w:hAnsi="Times New Roman" w:cs="Times New Roman"/>
          <w:color w:val="000000"/>
          <w:sz w:val="24"/>
          <w:szCs w:val="24"/>
          <w:lang w:val="en-US"/>
        </w:rPr>
      </w:pPr>
      <w:r w:rsidRPr="00E56410">
        <w:rPr>
          <w:rFonts w:ascii="Times New Roman" w:hAnsi="Times New Roman" w:cs="Times New Roman"/>
          <w:color w:val="000000"/>
          <w:sz w:val="24"/>
          <w:szCs w:val="24"/>
          <w:lang w:val="en-US"/>
        </w:rPr>
        <w:t xml:space="preserve">Symeonidis, L., Prokopczuk, M., Brooks, C. and Lazar, E. (2012) “Futures basis, inventory and commodity price volatility: An empirical analysis”, </w:t>
      </w:r>
      <w:r w:rsidRPr="00E56410">
        <w:rPr>
          <w:rFonts w:ascii="Times New Roman" w:hAnsi="Times New Roman" w:cs="Times New Roman"/>
          <w:i/>
          <w:color w:val="000000"/>
          <w:sz w:val="24"/>
          <w:szCs w:val="24"/>
          <w:lang w:val="en-US"/>
        </w:rPr>
        <w:t xml:space="preserve">Economic </w:t>
      </w:r>
      <w:proofErr w:type="spellStart"/>
      <w:r w:rsidRPr="00E56410">
        <w:rPr>
          <w:rFonts w:ascii="Times New Roman" w:hAnsi="Times New Roman" w:cs="Times New Roman"/>
          <w:i/>
          <w:color w:val="000000"/>
          <w:sz w:val="24"/>
          <w:szCs w:val="24"/>
          <w:lang w:val="en-US"/>
        </w:rPr>
        <w:t>Modelling</w:t>
      </w:r>
      <w:proofErr w:type="spellEnd"/>
      <w:r w:rsidRPr="00E56410">
        <w:rPr>
          <w:rFonts w:ascii="Times New Roman" w:hAnsi="Times New Roman" w:cs="Times New Roman"/>
          <w:color w:val="000000"/>
          <w:sz w:val="24"/>
          <w:szCs w:val="24"/>
          <w:lang w:val="en-US"/>
        </w:rPr>
        <w:t>, vol. 29, pp. 2651-2663.</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Tarashev, N., Tsatsaronis, K. and Karampatos, D. (2003) “Investors’ Attitude Towards</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Risk: What Can We Learn from Options?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BIS Quarterly Review</w:t>
      </w:r>
      <w:r w:rsidRPr="00E56410">
        <w:rPr>
          <w:rFonts w:ascii="Times New Roman" w:hAnsi="Times New Roman" w:cs="Times New Roman"/>
          <w:sz w:val="24"/>
          <w:szCs w:val="24"/>
          <w:lang w:val="en-US"/>
        </w:rPr>
        <w:t>, June, pp. 57–65.</w:t>
      </w:r>
    </w:p>
    <w:p w:rsidR="00E56410" w:rsidRPr="00E56410" w:rsidRDefault="00E56410" w:rsidP="00E56410">
      <w:pPr>
        <w:pStyle w:val="ListParagraph"/>
        <w:ind w:left="0"/>
        <w:jc w:val="both"/>
        <w:rPr>
          <w:rFonts w:ascii="Times New Roman" w:hAnsi="Times New Roman" w:cs="Times New Roman"/>
          <w:bCs/>
          <w:sz w:val="24"/>
          <w:szCs w:val="24"/>
          <w:lang w:val="en-US"/>
        </w:rPr>
      </w:pPr>
    </w:p>
    <w:p w:rsidR="00E56410" w:rsidRPr="00E56410" w:rsidRDefault="00E56410" w:rsidP="00E56410">
      <w:pPr>
        <w:pStyle w:val="ListParagraph"/>
        <w:ind w:left="0"/>
        <w:jc w:val="both"/>
        <w:rPr>
          <w:rFonts w:ascii="Times New Roman" w:hAnsi="Times New Roman" w:cs="Times New Roman"/>
          <w:bCs/>
          <w:sz w:val="24"/>
          <w:szCs w:val="24"/>
          <w:lang w:val="en-US"/>
        </w:rPr>
      </w:pPr>
      <w:r w:rsidRPr="00E56410">
        <w:rPr>
          <w:rFonts w:ascii="Times New Roman" w:hAnsi="Times New Roman" w:cs="Times New Roman"/>
          <w:bCs/>
          <w:sz w:val="24"/>
          <w:szCs w:val="24"/>
          <w:lang w:val="en-US"/>
        </w:rPr>
        <w:t>The Institute of Risk Management (2011) “Risk appetite and tolerance: Executive Summary”.</w:t>
      </w:r>
    </w:p>
    <w:p w:rsidR="00E56410" w:rsidRPr="00E56410" w:rsidRDefault="00E56410" w:rsidP="00E56410">
      <w:pPr>
        <w:pStyle w:val="NormalWeb"/>
        <w:spacing w:line="360" w:lineRule="auto"/>
        <w:rPr>
          <w:lang w:val="en-US"/>
        </w:rPr>
      </w:pPr>
      <w:r w:rsidRPr="00E56410">
        <w:rPr>
          <w:lang w:val="en-US"/>
        </w:rPr>
        <w:t xml:space="preserve">Uhlenbrock, B. (2009). </w:t>
      </w:r>
      <w:proofErr w:type="gramStart"/>
      <w:r w:rsidRPr="00E56410">
        <w:rPr>
          <w:lang w:val="en-US"/>
        </w:rPr>
        <w:t>Financial markets’ appetite for risk – and the challenge of assessing its evolution by risk appetite indicators, Discussion Paper Series 2 , Banking and Financial Studies.</w:t>
      </w:r>
      <w:proofErr w:type="gramEnd"/>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Upper, C. (2000) “How safe was the ‘Safe haven’? Financial market liquidity during the 1998 turbulences.</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Discussion paper, Economic Research Group of the Deutsche Bundesbank.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Whaley, R. E. (2000) “The investor fear gauge.</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Journal of Portfolio Management</w:t>
      </w:r>
      <w:r w:rsidRPr="00E56410">
        <w:rPr>
          <w:rFonts w:ascii="Times New Roman" w:hAnsi="Times New Roman" w:cs="Times New Roman"/>
          <w:sz w:val="24"/>
          <w:szCs w:val="24"/>
          <w:lang w:val="en-US"/>
        </w:rPr>
        <w:t>, vol. 26, pp. 12-17.</w:t>
      </w:r>
    </w:p>
    <w:p w:rsidR="00E56410" w:rsidRPr="00E56410" w:rsidRDefault="00E56410" w:rsidP="00E56410">
      <w:pPr>
        <w:autoSpaceDE w:val="0"/>
        <w:autoSpaceDN w:val="0"/>
        <w:adjustRightInd w:val="0"/>
        <w:spacing w:after="0" w:line="24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E56410">
        <w:rPr>
          <w:rFonts w:ascii="Times New Roman" w:hAnsi="Times New Roman" w:cs="Times New Roman"/>
          <w:sz w:val="24"/>
          <w:szCs w:val="24"/>
          <w:lang w:val="en-US"/>
        </w:rPr>
        <w:t>Wilmot, J., Mielczarski, P. and Sweeney J. (2004) “Global risk appetite index.</w:t>
      </w:r>
      <w:proofErr w:type="gramEnd"/>
      <w:r w:rsidRPr="00E56410">
        <w:rPr>
          <w:rFonts w:ascii="Times New Roman" w:hAnsi="Times New Roman" w:cs="Times New Roman"/>
          <w:sz w:val="24"/>
          <w:szCs w:val="24"/>
          <w:lang w:val="en-US"/>
        </w:rPr>
        <w:t xml:space="preserve"> Credit Suisse First Boston.</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sz w:val="24"/>
          <w:szCs w:val="24"/>
          <w:lang w:val="en-US"/>
        </w:rPr>
        <w:t>Global Strategy Research Market Focus</w:t>
      </w:r>
      <w:r w:rsidRPr="00E56410">
        <w:rPr>
          <w:rFonts w:ascii="Times New Roman" w:hAnsi="Times New Roman" w:cs="Times New Roman"/>
          <w:sz w:val="24"/>
          <w:szCs w:val="24"/>
          <w:lang w:val="en-US"/>
        </w:rPr>
        <w:t>, February.</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r w:rsidRPr="00E56410">
        <w:rPr>
          <w:rFonts w:ascii="Times New Roman" w:hAnsi="Times New Roman" w:cs="Times New Roman"/>
          <w:sz w:val="24"/>
          <w:szCs w:val="24"/>
          <w:lang w:val="en-US"/>
        </w:rPr>
        <w:t xml:space="preserve">Zouaoui, M., </w:t>
      </w:r>
      <w:proofErr w:type="spellStart"/>
      <w:r w:rsidRPr="00E56410">
        <w:rPr>
          <w:rFonts w:ascii="Times New Roman" w:hAnsi="Times New Roman" w:cs="Times New Roman"/>
          <w:sz w:val="24"/>
          <w:szCs w:val="24"/>
          <w:lang w:val="en-US"/>
        </w:rPr>
        <w:t>Nouyrigat</w:t>
      </w:r>
      <w:proofErr w:type="spellEnd"/>
      <w:r w:rsidRPr="00E56410">
        <w:rPr>
          <w:rFonts w:ascii="Times New Roman" w:hAnsi="Times New Roman" w:cs="Times New Roman"/>
          <w:sz w:val="24"/>
          <w:szCs w:val="24"/>
          <w:lang w:val="en-US"/>
        </w:rPr>
        <w:t>, G. and Beer, F. (2011) “How does investor sentiment affect stock market crises: Evidence from panel data.</w:t>
      </w:r>
      <w:proofErr w:type="gramStart"/>
      <w:r w:rsidRPr="00E56410">
        <w:rPr>
          <w:rFonts w:ascii="Times New Roman" w:hAnsi="Times New Roman" w:cs="Times New Roman"/>
          <w:sz w:val="24"/>
          <w:szCs w:val="24"/>
          <w:lang w:val="en-US"/>
        </w:rPr>
        <w:t>”,</w:t>
      </w:r>
      <w:proofErr w:type="gramEnd"/>
      <w:r w:rsidRPr="00E56410">
        <w:rPr>
          <w:rFonts w:ascii="Times New Roman" w:hAnsi="Times New Roman" w:cs="Times New Roman"/>
          <w:sz w:val="24"/>
          <w:szCs w:val="24"/>
          <w:lang w:val="en-US"/>
        </w:rPr>
        <w:t xml:space="preserve"> </w:t>
      </w:r>
      <w:r w:rsidRPr="00E56410">
        <w:rPr>
          <w:rFonts w:ascii="Times New Roman" w:hAnsi="Times New Roman" w:cs="Times New Roman"/>
          <w:i/>
          <w:iCs/>
          <w:sz w:val="24"/>
          <w:szCs w:val="24"/>
          <w:lang w:val="en-US"/>
        </w:rPr>
        <w:t>The Financial Review</w:t>
      </w:r>
      <w:r w:rsidRPr="00E56410">
        <w:rPr>
          <w:rFonts w:ascii="Times New Roman" w:hAnsi="Times New Roman" w:cs="Times New Roman"/>
          <w:sz w:val="24"/>
          <w:szCs w:val="24"/>
          <w:lang w:val="en-US"/>
        </w:rPr>
        <w:t>, forthcoming.</w:t>
      </w:r>
    </w:p>
    <w:p w:rsidR="00E56410" w:rsidRPr="00E56410" w:rsidRDefault="00E56410" w:rsidP="00895B12">
      <w:pPr>
        <w:autoSpaceDE w:val="0"/>
        <w:autoSpaceDN w:val="0"/>
        <w:adjustRightInd w:val="0"/>
        <w:spacing w:after="0" w:line="360" w:lineRule="auto"/>
        <w:jc w:val="center"/>
        <w:rPr>
          <w:rFonts w:ascii="Times New Roman" w:hAnsi="Times New Roman" w:cs="Times New Roman"/>
          <w:b/>
          <w:sz w:val="28"/>
          <w:szCs w:val="28"/>
          <w:lang w:val="en-US"/>
        </w:rPr>
      </w:pPr>
      <w:r w:rsidRPr="00E56410">
        <w:rPr>
          <w:rFonts w:ascii="Times New Roman" w:hAnsi="Times New Roman" w:cs="Times New Roman"/>
          <w:b/>
          <w:sz w:val="28"/>
          <w:szCs w:val="28"/>
          <w:lang w:val="en-US"/>
        </w:rPr>
        <w:lastRenderedPageBreak/>
        <w:t>OTHER SOURCES</w:t>
      </w:r>
    </w:p>
    <w:p w:rsidR="00E56410" w:rsidRDefault="00E56410" w:rsidP="00E56410">
      <w:pPr>
        <w:autoSpaceDE w:val="0"/>
        <w:autoSpaceDN w:val="0"/>
        <w:adjustRightInd w:val="0"/>
        <w:spacing w:after="0" w:line="360" w:lineRule="auto"/>
        <w:jc w:val="both"/>
        <w:rPr>
          <w:lang w:val="en-US"/>
        </w:rPr>
      </w:pPr>
    </w:p>
    <w:p w:rsidR="00E56410" w:rsidRPr="00E56410" w:rsidRDefault="00F17C1C" w:rsidP="00E56410">
      <w:pPr>
        <w:pStyle w:val="ListParagraph"/>
        <w:spacing w:line="360" w:lineRule="auto"/>
        <w:ind w:left="0"/>
        <w:jc w:val="both"/>
        <w:rPr>
          <w:rFonts w:ascii="Times New Roman" w:hAnsi="Times New Roman" w:cs="Times New Roman"/>
          <w:sz w:val="24"/>
          <w:szCs w:val="24"/>
          <w:lang w:val="en-US"/>
        </w:rPr>
      </w:pPr>
      <w:hyperlink r:id="rId21" w:history="1">
        <w:r w:rsidR="00E56410" w:rsidRPr="00E56410">
          <w:rPr>
            <w:rFonts w:ascii="Times New Roman" w:hAnsi="Times New Roman" w:cs="Times New Roman"/>
            <w:sz w:val="24"/>
            <w:szCs w:val="24"/>
            <w:lang w:val="en-US"/>
          </w:rPr>
          <w:t>http://articles.marketwatch.com/2011-08-19/investing/30758752_1_jefferies-crb-index-commodities-safe-haven</w:t>
        </w:r>
      </w:hyperlink>
    </w:p>
    <w:p w:rsidR="00E56410" w:rsidRPr="00E56410" w:rsidRDefault="00F17C1C" w:rsidP="00E56410">
      <w:pPr>
        <w:spacing w:line="360" w:lineRule="auto"/>
        <w:jc w:val="both"/>
        <w:rPr>
          <w:rFonts w:ascii="Times New Roman" w:hAnsi="Times New Roman" w:cs="Times New Roman"/>
          <w:sz w:val="24"/>
          <w:szCs w:val="24"/>
          <w:lang w:val="en-US"/>
        </w:rPr>
      </w:pPr>
      <w:hyperlink r:id="rId22" w:history="1">
        <w:r w:rsidR="00E56410" w:rsidRPr="00E56410">
          <w:rPr>
            <w:rStyle w:val="Hyperlink"/>
            <w:rFonts w:ascii="Times New Roman" w:hAnsi="Times New Roman" w:cs="Times New Roman"/>
            <w:color w:val="auto"/>
            <w:sz w:val="24"/>
            <w:szCs w:val="24"/>
            <w:u w:val="none"/>
            <w:lang w:val="en-US"/>
          </w:rPr>
          <w:t>http://ftalphaville.ft.com/blog/2008/12/01/18877/dr-doom-on-volatility-and-gold-gold-gold/</w:t>
        </w:r>
      </w:hyperlink>
      <w:r w:rsidR="00E56410" w:rsidRPr="00E56410">
        <w:rPr>
          <w:rFonts w:ascii="Times New Roman" w:hAnsi="Times New Roman" w:cs="Times New Roman"/>
          <w:sz w:val="24"/>
          <w:szCs w:val="24"/>
          <w:lang w:val="en-US"/>
        </w:rPr>
        <w:t xml:space="preserve"> </w:t>
      </w: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23" w:history="1">
        <w:r w:rsidR="00E56410" w:rsidRPr="00E56410">
          <w:rPr>
            <w:rFonts w:ascii="Times New Roman" w:hAnsi="Times New Roman" w:cs="Times New Roman"/>
            <w:sz w:val="24"/>
            <w:szCs w:val="24"/>
            <w:lang w:val="en-US"/>
          </w:rPr>
          <w:t>http://mba.tuck.dartmouth.edu/pages/faculty/ken.french/Data_Library/details_northamerica.html</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24" w:history="1">
        <w:r w:rsidR="00E56410" w:rsidRPr="00E56410">
          <w:rPr>
            <w:rFonts w:ascii="Times New Roman" w:hAnsi="Times New Roman" w:cs="Times New Roman"/>
            <w:sz w:val="24"/>
            <w:szCs w:val="24"/>
            <w:lang w:val="en-US"/>
          </w:rPr>
          <w:t>http://mba.tuck.dartmouth.edu/pages/faculty/ken.french/Data_Library/details_european.html</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25" w:history="1">
        <w:r w:rsidR="00E56410" w:rsidRPr="00E56410">
          <w:rPr>
            <w:rFonts w:ascii="Times New Roman" w:hAnsi="Times New Roman" w:cs="Times New Roman"/>
            <w:sz w:val="24"/>
            <w:szCs w:val="24"/>
            <w:lang w:val="en-US"/>
          </w:rPr>
          <w:t>http://online.wsj.com/article/SB20001424052970203764804577060542418224620.html</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26" w:history="1">
        <w:r w:rsidR="00E56410" w:rsidRPr="00E56410">
          <w:rPr>
            <w:rFonts w:ascii="Times New Roman" w:hAnsi="Times New Roman" w:cs="Times New Roman"/>
            <w:sz w:val="24"/>
            <w:szCs w:val="24"/>
            <w:lang w:val="en-US"/>
          </w:rPr>
          <w:t>http://oxforddictionaries.com/definition/english/sentiment?q=sentiment</w:t>
        </w:r>
      </w:hyperlink>
      <w:r w:rsidR="00E56410" w:rsidRPr="00E56410">
        <w:rPr>
          <w:rFonts w:ascii="Times New Roman" w:hAnsi="Times New Roman" w:cs="Times New Roman"/>
          <w:sz w:val="24"/>
          <w:szCs w:val="24"/>
          <w:lang w:val="en-US"/>
        </w:rPr>
        <w:t>v</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27" w:history="1">
        <w:r w:rsidR="00E56410" w:rsidRPr="00E56410">
          <w:rPr>
            <w:rFonts w:ascii="Times New Roman" w:hAnsi="Times New Roman" w:cs="Times New Roman"/>
            <w:sz w:val="24"/>
            <w:szCs w:val="24"/>
            <w:lang w:val="en-US"/>
          </w:rPr>
          <w:t>http://www.aaii.com/sentimentsurvey</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28" w:history="1">
        <w:r w:rsidR="00E56410" w:rsidRPr="00E56410">
          <w:rPr>
            <w:rStyle w:val="Hyperlink"/>
            <w:rFonts w:ascii="Times New Roman" w:hAnsi="Times New Roman" w:cs="Times New Roman"/>
            <w:color w:val="auto"/>
            <w:sz w:val="24"/>
            <w:szCs w:val="24"/>
            <w:u w:val="none"/>
            <w:lang w:val="en-US"/>
          </w:rPr>
          <w:t>http://www.bloomberg.com/news/2011-09-13/the-risks-lurking-in-treasury-bonds.html</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29" w:anchor="ixzz20KuAd4d9" w:history="1">
        <w:r w:rsidR="00E56410" w:rsidRPr="00E56410">
          <w:rPr>
            <w:rFonts w:ascii="Times New Roman" w:hAnsi="Times New Roman" w:cs="Times New Roman"/>
            <w:sz w:val="24"/>
            <w:szCs w:val="24"/>
            <w:lang w:val="en-US"/>
          </w:rPr>
          <w:t>http://www.businessinsider.com/the-next-big-safe-haven-currencies-2011-9?op=1#ixzz20KuAd4d9</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30" w:history="1">
        <w:r w:rsidR="00E56410" w:rsidRPr="00E56410">
          <w:rPr>
            <w:rStyle w:val="Hyperlink"/>
            <w:rFonts w:ascii="Times New Roman" w:hAnsi="Times New Roman" w:cs="Times New Roman"/>
            <w:color w:val="auto"/>
            <w:sz w:val="24"/>
            <w:szCs w:val="24"/>
            <w:u w:val="none"/>
            <w:lang w:val="en-US"/>
          </w:rPr>
          <w:t>http://www.economist.com/blogs/dailychart/2011/07/gold-and-swiss-franc</w:t>
        </w:r>
      </w:hyperlink>
      <w:r w:rsidR="00E56410" w:rsidRPr="00E56410">
        <w:rPr>
          <w:rFonts w:ascii="Times New Roman" w:hAnsi="Times New Roman" w:cs="Times New Roman"/>
          <w:sz w:val="24"/>
          <w:szCs w:val="24"/>
          <w:lang w:val="en-US"/>
        </w:rPr>
        <w:t xml:space="preserve"> </w:t>
      </w:r>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31" w:history="1">
        <w:r w:rsidR="00E56410" w:rsidRPr="00E56410">
          <w:rPr>
            <w:rFonts w:ascii="Times New Roman" w:hAnsi="Times New Roman" w:cs="Times New Roman"/>
            <w:sz w:val="24"/>
            <w:szCs w:val="24"/>
            <w:lang w:val="en-US"/>
          </w:rPr>
          <w:t>http://www.forbes.com/2009/08/28/put-call-ratio-personal-finance-investing-ideas-larry-mcmillan.html</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32" w:history="1">
        <w:r w:rsidR="00E56410" w:rsidRPr="00E56410">
          <w:rPr>
            <w:rStyle w:val="Hyperlink"/>
            <w:rFonts w:ascii="Times New Roman" w:hAnsi="Times New Roman" w:cs="Times New Roman"/>
            <w:color w:val="auto"/>
            <w:sz w:val="24"/>
            <w:szCs w:val="24"/>
            <w:u w:val="none"/>
            <w:lang w:val="en-US"/>
          </w:rPr>
          <w:t>http://www.forbes.com/sites/kenrapoza/2012/05/30/when-flight-to-safety-means-flight-to-liabilities/</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33" w:anchor="axzz20VARqYj8" w:history="1">
        <w:r w:rsidR="00E56410" w:rsidRPr="00E56410">
          <w:rPr>
            <w:rStyle w:val="Hyperlink"/>
            <w:rFonts w:ascii="Times New Roman" w:hAnsi="Times New Roman" w:cs="Times New Roman"/>
            <w:color w:val="auto"/>
            <w:sz w:val="24"/>
            <w:szCs w:val="24"/>
            <w:u w:val="none"/>
            <w:lang w:val="en-US"/>
          </w:rPr>
          <w:t>http://www.ft.com/intl/cms/s/0/423e75ac-d068-11dc-9309-0000779fd2ac.html#axzz20VARqYj8</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34" w:anchor="axzz2AdAZwhso" w:history="1">
        <w:r w:rsidR="00E56410" w:rsidRPr="00E56410">
          <w:rPr>
            <w:rFonts w:ascii="Times New Roman" w:hAnsi="Times New Roman" w:cs="Times New Roman"/>
            <w:sz w:val="24"/>
            <w:szCs w:val="24"/>
            <w:lang w:val="en-US"/>
          </w:rPr>
          <w:t>http://www.ft.com/intl/cms/s/0/9e46903e-a4ec-11e1-b421-00144feabdc0.html#axzz2AdAZwhso</w:t>
        </w:r>
      </w:hyperlink>
    </w:p>
    <w:p w:rsidR="00E56410" w:rsidRPr="00E56410" w:rsidRDefault="00E56410" w:rsidP="00E56410">
      <w:pPr>
        <w:autoSpaceDE w:val="0"/>
        <w:autoSpaceDN w:val="0"/>
        <w:adjustRightInd w:val="0"/>
        <w:spacing w:after="0" w:line="360" w:lineRule="auto"/>
        <w:jc w:val="both"/>
        <w:rPr>
          <w:rFonts w:ascii="Times New Roman" w:hAnsi="Times New Roman" w:cs="Times New Roman"/>
          <w:sz w:val="24"/>
          <w:szCs w:val="24"/>
          <w:lang w:val="en-US"/>
        </w:rPr>
      </w:pPr>
    </w:p>
    <w:p w:rsidR="00E56410" w:rsidRPr="00E56410" w:rsidRDefault="00F17C1C" w:rsidP="00E56410">
      <w:pPr>
        <w:autoSpaceDE w:val="0"/>
        <w:autoSpaceDN w:val="0"/>
        <w:adjustRightInd w:val="0"/>
        <w:spacing w:after="0" w:line="360" w:lineRule="auto"/>
        <w:jc w:val="both"/>
        <w:rPr>
          <w:rFonts w:ascii="Times New Roman" w:hAnsi="Times New Roman" w:cs="Times New Roman"/>
          <w:sz w:val="24"/>
          <w:szCs w:val="24"/>
          <w:lang w:val="en-US"/>
        </w:rPr>
      </w:pPr>
      <w:hyperlink r:id="rId35" w:history="1">
        <w:r w:rsidR="00E56410" w:rsidRPr="00E56410">
          <w:rPr>
            <w:rStyle w:val="Hyperlink"/>
            <w:rFonts w:ascii="Times New Roman" w:hAnsi="Times New Roman" w:cs="Times New Roman"/>
            <w:color w:val="auto"/>
            <w:sz w:val="24"/>
            <w:szCs w:val="24"/>
            <w:u w:val="none"/>
            <w:lang w:val="en-US"/>
          </w:rPr>
          <w:t>http://www.nytimes.com/2012/05/13/your-money/investors-flights-to-safety-cant-hide-the-danger.html?_r=1</w:t>
        </w:r>
      </w:hyperlink>
    </w:p>
    <w:p w:rsidR="00E56410" w:rsidRPr="00E56410" w:rsidRDefault="00E56410" w:rsidP="00E56410">
      <w:pPr>
        <w:pStyle w:val="ListParagraph"/>
        <w:spacing w:line="360" w:lineRule="auto"/>
        <w:ind w:left="0"/>
        <w:jc w:val="both"/>
        <w:rPr>
          <w:rFonts w:ascii="Times New Roman" w:hAnsi="Times New Roman" w:cs="Times New Roman"/>
          <w:sz w:val="24"/>
          <w:szCs w:val="24"/>
          <w:lang w:val="en-US"/>
        </w:rPr>
      </w:pPr>
    </w:p>
    <w:p w:rsidR="00E56410" w:rsidRPr="00E56410" w:rsidRDefault="00F17C1C" w:rsidP="00E56410">
      <w:pPr>
        <w:pStyle w:val="ListParagraph"/>
        <w:spacing w:line="360" w:lineRule="auto"/>
        <w:ind w:left="0"/>
        <w:jc w:val="both"/>
        <w:rPr>
          <w:rFonts w:ascii="Times New Roman" w:hAnsi="Times New Roman" w:cs="Times New Roman"/>
          <w:b/>
          <w:bCs/>
          <w:sz w:val="24"/>
          <w:szCs w:val="24"/>
          <w:lang w:val="en-US"/>
        </w:rPr>
      </w:pPr>
      <w:hyperlink r:id="rId36" w:history="1">
        <w:r w:rsidR="00E56410" w:rsidRPr="00E56410">
          <w:rPr>
            <w:rStyle w:val="Hyperlink"/>
            <w:rFonts w:ascii="Times New Roman" w:hAnsi="Times New Roman" w:cs="Times New Roman"/>
            <w:color w:val="auto"/>
            <w:sz w:val="24"/>
            <w:szCs w:val="24"/>
            <w:u w:val="none"/>
            <w:lang w:val="en-US"/>
          </w:rPr>
          <w:t>http://www.reuters.com/article/2011/08/26/us-markets-investors-safety-idUSTRE77P1Y220110826</w:t>
        </w:r>
      </w:hyperlink>
    </w:p>
    <w:p w:rsidR="00E56410" w:rsidRPr="00E56410" w:rsidRDefault="00F17C1C" w:rsidP="00E56410">
      <w:pPr>
        <w:spacing w:line="360" w:lineRule="auto"/>
        <w:jc w:val="both"/>
        <w:rPr>
          <w:rFonts w:ascii="Times New Roman" w:hAnsi="Times New Roman" w:cs="Times New Roman"/>
          <w:sz w:val="24"/>
          <w:szCs w:val="24"/>
          <w:lang w:val="en-US"/>
        </w:rPr>
      </w:pPr>
      <w:hyperlink r:id="rId37" w:history="1">
        <w:r w:rsidR="00E56410" w:rsidRPr="00E56410">
          <w:rPr>
            <w:rStyle w:val="Hyperlink"/>
            <w:rFonts w:ascii="Times New Roman" w:hAnsi="Times New Roman" w:cs="Times New Roman"/>
            <w:color w:val="auto"/>
            <w:sz w:val="24"/>
            <w:szCs w:val="24"/>
            <w:u w:val="none"/>
            <w:lang w:val="en-US"/>
          </w:rPr>
          <w:t>http://www.telegraph.co.uk/finance/economics/9198418/Fall-in-safe-haven-assets-threatens-global-financial-stability-warns-IMF.html</w:t>
        </w:r>
      </w:hyperlink>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937A52" w:rsidRDefault="00937A52" w:rsidP="00895B12">
      <w:pPr>
        <w:pStyle w:val="ListParagraph"/>
        <w:ind w:left="0"/>
        <w:jc w:val="center"/>
        <w:rPr>
          <w:rFonts w:ascii="Times New Roman" w:hAnsi="Times New Roman" w:cs="Times New Roman"/>
          <w:b/>
          <w:bCs/>
          <w:sz w:val="28"/>
          <w:szCs w:val="28"/>
          <w:lang w:val="en-US"/>
        </w:rPr>
      </w:pPr>
    </w:p>
    <w:p w:rsidR="00895B12" w:rsidRPr="00895B12" w:rsidRDefault="00895B12" w:rsidP="00895B12">
      <w:pPr>
        <w:pStyle w:val="ListParagraph"/>
        <w:ind w:left="0"/>
        <w:jc w:val="center"/>
        <w:rPr>
          <w:rFonts w:ascii="Times New Roman" w:hAnsi="Times New Roman" w:cs="Times New Roman"/>
          <w:b/>
          <w:bCs/>
          <w:sz w:val="28"/>
          <w:szCs w:val="28"/>
          <w:lang w:val="en-US"/>
        </w:rPr>
      </w:pPr>
      <w:r w:rsidRPr="00895B12">
        <w:rPr>
          <w:rFonts w:ascii="Times New Roman" w:hAnsi="Times New Roman" w:cs="Times New Roman"/>
          <w:b/>
          <w:bCs/>
          <w:sz w:val="28"/>
          <w:szCs w:val="28"/>
          <w:lang w:val="en-US"/>
        </w:rPr>
        <w:lastRenderedPageBreak/>
        <w:t>APPENDIX</w:t>
      </w:r>
    </w:p>
    <w:p w:rsidR="00895B12" w:rsidRDefault="00895B12" w:rsidP="00E56410">
      <w:pPr>
        <w:pStyle w:val="ListParagraph"/>
        <w:ind w:left="0"/>
        <w:jc w:val="both"/>
        <w:rPr>
          <w:rFonts w:ascii="Times New Roman" w:hAnsi="Times New Roman" w:cs="Times New Roman"/>
          <w:b/>
          <w:bCs/>
          <w:sz w:val="24"/>
          <w:szCs w:val="24"/>
          <w:lang w:val="en-US"/>
        </w:rPr>
      </w:pPr>
    </w:p>
    <w:p w:rsidR="00E56410" w:rsidRPr="00B54C5D" w:rsidRDefault="00E56410" w:rsidP="00B54C5D">
      <w:pPr>
        <w:pStyle w:val="ListParagraph"/>
        <w:ind w:left="0"/>
        <w:jc w:val="center"/>
        <w:rPr>
          <w:rFonts w:ascii="Times New Roman" w:hAnsi="Times New Roman" w:cs="Times New Roman"/>
          <w:b/>
          <w:bCs/>
          <w:sz w:val="26"/>
          <w:szCs w:val="26"/>
          <w:lang w:val="en-US"/>
        </w:rPr>
      </w:pPr>
      <w:r w:rsidRPr="00B54C5D">
        <w:rPr>
          <w:rFonts w:ascii="Times New Roman" w:hAnsi="Times New Roman" w:cs="Times New Roman"/>
          <w:b/>
          <w:bCs/>
          <w:sz w:val="26"/>
          <w:szCs w:val="26"/>
          <w:lang w:val="en-US"/>
        </w:rPr>
        <w:t>APPENDIX A: Tables</w:t>
      </w:r>
    </w:p>
    <w:p w:rsidR="00E56410" w:rsidRDefault="00E56410" w:rsidP="00E56410">
      <w:pPr>
        <w:pStyle w:val="ListParagraph"/>
        <w:ind w:left="0"/>
        <w:jc w:val="both"/>
        <w:rPr>
          <w:rFonts w:ascii="Times New Roman" w:hAnsi="Times New Roman" w:cs="Times New Roman"/>
          <w:b/>
          <w:bCs/>
          <w:sz w:val="24"/>
          <w:szCs w:val="24"/>
          <w:lang w:val="en-US"/>
        </w:rPr>
      </w:pPr>
    </w:p>
    <w:p w:rsidR="00E56410" w:rsidRPr="00E56410" w:rsidRDefault="00E56410" w:rsidP="00E56410">
      <w:pPr>
        <w:jc w:val="both"/>
        <w:rPr>
          <w:rFonts w:ascii="Times New Roman" w:hAnsi="Times New Roman" w:cs="Times New Roman"/>
          <w:b/>
          <w:sz w:val="24"/>
          <w:szCs w:val="24"/>
          <w:lang w:val="en-US"/>
        </w:rPr>
      </w:pPr>
      <w:r w:rsidRPr="00E56410">
        <w:rPr>
          <w:rFonts w:ascii="Times New Roman" w:hAnsi="Times New Roman" w:cs="Times New Roman"/>
          <w:b/>
          <w:sz w:val="24"/>
          <w:szCs w:val="24"/>
          <w:lang w:val="en-US"/>
        </w:rPr>
        <w:t xml:space="preserve">Table </w:t>
      </w:r>
      <w:r w:rsidR="00F17C1C" w:rsidRPr="00E56410">
        <w:rPr>
          <w:rFonts w:ascii="Times New Roman" w:hAnsi="Times New Roman" w:cs="Times New Roman"/>
          <w:b/>
          <w:sz w:val="24"/>
          <w:szCs w:val="24"/>
        </w:rPr>
        <w:fldChar w:fldCharType="begin"/>
      </w:r>
      <w:r w:rsidRPr="00E56410">
        <w:rPr>
          <w:rFonts w:ascii="Times New Roman" w:hAnsi="Times New Roman" w:cs="Times New Roman"/>
          <w:b/>
          <w:sz w:val="24"/>
          <w:szCs w:val="24"/>
          <w:lang w:val="en-US"/>
        </w:rPr>
        <w:instrText xml:space="preserve"> SEQ Table \* ARABIC </w:instrText>
      </w:r>
      <w:r w:rsidR="00F17C1C" w:rsidRPr="00E56410">
        <w:rPr>
          <w:rFonts w:ascii="Times New Roman" w:hAnsi="Times New Roman" w:cs="Times New Roman"/>
          <w:b/>
          <w:sz w:val="24"/>
          <w:szCs w:val="24"/>
        </w:rPr>
        <w:fldChar w:fldCharType="separate"/>
      </w:r>
      <w:r w:rsidRPr="00E56410">
        <w:rPr>
          <w:rFonts w:ascii="Times New Roman" w:hAnsi="Times New Roman" w:cs="Times New Roman"/>
          <w:b/>
          <w:noProof/>
          <w:sz w:val="24"/>
          <w:szCs w:val="24"/>
          <w:lang w:val="en-US"/>
        </w:rPr>
        <w:t>1</w:t>
      </w:r>
      <w:r w:rsidR="00F17C1C" w:rsidRPr="00E56410">
        <w:rPr>
          <w:rFonts w:ascii="Times New Roman" w:hAnsi="Times New Roman" w:cs="Times New Roman"/>
          <w:b/>
          <w:sz w:val="24"/>
          <w:szCs w:val="24"/>
        </w:rPr>
        <w:fldChar w:fldCharType="end"/>
      </w:r>
    </w:p>
    <w:p w:rsidR="00E56410" w:rsidRPr="00E56410" w:rsidRDefault="00E56410" w:rsidP="00E56410">
      <w:pPr>
        <w:jc w:val="both"/>
        <w:rPr>
          <w:rFonts w:ascii="Times New Roman" w:hAnsi="Times New Roman" w:cs="Times New Roman"/>
          <w:b/>
          <w:sz w:val="24"/>
          <w:szCs w:val="24"/>
          <w:lang w:val="en-US"/>
        </w:rPr>
      </w:pPr>
      <w:r w:rsidRPr="00E56410">
        <w:rPr>
          <w:rFonts w:ascii="Times New Roman" w:hAnsi="Times New Roman" w:cs="Times New Roman"/>
          <w:b/>
          <w:sz w:val="24"/>
          <w:szCs w:val="24"/>
          <w:lang w:val="en-US"/>
        </w:rPr>
        <w:t>Indices-Components-Statistical Methods-Sources</w:t>
      </w:r>
    </w:p>
    <w:p w:rsidR="00E56410" w:rsidRPr="00E56410" w:rsidRDefault="00E56410" w:rsidP="00C1778D">
      <w:pPr>
        <w:spacing w:line="240" w:lineRule="auto"/>
        <w:rPr>
          <w:rFonts w:ascii="Times New Roman" w:hAnsi="Times New Roman" w:cs="Times New Roman"/>
          <w:sz w:val="20"/>
          <w:szCs w:val="20"/>
          <w:lang w:val="en-US"/>
        </w:rPr>
      </w:pPr>
      <w:r w:rsidRPr="00E56410">
        <w:rPr>
          <w:rFonts w:ascii="Times New Roman" w:hAnsi="Times New Roman" w:cs="Times New Roman"/>
          <w:sz w:val="20"/>
          <w:szCs w:val="20"/>
          <w:lang w:val="en-US"/>
        </w:rPr>
        <w:t>In this table we present our initial sample of indices, the components</w:t>
      </w:r>
      <w:r w:rsidR="00B7011B">
        <w:rPr>
          <w:rFonts w:ascii="Times New Roman" w:hAnsi="Times New Roman" w:cs="Times New Roman"/>
          <w:sz w:val="20"/>
          <w:szCs w:val="20"/>
          <w:lang w:val="en-US"/>
        </w:rPr>
        <w:t xml:space="preserve"> from which</w:t>
      </w:r>
      <w:r w:rsidRPr="00E56410">
        <w:rPr>
          <w:rFonts w:ascii="Times New Roman" w:hAnsi="Times New Roman" w:cs="Times New Roman"/>
          <w:sz w:val="20"/>
          <w:szCs w:val="20"/>
          <w:lang w:val="en-US"/>
        </w:rPr>
        <w:t xml:space="preserve"> the indices consist of, the applied statistical method and the source from where information is retrieved.</w:t>
      </w:r>
    </w:p>
    <w:p w:rsidR="00E56410" w:rsidRPr="00FD4BB0" w:rsidRDefault="00E56410" w:rsidP="00E56410">
      <w:pPr>
        <w:rPr>
          <w:lang w:val="en-US"/>
        </w:rPr>
      </w:pPr>
    </w:p>
    <w:tbl>
      <w:tblPr>
        <w:tblStyle w:val="TableGrid"/>
        <w:tblW w:w="9747" w:type="dxa"/>
        <w:tblLayout w:type="fixed"/>
        <w:tblLook w:val="04A0"/>
      </w:tblPr>
      <w:tblGrid>
        <w:gridCol w:w="1526"/>
        <w:gridCol w:w="2410"/>
        <w:gridCol w:w="4110"/>
        <w:gridCol w:w="1701"/>
      </w:tblGrid>
      <w:tr w:rsidR="00E56410" w:rsidRPr="00352716" w:rsidTr="0072391A">
        <w:trPr>
          <w:trHeight w:val="332"/>
        </w:trPr>
        <w:tc>
          <w:tcPr>
            <w:tcW w:w="1526" w:type="dxa"/>
            <w:tcBorders>
              <w:top w:val="single" w:sz="18" w:space="0" w:color="auto"/>
              <w:left w:val="single" w:sz="18" w:space="0" w:color="auto"/>
              <w:bottom w:val="single" w:sz="18" w:space="0" w:color="auto"/>
              <w:right w:val="single" w:sz="18" w:space="0" w:color="auto"/>
            </w:tcBorders>
            <w:shd w:val="clear" w:color="auto" w:fill="B6DDE8" w:themeFill="accent5" w:themeFillTint="66"/>
          </w:tcPr>
          <w:p w:rsidR="00E56410" w:rsidRPr="00352716" w:rsidRDefault="00E56410" w:rsidP="0072391A">
            <w:pPr>
              <w:jc w:val="center"/>
              <w:rPr>
                <w:b/>
                <w:sz w:val="22"/>
                <w:szCs w:val="22"/>
              </w:rPr>
            </w:pPr>
            <w:r w:rsidRPr="00352716">
              <w:rPr>
                <w:b/>
                <w:sz w:val="22"/>
                <w:szCs w:val="22"/>
              </w:rPr>
              <w:t>Index</w:t>
            </w:r>
          </w:p>
        </w:tc>
        <w:tc>
          <w:tcPr>
            <w:tcW w:w="2410" w:type="dxa"/>
            <w:tcBorders>
              <w:top w:val="single" w:sz="18" w:space="0" w:color="auto"/>
              <w:left w:val="single" w:sz="18" w:space="0" w:color="auto"/>
              <w:bottom w:val="single" w:sz="18" w:space="0" w:color="auto"/>
              <w:right w:val="single" w:sz="18" w:space="0" w:color="auto"/>
            </w:tcBorders>
            <w:shd w:val="clear" w:color="auto" w:fill="B6DDE8" w:themeFill="accent5" w:themeFillTint="66"/>
          </w:tcPr>
          <w:p w:rsidR="00E56410" w:rsidRPr="00352716" w:rsidRDefault="00E56410" w:rsidP="0072391A">
            <w:pPr>
              <w:jc w:val="center"/>
              <w:rPr>
                <w:b/>
                <w:sz w:val="22"/>
                <w:szCs w:val="22"/>
              </w:rPr>
            </w:pPr>
            <w:r w:rsidRPr="00352716">
              <w:rPr>
                <w:b/>
                <w:sz w:val="22"/>
                <w:szCs w:val="22"/>
              </w:rPr>
              <w:t>Components</w:t>
            </w:r>
          </w:p>
        </w:tc>
        <w:tc>
          <w:tcPr>
            <w:tcW w:w="4110" w:type="dxa"/>
            <w:tcBorders>
              <w:top w:val="single" w:sz="18" w:space="0" w:color="auto"/>
              <w:left w:val="single" w:sz="18" w:space="0" w:color="auto"/>
              <w:bottom w:val="single" w:sz="18" w:space="0" w:color="auto"/>
              <w:right w:val="single" w:sz="18" w:space="0" w:color="auto"/>
            </w:tcBorders>
            <w:shd w:val="clear" w:color="auto" w:fill="B6DDE8" w:themeFill="accent5" w:themeFillTint="66"/>
          </w:tcPr>
          <w:p w:rsidR="00E56410" w:rsidRPr="00352716" w:rsidRDefault="00E56410" w:rsidP="0072391A">
            <w:pPr>
              <w:jc w:val="center"/>
              <w:rPr>
                <w:b/>
                <w:sz w:val="22"/>
                <w:szCs w:val="22"/>
              </w:rPr>
            </w:pPr>
            <w:r w:rsidRPr="00352716">
              <w:rPr>
                <w:b/>
                <w:sz w:val="22"/>
                <w:szCs w:val="22"/>
              </w:rPr>
              <w:t>Statistical Method</w:t>
            </w:r>
          </w:p>
        </w:tc>
        <w:tc>
          <w:tcPr>
            <w:tcW w:w="1701" w:type="dxa"/>
            <w:tcBorders>
              <w:top w:val="single" w:sz="18" w:space="0" w:color="auto"/>
              <w:left w:val="single" w:sz="18" w:space="0" w:color="auto"/>
              <w:bottom w:val="single" w:sz="18" w:space="0" w:color="auto"/>
              <w:right w:val="single" w:sz="18" w:space="0" w:color="auto"/>
            </w:tcBorders>
            <w:shd w:val="clear" w:color="auto" w:fill="B6DDE8" w:themeFill="accent5" w:themeFillTint="66"/>
          </w:tcPr>
          <w:p w:rsidR="00E56410" w:rsidRPr="00352716" w:rsidRDefault="00E56410" w:rsidP="0072391A">
            <w:pPr>
              <w:jc w:val="center"/>
              <w:rPr>
                <w:b/>
                <w:sz w:val="22"/>
                <w:szCs w:val="22"/>
              </w:rPr>
            </w:pPr>
            <w:r w:rsidRPr="00352716">
              <w:rPr>
                <w:b/>
                <w:sz w:val="22"/>
                <w:szCs w:val="22"/>
              </w:rPr>
              <w:t>Source</w:t>
            </w:r>
          </w:p>
        </w:tc>
      </w:tr>
      <w:tr w:rsidR="00E56410" w:rsidRPr="009A092A" w:rsidTr="0072391A">
        <w:trPr>
          <w:trHeight w:val="348"/>
        </w:trPr>
        <w:tc>
          <w:tcPr>
            <w:tcW w:w="1526" w:type="dxa"/>
            <w:tcBorders>
              <w:top w:val="single" w:sz="18" w:space="0" w:color="auto"/>
              <w:left w:val="single" w:sz="18" w:space="0" w:color="auto"/>
              <w:right w:val="single" w:sz="18" w:space="0" w:color="auto"/>
            </w:tcBorders>
            <w:shd w:val="clear" w:color="auto" w:fill="B6DDE8" w:themeFill="accent5" w:themeFillTint="66"/>
          </w:tcPr>
          <w:p w:rsidR="00E56410" w:rsidRPr="00352716" w:rsidRDefault="00E56410" w:rsidP="0072391A">
            <w:pPr>
              <w:jc w:val="center"/>
              <w:rPr>
                <w:sz w:val="22"/>
                <w:szCs w:val="22"/>
                <w:lang w:val="en-US"/>
              </w:rPr>
            </w:pPr>
            <w:r w:rsidRPr="00352716">
              <w:rPr>
                <w:sz w:val="22"/>
                <w:szCs w:val="22"/>
              </w:rPr>
              <w:t>VIX I</w:t>
            </w:r>
            <w:proofErr w:type="spellStart"/>
            <w:r>
              <w:rPr>
                <w:sz w:val="22"/>
                <w:szCs w:val="22"/>
                <w:lang w:val="en-US"/>
              </w:rPr>
              <w:t>ndex</w:t>
            </w:r>
            <w:proofErr w:type="spellEnd"/>
          </w:p>
        </w:tc>
        <w:tc>
          <w:tcPr>
            <w:tcW w:w="2410" w:type="dxa"/>
            <w:tcBorders>
              <w:top w:val="single" w:sz="18" w:space="0" w:color="auto"/>
              <w:left w:val="single" w:sz="18" w:space="0" w:color="auto"/>
            </w:tcBorders>
          </w:tcPr>
          <w:p w:rsidR="00E56410" w:rsidRPr="00352716" w:rsidRDefault="00E56410" w:rsidP="0072391A">
            <w:pPr>
              <w:jc w:val="both"/>
              <w:rPr>
                <w:sz w:val="22"/>
                <w:szCs w:val="22"/>
                <w:lang w:val="en-US"/>
              </w:rPr>
            </w:pPr>
            <w:r w:rsidRPr="00352716">
              <w:rPr>
                <w:sz w:val="22"/>
                <w:szCs w:val="22"/>
                <w:lang w:val="en-US"/>
              </w:rPr>
              <w:t xml:space="preserve">Implied volatility of S&amp;P 500. </w:t>
            </w:r>
          </w:p>
        </w:tc>
        <w:tc>
          <w:tcPr>
            <w:tcW w:w="4110" w:type="dxa"/>
            <w:tcBorders>
              <w:top w:val="single" w:sz="18" w:space="0" w:color="auto"/>
            </w:tcBorders>
          </w:tcPr>
          <w:p w:rsidR="00E56410" w:rsidRPr="00352716" w:rsidRDefault="00E56410" w:rsidP="0072391A">
            <w:pPr>
              <w:autoSpaceDE w:val="0"/>
              <w:autoSpaceDN w:val="0"/>
              <w:adjustRightInd w:val="0"/>
              <w:jc w:val="both"/>
              <w:rPr>
                <w:sz w:val="22"/>
                <w:szCs w:val="22"/>
                <w:lang w:val="en-US"/>
              </w:rPr>
            </w:pPr>
            <w:r w:rsidRPr="00352716">
              <w:rPr>
                <w:rFonts w:eastAsia="TimesNewRoman"/>
                <w:sz w:val="22"/>
                <w:szCs w:val="22"/>
                <w:lang w:val="en-US"/>
              </w:rPr>
              <w:t>Based on a weighted average of the implied volatility from eight calls and puts on the index.</w:t>
            </w:r>
          </w:p>
        </w:tc>
        <w:tc>
          <w:tcPr>
            <w:tcW w:w="1701" w:type="dxa"/>
            <w:tcBorders>
              <w:top w:val="single" w:sz="18" w:space="0" w:color="auto"/>
              <w:right w:val="single" w:sz="18" w:space="0" w:color="auto"/>
            </w:tcBorders>
          </w:tcPr>
          <w:p w:rsidR="00E56410" w:rsidRPr="00352716" w:rsidRDefault="00E56410" w:rsidP="0072391A">
            <w:pPr>
              <w:autoSpaceDE w:val="0"/>
              <w:autoSpaceDN w:val="0"/>
              <w:adjustRightInd w:val="0"/>
              <w:rPr>
                <w:rFonts w:eastAsia="TimesNewRoman"/>
                <w:sz w:val="22"/>
                <w:szCs w:val="22"/>
                <w:lang w:val="en-US"/>
              </w:rPr>
            </w:pPr>
            <w:r w:rsidRPr="00352716">
              <w:rPr>
                <w:sz w:val="22"/>
                <w:szCs w:val="22"/>
                <w:lang w:val="en-US"/>
              </w:rPr>
              <w:t>ECB’s Financial Stability Review (June, 2007)</w:t>
            </w:r>
          </w:p>
        </w:tc>
      </w:tr>
      <w:tr w:rsidR="00E56410" w:rsidRPr="00352716" w:rsidTr="0072391A">
        <w:trPr>
          <w:trHeight w:val="1271"/>
        </w:trPr>
        <w:tc>
          <w:tcPr>
            <w:tcW w:w="1526" w:type="dxa"/>
            <w:tcBorders>
              <w:left w:val="single" w:sz="18" w:space="0" w:color="auto"/>
              <w:right w:val="single" w:sz="18" w:space="0" w:color="auto"/>
            </w:tcBorders>
            <w:shd w:val="clear" w:color="auto" w:fill="B6DDE8" w:themeFill="accent5" w:themeFillTint="66"/>
          </w:tcPr>
          <w:p w:rsidR="00E56410" w:rsidRPr="00352716" w:rsidRDefault="00E56410" w:rsidP="0072391A">
            <w:pPr>
              <w:jc w:val="center"/>
              <w:rPr>
                <w:sz w:val="22"/>
                <w:szCs w:val="22"/>
                <w:lang w:val="en-US"/>
              </w:rPr>
            </w:pPr>
            <w:r>
              <w:rPr>
                <w:sz w:val="22"/>
                <w:szCs w:val="22"/>
              </w:rPr>
              <w:t>Baker and Wurgler</w:t>
            </w:r>
          </w:p>
        </w:tc>
        <w:tc>
          <w:tcPr>
            <w:tcW w:w="2410" w:type="dxa"/>
            <w:tcBorders>
              <w:left w:val="single" w:sz="18" w:space="0" w:color="auto"/>
            </w:tcBorders>
          </w:tcPr>
          <w:p w:rsidR="00E56410" w:rsidRPr="00352716" w:rsidRDefault="00E56410" w:rsidP="0072391A">
            <w:pPr>
              <w:jc w:val="both"/>
              <w:rPr>
                <w:sz w:val="22"/>
                <w:szCs w:val="22"/>
                <w:lang w:val="en-US"/>
              </w:rPr>
            </w:pPr>
            <w:r w:rsidRPr="00352716">
              <w:rPr>
                <w:sz w:val="22"/>
                <w:szCs w:val="22"/>
                <w:lang w:val="en-US"/>
              </w:rPr>
              <w:t>6 proxies for sentiment (closed-end fund discount, NYSE share turnover, number and average first-day returns of IPOs, equity share in new issues and dividend premium).</w:t>
            </w:r>
          </w:p>
        </w:tc>
        <w:tc>
          <w:tcPr>
            <w:tcW w:w="4110" w:type="dxa"/>
          </w:tcPr>
          <w:p w:rsidR="00E56410" w:rsidRPr="00352716" w:rsidRDefault="00E56410" w:rsidP="0072391A">
            <w:pPr>
              <w:jc w:val="both"/>
              <w:rPr>
                <w:sz w:val="22"/>
                <w:szCs w:val="22"/>
                <w:lang w:val="en-US"/>
              </w:rPr>
            </w:pPr>
            <w:r w:rsidRPr="00352716">
              <w:rPr>
                <w:sz w:val="22"/>
                <w:szCs w:val="22"/>
                <w:lang w:val="en-US"/>
              </w:rPr>
              <w:t xml:space="preserve">Principal Component Analysis (PCA) to isolate the common component of the proxies in order to construct their index. </w:t>
            </w:r>
          </w:p>
        </w:tc>
        <w:tc>
          <w:tcPr>
            <w:tcW w:w="1701" w:type="dxa"/>
            <w:tcBorders>
              <w:right w:val="single" w:sz="18" w:space="0" w:color="auto"/>
            </w:tcBorders>
          </w:tcPr>
          <w:p w:rsidR="00E56410" w:rsidRPr="00352716" w:rsidRDefault="00E56410" w:rsidP="0072391A">
            <w:pPr>
              <w:rPr>
                <w:sz w:val="22"/>
                <w:szCs w:val="22"/>
              </w:rPr>
            </w:pPr>
            <w:r w:rsidRPr="00352716">
              <w:rPr>
                <w:sz w:val="22"/>
                <w:szCs w:val="22"/>
              </w:rPr>
              <w:t>Baker and Wurgler (2006).</w:t>
            </w:r>
          </w:p>
        </w:tc>
      </w:tr>
      <w:tr w:rsidR="00E56410" w:rsidRPr="00352716" w:rsidTr="0072391A">
        <w:tc>
          <w:tcPr>
            <w:tcW w:w="1526" w:type="dxa"/>
            <w:tcBorders>
              <w:left w:val="single" w:sz="18" w:space="0" w:color="auto"/>
              <w:right w:val="single" w:sz="18" w:space="0" w:color="auto"/>
            </w:tcBorders>
            <w:shd w:val="clear" w:color="auto" w:fill="B6DDE8" w:themeFill="accent5" w:themeFillTint="66"/>
          </w:tcPr>
          <w:p w:rsidR="00E56410" w:rsidRPr="00352716" w:rsidRDefault="00E56410" w:rsidP="0072391A">
            <w:pPr>
              <w:jc w:val="center"/>
              <w:rPr>
                <w:sz w:val="22"/>
                <w:szCs w:val="22"/>
                <w:lang w:val="en-US"/>
              </w:rPr>
            </w:pPr>
            <w:r w:rsidRPr="00352716">
              <w:rPr>
                <w:sz w:val="22"/>
                <w:szCs w:val="22"/>
                <w:lang w:val="en-US"/>
              </w:rPr>
              <w:t>University of Michigan Consumer Confidence Sentiment</w:t>
            </w:r>
          </w:p>
        </w:tc>
        <w:tc>
          <w:tcPr>
            <w:tcW w:w="2410" w:type="dxa"/>
            <w:tcBorders>
              <w:left w:val="single" w:sz="18" w:space="0" w:color="auto"/>
            </w:tcBorders>
          </w:tcPr>
          <w:p w:rsidR="00E56410" w:rsidRPr="00352716" w:rsidRDefault="00E56410" w:rsidP="0072391A">
            <w:pPr>
              <w:jc w:val="both"/>
              <w:rPr>
                <w:sz w:val="22"/>
                <w:szCs w:val="22"/>
                <w:lang w:val="en-US"/>
              </w:rPr>
            </w:pPr>
            <w:r w:rsidRPr="00352716">
              <w:rPr>
                <w:sz w:val="22"/>
                <w:szCs w:val="22"/>
                <w:lang w:val="en-US"/>
              </w:rPr>
              <w:t>Survey (peoples’ expectations regarding the economic environment).</w:t>
            </w:r>
          </w:p>
        </w:tc>
        <w:tc>
          <w:tcPr>
            <w:tcW w:w="4110" w:type="dxa"/>
          </w:tcPr>
          <w:p w:rsidR="00E56410" w:rsidRPr="00352716" w:rsidRDefault="00E56410" w:rsidP="0072391A">
            <w:pPr>
              <w:jc w:val="both"/>
              <w:rPr>
                <w:sz w:val="22"/>
                <w:szCs w:val="22"/>
                <w:lang w:val="en-US"/>
              </w:rPr>
            </w:pPr>
            <w:r w:rsidRPr="00352716">
              <w:rPr>
                <w:sz w:val="22"/>
                <w:szCs w:val="22"/>
                <w:lang w:val="en-US"/>
              </w:rPr>
              <w:t>The survey consists of a representative sample for all U.S households of at least 500 respondents that are interviewed by telephone.</w:t>
            </w:r>
          </w:p>
        </w:tc>
        <w:tc>
          <w:tcPr>
            <w:tcW w:w="1701" w:type="dxa"/>
            <w:tcBorders>
              <w:right w:val="single" w:sz="18" w:space="0" w:color="auto"/>
            </w:tcBorders>
          </w:tcPr>
          <w:p w:rsidR="00E56410" w:rsidRPr="00352716" w:rsidRDefault="00E56410" w:rsidP="0072391A">
            <w:pPr>
              <w:rPr>
                <w:sz w:val="22"/>
                <w:szCs w:val="22"/>
              </w:rPr>
            </w:pPr>
            <w:r w:rsidRPr="00352716">
              <w:rPr>
                <w:sz w:val="22"/>
                <w:szCs w:val="22"/>
              </w:rPr>
              <w:t>Fisher and Statman (2003)</w:t>
            </w:r>
          </w:p>
        </w:tc>
      </w:tr>
      <w:tr w:rsidR="00E56410" w:rsidRPr="009A092A" w:rsidTr="0072391A">
        <w:trPr>
          <w:trHeight w:val="4239"/>
        </w:trPr>
        <w:tc>
          <w:tcPr>
            <w:tcW w:w="1526" w:type="dxa"/>
            <w:tcBorders>
              <w:left w:val="single" w:sz="18" w:space="0" w:color="auto"/>
              <w:right w:val="single" w:sz="18" w:space="0" w:color="auto"/>
            </w:tcBorders>
            <w:shd w:val="clear" w:color="auto" w:fill="B6DDE8" w:themeFill="accent5" w:themeFillTint="66"/>
          </w:tcPr>
          <w:p w:rsidR="00E56410" w:rsidRPr="00D2232E" w:rsidRDefault="00E56410" w:rsidP="0072391A">
            <w:pPr>
              <w:jc w:val="center"/>
              <w:rPr>
                <w:sz w:val="22"/>
                <w:szCs w:val="22"/>
                <w:lang w:val="en-US"/>
              </w:rPr>
            </w:pPr>
            <w:r w:rsidRPr="00D2232E">
              <w:rPr>
                <w:sz w:val="22"/>
                <w:szCs w:val="22"/>
                <w:lang w:val="en-US"/>
              </w:rPr>
              <w:t xml:space="preserve">UBS </w:t>
            </w:r>
            <w:r>
              <w:rPr>
                <w:sz w:val="22"/>
                <w:szCs w:val="22"/>
                <w:lang w:val="en-US"/>
              </w:rPr>
              <w:t>Overall Index of Investor Optimism</w:t>
            </w:r>
          </w:p>
        </w:tc>
        <w:tc>
          <w:tcPr>
            <w:tcW w:w="2410" w:type="dxa"/>
            <w:tcBorders>
              <w:left w:val="single" w:sz="18" w:space="0" w:color="auto"/>
            </w:tcBorders>
          </w:tcPr>
          <w:p w:rsidR="00E56410" w:rsidRPr="00352716" w:rsidRDefault="00E56410" w:rsidP="0072391A">
            <w:pPr>
              <w:jc w:val="both"/>
              <w:rPr>
                <w:sz w:val="22"/>
                <w:szCs w:val="22"/>
                <w:lang w:val="en-US"/>
              </w:rPr>
            </w:pPr>
            <w:r w:rsidRPr="00352716">
              <w:rPr>
                <w:sz w:val="22"/>
                <w:szCs w:val="22"/>
                <w:lang w:val="en-US"/>
              </w:rPr>
              <w:t>Survey (peoples’ expectations regarding the economic environment).</w:t>
            </w:r>
          </w:p>
        </w:tc>
        <w:tc>
          <w:tcPr>
            <w:tcW w:w="4110" w:type="dxa"/>
          </w:tcPr>
          <w:p w:rsidR="00E56410" w:rsidRPr="00352716" w:rsidRDefault="00E56410" w:rsidP="0072391A">
            <w:pPr>
              <w:jc w:val="both"/>
              <w:rPr>
                <w:sz w:val="22"/>
                <w:szCs w:val="22"/>
                <w:lang w:val="en-US"/>
              </w:rPr>
            </w:pPr>
            <w:r w:rsidRPr="00352716">
              <w:rPr>
                <w:sz w:val="22"/>
                <w:szCs w:val="22"/>
                <w:lang w:val="en-US"/>
              </w:rPr>
              <w:t>From 1996 to 2007, UBS and the Gallup Organization have conducted random interviews of US investors, defined as household heads holding an investment portfolio of $10,000 or more. Gallup conducts 1,000 interviews of investors during the first two weeks of every month and results are reported on the last Monday of the month. In 2002, UBS extended the Index to include the five largest EU economies: France, Germany, Italy, Spain, and the United Kingdom. Sampling 200 investors each month in each country, results are reported in the aggregate for the region on a monthly basis and reported quarterly for each country</w:t>
            </w:r>
          </w:p>
          <w:p w:rsidR="00E56410" w:rsidRPr="00352716" w:rsidRDefault="00E56410" w:rsidP="0072391A">
            <w:pPr>
              <w:jc w:val="center"/>
              <w:rPr>
                <w:sz w:val="22"/>
                <w:szCs w:val="22"/>
                <w:lang w:val="en-US"/>
              </w:rPr>
            </w:pPr>
          </w:p>
        </w:tc>
        <w:tc>
          <w:tcPr>
            <w:tcW w:w="1701" w:type="dxa"/>
            <w:tcBorders>
              <w:right w:val="single" w:sz="18" w:space="0" w:color="auto"/>
            </w:tcBorders>
          </w:tcPr>
          <w:p w:rsidR="00E56410" w:rsidRPr="00352716" w:rsidRDefault="00F17C1C" w:rsidP="0072391A">
            <w:pPr>
              <w:jc w:val="both"/>
              <w:rPr>
                <w:sz w:val="22"/>
                <w:szCs w:val="22"/>
                <w:lang w:val="en-US"/>
              </w:rPr>
            </w:pPr>
            <w:hyperlink r:id="rId38" w:anchor=".UHiq-cUxric" w:history="1">
              <w:r w:rsidR="00E56410" w:rsidRPr="00352716">
                <w:rPr>
                  <w:sz w:val="22"/>
                  <w:szCs w:val="22"/>
                  <w:lang w:val="en-US"/>
                </w:rPr>
                <w:t>http://www.ropercenter.uconn.edu/data_access/data/datasets/ubs_investor.html#.UHiq-cUxric</w:t>
              </w:r>
            </w:hyperlink>
          </w:p>
        </w:tc>
      </w:tr>
      <w:tr w:rsidR="00E56410" w:rsidRPr="00352716" w:rsidTr="0072391A">
        <w:tc>
          <w:tcPr>
            <w:tcW w:w="1526" w:type="dxa"/>
            <w:tcBorders>
              <w:left w:val="single" w:sz="18" w:space="0" w:color="auto"/>
              <w:right w:val="single" w:sz="18" w:space="0" w:color="auto"/>
            </w:tcBorders>
            <w:shd w:val="clear" w:color="auto" w:fill="B6DDE8" w:themeFill="accent5" w:themeFillTint="66"/>
          </w:tcPr>
          <w:p w:rsidR="00E56410" w:rsidRPr="00D2232E" w:rsidRDefault="00E56410" w:rsidP="0072391A">
            <w:pPr>
              <w:jc w:val="center"/>
              <w:rPr>
                <w:sz w:val="22"/>
                <w:szCs w:val="22"/>
                <w:lang w:val="en-US"/>
              </w:rPr>
            </w:pPr>
            <w:r>
              <w:rPr>
                <w:sz w:val="22"/>
                <w:szCs w:val="22"/>
                <w:lang w:val="en-US"/>
              </w:rPr>
              <w:t>Citi Macro Risk Index</w:t>
            </w:r>
          </w:p>
        </w:tc>
        <w:tc>
          <w:tcPr>
            <w:tcW w:w="2410" w:type="dxa"/>
            <w:tcBorders>
              <w:left w:val="single" w:sz="18" w:space="0" w:color="auto"/>
            </w:tcBorders>
          </w:tcPr>
          <w:p w:rsidR="00E56410" w:rsidRPr="00352716" w:rsidRDefault="00E56410" w:rsidP="0072391A">
            <w:pPr>
              <w:autoSpaceDE w:val="0"/>
              <w:autoSpaceDN w:val="0"/>
              <w:adjustRightInd w:val="0"/>
              <w:jc w:val="both"/>
              <w:rPr>
                <w:sz w:val="22"/>
                <w:szCs w:val="22"/>
                <w:lang w:val="en-US"/>
              </w:rPr>
            </w:pPr>
            <w:r w:rsidRPr="00352716">
              <w:rPr>
                <w:rFonts w:eastAsia="TimesNewRoman"/>
                <w:sz w:val="22"/>
                <w:szCs w:val="22"/>
                <w:lang w:val="en-US"/>
              </w:rPr>
              <w:t xml:space="preserve">Implied volatilities for FX options, equity options and </w:t>
            </w:r>
            <w:proofErr w:type="spellStart"/>
            <w:r w:rsidRPr="00352716">
              <w:rPr>
                <w:rFonts w:eastAsia="TimesNewRoman"/>
                <w:sz w:val="22"/>
                <w:szCs w:val="22"/>
                <w:lang w:val="en-US"/>
              </w:rPr>
              <w:t>swaptions</w:t>
            </w:r>
            <w:proofErr w:type="spellEnd"/>
            <w:r w:rsidRPr="00352716">
              <w:rPr>
                <w:rFonts w:eastAsia="TimesNewRoman"/>
                <w:sz w:val="22"/>
                <w:szCs w:val="22"/>
                <w:lang w:val="en-US"/>
              </w:rPr>
              <w:t xml:space="preserve">, three-month TED spread, corporate CDS </w:t>
            </w:r>
            <w:r w:rsidRPr="00352716">
              <w:rPr>
                <w:rFonts w:eastAsia="TimesNewRoman"/>
                <w:sz w:val="22"/>
                <w:szCs w:val="22"/>
                <w:lang w:val="en-US"/>
              </w:rPr>
              <w:lastRenderedPageBreak/>
              <w:t>and emerging market sovereign spread.</w:t>
            </w:r>
          </w:p>
        </w:tc>
        <w:tc>
          <w:tcPr>
            <w:tcW w:w="4110" w:type="dxa"/>
          </w:tcPr>
          <w:p w:rsidR="00E56410" w:rsidRPr="00352716" w:rsidRDefault="00E56410" w:rsidP="0072391A">
            <w:pPr>
              <w:jc w:val="both"/>
              <w:rPr>
                <w:rFonts w:eastAsia="TimesNewRoman"/>
                <w:sz w:val="22"/>
                <w:szCs w:val="22"/>
              </w:rPr>
            </w:pPr>
            <w:r w:rsidRPr="00352716">
              <w:rPr>
                <w:rFonts w:eastAsia="TimesNewRoman"/>
                <w:sz w:val="22"/>
                <w:szCs w:val="22"/>
                <w:lang w:val="en-US"/>
              </w:rPr>
              <w:lastRenderedPageBreak/>
              <w:t xml:space="preserve">Normalize each input using a </w:t>
            </w:r>
            <w:proofErr w:type="spellStart"/>
            <w:r w:rsidRPr="00352716">
              <w:rPr>
                <w:rFonts w:eastAsia="TimesNewRoman"/>
                <w:sz w:val="22"/>
                <w:szCs w:val="22"/>
                <w:lang w:val="en-US"/>
              </w:rPr>
              <w:t>year long</w:t>
            </w:r>
            <w:proofErr w:type="spellEnd"/>
            <w:r w:rsidRPr="00352716">
              <w:rPr>
                <w:rFonts w:eastAsia="TimesNewRoman"/>
                <w:sz w:val="22"/>
                <w:szCs w:val="22"/>
                <w:lang w:val="en-US"/>
              </w:rPr>
              <w:t xml:space="preserve"> look back window and turn each one into a percentile rank. </w:t>
            </w:r>
            <w:r w:rsidRPr="00352716">
              <w:rPr>
                <w:rFonts w:eastAsia="TimesNewRoman"/>
                <w:sz w:val="22"/>
                <w:szCs w:val="22"/>
              </w:rPr>
              <w:t>Then take an equally weighted average of all.</w:t>
            </w:r>
          </w:p>
        </w:tc>
        <w:tc>
          <w:tcPr>
            <w:tcW w:w="1701" w:type="dxa"/>
            <w:tcBorders>
              <w:right w:val="single" w:sz="18" w:space="0" w:color="auto"/>
            </w:tcBorders>
          </w:tcPr>
          <w:p w:rsidR="00E56410" w:rsidRPr="00352716" w:rsidRDefault="00E56410" w:rsidP="0072391A">
            <w:pPr>
              <w:rPr>
                <w:rFonts w:eastAsia="TimesNewRoman"/>
                <w:sz w:val="22"/>
                <w:szCs w:val="22"/>
              </w:rPr>
            </w:pPr>
            <w:r w:rsidRPr="00352716">
              <w:rPr>
                <w:sz w:val="22"/>
                <w:szCs w:val="22"/>
              </w:rPr>
              <w:t>CitiFX Macro Indices  Sheet (2011)</w:t>
            </w:r>
          </w:p>
        </w:tc>
      </w:tr>
      <w:tr w:rsidR="00E56410" w:rsidRPr="009A092A" w:rsidTr="0072391A">
        <w:tc>
          <w:tcPr>
            <w:tcW w:w="1526" w:type="dxa"/>
            <w:tcBorders>
              <w:left w:val="single" w:sz="18" w:space="0" w:color="auto"/>
              <w:right w:val="single" w:sz="18" w:space="0" w:color="auto"/>
            </w:tcBorders>
            <w:shd w:val="clear" w:color="auto" w:fill="B6DDE8" w:themeFill="accent5" w:themeFillTint="66"/>
          </w:tcPr>
          <w:p w:rsidR="00E56410" w:rsidRPr="00352716" w:rsidRDefault="00E56410" w:rsidP="0072391A">
            <w:pPr>
              <w:jc w:val="center"/>
              <w:rPr>
                <w:sz w:val="22"/>
                <w:szCs w:val="22"/>
                <w:lang w:val="en-US"/>
              </w:rPr>
            </w:pPr>
            <w:r>
              <w:rPr>
                <w:sz w:val="22"/>
                <w:szCs w:val="22"/>
                <w:lang w:val="en-US"/>
              </w:rPr>
              <w:lastRenderedPageBreak/>
              <w:t xml:space="preserve">Merrill Lynch Risk Aversion Indicator </w:t>
            </w:r>
          </w:p>
        </w:tc>
        <w:tc>
          <w:tcPr>
            <w:tcW w:w="2410" w:type="dxa"/>
            <w:tcBorders>
              <w:left w:val="single" w:sz="18" w:space="0" w:color="auto"/>
            </w:tcBorders>
          </w:tcPr>
          <w:p w:rsidR="00E56410" w:rsidRPr="00D2232E" w:rsidRDefault="00E56410" w:rsidP="0072391A">
            <w:pPr>
              <w:jc w:val="both"/>
              <w:rPr>
                <w:sz w:val="22"/>
                <w:szCs w:val="22"/>
                <w:lang w:val="en-US"/>
              </w:rPr>
            </w:pPr>
            <w:r w:rsidRPr="00D2232E">
              <w:rPr>
                <w:sz w:val="22"/>
                <w:szCs w:val="22"/>
                <w:lang w:val="en-US"/>
              </w:rPr>
              <w:t>U.S small cap stocks, U.S high yield spreads, VIX, TED spreads.</w:t>
            </w:r>
          </w:p>
        </w:tc>
        <w:tc>
          <w:tcPr>
            <w:tcW w:w="4110" w:type="dxa"/>
          </w:tcPr>
          <w:p w:rsidR="00E56410" w:rsidRPr="00352716" w:rsidRDefault="00E56410" w:rsidP="0072391A">
            <w:pPr>
              <w:autoSpaceDE w:val="0"/>
              <w:autoSpaceDN w:val="0"/>
              <w:adjustRightInd w:val="0"/>
              <w:jc w:val="both"/>
              <w:rPr>
                <w:sz w:val="22"/>
                <w:szCs w:val="22"/>
                <w:lang w:val="en-US"/>
              </w:rPr>
            </w:pPr>
            <w:r w:rsidRPr="00352716">
              <w:rPr>
                <w:rFonts w:eastAsia="TimesNewRoman"/>
                <w:sz w:val="22"/>
                <w:szCs w:val="22"/>
                <w:lang w:val="en-US"/>
              </w:rPr>
              <w:t>For each item, this takes the standard deviations from 52-week moving averages. Then it sums the standard deviations of US high-yield spreads, VIX implied volatility, TED spreads, US ten-year swap spreads, emerging market bond spreads and the trade-weighted Swiss franc, while it subtracts those of EM equities and US small cap stock.</w:t>
            </w:r>
          </w:p>
        </w:tc>
        <w:tc>
          <w:tcPr>
            <w:tcW w:w="1701" w:type="dxa"/>
            <w:tcBorders>
              <w:right w:val="single" w:sz="18" w:space="0" w:color="auto"/>
            </w:tcBorders>
          </w:tcPr>
          <w:p w:rsidR="00E56410" w:rsidRPr="00352716" w:rsidRDefault="00E56410" w:rsidP="0072391A">
            <w:pPr>
              <w:autoSpaceDE w:val="0"/>
              <w:autoSpaceDN w:val="0"/>
              <w:adjustRightInd w:val="0"/>
              <w:rPr>
                <w:rFonts w:eastAsia="TimesNewRoman"/>
                <w:sz w:val="22"/>
                <w:szCs w:val="22"/>
                <w:lang w:val="en-US"/>
              </w:rPr>
            </w:pPr>
            <w:r w:rsidRPr="00352716">
              <w:rPr>
                <w:sz w:val="22"/>
                <w:szCs w:val="22"/>
                <w:lang w:val="en-US"/>
              </w:rPr>
              <w:t>ECB’s Financial Stability Review (June, 2007)</w:t>
            </w:r>
          </w:p>
        </w:tc>
      </w:tr>
      <w:tr w:rsidR="00E56410" w:rsidRPr="00352716" w:rsidTr="0072391A">
        <w:trPr>
          <w:trHeight w:val="578"/>
        </w:trPr>
        <w:tc>
          <w:tcPr>
            <w:tcW w:w="1526" w:type="dxa"/>
            <w:tcBorders>
              <w:left w:val="single" w:sz="18" w:space="0" w:color="auto"/>
              <w:right w:val="single" w:sz="18" w:space="0" w:color="auto"/>
            </w:tcBorders>
            <w:shd w:val="clear" w:color="auto" w:fill="B6DDE8" w:themeFill="accent5" w:themeFillTint="66"/>
          </w:tcPr>
          <w:p w:rsidR="00E56410" w:rsidRPr="00D2232E" w:rsidRDefault="00E56410" w:rsidP="0072391A">
            <w:pPr>
              <w:jc w:val="center"/>
              <w:rPr>
                <w:sz w:val="22"/>
                <w:szCs w:val="22"/>
                <w:lang w:val="en-US"/>
              </w:rPr>
            </w:pPr>
            <w:r>
              <w:rPr>
                <w:sz w:val="22"/>
                <w:szCs w:val="22"/>
                <w:lang w:val="en-US"/>
              </w:rPr>
              <w:t>Put-Call ratio</w:t>
            </w:r>
          </w:p>
        </w:tc>
        <w:tc>
          <w:tcPr>
            <w:tcW w:w="2410" w:type="dxa"/>
            <w:tcBorders>
              <w:left w:val="single" w:sz="18" w:space="0" w:color="auto"/>
            </w:tcBorders>
          </w:tcPr>
          <w:p w:rsidR="00E56410" w:rsidRPr="00352716" w:rsidRDefault="00E56410" w:rsidP="0072391A">
            <w:pPr>
              <w:jc w:val="both"/>
              <w:rPr>
                <w:rFonts w:eastAsia="TimesNewRoman"/>
                <w:sz w:val="22"/>
                <w:szCs w:val="22"/>
                <w:lang w:val="en-US"/>
              </w:rPr>
            </w:pPr>
            <w:r w:rsidRPr="00352716">
              <w:rPr>
                <w:rFonts w:eastAsia="TimesNewRoman"/>
                <w:sz w:val="22"/>
                <w:szCs w:val="22"/>
                <w:lang w:val="en-US"/>
              </w:rPr>
              <w:t xml:space="preserve">The number of </w:t>
            </w:r>
            <w:proofErr w:type="gramStart"/>
            <w:r w:rsidRPr="00352716">
              <w:rPr>
                <w:rFonts w:eastAsia="TimesNewRoman"/>
                <w:sz w:val="22"/>
                <w:szCs w:val="22"/>
                <w:lang w:val="en-US"/>
              </w:rPr>
              <w:t>traded  put</w:t>
            </w:r>
            <w:proofErr w:type="gramEnd"/>
            <w:r w:rsidRPr="00352716">
              <w:rPr>
                <w:rFonts w:eastAsia="TimesNewRoman"/>
                <w:sz w:val="22"/>
                <w:szCs w:val="22"/>
                <w:lang w:val="en-US"/>
              </w:rPr>
              <w:t xml:space="preserve"> and call options. </w:t>
            </w:r>
          </w:p>
          <w:p w:rsidR="00E56410" w:rsidRPr="00352716" w:rsidRDefault="00E56410" w:rsidP="0072391A">
            <w:pPr>
              <w:jc w:val="both"/>
              <w:rPr>
                <w:sz w:val="22"/>
                <w:szCs w:val="22"/>
                <w:lang w:val="en-US"/>
              </w:rPr>
            </w:pPr>
          </w:p>
        </w:tc>
        <w:tc>
          <w:tcPr>
            <w:tcW w:w="4110" w:type="dxa"/>
          </w:tcPr>
          <w:p w:rsidR="00E56410" w:rsidRPr="00352716" w:rsidRDefault="00E56410" w:rsidP="0072391A">
            <w:pPr>
              <w:jc w:val="both"/>
              <w:rPr>
                <w:sz w:val="22"/>
                <w:szCs w:val="22"/>
                <w:lang w:val="en-US"/>
              </w:rPr>
            </w:pPr>
            <w:r w:rsidRPr="00352716">
              <w:rPr>
                <w:sz w:val="22"/>
                <w:szCs w:val="22"/>
                <w:lang w:val="en-US"/>
              </w:rPr>
              <w:t>Take the ratio of traded put options to call ones.</w:t>
            </w:r>
          </w:p>
        </w:tc>
        <w:tc>
          <w:tcPr>
            <w:tcW w:w="1701" w:type="dxa"/>
            <w:tcBorders>
              <w:right w:val="single" w:sz="18" w:space="0" w:color="auto"/>
            </w:tcBorders>
          </w:tcPr>
          <w:p w:rsidR="00E56410" w:rsidRPr="00352716" w:rsidRDefault="00E56410" w:rsidP="0072391A">
            <w:pPr>
              <w:rPr>
                <w:sz w:val="22"/>
                <w:szCs w:val="22"/>
                <w:lang w:val="en-US"/>
              </w:rPr>
            </w:pPr>
            <w:r w:rsidRPr="00352716">
              <w:rPr>
                <w:sz w:val="22"/>
                <w:szCs w:val="22"/>
                <w:lang w:val="en-US"/>
              </w:rPr>
              <w:t>Whaley (2000)</w:t>
            </w:r>
          </w:p>
        </w:tc>
      </w:tr>
      <w:tr w:rsidR="00E56410" w:rsidRPr="009A092A" w:rsidTr="0072391A">
        <w:trPr>
          <w:trHeight w:val="4822"/>
        </w:trPr>
        <w:tc>
          <w:tcPr>
            <w:tcW w:w="1526" w:type="dxa"/>
            <w:tcBorders>
              <w:left w:val="single" w:sz="18" w:space="0" w:color="auto"/>
              <w:right w:val="single" w:sz="18" w:space="0" w:color="auto"/>
            </w:tcBorders>
            <w:shd w:val="clear" w:color="auto" w:fill="B6DDE8" w:themeFill="accent5" w:themeFillTint="66"/>
          </w:tcPr>
          <w:p w:rsidR="00E56410" w:rsidRPr="00352716" w:rsidRDefault="00E56410" w:rsidP="0072391A">
            <w:pPr>
              <w:jc w:val="center"/>
              <w:rPr>
                <w:sz w:val="22"/>
                <w:szCs w:val="22"/>
                <w:lang w:val="en-US"/>
              </w:rPr>
            </w:pPr>
            <w:r w:rsidRPr="00352716">
              <w:rPr>
                <w:sz w:val="22"/>
                <w:szCs w:val="22"/>
                <w:lang w:val="en-US"/>
              </w:rPr>
              <w:t xml:space="preserve">RBS </w:t>
            </w:r>
            <w:r>
              <w:rPr>
                <w:sz w:val="22"/>
                <w:szCs w:val="22"/>
                <w:lang w:val="en-US"/>
              </w:rPr>
              <w:t>Sentiment Index</w:t>
            </w:r>
          </w:p>
        </w:tc>
        <w:tc>
          <w:tcPr>
            <w:tcW w:w="2410" w:type="dxa"/>
            <w:tcBorders>
              <w:left w:val="single" w:sz="18" w:space="0" w:color="auto"/>
            </w:tcBorders>
          </w:tcPr>
          <w:p w:rsidR="00E56410" w:rsidRPr="00352716" w:rsidRDefault="00E56410" w:rsidP="0072391A">
            <w:pPr>
              <w:jc w:val="both"/>
              <w:rPr>
                <w:sz w:val="22"/>
                <w:szCs w:val="22"/>
                <w:lang w:val="en-US"/>
              </w:rPr>
            </w:pPr>
            <w:r w:rsidRPr="00352716">
              <w:rPr>
                <w:sz w:val="22"/>
                <w:szCs w:val="22"/>
                <w:lang w:val="en-US"/>
              </w:rPr>
              <w:t xml:space="preserve">Based on the </w:t>
            </w:r>
            <w:r w:rsidRPr="00352716">
              <w:rPr>
                <w:rFonts w:eastAsia="TimesNewRoman"/>
                <w:sz w:val="22"/>
                <w:szCs w:val="22"/>
                <w:lang w:val="en-US"/>
              </w:rPr>
              <w:t xml:space="preserve">IFO Business Climate Index </w:t>
            </w:r>
            <w:proofErr w:type="gramStart"/>
            <w:r w:rsidRPr="00352716">
              <w:rPr>
                <w:rFonts w:eastAsia="TimesNewRoman"/>
                <w:sz w:val="22"/>
                <w:szCs w:val="22"/>
                <w:lang w:val="en-US"/>
              </w:rPr>
              <w:t xml:space="preserve">which is a survey (firms’ expectations </w:t>
            </w:r>
            <w:r w:rsidRPr="00352716">
              <w:rPr>
                <w:sz w:val="22"/>
                <w:szCs w:val="22"/>
                <w:lang w:val="en-US"/>
              </w:rPr>
              <w:t>regarding the economic environment</w:t>
            </w:r>
            <w:r w:rsidRPr="00352716">
              <w:rPr>
                <w:rFonts w:eastAsia="TimesNewRoman"/>
                <w:sz w:val="22"/>
                <w:szCs w:val="22"/>
                <w:lang w:val="en-US"/>
              </w:rPr>
              <w:t>).</w:t>
            </w:r>
            <w:proofErr w:type="gramEnd"/>
          </w:p>
        </w:tc>
        <w:tc>
          <w:tcPr>
            <w:tcW w:w="4110" w:type="dxa"/>
          </w:tcPr>
          <w:p w:rsidR="00E56410" w:rsidRPr="00352716" w:rsidRDefault="00E56410" w:rsidP="0072391A">
            <w:pPr>
              <w:pStyle w:val="lead"/>
              <w:shd w:val="clear" w:color="auto" w:fill="FFFFFF"/>
              <w:spacing w:before="0" w:beforeAutospacing="0" w:after="192" w:afterAutospacing="0" w:line="300" w:lineRule="atLeast"/>
              <w:jc w:val="both"/>
              <w:textAlignment w:val="baseline"/>
              <w:rPr>
                <w:rFonts w:eastAsiaTheme="minorHAnsi"/>
                <w:sz w:val="22"/>
                <w:szCs w:val="22"/>
                <w:lang w:val="en-US" w:eastAsia="en-US"/>
              </w:rPr>
            </w:pPr>
            <w:r w:rsidRPr="00352716">
              <w:rPr>
                <w:rFonts w:eastAsiaTheme="minorHAnsi"/>
                <w:sz w:val="22"/>
                <w:szCs w:val="22"/>
                <w:lang w:val="en-US" w:eastAsia="en-US"/>
              </w:rPr>
              <w:t xml:space="preserve">The RBS Sentiment Index is an index based on a transparent and systematic trading strategy that follows indicators derived from the </w:t>
            </w:r>
            <w:proofErr w:type="spellStart"/>
            <w:r w:rsidRPr="00352716">
              <w:rPr>
                <w:rFonts w:eastAsiaTheme="minorHAnsi"/>
                <w:sz w:val="22"/>
                <w:szCs w:val="22"/>
                <w:lang w:val="en-US" w:eastAsia="en-US"/>
              </w:rPr>
              <w:t>behaviour</w:t>
            </w:r>
            <w:proofErr w:type="spellEnd"/>
            <w:r w:rsidRPr="00352716">
              <w:rPr>
                <w:rFonts w:eastAsiaTheme="minorHAnsi"/>
                <w:sz w:val="22"/>
                <w:szCs w:val="22"/>
                <w:lang w:val="en-US" w:eastAsia="en-US"/>
              </w:rPr>
              <w:t xml:space="preserve"> of the IFO Business Climate Index. The IFO Business Climate Index measures the sentiment of businesses in Germany and as such represents an indicator of future economic growth in the Eurozone. The IFO Business Expectations Index is a sub-component of the IFO Business Climate Index and specifically measures the sentiment of businesses on a forward-looking basis in Germany.</w:t>
            </w:r>
          </w:p>
          <w:p w:rsidR="00E56410" w:rsidRPr="00352716" w:rsidRDefault="00E56410" w:rsidP="0072391A">
            <w:pPr>
              <w:jc w:val="center"/>
              <w:rPr>
                <w:sz w:val="22"/>
                <w:szCs w:val="22"/>
                <w:lang w:val="en-US"/>
              </w:rPr>
            </w:pPr>
          </w:p>
        </w:tc>
        <w:tc>
          <w:tcPr>
            <w:tcW w:w="1701" w:type="dxa"/>
            <w:tcBorders>
              <w:right w:val="single" w:sz="18" w:space="0" w:color="auto"/>
            </w:tcBorders>
          </w:tcPr>
          <w:p w:rsidR="00E56410" w:rsidRPr="00352716" w:rsidRDefault="00E56410" w:rsidP="0072391A">
            <w:pPr>
              <w:rPr>
                <w:sz w:val="22"/>
                <w:szCs w:val="22"/>
                <w:lang w:val="en-US"/>
              </w:rPr>
            </w:pPr>
            <w:r w:rsidRPr="00352716">
              <w:rPr>
                <w:sz w:val="22"/>
                <w:szCs w:val="22"/>
                <w:lang w:val="en-US"/>
              </w:rPr>
              <w:t>RBS’s website (</w:t>
            </w:r>
            <w:hyperlink r:id="rId39" w:history="1">
              <w:r w:rsidRPr="00352716">
                <w:rPr>
                  <w:sz w:val="22"/>
                  <w:szCs w:val="22"/>
                  <w:lang w:val="en-US"/>
                </w:rPr>
                <w:t>http://www.rbsm.com/psp/public/pagebuilder.aspx?page=rp0135</w:t>
              </w:r>
            </w:hyperlink>
            <w:r w:rsidRPr="00352716">
              <w:rPr>
                <w:sz w:val="22"/>
                <w:szCs w:val="22"/>
                <w:lang w:val="en-US"/>
              </w:rPr>
              <w:t>)</w:t>
            </w:r>
          </w:p>
        </w:tc>
      </w:tr>
      <w:tr w:rsidR="00E56410" w:rsidRPr="009A092A" w:rsidTr="0072391A">
        <w:trPr>
          <w:trHeight w:val="464"/>
        </w:trPr>
        <w:tc>
          <w:tcPr>
            <w:tcW w:w="1526" w:type="dxa"/>
            <w:tcBorders>
              <w:left w:val="single" w:sz="18" w:space="0" w:color="auto"/>
              <w:right w:val="single" w:sz="18" w:space="0" w:color="auto"/>
            </w:tcBorders>
            <w:shd w:val="clear" w:color="auto" w:fill="B6DDE8" w:themeFill="accent5" w:themeFillTint="66"/>
          </w:tcPr>
          <w:p w:rsidR="00E56410" w:rsidRPr="00D2232E" w:rsidRDefault="00E56410" w:rsidP="0072391A">
            <w:pPr>
              <w:jc w:val="center"/>
              <w:rPr>
                <w:sz w:val="22"/>
                <w:szCs w:val="22"/>
                <w:lang w:val="en-US"/>
              </w:rPr>
            </w:pPr>
            <w:r>
              <w:rPr>
                <w:sz w:val="22"/>
                <w:szCs w:val="22"/>
                <w:lang w:val="en-US"/>
              </w:rPr>
              <w:t>State Street Investor Confidence Index</w:t>
            </w:r>
          </w:p>
        </w:tc>
        <w:tc>
          <w:tcPr>
            <w:tcW w:w="2410" w:type="dxa"/>
            <w:tcBorders>
              <w:left w:val="single" w:sz="18" w:space="0" w:color="auto"/>
            </w:tcBorders>
          </w:tcPr>
          <w:p w:rsidR="00E56410" w:rsidRPr="00352716" w:rsidRDefault="00E56410" w:rsidP="0072391A">
            <w:pPr>
              <w:autoSpaceDE w:val="0"/>
              <w:autoSpaceDN w:val="0"/>
              <w:adjustRightInd w:val="0"/>
              <w:jc w:val="both"/>
              <w:rPr>
                <w:sz w:val="22"/>
                <w:szCs w:val="22"/>
                <w:lang w:val="en-US"/>
              </w:rPr>
            </w:pPr>
            <w:r w:rsidRPr="00352716">
              <w:rPr>
                <w:rFonts w:eastAsia="TimesNewRoman"/>
                <w:sz w:val="22"/>
                <w:szCs w:val="22"/>
                <w:lang w:val="en-US"/>
              </w:rPr>
              <w:t>The model is based on international holdings of sophisticated investors (large institutional investors), whose activities involve 22 million security transactions annually, across 45 countries.</w:t>
            </w:r>
          </w:p>
        </w:tc>
        <w:tc>
          <w:tcPr>
            <w:tcW w:w="4110" w:type="dxa"/>
          </w:tcPr>
          <w:p w:rsidR="00E56410" w:rsidRPr="00352716" w:rsidRDefault="00E56410" w:rsidP="0072391A">
            <w:pPr>
              <w:autoSpaceDE w:val="0"/>
              <w:autoSpaceDN w:val="0"/>
              <w:adjustRightInd w:val="0"/>
              <w:jc w:val="both"/>
              <w:rPr>
                <w:sz w:val="22"/>
                <w:szCs w:val="22"/>
                <w:lang w:val="en-US"/>
              </w:rPr>
            </w:pPr>
            <w:r w:rsidRPr="00352716">
              <w:rPr>
                <w:rFonts w:eastAsia="TimesNewRoman"/>
                <w:sz w:val="22"/>
                <w:szCs w:val="22"/>
                <w:lang w:val="en-US"/>
              </w:rPr>
              <w:t>The model calculates percentage changes in international holdings, given the country and the day, as the dollar flow for that day divided by the dollar holdings of the previous day. This measure is then expressed as a share of market capitalization in each country over time using the MSCI measure of market capitalization.</w:t>
            </w:r>
          </w:p>
        </w:tc>
        <w:tc>
          <w:tcPr>
            <w:tcW w:w="1701" w:type="dxa"/>
            <w:tcBorders>
              <w:right w:val="single" w:sz="18" w:space="0" w:color="auto"/>
            </w:tcBorders>
          </w:tcPr>
          <w:p w:rsidR="00E56410" w:rsidRPr="00352716" w:rsidRDefault="00E56410" w:rsidP="0072391A">
            <w:pPr>
              <w:rPr>
                <w:sz w:val="22"/>
                <w:szCs w:val="22"/>
                <w:lang w:val="en-US"/>
              </w:rPr>
            </w:pPr>
            <w:r w:rsidRPr="00352716">
              <w:rPr>
                <w:sz w:val="22"/>
                <w:szCs w:val="22"/>
                <w:lang w:val="en-US"/>
              </w:rPr>
              <w:t>ECB’s Financial Stability Review (June, 2007)</w:t>
            </w:r>
          </w:p>
        </w:tc>
      </w:tr>
      <w:tr w:rsidR="00E56410" w:rsidRPr="009A092A" w:rsidTr="0072391A">
        <w:trPr>
          <w:trHeight w:val="413"/>
        </w:trPr>
        <w:tc>
          <w:tcPr>
            <w:tcW w:w="1526" w:type="dxa"/>
            <w:tcBorders>
              <w:left w:val="single" w:sz="18" w:space="0" w:color="auto"/>
              <w:right w:val="single" w:sz="18" w:space="0" w:color="auto"/>
            </w:tcBorders>
            <w:shd w:val="clear" w:color="auto" w:fill="B6DDE8" w:themeFill="accent5" w:themeFillTint="66"/>
          </w:tcPr>
          <w:p w:rsidR="00E56410" w:rsidRPr="00352716" w:rsidRDefault="00E56410" w:rsidP="0072391A">
            <w:pPr>
              <w:jc w:val="center"/>
              <w:rPr>
                <w:sz w:val="22"/>
                <w:szCs w:val="22"/>
                <w:lang w:val="en-US"/>
              </w:rPr>
            </w:pPr>
            <w:r>
              <w:rPr>
                <w:sz w:val="22"/>
                <w:szCs w:val="22"/>
                <w:lang w:val="en-US"/>
              </w:rPr>
              <w:t>Westpac Risk Appetite Index</w:t>
            </w:r>
          </w:p>
        </w:tc>
        <w:tc>
          <w:tcPr>
            <w:tcW w:w="2410" w:type="dxa"/>
            <w:tcBorders>
              <w:left w:val="single" w:sz="18" w:space="0" w:color="auto"/>
            </w:tcBorders>
          </w:tcPr>
          <w:p w:rsidR="00E56410" w:rsidRPr="00D2232E" w:rsidRDefault="00E56410" w:rsidP="0072391A">
            <w:pPr>
              <w:jc w:val="both"/>
              <w:rPr>
                <w:sz w:val="22"/>
                <w:szCs w:val="22"/>
                <w:lang w:val="en-US"/>
              </w:rPr>
            </w:pPr>
            <w:r w:rsidRPr="00D2232E">
              <w:rPr>
                <w:sz w:val="22"/>
                <w:szCs w:val="22"/>
                <w:lang w:val="en-US"/>
              </w:rPr>
              <w:t>Currencies, VIX, U.S swap spreads, U.S high yield spreads.</w:t>
            </w:r>
          </w:p>
        </w:tc>
        <w:tc>
          <w:tcPr>
            <w:tcW w:w="4110" w:type="dxa"/>
          </w:tcPr>
          <w:p w:rsidR="00E56410" w:rsidRPr="00352716" w:rsidRDefault="00E56410" w:rsidP="0072391A">
            <w:pPr>
              <w:autoSpaceDE w:val="0"/>
              <w:autoSpaceDN w:val="0"/>
              <w:adjustRightInd w:val="0"/>
              <w:jc w:val="both"/>
              <w:rPr>
                <w:sz w:val="22"/>
                <w:szCs w:val="22"/>
                <w:lang w:val="en-US"/>
              </w:rPr>
            </w:pPr>
            <w:r w:rsidRPr="00352716">
              <w:rPr>
                <w:rFonts w:eastAsia="TimesNewRoman"/>
                <w:sz w:val="22"/>
                <w:szCs w:val="22"/>
                <w:lang w:val="en-US"/>
              </w:rPr>
              <w:t>A 60-day z-score of a base index calculated in three steps: the first step calculates the daily percentage change of each variable, then the figures obtained are averaged, and finally the index values are indexed to 100 on 1 January 1998.</w:t>
            </w:r>
          </w:p>
        </w:tc>
        <w:tc>
          <w:tcPr>
            <w:tcW w:w="1701" w:type="dxa"/>
            <w:tcBorders>
              <w:right w:val="single" w:sz="18" w:space="0" w:color="auto"/>
            </w:tcBorders>
          </w:tcPr>
          <w:p w:rsidR="00E56410" w:rsidRPr="00352716" w:rsidRDefault="00E56410" w:rsidP="0072391A">
            <w:pPr>
              <w:rPr>
                <w:sz w:val="22"/>
                <w:szCs w:val="22"/>
                <w:lang w:val="en-US"/>
              </w:rPr>
            </w:pPr>
            <w:r w:rsidRPr="00352716">
              <w:rPr>
                <w:sz w:val="22"/>
                <w:szCs w:val="22"/>
                <w:lang w:val="en-US"/>
              </w:rPr>
              <w:t>ECB’s Financial Stability Review (June, 2007)</w:t>
            </w:r>
          </w:p>
        </w:tc>
      </w:tr>
      <w:tr w:rsidR="00E56410" w:rsidRPr="00352716" w:rsidTr="0072391A">
        <w:trPr>
          <w:trHeight w:val="415"/>
        </w:trPr>
        <w:tc>
          <w:tcPr>
            <w:tcW w:w="1526" w:type="dxa"/>
            <w:tcBorders>
              <w:left w:val="single" w:sz="18" w:space="0" w:color="auto"/>
              <w:right w:val="single" w:sz="18" w:space="0" w:color="auto"/>
            </w:tcBorders>
            <w:shd w:val="clear" w:color="auto" w:fill="B6DDE8" w:themeFill="accent5" w:themeFillTint="66"/>
          </w:tcPr>
          <w:p w:rsidR="00E56410" w:rsidRPr="00D2232E" w:rsidRDefault="00E56410" w:rsidP="0072391A">
            <w:pPr>
              <w:jc w:val="center"/>
              <w:rPr>
                <w:sz w:val="22"/>
                <w:szCs w:val="22"/>
                <w:lang w:val="en-US"/>
              </w:rPr>
            </w:pPr>
            <w:r w:rsidRPr="00D2232E">
              <w:rPr>
                <w:sz w:val="22"/>
                <w:szCs w:val="22"/>
                <w:lang w:val="en-US"/>
              </w:rPr>
              <w:t>Credit Suisse Risk Appetite Investable Index</w:t>
            </w:r>
          </w:p>
        </w:tc>
        <w:tc>
          <w:tcPr>
            <w:tcW w:w="2410" w:type="dxa"/>
            <w:tcBorders>
              <w:left w:val="single" w:sz="18" w:space="0" w:color="auto"/>
            </w:tcBorders>
          </w:tcPr>
          <w:p w:rsidR="00E56410" w:rsidRPr="00352716" w:rsidRDefault="00E56410" w:rsidP="0072391A">
            <w:pPr>
              <w:jc w:val="both"/>
              <w:rPr>
                <w:sz w:val="22"/>
                <w:szCs w:val="22"/>
                <w:lang w:val="en-US"/>
              </w:rPr>
            </w:pPr>
            <w:r w:rsidRPr="00352716">
              <w:rPr>
                <w:sz w:val="22"/>
                <w:szCs w:val="22"/>
                <w:lang w:val="en-US"/>
              </w:rPr>
              <w:t xml:space="preserve">A global portfolio of equities and government bonds. </w:t>
            </w:r>
          </w:p>
        </w:tc>
        <w:tc>
          <w:tcPr>
            <w:tcW w:w="4110" w:type="dxa"/>
          </w:tcPr>
          <w:p w:rsidR="00E56410" w:rsidRPr="00352716" w:rsidRDefault="00E56410" w:rsidP="0072391A">
            <w:pPr>
              <w:jc w:val="both"/>
              <w:rPr>
                <w:sz w:val="22"/>
                <w:szCs w:val="22"/>
                <w:lang w:val="en-US"/>
              </w:rPr>
            </w:pPr>
            <w:r w:rsidRPr="00352716">
              <w:rPr>
                <w:rFonts w:eastAsia="TimesNewRoman"/>
                <w:sz w:val="22"/>
                <w:szCs w:val="22"/>
                <w:lang w:val="en-US"/>
              </w:rPr>
              <w:t xml:space="preserve">RAII HOLT is a long-only and liquid strategy allocating dynamically between a global equities portfolio and a government bonds portfolio. The weight of each portfolio within the index is determined on a daily basis by the RAII Allocation Model, </w:t>
            </w:r>
            <w:r w:rsidRPr="00352716">
              <w:rPr>
                <w:rFonts w:eastAsia="TimesNewRoman"/>
                <w:sz w:val="22"/>
                <w:szCs w:val="22"/>
                <w:lang w:val="en-US"/>
              </w:rPr>
              <w:lastRenderedPageBreak/>
              <w:t>using the Global Risk Appetite Index (GRAI) as its main input.</w:t>
            </w:r>
          </w:p>
        </w:tc>
        <w:tc>
          <w:tcPr>
            <w:tcW w:w="1701" w:type="dxa"/>
            <w:tcBorders>
              <w:right w:val="single" w:sz="18" w:space="0" w:color="auto"/>
            </w:tcBorders>
          </w:tcPr>
          <w:p w:rsidR="00E56410" w:rsidRPr="00352716" w:rsidRDefault="00E56410" w:rsidP="0072391A">
            <w:pPr>
              <w:autoSpaceDE w:val="0"/>
              <w:autoSpaceDN w:val="0"/>
              <w:adjustRightInd w:val="0"/>
              <w:rPr>
                <w:rFonts w:eastAsia="TimesNewRoman"/>
                <w:sz w:val="22"/>
                <w:szCs w:val="22"/>
              </w:rPr>
            </w:pPr>
            <w:r w:rsidRPr="00352716">
              <w:rPr>
                <w:sz w:val="22"/>
                <w:szCs w:val="22"/>
              </w:rPr>
              <w:lastRenderedPageBreak/>
              <w:t>Credit Suisse’s sheet (2011)</w:t>
            </w:r>
          </w:p>
        </w:tc>
      </w:tr>
      <w:tr w:rsidR="00E56410" w:rsidRPr="00352716" w:rsidTr="0072391A">
        <w:tc>
          <w:tcPr>
            <w:tcW w:w="1526" w:type="dxa"/>
            <w:tcBorders>
              <w:left w:val="single" w:sz="18" w:space="0" w:color="auto"/>
              <w:bottom w:val="single" w:sz="18" w:space="0" w:color="auto"/>
              <w:right w:val="single" w:sz="18" w:space="0" w:color="auto"/>
            </w:tcBorders>
            <w:shd w:val="clear" w:color="auto" w:fill="B6DDE8" w:themeFill="accent5" w:themeFillTint="66"/>
          </w:tcPr>
          <w:p w:rsidR="00E56410" w:rsidRPr="00D2232E" w:rsidRDefault="00E56410" w:rsidP="0072391A">
            <w:pPr>
              <w:jc w:val="center"/>
              <w:rPr>
                <w:sz w:val="22"/>
                <w:szCs w:val="22"/>
                <w:lang w:val="en-US"/>
              </w:rPr>
            </w:pPr>
            <w:r w:rsidRPr="00D2232E">
              <w:rPr>
                <w:sz w:val="22"/>
                <w:szCs w:val="22"/>
                <w:lang w:val="en-US"/>
              </w:rPr>
              <w:lastRenderedPageBreak/>
              <w:t>Global Risk Appetite Monitor + (Short Run)</w:t>
            </w:r>
          </w:p>
          <w:p w:rsidR="00E56410" w:rsidRPr="00352716" w:rsidRDefault="00E56410" w:rsidP="0072391A">
            <w:pPr>
              <w:jc w:val="center"/>
              <w:rPr>
                <w:sz w:val="22"/>
                <w:szCs w:val="22"/>
                <w:lang w:val="en-US"/>
              </w:rPr>
            </w:pPr>
          </w:p>
        </w:tc>
        <w:tc>
          <w:tcPr>
            <w:tcW w:w="2410" w:type="dxa"/>
            <w:tcBorders>
              <w:left w:val="single" w:sz="18" w:space="0" w:color="auto"/>
              <w:bottom w:val="single" w:sz="18" w:space="0" w:color="auto"/>
            </w:tcBorders>
          </w:tcPr>
          <w:p w:rsidR="00E56410" w:rsidRPr="00352716" w:rsidRDefault="00E56410" w:rsidP="0072391A">
            <w:pPr>
              <w:jc w:val="both"/>
              <w:rPr>
                <w:sz w:val="22"/>
                <w:szCs w:val="22"/>
                <w:lang w:val="en-US"/>
              </w:rPr>
            </w:pPr>
            <w:r w:rsidRPr="00352716">
              <w:rPr>
                <w:sz w:val="22"/>
                <w:szCs w:val="22"/>
                <w:lang w:val="en-US"/>
              </w:rPr>
              <w:t>Equity vs. Bond, Emerging Markets (EM) Equities, gold vs. copper (industrial metals), G4 swap spreads, FX volatility, Big cap vs. Small cap stocks (S&amp;P 500/Russell 2000), gold/gold equities, VIX, Emerging Markets (EM) CDS, Money market stress (LIBOR OIS Spread)</w:t>
            </w:r>
          </w:p>
        </w:tc>
        <w:tc>
          <w:tcPr>
            <w:tcW w:w="4110" w:type="dxa"/>
            <w:tcBorders>
              <w:bottom w:val="single" w:sz="18" w:space="0" w:color="auto"/>
            </w:tcBorders>
          </w:tcPr>
          <w:p w:rsidR="00E56410" w:rsidRPr="00352716" w:rsidRDefault="00E56410" w:rsidP="0072391A">
            <w:pPr>
              <w:autoSpaceDE w:val="0"/>
              <w:autoSpaceDN w:val="0"/>
              <w:adjustRightInd w:val="0"/>
              <w:jc w:val="both"/>
              <w:rPr>
                <w:sz w:val="22"/>
                <w:szCs w:val="22"/>
                <w:lang w:val="en-US"/>
              </w:rPr>
            </w:pPr>
            <w:r w:rsidRPr="00352716">
              <w:rPr>
                <w:sz w:val="22"/>
                <w:szCs w:val="22"/>
                <w:lang w:val="en-US"/>
              </w:rPr>
              <w:t>They assigned an equal weighting to all the components. Then, each indicator is ranked against its recent history and a unified score is constructed from the individual indicator rankings.</w:t>
            </w:r>
          </w:p>
        </w:tc>
        <w:tc>
          <w:tcPr>
            <w:tcW w:w="1701" w:type="dxa"/>
            <w:tcBorders>
              <w:bottom w:val="single" w:sz="18" w:space="0" w:color="auto"/>
              <w:right w:val="single" w:sz="18" w:space="0" w:color="auto"/>
            </w:tcBorders>
          </w:tcPr>
          <w:p w:rsidR="00E56410" w:rsidRPr="00352716" w:rsidRDefault="00E56410" w:rsidP="0072391A">
            <w:pPr>
              <w:autoSpaceDE w:val="0"/>
              <w:autoSpaceDN w:val="0"/>
              <w:adjustRightInd w:val="0"/>
              <w:rPr>
                <w:sz w:val="22"/>
                <w:szCs w:val="22"/>
              </w:rPr>
            </w:pPr>
            <w:r w:rsidRPr="00352716">
              <w:rPr>
                <w:sz w:val="22"/>
                <w:szCs w:val="22"/>
              </w:rPr>
              <w:t>Nomura research paper (2000)</w:t>
            </w:r>
          </w:p>
        </w:tc>
      </w:tr>
    </w:tbl>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E56410" w:rsidRDefault="00E56410" w:rsidP="00E56410">
      <w:pPr>
        <w:jc w:val="both"/>
        <w:rPr>
          <w:b/>
          <w:sz w:val="28"/>
          <w:szCs w:val="28"/>
          <w:lang w:val="en-US"/>
        </w:rPr>
      </w:pPr>
    </w:p>
    <w:p w:rsidR="00937A52" w:rsidRDefault="00937A52" w:rsidP="00E56410">
      <w:pPr>
        <w:jc w:val="both"/>
        <w:rPr>
          <w:b/>
          <w:sz w:val="28"/>
          <w:szCs w:val="28"/>
          <w:lang w:val="en-US"/>
        </w:rPr>
        <w:sectPr w:rsidR="00937A52" w:rsidSect="0072391A">
          <w:footerReference w:type="default" r:id="rId40"/>
          <w:pgSz w:w="11906" w:h="16838"/>
          <w:pgMar w:top="1440" w:right="1134" w:bottom="1440" w:left="1418" w:header="708" w:footer="708" w:gutter="0"/>
          <w:pgNumType w:start="1"/>
          <w:cols w:space="708"/>
          <w:docGrid w:linePitch="360"/>
        </w:sectPr>
      </w:pPr>
    </w:p>
    <w:p w:rsidR="00937A52" w:rsidRPr="00937A52" w:rsidRDefault="00937A52" w:rsidP="00937A52">
      <w:pPr>
        <w:spacing w:line="240" w:lineRule="auto"/>
        <w:ind w:left="-1276"/>
        <w:jc w:val="center"/>
        <w:rPr>
          <w:rFonts w:ascii="Times New Roman" w:hAnsi="Times New Roman" w:cs="Times New Roman"/>
          <w:b/>
          <w:sz w:val="24"/>
          <w:szCs w:val="24"/>
          <w:lang w:val="en-US"/>
        </w:rPr>
      </w:pPr>
      <w:r w:rsidRPr="00937A52">
        <w:rPr>
          <w:rFonts w:ascii="Times New Roman" w:hAnsi="Times New Roman" w:cs="Times New Roman"/>
          <w:b/>
          <w:sz w:val="24"/>
          <w:szCs w:val="24"/>
          <w:lang w:val="en-US"/>
        </w:rPr>
        <w:lastRenderedPageBreak/>
        <w:t>Table 2</w:t>
      </w:r>
    </w:p>
    <w:p w:rsidR="00937A52" w:rsidRPr="00937A52" w:rsidRDefault="00937A52" w:rsidP="00937A52">
      <w:pPr>
        <w:spacing w:line="240" w:lineRule="auto"/>
        <w:ind w:left="-1276"/>
        <w:jc w:val="center"/>
        <w:rPr>
          <w:rFonts w:ascii="Times New Roman" w:hAnsi="Times New Roman" w:cs="Times New Roman"/>
          <w:b/>
          <w:sz w:val="24"/>
          <w:szCs w:val="24"/>
          <w:lang w:val="en-US"/>
        </w:rPr>
      </w:pPr>
      <w:r w:rsidRPr="00937A52">
        <w:rPr>
          <w:rFonts w:ascii="Times New Roman" w:hAnsi="Times New Roman" w:cs="Times New Roman"/>
          <w:b/>
          <w:sz w:val="24"/>
          <w:szCs w:val="24"/>
          <w:lang w:val="en-US"/>
        </w:rPr>
        <w:t xml:space="preserve">Correlation matrix for the initially selected sample of indices </w:t>
      </w:r>
    </w:p>
    <w:p w:rsidR="00937A52" w:rsidRPr="00937A52" w:rsidRDefault="00937A52" w:rsidP="00937A52">
      <w:pPr>
        <w:spacing w:line="240" w:lineRule="auto"/>
        <w:jc w:val="both"/>
        <w:rPr>
          <w:rFonts w:ascii="Times New Roman" w:hAnsi="Times New Roman" w:cs="Times New Roman"/>
          <w:sz w:val="20"/>
          <w:szCs w:val="20"/>
          <w:lang w:val="en-US"/>
        </w:rPr>
      </w:pPr>
      <w:r w:rsidRPr="00937A52">
        <w:rPr>
          <w:rFonts w:ascii="Times New Roman" w:hAnsi="Times New Roman" w:cs="Times New Roman"/>
          <w:sz w:val="20"/>
          <w:szCs w:val="20"/>
          <w:lang w:val="en-US"/>
        </w:rPr>
        <w:t>The table presents the correlation matrix of our initially selected sample of indices. Values are rounded up to the fourth decimal. The shaded cells indicate a correlation that exceeds 0.5 and bold values indicate a correlation above 0.6.  BW stands for the model developed by Baker and Wurgler, CC for the Univ. of Michigan Consumer Confidence Sentiment, RAIIEUPI for the Credit Suisse’s Risk Appetite Investable Index, ICI for State Street Investor Confidence Index, INVOOVRL for UBS Overall Index of Investor Optimism, ML_RAI for Merrill Lynch’s Risk Aversion Indicator, MRI_CITI for Citi Macro Risk Index, NGRAM for the Global Risk Appetite Monitor + (Short Run) developed by Nomura Group, PCR for Put-Call Ratio, RBSISEUR for RBS Sentiment Index (denominated in euro), VIX for the VIX Index and WP for the Westpac Risk Aversion Index.</w:t>
      </w:r>
    </w:p>
    <w:tbl>
      <w:tblPr>
        <w:tblpPr w:leftFromText="180" w:rightFromText="180" w:vertAnchor="text" w:horzAnchor="margin" w:tblpXSpec="center" w:tblpY="33"/>
        <w:tblW w:w="15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9"/>
        <w:gridCol w:w="1095"/>
        <w:gridCol w:w="1097"/>
        <w:gridCol w:w="1244"/>
        <w:gridCol w:w="1097"/>
        <w:gridCol w:w="1460"/>
        <w:gridCol w:w="1133"/>
        <w:gridCol w:w="1276"/>
        <w:gridCol w:w="1162"/>
        <w:gridCol w:w="1095"/>
        <w:gridCol w:w="1350"/>
        <w:gridCol w:w="1097"/>
        <w:gridCol w:w="1378"/>
      </w:tblGrid>
      <w:tr w:rsidR="00937A52" w:rsidRPr="0039317A" w:rsidTr="00937A52">
        <w:trPr>
          <w:trHeight w:val="300"/>
        </w:trPr>
        <w:tc>
          <w:tcPr>
            <w:tcW w:w="0" w:type="auto"/>
            <w:shd w:val="clear" w:color="auto" w:fill="B6DDE8" w:themeFill="accent5" w:themeFillTint="66"/>
            <w:noWrap/>
            <w:vAlign w:val="bottom"/>
            <w:hideMark/>
          </w:tcPr>
          <w:p w:rsidR="00937A52" w:rsidRPr="00937A52" w:rsidRDefault="00937A52" w:rsidP="00937A52">
            <w:pPr>
              <w:spacing w:after="0" w:line="240" w:lineRule="auto"/>
              <w:jc w:val="center"/>
              <w:rPr>
                <w:rFonts w:eastAsia="Times New Roman"/>
                <w:b/>
                <w:color w:val="000000"/>
                <w:lang w:val="en-US" w:eastAsia="el-GR"/>
              </w:rPr>
            </w:pP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BW</w:t>
            </w:r>
          </w:p>
        </w:tc>
        <w:tc>
          <w:tcPr>
            <w:tcW w:w="0" w:type="auto"/>
            <w:shd w:val="clear" w:color="auto" w:fill="B6DDE8" w:themeFill="accent5" w:themeFillTint="66"/>
            <w:noWrap/>
            <w:vAlign w:val="bottom"/>
            <w:hideMark/>
          </w:tcPr>
          <w:p w:rsidR="00937A52" w:rsidRPr="007D4F49"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C</w:t>
            </w:r>
            <w:r>
              <w:rPr>
                <w:rFonts w:eastAsia="Times New Roman"/>
                <w:b/>
                <w:color w:val="000000"/>
                <w:lang w:eastAsia="el-GR"/>
              </w:rPr>
              <w:t>C</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b/>
              </w:rPr>
              <w:t>RAIIEUPI</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Pr>
                <w:b/>
              </w:rPr>
              <w:t>ICI</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INVOOVRL</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ML_RAI</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MRI_C</w:t>
            </w:r>
            <w:r>
              <w:rPr>
                <w:rFonts w:eastAsia="Times New Roman"/>
                <w:b/>
                <w:color w:val="000000"/>
                <w:lang w:eastAsia="el-GR"/>
              </w:rPr>
              <w:t>ITI</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NGRAM</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b/>
              </w:rPr>
              <w:t>PC</w:t>
            </w:r>
            <w:r>
              <w:rPr>
                <w:b/>
              </w:rPr>
              <w:t>R</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RBSISEUR</w:t>
            </w:r>
          </w:p>
        </w:tc>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VIX</w:t>
            </w:r>
          </w:p>
        </w:tc>
        <w:tc>
          <w:tcPr>
            <w:tcW w:w="1378" w:type="dxa"/>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b/>
              </w:rPr>
              <w:t>W</w:t>
            </w:r>
            <w:r>
              <w:rPr>
                <w:b/>
              </w:rPr>
              <w:t>P</w:t>
            </w:r>
          </w:p>
        </w:tc>
      </w:tr>
      <w:tr w:rsidR="00937A52" w:rsidRPr="0039317A" w:rsidTr="00937A52">
        <w:trPr>
          <w:trHeight w:val="300"/>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BW</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0,2193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-0,3356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0,3952</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0,3182</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0,4875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0,2919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-0,1606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0,0105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-0,4196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0,3059</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0,0447</w:t>
            </w:r>
          </w:p>
        </w:tc>
      </w:tr>
      <w:tr w:rsidR="00937A52" w:rsidRPr="0039317A" w:rsidTr="00937A52">
        <w:trPr>
          <w:trHeight w:val="315"/>
        </w:trPr>
        <w:tc>
          <w:tcPr>
            <w:tcW w:w="0" w:type="auto"/>
            <w:shd w:val="clear" w:color="auto" w:fill="B6DDE8" w:themeFill="accent5" w:themeFillTint="66"/>
            <w:noWrap/>
            <w:vAlign w:val="bottom"/>
            <w:hideMark/>
          </w:tcPr>
          <w:p w:rsidR="00937A52" w:rsidRPr="007D4F49"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C</w:t>
            </w:r>
            <w:r>
              <w:rPr>
                <w:rFonts w:eastAsia="Times New Roman"/>
                <w:b/>
                <w:color w:val="000000"/>
                <w:lang w:eastAsia="el-GR"/>
              </w:rPr>
              <w:t>C</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0,2193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-0,5160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0,4599</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0,8799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-0,1891</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-0,1699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-0,0863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-0,0655</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-0,7303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0,0425</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0,0205</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b/>
              </w:rPr>
              <w:t>RAIIEUPI</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-0,3356</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-0,5160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-0,7468</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-0,4180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-0,1128</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0,0055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0,0793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0,1119</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0,7981</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-0,6529</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0,0529</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Pr>
                <w:b/>
              </w:rPr>
              <w:t>ICI</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0,3952</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0,4599</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-0,7468</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0,4395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0,1318</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0,0141</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-0,1303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-0,0811</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-0,5982</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0,5506</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0,1034</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INVOOVRL</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0,3182</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0,8799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-0,4180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0,4395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-0,0972</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-0,0445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-0,0935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-0,0140</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-0,6952</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0,0712</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0,0674</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ML_RAI</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0,4875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-0,1891</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-0,1128</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0,1318</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-0,0972</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0,7983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-0,4496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-0,0237</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-0,0061</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0,5927</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0,3494</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MRI_C</w:t>
            </w:r>
            <w:r>
              <w:rPr>
                <w:rFonts w:eastAsia="Times New Roman"/>
                <w:b/>
                <w:color w:val="000000"/>
                <w:lang w:eastAsia="el-GR"/>
              </w:rPr>
              <w:t>ITI</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0,2919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-0,1699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0,0055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0,0141</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-0,0445</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0,7983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-0,4354</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0,0603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0,0549</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0,5244</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0,4974</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NGRAM</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-0,1606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-0,0863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0,0793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-0,1303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-0,0935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-0,4496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-0,4354</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0,1656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0,0819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-0,3301</w:t>
            </w:r>
          </w:p>
        </w:tc>
        <w:tc>
          <w:tcPr>
            <w:tcW w:w="1378" w:type="dxa"/>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-0,5856</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b/>
              </w:rPr>
              <w:t>P</w:t>
            </w:r>
            <w:r>
              <w:rPr>
                <w:b/>
              </w:rPr>
              <w:t>CR</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0,0105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-0,0655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0,1119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-0,0811</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-0,0140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-0,0237</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0,0603</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0,1656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0,0765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-0,0676</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0,1346</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RBSISEUR</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-0,4196</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-0,7303</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0,7981</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-0,5982</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-0,6952</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-0,0061</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0,0549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0,0819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0,0765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-0,3790</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-0,0578</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rFonts w:eastAsia="Times New Roman"/>
                <w:b/>
                <w:color w:val="000000"/>
                <w:lang w:eastAsia="el-GR"/>
              </w:rPr>
              <w:t>VIX</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0,3059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0,0425</w:t>
            </w:r>
          </w:p>
        </w:tc>
        <w:tc>
          <w:tcPr>
            <w:tcW w:w="0" w:type="auto"/>
            <w:shd w:val="clear" w:color="auto" w:fill="DDD9C3" w:themeFill="background2" w:themeFillShade="E6"/>
            <w:noWrap/>
            <w:vAlign w:val="bottom"/>
            <w:hideMark/>
          </w:tcPr>
          <w:p w:rsidR="00937A52" w:rsidRPr="0039317A" w:rsidRDefault="00937A52" w:rsidP="00937A52">
            <w:pPr>
              <w:jc w:val="right"/>
              <w:rPr>
                <w:b/>
                <w:color w:val="000000"/>
              </w:rPr>
            </w:pPr>
            <w:r w:rsidRPr="0039317A">
              <w:rPr>
                <w:b/>
                <w:color w:val="000000"/>
              </w:rPr>
              <w:t>-0,6529</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0,5506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0,0712</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0,5927</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0,5244</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-0,3301</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-0,0676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-0,3790</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1,0000</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0,2693</w:t>
            </w:r>
          </w:p>
        </w:tc>
      </w:tr>
      <w:tr w:rsidR="00937A52" w:rsidRPr="0039317A" w:rsidTr="00937A52">
        <w:trPr>
          <w:trHeight w:val="315"/>
        </w:trPr>
        <w:tc>
          <w:tcPr>
            <w:tcW w:w="0" w:type="auto"/>
            <w:shd w:val="clear" w:color="auto" w:fill="B6DDE8" w:themeFill="accent5" w:themeFillTint="66"/>
            <w:noWrap/>
            <w:vAlign w:val="bottom"/>
            <w:hideMark/>
          </w:tcPr>
          <w:p w:rsidR="00937A52" w:rsidRPr="0039317A" w:rsidRDefault="00937A52" w:rsidP="00937A52">
            <w:pPr>
              <w:spacing w:after="0" w:line="240" w:lineRule="auto"/>
              <w:jc w:val="center"/>
              <w:rPr>
                <w:rFonts w:eastAsia="Times New Roman"/>
                <w:b/>
                <w:color w:val="000000"/>
                <w:lang w:eastAsia="el-GR"/>
              </w:rPr>
            </w:pPr>
            <w:r w:rsidRPr="0039317A">
              <w:rPr>
                <w:b/>
              </w:rPr>
              <w:t>W</w:t>
            </w:r>
            <w:r>
              <w:rPr>
                <w:b/>
              </w:rPr>
              <w:t>P</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0,0447</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0,0205</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0,0529</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0,1034</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0,0674</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0,3494</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0,4974</w:t>
            </w:r>
          </w:p>
        </w:tc>
        <w:tc>
          <w:tcPr>
            <w:tcW w:w="0" w:type="auto"/>
            <w:shd w:val="clear" w:color="auto" w:fill="DDD9C3" w:themeFill="background2" w:themeFillShade="E6"/>
            <w:noWrap/>
            <w:vAlign w:val="bottom"/>
            <w:hideMark/>
          </w:tcPr>
          <w:p w:rsidR="00937A52" w:rsidRPr="0039317A" w:rsidRDefault="00937A52" w:rsidP="00937A52">
            <w:pPr>
              <w:jc w:val="right"/>
              <w:rPr>
                <w:color w:val="000000"/>
              </w:rPr>
            </w:pPr>
            <w:r w:rsidRPr="0039317A">
              <w:rPr>
                <w:color w:val="000000"/>
              </w:rPr>
              <w:t>-0,5856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0,1346</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-0,0578</w:t>
            </w:r>
          </w:p>
        </w:tc>
        <w:tc>
          <w:tcPr>
            <w:tcW w:w="0" w:type="auto"/>
            <w:shd w:val="clear" w:color="auto" w:fill="auto"/>
            <w:noWrap/>
            <w:vAlign w:val="bottom"/>
            <w:hideMark/>
          </w:tcPr>
          <w:p w:rsidR="00937A52" w:rsidRPr="0039317A" w:rsidRDefault="00937A52" w:rsidP="00937A52">
            <w:pPr>
              <w:jc w:val="right"/>
              <w:rPr>
                <w:color w:val="000000"/>
              </w:rPr>
            </w:pPr>
            <w:r w:rsidRPr="0039317A">
              <w:rPr>
                <w:color w:val="000000"/>
              </w:rPr>
              <w:t>0,2693</w:t>
            </w:r>
          </w:p>
        </w:tc>
        <w:tc>
          <w:tcPr>
            <w:tcW w:w="1378" w:type="dxa"/>
            <w:shd w:val="clear" w:color="auto" w:fill="auto"/>
            <w:noWrap/>
            <w:vAlign w:val="bottom"/>
            <w:hideMark/>
          </w:tcPr>
          <w:p w:rsidR="00937A52" w:rsidRPr="0039317A" w:rsidRDefault="00937A52" w:rsidP="00937A52">
            <w:pPr>
              <w:jc w:val="right"/>
              <w:rPr>
                <w:color w:val="000000"/>
              </w:rPr>
            </w:pPr>
            <w:r w:rsidRPr="0039317A">
              <w:rPr>
                <w:color w:val="000000"/>
              </w:rPr>
              <w:t>1,0000</w:t>
            </w:r>
          </w:p>
        </w:tc>
      </w:tr>
    </w:tbl>
    <w:p w:rsidR="00937A52" w:rsidRDefault="00937A52" w:rsidP="00937A52">
      <w:pPr>
        <w:spacing w:line="240" w:lineRule="auto"/>
        <w:ind w:left="-1276"/>
        <w:jc w:val="center"/>
        <w:rPr>
          <w:b/>
          <w:lang w:val="en-US"/>
        </w:rPr>
        <w:sectPr w:rsidR="00937A52" w:rsidSect="00937A52">
          <w:pgSz w:w="16838" w:h="11906" w:orient="landscape"/>
          <w:pgMar w:top="1134" w:right="1440" w:bottom="1418" w:left="1440" w:header="709" w:footer="709" w:gutter="0"/>
          <w:cols w:space="708"/>
          <w:docGrid w:linePitch="360"/>
        </w:sectPr>
      </w:pPr>
    </w:p>
    <w:p w:rsidR="00937A52" w:rsidRDefault="00937A52" w:rsidP="00937A52">
      <w:pPr>
        <w:jc w:val="both"/>
        <w:rPr>
          <w:rFonts w:ascii="Times New Roman" w:hAnsi="Times New Roman" w:cs="Times New Roman"/>
          <w:b/>
          <w:sz w:val="24"/>
          <w:szCs w:val="24"/>
          <w:lang w:val="en-US"/>
        </w:rPr>
      </w:pPr>
      <w:r w:rsidRPr="00E56410">
        <w:rPr>
          <w:rFonts w:ascii="Times New Roman" w:hAnsi="Times New Roman" w:cs="Times New Roman"/>
          <w:b/>
          <w:sz w:val="24"/>
          <w:szCs w:val="24"/>
          <w:lang w:val="en-US"/>
        </w:rPr>
        <w:lastRenderedPageBreak/>
        <w:t>Table 3</w:t>
      </w:r>
    </w:p>
    <w:p w:rsidR="00E56410" w:rsidRPr="00E56410" w:rsidRDefault="00E56410" w:rsidP="00E56410">
      <w:pPr>
        <w:jc w:val="both"/>
        <w:rPr>
          <w:rFonts w:ascii="Times New Roman" w:hAnsi="Times New Roman" w:cs="Times New Roman"/>
          <w:b/>
          <w:sz w:val="24"/>
          <w:szCs w:val="24"/>
          <w:lang w:val="en-US"/>
        </w:rPr>
      </w:pPr>
      <w:r w:rsidRPr="00E56410">
        <w:rPr>
          <w:rFonts w:ascii="Times New Roman" w:hAnsi="Times New Roman" w:cs="Times New Roman"/>
          <w:b/>
          <w:sz w:val="24"/>
          <w:szCs w:val="24"/>
          <w:lang w:val="en-US"/>
        </w:rPr>
        <w:t>Description of inputs-outputs</w:t>
      </w:r>
    </w:p>
    <w:p w:rsidR="00E56410" w:rsidRPr="00E56410" w:rsidRDefault="00E56410" w:rsidP="00C1778D">
      <w:pPr>
        <w:spacing w:line="240" w:lineRule="auto"/>
        <w:jc w:val="both"/>
        <w:rPr>
          <w:rFonts w:ascii="Times New Roman" w:hAnsi="Times New Roman" w:cs="Times New Roman"/>
          <w:sz w:val="20"/>
          <w:szCs w:val="20"/>
          <w:lang w:val="en-US"/>
        </w:rPr>
      </w:pPr>
      <w:r w:rsidRPr="00E56410">
        <w:rPr>
          <w:rFonts w:ascii="Times New Roman" w:hAnsi="Times New Roman" w:cs="Times New Roman"/>
          <w:sz w:val="20"/>
          <w:szCs w:val="20"/>
          <w:lang w:val="en-US"/>
        </w:rPr>
        <w:t xml:space="preserve">Table 3 displays a thorough description of the inputs and outputs that were used. The first column of the table reports the variables that were used as dependent and independent and the second one provides a short description. In the third column the mnemonics of the variables are presented and in the last one the source that data were retrieved from. </w:t>
      </w:r>
    </w:p>
    <w:tbl>
      <w:tblPr>
        <w:tblStyle w:val="LightShading-Accent3"/>
        <w:tblW w:w="9686" w:type="dxa"/>
        <w:tblLook w:val="04A0"/>
      </w:tblPr>
      <w:tblGrid>
        <w:gridCol w:w="2656"/>
        <w:gridCol w:w="3661"/>
        <w:gridCol w:w="1701"/>
        <w:gridCol w:w="1668"/>
      </w:tblGrid>
      <w:tr w:rsidR="00E56410" w:rsidRPr="00584FEA" w:rsidTr="0072391A">
        <w:trPr>
          <w:cnfStyle w:val="100000000000"/>
          <w:trHeight w:val="374"/>
        </w:trPr>
        <w:tc>
          <w:tcPr>
            <w:cnfStyle w:val="001000000000"/>
            <w:tcW w:w="2543" w:type="dxa"/>
            <w:tcBorders>
              <w:top w:val="single" w:sz="18" w:space="0" w:color="auto"/>
              <w:left w:val="single" w:sz="6" w:space="0" w:color="FFFFFF" w:themeColor="background1"/>
              <w:bottom w:val="single" w:sz="18" w:space="0" w:color="auto"/>
              <w:right w:val="single" w:sz="6" w:space="0" w:color="FFFFFF" w:themeColor="background1"/>
            </w:tcBorders>
            <w:shd w:val="clear" w:color="auto" w:fill="B6DDE8" w:themeFill="accent5" w:themeFillTint="66"/>
          </w:tcPr>
          <w:p w:rsidR="00E56410" w:rsidRPr="00584FEA" w:rsidRDefault="00E56410" w:rsidP="0072391A">
            <w:pPr>
              <w:jc w:val="center"/>
              <w:rPr>
                <w:color w:val="auto"/>
                <w:sz w:val="22"/>
                <w:szCs w:val="22"/>
                <w:lang w:val="en-US"/>
              </w:rPr>
            </w:pPr>
            <w:r w:rsidRPr="00584FEA">
              <w:rPr>
                <w:color w:val="auto"/>
                <w:sz w:val="22"/>
                <w:szCs w:val="22"/>
                <w:lang w:val="en-US"/>
              </w:rPr>
              <w:t>Variable</w:t>
            </w:r>
          </w:p>
        </w:tc>
        <w:tc>
          <w:tcPr>
            <w:tcW w:w="3661" w:type="dxa"/>
            <w:tcBorders>
              <w:top w:val="single" w:sz="18" w:space="0" w:color="auto"/>
              <w:left w:val="single" w:sz="6" w:space="0" w:color="FFFFFF" w:themeColor="background1"/>
              <w:bottom w:val="single" w:sz="18" w:space="0" w:color="auto"/>
              <w:right w:val="single" w:sz="6" w:space="0" w:color="FFFFFF" w:themeColor="background1"/>
            </w:tcBorders>
            <w:shd w:val="clear" w:color="auto" w:fill="B6DDE8" w:themeFill="accent5" w:themeFillTint="66"/>
          </w:tcPr>
          <w:p w:rsidR="00E56410" w:rsidRPr="00584FEA" w:rsidRDefault="00E56410" w:rsidP="0072391A">
            <w:pPr>
              <w:jc w:val="center"/>
              <w:cnfStyle w:val="100000000000"/>
              <w:rPr>
                <w:color w:val="auto"/>
                <w:sz w:val="22"/>
                <w:szCs w:val="22"/>
                <w:lang w:val="en-US"/>
              </w:rPr>
            </w:pPr>
            <w:r w:rsidRPr="00584FEA">
              <w:rPr>
                <w:color w:val="auto"/>
                <w:sz w:val="22"/>
                <w:szCs w:val="22"/>
                <w:lang w:val="en-US"/>
              </w:rPr>
              <w:t>Description</w:t>
            </w:r>
          </w:p>
        </w:tc>
        <w:tc>
          <w:tcPr>
            <w:tcW w:w="1701" w:type="dxa"/>
            <w:tcBorders>
              <w:top w:val="single" w:sz="18" w:space="0" w:color="auto"/>
              <w:left w:val="single" w:sz="6" w:space="0" w:color="FFFFFF" w:themeColor="background1"/>
              <w:bottom w:val="single" w:sz="18" w:space="0" w:color="auto"/>
              <w:right w:val="single" w:sz="6" w:space="0" w:color="FFFFFF" w:themeColor="background1"/>
            </w:tcBorders>
            <w:shd w:val="clear" w:color="auto" w:fill="B6DDE8" w:themeFill="accent5" w:themeFillTint="66"/>
          </w:tcPr>
          <w:p w:rsidR="00E56410" w:rsidRPr="00584FEA" w:rsidRDefault="00E56410" w:rsidP="0072391A">
            <w:pPr>
              <w:jc w:val="center"/>
              <w:cnfStyle w:val="100000000000"/>
              <w:rPr>
                <w:color w:val="auto"/>
                <w:sz w:val="22"/>
                <w:szCs w:val="22"/>
                <w:lang w:val="en-US"/>
              </w:rPr>
            </w:pPr>
            <w:r w:rsidRPr="00584FEA">
              <w:rPr>
                <w:color w:val="auto"/>
                <w:sz w:val="22"/>
                <w:szCs w:val="22"/>
                <w:lang w:val="en-US"/>
              </w:rPr>
              <w:t>Mnemonic</w:t>
            </w:r>
          </w:p>
        </w:tc>
        <w:tc>
          <w:tcPr>
            <w:tcW w:w="0" w:type="auto"/>
            <w:tcBorders>
              <w:top w:val="single" w:sz="18" w:space="0" w:color="auto"/>
              <w:left w:val="single" w:sz="6" w:space="0" w:color="FFFFFF" w:themeColor="background1"/>
              <w:bottom w:val="single" w:sz="18" w:space="0" w:color="auto"/>
              <w:right w:val="single" w:sz="6" w:space="0" w:color="FFFFFF" w:themeColor="background1"/>
            </w:tcBorders>
            <w:shd w:val="clear" w:color="auto" w:fill="B6DDE8" w:themeFill="accent5" w:themeFillTint="66"/>
          </w:tcPr>
          <w:p w:rsidR="00E56410" w:rsidRPr="00584FEA" w:rsidRDefault="00E56410" w:rsidP="0072391A">
            <w:pPr>
              <w:jc w:val="center"/>
              <w:cnfStyle w:val="100000000000"/>
              <w:rPr>
                <w:color w:val="auto"/>
                <w:sz w:val="22"/>
                <w:szCs w:val="22"/>
                <w:lang w:val="en-US"/>
              </w:rPr>
            </w:pPr>
            <w:r w:rsidRPr="00584FEA">
              <w:rPr>
                <w:color w:val="auto"/>
                <w:sz w:val="22"/>
                <w:szCs w:val="22"/>
                <w:lang w:val="en-US"/>
              </w:rPr>
              <w:t>Source</w:t>
            </w:r>
          </w:p>
        </w:tc>
      </w:tr>
      <w:tr w:rsidR="00E56410" w:rsidRPr="00584FEA" w:rsidTr="0072391A">
        <w:trPr>
          <w:cnfStyle w:val="000000100000"/>
        </w:trPr>
        <w:tc>
          <w:tcPr>
            <w:cnfStyle w:val="001000000000"/>
            <w:tcW w:w="2543" w:type="dxa"/>
            <w:tcBorders>
              <w:top w:val="single" w:sz="18"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rPr>
                <w:color w:val="auto"/>
                <w:sz w:val="22"/>
                <w:szCs w:val="22"/>
                <w:lang w:val="en-US"/>
              </w:rPr>
            </w:pPr>
            <w:r w:rsidRPr="00584FEA">
              <w:rPr>
                <w:color w:val="auto"/>
                <w:sz w:val="22"/>
                <w:szCs w:val="22"/>
                <w:lang w:val="en-US"/>
              </w:rPr>
              <w:t>Indices</w:t>
            </w:r>
          </w:p>
        </w:tc>
        <w:tc>
          <w:tcPr>
            <w:tcW w:w="3661" w:type="dxa"/>
            <w:tcBorders>
              <w:top w:val="single" w:sz="18"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p>
        </w:tc>
        <w:tc>
          <w:tcPr>
            <w:tcW w:w="1701" w:type="dxa"/>
            <w:tcBorders>
              <w:top w:val="single" w:sz="18"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p>
        </w:tc>
        <w:tc>
          <w:tcPr>
            <w:tcW w:w="0" w:type="auto"/>
            <w:tcBorders>
              <w:top w:val="single" w:sz="18"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p>
        </w:tc>
      </w:tr>
      <w:tr w:rsidR="00E56410" w:rsidRPr="00584FEA" w:rsidTr="0072391A">
        <w:tc>
          <w:tcPr>
            <w:cnfStyle w:val="001000000000"/>
            <w:tcW w:w="2543" w:type="dxa"/>
            <w:tcBorders>
              <w:top w:val="single" w:sz="12" w:space="0" w:color="auto"/>
              <w:left w:val="single" w:sz="6" w:space="0" w:color="FFFFFF" w:themeColor="background1"/>
              <w:bottom w:val="single" w:sz="6" w:space="0" w:color="FFFFFF" w:themeColor="background1"/>
              <w:right w:val="single" w:sz="6" w:space="0" w:color="FFFFFF" w:themeColor="background1"/>
            </w:tcBorders>
          </w:tcPr>
          <w:p w:rsidR="00E56410" w:rsidRPr="00584FEA" w:rsidRDefault="00E56410" w:rsidP="0072391A">
            <w:pPr>
              <w:rPr>
                <w:b w:val="0"/>
                <w:color w:val="auto"/>
                <w:sz w:val="22"/>
                <w:szCs w:val="22"/>
                <w:lang w:val="en-US"/>
              </w:rPr>
            </w:pPr>
            <w:r w:rsidRPr="00584FEA">
              <w:rPr>
                <w:b w:val="0"/>
                <w:color w:val="auto"/>
                <w:sz w:val="22"/>
                <w:szCs w:val="22"/>
                <w:lang w:val="en-US"/>
              </w:rPr>
              <w:t>VIX</w:t>
            </w:r>
          </w:p>
        </w:tc>
        <w:tc>
          <w:tcPr>
            <w:tcW w:w="3661" w:type="dxa"/>
            <w:tcBorders>
              <w:top w:val="single" w:sz="12" w:space="0" w:color="auto"/>
              <w:left w:val="single" w:sz="6" w:space="0" w:color="FFFFFF" w:themeColor="background1"/>
              <w:bottom w:val="single" w:sz="6" w:space="0" w:color="FFFFFF" w:themeColor="background1"/>
              <w:right w:val="single" w:sz="6" w:space="0" w:color="FFFFFF" w:themeColor="background1"/>
            </w:tcBorders>
          </w:tcPr>
          <w:p w:rsidR="00E56410" w:rsidRDefault="00E56410" w:rsidP="0072391A">
            <w:pPr>
              <w:cnfStyle w:val="000000000000"/>
              <w:rPr>
                <w:color w:val="auto"/>
                <w:sz w:val="22"/>
                <w:szCs w:val="22"/>
                <w:lang w:val="en-US"/>
              </w:rPr>
            </w:pPr>
            <w:r w:rsidRPr="00584FEA">
              <w:rPr>
                <w:color w:val="auto"/>
                <w:sz w:val="22"/>
                <w:szCs w:val="22"/>
                <w:lang w:val="en-US"/>
              </w:rPr>
              <w:t>An index used to measure risk aversion.</w:t>
            </w:r>
          </w:p>
          <w:p w:rsidR="00E56410" w:rsidRPr="00584FEA" w:rsidRDefault="00E56410" w:rsidP="0072391A">
            <w:pPr>
              <w:cnfStyle w:val="000000000000"/>
              <w:rPr>
                <w:color w:val="auto"/>
                <w:sz w:val="22"/>
                <w:szCs w:val="22"/>
                <w:lang w:val="en-US"/>
              </w:rPr>
            </w:pPr>
          </w:p>
        </w:tc>
        <w:tc>
          <w:tcPr>
            <w:tcW w:w="1701" w:type="dxa"/>
            <w:tcBorders>
              <w:top w:val="single" w:sz="12" w:space="0" w:color="auto"/>
              <w:left w:val="single" w:sz="6" w:space="0" w:color="FFFFFF" w:themeColor="background1"/>
              <w:bottom w:val="single" w:sz="6" w:space="0" w:color="FFFFFF" w:themeColor="background1"/>
              <w:right w:val="single" w:sz="6" w:space="0" w:color="FFFFFF" w:themeColor="background1"/>
            </w:tcBorders>
          </w:tcPr>
          <w:p w:rsidR="00E56410" w:rsidRPr="00584FEA" w:rsidRDefault="00E56410" w:rsidP="0072391A">
            <w:pPr>
              <w:jc w:val="center"/>
              <w:cnfStyle w:val="000000000000"/>
              <w:rPr>
                <w:color w:val="auto"/>
                <w:sz w:val="22"/>
                <w:szCs w:val="22"/>
                <w:lang w:val="en-US"/>
              </w:rPr>
            </w:pPr>
            <w:r w:rsidRPr="00584FEA">
              <w:rPr>
                <w:color w:val="auto"/>
                <w:sz w:val="22"/>
                <w:szCs w:val="22"/>
                <w:lang w:val="en-US"/>
              </w:rPr>
              <w:t>VIX</w:t>
            </w:r>
          </w:p>
        </w:tc>
        <w:tc>
          <w:tcPr>
            <w:tcW w:w="0" w:type="auto"/>
            <w:tcBorders>
              <w:top w:val="single" w:sz="12" w:space="0" w:color="auto"/>
              <w:left w:val="single" w:sz="6" w:space="0" w:color="FFFFFF" w:themeColor="background1"/>
              <w:bottom w:val="single" w:sz="6" w:space="0" w:color="FFFFFF" w:themeColor="background1"/>
              <w:right w:val="single" w:sz="6" w:space="0" w:color="FFFFFF" w:themeColor="background1"/>
            </w:tcBorders>
          </w:tcPr>
          <w:p w:rsidR="00E56410" w:rsidRPr="00584FEA" w:rsidRDefault="00E56410" w:rsidP="0072391A">
            <w:pPr>
              <w:jc w:val="center"/>
              <w:cnfStyle w:val="000000000000"/>
              <w:rPr>
                <w:bCs/>
                <w:color w:val="auto"/>
                <w:sz w:val="22"/>
                <w:szCs w:val="22"/>
                <w:lang w:val="en-US"/>
              </w:rPr>
            </w:pPr>
            <w:r w:rsidRPr="00584FEA">
              <w:rPr>
                <w:bCs/>
                <w:color w:val="auto"/>
                <w:sz w:val="22"/>
                <w:szCs w:val="22"/>
                <w:lang w:val="en-US"/>
              </w:rPr>
              <w:t>Bloomberg Database</w:t>
            </w:r>
          </w:p>
        </w:tc>
      </w:tr>
      <w:tr w:rsidR="00E56410" w:rsidRPr="00584FEA" w:rsidTr="0072391A">
        <w:trPr>
          <w:cnfStyle w:val="000000100000"/>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Baker and Wurgler</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cnfStyle w:val="000000100000"/>
              <w:rPr>
                <w:color w:val="auto"/>
                <w:sz w:val="22"/>
                <w:szCs w:val="22"/>
                <w:lang w:val="en-US"/>
              </w:rPr>
            </w:pPr>
            <w:r w:rsidRPr="00584FEA">
              <w:rPr>
                <w:color w:val="auto"/>
                <w:sz w:val="22"/>
                <w:szCs w:val="22"/>
                <w:lang w:val="en-US"/>
              </w:rPr>
              <w:t>An index constructed by Baker and Wurgler (2006).</w:t>
            </w:r>
          </w:p>
          <w:p w:rsidR="00E56410" w:rsidRPr="00584FEA" w:rsidRDefault="00E56410" w:rsidP="0072391A">
            <w:pPr>
              <w:cnfStyle w:val="000000100000"/>
              <w:rPr>
                <w:color w:val="auto"/>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r w:rsidRPr="00584FEA">
              <w:rPr>
                <w:color w:val="auto"/>
                <w:sz w:val="22"/>
                <w:szCs w:val="22"/>
                <w:lang w:val="en-US"/>
              </w:rPr>
              <w:t>-</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r w:rsidRPr="00584FEA">
              <w:rPr>
                <w:bCs/>
                <w:color w:val="auto"/>
                <w:sz w:val="22"/>
                <w:szCs w:val="22"/>
                <w:lang w:val="en-US"/>
              </w:rPr>
              <w:t>J. Wurgler’s website</w:t>
            </w:r>
          </w:p>
        </w:tc>
      </w:tr>
      <w:tr w:rsidR="00E56410" w:rsidRPr="009A092A" w:rsidTr="0072391A">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E56410" w:rsidRPr="00584FEA" w:rsidRDefault="00E56410" w:rsidP="0072391A">
            <w:pPr>
              <w:rPr>
                <w:b w:val="0"/>
                <w:color w:val="auto"/>
                <w:sz w:val="22"/>
                <w:szCs w:val="22"/>
                <w:lang w:val="en-US"/>
              </w:rPr>
            </w:pPr>
            <w:r w:rsidRPr="00584FEA">
              <w:rPr>
                <w:b w:val="0"/>
                <w:color w:val="auto"/>
                <w:sz w:val="22"/>
                <w:szCs w:val="22"/>
                <w:lang w:val="en-US"/>
              </w:rPr>
              <w:t>Merrill Lynch’s Risk Aversion Indicator</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E56410" w:rsidRDefault="00E56410" w:rsidP="0072391A">
            <w:pPr>
              <w:cnfStyle w:val="000000000000"/>
              <w:rPr>
                <w:color w:val="auto"/>
                <w:sz w:val="22"/>
                <w:szCs w:val="22"/>
                <w:lang w:val="en-US"/>
              </w:rPr>
            </w:pPr>
            <w:r w:rsidRPr="00584FEA">
              <w:rPr>
                <w:color w:val="auto"/>
                <w:sz w:val="22"/>
                <w:szCs w:val="22"/>
                <w:lang w:val="en-US"/>
              </w:rPr>
              <w:t>An index used to measure risk aversion.</w:t>
            </w:r>
          </w:p>
          <w:p w:rsidR="00E56410" w:rsidRPr="00584FEA" w:rsidRDefault="00E56410" w:rsidP="0072391A">
            <w:pPr>
              <w:cnfStyle w:val="000000000000"/>
              <w:rPr>
                <w:color w:val="auto"/>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E56410" w:rsidRPr="00584FEA" w:rsidRDefault="00E56410" w:rsidP="0072391A">
            <w:pPr>
              <w:jc w:val="center"/>
              <w:cnfStyle w:val="000000000000"/>
              <w:rPr>
                <w:color w:val="auto"/>
                <w:sz w:val="22"/>
                <w:szCs w:val="22"/>
                <w:lang w:val="en-US"/>
              </w:rPr>
            </w:pPr>
            <w:r w:rsidRPr="00584FEA">
              <w:rPr>
                <w:color w:val="auto"/>
                <w:sz w:val="22"/>
                <w:szCs w:val="22"/>
                <w:lang w:val="en-US"/>
              </w:rPr>
              <w:t>-</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E56410" w:rsidRPr="00584FEA" w:rsidRDefault="00E56410" w:rsidP="0072391A">
            <w:pPr>
              <w:jc w:val="center"/>
              <w:cnfStyle w:val="000000000000"/>
              <w:rPr>
                <w:bCs/>
                <w:color w:val="auto"/>
                <w:sz w:val="22"/>
                <w:szCs w:val="22"/>
                <w:lang w:val="en-US"/>
              </w:rPr>
            </w:pPr>
            <w:r w:rsidRPr="00584FEA">
              <w:rPr>
                <w:bCs/>
                <w:color w:val="auto"/>
                <w:sz w:val="22"/>
                <w:szCs w:val="22"/>
                <w:lang w:val="en-US"/>
              </w:rPr>
              <w:t>Data were kindly provided by L. Stracca</w:t>
            </w:r>
          </w:p>
        </w:tc>
      </w:tr>
      <w:tr w:rsidR="00E56410" w:rsidRPr="00584FEA" w:rsidTr="0072391A">
        <w:trPr>
          <w:cnfStyle w:val="000000100000"/>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University of Michigan Consumer Confidence Sentiment</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cnfStyle w:val="000000100000"/>
              <w:rPr>
                <w:color w:val="auto"/>
                <w:sz w:val="22"/>
                <w:szCs w:val="22"/>
                <w:lang w:val="en-US"/>
              </w:rPr>
            </w:pPr>
            <w:r w:rsidRPr="00584FEA">
              <w:rPr>
                <w:color w:val="auto"/>
                <w:sz w:val="22"/>
                <w:szCs w:val="22"/>
                <w:lang w:val="en-US"/>
              </w:rPr>
              <w:t>A monthly survey which indicates consumers’ beliefs concerning perceived changes overall in the economic environment</w:t>
            </w:r>
            <w:r>
              <w:rPr>
                <w:color w:val="auto"/>
                <w:sz w:val="22"/>
                <w:szCs w:val="22"/>
                <w:lang w:val="en-US"/>
              </w:rPr>
              <w:t>.</w:t>
            </w:r>
          </w:p>
          <w:p w:rsidR="00E56410" w:rsidRPr="00584FEA" w:rsidRDefault="00E56410" w:rsidP="0072391A">
            <w:pPr>
              <w:cnfStyle w:val="000000100000"/>
              <w:rPr>
                <w:color w:val="auto"/>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r w:rsidRPr="00584FEA">
              <w:rPr>
                <w:color w:val="auto"/>
                <w:sz w:val="22"/>
                <w:szCs w:val="22"/>
                <w:lang w:val="en-US"/>
              </w:rPr>
              <w:t>CONSSENT</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r w:rsidRPr="00584FEA">
              <w:rPr>
                <w:bCs/>
                <w:color w:val="auto"/>
                <w:sz w:val="22"/>
                <w:szCs w:val="22"/>
                <w:lang w:val="en-US"/>
              </w:rPr>
              <w:t>Bloomberg</w:t>
            </w:r>
          </w:p>
        </w:tc>
      </w:tr>
      <w:tr w:rsidR="00E56410" w:rsidRPr="00584FEA" w:rsidTr="0072391A">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Westpac Risk Aversion Index</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cnfStyle w:val="000000000000"/>
              <w:rPr>
                <w:color w:val="auto"/>
                <w:sz w:val="22"/>
                <w:szCs w:val="22"/>
                <w:lang w:val="en-US"/>
              </w:rPr>
            </w:pPr>
            <w:r w:rsidRPr="00584FEA">
              <w:rPr>
                <w:color w:val="auto"/>
                <w:sz w:val="22"/>
                <w:szCs w:val="22"/>
                <w:lang w:val="en-US"/>
              </w:rPr>
              <w:t>An index constructed by Westpac Bank to measure risk appetite.</w:t>
            </w:r>
          </w:p>
          <w:p w:rsidR="00E56410" w:rsidRPr="00584FEA" w:rsidRDefault="00E56410" w:rsidP="0072391A">
            <w:pPr>
              <w:cnfStyle w:val="000000000000"/>
              <w:rPr>
                <w:color w:val="auto"/>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color w:val="auto"/>
                <w:sz w:val="22"/>
                <w:szCs w:val="22"/>
                <w:lang w:val="en-US"/>
              </w:rPr>
            </w:pPr>
            <w:r w:rsidRPr="00584FEA">
              <w:rPr>
                <w:color w:val="auto"/>
                <w:sz w:val="22"/>
                <w:szCs w:val="22"/>
                <w:lang w:val="en-US"/>
              </w:rPr>
              <w:t>WRAIRISK</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rPr>
            </w:pPr>
            <w:r w:rsidRPr="00584FEA">
              <w:rPr>
                <w:bCs/>
                <w:color w:val="auto"/>
                <w:sz w:val="22"/>
                <w:szCs w:val="22"/>
                <w:lang w:val="en-US"/>
              </w:rPr>
              <w:t>Bloomberg Database</w:t>
            </w:r>
          </w:p>
        </w:tc>
      </w:tr>
      <w:tr w:rsidR="00E56410" w:rsidRPr="00584FEA" w:rsidTr="0072391A">
        <w:trPr>
          <w:cnfStyle w:val="000000100000"/>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Put-Call Ratio</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cnfStyle w:val="000000100000"/>
              <w:rPr>
                <w:color w:val="auto"/>
                <w:sz w:val="22"/>
                <w:szCs w:val="22"/>
                <w:lang w:val="en-US"/>
              </w:rPr>
            </w:pPr>
            <w:r w:rsidRPr="00584FEA">
              <w:rPr>
                <w:color w:val="auto"/>
                <w:sz w:val="22"/>
                <w:szCs w:val="22"/>
                <w:lang w:val="en-US"/>
              </w:rPr>
              <w:t>The ratio of put to call options that is used as a contrarian indicator.</w:t>
            </w:r>
          </w:p>
          <w:p w:rsidR="00E56410" w:rsidRPr="00584FEA" w:rsidRDefault="00E56410" w:rsidP="0072391A">
            <w:pPr>
              <w:cnfStyle w:val="000000100000"/>
              <w:rPr>
                <w:color w:val="auto"/>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r w:rsidRPr="00584FEA">
              <w:rPr>
                <w:color w:val="auto"/>
                <w:sz w:val="22"/>
                <w:szCs w:val="22"/>
                <w:lang w:val="en-US"/>
              </w:rPr>
              <w:t>PCUSINXR</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sz w:val="22"/>
                <w:szCs w:val="22"/>
              </w:rPr>
            </w:pPr>
            <w:r w:rsidRPr="00584FEA">
              <w:rPr>
                <w:bCs/>
                <w:color w:val="auto"/>
                <w:sz w:val="22"/>
                <w:szCs w:val="22"/>
                <w:lang w:val="en-US"/>
              </w:rPr>
              <w:t>Bloomberg Database</w:t>
            </w:r>
          </w:p>
        </w:tc>
      </w:tr>
      <w:tr w:rsidR="00E56410" w:rsidRPr="00584FEA" w:rsidTr="0072391A">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sz w:val="22"/>
                <w:szCs w:val="22"/>
                <w:lang w:val="en-US"/>
              </w:rPr>
            </w:pPr>
            <w:r w:rsidRPr="00584FEA">
              <w:rPr>
                <w:b w:val="0"/>
                <w:bCs w:val="0"/>
                <w:color w:val="auto"/>
                <w:sz w:val="22"/>
                <w:szCs w:val="22"/>
                <w:lang w:val="en-US"/>
              </w:rPr>
              <w:t>State Street Investor Confidence Index</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cnfStyle w:val="000000000000"/>
              <w:rPr>
                <w:color w:val="auto"/>
                <w:sz w:val="22"/>
                <w:szCs w:val="22"/>
                <w:lang w:val="en-US"/>
              </w:rPr>
            </w:pPr>
            <w:r w:rsidRPr="00584FEA">
              <w:rPr>
                <w:color w:val="auto"/>
                <w:sz w:val="22"/>
                <w:szCs w:val="22"/>
                <w:lang w:val="en-US"/>
              </w:rPr>
              <w:t>An index constructed by Froot and O’Connell (2003)</w:t>
            </w:r>
            <w:r>
              <w:rPr>
                <w:color w:val="auto"/>
                <w:sz w:val="22"/>
                <w:szCs w:val="22"/>
                <w:lang w:val="en-US"/>
              </w:rPr>
              <w:t>.</w:t>
            </w:r>
          </w:p>
          <w:p w:rsidR="00E56410" w:rsidRPr="00584FEA" w:rsidRDefault="00E56410" w:rsidP="0072391A">
            <w:pPr>
              <w:cnfStyle w:val="000000000000"/>
              <w:rPr>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en-US"/>
              </w:rPr>
            </w:pPr>
            <w:r w:rsidRPr="00584FEA">
              <w:rPr>
                <w:bCs/>
                <w:color w:val="auto"/>
                <w:sz w:val="22"/>
                <w:szCs w:val="22"/>
                <w:lang w:val="en-US"/>
              </w:rPr>
              <w:t>SSICCONF</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rPr>
            </w:pPr>
            <w:r w:rsidRPr="00584FEA">
              <w:rPr>
                <w:bCs/>
                <w:color w:val="auto"/>
                <w:sz w:val="22"/>
                <w:szCs w:val="22"/>
                <w:lang w:val="en-US"/>
              </w:rPr>
              <w:t>Bloomberg Database</w:t>
            </w:r>
          </w:p>
        </w:tc>
      </w:tr>
      <w:tr w:rsidR="00E56410" w:rsidRPr="00584FEA" w:rsidTr="0072391A">
        <w:trPr>
          <w:cnfStyle w:val="000000100000"/>
        </w:trPr>
        <w:tc>
          <w:tcPr>
            <w:cnfStyle w:val="001000000000"/>
            <w:tcW w:w="2543" w:type="dxa"/>
            <w:tcBorders>
              <w:top w:val="single" w:sz="6" w:space="0" w:color="FFFFFF" w:themeColor="background1"/>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rPr>
                <w:b w:val="0"/>
                <w:sz w:val="22"/>
                <w:szCs w:val="22"/>
                <w:lang w:val="en-US"/>
              </w:rPr>
            </w:pPr>
            <w:r w:rsidRPr="00584FEA">
              <w:rPr>
                <w:b w:val="0"/>
                <w:bCs w:val="0"/>
                <w:color w:val="auto"/>
                <w:sz w:val="22"/>
                <w:szCs w:val="22"/>
                <w:lang w:val="en-US"/>
              </w:rPr>
              <w:t>Global Risk Appetite Monitor + (Short Run)</w:t>
            </w:r>
          </w:p>
        </w:tc>
        <w:tc>
          <w:tcPr>
            <w:tcW w:w="3661" w:type="dxa"/>
            <w:tcBorders>
              <w:top w:val="single" w:sz="6" w:space="0" w:color="FFFFFF" w:themeColor="background1"/>
              <w:left w:val="single" w:sz="6" w:space="0" w:color="FFFFFF" w:themeColor="background1"/>
              <w:bottom w:val="single" w:sz="12" w:space="0" w:color="auto"/>
              <w:right w:val="single" w:sz="6" w:space="0" w:color="FFFFFF" w:themeColor="background1"/>
            </w:tcBorders>
            <w:shd w:val="clear" w:color="auto" w:fill="FFFFFF" w:themeFill="background1"/>
          </w:tcPr>
          <w:p w:rsidR="00E56410" w:rsidRDefault="00E56410" w:rsidP="0072391A">
            <w:pPr>
              <w:cnfStyle w:val="000000100000"/>
              <w:rPr>
                <w:color w:val="auto"/>
                <w:sz w:val="22"/>
                <w:szCs w:val="22"/>
                <w:lang w:val="en-US"/>
              </w:rPr>
            </w:pPr>
            <w:r w:rsidRPr="000457F0">
              <w:rPr>
                <w:color w:val="auto"/>
                <w:sz w:val="22"/>
                <w:szCs w:val="22"/>
                <w:lang w:val="en-US"/>
              </w:rPr>
              <w:t>An index constructed and used by Nomura Group.</w:t>
            </w:r>
          </w:p>
          <w:p w:rsidR="00E56410" w:rsidRPr="00584FEA" w:rsidRDefault="00E56410" w:rsidP="0072391A">
            <w:pPr>
              <w:cnfStyle w:val="000000100000"/>
              <w:rPr>
                <w:sz w:val="22"/>
                <w:szCs w:val="22"/>
                <w:lang w:val="en-US"/>
              </w:rPr>
            </w:pPr>
          </w:p>
        </w:tc>
        <w:tc>
          <w:tcPr>
            <w:tcW w:w="1701" w:type="dxa"/>
            <w:tcBorders>
              <w:top w:val="single" w:sz="6" w:space="0" w:color="FFFFFF" w:themeColor="background1"/>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r w:rsidRPr="00584FEA">
              <w:rPr>
                <w:color w:val="auto"/>
                <w:sz w:val="22"/>
                <w:szCs w:val="22"/>
                <w:lang w:val="en-US"/>
              </w:rPr>
              <w:t>NMDPGRAM</w:t>
            </w:r>
          </w:p>
        </w:tc>
        <w:tc>
          <w:tcPr>
            <w:tcW w:w="0" w:type="auto"/>
            <w:tcBorders>
              <w:top w:val="single" w:sz="6" w:space="0" w:color="FFFFFF" w:themeColor="background1"/>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r w:rsidRPr="00584FEA">
              <w:rPr>
                <w:bCs/>
                <w:color w:val="auto"/>
                <w:sz w:val="22"/>
                <w:szCs w:val="22"/>
                <w:lang w:val="en-US"/>
              </w:rPr>
              <w:t>Bloomberg Database</w:t>
            </w:r>
          </w:p>
        </w:tc>
      </w:tr>
      <w:tr w:rsidR="00E56410" w:rsidRPr="00584FEA" w:rsidTr="0072391A">
        <w:trPr>
          <w:trHeight w:val="328"/>
        </w:trPr>
        <w:tc>
          <w:tcPr>
            <w:cnfStyle w:val="001000000000"/>
            <w:tcW w:w="2543"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rPr>
                <w:b w:val="0"/>
                <w:color w:val="auto"/>
                <w:sz w:val="22"/>
                <w:szCs w:val="22"/>
                <w:lang w:val="en-US"/>
              </w:rPr>
            </w:pPr>
            <w:r w:rsidRPr="00584FEA">
              <w:rPr>
                <w:color w:val="auto"/>
                <w:sz w:val="22"/>
                <w:szCs w:val="22"/>
                <w:lang w:val="en-US"/>
              </w:rPr>
              <w:t>Asset Classes</w:t>
            </w:r>
          </w:p>
        </w:tc>
        <w:tc>
          <w:tcPr>
            <w:tcW w:w="3661"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en-US"/>
              </w:rPr>
            </w:pPr>
          </w:p>
        </w:tc>
        <w:tc>
          <w:tcPr>
            <w:tcW w:w="1701"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en-US"/>
              </w:rPr>
            </w:pPr>
          </w:p>
        </w:tc>
        <w:tc>
          <w:tcPr>
            <w:tcW w:w="0" w:type="auto"/>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000000"/>
              <w:rPr>
                <w:bCs/>
                <w:color w:val="auto"/>
                <w:sz w:val="22"/>
                <w:szCs w:val="22"/>
                <w:lang w:val="en-US"/>
              </w:rPr>
            </w:pPr>
          </w:p>
        </w:tc>
      </w:tr>
      <w:tr w:rsidR="00E56410" w:rsidRPr="00584FEA" w:rsidTr="0072391A">
        <w:trPr>
          <w:cnfStyle w:val="000000100000"/>
          <w:trHeight w:val="361"/>
        </w:trPr>
        <w:tc>
          <w:tcPr>
            <w:cnfStyle w:val="001000000000"/>
            <w:tcW w:w="2543"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E56410">
            <w:pPr>
              <w:pStyle w:val="ListParagraph"/>
              <w:numPr>
                <w:ilvl w:val="0"/>
                <w:numId w:val="19"/>
              </w:numPr>
              <w:rPr>
                <w:b w:val="0"/>
                <w:color w:val="auto"/>
                <w:lang w:val="en-US"/>
              </w:rPr>
            </w:pPr>
            <w:r w:rsidRPr="00584FEA">
              <w:rPr>
                <w:color w:val="auto"/>
                <w:lang w:val="en-US"/>
              </w:rPr>
              <w:t>Commodities</w:t>
            </w:r>
          </w:p>
        </w:tc>
        <w:tc>
          <w:tcPr>
            <w:tcW w:w="3661"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sz w:val="22"/>
                <w:szCs w:val="22"/>
                <w:lang w:val="en-US"/>
              </w:rPr>
            </w:pPr>
          </w:p>
        </w:tc>
        <w:tc>
          <w:tcPr>
            <w:tcW w:w="1701"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sz w:val="22"/>
                <w:szCs w:val="22"/>
                <w:lang w:val="en-US"/>
              </w:rPr>
            </w:pPr>
          </w:p>
        </w:tc>
        <w:tc>
          <w:tcPr>
            <w:tcW w:w="0" w:type="auto"/>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p>
        </w:tc>
      </w:tr>
      <w:tr w:rsidR="00E56410" w:rsidRPr="009A092A" w:rsidTr="0072391A">
        <w:tc>
          <w:tcPr>
            <w:cnfStyle w:val="001000000000"/>
            <w:tcW w:w="2543" w:type="dxa"/>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sz w:val="22"/>
                <w:szCs w:val="22"/>
                <w:lang w:val="en-US"/>
              </w:rPr>
            </w:pPr>
            <w:r w:rsidRPr="00584FEA">
              <w:rPr>
                <w:b w:val="0"/>
                <w:color w:val="auto"/>
                <w:sz w:val="22"/>
                <w:szCs w:val="22"/>
                <w:lang w:val="en-US"/>
              </w:rPr>
              <w:t>Gold</w:t>
            </w:r>
          </w:p>
        </w:tc>
        <w:tc>
          <w:tcPr>
            <w:tcW w:w="3661" w:type="dxa"/>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jc w:val="both"/>
              <w:cnfStyle w:val="000000000000"/>
              <w:rPr>
                <w:bCs/>
                <w:color w:val="auto"/>
                <w:sz w:val="22"/>
                <w:szCs w:val="22"/>
                <w:lang w:val="en-US"/>
              </w:rPr>
            </w:pPr>
            <w:r w:rsidRPr="00584FEA">
              <w:rPr>
                <w:bCs/>
                <w:color w:val="auto"/>
                <w:sz w:val="22"/>
                <w:szCs w:val="22"/>
                <w:lang w:val="en-US"/>
              </w:rPr>
              <w:t>A commodity that is used interchangeably as an industrial and an investment asset (denominated in U.S Dollar)</w:t>
            </w:r>
            <w:r>
              <w:rPr>
                <w:bCs/>
                <w:color w:val="auto"/>
                <w:sz w:val="22"/>
                <w:szCs w:val="22"/>
                <w:lang w:val="en-US"/>
              </w:rPr>
              <w:t>.</w:t>
            </w:r>
          </w:p>
          <w:p w:rsidR="00E56410" w:rsidRPr="00584FEA" w:rsidRDefault="00E56410" w:rsidP="0072391A">
            <w:pPr>
              <w:jc w:val="both"/>
              <w:cnfStyle w:val="000000000000"/>
              <w:rPr>
                <w:sz w:val="22"/>
                <w:szCs w:val="22"/>
                <w:lang w:val="en-US"/>
              </w:rPr>
            </w:pPr>
          </w:p>
        </w:tc>
        <w:tc>
          <w:tcPr>
            <w:tcW w:w="1701" w:type="dxa"/>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color w:val="auto"/>
                <w:sz w:val="22"/>
                <w:szCs w:val="22"/>
                <w:lang w:val="en-US"/>
              </w:rPr>
            </w:pPr>
            <w:r w:rsidRPr="00584FEA">
              <w:rPr>
                <w:color w:val="auto"/>
                <w:sz w:val="22"/>
                <w:szCs w:val="22"/>
                <w:lang w:val="en-US"/>
              </w:rPr>
              <w:t>GOLDBLN</w:t>
            </w:r>
          </w:p>
          <w:p w:rsidR="00E56410" w:rsidRPr="00584FEA" w:rsidRDefault="00E56410" w:rsidP="0072391A">
            <w:pPr>
              <w:jc w:val="center"/>
              <w:cnfStyle w:val="000000000000"/>
              <w:rPr>
                <w:color w:val="auto"/>
                <w:sz w:val="22"/>
                <w:szCs w:val="22"/>
                <w:lang w:val="en-US"/>
              </w:rPr>
            </w:pPr>
          </w:p>
        </w:tc>
        <w:tc>
          <w:tcPr>
            <w:tcW w:w="0" w:type="auto"/>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bCs/>
                <w:sz w:val="22"/>
                <w:szCs w:val="22"/>
                <w:lang w:val="en-US"/>
              </w:rPr>
            </w:pPr>
            <w:r w:rsidRPr="00584FEA">
              <w:rPr>
                <w:bCs/>
                <w:color w:val="auto"/>
                <w:sz w:val="22"/>
                <w:szCs w:val="22"/>
                <w:lang w:val="en-US"/>
              </w:rPr>
              <w:t>Thomson Reuters DataStream (London Bullion Market)</w:t>
            </w:r>
          </w:p>
        </w:tc>
      </w:tr>
      <w:tr w:rsidR="00E56410" w:rsidRPr="009A092A" w:rsidTr="0072391A">
        <w:trPr>
          <w:cnfStyle w:val="000000100000"/>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Corn</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both"/>
              <w:cnfStyle w:val="000000100000"/>
              <w:rPr>
                <w:sz w:val="22"/>
                <w:szCs w:val="22"/>
                <w:lang w:val="en-US"/>
              </w:rPr>
            </w:pPr>
            <w:r w:rsidRPr="00584FEA">
              <w:rPr>
                <w:bCs/>
                <w:color w:val="auto"/>
                <w:sz w:val="22"/>
                <w:szCs w:val="22"/>
                <w:lang w:val="en-US"/>
              </w:rPr>
              <w:t>An agricultural commodity (denominated in U.S Dollar cents)</w:t>
            </w:r>
            <w:r>
              <w:rPr>
                <w:bCs/>
                <w:color w:val="auto"/>
                <w:sz w:val="22"/>
                <w:szCs w:val="22"/>
                <w:lang w:val="en-US"/>
              </w:rPr>
              <w:t>.</w:t>
            </w: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r w:rsidRPr="00584FEA">
              <w:rPr>
                <w:color w:val="auto"/>
                <w:sz w:val="22"/>
                <w:szCs w:val="22"/>
                <w:lang w:val="en-US"/>
              </w:rPr>
              <w:t>CORNUS2</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r w:rsidRPr="00584FEA">
              <w:rPr>
                <w:bCs/>
                <w:color w:val="auto"/>
                <w:sz w:val="22"/>
                <w:szCs w:val="22"/>
                <w:lang w:val="en-US"/>
              </w:rPr>
              <w:t>Thomson Reuters DataStream (U.S Department of Agriculture)</w:t>
            </w:r>
          </w:p>
        </w:tc>
      </w:tr>
      <w:tr w:rsidR="00E56410" w:rsidRPr="009A092A" w:rsidTr="0072391A">
        <w:trPr>
          <w:trHeight w:val="1290"/>
        </w:trPr>
        <w:tc>
          <w:tcPr>
            <w:cnfStyle w:val="001000000000"/>
            <w:tcW w:w="2543" w:type="dxa"/>
            <w:tcBorders>
              <w:top w:val="single" w:sz="6" w:space="0" w:color="FFFFFF" w:themeColor="background1"/>
              <w:left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lastRenderedPageBreak/>
              <w:t>Copper</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both"/>
              <w:cnfStyle w:val="000000000000"/>
              <w:rPr>
                <w:sz w:val="22"/>
                <w:szCs w:val="22"/>
                <w:lang w:val="en-US"/>
              </w:rPr>
            </w:pPr>
            <w:r w:rsidRPr="00584FEA">
              <w:rPr>
                <w:bCs/>
                <w:color w:val="auto"/>
                <w:sz w:val="22"/>
                <w:szCs w:val="22"/>
                <w:lang w:val="en-US"/>
              </w:rPr>
              <w:t>An industrial metal (denominated in U.S Dollar)</w:t>
            </w:r>
            <w:r>
              <w:rPr>
                <w:bCs/>
                <w:color w:val="auto"/>
                <w:sz w:val="22"/>
                <w:szCs w:val="22"/>
                <w:lang w:val="en-US"/>
              </w:rPr>
              <w:t>.</w:t>
            </w: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color w:val="auto"/>
                <w:sz w:val="22"/>
                <w:szCs w:val="22"/>
                <w:lang w:val="en-US"/>
              </w:rPr>
            </w:pPr>
            <w:r w:rsidRPr="00584FEA">
              <w:rPr>
                <w:color w:val="auto"/>
                <w:sz w:val="22"/>
                <w:szCs w:val="22"/>
                <w:lang w:val="en-US"/>
              </w:rPr>
              <w:t>LCPCASH</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jc w:val="center"/>
              <w:cnfStyle w:val="000000000000"/>
              <w:rPr>
                <w:bCs/>
                <w:color w:val="auto"/>
                <w:sz w:val="22"/>
                <w:szCs w:val="22"/>
                <w:lang w:val="en-US"/>
              </w:rPr>
            </w:pPr>
            <w:r w:rsidRPr="00584FEA">
              <w:rPr>
                <w:bCs/>
                <w:color w:val="auto"/>
                <w:sz w:val="22"/>
                <w:szCs w:val="22"/>
                <w:lang w:val="en-US"/>
              </w:rPr>
              <w:t>Thomson Reuters DataStream (London Metal Exchange)</w:t>
            </w:r>
          </w:p>
          <w:p w:rsidR="00E56410" w:rsidRPr="00584FEA" w:rsidRDefault="00E56410" w:rsidP="0072391A">
            <w:pPr>
              <w:jc w:val="center"/>
              <w:cnfStyle w:val="000000000000"/>
              <w:rPr>
                <w:bCs/>
                <w:sz w:val="22"/>
                <w:szCs w:val="22"/>
                <w:lang w:val="en-US"/>
              </w:rPr>
            </w:pPr>
          </w:p>
        </w:tc>
      </w:tr>
      <w:tr w:rsidR="00E56410" w:rsidRPr="00584FEA" w:rsidTr="0072391A">
        <w:trPr>
          <w:cnfStyle w:val="000000100000"/>
          <w:trHeight w:val="420"/>
        </w:trPr>
        <w:tc>
          <w:tcPr>
            <w:cnfStyle w:val="001000000000"/>
            <w:tcW w:w="2543" w:type="dxa"/>
            <w:tcBorders>
              <w:top w:val="single" w:sz="12" w:space="0" w:color="auto"/>
              <w:left w:val="single" w:sz="6" w:space="0" w:color="FFFFFF" w:themeColor="background1"/>
              <w:bottom w:val="nil"/>
              <w:right w:val="single" w:sz="6" w:space="0" w:color="FFFFFF" w:themeColor="background1"/>
            </w:tcBorders>
            <w:shd w:val="clear" w:color="auto" w:fill="FFFFFF" w:themeFill="background1"/>
          </w:tcPr>
          <w:p w:rsidR="00E56410" w:rsidRPr="00451D1C" w:rsidRDefault="00E56410" w:rsidP="00E56410">
            <w:pPr>
              <w:pStyle w:val="ListParagraph"/>
              <w:numPr>
                <w:ilvl w:val="0"/>
                <w:numId w:val="19"/>
              </w:numPr>
              <w:rPr>
                <w:b w:val="0"/>
                <w:color w:val="auto"/>
                <w:lang w:val="en-US"/>
              </w:rPr>
            </w:pPr>
            <w:r w:rsidRPr="00451D1C">
              <w:rPr>
                <w:color w:val="auto"/>
                <w:lang w:val="en-US"/>
              </w:rPr>
              <w:t>Bonds</w:t>
            </w:r>
          </w:p>
        </w:tc>
        <w:tc>
          <w:tcPr>
            <w:tcW w:w="3661" w:type="dxa"/>
            <w:tcBorders>
              <w:top w:val="single" w:sz="12" w:space="0" w:color="auto"/>
              <w:left w:val="single" w:sz="6" w:space="0" w:color="FFFFFF" w:themeColor="background1"/>
              <w:bottom w:val="nil"/>
              <w:right w:val="single" w:sz="6" w:space="0" w:color="FFFFFF" w:themeColor="background1"/>
            </w:tcBorders>
            <w:shd w:val="clear" w:color="auto" w:fill="FFFFFF" w:themeFill="background1"/>
          </w:tcPr>
          <w:p w:rsidR="00E56410" w:rsidRPr="00D25A8F" w:rsidRDefault="00E56410" w:rsidP="0072391A">
            <w:pPr>
              <w:jc w:val="center"/>
              <w:cnfStyle w:val="000000100000"/>
              <w:rPr>
                <w:sz w:val="22"/>
                <w:szCs w:val="22"/>
                <w:lang w:val="en-US"/>
              </w:rPr>
            </w:pPr>
          </w:p>
        </w:tc>
        <w:tc>
          <w:tcPr>
            <w:tcW w:w="1701" w:type="dxa"/>
            <w:tcBorders>
              <w:top w:val="single" w:sz="12" w:space="0" w:color="auto"/>
              <w:left w:val="single" w:sz="6" w:space="0" w:color="FFFFFF" w:themeColor="background1"/>
              <w:bottom w:val="nil"/>
              <w:right w:val="single" w:sz="6" w:space="0" w:color="FFFFFF" w:themeColor="background1"/>
            </w:tcBorders>
            <w:shd w:val="clear" w:color="auto" w:fill="FFFFFF" w:themeFill="background1"/>
          </w:tcPr>
          <w:p w:rsidR="00E56410" w:rsidRPr="00D25A8F" w:rsidRDefault="00E56410" w:rsidP="0072391A">
            <w:pPr>
              <w:jc w:val="center"/>
              <w:cnfStyle w:val="000000100000"/>
              <w:rPr>
                <w:sz w:val="22"/>
                <w:szCs w:val="22"/>
                <w:lang w:val="en-US"/>
              </w:rPr>
            </w:pPr>
          </w:p>
        </w:tc>
        <w:tc>
          <w:tcPr>
            <w:tcW w:w="0" w:type="auto"/>
            <w:tcBorders>
              <w:top w:val="single" w:sz="12" w:space="0" w:color="auto"/>
              <w:left w:val="single" w:sz="6" w:space="0" w:color="FFFFFF" w:themeColor="background1"/>
              <w:bottom w:val="nil"/>
              <w:right w:val="single" w:sz="6" w:space="0" w:color="FFFFFF" w:themeColor="background1"/>
            </w:tcBorders>
            <w:shd w:val="clear" w:color="auto" w:fill="FFFFFF" w:themeFill="background1"/>
          </w:tcPr>
          <w:p w:rsidR="00E56410" w:rsidRPr="00D25A8F" w:rsidRDefault="00E56410" w:rsidP="0072391A">
            <w:pPr>
              <w:jc w:val="center"/>
              <w:cnfStyle w:val="000000100000"/>
              <w:rPr>
                <w:bCs/>
                <w:sz w:val="22"/>
                <w:szCs w:val="22"/>
                <w:lang w:val="en-US"/>
              </w:rPr>
            </w:pPr>
          </w:p>
        </w:tc>
      </w:tr>
      <w:tr w:rsidR="00E56410" w:rsidRPr="00451D1C" w:rsidTr="0072391A">
        <w:trPr>
          <w:trHeight w:val="420"/>
        </w:trPr>
        <w:tc>
          <w:tcPr>
            <w:cnfStyle w:val="001000000000"/>
            <w:tcW w:w="2543" w:type="dxa"/>
            <w:tcBorders>
              <w:top w:val="single" w:sz="12" w:space="0" w:color="auto"/>
              <w:left w:val="single" w:sz="6" w:space="0" w:color="FFFFFF" w:themeColor="background1"/>
              <w:bottom w:val="single" w:sz="4" w:space="0" w:color="FFFFFF" w:themeColor="background1"/>
              <w:right w:val="single" w:sz="6" w:space="0" w:color="FFFFFF" w:themeColor="background1"/>
            </w:tcBorders>
            <w:shd w:val="clear" w:color="auto" w:fill="FFFFFF" w:themeFill="background1"/>
          </w:tcPr>
          <w:p w:rsidR="00E56410" w:rsidRPr="00D25A8F" w:rsidRDefault="00E56410" w:rsidP="0072391A">
            <w:pPr>
              <w:rPr>
                <w:b w:val="0"/>
                <w:color w:val="auto"/>
                <w:sz w:val="22"/>
                <w:szCs w:val="22"/>
                <w:lang w:val="en-US"/>
              </w:rPr>
            </w:pPr>
            <w:r w:rsidRPr="00D25A8F">
              <w:rPr>
                <w:b w:val="0"/>
                <w:color w:val="auto"/>
                <w:sz w:val="22"/>
                <w:szCs w:val="22"/>
                <w:lang w:val="en-US"/>
              </w:rPr>
              <w:t xml:space="preserve">U.S </w:t>
            </w:r>
            <w:r>
              <w:rPr>
                <w:b w:val="0"/>
                <w:color w:val="auto"/>
                <w:sz w:val="22"/>
                <w:szCs w:val="22"/>
                <w:lang w:val="en-US"/>
              </w:rPr>
              <w:t>Government bonds</w:t>
            </w:r>
          </w:p>
        </w:tc>
        <w:tc>
          <w:tcPr>
            <w:tcW w:w="3661" w:type="dxa"/>
            <w:tcBorders>
              <w:top w:val="single" w:sz="12" w:space="0" w:color="auto"/>
              <w:left w:val="single" w:sz="6" w:space="0" w:color="FFFFFF" w:themeColor="background1"/>
              <w:bottom w:val="single" w:sz="4" w:space="0" w:color="FFFFFF" w:themeColor="background1"/>
              <w:right w:val="single" w:sz="6" w:space="0" w:color="FFFFFF" w:themeColor="background1"/>
            </w:tcBorders>
            <w:shd w:val="clear" w:color="auto" w:fill="FFFFFF" w:themeFill="background1"/>
          </w:tcPr>
          <w:p w:rsidR="00E56410" w:rsidRDefault="00E56410" w:rsidP="0072391A">
            <w:pPr>
              <w:jc w:val="both"/>
              <w:cnfStyle w:val="000000000000"/>
              <w:rPr>
                <w:sz w:val="22"/>
                <w:szCs w:val="22"/>
                <w:lang w:val="en-US"/>
              </w:rPr>
            </w:pPr>
            <w:r w:rsidRPr="00D25A8F">
              <w:rPr>
                <w:bCs/>
                <w:color w:val="auto"/>
                <w:sz w:val="22"/>
                <w:szCs w:val="22"/>
                <w:lang w:val="en-US"/>
              </w:rPr>
              <w:t>Government bonds of the U.S, the yields for the 10 year to maturity were used</w:t>
            </w:r>
            <w:r>
              <w:rPr>
                <w:bCs/>
                <w:color w:val="auto"/>
                <w:sz w:val="22"/>
                <w:szCs w:val="22"/>
                <w:lang w:val="en-US"/>
              </w:rPr>
              <w:t>.</w:t>
            </w:r>
            <w:r w:rsidRPr="00D25A8F">
              <w:rPr>
                <w:sz w:val="22"/>
                <w:szCs w:val="22"/>
                <w:lang w:val="en-US"/>
              </w:rPr>
              <w:t xml:space="preserve"> </w:t>
            </w:r>
          </w:p>
          <w:p w:rsidR="00E56410" w:rsidRPr="00D25A8F" w:rsidRDefault="00E56410" w:rsidP="0072391A">
            <w:pPr>
              <w:jc w:val="both"/>
              <w:cnfStyle w:val="000000000000"/>
              <w:rPr>
                <w:sz w:val="22"/>
                <w:szCs w:val="22"/>
                <w:lang w:val="en-US"/>
              </w:rPr>
            </w:pPr>
          </w:p>
        </w:tc>
        <w:tc>
          <w:tcPr>
            <w:tcW w:w="1701" w:type="dxa"/>
            <w:tcBorders>
              <w:top w:val="single" w:sz="12" w:space="0" w:color="auto"/>
              <w:left w:val="single" w:sz="6" w:space="0" w:color="FFFFFF" w:themeColor="background1"/>
              <w:bottom w:val="single" w:sz="4" w:space="0" w:color="FFFFFF" w:themeColor="background1"/>
              <w:right w:val="single" w:sz="6" w:space="0" w:color="FFFFFF" w:themeColor="background1"/>
            </w:tcBorders>
            <w:shd w:val="clear" w:color="auto" w:fill="FFFFFF" w:themeFill="background1"/>
          </w:tcPr>
          <w:p w:rsidR="00E56410" w:rsidRPr="00D25A8F" w:rsidRDefault="00E56410" w:rsidP="0072391A">
            <w:pPr>
              <w:jc w:val="center"/>
              <w:cnfStyle w:val="000000000000"/>
              <w:rPr>
                <w:bCs/>
                <w:color w:val="auto"/>
                <w:sz w:val="22"/>
                <w:szCs w:val="22"/>
                <w:lang w:val="en-US"/>
              </w:rPr>
            </w:pPr>
            <w:r>
              <w:rPr>
                <w:bCs/>
                <w:color w:val="auto"/>
                <w:sz w:val="22"/>
                <w:szCs w:val="22"/>
                <w:lang w:val="en-US"/>
              </w:rPr>
              <w:t>G</w:t>
            </w:r>
            <w:r w:rsidRPr="00D25A8F">
              <w:rPr>
                <w:bCs/>
                <w:color w:val="auto"/>
                <w:sz w:val="22"/>
                <w:szCs w:val="22"/>
                <w:lang w:val="en-US"/>
              </w:rPr>
              <w:t xml:space="preserve">T10 </w:t>
            </w:r>
            <w:r>
              <w:rPr>
                <w:bCs/>
                <w:color w:val="auto"/>
                <w:sz w:val="22"/>
                <w:szCs w:val="22"/>
                <w:lang w:val="en-US"/>
              </w:rPr>
              <w:t>GOVT</w:t>
            </w:r>
          </w:p>
        </w:tc>
        <w:tc>
          <w:tcPr>
            <w:tcW w:w="0" w:type="auto"/>
            <w:tcBorders>
              <w:top w:val="single" w:sz="12" w:space="0" w:color="auto"/>
              <w:left w:val="single" w:sz="6" w:space="0" w:color="FFFFFF" w:themeColor="background1"/>
              <w:bottom w:val="single" w:sz="4" w:space="0" w:color="FFFFFF" w:themeColor="background1"/>
              <w:right w:val="single" w:sz="6" w:space="0" w:color="FFFFFF" w:themeColor="background1"/>
            </w:tcBorders>
            <w:shd w:val="clear" w:color="auto" w:fill="FFFFFF" w:themeFill="background1"/>
          </w:tcPr>
          <w:p w:rsidR="00E56410" w:rsidRPr="00D25A8F" w:rsidRDefault="00E56410" w:rsidP="0072391A">
            <w:pPr>
              <w:jc w:val="center"/>
              <w:cnfStyle w:val="000000000000"/>
              <w:rPr>
                <w:sz w:val="22"/>
                <w:szCs w:val="22"/>
                <w:lang w:val="en-US"/>
              </w:rPr>
            </w:pPr>
            <w:r w:rsidRPr="00D25A8F">
              <w:rPr>
                <w:bCs/>
                <w:color w:val="auto"/>
                <w:sz w:val="22"/>
                <w:szCs w:val="22"/>
                <w:lang w:val="en-US"/>
              </w:rPr>
              <w:t>Bloomberg</w:t>
            </w:r>
            <w:r>
              <w:rPr>
                <w:bCs/>
                <w:color w:val="auto"/>
                <w:sz w:val="22"/>
                <w:szCs w:val="22"/>
                <w:lang w:val="en-US"/>
              </w:rPr>
              <w:t xml:space="preserve"> Database</w:t>
            </w:r>
          </w:p>
        </w:tc>
      </w:tr>
      <w:tr w:rsidR="00E56410" w:rsidRPr="00584FEA" w:rsidTr="0072391A">
        <w:trPr>
          <w:cnfStyle w:val="000000100000"/>
          <w:trHeight w:val="420"/>
        </w:trPr>
        <w:tc>
          <w:tcPr>
            <w:cnfStyle w:val="001000000000"/>
            <w:tcW w:w="2543" w:type="dxa"/>
            <w:tcBorders>
              <w:top w:val="single" w:sz="4" w:space="0" w:color="FFFFFF" w:themeColor="background1"/>
              <w:left w:val="single" w:sz="6" w:space="0" w:color="FFFFFF" w:themeColor="background1"/>
              <w:bottom w:val="nil"/>
              <w:right w:val="single" w:sz="6" w:space="0" w:color="FFFFFF" w:themeColor="background1"/>
            </w:tcBorders>
            <w:shd w:val="clear" w:color="auto" w:fill="FFFFFF" w:themeFill="background1"/>
          </w:tcPr>
          <w:p w:rsidR="00E56410" w:rsidRPr="00D25A8F" w:rsidRDefault="00E56410" w:rsidP="0072391A">
            <w:pPr>
              <w:rPr>
                <w:b w:val="0"/>
                <w:color w:val="auto"/>
                <w:sz w:val="22"/>
                <w:szCs w:val="22"/>
                <w:lang w:val="en-US"/>
              </w:rPr>
            </w:pPr>
            <w:r w:rsidRPr="00D25A8F">
              <w:rPr>
                <w:b w:val="0"/>
                <w:color w:val="auto"/>
                <w:sz w:val="22"/>
                <w:szCs w:val="22"/>
                <w:lang w:val="en-US"/>
              </w:rPr>
              <w:t>German Government bonds</w:t>
            </w:r>
          </w:p>
        </w:tc>
        <w:tc>
          <w:tcPr>
            <w:tcW w:w="3661" w:type="dxa"/>
            <w:tcBorders>
              <w:top w:val="single" w:sz="4" w:space="0" w:color="FFFFFF" w:themeColor="background1"/>
              <w:left w:val="single" w:sz="6" w:space="0" w:color="FFFFFF" w:themeColor="background1"/>
              <w:bottom w:val="nil"/>
              <w:right w:val="single" w:sz="6" w:space="0" w:color="FFFFFF" w:themeColor="background1"/>
            </w:tcBorders>
            <w:shd w:val="clear" w:color="auto" w:fill="FFFFFF" w:themeFill="background1"/>
          </w:tcPr>
          <w:p w:rsidR="00E56410" w:rsidRPr="00D25A8F" w:rsidRDefault="00E56410" w:rsidP="0072391A">
            <w:pPr>
              <w:jc w:val="both"/>
              <w:cnfStyle w:val="000000100000"/>
              <w:rPr>
                <w:sz w:val="22"/>
                <w:szCs w:val="22"/>
                <w:lang w:val="en-US"/>
              </w:rPr>
            </w:pPr>
            <w:r w:rsidRPr="00D25A8F">
              <w:rPr>
                <w:bCs/>
                <w:color w:val="auto"/>
                <w:sz w:val="22"/>
                <w:szCs w:val="22"/>
                <w:lang w:val="en-US"/>
              </w:rPr>
              <w:t>Government bonds of Germany, the yields for the 10 year to maturity were used</w:t>
            </w:r>
            <w:r>
              <w:rPr>
                <w:bCs/>
                <w:color w:val="auto"/>
                <w:sz w:val="22"/>
                <w:szCs w:val="22"/>
                <w:lang w:val="en-US"/>
              </w:rPr>
              <w:t>.</w:t>
            </w:r>
          </w:p>
        </w:tc>
        <w:tc>
          <w:tcPr>
            <w:tcW w:w="1701" w:type="dxa"/>
            <w:tcBorders>
              <w:top w:val="single" w:sz="4" w:space="0" w:color="FFFFFF" w:themeColor="background1"/>
              <w:left w:val="single" w:sz="6" w:space="0" w:color="FFFFFF" w:themeColor="background1"/>
              <w:bottom w:val="nil"/>
              <w:right w:val="single" w:sz="6" w:space="0" w:color="FFFFFF" w:themeColor="background1"/>
            </w:tcBorders>
            <w:shd w:val="clear" w:color="auto" w:fill="FFFFFF" w:themeFill="background1"/>
          </w:tcPr>
          <w:p w:rsidR="00E56410" w:rsidRPr="00D25A8F" w:rsidRDefault="00E56410" w:rsidP="0072391A">
            <w:pPr>
              <w:jc w:val="center"/>
              <w:cnfStyle w:val="000000100000"/>
              <w:rPr>
                <w:bCs/>
                <w:color w:val="auto"/>
                <w:sz w:val="22"/>
                <w:szCs w:val="22"/>
                <w:lang w:val="en-US"/>
              </w:rPr>
            </w:pPr>
            <w:r>
              <w:rPr>
                <w:bCs/>
                <w:color w:val="auto"/>
                <w:sz w:val="22"/>
                <w:szCs w:val="22"/>
                <w:lang w:val="en-US"/>
              </w:rPr>
              <w:t>G</w:t>
            </w:r>
            <w:r w:rsidRPr="00D25A8F">
              <w:rPr>
                <w:bCs/>
                <w:color w:val="auto"/>
                <w:sz w:val="22"/>
                <w:szCs w:val="22"/>
                <w:lang w:val="en-US"/>
              </w:rPr>
              <w:t>TDEM 10Y</w:t>
            </w:r>
          </w:p>
        </w:tc>
        <w:tc>
          <w:tcPr>
            <w:tcW w:w="0" w:type="auto"/>
            <w:tcBorders>
              <w:top w:val="single" w:sz="4" w:space="0" w:color="FFFFFF" w:themeColor="background1"/>
              <w:left w:val="single" w:sz="6" w:space="0" w:color="FFFFFF" w:themeColor="background1"/>
              <w:bottom w:val="nil"/>
              <w:right w:val="single" w:sz="6" w:space="0" w:color="FFFFFF" w:themeColor="background1"/>
            </w:tcBorders>
            <w:shd w:val="clear" w:color="auto" w:fill="FFFFFF" w:themeFill="background1"/>
          </w:tcPr>
          <w:p w:rsidR="00E56410" w:rsidRPr="00D25A8F" w:rsidRDefault="00E56410" w:rsidP="0072391A">
            <w:pPr>
              <w:jc w:val="center"/>
              <w:cnfStyle w:val="000000100000"/>
              <w:rPr>
                <w:sz w:val="22"/>
                <w:szCs w:val="22"/>
                <w:lang w:val="en-US"/>
              </w:rPr>
            </w:pPr>
            <w:r w:rsidRPr="00D25A8F">
              <w:rPr>
                <w:bCs/>
                <w:color w:val="auto"/>
                <w:sz w:val="22"/>
                <w:szCs w:val="22"/>
                <w:lang w:val="en-US"/>
              </w:rPr>
              <w:t>Bloomberg</w:t>
            </w:r>
            <w:r>
              <w:rPr>
                <w:bCs/>
                <w:color w:val="auto"/>
                <w:sz w:val="22"/>
                <w:szCs w:val="22"/>
                <w:lang w:val="en-US"/>
              </w:rPr>
              <w:t xml:space="preserve"> Database</w:t>
            </w:r>
          </w:p>
        </w:tc>
      </w:tr>
      <w:tr w:rsidR="00E56410" w:rsidRPr="00584FEA" w:rsidTr="0072391A">
        <w:trPr>
          <w:trHeight w:val="420"/>
        </w:trPr>
        <w:tc>
          <w:tcPr>
            <w:cnfStyle w:val="001000000000"/>
            <w:tcW w:w="2543" w:type="dxa"/>
            <w:tcBorders>
              <w:top w:val="single" w:sz="12" w:space="0" w:color="auto"/>
              <w:left w:val="single" w:sz="6" w:space="0" w:color="FFFFFF" w:themeColor="background1"/>
              <w:bottom w:val="nil"/>
              <w:right w:val="single" w:sz="6" w:space="0" w:color="FFFFFF" w:themeColor="background1"/>
            </w:tcBorders>
            <w:shd w:val="clear" w:color="auto" w:fill="FFFFFF" w:themeFill="background1"/>
          </w:tcPr>
          <w:p w:rsidR="00E56410" w:rsidRPr="000457F0" w:rsidRDefault="00E56410" w:rsidP="00E56410">
            <w:pPr>
              <w:pStyle w:val="ListParagraph"/>
              <w:numPr>
                <w:ilvl w:val="0"/>
                <w:numId w:val="19"/>
              </w:numPr>
              <w:rPr>
                <w:b w:val="0"/>
                <w:bCs w:val="0"/>
                <w:color w:val="auto"/>
                <w:lang w:val="en-US"/>
              </w:rPr>
            </w:pPr>
            <w:r w:rsidRPr="000457F0">
              <w:rPr>
                <w:color w:val="auto"/>
                <w:lang w:val="en-US"/>
              </w:rPr>
              <w:t>Currencies</w:t>
            </w:r>
          </w:p>
        </w:tc>
        <w:tc>
          <w:tcPr>
            <w:tcW w:w="3661" w:type="dxa"/>
            <w:tcBorders>
              <w:top w:val="single" w:sz="12" w:space="0" w:color="auto"/>
              <w:left w:val="single" w:sz="6" w:space="0" w:color="FFFFFF" w:themeColor="background1"/>
              <w:bottom w:val="nil"/>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en-US"/>
              </w:rPr>
            </w:pPr>
          </w:p>
        </w:tc>
        <w:tc>
          <w:tcPr>
            <w:tcW w:w="1701" w:type="dxa"/>
            <w:tcBorders>
              <w:top w:val="single" w:sz="12" w:space="0" w:color="auto"/>
              <w:left w:val="single" w:sz="6" w:space="0" w:color="FFFFFF" w:themeColor="background1"/>
              <w:bottom w:val="nil"/>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en-US"/>
              </w:rPr>
            </w:pPr>
          </w:p>
        </w:tc>
        <w:tc>
          <w:tcPr>
            <w:tcW w:w="0" w:type="auto"/>
            <w:tcBorders>
              <w:top w:val="single" w:sz="12" w:space="0" w:color="auto"/>
              <w:left w:val="single" w:sz="6" w:space="0" w:color="FFFFFF" w:themeColor="background1"/>
              <w:bottom w:val="nil"/>
              <w:right w:val="single" w:sz="6" w:space="0" w:color="FFFFFF" w:themeColor="background1"/>
            </w:tcBorders>
            <w:shd w:val="clear" w:color="auto" w:fill="FFFFFF" w:themeFill="background1"/>
          </w:tcPr>
          <w:p w:rsidR="00E56410" w:rsidRPr="00584FEA" w:rsidRDefault="00E56410" w:rsidP="0072391A">
            <w:pPr>
              <w:jc w:val="center"/>
              <w:cnfStyle w:val="000000000000"/>
              <w:rPr>
                <w:bCs/>
                <w:sz w:val="22"/>
                <w:szCs w:val="22"/>
                <w:lang w:val="en-US"/>
              </w:rPr>
            </w:pPr>
          </w:p>
        </w:tc>
      </w:tr>
      <w:tr w:rsidR="00E56410" w:rsidRPr="00584FEA" w:rsidTr="0072391A">
        <w:trPr>
          <w:cnfStyle w:val="000000100000"/>
        </w:trPr>
        <w:tc>
          <w:tcPr>
            <w:cnfStyle w:val="001000000000"/>
            <w:tcW w:w="2543" w:type="dxa"/>
            <w:tcBorders>
              <w:top w:val="single" w:sz="12" w:space="0" w:color="auto"/>
              <w:left w:val="single" w:sz="6" w:space="0" w:color="FFFFFF" w:themeColor="background1"/>
              <w:bottom w:val="single" w:sz="12"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Swiss Franc to U.S Dollar</w:t>
            </w:r>
          </w:p>
        </w:tc>
        <w:tc>
          <w:tcPr>
            <w:tcW w:w="3661" w:type="dxa"/>
            <w:tcBorders>
              <w:top w:val="single" w:sz="12" w:space="0" w:color="auto"/>
              <w:left w:val="single" w:sz="6" w:space="0" w:color="FFFFFF" w:themeColor="background1"/>
              <w:bottom w:val="single" w:sz="12" w:space="0" w:color="FFFFFF" w:themeColor="background1"/>
              <w:right w:val="single" w:sz="6" w:space="0" w:color="FFFFFF" w:themeColor="background1"/>
            </w:tcBorders>
            <w:shd w:val="clear" w:color="auto" w:fill="FFFFFF" w:themeFill="background1"/>
          </w:tcPr>
          <w:p w:rsidR="00E56410" w:rsidRDefault="00E56410" w:rsidP="0072391A">
            <w:pPr>
              <w:jc w:val="both"/>
              <w:cnfStyle w:val="000000100000"/>
              <w:rPr>
                <w:bCs/>
                <w:color w:val="auto"/>
                <w:sz w:val="22"/>
                <w:szCs w:val="22"/>
                <w:lang w:val="en-US"/>
              </w:rPr>
            </w:pPr>
            <w:r w:rsidRPr="00584FEA">
              <w:rPr>
                <w:bCs/>
                <w:color w:val="auto"/>
                <w:sz w:val="22"/>
                <w:szCs w:val="22"/>
                <w:lang w:val="en-US"/>
              </w:rPr>
              <w:t>The exchange rate that indicates how much dollars you buy with 1 Swiss franc</w:t>
            </w:r>
            <w:r>
              <w:rPr>
                <w:bCs/>
                <w:color w:val="auto"/>
                <w:sz w:val="22"/>
                <w:szCs w:val="22"/>
                <w:lang w:val="en-US"/>
              </w:rPr>
              <w:t>.</w:t>
            </w:r>
          </w:p>
          <w:p w:rsidR="00E56410" w:rsidRPr="00584FEA" w:rsidRDefault="00E56410" w:rsidP="0072391A">
            <w:pPr>
              <w:jc w:val="both"/>
              <w:cnfStyle w:val="000000100000"/>
              <w:rPr>
                <w:bCs/>
                <w:color w:val="auto"/>
                <w:sz w:val="22"/>
                <w:szCs w:val="22"/>
                <w:lang w:val="en-US"/>
              </w:rPr>
            </w:pPr>
          </w:p>
        </w:tc>
        <w:tc>
          <w:tcPr>
            <w:tcW w:w="1701" w:type="dxa"/>
            <w:tcBorders>
              <w:top w:val="single" w:sz="12" w:space="0" w:color="auto"/>
              <w:left w:val="single" w:sz="6" w:space="0" w:color="FFFFFF" w:themeColor="background1"/>
              <w:bottom w:val="single" w:sz="12"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r w:rsidRPr="00584FEA">
              <w:rPr>
                <w:color w:val="auto"/>
                <w:sz w:val="22"/>
                <w:szCs w:val="22"/>
                <w:lang w:val="en-US"/>
              </w:rPr>
              <w:t>SWISSF$</w:t>
            </w:r>
          </w:p>
        </w:tc>
        <w:tc>
          <w:tcPr>
            <w:tcW w:w="0" w:type="auto"/>
            <w:tcBorders>
              <w:top w:val="single" w:sz="12" w:space="0" w:color="auto"/>
              <w:left w:val="single" w:sz="6" w:space="0" w:color="FFFFFF" w:themeColor="background1"/>
              <w:bottom w:val="single" w:sz="12"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r w:rsidRPr="00584FEA">
              <w:rPr>
                <w:bCs/>
                <w:color w:val="auto"/>
                <w:sz w:val="22"/>
                <w:szCs w:val="22"/>
                <w:lang w:val="en-US"/>
              </w:rPr>
              <w:t>WM/Reuters</w:t>
            </w:r>
          </w:p>
        </w:tc>
      </w:tr>
      <w:tr w:rsidR="00E56410" w:rsidRPr="00584FEA" w:rsidTr="0072391A">
        <w:tc>
          <w:tcPr>
            <w:cnfStyle w:val="001000000000"/>
            <w:tcW w:w="2543"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sz w:val="22"/>
                <w:szCs w:val="22"/>
                <w:lang w:val="en-US"/>
              </w:rPr>
            </w:pPr>
            <w:r w:rsidRPr="00584FEA">
              <w:rPr>
                <w:b w:val="0"/>
                <w:color w:val="auto"/>
                <w:sz w:val="22"/>
                <w:szCs w:val="22"/>
                <w:lang w:val="en-US"/>
              </w:rPr>
              <w:t>Euro to U.S Dollar</w:t>
            </w:r>
          </w:p>
        </w:tc>
        <w:tc>
          <w:tcPr>
            <w:tcW w:w="3661"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jc w:val="both"/>
              <w:cnfStyle w:val="000000000000"/>
              <w:rPr>
                <w:bCs/>
                <w:color w:val="auto"/>
                <w:sz w:val="22"/>
                <w:szCs w:val="22"/>
                <w:lang w:val="en-US"/>
              </w:rPr>
            </w:pPr>
            <w:r w:rsidRPr="00584FEA">
              <w:rPr>
                <w:bCs/>
                <w:color w:val="auto"/>
                <w:sz w:val="22"/>
                <w:szCs w:val="22"/>
                <w:lang w:val="en-US"/>
              </w:rPr>
              <w:t>The exchange rate that indicates how much dollars you buy with 1 Euro</w:t>
            </w:r>
            <w:r>
              <w:rPr>
                <w:bCs/>
                <w:color w:val="auto"/>
                <w:sz w:val="22"/>
                <w:szCs w:val="22"/>
                <w:lang w:val="en-US"/>
              </w:rPr>
              <w:t>.</w:t>
            </w:r>
          </w:p>
          <w:p w:rsidR="00E56410" w:rsidRPr="00584FEA" w:rsidRDefault="00E56410" w:rsidP="0072391A">
            <w:pPr>
              <w:jc w:val="both"/>
              <w:cnfStyle w:val="000000000000"/>
              <w:rPr>
                <w:bCs/>
                <w:color w:val="auto"/>
                <w:sz w:val="22"/>
                <w:szCs w:val="22"/>
                <w:lang w:val="en-US"/>
              </w:rPr>
            </w:pPr>
          </w:p>
        </w:tc>
        <w:tc>
          <w:tcPr>
            <w:tcW w:w="1701"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color w:val="auto"/>
                <w:sz w:val="22"/>
                <w:szCs w:val="22"/>
                <w:lang w:val="en-US"/>
              </w:rPr>
            </w:pPr>
            <w:r w:rsidRPr="00584FEA">
              <w:rPr>
                <w:color w:val="auto"/>
                <w:sz w:val="22"/>
                <w:szCs w:val="22"/>
                <w:lang w:val="en-US"/>
              </w:rPr>
              <w:t>EUDOLLR</w:t>
            </w:r>
          </w:p>
        </w:tc>
        <w:tc>
          <w:tcPr>
            <w:tcW w:w="0" w:type="auto"/>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bCs/>
                <w:color w:val="auto"/>
                <w:sz w:val="22"/>
                <w:szCs w:val="22"/>
                <w:lang w:val="en-US"/>
              </w:rPr>
            </w:pPr>
            <w:r w:rsidRPr="00584FEA">
              <w:rPr>
                <w:bCs/>
                <w:color w:val="auto"/>
                <w:sz w:val="22"/>
                <w:szCs w:val="22"/>
                <w:lang w:val="en-US"/>
              </w:rPr>
              <w:t>WM/Reuters</w:t>
            </w:r>
          </w:p>
        </w:tc>
      </w:tr>
      <w:tr w:rsidR="00E56410" w:rsidRPr="00584FEA" w:rsidTr="0072391A">
        <w:trPr>
          <w:cnfStyle w:val="000000100000"/>
          <w:trHeight w:val="574"/>
        </w:trPr>
        <w:tc>
          <w:tcPr>
            <w:cnfStyle w:val="001000000000"/>
            <w:tcW w:w="2543" w:type="dxa"/>
            <w:tcBorders>
              <w:top w:val="single" w:sz="6" w:space="0" w:color="FFFFFF" w:themeColor="background1"/>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rPr>
                <w:sz w:val="22"/>
                <w:szCs w:val="22"/>
                <w:lang w:val="en-US"/>
              </w:rPr>
            </w:pPr>
            <w:r w:rsidRPr="00584FEA">
              <w:rPr>
                <w:b w:val="0"/>
                <w:color w:val="auto"/>
                <w:sz w:val="22"/>
                <w:szCs w:val="22"/>
                <w:lang w:val="en-US"/>
              </w:rPr>
              <w:t>Australian Dollar to U.S Dollar</w:t>
            </w:r>
          </w:p>
        </w:tc>
        <w:tc>
          <w:tcPr>
            <w:tcW w:w="3661" w:type="dxa"/>
            <w:tcBorders>
              <w:top w:val="single" w:sz="6" w:space="0" w:color="FFFFFF" w:themeColor="background1"/>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both"/>
              <w:cnfStyle w:val="000000100000"/>
              <w:rPr>
                <w:bCs/>
                <w:color w:val="auto"/>
                <w:sz w:val="22"/>
                <w:szCs w:val="22"/>
                <w:lang w:val="en-US"/>
              </w:rPr>
            </w:pPr>
            <w:r w:rsidRPr="00584FEA">
              <w:rPr>
                <w:bCs/>
                <w:color w:val="auto"/>
                <w:sz w:val="22"/>
                <w:szCs w:val="22"/>
                <w:lang w:val="en-US"/>
              </w:rPr>
              <w:t>The exchange rate that indicates how much dollars you buy with 1 Australian dollar</w:t>
            </w:r>
            <w:r>
              <w:rPr>
                <w:bCs/>
                <w:color w:val="auto"/>
                <w:sz w:val="22"/>
                <w:szCs w:val="22"/>
                <w:lang w:val="en-US"/>
              </w:rPr>
              <w:t>.</w:t>
            </w:r>
          </w:p>
        </w:tc>
        <w:tc>
          <w:tcPr>
            <w:tcW w:w="1701" w:type="dxa"/>
            <w:tcBorders>
              <w:top w:val="single" w:sz="6" w:space="0" w:color="FFFFFF" w:themeColor="background1"/>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r w:rsidRPr="00584FEA">
              <w:rPr>
                <w:color w:val="auto"/>
                <w:sz w:val="22"/>
                <w:szCs w:val="22"/>
                <w:lang w:val="en-US"/>
              </w:rPr>
              <w:t>AUSTDOI</w:t>
            </w:r>
          </w:p>
        </w:tc>
        <w:tc>
          <w:tcPr>
            <w:tcW w:w="0" w:type="auto"/>
            <w:tcBorders>
              <w:top w:val="single" w:sz="6" w:space="0" w:color="FFFFFF" w:themeColor="background1"/>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r w:rsidRPr="00584FEA">
              <w:rPr>
                <w:bCs/>
                <w:color w:val="auto"/>
                <w:sz w:val="22"/>
                <w:szCs w:val="22"/>
                <w:lang w:val="en-US"/>
              </w:rPr>
              <w:t>WM/Reuters</w:t>
            </w:r>
          </w:p>
        </w:tc>
      </w:tr>
      <w:tr w:rsidR="00E56410" w:rsidRPr="00584FEA" w:rsidTr="0072391A">
        <w:tc>
          <w:tcPr>
            <w:cnfStyle w:val="001000000000"/>
            <w:tcW w:w="2543"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E56410">
            <w:pPr>
              <w:pStyle w:val="ListParagraph"/>
              <w:numPr>
                <w:ilvl w:val="0"/>
                <w:numId w:val="19"/>
              </w:numPr>
              <w:rPr>
                <w:b w:val="0"/>
                <w:color w:val="auto"/>
                <w:lang w:val="en-US"/>
              </w:rPr>
            </w:pPr>
            <w:r w:rsidRPr="00584FEA">
              <w:rPr>
                <w:color w:val="auto"/>
                <w:lang w:val="en-US"/>
              </w:rPr>
              <w:t>Stock Market Indices</w:t>
            </w:r>
          </w:p>
        </w:tc>
        <w:tc>
          <w:tcPr>
            <w:tcW w:w="3661"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en-US"/>
              </w:rPr>
            </w:pPr>
          </w:p>
        </w:tc>
        <w:tc>
          <w:tcPr>
            <w:tcW w:w="1701" w:type="dxa"/>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en-US"/>
              </w:rPr>
            </w:pPr>
          </w:p>
        </w:tc>
        <w:tc>
          <w:tcPr>
            <w:tcW w:w="0" w:type="auto"/>
            <w:tcBorders>
              <w:top w:val="single" w:sz="12" w:space="0" w:color="auto"/>
              <w:left w:val="single" w:sz="6" w:space="0" w:color="FFFFFF" w:themeColor="background1"/>
              <w:bottom w:val="single" w:sz="12" w:space="0" w:color="auto"/>
              <w:right w:val="single" w:sz="6" w:space="0" w:color="FFFFFF" w:themeColor="background1"/>
            </w:tcBorders>
            <w:shd w:val="clear" w:color="auto" w:fill="FFFFFF" w:themeFill="background1"/>
          </w:tcPr>
          <w:p w:rsidR="00E56410" w:rsidRPr="00584FEA" w:rsidRDefault="00E56410" w:rsidP="0072391A">
            <w:pPr>
              <w:jc w:val="center"/>
              <w:cnfStyle w:val="000000000000"/>
              <w:rPr>
                <w:bCs/>
                <w:sz w:val="22"/>
                <w:szCs w:val="22"/>
                <w:lang w:val="en-US"/>
              </w:rPr>
            </w:pPr>
          </w:p>
        </w:tc>
      </w:tr>
      <w:tr w:rsidR="00E56410" w:rsidRPr="009A092A" w:rsidTr="0072391A">
        <w:trPr>
          <w:cnfStyle w:val="000000100000"/>
          <w:trHeight w:val="369"/>
        </w:trPr>
        <w:tc>
          <w:tcPr>
            <w:cnfStyle w:val="001000000000"/>
            <w:tcW w:w="2543" w:type="dxa"/>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DAX</w:t>
            </w:r>
          </w:p>
        </w:tc>
        <w:tc>
          <w:tcPr>
            <w:tcW w:w="3661" w:type="dxa"/>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jc w:val="both"/>
              <w:cnfStyle w:val="000000100000"/>
              <w:rPr>
                <w:bCs/>
                <w:color w:val="auto"/>
                <w:sz w:val="22"/>
                <w:szCs w:val="22"/>
                <w:lang w:val="en-US"/>
              </w:rPr>
            </w:pPr>
            <w:r w:rsidRPr="00584FEA">
              <w:rPr>
                <w:bCs/>
                <w:color w:val="auto"/>
                <w:sz w:val="22"/>
                <w:szCs w:val="22"/>
                <w:lang w:val="en-US"/>
              </w:rPr>
              <w:t>A stock market index consisting of the 30 major </w:t>
            </w:r>
            <w:hyperlink r:id="rId41" w:tooltip="Germany" w:history="1">
              <w:r w:rsidRPr="00584FEA">
                <w:rPr>
                  <w:bCs/>
                  <w:color w:val="auto"/>
                  <w:sz w:val="22"/>
                  <w:szCs w:val="22"/>
                  <w:lang w:val="en-US"/>
                </w:rPr>
                <w:t>German</w:t>
              </w:r>
            </w:hyperlink>
            <w:r w:rsidRPr="00584FEA">
              <w:rPr>
                <w:bCs/>
                <w:color w:val="auto"/>
                <w:sz w:val="22"/>
                <w:szCs w:val="22"/>
                <w:lang w:val="en-US"/>
              </w:rPr>
              <w:t> companies trading on the </w:t>
            </w:r>
            <w:hyperlink r:id="rId42" w:tooltip="Frankfurt Stock Exchange" w:history="1">
              <w:r w:rsidRPr="00584FEA">
                <w:rPr>
                  <w:bCs/>
                  <w:color w:val="auto"/>
                  <w:sz w:val="22"/>
                  <w:szCs w:val="22"/>
                  <w:lang w:val="en-US"/>
                </w:rPr>
                <w:t>Frankfurt Stock Exchange</w:t>
              </w:r>
            </w:hyperlink>
            <w:r w:rsidRPr="00584FEA">
              <w:rPr>
                <w:bCs/>
                <w:color w:val="auto"/>
                <w:sz w:val="22"/>
                <w:szCs w:val="22"/>
                <w:lang w:val="en-US"/>
              </w:rPr>
              <w:t xml:space="preserve"> (large cap denominated in Euro)</w:t>
            </w:r>
            <w:r>
              <w:rPr>
                <w:bCs/>
                <w:color w:val="auto"/>
                <w:sz w:val="22"/>
                <w:szCs w:val="22"/>
                <w:lang w:val="en-US"/>
              </w:rPr>
              <w:t>.</w:t>
            </w:r>
          </w:p>
          <w:p w:rsidR="00E56410" w:rsidRPr="00584FEA" w:rsidRDefault="00E56410" w:rsidP="0072391A">
            <w:pPr>
              <w:jc w:val="both"/>
              <w:cnfStyle w:val="000000100000"/>
              <w:rPr>
                <w:sz w:val="22"/>
                <w:szCs w:val="22"/>
                <w:lang w:val="en-US"/>
              </w:rPr>
            </w:pPr>
          </w:p>
        </w:tc>
        <w:tc>
          <w:tcPr>
            <w:tcW w:w="1701" w:type="dxa"/>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r w:rsidRPr="00584FEA">
              <w:rPr>
                <w:bCs/>
                <w:color w:val="auto"/>
                <w:sz w:val="22"/>
                <w:szCs w:val="22"/>
                <w:lang w:val="en-US"/>
              </w:rPr>
              <w:t>DAXINDX</w:t>
            </w:r>
          </w:p>
          <w:p w:rsidR="00E56410" w:rsidRPr="00584FEA" w:rsidRDefault="00E56410" w:rsidP="0072391A">
            <w:pPr>
              <w:jc w:val="center"/>
              <w:cnfStyle w:val="000000100000"/>
              <w:rPr>
                <w:bCs/>
                <w:color w:val="auto"/>
                <w:sz w:val="22"/>
                <w:szCs w:val="22"/>
                <w:lang w:val="en-US"/>
              </w:rPr>
            </w:pPr>
          </w:p>
        </w:tc>
        <w:tc>
          <w:tcPr>
            <w:tcW w:w="0" w:type="auto"/>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nl-NL"/>
              </w:rPr>
            </w:pPr>
            <w:r w:rsidRPr="00584FEA">
              <w:rPr>
                <w:bCs/>
                <w:color w:val="auto"/>
                <w:sz w:val="22"/>
                <w:szCs w:val="22"/>
                <w:lang w:val="nl-NL"/>
              </w:rPr>
              <w:t>Thomson Reuters DataStream (Deutsche Boerse)</w:t>
            </w:r>
          </w:p>
        </w:tc>
      </w:tr>
      <w:tr w:rsidR="00E56410" w:rsidRPr="009A092A" w:rsidTr="0072391A">
        <w:trPr>
          <w:trHeight w:val="432"/>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SDAX</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jc w:val="both"/>
              <w:cnfStyle w:val="000000000000"/>
              <w:rPr>
                <w:bCs/>
                <w:color w:val="auto"/>
                <w:sz w:val="22"/>
                <w:szCs w:val="22"/>
                <w:lang w:val="en-US"/>
              </w:rPr>
            </w:pPr>
            <w:r w:rsidRPr="00584FEA">
              <w:rPr>
                <w:bCs/>
                <w:color w:val="auto"/>
                <w:sz w:val="22"/>
                <w:szCs w:val="22"/>
                <w:lang w:val="en-US"/>
              </w:rPr>
              <w:t>A </w:t>
            </w:r>
            <w:hyperlink r:id="rId43" w:tooltip="Stock market index" w:history="1">
              <w:r w:rsidRPr="00584FEA">
                <w:rPr>
                  <w:bCs/>
                  <w:color w:val="auto"/>
                  <w:sz w:val="22"/>
                  <w:szCs w:val="22"/>
                  <w:lang w:val="en-US"/>
                </w:rPr>
                <w:t>stock market index</w:t>
              </w:r>
            </w:hyperlink>
            <w:r w:rsidRPr="00584FEA">
              <w:rPr>
                <w:bCs/>
                <w:color w:val="auto"/>
                <w:sz w:val="22"/>
                <w:szCs w:val="22"/>
                <w:lang w:val="en-US"/>
              </w:rPr>
              <w:t> consisting of 50 small and medium-sized companies in </w:t>
            </w:r>
            <w:hyperlink r:id="rId44" w:tooltip="Germany" w:history="1">
              <w:r w:rsidRPr="00584FEA">
                <w:rPr>
                  <w:bCs/>
                  <w:color w:val="auto"/>
                  <w:sz w:val="22"/>
                  <w:szCs w:val="22"/>
                  <w:lang w:val="en-US"/>
                </w:rPr>
                <w:t>Germany</w:t>
              </w:r>
            </w:hyperlink>
            <w:r w:rsidRPr="00584FEA">
              <w:rPr>
                <w:bCs/>
                <w:color w:val="auto"/>
                <w:sz w:val="22"/>
                <w:szCs w:val="22"/>
                <w:lang w:val="en-US"/>
              </w:rPr>
              <w:t xml:space="preserve"> (small cap denominated in Euro)</w:t>
            </w:r>
            <w:r>
              <w:rPr>
                <w:bCs/>
                <w:color w:val="auto"/>
                <w:sz w:val="22"/>
                <w:szCs w:val="22"/>
                <w:lang w:val="en-US"/>
              </w:rPr>
              <w:t>.</w:t>
            </w:r>
          </w:p>
          <w:p w:rsidR="00E56410" w:rsidRPr="00584FEA" w:rsidRDefault="00E56410" w:rsidP="0072391A">
            <w:pPr>
              <w:jc w:val="both"/>
              <w:cnfStyle w:val="000000000000"/>
              <w:rPr>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bCs/>
                <w:color w:val="auto"/>
                <w:sz w:val="22"/>
                <w:szCs w:val="22"/>
                <w:lang w:val="en-US"/>
              </w:rPr>
            </w:pPr>
            <w:r w:rsidRPr="00584FEA">
              <w:rPr>
                <w:bCs/>
                <w:color w:val="auto"/>
                <w:sz w:val="22"/>
                <w:szCs w:val="22"/>
                <w:lang w:val="en-US"/>
              </w:rPr>
              <w:t>SDAXIDX</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nl-NL"/>
              </w:rPr>
            </w:pPr>
            <w:r w:rsidRPr="00584FEA">
              <w:rPr>
                <w:bCs/>
                <w:color w:val="auto"/>
                <w:sz w:val="22"/>
                <w:szCs w:val="22"/>
                <w:lang w:val="nl-NL"/>
              </w:rPr>
              <w:t>Thomson Reuters DataStream (Deutsche Boerse)</w:t>
            </w:r>
          </w:p>
        </w:tc>
      </w:tr>
      <w:tr w:rsidR="00E56410" w:rsidRPr="009A092A" w:rsidTr="0072391A">
        <w:trPr>
          <w:cnfStyle w:val="000000100000"/>
          <w:trHeight w:val="355"/>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r w:rsidRPr="00584FEA">
              <w:rPr>
                <w:b w:val="0"/>
                <w:color w:val="auto"/>
                <w:sz w:val="22"/>
                <w:szCs w:val="22"/>
                <w:lang w:val="en-US"/>
              </w:rPr>
              <w:t>Russell 1000</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Default="00E56410" w:rsidP="0072391A">
            <w:pPr>
              <w:jc w:val="both"/>
              <w:cnfStyle w:val="000000100000"/>
              <w:rPr>
                <w:bCs/>
                <w:color w:val="auto"/>
                <w:sz w:val="22"/>
                <w:szCs w:val="22"/>
                <w:lang w:val="en-US"/>
              </w:rPr>
            </w:pPr>
            <w:r w:rsidRPr="00584FEA">
              <w:rPr>
                <w:bCs/>
                <w:color w:val="auto"/>
                <w:sz w:val="22"/>
                <w:szCs w:val="22"/>
                <w:lang w:val="en-US"/>
              </w:rPr>
              <w:t>A stock market index consisting of the 1000 highest ranking stocks of the Russell 3000 (large cap denominated in U.S Dollar)</w:t>
            </w:r>
            <w:r>
              <w:rPr>
                <w:bCs/>
                <w:color w:val="auto"/>
                <w:sz w:val="22"/>
                <w:szCs w:val="22"/>
                <w:lang w:val="en-US"/>
              </w:rPr>
              <w:t>.</w:t>
            </w:r>
          </w:p>
          <w:p w:rsidR="00E56410" w:rsidRPr="00584FEA" w:rsidRDefault="00E56410" w:rsidP="0072391A">
            <w:pPr>
              <w:jc w:val="both"/>
              <w:cnfStyle w:val="000000100000"/>
              <w:rPr>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r w:rsidRPr="00584FEA">
              <w:rPr>
                <w:bCs/>
                <w:color w:val="auto"/>
                <w:sz w:val="22"/>
                <w:szCs w:val="22"/>
                <w:lang w:val="en-US"/>
              </w:rPr>
              <w:t>FRUSSL1</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sz w:val="22"/>
                <w:szCs w:val="22"/>
                <w:lang w:val="nl-NL"/>
              </w:rPr>
            </w:pPr>
            <w:r w:rsidRPr="00584FEA">
              <w:rPr>
                <w:bCs/>
                <w:color w:val="auto"/>
                <w:sz w:val="22"/>
                <w:szCs w:val="22"/>
                <w:lang w:val="nl-NL"/>
              </w:rPr>
              <w:t>Thomson Reuters DataStream (Deutsche Boerse)</w:t>
            </w:r>
          </w:p>
        </w:tc>
      </w:tr>
      <w:tr w:rsidR="00E56410" w:rsidRPr="009A092A" w:rsidTr="0072391A">
        <w:trPr>
          <w:trHeight w:val="355"/>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sz w:val="22"/>
                <w:szCs w:val="22"/>
                <w:lang w:val="en-US"/>
              </w:rPr>
            </w:pPr>
            <w:r w:rsidRPr="00584FEA">
              <w:rPr>
                <w:b w:val="0"/>
                <w:color w:val="auto"/>
                <w:sz w:val="22"/>
                <w:szCs w:val="22"/>
                <w:lang w:val="en-US"/>
              </w:rPr>
              <w:t>Russell 2000</w:t>
            </w: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both"/>
              <w:cnfStyle w:val="000000000000"/>
              <w:rPr>
                <w:b/>
                <w:bCs/>
                <w:sz w:val="22"/>
                <w:szCs w:val="22"/>
                <w:lang w:val="en-US"/>
              </w:rPr>
            </w:pPr>
            <w:r w:rsidRPr="00584FEA">
              <w:rPr>
                <w:bCs/>
                <w:color w:val="auto"/>
                <w:sz w:val="22"/>
                <w:szCs w:val="22"/>
                <w:lang w:val="en-US"/>
              </w:rPr>
              <w:t>A stock market index consisting of the bottom 2000 stocks of the Russell 3000 (small cap denominated in U.S Dollar)</w:t>
            </w:r>
            <w:r>
              <w:rPr>
                <w:bCs/>
                <w:color w:val="auto"/>
                <w:sz w:val="22"/>
                <w:szCs w:val="22"/>
                <w:lang w:val="en-US"/>
              </w:rPr>
              <w:t>.</w:t>
            </w: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bCs/>
                <w:color w:val="auto"/>
                <w:sz w:val="22"/>
                <w:szCs w:val="22"/>
                <w:lang w:val="en-US"/>
              </w:rPr>
            </w:pPr>
            <w:r w:rsidRPr="00584FEA">
              <w:rPr>
                <w:bCs/>
                <w:color w:val="auto"/>
                <w:sz w:val="22"/>
                <w:szCs w:val="22"/>
                <w:lang w:val="en-US"/>
              </w:rPr>
              <w:t>FRUSSL2</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sz w:val="22"/>
                <w:szCs w:val="22"/>
                <w:lang w:val="nl-NL"/>
              </w:rPr>
            </w:pPr>
            <w:r w:rsidRPr="00584FEA">
              <w:rPr>
                <w:bCs/>
                <w:color w:val="auto"/>
                <w:sz w:val="22"/>
                <w:szCs w:val="22"/>
                <w:lang w:val="nl-NL"/>
              </w:rPr>
              <w:t>Thomson Reuters DataStream (Deutsche Boerse)</w:t>
            </w:r>
          </w:p>
        </w:tc>
      </w:tr>
      <w:tr w:rsidR="00E56410" w:rsidRPr="009A092A" w:rsidTr="0072391A">
        <w:trPr>
          <w:cnfStyle w:val="000000100000"/>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b w:val="0"/>
                <w:color w:val="auto"/>
                <w:sz w:val="22"/>
                <w:szCs w:val="22"/>
                <w:lang w:val="en-US"/>
              </w:rPr>
            </w:pP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both"/>
              <w:cnfStyle w:val="000000100000"/>
              <w:rPr>
                <w:bCs/>
                <w:color w:val="auto"/>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p>
        </w:tc>
      </w:tr>
      <w:tr w:rsidR="00E56410" w:rsidRPr="009A092A" w:rsidTr="0072391A">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sz w:val="22"/>
                <w:szCs w:val="22"/>
                <w:lang w:val="en-US"/>
              </w:rPr>
            </w:pP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both"/>
              <w:cnfStyle w:val="000000000000"/>
              <w:rPr>
                <w:bCs/>
                <w:color w:val="auto"/>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color w:val="auto"/>
                <w:sz w:val="22"/>
                <w:szCs w:val="22"/>
                <w:lang w:val="en-US"/>
              </w:rPr>
            </w:pP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000000"/>
              <w:rPr>
                <w:bCs/>
                <w:color w:val="auto"/>
                <w:sz w:val="22"/>
                <w:szCs w:val="22"/>
                <w:lang w:val="en-US"/>
              </w:rPr>
            </w:pPr>
          </w:p>
        </w:tc>
      </w:tr>
      <w:tr w:rsidR="00E56410" w:rsidRPr="009A092A" w:rsidTr="0072391A">
        <w:trPr>
          <w:cnfStyle w:val="000000100000"/>
          <w:trHeight w:val="383"/>
        </w:trPr>
        <w:tc>
          <w:tcPr>
            <w:cnfStyle w:val="001000000000"/>
            <w:tcW w:w="254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rPr>
                <w:sz w:val="22"/>
                <w:szCs w:val="22"/>
                <w:lang w:val="en-US"/>
              </w:rPr>
            </w:pPr>
          </w:p>
        </w:tc>
        <w:tc>
          <w:tcPr>
            <w:tcW w:w="366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both"/>
              <w:cnfStyle w:val="000000100000"/>
              <w:rPr>
                <w:bCs/>
                <w:color w:val="auto"/>
                <w:sz w:val="22"/>
                <w:szCs w:val="22"/>
                <w:lang w:val="en-US"/>
              </w:rPr>
            </w:pPr>
          </w:p>
        </w:tc>
        <w:tc>
          <w:tcPr>
            <w:tcW w:w="17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color w:val="auto"/>
                <w:sz w:val="22"/>
                <w:szCs w:val="22"/>
                <w:lang w:val="en-US"/>
              </w:rPr>
            </w:pP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tcPr>
          <w:p w:rsidR="00E56410" w:rsidRPr="00584FEA" w:rsidRDefault="00E56410" w:rsidP="0072391A">
            <w:pPr>
              <w:jc w:val="center"/>
              <w:cnfStyle w:val="000000100000"/>
              <w:rPr>
                <w:bCs/>
                <w:color w:val="auto"/>
                <w:sz w:val="22"/>
                <w:szCs w:val="22"/>
                <w:lang w:val="en-US"/>
              </w:rPr>
            </w:pPr>
          </w:p>
        </w:tc>
      </w:tr>
    </w:tbl>
    <w:p w:rsidR="00E56410" w:rsidRDefault="00E56410" w:rsidP="00E56410">
      <w:pPr>
        <w:pStyle w:val="ListParagraph"/>
        <w:ind w:left="0"/>
        <w:jc w:val="both"/>
        <w:rPr>
          <w:rFonts w:ascii="Times New Roman" w:hAnsi="Times New Roman" w:cs="Times New Roman"/>
          <w:b/>
          <w:bCs/>
          <w:sz w:val="24"/>
          <w:szCs w:val="24"/>
          <w:lang w:val="en-US"/>
        </w:rPr>
      </w:pPr>
    </w:p>
    <w:p w:rsidR="00E56410" w:rsidRPr="00E56410" w:rsidRDefault="00E56410" w:rsidP="00E56410">
      <w:pPr>
        <w:pStyle w:val="Caption"/>
        <w:keepNext/>
        <w:jc w:val="both"/>
        <w:rPr>
          <w:rFonts w:ascii="Times New Roman" w:hAnsi="Times New Roman" w:cs="Times New Roman"/>
          <w:color w:val="auto"/>
          <w:sz w:val="24"/>
          <w:szCs w:val="24"/>
          <w:lang w:val="en-US"/>
        </w:rPr>
      </w:pPr>
      <w:r w:rsidRPr="00E56410">
        <w:rPr>
          <w:rFonts w:ascii="Times New Roman" w:hAnsi="Times New Roman" w:cs="Times New Roman"/>
          <w:color w:val="auto"/>
          <w:sz w:val="24"/>
          <w:szCs w:val="24"/>
          <w:lang w:val="en-US"/>
        </w:rPr>
        <w:lastRenderedPageBreak/>
        <w:t>Table 4 (a)</w:t>
      </w:r>
    </w:p>
    <w:p w:rsidR="00E56410" w:rsidRPr="00E56410" w:rsidRDefault="00E56410" w:rsidP="00E56410">
      <w:pPr>
        <w:pStyle w:val="Caption"/>
        <w:keepNext/>
        <w:jc w:val="both"/>
        <w:rPr>
          <w:rFonts w:ascii="Times New Roman" w:hAnsi="Times New Roman" w:cs="Times New Roman"/>
          <w:color w:val="auto"/>
          <w:sz w:val="24"/>
          <w:szCs w:val="24"/>
          <w:lang w:val="en-US"/>
        </w:rPr>
      </w:pPr>
      <w:r w:rsidRPr="00E56410">
        <w:rPr>
          <w:rFonts w:ascii="Times New Roman" w:hAnsi="Times New Roman" w:cs="Times New Roman"/>
          <w:color w:val="auto"/>
          <w:sz w:val="24"/>
          <w:szCs w:val="24"/>
          <w:lang w:val="en-US"/>
        </w:rPr>
        <w:t>Lead - Lag- Co-movement Testing</w:t>
      </w:r>
    </w:p>
    <w:p w:rsidR="00E56410" w:rsidRPr="00E56410" w:rsidRDefault="00E56410" w:rsidP="00E56410">
      <w:pPr>
        <w:jc w:val="both"/>
        <w:rPr>
          <w:rFonts w:ascii="Times New Roman" w:hAnsi="Times New Roman" w:cs="Times New Roman"/>
          <w:sz w:val="20"/>
          <w:szCs w:val="20"/>
          <w:lang w:val="en-US"/>
        </w:rPr>
      </w:pPr>
      <w:r w:rsidRPr="00E56410">
        <w:rPr>
          <w:rFonts w:ascii="Times New Roman" w:hAnsi="Times New Roman" w:cs="Times New Roman"/>
          <w:sz w:val="20"/>
          <w:szCs w:val="20"/>
          <w:lang w:val="en-US"/>
        </w:rPr>
        <w:t xml:space="preserve">In this table we display how the indices should be incorporated in our regression formulas for the analysis. We run the following regression: </w:t>
      </w:r>
      <w:proofErr w:type="spellStart"/>
      <w:r w:rsidRPr="00E56410">
        <w:rPr>
          <w:rFonts w:ascii="Times New Roman" w:hAnsi="Times New Roman" w:cs="Times New Roman"/>
          <w:sz w:val="20"/>
          <w:szCs w:val="20"/>
          <w:lang w:val="en-US"/>
        </w:rPr>
        <w:t>asset</w:t>
      </w:r>
      <w:r w:rsidRPr="00E56410">
        <w:rPr>
          <w:rFonts w:ascii="Times New Roman" w:hAnsi="Times New Roman" w:cs="Times New Roman"/>
          <w:sz w:val="20"/>
          <w:szCs w:val="20"/>
          <w:vertAlign w:val="subscript"/>
          <w:lang w:val="en-US"/>
        </w:rPr>
        <w:t>it</w:t>
      </w:r>
      <w:proofErr w:type="spellEnd"/>
      <w:r w:rsidRPr="00E56410">
        <w:rPr>
          <w:rFonts w:ascii="Times New Roman" w:hAnsi="Times New Roman" w:cs="Times New Roman"/>
          <w:sz w:val="20"/>
          <w:szCs w:val="20"/>
          <w:vertAlign w:val="subscript"/>
          <w:lang w:val="en-US"/>
        </w:rPr>
        <w:t xml:space="preserve"> </w:t>
      </w:r>
      <w:r w:rsidRPr="00E56410">
        <w:rPr>
          <w:rFonts w:ascii="Times New Roman" w:hAnsi="Times New Roman" w:cs="Times New Roman"/>
          <w:sz w:val="20"/>
          <w:szCs w:val="20"/>
          <w:lang w:val="en-US"/>
        </w:rPr>
        <w:t xml:space="preserve">= </w:t>
      </w:r>
      <w:r w:rsidRPr="00E56410">
        <w:rPr>
          <w:rFonts w:ascii="Times New Roman" w:hAnsi="Times New Roman" w:cs="Times New Roman"/>
          <w:sz w:val="20"/>
          <w:szCs w:val="20"/>
        </w:rPr>
        <w:t>α</w:t>
      </w:r>
      <w:r w:rsidRPr="00E56410">
        <w:rPr>
          <w:rFonts w:ascii="Times New Roman" w:hAnsi="Times New Roman" w:cs="Times New Roman"/>
          <w:sz w:val="20"/>
          <w:szCs w:val="20"/>
          <w:lang w:val="en-US"/>
        </w:rPr>
        <w:t xml:space="preserve"> + </w:t>
      </w:r>
      <w:r w:rsidRPr="00E56410">
        <w:rPr>
          <w:rFonts w:ascii="Times New Roman" w:hAnsi="Times New Roman" w:cs="Times New Roman"/>
          <w:sz w:val="20"/>
          <w:szCs w:val="20"/>
        </w:rPr>
        <w:t>β</w:t>
      </w:r>
      <w:r w:rsidRPr="00E56410">
        <w:rPr>
          <w:rFonts w:ascii="Times New Roman" w:hAnsi="Times New Roman" w:cs="Times New Roman"/>
          <w:sz w:val="20"/>
          <w:szCs w:val="20"/>
          <w:vertAlign w:val="subscript"/>
          <w:lang w:val="en-US"/>
        </w:rPr>
        <w:t>1</w:t>
      </w:r>
      <w:r w:rsidRPr="00E56410">
        <w:rPr>
          <w:rFonts w:ascii="Times New Roman" w:hAnsi="Times New Roman" w:cs="Times New Roman"/>
          <w:sz w:val="20"/>
          <w:szCs w:val="20"/>
          <w:lang w:val="en-US"/>
        </w:rPr>
        <w:t>Index</w:t>
      </w:r>
      <w:r w:rsidRPr="00E56410">
        <w:rPr>
          <w:rFonts w:ascii="Times New Roman" w:hAnsi="Times New Roman" w:cs="Times New Roman"/>
          <w:sz w:val="20"/>
          <w:szCs w:val="20"/>
          <w:vertAlign w:val="subscript"/>
          <w:lang w:val="en-US"/>
        </w:rPr>
        <w:t>t-1</w:t>
      </w:r>
      <w:r w:rsidRPr="00E56410">
        <w:rPr>
          <w:rFonts w:ascii="Times New Roman" w:hAnsi="Times New Roman" w:cs="Times New Roman"/>
          <w:sz w:val="20"/>
          <w:szCs w:val="20"/>
          <w:lang w:val="en-US"/>
        </w:rPr>
        <w:t xml:space="preserve"> + </w:t>
      </w:r>
      <w:r w:rsidRPr="00E56410">
        <w:rPr>
          <w:rFonts w:ascii="Times New Roman" w:hAnsi="Times New Roman" w:cs="Times New Roman"/>
          <w:sz w:val="20"/>
          <w:szCs w:val="20"/>
        </w:rPr>
        <w:t>β</w:t>
      </w:r>
      <w:r w:rsidRPr="00E56410">
        <w:rPr>
          <w:rFonts w:ascii="Times New Roman" w:hAnsi="Times New Roman" w:cs="Times New Roman"/>
          <w:sz w:val="20"/>
          <w:szCs w:val="20"/>
          <w:vertAlign w:val="subscript"/>
          <w:lang w:val="en-US"/>
        </w:rPr>
        <w:t>2</w:t>
      </w:r>
      <w:r w:rsidRPr="00E56410">
        <w:rPr>
          <w:rFonts w:ascii="Times New Roman" w:hAnsi="Times New Roman" w:cs="Times New Roman"/>
          <w:sz w:val="20"/>
          <w:szCs w:val="20"/>
          <w:lang w:val="en-US"/>
        </w:rPr>
        <w:t>Index</w:t>
      </w:r>
      <w:r w:rsidRPr="00E56410">
        <w:rPr>
          <w:rFonts w:ascii="Times New Roman" w:hAnsi="Times New Roman" w:cs="Times New Roman"/>
          <w:sz w:val="20"/>
          <w:szCs w:val="20"/>
          <w:vertAlign w:val="subscript"/>
          <w:lang w:val="en-US"/>
        </w:rPr>
        <w:t>t</w:t>
      </w:r>
      <w:r w:rsidRPr="00E56410">
        <w:rPr>
          <w:rFonts w:ascii="Times New Roman" w:hAnsi="Times New Roman" w:cs="Times New Roman"/>
          <w:sz w:val="20"/>
          <w:szCs w:val="20"/>
          <w:lang w:val="en-US"/>
        </w:rPr>
        <w:t xml:space="preserve"> + </w:t>
      </w:r>
      <w:r w:rsidRPr="00E56410">
        <w:rPr>
          <w:rFonts w:ascii="Times New Roman" w:hAnsi="Times New Roman" w:cs="Times New Roman"/>
          <w:sz w:val="20"/>
          <w:szCs w:val="20"/>
        </w:rPr>
        <w:t>β</w:t>
      </w:r>
      <w:r w:rsidRPr="00E56410">
        <w:rPr>
          <w:rFonts w:ascii="Times New Roman" w:hAnsi="Times New Roman" w:cs="Times New Roman"/>
          <w:sz w:val="20"/>
          <w:szCs w:val="20"/>
          <w:vertAlign w:val="subscript"/>
          <w:lang w:val="en-US"/>
        </w:rPr>
        <w:t>3</w:t>
      </w:r>
      <w:r w:rsidRPr="00E56410">
        <w:rPr>
          <w:rFonts w:ascii="Times New Roman" w:hAnsi="Times New Roman" w:cs="Times New Roman"/>
          <w:sz w:val="20"/>
          <w:szCs w:val="20"/>
          <w:lang w:val="en-US"/>
        </w:rPr>
        <w:t xml:space="preserve"> Index</w:t>
      </w:r>
      <w:r w:rsidRPr="00E56410">
        <w:rPr>
          <w:rFonts w:ascii="Times New Roman" w:hAnsi="Times New Roman" w:cs="Times New Roman"/>
          <w:sz w:val="20"/>
          <w:szCs w:val="20"/>
          <w:vertAlign w:val="subscript"/>
          <w:lang w:val="en-US"/>
        </w:rPr>
        <w:t>t+1</w:t>
      </w:r>
      <w:r w:rsidRPr="00E56410">
        <w:rPr>
          <w:rFonts w:ascii="Times New Roman" w:hAnsi="Times New Roman" w:cs="Times New Roman"/>
          <w:sz w:val="20"/>
          <w:szCs w:val="20"/>
          <w:lang w:val="en-US"/>
        </w:rPr>
        <w:t xml:space="preserve"> +</w:t>
      </w:r>
      <w:r w:rsidRPr="00E56410">
        <w:rPr>
          <w:rFonts w:ascii="Times New Roman" w:hAnsi="Times New Roman" w:cs="Times New Roman"/>
          <w:sz w:val="20"/>
          <w:szCs w:val="20"/>
        </w:rPr>
        <w:t>ε</w:t>
      </w:r>
      <w:r w:rsidRPr="00E56410">
        <w:rPr>
          <w:rFonts w:ascii="Times New Roman" w:hAnsi="Times New Roman" w:cs="Times New Roman"/>
          <w:sz w:val="20"/>
          <w:szCs w:val="20"/>
          <w:lang w:val="en-US"/>
        </w:rPr>
        <w:t>, where asset</w:t>
      </w:r>
      <w:r w:rsidRPr="00E56410">
        <w:rPr>
          <w:rFonts w:ascii="Times New Roman" w:hAnsi="Times New Roman" w:cs="Times New Roman"/>
          <w:sz w:val="20"/>
          <w:szCs w:val="20"/>
          <w:vertAlign w:val="subscript"/>
          <w:lang w:val="en-US"/>
        </w:rPr>
        <w:t>i</w:t>
      </w:r>
      <w:r w:rsidRPr="00E56410">
        <w:rPr>
          <w:rFonts w:ascii="Times New Roman" w:hAnsi="Times New Roman" w:cs="Times New Roman"/>
          <w:sz w:val="20"/>
          <w:szCs w:val="20"/>
          <w:lang w:val="en-US"/>
        </w:rPr>
        <w:t xml:space="preserve"> stands for the asset</w:t>
      </w:r>
      <w:r w:rsidR="001C52D4">
        <w:rPr>
          <w:rFonts w:ascii="Times New Roman" w:hAnsi="Times New Roman" w:cs="Times New Roman"/>
          <w:sz w:val="20"/>
          <w:szCs w:val="20"/>
          <w:lang w:val="en-US"/>
        </w:rPr>
        <w:t xml:space="preserve"> i </w:t>
      </w:r>
      <w:r w:rsidR="00183182">
        <w:rPr>
          <w:rFonts w:ascii="Times New Roman" w:hAnsi="Times New Roman" w:cs="Times New Roman"/>
          <w:sz w:val="20"/>
          <w:szCs w:val="20"/>
          <w:lang w:val="en-US"/>
        </w:rPr>
        <w:t>at time t (for commodities, currencies and stocks we use the returns while</w:t>
      </w:r>
      <w:r w:rsidRPr="00E56410">
        <w:rPr>
          <w:rFonts w:ascii="Times New Roman" w:hAnsi="Times New Roman" w:cs="Times New Roman"/>
          <w:sz w:val="20"/>
          <w:szCs w:val="20"/>
          <w:lang w:val="en-US"/>
        </w:rPr>
        <w:t xml:space="preserve"> for bonds we use the </w:t>
      </w:r>
      <w:r w:rsidR="00183182">
        <w:rPr>
          <w:rFonts w:ascii="Times New Roman" w:hAnsi="Times New Roman" w:cs="Times New Roman"/>
          <w:sz w:val="20"/>
          <w:szCs w:val="20"/>
          <w:lang w:val="en-US"/>
        </w:rPr>
        <w:t xml:space="preserve">yield spreads </w:t>
      </w:r>
      <w:r w:rsidRPr="00E56410">
        <w:rPr>
          <w:rFonts w:ascii="Times New Roman" w:hAnsi="Times New Roman" w:cs="Times New Roman"/>
          <w:sz w:val="20"/>
          <w:szCs w:val="20"/>
          <w:lang w:val="en-US"/>
        </w:rPr>
        <w:t xml:space="preserve">to deal with stationarity), </w:t>
      </w:r>
      <w:r w:rsidRPr="00E56410">
        <w:rPr>
          <w:rFonts w:ascii="Times New Roman" w:hAnsi="Times New Roman" w:cs="Times New Roman"/>
          <w:sz w:val="20"/>
          <w:szCs w:val="20"/>
        </w:rPr>
        <w:t>β</w:t>
      </w:r>
      <w:r w:rsidRPr="00E56410">
        <w:rPr>
          <w:rFonts w:ascii="Times New Roman" w:hAnsi="Times New Roman" w:cs="Times New Roman"/>
          <w:sz w:val="20"/>
          <w:szCs w:val="20"/>
          <w:vertAlign w:val="subscript"/>
          <w:lang w:val="en-US"/>
        </w:rPr>
        <w:t>1</w:t>
      </w:r>
      <w:r w:rsidRPr="00E56410">
        <w:rPr>
          <w:rFonts w:ascii="Times New Roman" w:hAnsi="Times New Roman" w:cs="Times New Roman"/>
          <w:sz w:val="20"/>
          <w:szCs w:val="20"/>
          <w:lang w:val="en-US"/>
        </w:rPr>
        <w:t xml:space="preserve">, </w:t>
      </w:r>
      <w:r w:rsidRPr="00E56410">
        <w:rPr>
          <w:rFonts w:ascii="Times New Roman" w:hAnsi="Times New Roman" w:cs="Times New Roman"/>
          <w:sz w:val="20"/>
          <w:szCs w:val="20"/>
        </w:rPr>
        <w:t>β</w:t>
      </w:r>
      <w:r w:rsidRPr="00E56410">
        <w:rPr>
          <w:rFonts w:ascii="Times New Roman" w:hAnsi="Times New Roman" w:cs="Times New Roman"/>
          <w:sz w:val="20"/>
          <w:szCs w:val="20"/>
          <w:vertAlign w:val="subscript"/>
          <w:lang w:val="en-US"/>
        </w:rPr>
        <w:t xml:space="preserve">2 </w:t>
      </w:r>
      <w:r w:rsidRPr="00E56410">
        <w:rPr>
          <w:rFonts w:ascii="Times New Roman" w:hAnsi="Times New Roman" w:cs="Times New Roman"/>
          <w:sz w:val="20"/>
          <w:szCs w:val="20"/>
          <w:lang w:val="en-US"/>
        </w:rPr>
        <w:t xml:space="preserve">and </w:t>
      </w:r>
      <w:r w:rsidRPr="00E56410">
        <w:rPr>
          <w:rFonts w:ascii="Times New Roman" w:hAnsi="Times New Roman" w:cs="Times New Roman"/>
          <w:sz w:val="20"/>
          <w:szCs w:val="20"/>
        </w:rPr>
        <w:t>β</w:t>
      </w:r>
      <w:r w:rsidRPr="00E56410">
        <w:rPr>
          <w:rFonts w:ascii="Times New Roman" w:hAnsi="Times New Roman" w:cs="Times New Roman"/>
          <w:sz w:val="20"/>
          <w:szCs w:val="20"/>
          <w:vertAlign w:val="subscript"/>
          <w:lang w:val="en-US"/>
        </w:rPr>
        <w:t>3</w:t>
      </w:r>
      <w:r w:rsidRPr="00E56410">
        <w:rPr>
          <w:rFonts w:ascii="Times New Roman" w:hAnsi="Times New Roman" w:cs="Times New Roman"/>
          <w:sz w:val="20"/>
          <w:szCs w:val="20"/>
          <w:lang w:val="en-US"/>
        </w:rPr>
        <w:t xml:space="preserve"> are the coefficients and Index</w:t>
      </w:r>
      <w:r w:rsidRPr="00E56410">
        <w:rPr>
          <w:rFonts w:ascii="Times New Roman" w:hAnsi="Times New Roman" w:cs="Times New Roman"/>
          <w:sz w:val="20"/>
          <w:szCs w:val="20"/>
          <w:vertAlign w:val="subscript"/>
          <w:lang w:val="en-US"/>
        </w:rPr>
        <w:t xml:space="preserve"> t-1</w:t>
      </w:r>
      <w:r w:rsidRPr="00E56410">
        <w:rPr>
          <w:rFonts w:ascii="Times New Roman" w:hAnsi="Times New Roman" w:cs="Times New Roman"/>
          <w:sz w:val="20"/>
          <w:szCs w:val="20"/>
          <w:lang w:val="en-US"/>
        </w:rPr>
        <w:t>, Index</w:t>
      </w:r>
      <w:r w:rsidRPr="00E56410">
        <w:rPr>
          <w:rFonts w:ascii="Times New Roman" w:hAnsi="Times New Roman" w:cs="Times New Roman"/>
          <w:sz w:val="20"/>
          <w:szCs w:val="20"/>
          <w:vertAlign w:val="subscript"/>
          <w:lang w:val="en-US"/>
        </w:rPr>
        <w:t xml:space="preserve">t+1 </w:t>
      </w:r>
      <w:r w:rsidRPr="00E56410">
        <w:rPr>
          <w:rFonts w:ascii="Times New Roman" w:hAnsi="Times New Roman" w:cs="Times New Roman"/>
          <w:sz w:val="20"/>
          <w:szCs w:val="20"/>
          <w:lang w:val="en-US"/>
        </w:rPr>
        <w:t>and Index</w:t>
      </w:r>
      <w:r w:rsidRPr="00E56410">
        <w:rPr>
          <w:rFonts w:ascii="Times New Roman" w:hAnsi="Times New Roman" w:cs="Times New Roman"/>
          <w:sz w:val="20"/>
          <w:szCs w:val="20"/>
          <w:vertAlign w:val="subscript"/>
          <w:lang w:val="en-US"/>
        </w:rPr>
        <w:t xml:space="preserve"> t</w:t>
      </w:r>
      <w:r w:rsidRPr="00E56410">
        <w:rPr>
          <w:rFonts w:ascii="Times New Roman" w:hAnsi="Times New Roman" w:cs="Times New Roman"/>
          <w:sz w:val="20"/>
          <w:szCs w:val="20"/>
          <w:lang w:val="en-US"/>
        </w:rPr>
        <w:t xml:space="preserve"> stand for the index as a leading, lagging or contemporaneous indicator respectively. The criterion is that the coefficient with the lowest p-value (or equivalent the highest t-statistic in absolute terms) is the most appropriate to be used. The t-1 indicates that the index is leading, t+1 that is lagging and t that the index is contemporaneous. Panel A is for the selected commodities, Panel B for currencies, Panel C for bonds and last Panel D for the stocks. The indices are the standardized values from the Baker and Wurgler (BW), University of Michigan Consumer Confidence Sentiment (CC), State Street Investor Confidence Index (ICI), Merrill Lynch’s Risk Aversion Indicator (ML_RAI), Global Risk Appetite Monitor by Nomura (NGRAM), Put-Call Ratio (PCR), VIX Index (VIX) and Westpac Risk Appetite (WP).</w:t>
      </w:r>
    </w:p>
    <w:p w:rsidR="00E56410" w:rsidRDefault="00E56410" w:rsidP="00E56410">
      <w:pPr>
        <w:jc w:val="both"/>
        <w:rPr>
          <w:sz w:val="20"/>
          <w:szCs w:val="20"/>
          <w:lang w:val="en-US"/>
        </w:rPr>
      </w:pPr>
    </w:p>
    <w:p w:rsidR="001C52D4" w:rsidRPr="00C93A35" w:rsidRDefault="001C52D4" w:rsidP="00E56410">
      <w:pPr>
        <w:jc w:val="both"/>
        <w:rPr>
          <w:sz w:val="20"/>
          <w:szCs w:val="20"/>
          <w:lang w:val="en-US"/>
        </w:rPr>
      </w:pPr>
    </w:p>
    <w:tbl>
      <w:tblPr>
        <w:tblStyle w:val="TableGrid"/>
        <w:tblW w:w="11199" w:type="dxa"/>
        <w:tblInd w:w="-885" w:type="dxa"/>
        <w:tblLayout w:type="fixed"/>
        <w:tblLook w:val="04A0"/>
      </w:tblPr>
      <w:tblGrid>
        <w:gridCol w:w="1135"/>
        <w:gridCol w:w="284"/>
        <w:gridCol w:w="992"/>
        <w:gridCol w:w="283"/>
        <w:gridCol w:w="1276"/>
        <w:gridCol w:w="1134"/>
        <w:gridCol w:w="142"/>
        <w:gridCol w:w="1276"/>
        <w:gridCol w:w="1134"/>
        <w:gridCol w:w="141"/>
        <w:gridCol w:w="851"/>
        <w:gridCol w:w="142"/>
        <w:gridCol w:w="141"/>
        <w:gridCol w:w="709"/>
        <w:gridCol w:w="284"/>
        <w:gridCol w:w="141"/>
        <w:gridCol w:w="142"/>
        <w:gridCol w:w="992"/>
      </w:tblGrid>
      <w:tr w:rsidR="00E56410" w:rsidRPr="00C93A35" w:rsidTr="00431D55">
        <w:trPr>
          <w:trHeight w:val="455"/>
        </w:trPr>
        <w:tc>
          <w:tcPr>
            <w:tcW w:w="1135" w:type="dxa"/>
            <w:tcBorders>
              <w:top w:val="single" w:sz="18" w:space="0" w:color="auto"/>
              <w:left w:val="single" w:sz="18" w:space="0" w:color="auto"/>
              <w:bottom w:val="single" w:sz="12" w:space="0" w:color="auto"/>
              <w:tl2br w:val="nil"/>
              <w:tr2bl w:val="nil"/>
            </w:tcBorders>
          </w:tcPr>
          <w:p w:rsidR="00E56410" w:rsidRPr="00C93A35" w:rsidRDefault="00E56410" w:rsidP="0072391A">
            <w:pPr>
              <w:rPr>
                <w:sz w:val="22"/>
                <w:szCs w:val="22"/>
                <w:lang w:val="en-US"/>
              </w:rPr>
            </w:pPr>
          </w:p>
        </w:tc>
        <w:tc>
          <w:tcPr>
            <w:tcW w:w="1276" w:type="dxa"/>
            <w:gridSpan w:val="2"/>
            <w:tcBorders>
              <w:top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BW</w:t>
            </w:r>
          </w:p>
        </w:tc>
        <w:tc>
          <w:tcPr>
            <w:tcW w:w="1559" w:type="dxa"/>
            <w:gridSpan w:val="2"/>
            <w:tcBorders>
              <w:top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CC</w:t>
            </w:r>
          </w:p>
        </w:tc>
        <w:tc>
          <w:tcPr>
            <w:tcW w:w="1276" w:type="dxa"/>
            <w:gridSpan w:val="2"/>
            <w:tcBorders>
              <w:top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ICI</w:t>
            </w:r>
          </w:p>
        </w:tc>
        <w:tc>
          <w:tcPr>
            <w:tcW w:w="1276" w:type="dxa"/>
            <w:tcBorders>
              <w:top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ML_RAI</w:t>
            </w:r>
          </w:p>
        </w:tc>
        <w:tc>
          <w:tcPr>
            <w:tcW w:w="1134" w:type="dxa"/>
            <w:tcBorders>
              <w:top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NGRAM</w:t>
            </w:r>
          </w:p>
        </w:tc>
        <w:tc>
          <w:tcPr>
            <w:tcW w:w="992" w:type="dxa"/>
            <w:gridSpan w:val="2"/>
            <w:tcBorders>
              <w:top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PCR</w:t>
            </w:r>
          </w:p>
        </w:tc>
        <w:tc>
          <w:tcPr>
            <w:tcW w:w="992" w:type="dxa"/>
            <w:gridSpan w:val="3"/>
            <w:tcBorders>
              <w:top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VIX</w:t>
            </w:r>
          </w:p>
        </w:tc>
        <w:tc>
          <w:tcPr>
            <w:tcW w:w="1559" w:type="dxa"/>
            <w:gridSpan w:val="4"/>
            <w:tcBorders>
              <w:top w:val="single" w:sz="18" w:space="0" w:color="auto"/>
              <w:bottom w:val="single" w:sz="12" w:space="0" w:color="auto"/>
              <w:right w:val="single" w:sz="18" w:space="0" w:color="auto"/>
            </w:tcBorders>
          </w:tcPr>
          <w:p w:rsidR="00E56410" w:rsidRPr="00C93A35" w:rsidRDefault="00E56410" w:rsidP="0072391A">
            <w:pPr>
              <w:jc w:val="center"/>
              <w:rPr>
                <w:b/>
                <w:sz w:val="22"/>
                <w:szCs w:val="22"/>
                <w:lang w:val="en-US"/>
              </w:rPr>
            </w:pPr>
            <w:r w:rsidRPr="00C93A35">
              <w:rPr>
                <w:b/>
                <w:sz w:val="22"/>
                <w:szCs w:val="22"/>
                <w:lang w:val="en-US"/>
              </w:rPr>
              <w:t>WP</w:t>
            </w:r>
          </w:p>
        </w:tc>
      </w:tr>
      <w:tr w:rsidR="00E56410" w:rsidRPr="00C93A35" w:rsidTr="00431D55">
        <w:trPr>
          <w:trHeight w:val="717"/>
        </w:trPr>
        <w:tc>
          <w:tcPr>
            <w:tcW w:w="11199" w:type="dxa"/>
            <w:gridSpan w:val="18"/>
            <w:tcBorders>
              <w:top w:val="single" w:sz="12" w:space="0" w:color="auto"/>
              <w:left w:val="single" w:sz="18" w:space="0" w:color="auto"/>
              <w:right w:val="single" w:sz="18" w:space="0" w:color="auto"/>
            </w:tcBorders>
            <w:shd w:val="clear" w:color="auto" w:fill="B6DDE8" w:themeFill="accent5" w:themeFillTint="66"/>
          </w:tcPr>
          <w:p w:rsidR="00E56410" w:rsidRPr="00C93A35" w:rsidRDefault="00E56410" w:rsidP="0072391A">
            <w:pPr>
              <w:jc w:val="center"/>
              <w:rPr>
                <w:b/>
                <w:sz w:val="22"/>
                <w:szCs w:val="22"/>
                <w:lang w:val="en-US"/>
              </w:rPr>
            </w:pPr>
          </w:p>
          <w:p w:rsidR="00E56410" w:rsidRPr="00C93A35" w:rsidRDefault="00E56410" w:rsidP="0072391A">
            <w:pPr>
              <w:jc w:val="center"/>
              <w:rPr>
                <w:b/>
                <w:sz w:val="22"/>
                <w:szCs w:val="22"/>
                <w:lang w:val="en-US"/>
              </w:rPr>
            </w:pPr>
            <w:r w:rsidRPr="00C93A35">
              <w:rPr>
                <w:b/>
                <w:sz w:val="22"/>
                <w:szCs w:val="22"/>
                <w:lang w:val="en-US"/>
              </w:rPr>
              <w:t>Panel A : Commodities</w:t>
            </w:r>
          </w:p>
          <w:p w:rsidR="00E56410" w:rsidRPr="00C93A35" w:rsidRDefault="00E56410" w:rsidP="0072391A">
            <w:pPr>
              <w:jc w:val="center"/>
              <w:rPr>
                <w:sz w:val="22"/>
                <w:szCs w:val="22"/>
                <w:lang w:val="en-US"/>
              </w:rPr>
            </w:pPr>
          </w:p>
        </w:tc>
      </w:tr>
      <w:tr w:rsidR="00E56410" w:rsidRPr="00C93A35" w:rsidTr="0072391A">
        <w:trPr>
          <w:trHeight w:val="333"/>
        </w:trPr>
        <w:tc>
          <w:tcPr>
            <w:tcW w:w="1135" w:type="dxa"/>
            <w:tcBorders>
              <w:left w:val="single" w:sz="18" w:space="0" w:color="auto"/>
            </w:tcBorders>
          </w:tcPr>
          <w:p w:rsidR="00E56410" w:rsidRPr="00C93A35" w:rsidRDefault="00E56410" w:rsidP="0072391A">
            <w:pPr>
              <w:jc w:val="center"/>
              <w:rPr>
                <w:b/>
                <w:sz w:val="22"/>
                <w:szCs w:val="22"/>
                <w:lang w:val="en-US"/>
              </w:rPr>
            </w:pPr>
            <w:r w:rsidRPr="00C93A35">
              <w:rPr>
                <w:b/>
                <w:sz w:val="22"/>
                <w:szCs w:val="22"/>
                <w:lang w:val="en-US"/>
              </w:rPr>
              <w:t>Gold</w:t>
            </w:r>
          </w:p>
          <w:p w:rsidR="00E56410" w:rsidRPr="00C93A35" w:rsidRDefault="00E56410" w:rsidP="0072391A">
            <w:pPr>
              <w:jc w:val="center"/>
              <w:rPr>
                <w:b/>
                <w:sz w:val="22"/>
                <w:szCs w:val="22"/>
                <w:lang w:val="en-US"/>
              </w:rPr>
            </w:pPr>
            <w:r w:rsidRPr="00C93A35">
              <w:rPr>
                <w:b/>
                <w:sz w:val="22"/>
                <w:szCs w:val="22"/>
                <w:lang w:val="en-US"/>
              </w:rPr>
              <w:t>(</w:t>
            </w:r>
            <w:proofErr w:type="spellStart"/>
            <w:proofErr w:type="gramStart"/>
            <w:r w:rsidRPr="00C93A35">
              <w:rPr>
                <w:b/>
                <w:sz w:val="22"/>
                <w:szCs w:val="22"/>
                <w:lang w:val="en-US"/>
              </w:rPr>
              <w:t>coef</w:t>
            </w:r>
            <w:proofErr w:type="spellEnd"/>
            <w:proofErr w:type="gramEnd"/>
            <w:r w:rsidRPr="00C93A35">
              <w:rPr>
                <w:b/>
                <w:sz w:val="22"/>
                <w:szCs w:val="22"/>
                <w:lang w:val="en-US"/>
              </w:rPr>
              <w:t>.)</w:t>
            </w:r>
          </w:p>
          <w:p w:rsidR="00E56410" w:rsidRPr="00C93A35" w:rsidRDefault="00E56410" w:rsidP="0072391A">
            <w:pPr>
              <w:jc w:val="center"/>
              <w:rPr>
                <w:b/>
                <w:sz w:val="22"/>
                <w:szCs w:val="22"/>
                <w:lang w:val="en-US"/>
              </w:rPr>
            </w:pPr>
            <w:r w:rsidRPr="00C93A35">
              <w:rPr>
                <w:b/>
                <w:sz w:val="22"/>
                <w:szCs w:val="22"/>
                <w:lang w:val="en-US"/>
              </w:rPr>
              <w:t>[p-value]</w:t>
            </w:r>
          </w:p>
        </w:tc>
        <w:tc>
          <w:tcPr>
            <w:tcW w:w="1276"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(2.44)</w:t>
            </w:r>
          </w:p>
          <w:p w:rsidR="00E56410" w:rsidRPr="00C93A35" w:rsidRDefault="00E56410" w:rsidP="0072391A">
            <w:pPr>
              <w:jc w:val="center"/>
              <w:rPr>
                <w:sz w:val="22"/>
                <w:szCs w:val="22"/>
                <w:lang w:val="en-US"/>
              </w:rPr>
            </w:pPr>
            <w:r w:rsidRPr="00C93A35">
              <w:rPr>
                <w:sz w:val="22"/>
                <w:szCs w:val="22"/>
                <w:lang w:val="en-US"/>
              </w:rPr>
              <w:t>[0.2]</w:t>
            </w:r>
          </w:p>
        </w:tc>
        <w:tc>
          <w:tcPr>
            <w:tcW w:w="1559"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(-2.217)</w:t>
            </w:r>
          </w:p>
          <w:p w:rsidR="00E56410" w:rsidRPr="00C93A35" w:rsidRDefault="00E56410" w:rsidP="0072391A">
            <w:pPr>
              <w:jc w:val="center"/>
              <w:rPr>
                <w:sz w:val="22"/>
                <w:szCs w:val="22"/>
                <w:lang w:val="en-US"/>
              </w:rPr>
            </w:pPr>
            <w:r w:rsidRPr="00C93A35">
              <w:rPr>
                <w:sz w:val="22"/>
                <w:szCs w:val="22"/>
                <w:lang w:val="en-US"/>
              </w:rPr>
              <w:t>[0.055]*</w:t>
            </w:r>
          </w:p>
        </w:tc>
        <w:tc>
          <w:tcPr>
            <w:tcW w:w="1276"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(-0.299)</w:t>
            </w:r>
          </w:p>
          <w:p w:rsidR="00E56410" w:rsidRPr="00C93A35" w:rsidRDefault="00E56410" w:rsidP="0072391A">
            <w:pPr>
              <w:jc w:val="center"/>
              <w:rPr>
                <w:sz w:val="22"/>
                <w:szCs w:val="22"/>
                <w:lang w:val="en-US"/>
              </w:rPr>
            </w:pPr>
            <w:r w:rsidRPr="00C93A35">
              <w:rPr>
                <w:sz w:val="22"/>
                <w:szCs w:val="22"/>
                <w:lang w:val="en-US"/>
              </w:rPr>
              <w:t>[0.661]</w:t>
            </w:r>
          </w:p>
        </w:tc>
        <w:tc>
          <w:tcPr>
            <w:tcW w:w="1276" w:type="dxa"/>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(-0.976)</w:t>
            </w:r>
          </w:p>
          <w:p w:rsidR="00E56410" w:rsidRPr="00C93A35" w:rsidRDefault="00E56410" w:rsidP="0072391A">
            <w:pPr>
              <w:jc w:val="center"/>
              <w:rPr>
                <w:b/>
                <w:sz w:val="22"/>
                <w:szCs w:val="22"/>
                <w:lang w:val="en-US"/>
              </w:rPr>
            </w:pPr>
            <w:r w:rsidRPr="00C93A35">
              <w:rPr>
                <w:sz w:val="22"/>
                <w:szCs w:val="22"/>
                <w:lang w:val="en-US"/>
              </w:rPr>
              <w:t>[0.302]</w:t>
            </w:r>
          </w:p>
        </w:tc>
        <w:tc>
          <w:tcPr>
            <w:tcW w:w="1134" w:type="dxa"/>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(0.642)</w:t>
            </w:r>
          </w:p>
          <w:p w:rsidR="00E56410" w:rsidRPr="00C93A35" w:rsidRDefault="00E56410" w:rsidP="0072391A">
            <w:pPr>
              <w:jc w:val="center"/>
              <w:rPr>
                <w:sz w:val="22"/>
                <w:szCs w:val="22"/>
                <w:lang w:val="en-US"/>
              </w:rPr>
            </w:pPr>
            <w:r w:rsidRPr="00C93A35">
              <w:rPr>
                <w:sz w:val="22"/>
                <w:szCs w:val="22"/>
                <w:lang w:val="en-US"/>
              </w:rPr>
              <w:t>[0.799]</w:t>
            </w:r>
          </w:p>
        </w:tc>
        <w:tc>
          <w:tcPr>
            <w:tcW w:w="1275" w:type="dxa"/>
            <w:gridSpan w:val="4"/>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(0.093)</w:t>
            </w:r>
          </w:p>
          <w:p w:rsidR="00E56410" w:rsidRPr="00C93A35" w:rsidRDefault="00E56410" w:rsidP="0072391A">
            <w:pPr>
              <w:jc w:val="center"/>
              <w:rPr>
                <w:sz w:val="22"/>
                <w:szCs w:val="22"/>
                <w:lang w:val="en-US"/>
              </w:rPr>
            </w:pPr>
            <w:r w:rsidRPr="00C93A35">
              <w:rPr>
                <w:sz w:val="22"/>
                <w:szCs w:val="22"/>
                <w:lang w:val="en-US"/>
              </w:rPr>
              <w:t>[0.808]</w:t>
            </w:r>
          </w:p>
        </w:tc>
        <w:tc>
          <w:tcPr>
            <w:tcW w:w="1134" w:type="dxa"/>
            <w:gridSpan w:val="3"/>
          </w:tcPr>
          <w:p w:rsidR="00E56410" w:rsidRPr="00C93A35" w:rsidRDefault="00E56410" w:rsidP="0072391A">
            <w:pPr>
              <w:jc w:val="center"/>
              <w:rPr>
                <w:sz w:val="22"/>
                <w:szCs w:val="22"/>
                <w:lang w:val="en-US"/>
              </w:rPr>
            </w:pPr>
            <w:r w:rsidRPr="00C93A35">
              <w:rPr>
                <w:sz w:val="22"/>
                <w:szCs w:val="22"/>
                <w:lang w:val="en-US"/>
              </w:rPr>
              <w:t>t</w:t>
            </w:r>
          </w:p>
          <w:p w:rsidR="00E56410" w:rsidRPr="00C93A35" w:rsidRDefault="00E56410" w:rsidP="0072391A">
            <w:pPr>
              <w:jc w:val="center"/>
              <w:rPr>
                <w:sz w:val="22"/>
                <w:szCs w:val="22"/>
                <w:lang w:val="en-US"/>
              </w:rPr>
            </w:pPr>
            <w:r w:rsidRPr="00C93A35">
              <w:rPr>
                <w:sz w:val="22"/>
                <w:szCs w:val="22"/>
                <w:lang w:val="en-US"/>
              </w:rPr>
              <w:t>(-2.228)</w:t>
            </w:r>
          </w:p>
          <w:p w:rsidR="00E56410" w:rsidRPr="00C93A35" w:rsidRDefault="00E56410" w:rsidP="0072391A">
            <w:pPr>
              <w:jc w:val="center"/>
              <w:rPr>
                <w:sz w:val="22"/>
                <w:szCs w:val="22"/>
                <w:lang w:val="en-US"/>
              </w:rPr>
            </w:pPr>
            <w:r w:rsidRPr="00C93A35">
              <w:rPr>
                <w:sz w:val="22"/>
                <w:szCs w:val="22"/>
                <w:lang w:val="en-US"/>
              </w:rPr>
              <w:t>[0.102]</w:t>
            </w:r>
          </w:p>
        </w:tc>
        <w:tc>
          <w:tcPr>
            <w:tcW w:w="1134" w:type="dxa"/>
            <w:gridSpan w:val="2"/>
            <w:tcBorders>
              <w:right w:val="single" w:sz="18"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(-0.375)</w:t>
            </w:r>
          </w:p>
          <w:p w:rsidR="00E56410" w:rsidRPr="00C93A35" w:rsidRDefault="00E56410" w:rsidP="0072391A">
            <w:pPr>
              <w:jc w:val="center"/>
              <w:rPr>
                <w:sz w:val="22"/>
                <w:szCs w:val="22"/>
                <w:lang w:val="en-US"/>
              </w:rPr>
            </w:pPr>
            <w:r w:rsidRPr="00C93A35">
              <w:rPr>
                <w:sz w:val="22"/>
                <w:szCs w:val="22"/>
                <w:lang w:val="en-US"/>
              </w:rPr>
              <w:t>[0.325]</w:t>
            </w:r>
          </w:p>
        </w:tc>
      </w:tr>
      <w:tr w:rsidR="00E56410" w:rsidRPr="00C93A35" w:rsidTr="0072391A">
        <w:trPr>
          <w:trHeight w:val="256"/>
        </w:trPr>
        <w:tc>
          <w:tcPr>
            <w:tcW w:w="1135" w:type="dxa"/>
            <w:tcBorders>
              <w:left w:val="single" w:sz="18" w:space="0" w:color="auto"/>
            </w:tcBorders>
          </w:tcPr>
          <w:p w:rsidR="00E56410" w:rsidRPr="00C93A35" w:rsidRDefault="00E56410" w:rsidP="0072391A">
            <w:pPr>
              <w:jc w:val="center"/>
              <w:rPr>
                <w:b/>
                <w:sz w:val="22"/>
                <w:szCs w:val="22"/>
                <w:lang w:val="en-US"/>
              </w:rPr>
            </w:pPr>
            <w:r w:rsidRPr="00C93A35">
              <w:rPr>
                <w:b/>
                <w:sz w:val="22"/>
                <w:szCs w:val="22"/>
                <w:lang w:val="en-US"/>
              </w:rPr>
              <w:t>Corn</w:t>
            </w:r>
          </w:p>
          <w:p w:rsidR="00E56410" w:rsidRPr="00C93A35" w:rsidRDefault="00E56410" w:rsidP="0072391A">
            <w:pPr>
              <w:jc w:val="center"/>
              <w:rPr>
                <w:b/>
                <w:sz w:val="22"/>
                <w:szCs w:val="22"/>
                <w:lang w:val="en-US"/>
              </w:rPr>
            </w:pPr>
            <w:r w:rsidRPr="00C93A35">
              <w:rPr>
                <w:b/>
                <w:sz w:val="22"/>
                <w:szCs w:val="22"/>
                <w:lang w:val="en-US"/>
              </w:rPr>
              <w:t>(</w:t>
            </w:r>
            <w:proofErr w:type="spellStart"/>
            <w:proofErr w:type="gramStart"/>
            <w:r w:rsidRPr="00C93A35">
              <w:rPr>
                <w:b/>
                <w:sz w:val="22"/>
                <w:szCs w:val="22"/>
                <w:lang w:val="en-US"/>
              </w:rPr>
              <w:t>coef</w:t>
            </w:r>
            <w:proofErr w:type="spellEnd"/>
            <w:proofErr w:type="gramEnd"/>
            <w:r w:rsidRPr="00C93A35">
              <w:rPr>
                <w:b/>
                <w:sz w:val="22"/>
                <w:szCs w:val="22"/>
                <w:lang w:val="en-US"/>
              </w:rPr>
              <w:t>.)</w:t>
            </w:r>
          </w:p>
          <w:p w:rsidR="00E56410" w:rsidRPr="00C93A35" w:rsidRDefault="00E56410" w:rsidP="0072391A">
            <w:pPr>
              <w:jc w:val="center"/>
              <w:rPr>
                <w:b/>
                <w:sz w:val="22"/>
                <w:szCs w:val="22"/>
                <w:lang w:val="en-US"/>
              </w:rPr>
            </w:pPr>
            <w:r w:rsidRPr="00C93A35">
              <w:rPr>
                <w:b/>
                <w:sz w:val="22"/>
                <w:szCs w:val="22"/>
                <w:lang w:val="en-US"/>
              </w:rPr>
              <w:t>[p-value]</w:t>
            </w:r>
          </w:p>
        </w:tc>
        <w:tc>
          <w:tcPr>
            <w:tcW w:w="1276"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(7.378)</w:t>
            </w:r>
          </w:p>
          <w:p w:rsidR="00E56410" w:rsidRPr="00C93A35" w:rsidRDefault="00E56410" w:rsidP="0072391A">
            <w:pPr>
              <w:jc w:val="center"/>
              <w:rPr>
                <w:sz w:val="22"/>
                <w:szCs w:val="22"/>
                <w:lang w:val="en-US"/>
              </w:rPr>
            </w:pPr>
            <w:r w:rsidRPr="00C93A35">
              <w:rPr>
                <w:sz w:val="22"/>
                <w:szCs w:val="22"/>
                <w:lang w:val="en-US"/>
              </w:rPr>
              <w:t>[0.277]</w:t>
            </w:r>
          </w:p>
        </w:tc>
        <w:tc>
          <w:tcPr>
            <w:tcW w:w="1559"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(22.804)</w:t>
            </w:r>
          </w:p>
          <w:p w:rsidR="00E56410" w:rsidRPr="00C93A35" w:rsidRDefault="00E56410" w:rsidP="0072391A">
            <w:pPr>
              <w:jc w:val="center"/>
              <w:rPr>
                <w:sz w:val="22"/>
                <w:szCs w:val="22"/>
                <w:lang w:val="en-US"/>
              </w:rPr>
            </w:pPr>
            <w:r w:rsidRPr="00C93A35">
              <w:rPr>
                <w:sz w:val="22"/>
                <w:szCs w:val="22"/>
                <w:lang w:val="en-US"/>
              </w:rPr>
              <w:t>[0]***</w:t>
            </w:r>
          </w:p>
        </w:tc>
        <w:tc>
          <w:tcPr>
            <w:tcW w:w="1276"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(19.048)</w:t>
            </w:r>
          </w:p>
          <w:p w:rsidR="00E56410" w:rsidRPr="00C93A35" w:rsidRDefault="00E56410" w:rsidP="0072391A">
            <w:pPr>
              <w:jc w:val="center"/>
              <w:rPr>
                <w:sz w:val="22"/>
                <w:szCs w:val="22"/>
                <w:lang w:val="en-US"/>
              </w:rPr>
            </w:pPr>
            <w:r w:rsidRPr="00C93A35">
              <w:rPr>
                <w:sz w:val="22"/>
                <w:szCs w:val="22"/>
                <w:lang w:val="en-US"/>
              </w:rPr>
              <w:t>[0]***</w:t>
            </w:r>
          </w:p>
        </w:tc>
        <w:tc>
          <w:tcPr>
            <w:tcW w:w="1276" w:type="dxa"/>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(-6.302)</w:t>
            </w:r>
          </w:p>
          <w:p w:rsidR="00E56410" w:rsidRPr="00C93A35" w:rsidRDefault="00E56410" w:rsidP="0072391A">
            <w:pPr>
              <w:jc w:val="center"/>
              <w:rPr>
                <w:sz w:val="22"/>
                <w:szCs w:val="22"/>
                <w:lang w:val="en-US"/>
              </w:rPr>
            </w:pPr>
            <w:r w:rsidRPr="00C93A35">
              <w:rPr>
                <w:sz w:val="22"/>
                <w:szCs w:val="22"/>
                <w:lang w:val="en-US"/>
              </w:rPr>
              <w:t>[0.318]</w:t>
            </w:r>
          </w:p>
        </w:tc>
        <w:tc>
          <w:tcPr>
            <w:tcW w:w="1134" w:type="dxa"/>
          </w:tcPr>
          <w:p w:rsidR="00E56410" w:rsidRPr="00C93A35" w:rsidRDefault="00E56410" w:rsidP="0072391A">
            <w:pPr>
              <w:jc w:val="center"/>
              <w:rPr>
                <w:sz w:val="22"/>
                <w:szCs w:val="22"/>
                <w:lang w:val="en-US"/>
              </w:rPr>
            </w:pPr>
            <w:r w:rsidRPr="00C93A35">
              <w:rPr>
                <w:sz w:val="22"/>
                <w:szCs w:val="22"/>
                <w:lang w:val="en-US"/>
              </w:rPr>
              <w:t>t</w:t>
            </w:r>
          </w:p>
          <w:p w:rsidR="00E56410" w:rsidRPr="00C93A35" w:rsidRDefault="00E56410" w:rsidP="0072391A">
            <w:pPr>
              <w:jc w:val="center"/>
              <w:rPr>
                <w:sz w:val="22"/>
                <w:szCs w:val="22"/>
                <w:lang w:val="en-US"/>
              </w:rPr>
            </w:pPr>
            <w:r w:rsidRPr="00C93A35">
              <w:rPr>
                <w:sz w:val="22"/>
                <w:szCs w:val="22"/>
                <w:lang w:val="en-US"/>
              </w:rPr>
              <w:t>(1.46)</w:t>
            </w:r>
          </w:p>
          <w:p w:rsidR="00E56410" w:rsidRPr="00C93A35" w:rsidRDefault="00E56410" w:rsidP="0072391A">
            <w:pPr>
              <w:jc w:val="center"/>
              <w:rPr>
                <w:sz w:val="22"/>
                <w:szCs w:val="22"/>
                <w:lang w:val="en-US"/>
              </w:rPr>
            </w:pPr>
            <w:r w:rsidRPr="00C93A35">
              <w:rPr>
                <w:sz w:val="22"/>
                <w:szCs w:val="22"/>
                <w:lang w:val="en-US"/>
              </w:rPr>
              <w:t>[0.61]</w:t>
            </w:r>
          </w:p>
        </w:tc>
        <w:tc>
          <w:tcPr>
            <w:tcW w:w="1275" w:type="dxa"/>
            <w:gridSpan w:val="4"/>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(5.887)</w:t>
            </w:r>
          </w:p>
          <w:p w:rsidR="00E56410" w:rsidRPr="00C93A35" w:rsidRDefault="00E56410" w:rsidP="0072391A">
            <w:pPr>
              <w:jc w:val="center"/>
              <w:rPr>
                <w:sz w:val="22"/>
                <w:szCs w:val="22"/>
                <w:lang w:val="en-US"/>
              </w:rPr>
            </w:pPr>
            <w:r w:rsidRPr="00C93A35">
              <w:rPr>
                <w:sz w:val="22"/>
                <w:szCs w:val="22"/>
                <w:lang w:val="en-US"/>
              </w:rPr>
              <w:t>[0.114]</w:t>
            </w:r>
          </w:p>
        </w:tc>
        <w:tc>
          <w:tcPr>
            <w:tcW w:w="1134" w:type="dxa"/>
            <w:gridSpan w:val="3"/>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(-7.411)</w:t>
            </w:r>
          </w:p>
          <w:p w:rsidR="00E56410" w:rsidRPr="00C93A35" w:rsidRDefault="00E56410" w:rsidP="0072391A">
            <w:pPr>
              <w:jc w:val="center"/>
              <w:rPr>
                <w:sz w:val="22"/>
                <w:szCs w:val="22"/>
                <w:lang w:val="en-US"/>
              </w:rPr>
            </w:pPr>
            <w:r w:rsidRPr="00C93A35">
              <w:rPr>
                <w:sz w:val="22"/>
                <w:szCs w:val="22"/>
                <w:lang w:val="en-US"/>
              </w:rPr>
              <w:t>[0.258]</w:t>
            </w:r>
          </w:p>
        </w:tc>
        <w:tc>
          <w:tcPr>
            <w:tcW w:w="1134" w:type="dxa"/>
            <w:gridSpan w:val="2"/>
            <w:tcBorders>
              <w:right w:val="single" w:sz="18"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(-5.652)</w:t>
            </w:r>
          </w:p>
          <w:p w:rsidR="00E56410" w:rsidRPr="00C93A35" w:rsidRDefault="00E56410" w:rsidP="0072391A">
            <w:pPr>
              <w:jc w:val="center"/>
              <w:rPr>
                <w:sz w:val="22"/>
                <w:szCs w:val="22"/>
                <w:lang w:val="en-US"/>
              </w:rPr>
            </w:pPr>
            <w:r w:rsidRPr="00C93A35">
              <w:rPr>
                <w:sz w:val="22"/>
                <w:szCs w:val="22"/>
                <w:lang w:val="en-US"/>
              </w:rPr>
              <w:t>[0.067]*</w:t>
            </w:r>
          </w:p>
        </w:tc>
      </w:tr>
      <w:tr w:rsidR="00E56410" w:rsidRPr="00C93A35" w:rsidTr="00431D55">
        <w:trPr>
          <w:trHeight w:val="948"/>
        </w:trPr>
        <w:tc>
          <w:tcPr>
            <w:tcW w:w="1135" w:type="dxa"/>
            <w:tcBorders>
              <w:left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Copper</w:t>
            </w:r>
          </w:p>
          <w:p w:rsidR="00E56410" w:rsidRPr="00C93A35" w:rsidRDefault="00E56410" w:rsidP="0072391A">
            <w:pPr>
              <w:jc w:val="center"/>
              <w:rPr>
                <w:b/>
                <w:sz w:val="22"/>
                <w:szCs w:val="22"/>
                <w:lang w:val="en-US"/>
              </w:rPr>
            </w:pPr>
            <w:r w:rsidRPr="00C93A35">
              <w:rPr>
                <w:b/>
                <w:sz w:val="22"/>
                <w:szCs w:val="22"/>
                <w:lang w:val="en-US"/>
              </w:rPr>
              <w:t>(</w:t>
            </w:r>
            <w:proofErr w:type="spellStart"/>
            <w:proofErr w:type="gramStart"/>
            <w:r w:rsidRPr="00C93A35">
              <w:rPr>
                <w:b/>
                <w:sz w:val="22"/>
                <w:szCs w:val="22"/>
                <w:lang w:val="en-US"/>
              </w:rPr>
              <w:t>coef</w:t>
            </w:r>
            <w:proofErr w:type="spellEnd"/>
            <w:proofErr w:type="gramEnd"/>
            <w:r w:rsidRPr="00C93A35">
              <w:rPr>
                <w:b/>
                <w:sz w:val="22"/>
                <w:szCs w:val="22"/>
                <w:lang w:val="en-US"/>
              </w:rPr>
              <w:t>.)</w:t>
            </w:r>
          </w:p>
          <w:p w:rsidR="00E56410" w:rsidRPr="00C93A35" w:rsidRDefault="00E56410" w:rsidP="0072391A">
            <w:pPr>
              <w:jc w:val="center"/>
              <w:rPr>
                <w:b/>
                <w:sz w:val="22"/>
                <w:szCs w:val="22"/>
                <w:lang w:val="en-US"/>
              </w:rPr>
            </w:pPr>
            <w:r w:rsidRPr="00C93A35">
              <w:rPr>
                <w:b/>
                <w:sz w:val="22"/>
                <w:szCs w:val="22"/>
                <w:lang w:val="en-US"/>
              </w:rPr>
              <w:t>[p-value]</w:t>
            </w:r>
          </w:p>
        </w:tc>
        <w:tc>
          <w:tcPr>
            <w:tcW w:w="1276" w:type="dxa"/>
            <w:gridSpan w:val="2"/>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(21.968)</w:t>
            </w:r>
          </w:p>
          <w:p w:rsidR="00E56410" w:rsidRPr="00C93A35" w:rsidRDefault="00E56410" w:rsidP="0072391A">
            <w:pPr>
              <w:jc w:val="center"/>
              <w:rPr>
                <w:sz w:val="22"/>
                <w:szCs w:val="22"/>
                <w:lang w:val="en-US"/>
              </w:rPr>
            </w:pPr>
            <w:r w:rsidRPr="00C93A35">
              <w:rPr>
                <w:sz w:val="22"/>
                <w:szCs w:val="22"/>
                <w:lang w:val="en-US"/>
              </w:rPr>
              <w:t>[0.181]</w:t>
            </w:r>
          </w:p>
        </w:tc>
        <w:tc>
          <w:tcPr>
            <w:tcW w:w="1559" w:type="dxa"/>
            <w:gridSpan w:val="2"/>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(29.440)</w:t>
            </w:r>
          </w:p>
          <w:p w:rsidR="00E56410" w:rsidRPr="00C93A35" w:rsidRDefault="00E56410" w:rsidP="0072391A">
            <w:pPr>
              <w:jc w:val="center"/>
              <w:rPr>
                <w:sz w:val="22"/>
                <w:szCs w:val="22"/>
                <w:lang w:val="en-US"/>
              </w:rPr>
            </w:pPr>
            <w:r w:rsidRPr="00C93A35">
              <w:rPr>
                <w:sz w:val="22"/>
                <w:szCs w:val="22"/>
                <w:lang w:val="en-US"/>
              </w:rPr>
              <w:t>[0.004]***</w:t>
            </w:r>
          </w:p>
        </w:tc>
        <w:tc>
          <w:tcPr>
            <w:tcW w:w="1276" w:type="dxa"/>
            <w:gridSpan w:val="2"/>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(34.653)</w:t>
            </w:r>
          </w:p>
          <w:p w:rsidR="00E56410" w:rsidRPr="00C93A35" w:rsidRDefault="00E56410" w:rsidP="0072391A">
            <w:pPr>
              <w:jc w:val="center"/>
              <w:rPr>
                <w:sz w:val="22"/>
                <w:szCs w:val="22"/>
                <w:lang w:val="en-US"/>
              </w:rPr>
            </w:pPr>
            <w:r w:rsidRPr="00C93A35">
              <w:rPr>
                <w:sz w:val="22"/>
                <w:szCs w:val="22"/>
                <w:lang w:val="en-US"/>
              </w:rPr>
              <w:t>[0]***</w:t>
            </w:r>
          </w:p>
        </w:tc>
        <w:tc>
          <w:tcPr>
            <w:tcW w:w="1276" w:type="dxa"/>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(-7.928)</w:t>
            </w:r>
          </w:p>
          <w:p w:rsidR="00E56410" w:rsidRPr="00C93A35" w:rsidRDefault="00E56410" w:rsidP="0072391A">
            <w:pPr>
              <w:jc w:val="center"/>
              <w:rPr>
                <w:sz w:val="22"/>
                <w:szCs w:val="22"/>
                <w:lang w:val="en-US"/>
              </w:rPr>
            </w:pPr>
            <w:r w:rsidRPr="00C93A35">
              <w:rPr>
                <w:sz w:val="22"/>
                <w:szCs w:val="22"/>
                <w:lang w:val="en-US"/>
              </w:rPr>
              <w:t>[0.491]</w:t>
            </w:r>
          </w:p>
        </w:tc>
        <w:tc>
          <w:tcPr>
            <w:tcW w:w="1134" w:type="dxa"/>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(-4.221)</w:t>
            </w:r>
          </w:p>
          <w:p w:rsidR="00E56410" w:rsidRPr="00C93A35" w:rsidRDefault="00E56410" w:rsidP="0072391A">
            <w:pPr>
              <w:jc w:val="center"/>
              <w:rPr>
                <w:sz w:val="22"/>
                <w:szCs w:val="22"/>
                <w:lang w:val="en-US"/>
              </w:rPr>
            </w:pPr>
            <w:r w:rsidRPr="00C93A35">
              <w:rPr>
                <w:sz w:val="22"/>
                <w:szCs w:val="22"/>
                <w:lang w:val="en-US"/>
              </w:rPr>
              <w:t>[0.459]</w:t>
            </w:r>
          </w:p>
        </w:tc>
        <w:tc>
          <w:tcPr>
            <w:tcW w:w="1275" w:type="dxa"/>
            <w:gridSpan w:val="4"/>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(2.216)</w:t>
            </w:r>
          </w:p>
          <w:p w:rsidR="00E56410" w:rsidRPr="00C93A35" w:rsidRDefault="00E56410" w:rsidP="0072391A">
            <w:pPr>
              <w:jc w:val="center"/>
              <w:rPr>
                <w:sz w:val="22"/>
                <w:szCs w:val="22"/>
                <w:lang w:val="en-US"/>
              </w:rPr>
            </w:pPr>
            <w:r w:rsidRPr="00C93A35">
              <w:rPr>
                <w:sz w:val="22"/>
                <w:szCs w:val="22"/>
                <w:lang w:val="en-US"/>
              </w:rPr>
              <w:t>[0.689]</w:t>
            </w:r>
          </w:p>
        </w:tc>
        <w:tc>
          <w:tcPr>
            <w:tcW w:w="1134" w:type="dxa"/>
            <w:gridSpan w:val="3"/>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(14.101)</w:t>
            </w:r>
          </w:p>
          <w:p w:rsidR="00E56410" w:rsidRPr="00C93A35" w:rsidRDefault="00E56410" w:rsidP="0072391A">
            <w:pPr>
              <w:jc w:val="center"/>
              <w:rPr>
                <w:sz w:val="22"/>
                <w:szCs w:val="22"/>
                <w:lang w:val="en-US"/>
              </w:rPr>
            </w:pPr>
            <w:r w:rsidRPr="00C93A35">
              <w:rPr>
                <w:sz w:val="22"/>
                <w:szCs w:val="22"/>
                <w:lang w:val="en-US"/>
              </w:rPr>
              <w:t>[0.103]</w:t>
            </w:r>
          </w:p>
        </w:tc>
        <w:tc>
          <w:tcPr>
            <w:tcW w:w="1134" w:type="dxa"/>
            <w:gridSpan w:val="2"/>
            <w:tcBorders>
              <w:bottom w:val="single" w:sz="12" w:space="0" w:color="auto"/>
              <w:right w:val="single" w:sz="18"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(-7.835)</w:t>
            </w:r>
          </w:p>
          <w:p w:rsidR="00E56410" w:rsidRPr="00C93A35" w:rsidRDefault="00E56410" w:rsidP="0072391A">
            <w:pPr>
              <w:jc w:val="center"/>
              <w:rPr>
                <w:sz w:val="22"/>
                <w:szCs w:val="22"/>
                <w:lang w:val="en-US"/>
              </w:rPr>
            </w:pPr>
            <w:r w:rsidRPr="00C93A35">
              <w:rPr>
                <w:sz w:val="22"/>
                <w:szCs w:val="22"/>
                <w:lang w:val="en-US"/>
              </w:rPr>
              <w:t>[0.133]</w:t>
            </w:r>
          </w:p>
        </w:tc>
      </w:tr>
      <w:tr w:rsidR="00E56410" w:rsidRPr="00C93A35" w:rsidTr="00431D55">
        <w:trPr>
          <w:trHeight w:val="259"/>
        </w:trPr>
        <w:tc>
          <w:tcPr>
            <w:tcW w:w="11199" w:type="dxa"/>
            <w:gridSpan w:val="18"/>
            <w:tcBorders>
              <w:top w:val="single" w:sz="12" w:space="0" w:color="auto"/>
              <w:left w:val="single" w:sz="18" w:space="0" w:color="auto"/>
              <w:right w:val="single" w:sz="18" w:space="0" w:color="auto"/>
            </w:tcBorders>
            <w:shd w:val="clear" w:color="auto" w:fill="B6DDE8" w:themeFill="accent5" w:themeFillTint="66"/>
          </w:tcPr>
          <w:p w:rsidR="00E56410" w:rsidRPr="00C93A35" w:rsidRDefault="00E56410" w:rsidP="0072391A">
            <w:pPr>
              <w:jc w:val="center"/>
              <w:rPr>
                <w:b/>
                <w:sz w:val="22"/>
                <w:szCs w:val="22"/>
                <w:lang w:val="en-US"/>
              </w:rPr>
            </w:pPr>
          </w:p>
          <w:p w:rsidR="00E56410" w:rsidRPr="00C93A35" w:rsidRDefault="00E56410" w:rsidP="0072391A">
            <w:pPr>
              <w:jc w:val="center"/>
              <w:rPr>
                <w:b/>
                <w:sz w:val="22"/>
                <w:szCs w:val="22"/>
                <w:lang w:val="en-US"/>
              </w:rPr>
            </w:pPr>
            <w:r w:rsidRPr="00C93A35">
              <w:rPr>
                <w:b/>
                <w:sz w:val="22"/>
                <w:szCs w:val="22"/>
                <w:lang w:val="en-US"/>
              </w:rPr>
              <w:t>Panel B : Currencies</w:t>
            </w:r>
          </w:p>
          <w:p w:rsidR="00E56410" w:rsidRPr="00C93A35" w:rsidRDefault="00E56410" w:rsidP="0072391A">
            <w:pPr>
              <w:jc w:val="center"/>
              <w:rPr>
                <w:sz w:val="22"/>
                <w:szCs w:val="22"/>
                <w:lang w:val="en-US"/>
              </w:rPr>
            </w:pPr>
          </w:p>
        </w:tc>
      </w:tr>
      <w:tr w:rsidR="00E56410" w:rsidRPr="00C93A35" w:rsidTr="0072391A">
        <w:trPr>
          <w:trHeight w:val="504"/>
        </w:trPr>
        <w:tc>
          <w:tcPr>
            <w:tcW w:w="1135" w:type="dxa"/>
            <w:tcBorders>
              <w:left w:val="single" w:sz="18" w:space="0" w:color="auto"/>
            </w:tcBorders>
          </w:tcPr>
          <w:p w:rsidR="00E56410" w:rsidRPr="00C93A35" w:rsidRDefault="00E56410" w:rsidP="0072391A">
            <w:pPr>
              <w:jc w:val="center"/>
              <w:rPr>
                <w:b/>
                <w:sz w:val="22"/>
                <w:szCs w:val="22"/>
                <w:lang w:val="en-US"/>
              </w:rPr>
            </w:pPr>
            <w:r w:rsidRPr="00C93A35">
              <w:rPr>
                <w:b/>
                <w:sz w:val="22"/>
                <w:szCs w:val="22"/>
                <w:lang w:val="en-US"/>
              </w:rPr>
              <w:t>swiss_usd</w:t>
            </w:r>
          </w:p>
          <w:p w:rsidR="00E56410" w:rsidRPr="00C93A35" w:rsidRDefault="00E56410" w:rsidP="0072391A">
            <w:pPr>
              <w:jc w:val="center"/>
              <w:rPr>
                <w:b/>
                <w:sz w:val="22"/>
                <w:szCs w:val="22"/>
                <w:lang w:val="en-US"/>
              </w:rPr>
            </w:pPr>
            <w:r w:rsidRPr="00C93A35">
              <w:rPr>
                <w:b/>
                <w:sz w:val="22"/>
                <w:szCs w:val="22"/>
                <w:lang w:val="en-US"/>
              </w:rPr>
              <w:t>(</w:t>
            </w:r>
            <w:proofErr w:type="spellStart"/>
            <w:proofErr w:type="gramStart"/>
            <w:r w:rsidRPr="00C93A35">
              <w:rPr>
                <w:b/>
                <w:sz w:val="22"/>
                <w:szCs w:val="22"/>
                <w:lang w:val="en-US"/>
              </w:rPr>
              <w:t>coef</w:t>
            </w:r>
            <w:proofErr w:type="spellEnd"/>
            <w:proofErr w:type="gramEnd"/>
            <w:r w:rsidRPr="00C93A35">
              <w:rPr>
                <w:b/>
                <w:sz w:val="22"/>
                <w:szCs w:val="22"/>
                <w:lang w:val="en-US"/>
              </w:rPr>
              <w:t>.)</w:t>
            </w:r>
          </w:p>
          <w:p w:rsidR="00E56410" w:rsidRPr="00C93A35" w:rsidRDefault="00E56410" w:rsidP="0072391A">
            <w:pPr>
              <w:jc w:val="center"/>
              <w:rPr>
                <w:b/>
                <w:sz w:val="22"/>
                <w:szCs w:val="22"/>
                <w:lang w:val="en-US"/>
              </w:rPr>
            </w:pPr>
            <w:r w:rsidRPr="00C93A35">
              <w:rPr>
                <w:b/>
                <w:sz w:val="22"/>
                <w:szCs w:val="22"/>
                <w:lang w:val="en-US"/>
              </w:rPr>
              <w:t>[p-value]</w:t>
            </w:r>
          </w:p>
        </w:tc>
        <w:tc>
          <w:tcPr>
            <w:tcW w:w="1276"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1.445</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[0.0</w:t>
            </w:r>
            <w:r>
              <w:rPr>
                <w:sz w:val="22"/>
                <w:szCs w:val="22"/>
                <w:lang w:val="en-US"/>
              </w:rPr>
              <w:t>94</w:t>
            </w:r>
            <w:r w:rsidRPr="00C93A35">
              <w:rPr>
                <w:sz w:val="22"/>
                <w:szCs w:val="22"/>
                <w:lang w:val="en-US"/>
              </w:rPr>
              <w:t>]*</w:t>
            </w:r>
          </w:p>
        </w:tc>
        <w:tc>
          <w:tcPr>
            <w:tcW w:w="1559" w:type="dxa"/>
            <w:gridSpan w:val="2"/>
          </w:tcPr>
          <w:p w:rsidR="00E56410" w:rsidRPr="00C93A35" w:rsidRDefault="00E56410" w:rsidP="0072391A">
            <w:pPr>
              <w:jc w:val="center"/>
              <w:rPr>
                <w:sz w:val="22"/>
                <w:szCs w:val="22"/>
                <w:lang w:val="en-US"/>
              </w:rPr>
            </w:pPr>
            <w:r>
              <w:rPr>
                <w:sz w:val="22"/>
                <w:szCs w:val="22"/>
                <w:lang w:val="en-US"/>
              </w:rPr>
              <w:t>t+</w:t>
            </w:r>
            <w:r w:rsidRPr="00C93A35">
              <w:rPr>
                <w:sz w:val="22"/>
                <w:szCs w:val="22"/>
                <w:lang w:val="en-US"/>
              </w:rPr>
              <w: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1.531</w:t>
            </w:r>
            <w:r w:rsidRPr="00C93A35">
              <w:rPr>
                <w:sz w:val="22"/>
                <w:szCs w:val="22"/>
                <w:lang w:val="en-US"/>
              </w:rPr>
              <w:t>)</w:t>
            </w:r>
          </w:p>
          <w:p w:rsidR="00E56410" w:rsidRPr="00C93A35" w:rsidRDefault="00E56410" w:rsidP="0072391A">
            <w:pPr>
              <w:jc w:val="center"/>
              <w:rPr>
                <w:sz w:val="22"/>
                <w:szCs w:val="22"/>
              </w:rPr>
            </w:pPr>
            <w:r>
              <w:rPr>
                <w:sz w:val="22"/>
                <w:szCs w:val="22"/>
                <w:lang w:val="en-US"/>
              </w:rPr>
              <w:t>[0.088</w:t>
            </w:r>
            <w:r w:rsidRPr="00C93A35">
              <w:rPr>
                <w:sz w:val="22"/>
                <w:szCs w:val="22"/>
                <w:lang w:val="en-US"/>
              </w:rPr>
              <w:t>]*</w:t>
            </w:r>
          </w:p>
        </w:tc>
        <w:tc>
          <w:tcPr>
            <w:tcW w:w="1276" w:type="dxa"/>
            <w:gridSpan w:val="2"/>
          </w:tcPr>
          <w:p w:rsidR="00E56410" w:rsidRPr="00C93A35" w:rsidRDefault="00E56410" w:rsidP="0072391A">
            <w:pPr>
              <w:jc w:val="center"/>
              <w:rPr>
                <w:sz w:val="22"/>
                <w:szCs w:val="22"/>
                <w:lang w:val="en-US"/>
              </w:rPr>
            </w:pPr>
            <w:r>
              <w:rPr>
                <w:sz w:val="22"/>
                <w:szCs w:val="22"/>
                <w:lang w:val="en-US"/>
              </w:rPr>
              <w:t>t-</w:t>
            </w:r>
            <w:r w:rsidRPr="00C93A35">
              <w:rPr>
                <w:sz w:val="22"/>
                <w:szCs w:val="22"/>
                <w:lang w:val="en-US"/>
              </w:rPr>
              <w:t>1</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826</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.148</w:t>
            </w:r>
            <w:r w:rsidRPr="00C93A35">
              <w:rPr>
                <w:sz w:val="22"/>
                <w:szCs w:val="22"/>
                <w:lang w:val="en-US"/>
              </w:rPr>
              <w:t>]</w:t>
            </w:r>
          </w:p>
        </w:tc>
        <w:tc>
          <w:tcPr>
            <w:tcW w:w="1276" w:type="dxa"/>
          </w:tcPr>
          <w:p w:rsidR="00E56410" w:rsidRPr="00C93A35" w:rsidRDefault="00E56410" w:rsidP="0072391A">
            <w:pPr>
              <w:jc w:val="center"/>
              <w:rPr>
                <w:sz w:val="22"/>
                <w:szCs w:val="22"/>
                <w:lang w:val="en-US"/>
              </w:rPr>
            </w:pPr>
            <w:r>
              <w:rPr>
                <w:sz w:val="22"/>
                <w:szCs w:val="22"/>
                <w:lang w:val="en-US"/>
              </w:rPr>
              <w:t>t</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-0.799</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21</w:t>
            </w:r>
            <w:r w:rsidRPr="00C93A35">
              <w:rPr>
                <w:sz w:val="22"/>
                <w:szCs w:val="22"/>
                <w:lang w:val="en-US"/>
              </w:rPr>
              <w:t>2]</w:t>
            </w:r>
          </w:p>
        </w:tc>
        <w:tc>
          <w:tcPr>
            <w:tcW w:w="1275" w:type="dxa"/>
            <w:gridSpan w:val="2"/>
          </w:tcPr>
          <w:p w:rsidR="00E56410" w:rsidRPr="00C93A35" w:rsidRDefault="00E56410" w:rsidP="0072391A">
            <w:pPr>
              <w:jc w:val="center"/>
              <w:rPr>
                <w:sz w:val="22"/>
                <w:szCs w:val="22"/>
                <w:lang w:val="en-US"/>
              </w:rPr>
            </w:pPr>
            <w:r>
              <w:rPr>
                <w:sz w:val="22"/>
                <w:szCs w:val="22"/>
                <w:lang w:val="en-US"/>
              </w:rPr>
              <w:t>t</w:t>
            </w:r>
          </w:p>
          <w:p w:rsidR="00E56410" w:rsidRPr="00C93A35" w:rsidRDefault="00E56410" w:rsidP="0072391A">
            <w:pPr>
              <w:jc w:val="center"/>
              <w:rPr>
                <w:sz w:val="22"/>
                <w:szCs w:val="22"/>
                <w:lang w:val="en-US"/>
              </w:rPr>
            </w:pPr>
            <w:r>
              <w:rPr>
                <w:sz w:val="22"/>
                <w:szCs w:val="22"/>
                <w:lang w:val="en-US"/>
              </w:rPr>
              <w:t>(0.491</w:t>
            </w:r>
            <w:r w:rsidRPr="00C93A35">
              <w:rPr>
                <w:sz w:val="22"/>
                <w:szCs w:val="22"/>
                <w:lang w:val="en-US"/>
              </w:rPr>
              <w:t>)</w:t>
            </w:r>
          </w:p>
          <w:p w:rsidR="00E56410" w:rsidRPr="00C93A35" w:rsidRDefault="00E56410" w:rsidP="0072391A">
            <w:pPr>
              <w:jc w:val="center"/>
              <w:rPr>
                <w:sz w:val="22"/>
                <w:szCs w:val="22"/>
              </w:rPr>
            </w:pPr>
            <w:r>
              <w:rPr>
                <w:sz w:val="22"/>
                <w:szCs w:val="22"/>
                <w:lang w:val="en-US"/>
              </w:rPr>
              <w:t>[0.07</w:t>
            </w:r>
            <w:r w:rsidRPr="00C93A35">
              <w:rPr>
                <w:sz w:val="22"/>
                <w:szCs w:val="22"/>
                <w:lang w:val="en-US"/>
              </w:rPr>
              <w:t>8]</w:t>
            </w:r>
            <w:r>
              <w:rPr>
                <w:sz w:val="22"/>
                <w:szCs w:val="22"/>
                <w:lang w:val="en-US"/>
              </w:rPr>
              <w:t>*</w:t>
            </w:r>
          </w:p>
        </w:tc>
        <w:tc>
          <w:tcPr>
            <w:tcW w:w="1134" w:type="dxa"/>
            <w:gridSpan w:val="3"/>
          </w:tcPr>
          <w:p w:rsidR="00E56410" w:rsidRPr="00C93A35" w:rsidRDefault="00E56410" w:rsidP="0072391A">
            <w:pPr>
              <w:jc w:val="center"/>
              <w:rPr>
                <w:sz w:val="22"/>
                <w:szCs w:val="22"/>
                <w:lang w:val="en-US"/>
              </w:rPr>
            </w:pPr>
            <w:r>
              <w:rPr>
                <w:sz w:val="22"/>
                <w:szCs w:val="22"/>
                <w:lang w:val="en-US"/>
              </w:rPr>
              <w:t>t</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-0.307</w:t>
            </w:r>
            <w:r w:rsidRPr="00C93A35">
              <w:rPr>
                <w:sz w:val="22"/>
                <w:szCs w:val="22"/>
                <w:lang w:val="en-US"/>
              </w:rPr>
              <w:t>)</w:t>
            </w:r>
          </w:p>
          <w:p w:rsidR="00E56410" w:rsidRPr="00C93A35" w:rsidRDefault="00E56410" w:rsidP="0072391A">
            <w:pPr>
              <w:jc w:val="center"/>
              <w:rPr>
                <w:sz w:val="22"/>
                <w:szCs w:val="22"/>
              </w:rPr>
            </w:pPr>
            <w:r w:rsidRPr="00C93A35">
              <w:rPr>
                <w:sz w:val="22"/>
                <w:szCs w:val="22"/>
                <w:lang w:val="en-US"/>
              </w:rPr>
              <w:t>[0.</w:t>
            </w:r>
            <w:r>
              <w:rPr>
                <w:sz w:val="22"/>
                <w:szCs w:val="22"/>
                <w:lang w:val="en-US"/>
              </w:rPr>
              <w:t>178</w:t>
            </w:r>
            <w:r w:rsidRPr="00C93A35">
              <w:rPr>
                <w:sz w:val="22"/>
                <w:szCs w:val="22"/>
                <w:lang w:val="en-US"/>
              </w:rPr>
              <w:t>]</w:t>
            </w:r>
          </w:p>
        </w:tc>
        <w:tc>
          <w:tcPr>
            <w:tcW w:w="1276" w:type="dxa"/>
            <w:gridSpan w:val="4"/>
          </w:tcPr>
          <w:p w:rsidR="00E56410" w:rsidRPr="00C93A35" w:rsidRDefault="00E56410" w:rsidP="0072391A">
            <w:pPr>
              <w:jc w:val="center"/>
              <w:rPr>
                <w:sz w:val="22"/>
                <w:szCs w:val="22"/>
                <w:lang w:val="en-US"/>
              </w:rPr>
            </w:pPr>
            <w:r w:rsidRPr="00C93A35">
              <w:rPr>
                <w:sz w:val="22"/>
                <w:szCs w:val="22"/>
                <w:lang w:val="en-US"/>
              </w:rPr>
              <w:t>t</w:t>
            </w:r>
            <w:r>
              <w:rPr>
                <w:sz w:val="22"/>
                <w:szCs w:val="22"/>
                <w:lang w:val="en-US"/>
              </w:rPr>
              <w: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-1.248</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08</w:t>
            </w:r>
            <w:r w:rsidRPr="00C93A35">
              <w:rPr>
                <w:sz w:val="22"/>
                <w:szCs w:val="22"/>
                <w:lang w:val="en-US"/>
              </w:rPr>
              <w:t>8]</w:t>
            </w:r>
            <w:r>
              <w:rPr>
                <w:sz w:val="22"/>
                <w:szCs w:val="22"/>
                <w:lang w:val="en-US"/>
              </w:rPr>
              <w:t>*</w:t>
            </w:r>
          </w:p>
        </w:tc>
        <w:tc>
          <w:tcPr>
            <w:tcW w:w="992" w:type="dxa"/>
            <w:tcBorders>
              <w:right w:val="single" w:sz="18"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Pr>
                <w:sz w:val="22"/>
                <w:szCs w:val="22"/>
                <w:lang w:val="en-US"/>
              </w:rPr>
              <w:t>(0.400)</w:t>
            </w:r>
          </w:p>
          <w:p w:rsidR="00E56410" w:rsidRPr="00C93A35" w:rsidRDefault="00E56410" w:rsidP="0072391A">
            <w:pPr>
              <w:jc w:val="center"/>
              <w:rPr>
                <w:sz w:val="22"/>
                <w:szCs w:val="22"/>
              </w:rPr>
            </w:pPr>
            <w:r w:rsidRPr="00C93A35">
              <w:rPr>
                <w:sz w:val="22"/>
                <w:szCs w:val="22"/>
                <w:lang w:val="en-US"/>
              </w:rPr>
              <w:t>[0.</w:t>
            </w:r>
            <w:r>
              <w:rPr>
                <w:sz w:val="22"/>
                <w:szCs w:val="22"/>
                <w:lang w:val="en-US"/>
              </w:rPr>
              <w:t>141</w:t>
            </w:r>
            <w:r w:rsidRPr="00C93A35">
              <w:rPr>
                <w:sz w:val="22"/>
                <w:szCs w:val="22"/>
                <w:lang w:val="en-US"/>
              </w:rPr>
              <w:t>]</w:t>
            </w:r>
          </w:p>
        </w:tc>
      </w:tr>
      <w:tr w:rsidR="00E56410" w:rsidRPr="00D27070" w:rsidTr="0072391A">
        <w:trPr>
          <w:trHeight w:val="814"/>
        </w:trPr>
        <w:tc>
          <w:tcPr>
            <w:tcW w:w="1135" w:type="dxa"/>
            <w:tcBorders>
              <w:left w:val="single" w:sz="18" w:space="0" w:color="auto"/>
            </w:tcBorders>
          </w:tcPr>
          <w:p w:rsidR="00E56410" w:rsidRPr="00C93A35" w:rsidRDefault="00E56410" w:rsidP="0072391A">
            <w:pPr>
              <w:jc w:val="center"/>
              <w:rPr>
                <w:b/>
                <w:sz w:val="22"/>
                <w:szCs w:val="22"/>
                <w:lang w:val="en-US"/>
              </w:rPr>
            </w:pPr>
            <w:r w:rsidRPr="00C93A35">
              <w:rPr>
                <w:b/>
                <w:sz w:val="22"/>
                <w:szCs w:val="22"/>
                <w:lang w:val="en-US"/>
              </w:rPr>
              <w:t>eur_usd</w:t>
            </w:r>
          </w:p>
          <w:p w:rsidR="00E56410" w:rsidRPr="00C93A35" w:rsidRDefault="00E56410" w:rsidP="0072391A">
            <w:pPr>
              <w:jc w:val="center"/>
              <w:rPr>
                <w:b/>
                <w:sz w:val="22"/>
                <w:szCs w:val="22"/>
                <w:lang w:val="en-US"/>
              </w:rPr>
            </w:pPr>
            <w:r w:rsidRPr="00C93A35">
              <w:rPr>
                <w:b/>
                <w:sz w:val="22"/>
                <w:szCs w:val="22"/>
                <w:lang w:val="en-US"/>
              </w:rPr>
              <w:t>(</w:t>
            </w:r>
            <w:proofErr w:type="spellStart"/>
            <w:proofErr w:type="gramStart"/>
            <w:r w:rsidRPr="00C93A35">
              <w:rPr>
                <w:b/>
                <w:sz w:val="22"/>
                <w:szCs w:val="22"/>
                <w:lang w:val="en-US"/>
              </w:rPr>
              <w:t>coef</w:t>
            </w:r>
            <w:proofErr w:type="spellEnd"/>
            <w:proofErr w:type="gramEnd"/>
            <w:r w:rsidRPr="00C93A35">
              <w:rPr>
                <w:b/>
                <w:sz w:val="22"/>
                <w:szCs w:val="22"/>
                <w:lang w:val="en-US"/>
              </w:rPr>
              <w:t>.)</w:t>
            </w:r>
          </w:p>
          <w:p w:rsidR="00E56410" w:rsidRPr="00C93A35" w:rsidRDefault="00E56410" w:rsidP="0072391A">
            <w:pPr>
              <w:jc w:val="center"/>
              <w:rPr>
                <w:b/>
                <w:sz w:val="22"/>
                <w:szCs w:val="22"/>
                <w:lang w:val="en-US"/>
              </w:rPr>
            </w:pPr>
            <w:r w:rsidRPr="00C93A35">
              <w:rPr>
                <w:b/>
                <w:sz w:val="22"/>
                <w:szCs w:val="22"/>
                <w:lang w:val="en-US"/>
              </w:rPr>
              <w:t>[p-value]</w:t>
            </w:r>
          </w:p>
        </w:tc>
        <w:tc>
          <w:tcPr>
            <w:tcW w:w="1276"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805</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254</w:t>
            </w:r>
            <w:r w:rsidRPr="00C93A35">
              <w:rPr>
                <w:sz w:val="22"/>
                <w:szCs w:val="22"/>
                <w:lang w:val="en-US"/>
              </w:rPr>
              <w:t>]</w:t>
            </w:r>
          </w:p>
        </w:tc>
        <w:tc>
          <w:tcPr>
            <w:tcW w:w="1559" w:type="dxa"/>
            <w:gridSpan w:val="2"/>
          </w:tcPr>
          <w:p w:rsidR="00E56410" w:rsidRPr="00C93A35" w:rsidRDefault="00E56410" w:rsidP="0072391A">
            <w:pPr>
              <w:jc w:val="center"/>
              <w:rPr>
                <w:sz w:val="22"/>
                <w:szCs w:val="22"/>
                <w:lang w:val="en-US"/>
              </w:rPr>
            </w:pPr>
            <w:r>
              <w:rPr>
                <w:sz w:val="22"/>
                <w:szCs w:val="22"/>
                <w:lang w:val="en-US"/>
              </w:rPr>
              <w:t>t-</w:t>
            </w:r>
            <w:r w:rsidRPr="00C93A35">
              <w:rPr>
                <w:sz w:val="22"/>
                <w:szCs w:val="22"/>
                <w:lang w:val="en-US"/>
              </w:rPr>
              <w: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-1.222</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174</w:t>
            </w:r>
            <w:r w:rsidRPr="00C93A35">
              <w:rPr>
                <w:sz w:val="22"/>
                <w:szCs w:val="22"/>
                <w:lang w:val="en-US"/>
              </w:rPr>
              <w:t>]</w:t>
            </w:r>
          </w:p>
        </w:tc>
        <w:tc>
          <w:tcPr>
            <w:tcW w:w="1276"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w:t>
            </w:r>
            <w:r w:rsidRPr="00C93A35">
              <w:rPr>
                <w:sz w:val="22"/>
                <w:szCs w:val="22"/>
                <w:lang w:val="en-US"/>
              </w:rPr>
              <w:t>0.</w:t>
            </w:r>
            <w:r>
              <w:rPr>
                <w:sz w:val="22"/>
                <w:szCs w:val="22"/>
                <w:lang w:val="en-US"/>
              </w:rPr>
              <w:t>794</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.230</w:t>
            </w:r>
            <w:r w:rsidRPr="00C93A35">
              <w:rPr>
                <w:sz w:val="22"/>
                <w:szCs w:val="22"/>
                <w:lang w:val="en-US"/>
              </w:rPr>
              <w:t>]</w:t>
            </w:r>
          </w:p>
        </w:tc>
        <w:tc>
          <w:tcPr>
            <w:tcW w:w="1276" w:type="dxa"/>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381</w:t>
            </w:r>
            <w:r w:rsidRPr="00C93A35">
              <w:rPr>
                <w:sz w:val="22"/>
                <w:szCs w:val="22"/>
                <w:lang w:val="en-US"/>
              </w:rPr>
              <w:t>)</w:t>
            </w:r>
          </w:p>
          <w:p w:rsidR="00E56410" w:rsidRPr="00C93A35" w:rsidRDefault="00E56410" w:rsidP="0072391A">
            <w:pPr>
              <w:jc w:val="center"/>
              <w:rPr>
                <w:sz w:val="22"/>
                <w:szCs w:val="22"/>
              </w:rPr>
            </w:pPr>
            <w:r w:rsidRPr="00C93A35">
              <w:rPr>
                <w:sz w:val="22"/>
                <w:szCs w:val="22"/>
                <w:lang w:val="en-US"/>
              </w:rPr>
              <w:t>[0.</w:t>
            </w:r>
            <w:r>
              <w:rPr>
                <w:sz w:val="22"/>
                <w:szCs w:val="22"/>
                <w:lang w:val="en-US"/>
              </w:rPr>
              <w:t>480</w:t>
            </w:r>
            <w:r w:rsidRPr="00C93A35">
              <w:rPr>
                <w:sz w:val="22"/>
                <w:szCs w:val="22"/>
                <w:lang w:val="en-US"/>
              </w:rPr>
              <w:t>]</w:t>
            </w:r>
          </w:p>
        </w:tc>
        <w:tc>
          <w:tcPr>
            <w:tcW w:w="1275" w:type="dxa"/>
            <w:gridSpan w:val="2"/>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33</w:t>
            </w:r>
            <w:r w:rsidRPr="00C93A35">
              <w:rPr>
                <w:sz w:val="22"/>
                <w:szCs w:val="22"/>
                <w:lang w:val="en-US"/>
              </w:rPr>
              <w:t>2)</w:t>
            </w:r>
          </w:p>
          <w:p w:rsidR="00E56410" w:rsidRPr="00C93A35" w:rsidRDefault="00E56410" w:rsidP="0072391A">
            <w:pPr>
              <w:jc w:val="center"/>
              <w:rPr>
                <w:sz w:val="22"/>
                <w:szCs w:val="22"/>
              </w:rPr>
            </w:pPr>
            <w:r>
              <w:rPr>
                <w:sz w:val="22"/>
                <w:szCs w:val="22"/>
                <w:lang w:val="en-US"/>
              </w:rPr>
              <w:t>[0.153</w:t>
            </w:r>
            <w:r w:rsidRPr="00C93A35">
              <w:rPr>
                <w:sz w:val="22"/>
                <w:szCs w:val="22"/>
                <w:lang w:val="en-US"/>
              </w:rPr>
              <w:t>]</w:t>
            </w:r>
          </w:p>
        </w:tc>
        <w:tc>
          <w:tcPr>
            <w:tcW w:w="1134" w:type="dxa"/>
            <w:gridSpan w:val="3"/>
          </w:tcPr>
          <w:p w:rsidR="00E56410" w:rsidRPr="00C93A35" w:rsidRDefault="00E56410" w:rsidP="0072391A">
            <w:pPr>
              <w:jc w:val="center"/>
              <w:rPr>
                <w:sz w:val="22"/>
                <w:szCs w:val="22"/>
                <w:lang w:val="en-US"/>
              </w:rPr>
            </w:pPr>
            <w:r w:rsidRPr="00C93A35">
              <w:rPr>
                <w:sz w:val="22"/>
                <w:szCs w:val="22"/>
                <w:lang w:val="en-US"/>
              </w:rPr>
              <w:t>t</w:t>
            </w:r>
            <w:r>
              <w:rPr>
                <w:sz w:val="22"/>
                <w:szCs w:val="22"/>
                <w:lang w:val="en-US"/>
              </w:rPr>
              <w:t>-1</w:t>
            </w:r>
          </w:p>
          <w:p w:rsidR="00E56410" w:rsidRPr="00C93A35" w:rsidRDefault="00E56410" w:rsidP="0072391A">
            <w:pPr>
              <w:jc w:val="center"/>
              <w:rPr>
                <w:sz w:val="22"/>
                <w:szCs w:val="22"/>
                <w:lang w:val="en-US"/>
              </w:rPr>
            </w:pPr>
            <w:r>
              <w:rPr>
                <w:sz w:val="22"/>
                <w:szCs w:val="22"/>
                <w:lang w:val="en-US"/>
              </w:rPr>
              <w:t>(</w:t>
            </w:r>
            <w:r w:rsidRPr="00C93A35">
              <w:rPr>
                <w:sz w:val="22"/>
                <w:szCs w:val="22"/>
                <w:lang w:val="en-US"/>
              </w:rPr>
              <w:t>0. 3</w:t>
            </w:r>
            <w:r>
              <w:rPr>
                <w:sz w:val="22"/>
                <w:szCs w:val="22"/>
                <w:lang w:val="en-US"/>
              </w:rPr>
              <w:t>32</w:t>
            </w:r>
            <w:r w:rsidRPr="00C93A35">
              <w:rPr>
                <w:sz w:val="22"/>
                <w:szCs w:val="22"/>
                <w:lang w:val="en-US"/>
              </w:rPr>
              <w:t>)</w:t>
            </w:r>
          </w:p>
          <w:p w:rsidR="00E56410" w:rsidRPr="00D27070" w:rsidRDefault="00E56410" w:rsidP="0072391A">
            <w:pPr>
              <w:jc w:val="center"/>
              <w:rPr>
                <w:sz w:val="22"/>
                <w:szCs w:val="22"/>
                <w:lang w:val="en-US"/>
              </w:rPr>
            </w:pPr>
            <w:r w:rsidRPr="00C93A35">
              <w:rPr>
                <w:sz w:val="22"/>
                <w:szCs w:val="22"/>
                <w:lang w:val="en-US"/>
              </w:rPr>
              <w:t>[0.</w:t>
            </w:r>
            <w:r>
              <w:rPr>
                <w:sz w:val="22"/>
                <w:szCs w:val="22"/>
                <w:lang w:val="en-US"/>
              </w:rPr>
              <w:t>17</w:t>
            </w:r>
            <w:r w:rsidRPr="00C93A35">
              <w:rPr>
                <w:sz w:val="22"/>
                <w:szCs w:val="22"/>
                <w:lang w:val="en-US"/>
              </w:rPr>
              <w:t>8]</w:t>
            </w:r>
          </w:p>
        </w:tc>
        <w:tc>
          <w:tcPr>
            <w:tcW w:w="1276" w:type="dxa"/>
            <w:gridSpan w:val="4"/>
          </w:tcPr>
          <w:p w:rsidR="00E56410" w:rsidRPr="00C93A35" w:rsidRDefault="00E56410" w:rsidP="0072391A">
            <w:pPr>
              <w:jc w:val="center"/>
              <w:rPr>
                <w:sz w:val="22"/>
                <w:szCs w:val="22"/>
                <w:lang w:val="en-US"/>
              </w:rPr>
            </w:pPr>
            <w:r w:rsidRPr="00C93A35">
              <w:rPr>
                <w:sz w:val="22"/>
                <w:szCs w:val="22"/>
                <w:lang w:val="en-US"/>
              </w:rPr>
              <w:t>t</w:t>
            </w:r>
            <w:r>
              <w:rPr>
                <w:sz w:val="22"/>
                <w:szCs w:val="22"/>
                <w:lang w:val="en-US"/>
              </w:rPr>
              <w: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-2.007</w:t>
            </w:r>
            <w:r w:rsidRPr="00C93A35">
              <w:rPr>
                <w:sz w:val="22"/>
                <w:szCs w:val="22"/>
                <w:lang w:val="en-US"/>
              </w:rPr>
              <w:t>)</w:t>
            </w:r>
          </w:p>
          <w:p w:rsidR="00E56410" w:rsidRPr="00D27070" w:rsidRDefault="00E56410" w:rsidP="0072391A">
            <w:pPr>
              <w:jc w:val="center"/>
              <w:rPr>
                <w:sz w:val="22"/>
                <w:szCs w:val="22"/>
                <w:lang w:val="en-US"/>
              </w:rPr>
            </w:pPr>
            <w:r w:rsidRPr="00C93A35">
              <w:rPr>
                <w:sz w:val="22"/>
                <w:szCs w:val="22"/>
                <w:lang w:val="en-US"/>
              </w:rPr>
              <w:t>[0.</w:t>
            </w:r>
            <w:r>
              <w:rPr>
                <w:sz w:val="22"/>
                <w:szCs w:val="22"/>
                <w:lang w:val="en-US"/>
              </w:rPr>
              <w:t>002</w:t>
            </w:r>
            <w:r w:rsidRPr="00C93A35">
              <w:rPr>
                <w:sz w:val="22"/>
                <w:szCs w:val="22"/>
                <w:lang w:val="en-US"/>
              </w:rPr>
              <w:t>]</w:t>
            </w:r>
            <w:r>
              <w:rPr>
                <w:sz w:val="22"/>
                <w:szCs w:val="22"/>
                <w:lang w:val="en-US"/>
              </w:rPr>
              <w:t>***</w:t>
            </w:r>
          </w:p>
        </w:tc>
        <w:tc>
          <w:tcPr>
            <w:tcW w:w="992" w:type="dxa"/>
            <w:tcBorders>
              <w:right w:val="single" w:sz="18"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Pr>
                <w:sz w:val="22"/>
                <w:szCs w:val="22"/>
                <w:lang w:val="en-US"/>
              </w:rPr>
              <w:t>(0.408</w:t>
            </w:r>
            <w:r w:rsidRPr="00C93A35">
              <w:rPr>
                <w:sz w:val="22"/>
                <w:szCs w:val="22"/>
                <w:lang w:val="en-US"/>
              </w:rPr>
              <w:t>)</w:t>
            </w:r>
          </w:p>
          <w:p w:rsidR="00E56410" w:rsidRPr="00D27070" w:rsidRDefault="00E56410" w:rsidP="0072391A">
            <w:pPr>
              <w:jc w:val="center"/>
              <w:rPr>
                <w:sz w:val="22"/>
                <w:szCs w:val="22"/>
                <w:lang w:val="en-US"/>
              </w:rPr>
            </w:pPr>
            <w:r w:rsidRPr="00C93A35">
              <w:rPr>
                <w:sz w:val="22"/>
                <w:szCs w:val="22"/>
                <w:lang w:val="en-US"/>
              </w:rPr>
              <w:t>[0.</w:t>
            </w:r>
            <w:r>
              <w:rPr>
                <w:sz w:val="22"/>
                <w:szCs w:val="22"/>
                <w:lang w:val="en-US"/>
              </w:rPr>
              <w:t>134</w:t>
            </w:r>
            <w:r w:rsidRPr="00C93A35">
              <w:rPr>
                <w:sz w:val="22"/>
                <w:szCs w:val="22"/>
                <w:lang w:val="en-US"/>
              </w:rPr>
              <w:t>]</w:t>
            </w:r>
          </w:p>
        </w:tc>
      </w:tr>
      <w:tr w:rsidR="00E56410" w:rsidRPr="00A10D33" w:rsidTr="00431D55">
        <w:trPr>
          <w:trHeight w:val="243"/>
        </w:trPr>
        <w:tc>
          <w:tcPr>
            <w:tcW w:w="1135" w:type="dxa"/>
            <w:tcBorders>
              <w:left w:val="single" w:sz="18" w:space="0" w:color="auto"/>
              <w:bottom w:val="single" w:sz="12" w:space="0" w:color="auto"/>
            </w:tcBorders>
          </w:tcPr>
          <w:p w:rsidR="00E56410" w:rsidRPr="00C93A35" w:rsidRDefault="00E56410" w:rsidP="0072391A">
            <w:pPr>
              <w:jc w:val="center"/>
              <w:rPr>
                <w:b/>
                <w:sz w:val="22"/>
                <w:szCs w:val="22"/>
                <w:lang w:val="en-US"/>
              </w:rPr>
            </w:pPr>
            <w:r w:rsidRPr="00C93A35">
              <w:rPr>
                <w:b/>
                <w:sz w:val="22"/>
                <w:szCs w:val="22"/>
                <w:lang w:val="en-US"/>
              </w:rPr>
              <w:t>aud_usd</w:t>
            </w:r>
          </w:p>
          <w:p w:rsidR="00E56410" w:rsidRPr="00C93A35" w:rsidRDefault="00E56410" w:rsidP="0072391A">
            <w:pPr>
              <w:jc w:val="center"/>
              <w:rPr>
                <w:b/>
                <w:sz w:val="22"/>
                <w:szCs w:val="22"/>
                <w:lang w:val="en-US"/>
              </w:rPr>
            </w:pPr>
            <w:r w:rsidRPr="00C93A35">
              <w:rPr>
                <w:b/>
                <w:sz w:val="22"/>
                <w:szCs w:val="22"/>
                <w:lang w:val="en-US"/>
              </w:rPr>
              <w:t>(</w:t>
            </w:r>
            <w:proofErr w:type="spellStart"/>
            <w:proofErr w:type="gramStart"/>
            <w:r w:rsidRPr="00C93A35">
              <w:rPr>
                <w:b/>
                <w:sz w:val="22"/>
                <w:szCs w:val="22"/>
                <w:lang w:val="en-US"/>
              </w:rPr>
              <w:t>coef</w:t>
            </w:r>
            <w:proofErr w:type="spellEnd"/>
            <w:proofErr w:type="gramEnd"/>
            <w:r w:rsidRPr="00C93A35">
              <w:rPr>
                <w:b/>
                <w:sz w:val="22"/>
                <w:szCs w:val="22"/>
                <w:lang w:val="en-US"/>
              </w:rPr>
              <w:t>.)</w:t>
            </w:r>
          </w:p>
          <w:p w:rsidR="00E56410" w:rsidRPr="00C93A35" w:rsidRDefault="00E56410" w:rsidP="0072391A">
            <w:pPr>
              <w:jc w:val="center"/>
              <w:rPr>
                <w:b/>
                <w:sz w:val="22"/>
                <w:szCs w:val="22"/>
                <w:lang w:val="en-US"/>
              </w:rPr>
            </w:pPr>
            <w:r w:rsidRPr="00C93A35">
              <w:rPr>
                <w:b/>
                <w:sz w:val="22"/>
                <w:szCs w:val="22"/>
                <w:lang w:val="en-US"/>
              </w:rPr>
              <w:t>[p-value]</w:t>
            </w:r>
          </w:p>
        </w:tc>
        <w:tc>
          <w:tcPr>
            <w:tcW w:w="1276" w:type="dxa"/>
            <w:gridSpan w:val="2"/>
            <w:tcBorders>
              <w:bottom w:val="single" w:sz="12" w:space="0" w:color="auto"/>
            </w:tcBorders>
          </w:tcPr>
          <w:p w:rsidR="00E56410" w:rsidRPr="00C93A35" w:rsidRDefault="00E56410" w:rsidP="0072391A">
            <w:pPr>
              <w:jc w:val="center"/>
              <w:rPr>
                <w:sz w:val="22"/>
                <w:szCs w:val="22"/>
                <w:lang w:val="en-US"/>
              </w:rPr>
            </w:pPr>
            <w:r>
              <w:rPr>
                <w:sz w:val="22"/>
                <w:szCs w:val="22"/>
                <w:lang w:val="en-US"/>
              </w:rPr>
              <w:t>t+</w:t>
            </w:r>
            <w:r w:rsidRPr="00C93A35">
              <w:rPr>
                <w:sz w:val="22"/>
                <w:szCs w:val="22"/>
                <w:lang w:val="en-US"/>
              </w:rPr>
              <w: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-2.031</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.264</w:t>
            </w:r>
            <w:r w:rsidRPr="00C93A35">
              <w:rPr>
                <w:sz w:val="22"/>
                <w:szCs w:val="22"/>
                <w:lang w:val="en-US"/>
              </w:rPr>
              <w:t>]</w:t>
            </w:r>
          </w:p>
        </w:tc>
        <w:tc>
          <w:tcPr>
            <w:tcW w:w="1559" w:type="dxa"/>
            <w:gridSpan w:val="2"/>
            <w:tcBorders>
              <w:bottom w:val="single" w:sz="12" w:space="0" w:color="auto"/>
            </w:tcBorders>
          </w:tcPr>
          <w:p w:rsidR="00E56410" w:rsidRPr="00C93A35" w:rsidRDefault="00E56410" w:rsidP="0072391A">
            <w:pPr>
              <w:jc w:val="center"/>
              <w:rPr>
                <w:sz w:val="22"/>
                <w:szCs w:val="22"/>
                <w:lang w:val="en-US"/>
              </w:rPr>
            </w:pPr>
            <w:r>
              <w:rPr>
                <w:sz w:val="22"/>
                <w:szCs w:val="22"/>
                <w:lang w:val="en-US"/>
              </w:rPr>
              <w:t>t+</w:t>
            </w:r>
            <w:r w:rsidRPr="00C93A35">
              <w:rPr>
                <w:sz w:val="22"/>
                <w:szCs w:val="22"/>
                <w:lang w:val="en-US"/>
              </w:rPr>
              <w: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-0.545</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637</w:t>
            </w:r>
            <w:r w:rsidRPr="00C93A35">
              <w:rPr>
                <w:sz w:val="22"/>
                <w:szCs w:val="22"/>
                <w:lang w:val="en-US"/>
              </w:rPr>
              <w:t>]</w:t>
            </w:r>
          </w:p>
        </w:tc>
        <w:tc>
          <w:tcPr>
            <w:tcW w:w="1276" w:type="dxa"/>
            <w:gridSpan w:val="2"/>
            <w:tcBorders>
              <w:bottom w:val="single" w:sz="12" w:space="0" w:color="auto"/>
            </w:tcBorders>
          </w:tcPr>
          <w:p w:rsidR="00E56410" w:rsidRPr="00C93A35" w:rsidRDefault="00E56410" w:rsidP="0072391A">
            <w:pPr>
              <w:jc w:val="center"/>
              <w:rPr>
                <w:sz w:val="22"/>
                <w:szCs w:val="22"/>
                <w:lang w:val="en-US"/>
              </w:rPr>
            </w:pPr>
            <w:r>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1.811</w:t>
            </w:r>
            <w:r w:rsidRPr="00C93A35">
              <w:rPr>
                <w:sz w:val="22"/>
                <w:szCs w:val="22"/>
                <w:lang w:val="en-US"/>
              </w:rPr>
              <w:t>)</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.068</w:t>
            </w:r>
            <w:r w:rsidRPr="00C93A35">
              <w:rPr>
                <w:sz w:val="22"/>
                <w:szCs w:val="22"/>
                <w:lang w:val="en-US"/>
              </w:rPr>
              <w:t>]*</w:t>
            </w:r>
          </w:p>
        </w:tc>
        <w:tc>
          <w:tcPr>
            <w:tcW w:w="1276" w:type="dxa"/>
            <w:tcBorders>
              <w:bottom w:val="single" w:sz="12" w:space="0" w:color="auto"/>
            </w:tcBorders>
          </w:tcPr>
          <w:p w:rsidR="00E56410" w:rsidRPr="00C93A35" w:rsidRDefault="00E56410" w:rsidP="0072391A">
            <w:pPr>
              <w:jc w:val="center"/>
              <w:rPr>
                <w:sz w:val="22"/>
                <w:szCs w:val="22"/>
                <w:lang w:val="en-US"/>
              </w:rPr>
            </w:pPr>
            <w:r>
              <w:rPr>
                <w:sz w:val="22"/>
                <w:szCs w:val="22"/>
                <w:lang w:val="en-US"/>
              </w:rPr>
              <w:t>t</w:t>
            </w:r>
          </w:p>
          <w:p w:rsidR="00E56410" w:rsidRPr="00C93A35" w:rsidRDefault="00E56410" w:rsidP="0072391A">
            <w:pPr>
              <w:jc w:val="center"/>
              <w:rPr>
                <w:sz w:val="22"/>
                <w:szCs w:val="22"/>
                <w:lang w:val="en-US"/>
              </w:rPr>
            </w:pPr>
            <w:r>
              <w:rPr>
                <w:sz w:val="22"/>
                <w:szCs w:val="22"/>
                <w:lang w:val="en-US"/>
              </w:rPr>
              <w:t>(1.069</w:t>
            </w:r>
            <w:r w:rsidRPr="00C93A35">
              <w:rPr>
                <w:sz w:val="22"/>
                <w:szCs w:val="22"/>
                <w:lang w:val="en-US"/>
              </w:rPr>
              <w:t>)</w:t>
            </w:r>
          </w:p>
          <w:p w:rsidR="00E56410" w:rsidRPr="00C93A35" w:rsidRDefault="00E56410" w:rsidP="0072391A">
            <w:pPr>
              <w:jc w:val="center"/>
              <w:rPr>
                <w:sz w:val="22"/>
                <w:szCs w:val="22"/>
              </w:rPr>
            </w:pPr>
            <w:r w:rsidRPr="00C93A35">
              <w:rPr>
                <w:sz w:val="22"/>
                <w:szCs w:val="22"/>
                <w:lang w:val="en-US"/>
              </w:rPr>
              <w:t>[0.</w:t>
            </w:r>
            <w:r>
              <w:rPr>
                <w:sz w:val="22"/>
                <w:szCs w:val="22"/>
                <w:lang w:val="en-US"/>
              </w:rPr>
              <w:t>110</w:t>
            </w:r>
            <w:r w:rsidRPr="00C93A35">
              <w:rPr>
                <w:sz w:val="22"/>
                <w:szCs w:val="22"/>
                <w:lang w:val="en-US"/>
              </w:rPr>
              <w:t>]</w:t>
            </w:r>
          </w:p>
        </w:tc>
        <w:tc>
          <w:tcPr>
            <w:tcW w:w="1275" w:type="dxa"/>
            <w:gridSpan w:val="2"/>
            <w:tcBorders>
              <w:bottom w:val="single" w:sz="12" w:space="0" w:color="auto"/>
            </w:tcBorders>
          </w:tcPr>
          <w:p w:rsidR="00E56410" w:rsidRPr="00C93A35" w:rsidRDefault="00E56410" w:rsidP="0072391A">
            <w:pPr>
              <w:jc w:val="center"/>
              <w:rPr>
                <w:sz w:val="22"/>
                <w:szCs w:val="22"/>
                <w:lang w:val="en-US"/>
              </w:rPr>
            </w:pPr>
            <w:r>
              <w:rPr>
                <w:sz w:val="22"/>
                <w:szCs w:val="22"/>
                <w:lang w:val="en-US"/>
              </w:rPr>
              <w:t>t</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1.305</w:t>
            </w:r>
            <w:r w:rsidRPr="00C93A35">
              <w:rPr>
                <w:sz w:val="22"/>
                <w:szCs w:val="22"/>
                <w:lang w:val="en-US"/>
              </w:rPr>
              <w:t>)</w:t>
            </w:r>
          </w:p>
          <w:p w:rsidR="00E56410" w:rsidRPr="00C93A35" w:rsidRDefault="00E56410" w:rsidP="0072391A">
            <w:pPr>
              <w:jc w:val="center"/>
              <w:rPr>
                <w:sz w:val="22"/>
                <w:szCs w:val="22"/>
              </w:rPr>
            </w:pPr>
            <w:r w:rsidRPr="00C93A35">
              <w:rPr>
                <w:sz w:val="22"/>
                <w:szCs w:val="22"/>
                <w:lang w:val="en-US"/>
              </w:rPr>
              <w:t>[0.0</w:t>
            </w:r>
            <w:r>
              <w:rPr>
                <w:sz w:val="22"/>
                <w:szCs w:val="22"/>
                <w:lang w:val="en-US"/>
              </w:rPr>
              <w:t>01</w:t>
            </w:r>
            <w:r w:rsidRPr="00C93A35">
              <w:rPr>
                <w:sz w:val="22"/>
                <w:szCs w:val="22"/>
                <w:lang w:val="en-US"/>
              </w:rPr>
              <w:t>]*</w:t>
            </w:r>
            <w:r>
              <w:rPr>
                <w:sz w:val="22"/>
                <w:szCs w:val="22"/>
                <w:lang w:val="en-US"/>
              </w:rPr>
              <w:t>**</w:t>
            </w:r>
          </w:p>
        </w:tc>
        <w:tc>
          <w:tcPr>
            <w:tcW w:w="1134" w:type="dxa"/>
            <w:gridSpan w:val="3"/>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t-1</w:t>
            </w:r>
          </w:p>
          <w:p w:rsidR="00E56410" w:rsidRPr="00C93A35" w:rsidRDefault="00E56410" w:rsidP="0072391A">
            <w:pPr>
              <w:jc w:val="center"/>
              <w:rPr>
                <w:sz w:val="22"/>
                <w:szCs w:val="22"/>
                <w:lang w:val="en-US"/>
              </w:rPr>
            </w:pPr>
            <w:r w:rsidRPr="00C93A35">
              <w:rPr>
                <w:sz w:val="22"/>
                <w:szCs w:val="22"/>
                <w:lang w:val="en-US"/>
              </w:rPr>
              <w:t>(0.</w:t>
            </w:r>
            <w:r>
              <w:rPr>
                <w:sz w:val="22"/>
                <w:szCs w:val="22"/>
                <w:lang w:val="en-US"/>
              </w:rPr>
              <w:t>672</w:t>
            </w:r>
            <w:r w:rsidRPr="00C93A35">
              <w:rPr>
                <w:sz w:val="22"/>
                <w:szCs w:val="22"/>
                <w:lang w:val="en-US"/>
              </w:rPr>
              <w:t>)</w:t>
            </w:r>
          </w:p>
          <w:p w:rsidR="00E56410" w:rsidRPr="00C93A35" w:rsidRDefault="00E56410" w:rsidP="0072391A">
            <w:pPr>
              <w:jc w:val="center"/>
              <w:rPr>
                <w:sz w:val="22"/>
                <w:szCs w:val="22"/>
              </w:rPr>
            </w:pPr>
            <w:r w:rsidRPr="00C93A35">
              <w:rPr>
                <w:sz w:val="22"/>
                <w:szCs w:val="22"/>
                <w:lang w:val="en-US"/>
              </w:rPr>
              <w:t>[0.</w:t>
            </w:r>
            <w:r>
              <w:rPr>
                <w:sz w:val="22"/>
                <w:szCs w:val="22"/>
                <w:lang w:val="en-US"/>
              </w:rPr>
              <w:t>031</w:t>
            </w:r>
            <w:r w:rsidRPr="00C93A35">
              <w:rPr>
                <w:sz w:val="22"/>
                <w:szCs w:val="22"/>
                <w:lang w:val="en-US"/>
              </w:rPr>
              <w:t>]</w:t>
            </w:r>
            <w:r>
              <w:rPr>
                <w:sz w:val="22"/>
                <w:szCs w:val="22"/>
                <w:lang w:val="en-US"/>
              </w:rPr>
              <w:t>**</w:t>
            </w:r>
          </w:p>
        </w:tc>
        <w:tc>
          <w:tcPr>
            <w:tcW w:w="1276" w:type="dxa"/>
            <w:gridSpan w:val="4"/>
            <w:tcBorders>
              <w:bottom w:val="single" w:sz="12" w:space="0" w:color="auto"/>
            </w:tcBorders>
          </w:tcPr>
          <w:p w:rsidR="00E56410" w:rsidRPr="00C93A35" w:rsidRDefault="00E56410" w:rsidP="0072391A">
            <w:pPr>
              <w:jc w:val="center"/>
              <w:rPr>
                <w:sz w:val="22"/>
                <w:szCs w:val="22"/>
                <w:lang w:val="en-US"/>
              </w:rPr>
            </w:pPr>
            <w:r w:rsidRPr="00C93A35">
              <w:rPr>
                <w:sz w:val="22"/>
                <w:szCs w:val="22"/>
                <w:lang w:val="en-US"/>
              </w:rPr>
              <w:t>t</w:t>
            </w:r>
            <w:r>
              <w:rPr>
                <w:sz w:val="22"/>
                <w:szCs w:val="22"/>
                <w:lang w:val="en-US"/>
              </w:rPr>
              <w:t>-1</w:t>
            </w:r>
          </w:p>
          <w:p w:rsidR="00E56410" w:rsidRPr="00C93A35" w:rsidRDefault="00E56410" w:rsidP="0072391A">
            <w:pPr>
              <w:jc w:val="center"/>
              <w:rPr>
                <w:sz w:val="22"/>
                <w:szCs w:val="22"/>
                <w:lang w:val="en-US"/>
              </w:rPr>
            </w:pPr>
            <w:r w:rsidRPr="00C93A35">
              <w:rPr>
                <w:sz w:val="22"/>
                <w:szCs w:val="22"/>
                <w:lang w:val="en-US"/>
              </w:rPr>
              <w:t>(</w:t>
            </w:r>
            <w:r>
              <w:rPr>
                <w:sz w:val="22"/>
                <w:szCs w:val="22"/>
                <w:lang w:val="en-US"/>
              </w:rPr>
              <w:t>-4.024</w:t>
            </w:r>
            <w:r w:rsidRPr="00C93A35">
              <w:rPr>
                <w:sz w:val="22"/>
                <w:szCs w:val="22"/>
                <w:lang w:val="en-US"/>
              </w:rPr>
              <w:t>)</w:t>
            </w:r>
          </w:p>
          <w:p w:rsidR="00E56410" w:rsidRPr="00C93A35" w:rsidRDefault="00E56410" w:rsidP="0072391A">
            <w:pPr>
              <w:jc w:val="center"/>
              <w:rPr>
                <w:sz w:val="22"/>
                <w:szCs w:val="22"/>
              </w:rPr>
            </w:pPr>
            <w:r>
              <w:rPr>
                <w:sz w:val="22"/>
                <w:szCs w:val="22"/>
                <w:lang w:val="en-US"/>
              </w:rPr>
              <w:t>[0</w:t>
            </w:r>
            <w:r w:rsidRPr="00C93A35">
              <w:rPr>
                <w:sz w:val="22"/>
                <w:szCs w:val="22"/>
                <w:lang w:val="en-US"/>
              </w:rPr>
              <w:t>]*</w:t>
            </w:r>
            <w:r>
              <w:rPr>
                <w:sz w:val="22"/>
                <w:szCs w:val="22"/>
                <w:lang w:val="en-US"/>
              </w:rPr>
              <w:t>**</w:t>
            </w:r>
          </w:p>
        </w:tc>
        <w:tc>
          <w:tcPr>
            <w:tcW w:w="992" w:type="dxa"/>
            <w:tcBorders>
              <w:bottom w:val="single" w:sz="12" w:space="0" w:color="auto"/>
              <w:right w:val="single" w:sz="18" w:space="0" w:color="auto"/>
            </w:tcBorders>
          </w:tcPr>
          <w:p w:rsidR="00E56410" w:rsidRPr="00C93A35" w:rsidRDefault="00E56410" w:rsidP="0072391A">
            <w:pPr>
              <w:jc w:val="center"/>
              <w:rPr>
                <w:sz w:val="22"/>
                <w:szCs w:val="22"/>
                <w:lang w:val="en-US"/>
              </w:rPr>
            </w:pPr>
            <w:r>
              <w:rPr>
                <w:sz w:val="22"/>
                <w:szCs w:val="22"/>
                <w:lang w:val="en-US"/>
              </w:rPr>
              <w:t>t</w:t>
            </w:r>
          </w:p>
          <w:p w:rsidR="00E56410" w:rsidRPr="00C93A35" w:rsidRDefault="00E56410" w:rsidP="0072391A">
            <w:pPr>
              <w:jc w:val="center"/>
              <w:rPr>
                <w:sz w:val="22"/>
                <w:szCs w:val="22"/>
                <w:lang w:val="en-US"/>
              </w:rPr>
            </w:pPr>
            <w:r w:rsidRPr="00C93A35">
              <w:rPr>
                <w:sz w:val="22"/>
                <w:szCs w:val="22"/>
                <w:lang w:val="en-US"/>
              </w:rPr>
              <w:t>(-0.332)</w:t>
            </w:r>
          </w:p>
          <w:p w:rsidR="00E56410" w:rsidRPr="00C93A35" w:rsidRDefault="00E56410" w:rsidP="0072391A">
            <w:pPr>
              <w:jc w:val="center"/>
              <w:rPr>
                <w:sz w:val="22"/>
                <w:szCs w:val="22"/>
              </w:rPr>
            </w:pPr>
            <w:r w:rsidRPr="00C93A35">
              <w:rPr>
                <w:sz w:val="22"/>
                <w:szCs w:val="22"/>
                <w:lang w:val="en-US"/>
              </w:rPr>
              <w:t>[0]</w:t>
            </w:r>
            <w:r>
              <w:rPr>
                <w:sz w:val="22"/>
                <w:szCs w:val="22"/>
                <w:lang w:val="en-US"/>
              </w:rPr>
              <w:t>***</w:t>
            </w:r>
          </w:p>
        </w:tc>
      </w:tr>
      <w:tr w:rsidR="00E56410" w:rsidRPr="00A10D33" w:rsidTr="00431D55">
        <w:trPr>
          <w:trHeight w:val="312"/>
        </w:trPr>
        <w:tc>
          <w:tcPr>
            <w:tcW w:w="11199" w:type="dxa"/>
            <w:gridSpan w:val="18"/>
            <w:tcBorders>
              <w:top w:val="single" w:sz="12" w:space="0" w:color="auto"/>
              <w:left w:val="single" w:sz="18" w:space="0" w:color="auto"/>
              <w:right w:val="single" w:sz="18" w:space="0" w:color="auto"/>
            </w:tcBorders>
            <w:shd w:val="clear" w:color="auto" w:fill="B6DDE8" w:themeFill="accent5" w:themeFillTint="66"/>
          </w:tcPr>
          <w:p w:rsidR="00E56410" w:rsidRPr="00A10D33" w:rsidRDefault="00E56410" w:rsidP="0072391A">
            <w:pPr>
              <w:jc w:val="center"/>
              <w:rPr>
                <w:b/>
                <w:sz w:val="22"/>
                <w:szCs w:val="22"/>
                <w:lang w:val="en-US"/>
              </w:rPr>
            </w:pPr>
          </w:p>
          <w:p w:rsidR="00E56410" w:rsidRPr="00A10D33" w:rsidRDefault="00E56410" w:rsidP="0072391A">
            <w:pPr>
              <w:jc w:val="center"/>
              <w:rPr>
                <w:b/>
                <w:sz w:val="22"/>
                <w:szCs w:val="22"/>
                <w:lang w:val="en-US"/>
              </w:rPr>
            </w:pPr>
            <w:r w:rsidRPr="00A10D33">
              <w:rPr>
                <w:b/>
                <w:sz w:val="22"/>
                <w:szCs w:val="22"/>
                <w:lang w:val="en-US"/>
              </w:rPr>
              <w:t>Panel C : Bonds</w:t>
            </w:r>
          </w:p>
          <w:p w:rsidR="00E56410" w:rsidRPr="00A10D33" w:rsidRDefault="00E56410" w:rsidP="0072391A">
            <w:pPr>
              <w:jc w:val="center"/>
              <w:rPr>
                <w:sz w:val="22"/>
                <w:szCs w:val="22"/>
                <w:lang w:val="en-US"/>
              </w:rPr>
            </w:pPr>
          </w:p>
        </w:tc>
      </w:tr>
      <w:tr w:rsidR="00E56410" w:rsidRPr="00A10D33" w:rsidTr="0072391A">
        <w:trPr>
          <w:trHeight w:val="886"/>
        </w:trPr>
        <w:tc>
          <w:tcPr>
            <w:tcW w:w="1135" w:type="dxa"/>
            <w:tcBorders>
              <w:left w:val="single" w:sz="18" w:space="0" w:color="auto"/>
            </w:tcBorders>
          </w:tcPr>
          <w:p w:rsidR="00E56410" w:rsidRDefault="00E56410" w:rsidP="0072391A">
            <w:pPr>
              <w:jc w:val="center"/>
              <w:rPr>
                <w:b/>
                <w:sz w:val="22"/>
                <w:szCs w:val="22"/>
                <w:lang w:val="en-US"/>
              </w:rPr>
            </w:pPr>
            <w:r w:rsidRPr="00A10D33">
              <w:rPr>
                <w:b/>
                <w:sz w:val="22"/>
                <w:szCs w:val="22"/>
                <w:lang w:val="en-US"/>
              </w:rPr>
              <w:t>yldg10</w:t>
            </w:r>
          </w:p>
          <w:p w:rsidR="00E56410" w:rsidRDefault="00E56410" w:rsidP="0072391A">
            <w:pPr>
              <w:jc w:val="center"/>
              <w:rPr>
                <w:b/>
                <w:sz w:val="22"/>
                <w:szCs w:val="22"/>
                <w:lang w:val="en-US"/>
              </w:rPr>
            </w:pPr>
            <w:r>
              <w:rPr>
                <w:b/>
                <w:sz w:val="22"/>
                <w:szCs w:val="22"/>
                <w:lang w:val="en-US"/>
              </w:rPr>
              <w:t>(</w:t>
            </w:r>
            <w:proofErr w:type="spellStart"/>
            <w:proofErr w:type="gramStart"/>
            <w:r>
              <w:rPr>
                <w:b/>
                <w:sz w:val="22"/>
                <w:szCs w:val="22"/>
                <w:lang w:val="en-US"/>
              </w:rPr>
              <w:t>coef</w:t>
            </w:r>
            <w:proofErr w:type="spellEnd"/>
            <w:proofErr w:type="gramEnd"/>
            <w:r>
              <w:rPr>
                <w:b/>
                <w:sz w:val="22"/>
                <w:szCs w:val="22"/>
                <w:lang w:val="en-US"/>
              </w:rPr>
              <w:t>.)</w:t>
            </w:r>
          </w:p>
          <w:p w:rsidR="00E56410" w:rsidRPr="00A10D33" w:rsidRDefault="00E56410" w:rsidP="0072391A">
            <w:pPr>
              <w:jc w:val="center"/>
              <w:rPr>
                <w:b/>
                <w:sz w:val="22"/>
                <w:szCs w:val="22"/>
                <w:lang w:val="en-US"/>
              </w:rPr>
            </w:pPr>
            <w:r>
              <w:rPr>
                <w:b/>
                <w:sz w:val="22"/>
                <w:szCs w:val="22"/>
                <w:lang w:val="en-US"/>
              </w:rPr>
              <w:t>[p-value]</w:t>
            </w:r>
          </w:p>
        </w:tc>
        <w:tc>
          <w:tcPr>
            <w:tcW w:w="1276" w:type="dxa"/>
            <w:gridSpan w:val="2"/>
          </w:tcPr>
          <w:p w:rsidR="00E56410" w:rsidRPr="00437407" w:rsidRDefault="00E56410" w:rsidP="0072391A">
            <w:pPr>
              <w:jc w:val="center"/>
              <w:rPr>
                <w:sz w:val="22"/>
                <w:szCs w:val="22"/>
                <w:lang w:val="en-US"/>
              </w:rPr>
            </w:pPr>
            <w:r w:rsidRPr="00437407">
              <w:rPr>
                <w:sz w:val="22"/>
                <w:szCs w:val="22"/>
                <w:lang w:val="en-US"/>
              </w:rPr>
              <w:t>t+1</w:t>
            </w:r>
          </w:p>
          <w:p w:rsidR="00E56410" w:rsidRDefault="00E56410" w:rsidP="0072391A">
            <w:pPr>
              <w:jc w:val="center"/>
              <w:rPr>
                <w:sz w:val="22"/>
                <w:szCs w:val="22"/>
                <w:lang w:val="en-US"/>
              </w:rPr>
            </w:pPr>
            <w:r>
              <w:rPr>
                <w:sz w:val="22"/>
                <w:szCs w:val="22"/>
                <w:lang w:val="en-US"/>
              </w:rPr>
              <w:t>(0.361)</w:t>
            </w:r>
          </w:p>
          <w:p w:rsidR="00E56410" w:rsidRPr="00A10D33" w:rsidRDefault="00E56410" w:rsidP="0072391A">
            <w:pPr>
              <w:jc w:val="center"/>
              <w:rPr>
                <w:sz w:val="22"/>
                <w:szCs w:val="22"/>
              </w:rPr>
            </w:pPr>
            <w:r>
              <w:rPr>
                <w:sz w:val="22"/>
                <w:szCs w:val="22"/>
                <w:lang w:val="en-US"/>
              </w:rPr>
              <w:t>[0.05]**</w:t>
            </w:r>
          </w:p>
        </w:tc>
        <w:tc>
          <w:tcPr>
            <w:tcW w:w="1559" w:type="dxa"/>
            <w:gridSpan w:val="2"/>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(0.375)</w:t>
            </w:r>
          </w:p>
          <w:p w:rsidR="00E56410" w:rsidRPr="00A10D33" w:rsidRDefault="00E56410" w:rsidP="0072391A">
            <w:pPr>
              <w:jc w:val="center"/>
              <w:rPr>
                <w:sz w:val="22"/>
                <w:szCs w:val="22"/>
                <w:lang w:val="en-US"/>
              </w:rPr>
            </w:pPr>
            <w:r>
              <w:rPr>
                <w:sz w:val="22"/>
                <w:szCs w:val="22"/>
                <w:lang w:val="en-US"/>
              </w:rPr>
              <w:t>[0.006]***</w:t>
            </w:r>
          </w:p>
        </w:tc>
        <w:tc>
          <w:tcPr>
            <w:tcW w:w="1276" w:type="dxa"/>
            <w:gridSpan w:val="2"/>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(0.425)</w:t>
            </w:r>
          </w:p>
          <w:p w:rsidR="00E56410" w:rsidRPr="00A10D33" w:rsidRDefault="00E56410" w:rsidP="0072391A">
            <w:pPr>
              <w:jc w:val="center"/>
              <w:rPr>
                <w:sz w:val="22"/>
                <w:szCs w:val="22"/>
                <w:lang w:val="en-US"/>
              </w:rPr>
            </w:pPr>
            <w:r>
              <w:rPr>
                <w:sz w:val="22"/>
                <w:szCs w:val="22"/>
                <w:lang w:val="en-US"/>
              </w:rPr>
              <w:t>[0]***</w:t>
            </w:r>
          </w:p>
        </w:tc>
        <w:tc>
          <w:tcPr>
            <w:tcW w:w="1276" w:type="dxa"/>
          </w:tcPr>
          <w:p w:rsidR="00E56410" w:rsidRDefault="00E56410" w:rsidP="0072391A">
            <w:pPr>
              <w:jc w:val="center"/>
              <w:rPr>
                <w:sz w:val="22"/>
                <w:szCs w:val="22"/>
                <w:lang w:val="en-US"/>
              </w:rPr>
            </w:pPr>
            <w:r>
              <w:rPr>
                <w:sz w:val="22"/>
                <w:szCs w:val="22"/>
                <w:lang w:val="en-US"/>
              </w:rPr>
              <w:t>t+</w:t>
            </w:r>
            <w:r w:rsidRPr="00A10D33">
              <w:rPr>
                <w:sz w:val="22"/>
                <w:szCs w:val="22"/>
                <w:lang w:val="en-US"/>
              </w:rPr>
              <w:t>1</w:t>
            </w:r>
          </w:p>
          <w:p w:rsidR="00E56410" w:rsidRDefault="00E56410" w:rsidP="0072391A">
            <w:pPr>
              <w:jc w:val="center"/>
              <w:rPr>
                <w:sz w:val="22"/>
                <w:szCs w:val="22"/>
                <w:lang w:val="en-US"/>
              </w:rPr>
            </w:pPr>
            <w:r>
              <w:rPr>
                <w:sz w:val="22"/>
                <w:szCs w:val="22"/>
                <w:lang w:val="en-US"/>
              </w:rPr>
              <w:t>(0.278)</w:t>
            </w:r>
          </w:p>
          <w:p w:rsidR="00E56410" w:rsidRPr="00A10D33" w:rsidRDefault="00E56410" w:rsidP="0072391A">
            <w:pPr>
              <w:jc w:val="center"/>
              <w:rPr>
                <w:sz w:val="22"/>
                <w:szCs w:val="22"/>
                <w:lang w:val="en-US"/>
              </w:rPr>
            </w:pPr>
            <w:r>
              <w:rPr>
                <w:sz w:val="22"/>
                <w:szCs w:val="22"/>
                <w:lang w:val="en-US"/>
              </w:rPr>
              <w:t>[0.003]***</w:t>
            </w:r>
          </w:p>
        </w:tc>
        <w:tc>
          <w:tcPr>
            <w:tcW w:w="1134" w:type="dxa"/>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(-0.19)</w:t>
            </w:r>
          </w:p>
          <w:p w:rsidR="00E56410" w:rsidRPr="00A10D33" w:rsidRDefault="00E56410" w:rsidP="0072391A">
            <w:pPr>
              <w:jc w:val="center"/>
              <w:rPr>
                <w:sz w:val="22"/>
                <w:szCs w:val="22"/>
              </w:rPr>
            </w:pPr>
            <w:r>
              <w:rPr>
                <w:sz w:val="22"/>
                <w:szCs w:val="22"/>
                <w:lang w:val="en-US"/>
              </w:rPr>
              <w:t>[0]***</w:t>
            </w:r>
          </w:p>
        </w:tc>
        <w:tc>
          <w:tcPr>
            <w:tcW w:w="992" w:type="dxa"/>
            <w:gridSpan w:val="2"/>
          </w:tcPr>
          <w:p w:rsidR="00E56410" w:rsidRDefault="00E56410" w:rsidP="0072391A">
            <w:pPr>
              <w:jc w:val="center"/>
              <w:rPr>
                <w:sz w:val="22"/>
                <w:szCs w:val="22"/>
                <w:lang w:val="en-US"/>
              </w:rPr>
            </w:pPr>
            <w:r>
              <w:rPr>
                <w:sz w:val="22"/>
                <w:szCs w:val="22"/>
                <w:lang w:val="en-US"/>
              </w:rPr>
              <w:t>t-1</w:t>
            </w:r>
          </w:p>
          <w:p w:rsidR="00E56410" w:rsidRDefault="00E56410" w:rsidP="0072391A">
            <w:pPr>
              <w:jc w:val="center"/>
              <w:rPr>
                <w:sz w:val="22"/>
                <w:szCs w:val="22"/>
                <w:lang w:val="en-US"/>
              </w:rPr>
            </w:pPr>
            <w:r>
              <w:rPr>
                <w:sz w:val="22"/>
                <w:szCs w:val="22"/>
                <w:lang w:val="en-US"/>
              </w:rPr>
              <w:t>(0.056)</w:t>
            </w:r>
          </w:p>
          <w:p w:rsidR="00E56410" w:rsidRPr="00A10D33" w:rsidRDefault="00E56410" w:rsidP="0072391A">
            <w:pPr>
              <w:jc w:val="center"/>
              <w:rPr>
                <w:sz w:val="22"/>
                <w:szCs w:val="22"/>
                <w:lang w:val="en-US"/>
              </w:rPr>
            </w:pPr>
            <w:r>
              <w:rPr>
                <w:sz w:val="22"/>
                <w:szCs w:val="22"/>
                <w:lang w:val="en-US"/>
              </w:rPr>
              <w:t>[0.389]</w:t>
            </w:r>
          </w:p>
        </w:tc>
        <w:tc>
          <w:tcPr>
            <w:tcW w:w="1417" w:type="dxa"/>
            <w:gridSpan w:val="5"/>
          </w:tcPr>
          <w:p w:rsidR="00E56410" w:rsidRDefault="00E56410" w:rsidP="0072391A">
            <w:pPr>
              <w:jc w:val="center"/>
              <w:rPr>
                <w:sz w:val="22"/>
                <w:szCs w:val="22"/>
                <w:lang w:val="en-US"/>
              </w:rPr>
            </w:pPr>
            <w:r>
              <w:rPr>
                <w:sz w:val="22"/>
                <w:szCs w:val="22"/>
                <w:lang w:val="en-US"/>
              </w:rPr>
              <w:t>t+</w:t>
            </w:r>
            <w:r w:rsidRPr="00A10D33">
              <w:rPr>
                <w:sz w:val="22"/>
                <w:szCs w:val="22"/>
                <w:lang w:val="en-US"/>
              </w:rPr>
              <w:t>1</w:t>
            </w:r>
          </w:p>
          <w:p w:rsidR="00E56410" w:rsidRDefault="00E56410" w:rsidP="0072391A">
            <w:pPr>
              <w:jc w:val="center"/>
              <w:rPr>
                <w:sz w:val="22"/>
                <w:szCs w:val="22"/>
                <w:lang w:val="en-US"/>
              </w:rPr>
            </w:pPr>
            <w:r>
              <w:rPr>
                <w:sz w:val="22"/>
                <w:szCs w:val="22"/>
                <w:lang w:val="en-US"/>
              </w:rPr>
              <w:t>(0.163)</w:t>
            </w:r>
          </w:p>
          <w:p w:rsidR="00E56410" w:rsidRPr="00A10D33" w:rsidRDefault="00E56410" w:rsidP="0072391A">
            <w:pPr>
              <w:jc w:val="center"/>
              <w:rPr>
                <w:sz w:val="22"/>
                <w:szCs w:val="22"/>
                <w:lang w:val="en-US"/>
              </w:rPr>
            </w:pPr>
            <w:r>
              <w:rPr>
                <w:sz w:val="22"/>
                <w:szCs w:val="22"/>
                <w:lang w:val="en-US"/>
              </w:rPr>
              <w:t>[0.184]</w:t>
            </w:r>
          </w:p>
        </w:tc>
        <w:tc>
          <w:tcPr>
            <w:tcW w:w="1134" w:type="dxa"/>
            <w:gridSpan w:val="2"/>
            <w:tcBorders>
              <w:right w:val="single" w:sz="18" w:space="0" w:color="auto"/>
            </w:tcBorders>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(0.057)</w:t>
            </w:r>
          </w:p>
          <w:p w:rsidR="00E56410" w:rsidRPr="00A10D33" w:rsidRDefault="00E56410" w:rsidP="0072391A">
            <w:pPr>
              <w:jc w:val="center"/>
              <w:rPr>
                <w:sz w:val="22"/>
                <w:szCs w:val="22"/>
              </w:rPr>
            </w:pPr>
            <w:r>
              <w:rPr>
                <w:sz w:val="22"/>
                <w:szCs w:val="22"/>
                <w:lang w:val="en-US"/>
              </w:rPr>
              <w:t>[0.390]</w:t>
            </w:r>
          </w:p>
        </w:tc>
      </w:tr>
      <w:tr w:rsidR="00E56410" w:rsidRPr="00A10D33" w:rsidTr="0072391A">
        <w:trPr>
          <w:trHeight w:val="732"/>
        </w:trPr>
        <w:tc>
          <w:tcPr>
            <w:tcW w:w="11199" w:type="dxa"/>
            <w:gridSpan w:val="18"/>
            <w:tcBorders>
              <w:top w:val="single" w:sz="4" w:space="0" w:color="FFFFFF" w:themeColor="background1"/>
              <w:left w:val="single" w:sz="4" w:space="0" w:color="FFFFFF" w:themeColor="background1"/>
              <w:right w:val="single" w:sz="4" w:space="0" w:color="FFFFFF" w:themeColor="background1"/>
            </w:tcBorders>
          </w:tcPr>
          <w:p w:rsidR="00E56410" w:rsidRPr="00A10D33" w:rsidRDefault="00E56410" w:rsidP="0072391A">
            <w:pPr>
              <w:jc w:val="right"/>
              <w:rPr>
                <w:sz w:val="22"/>
                <w:szCs w:val="22"/>
                <w:lang w:val="en-US"/>
              </w:rPr>
            </w:pPr>
            <w:r>
              <w:rPr>
                <w:b/>
                <w:sz w:val="22"/>
                <w:szCs w:val="22"/>
                <w:lang w:val="en-US"/>
              </w:rPr>
              <w:lastRenderedPageBreak/>
              <w:t>Table 4(a) cont.</w:t>
            </w:r>
          </w:p>
        </w:tc>
      </w:tr>
      <w:tr w:rsidR="00E56410" w:rsidRPr="00A10D33" w:rsidTr="00431D55">
        <w:trPr>
          <w:trHeight w:val="842"/>
        </w:trPr>
        <w:tc>
          <w:tcPr>
            <w:tcW w:w="1419" w:type="dxa"/>
            <w:gridSpan w:val="2"/>
            <w:tcBorders>
              <w:left w:val="single" w:sz="18" w:space="0" w:color="auto"/>
              <w:bottom w:val="single" w:sz="12" w:space="0" w:color="auto"/>
            </w:tcBorders>
          </w:tcPr>
          <w:p w:rsidR="00E56410" w:rsidRDefault="00E56410" w:rsidP="0072391A">
            <w:pPr>
              <w:jc w:val="center"/>
              <w:rPr>
                <w:b/>
                <w:sz w:val="22"/>
                <w:szCs w:val="22"/>
                <w:lang w:val="en-US"/>
              </w:rPr>
            </w:pPr>
            <w:r w:rsidRPr="00A10D33">
              <w:rPr>
                <w:b/>
                <w:sz w:val="22"/>
                <w:szCs w:val="22"/>
                <w:lang w:val="en-US"/>
              </w:rPr>
              <w:t>yldus10</w:t>
            </w:r>
          </w:p>
          <w:p w:rsidR="00E56410" w:rsidRDefault="00E56410" w:rsidP="0072391A">
            <w:pPr>
              <w:jc w:val="center"/>
              <w:rPr>
                <w:b/>
                <w:sz w:val="22"/>
                <w:szCs w:val="22"/>
                <w:lang w:val="en-US"/>
              </w:rPr>
            </w:pPr>
            <w:r>
              <w:rPr>
                <w:b/>
                <w:sz w:val="22"/>
                <w:szCs w:val="22"/>
                <w:lang w:val="en-US"/>
              </w:rPr>
              <w:t>(</w:t>
            </w:r>
            <w:proofErr w:type="spellStart"/>
            <w:proofErr w:type="gramStart"/>
            <w:r>
              <w:rPr>
                <w:b/>
                <w:sz w:val="22"/>
                <w:szCs w:val="22"/>
                <w:lang w:val="en-US"/>
              </w:rPr>
              <w:t>coef</w:t>
            </w:r>
            <w:proofErr w:type="spellEnd"/>
            <w:proofErr w:type="gramEnd"/>
            <w:r>
              <w:rPr>
                <w:b/>
                <w:sz w:val="22"/>
                <w:szCs w:val="22"/>
                <w:lang w:val="en-US"/>
              </w:rPr>
              <w:t>.)</w:t>
            </w:r>
          </w:p>
          <w:p w:rsidR="00E56410" w:rsidRPr="00A10D33" w:rsidRDefault="00E56410" w:rsidP="0072391A">
            <w:pPr>
              <w:jc w:val="center"/>
              <w:rPr>
                <w:b/>
                <w:sz w:val="22"/>
                <w:szCs w:val="22"/>
                <w:lang w:val="en-US"/>
              </w:rPr>
            </w:pPr>
            <w:r>
              <w:rPr>
                <w:b/>
                <w:sz w:val="22"/>
                <w:szCs w:val="22"/>
                <w:lang w:val="en-US"/>
              </w:rPr>
              <w:t>[p-value]</w:t>
            </w:r>
          </w:p>
        </w:tc>
        <w:tc>
          <w:tcPr>
            <w:tcW w:w="1275" w:type="dxa"/>
            <w:gridSpan w:val="2"/>
            <w:tcBorders>
              <w:bottom w:val="single" w:sz="12" w:space="0" w:color="auto"/>
            </w:tcBorders>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(0.723)</w:t>
            </w:r>
          </w:p>
          <w:p w:rsidR="00E56410" w:rsidRPr="003666B7" w:rsidRDefault="00E56410" w:rsidP="0072391A">
            <w:pPr>
              <w:jc w:val="center"/>
              <w:rPr>
                <w:sz w:val="22"/>
                <w:szCs w:val="22"/>
                <w:lang w:val="en-US"/>
              </w:rPr>
            </w:pPr>
            <w:r>
              <w:rPr>
                <w:sz w:val="22"/>
                <w:szCs w:val="22"/>
                <w:lang w:val="en-US"/>
              </w:rPr>
              <w:t>[0.003]***</w:t>
            </w:r>
          </w:p>
        </w:tc>
        <w:tc>
          <w:tcPr>
            <w:tcW w:w="1276" w:type="dxa"/>
            <w:tcBorders>
              <w:bottom w:val="single" w:sz="12" w:space="0" w:color="auto"/>
            </w:tcBorders>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(0.461)</w:t>
            </w:r>
          </w:p>
          <w:p w:rsidR="00E56410" w:rsidRPr="00A10D33" w:rsidRDefault="00E56410" w:rsidP="0072391A">
            <w:pPr>
              <w:jc w:val="center"/>
              <w:rPr>
                <w:sz w:val="22"/>
                <w:szCs w:val="22"/>
                <w:lang w:val="en-US"/>
              </w:rPr>
            </w:pPr>
            <w:r>
              <w:rPr>
                <w:sz w:val="22"/>
                <w:szCs w:val="22"/>
                <w:lang w:val="en-US"/>
              </w:rPr>
              <w:t>[0]***</w:t>
            </w:r>
          </w:p>
        </w:tc>
        <w:tc>
          <w:tcPr>
            <w:tcW w:w="1134" w:type="dxa"/>
            <w:tcBorders>
              <w:bottom w:val="single" w:sz="12" w:space="0" w:color="auto"/>
            </w:tcBorders>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(0.514)</w:t>
            </w:r>
          </w:p>
          <w:p w:rsidR="00E56410" w:rsidRPr="00A10D33" w:rsidRDefault="00E56410" w:rsidP="0072391A">
            <w:pPr>
              <w:jc w:val="center"/>
              <w:rPr>
                <w:sz w:val="22"/>
                <w:szCs w:val="22"/>
                <w:lang w:val="en-US"/>
              </w:rPr>
            </w:pPr>
            <w:r>
              <w:rPr>
                <w:sz w:val="22"/>
                <w:szCs w:val="22"/>
                <w:lang w:val="en-US"/>
              </w:rPr>
              <w:t>[0]***</w:t>
            </w:r>
          </w:p>
        </w:tc>
        <w:tc>
          <w:tcPr>
            <w:tcW w:w="1418" w:type="dxa"/>
            <w:gridSpan w:val="2"/>
            <w:tcBorders>
              <w:bottom w:val="single" w:sz="12" w:space="0" w:color="auto"/>
            </w:tcBorders>
          </w:tcPr>
          <w:p w:rsidR="00E56410" w:rsidRDefault="00E56410" w:rsidP="0072391A">
            <w:pPr>
              <w:jc w:val="center"/>
              <w:rPr>
                <w:sz w:val="22"/>
                <w:szCs w:val="22"/>
                <w:lang w:val="en-US"/>
              </w:rPr>
            </w:pPr>
            <w:r>
              <w:rPr>
                <w:sz w:val="22"/>
                <w:szCs w:val="22"/>
                <w:lang w:val="en-US"/>
              </w:rPr>
              <w:t>t-</w:t>
            </w:r>
            <w:r w:rsidRPr="00A10D33">
              <w:rPr>
                <w:sz w:val="22"/>
                <w:szCs w:val="22"/>
                <w:lang w:val="en-US"/>
              </w:rPr>
              <w:t>1</w:t>
            </w:r>
          </w:p>
          <w:p w:rsidR="00E56410" w:rsidRDefault="00E56410" w:rsidP="0072391A">
            <w:pPr>
              <w:jc w:val="center"/>
              <w:rPr>
                <w:sz w:val="22"/>
                <w:szCs w:val="22"/>
                <w:lang w:val="en-US"/>
              </w:rPr>
            </w:pPr>
            <w:r>
              <w:rPr>
                <w:sz w:val="22"/>
                <w:szCs w:val="22"/>
                <w:lang w:val="en-US"/>
              </w:rPr>
              <w:t>(-0.331)</w:t>
            </w:r>
          </w:p>
          <w:p w:rsidR="00E56410" w:rsidRPr="00A10D33" w:rsidRDefault="00E56410" w:rsidP="0072391A">
            <w:pPr>
              <w:jc w:val="center"/>
              <w:rPr>
                <w:sz w:val="22"/>
                <w:szCs w:val="22"/>
                <w:lang w:val="en-US"/>
              </w:rPr>
            </w:pPr>
            <w:r>
              <w:rPr>
                <w:sz w:val="22"/>
                <w:szCs w:val="22"/>
                <w:lang w:val="en-US"/>
              </w:rPr>
              <w:t>[0.017]**</w:t>
            </w:r>
          </w:p>
        </w:tc>
        <w:tc>
          <w:tcPr>
            <w:tcW w:w="1275" w:type="dxa"/>
            <w:gridSpan w:val="2"/>
            <w:tcBorders>
              <w:bottom w:val="single" w:sz="12" w:space="0" w:color="auto"/>
            </w:tcBorders>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(-0.2)</w:t>
            </w:r>
          </w:p>
          <w:p w:rsidR="00E56410" w:rsidRPr="00A10D33" w:rsidRDefault="00E56410" w:rsidP="0072391A">
            <w:pPr>
              <w:jc w:val="center"/>
              <w:rPr>
                <w:sz w:val="22"/>
                <w:szCs w:val="22"/>
              </w:rPr>
            </w:pPr>
            <w:r>
              <w:rPr>
                <w:sz w:val="22"/>
                <w:szCs w:val="22"/>
                <w:lang w:val="en-US"/>
              </w:rPr>
              <w:t>[0.012]**</w:t>
            </w:r>
          </w:p>
        </w:tc>
        <w:tc>
          <w:tcPr>
            <w:tcW w:w="993" w:type="dxa"/>
            <w:gridSpan w:val="2"/>
            <w:tcBorders>
              <w:bottom w:val="single" w:sz="12" w:space="0" w:color="auto"/>
            </w:tcBorders>
          </w:tcPr>
          <w:p w:rsidR="00E56410" w:rsidRDefault="00E56410" w:rsidP="0072391A">
            <w:pPr>
              <w:jc w:val="center"/>
              <w:rPr>
                <w:sz w:val="22"/>
                <w:szCs w:val="22"/>
                <w:lang w:val="en-US"/>
              </w:rPr>
            </w:pPr>
            <w:r>
              <w:rPr>
                <w:sz w:val="22"/>
                <w:szCs w:val="22"/>
                <w:lang w:val="en-US"/>
              </w:rPr>
              <w:t>t</w:t>
            </w:r>
          </w:p>
          <w:p w:rsidR="00E56410" w:rsidRDefault="00E56410" w:rsidP="0072391A">
            <w:pPr>
              <w:jc w:val="center"/>
              <w:rPr>
                <w:sz w:val="22"/>
                <w:szCs w:val="22"/>
                <w:lang w:val="en-US"/>
              </w:rPr>
            </w:pPr>
            <w:r>
              <w:rPr>
                <w:sz w:val="22"/>
                <w:szCs w:val="22"/>
                <w:lang w:val="en-US"/>
              </w:rPr>
              <w:t>(0.085)</w:t>
            </w:r>
          </w:p>
          <w:p w:rsidR="00E56410" w:rsidRPr="00A10D33" w:rsidRDefault="00E56410" w:rsidP="0072391A">
            <w:pPr>
              <w:jc w:val="center"/>
              <w:rPr>
                <w:sz w:val="22"/>
                <w:szCs w:val="22"/>
                <w:lang w:val="en-US"/>
              </w:rPr>
            </w:pPr>
            <w:r>
              <w:rPr>
                <w:sz w:val="22"/>
                <w:szCs w:val="22"/>
                <w:lang w:val="en-US"/>
              </w:rPr>
              <w:t>[0.246]</w:t>
            </w:r>
          </w:p>
        </w:tc>
        <w:tc>
          <w:tcPr>
            <w:tcW w:w="1134" w:type="dxa"/>
            <w:gridSpan w:val="3"/>
            <w:tcBorders>
              <w:bottom w:val="single" w:sz="12" w:space="0" w:color="auto"/>
            </w:tcBorders>
          </w:tcPr>
          <w:p w:rsidR="00E56410" w:rsidRDefault="00E56410" w:rsidP="0072391A">
            <w:pPr>
              <w:jc w:val="center"/>
              <w:rPr>
                <w:sz w:val="22"/>
                <w:szCs w:val="22"/>
                <w:lang w:val="en-US"/>
              </w:rPr>
            </w:pPr>
            <w:r>
              <w:rPr>
                <w:sz w:val="22"/>
                <w:szCs w:val="22"/>
                <w:lang w:val="en-US"/>
              </w:rPr>
              <w:t>t-</w:t>
            </w:r>
            <w:r w:rsidRPr="00A10D33">
              <w:rPr>
                <w:sz w:val="22"/>
                <w:szCs w:val="22"/>
                <w:lang w:val="en-US"/>
              </w:rPr>
              <w:t>1</w:t>
            </w:r>
          </w:p>
          <w:p w:rsidR="00E56410" w:rsidRDefault="00E56410" w:rsidP="0072391A">
            <w:pPr>
              <w:jc w:val="center"/>
              <w:rPr>
                <w:sz w:val="22"/>
                <w:szCs w:val="22"/>
                <w:lang w:val="en-US"/>
              </w:rPr>
            </w:pPr>
            <w:r>
              <w:rPr>
                <w:sz w:val="22"/>
                <w:szCs w:val="22"/>
                <w:lang w:val="en-US"/>
              </w:rPr>
              <w:t>(-0.283)</w:t>
            </w:r>
          </w:p>
          <w:p w:rsidR="00E56410" w:rsidRPr="00A10D33" w:rsidRDefault="00E56410" w:rsidP="0072391A">
            <w:pPr>
              <w:jc w:val="center"/>
              <w:rPr>
                <w:sz w:val="22"/>
                <w:szCs w:val="22"/>
                <w:lang w:val="en-US"/>
              </w:rPr>
            </w:pPr>
            <w:r>
              <w:rPr>
                <w:sz w:val="22"/>
                <w:szCs w:val="22"/>
                <w:lang w:val="en-US"/>
              </w:rPr>
              <w:t>[0.02]**</w:t>
            </w:r>
          </w:p>
        </w:tc>
        <w:tc>
          <w:tcPr>
            <w:tcW w:w="1275" w:type="dxa"/>
            <w:gridSpan w:val="3"/>
            <w:tcBorders>
              <w:bottom w:val="single" w:sz="12" w:space="0" w:color="auto"/>
              <w:right w:val="single" w:sz="18" w:space="0" w:color="auto"/>
            </w:tcBorders>
          </w:tcPr>
          <w:p w:rsidR="00E56410" w:rsidRDefault="00E56410" w:rsidP="0072391A">
            <w:pPr>
              <w:jc w:val="center"/>
              <w:rPr>
                <w:sz w:val="22"/>
                <w:szCs w:val="22"/>
                <w:lang w:val="en-US"/>
              </w:rPr>
            </w:pPr>
            <w:r w:rsidRPr="00A10D33">
              <w:rPr>
                <w:sz w:val="22"/>
                <w:szCs w:val="22"/>
                <w:lang w:val="en-US"/>
              </w:rPr>
              <w:t>t+1</w:t>
            </w:r>
          </w:p>
          <w:p w:rsidR="00E56410" w:rsidRDefault="00E56410" w:rsidP="0072391A">
            <w:pPr>
              <w:jc w:val="center"/>
              <w:rPr>
                <w:sz w:val="22"/>
                <w:szCs w:val="22"/>
                <w:lang w:val="en-US"/>
              </w:rPr>
            </w:pPr>
            <w:r>
              <w:rPr>
                <w:sz w:val="22"/>
                <w:szCs w:val="22"/>
                <w:lang w:val="en-US"/>
              </w:rPr>
              <w:t>(0.055)</w:t>
            </w:r>
          </w:p>
          <w:p w:rsidR="00E56410" w:rsidRPr="00A10D33" w:rsidRDefault="00E56410" w:rsidP="0072391A">
            <w:pPr>
              <w:jc w:val="center"/>
              <w:rPr>
                <w:sz w:val="22"/>
                <w:szCs w:val="22"/>
              </w:rPr>
            </w:pPr>
            <w:r>
              <w:rPr>
                <w:sz w:val="22"/>
                <w:szCs w:val="22"/>
                <w:lang w:val="en-US"/>
              </w:rPr>
              <w:t>[0.514]</w:t>
            </w:r>
          </w:p>
        </w:tc>
      </w:tr>
      <w:tr w:rsidR="00E56410" w:rsidRPr="008A581D" w:rsidTr="00431D55">
        <w:trPr>
          <w:trHeight w:val="589"/>
        </w:trPr>
        <w:tc>
          <w:tcPr>
            <w:tcW w:w="11199" w:type="dxa"/>
            <w:gridSpan w:val="18"/>
            <w:tcBorders>
              <w:top w:val="single" w:sz="12" w:space="0" w:color="auto"/>
              <w:left w:val="single" w:sz="18" w:space="0" w:color="auto"/>
              <w:right w:val="single" w:sz="18" w:space="0" w:color="auto"/>
            </w:tcBorders>
            <w:shd w:val="clear" w:color="auto" w:fill="B6DDE8" w:themeFill="accent5" w:themeFillTint="66"/>
          </w:tcPr>
          <w:p w:rsidR="00E56410" w:rsidRDefault="00E56410" w:rsidP="0072391A">
            <w:pPr>
              <w:jc w:val="center"/>
              <w:rPr>
                <w:b/>
                <w:sz w:val="22"/>
                <w:szCs w:val="22"/>
                <w:lang w:val="en-US"/>
              </w:rPr>
            </w:pPr>
          </w:p>
          <w:p w:rsidR="00E56410" w:rsidRDefault="00E56410" w:rsidP="0072391A">
            <w:pPr>
              <w:jc w:val="center"/>
              <w:rPr>
                <w:b/>
                <w:sz w:val="22"/>
                <w:szCs w:val="22"/>
                <w:lang w:val="en-US"/>
              </w:rPr>
            </w:pPr>
            <w:r w:rsidRPr="00A10D33">
              <w:rPr>
                <w:b/>
                <w:sz w:val="22"/>
                <w:szCs w:val="22"/>
                <w:lang w:val="en-US"/>
              </w:rPr>
              <w:t>Panel D : Stocks</w:t>
            </w:r>
          </w:p>
          <w:p w:rsidR="00E56410" w:rsidRPr="00A10D33" w:rsidRDefault="00E56410" w:rsidP="0072391A">
            <w:pPr>
              <w:jc w:val="center"/>
              <w:rPr>
                <w:b/>
                <w:sz w:val="22"/>
                <w:szCs w:val="22"/>
                <w:lang w:val="en-US"/>
              </w:rPr>
            </w:pPr>
          </w:p>
        </w:tc>
      </w:tr>
      <w:tr w:rsidR="00E56410" w:rsidRPr="00A10D33" w:rsidTr="0072391A">
        <w:trPr>
          <w:trHeight w:val="372"/>
        </w:trPr>
        <w:tc>
          <w:tcPr>
            <w:tcW w:w="1419" w:type="dxa"/>
            <w:gridSpan w:val="2"/>
            <w:tcBorders>
              <w:left w:val="single" w:sz="18" w:space="0" w:color="auto"/>
            </w:tcBorders>
          </w:tcPr>
          <w:p w:rsidR="00E56410" w:rsidRPr="005202C7" w:rsidRDefault="00E56410" w:rsidP="0072391A">
            <w:pPr>
              <w:jc w:val="center"/>
              <w:rPr>
                <w:b/>
                <w:sz w:val="22"/>
                <w:szCs w:val="22"/>
                <w:lang w:val="en-US"/>
              </w:rPr>
            </w:pPr>
            <w:r w:rsidRPr="005202C7">
              <w:rPr>
                <w:b/>
                <w:sz w:val="22"/>
                <w:szCs w:val="22"/>
                <w:lang w:val="en-US"/>
              </w:rPr>
              <w:t>Russell 1000</w:t>
            </w:r>
          </w:p>
          <w:p w:rsidR="00E56410" w:rsidRPr="005202C7" w:rsidRDefault="00E56410" w:rsidP="0072391A">
            <w:pPr>
              <w:jc w:val="center"/>
              <w:rPr>
                <w:b/>
                <w:sz w:val="22"/>
                <w:szCs w:val="22"/>
                <w:lang w:val="en-US"/>
              </w:rPr>
            </w:pPr>
            <w:r w:rsidRPr="005202C7">
              <w:rPr>
                <w:b/>
                <w:sz w:val="22"/>
                <w:szCs w:val="22"/>
                <w:lang w:val="en-US"/>
              </w:rPr>
              <w:t>(</w:t>
            </w:r>
            <w:proofErr w:type="spellStart"/>
            <w:proofErr w:type="gramStart"/>
            <w:r w:rsidRPr="005202C7">
              <w:rPr>
                <w:b/>
                <w:sz w:val="22"/>
                <w:szCs w:val="22"/>
                <w:lang w:val="en-US"/>
              </w:rPr>
              <w:t>coef</w:t>
            </w:r>
            <w:proofErr w:type="spellEnd"/>
            <w:proofErr w:type="gramEnd"/>
            <w:r w:rsidRPr="005202C7">
              <w:rPr>
                <w:b/>
                <w:sz w:val="22"/>
                <w:szCs w:val="22"/>
                <w:lang w:val="en-US"/>
              </w:rPr>
              <w:t>.)</w:t>
            </w:r>
          </w:p>
          <w:p w:rsidR="00E56410" w:rsidRPr="005202C7" w:rsidRDefault="00E56410" w:rsidP="0072391A">
            <w:pPr>
              <w:jc w:val="center"/>
              <w:rPr>
                <w:b/>
                <w:sz w:val="22"/>
                <w:szCs w:val="22"/>
                <w:lang w:val="en-US"/>
              </w:rPr>
            </w:pPr>
            <w:r w:rsidRPr="005202C7">
              <w:rPr>
                <w:b/>
                <w:sz w:val="22"/>
                <w:szCs w:val="22"/>
                <w:lang w:val="en-US"/>
              </w:rPr>
              <w:t>[p-value]</w:t>
            </w:r>
          </w:p>
        </w:tc>
        <w:tc>
          <w:tcPr>
            <w:tcW w:w="1275" w:type="dxa"/>
            <w:gridSpan w:val="2"/>
          </w:tcPr>
          <w:p w:rsidR="00E56410" w:rsidRPr="005202C7" w:rsidRDefault="00E56410" w:rsidP="0072391A">
            <w:pPr>
              <w:jc w:val="center"/>
              <w:rPr>
                <w:sz w:val="22"/>
                <w:szCs w:val="22"/>
                <w:lang w:val="en-US"/>
              </w:rPr>
            </w:pPr>
            <w:r w:rsidRPr="005202C7">
              <w:rPr>
                <w:sz w:val="22"/>
                <w:szCs w:val="22"/>
                <w:lang w:val="en-US"/>
              </w:rPr>
              <w:t>t+1</w:t>
            </w:r>
          </w:p>
          <w:p w:rsidR="00E56410" w:rsidRPr="005202C7" w:rsidRDefault="00E56410" w:rsidP="0072391A">
            <w:pPr>
              <w:jc w:val="center"/>
              <w:rPr>
                <w:sz w:val="22"/>
                <w:szCs w:val="22"/>
                <w:lang w:val="en-US"/>
              </w:rPr>
            </w:pPr>
            <w:r w:rsidRPr="005202C7">
              <w:rPr>
                <w:sz w:val="22"/>
                <w:szCs w:val="22"/>
                <w:lang w:val="en-US"/>
              </w:rPr>
              <w:t>(2.723)</w:t>
            </w:r>
          </w:p>
          <w:p w:rsidR="00E56410" w:rsidRPr="005202C7" w:rsidRDefault="00E56410" w:rsidP="0072391A">
            <w:pPr>
              <w:jc w:val="center"/>
              <w:rPr>
                <w:sz w:val="22"/>
                <w:szCs w:val="22"/>
                <w:lang w:val="en-US"/>
              </w:rPr>
            </w:pPr>
            <w:r w:rsidRPr="005202C7">
              <w:rPr>
                <w:sz w:val="22"/>
                <w:szCs w:val="22"/>
                <w:lang w:val="en-US"/>
              </w:rPr>
              <w:t>[0.183]</w:t>
            </w:r>
          </w:p>
          <w:p w:rsidR="00E56410" w:rsidRPr="005202C7" w:rsidRDefault="00E56410" w:rsidP="0072391A">
            <w:pPr>
              <w:jc w:val="center"/>
              <w:rPr>
                <w:sz w:val="22"/>
                <w:szCs w:val="22"/>
                <w:lang w:val="en-US"/>
              </w:rPr>
            </w:pPr>
          </w:p>
        </w:tc>
        <w:tc>
          <w:tcPr>
            <w:tcW w:w="1276" w:type="dxa"/>
          </w:tcPr>
          <w:p w:rsidR="00E56410" w:rsidRPr="005202C7" w:rsidRDefault="00E56410" w:rsidP="0072391A">
            <w:pPr>
              <w:jc w:val="center"/>
              <w:rPr>
                <w:sz w:val="22"/>
                <w:szCs w:val="22"/>
                <w:lang w:val="en-US"/>
              </w:rPr>
            </w:pPr>
            <w:r w:rsidRPr="005202C7">
              <w:rPr>
                <w:sz w:val="22"/>
                <w:szCs w:val="22"/>
                <w:lang w:val="en-US"/>
              </w:rPr>
              <w:t>t+1</w:t>
            </w:r>
          </w:p>
          <w:p w:rsidR="00E56410" w:rsidRPr="005202C7" w:rsidRDefault="00E56410" w:rsidP="0072391A">
            <w:pPr>
              <w:jc w:val="center"/>
              <w:rPr>
                <w:sz w:val="22"/>
                <w:szCs w:val="22"/>
                <w:lang w:val="en-US"/>
              </w:rPr>
            </w:pPr>
            <w:r w:rsidRPr="005202C7">
              <w:rPr>
                <w:sz w:val="22"/>
                <w:szCs w:val="22"/>
                <w:lang w:val="en-US"/>
              </w:rPr>
              <w:t>(5.142)</w:t>
            </w:r>
          </w:p>
          <w:p w:rsidR="00E56410" w:rsidRPr="005202C7" w:rsidRDefault="00E56410" w:rsidP="0072391A">
            <w:pPr>
              <w:jc w:val="center"/>
              <w:rPr>
                <w:sz w:val="22"/>
                <w:szCs w:val="22"/>
                <w:lang w:val="en-US"/>
              </w:rPr>
            </w:pPr>
            <w:r w:rsidRPr="005202C7">
              <w:rPr>
                <w:sz w:val="22"/>
                <w:szCs w:val="22"/>
                <w:lang w:val="en-US"/>
              </w:rPr>
              <w:t>[0]***</w:t>
            </w:r>
          </w:p>
        </w:tc>
        <w:tc>
          <w:tcPr>
            <w:tcW w:w="1276" w:type="dxa"/>
            <w:gridSpan w:val="2"/>
          </w:tcPr>
          <w:p w:rsidR="00E56410" w:rsidRPr="005202C7" w:rsidRDefault="00E56410" w:rsidP="0072391A">
            <w:pPr>
              <w:jc w:val="center"/>
              <w:rPr>
                <w:sz w:val="22"/>
                <w:szCs w:val="22"/>
                <w:lang w:val="en-US"/>
              </w:rPr>
            </w:pPr>
            <w:r w:rsidRPr="005202C7">
              <w:rPr>
                <w:sz w:val="22"/>
                <w:szCs w:val="22"/>
                <w:lang w:val="en-US"/>
              </w:rPr>
              <w:t>t-1</w:t>
            </w:r>
          </w:p>
          <w:p w:rsidR="00E56410" w:rsidRPr="005202C7" w:rsidRDefault="00E56410" w:rsidP="0072391A">
            <w:pPr>
              <w:jc w:val="center"/>
              <w:rPr>
                <w:sz w:val="22"/>
                <w:szCs w:val="22"/>
                <w:lang w:val="en-US"/>
              </w:rPr>
            </w:pPr>
            <w:r w:rsidRPr="005202C7">
              <w:rPr>
                <w:sz w:val="22"/>
                <w:szCs w:val="22"/>
                <w:lang w:val="en-US"/>
              </w:rPr>
              <w:t>(-1.776)</w:t>
            </w:r>
          </w:p>
          <w:p w:rsidR="00E56410" w:rsidRPr="005202C7" w:rsidRDefault="00E56410" w:rsidP="0072391A">
            <w:pPr>
              <w:jc w:val="center"/>
              <w:rPr>
                <w:sz w:val="22"/>
                <w:szCs w:val="22"/>
                <w:lang w:val="en-US"/>
              </w:rPr>
            </w:pPr>
            <w:r w:rsidRPr="005202C7">
              <w:rPr>
                <w:sz w:val="22"/>
                <w:szCs w:val="22"/>
                <w:lang w:val="en-US"/>
              </w:rPr>
              <w:t>[0.066]*</w:t>
            </w:r>
          </w:p>
        </w:tc>
        <w:tc>
          <w:tcPr>
            <w:tcW w:w="1276" w:type="dxa"/>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(-3.895)</w:t>
            </w:r>
          </w:p>
          <w:p w:rsidR="00E56410" w:rsidRPr="005202C7" w:rsidRDefault="00E56410" w:rsidP="0072391A">
            <w:pPr>
              <w:jc w:val="center"/>
              <w:rPr>
                <w:sz w:val="22"/>
                <w:szCs w:val="22"/>
                <w:lang w:val="en-US"/>
              </w:rPr>
            </w:pPr>
            <w:r w:rsidRPr="005202C7">
              <w:rPr>
                <w:sz w:val="22"/>
                <w:szCs w:val="22"/>
                <w:lang w:val="en-US"/>
              </w:rPr>
              <w:t>[0]***</w:t>
            </w:r>
          </w:p>
        </w:tc>
        <w:tc>
          <w:tcPr>
            <w:tcW w:w="1275" w:type="dxa"/>
            <w:gridSpan w:val="2"/>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(2.837)</w:t>
            </w:r>
          </w:p>
          <w:p w:rsidR="00E56410" w:rsidRPr="005202C7" w:rsidRDefault="00E56410" w:rsidP="0072391A">
            <w:pPr>
              <w:jc w:val="center"/>
              <w:rPr>
                <w:sz w:val="22"/>
                <w:szCs w:val="22"/>
                <w:lang w:val="en-US"/>
              </w:rPr>
            </w:pPr>
            <w:r w:rsidRPr="005202C7">
              <w:rPr>
                <w:sz w:val="22"/>
                <w:szCs w:val="22"/>
                <w:lang w:val="en-US"/>
              </w:rPr>
              <w:t>[0]***</w:t>
            </w:r>
          </w:p>
        </w:tc>
        <w:tc>
          <w:tcPr>
            <w:tcW w:w="993" w:type="dxa"/>
            <w:gridSpan w:val="2"/>
          </w:tcPr>
          <w:p w:rsidR="00E56410" w:rsidRPr="005202C7" w:rsidRDefault="00E56410" w:rsidP="0072391A">
            <w:pPr>
              <w:jc w:val="center"/>
              <w:rPr>
                <w:sz w:val="22"/>
                <w:szCs w:val="22"/>
                <w:lang w:val="en-US"/>
              </w:rPr>
            </w:pPr>
            <w:r w:rsidRPr="005202C7">
              <w:rPr>
                <w:sz w:val="22"/>
                <w:szCs w:val="22"/>
                <w:lang w:val="en-US"/>
              </w:rPr>
              <w:t>t-1</w:t>
            </w:r>
          </w:p>
          <w:p w:rsidR="00E56410" w:rsidRPr="005202C7" w:rsidRDefault="00E56410" w:rsidP="0072391A">
            <w:pPr>
              <w:jc w:val="center"/>
              <w:rPr>
                <w:sz w:val="22"/>
                <w:szCs w:val="22"/>
                <w:lang w:val="en-US"/>
              </w:rPr>
            </w:pPr>
            <w:r w:rsidRPr="005202C7">
              <w:rPr>
                <w:sz w:val="22"/>
                <w:szCs w:val="22"/>
                <w:lang w:val="en-US"/>
              </w:rPr>
              <w:t>(-0.402)</w:t>
            </w:r>
          </w:p>
          <w:p w:rsidR="00E56410" w:rsidRPr="005202C7" w:rsidRDefault="00E56410" w:rsidP="0072391A">
            <w:pPr>
              <w:jc w:val="center"/>
              <w:rPr>
                <w:sz w:val="22"/>
                <w:szCs w:val="22"/>
                <w:lang w:val="en-US"/>
              </w:rPr>
            </w:pPr>
            <w:r w:rsidRPr="005202C7">
              <w:rPr>
                <w:sz w:val="22"/>
                <w:szCs w:val="22"/>
                <w:lang w:val="en-US"/>
              </w:rPr>
              <w:t>[0.35]</w:t>
            </w:r>
          </w:p>
        </w:tc>
        <w:tc>
          <w:tcPr>
            <w:tcW w:w="1134" w:type="dxa"/>
            <w:gridSpan w:val="3"/>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(-7.254)</w:t>
            </w:r>
          </w:p>
          <w:p w:rsidR="00E56410" w:rsidRPr="005202C7" w:rsidRDefault="00E56410" w:rsidP="0072391A">
            <w:pPr>
              <w:jc w:val="center"/>
              <w:rPr>
                <w:sz w:val="22"/>
                <w:szCs w:val="22"/>
                <w:lang w:val="en-US"/>
              </w:rPr>
            </w:pPr>
            <w:r w:rsidRPr="005202C7">
              <w:rPr>
                <w:sz w:val="22"/>
                <w:szCs w:val="22"/>
                <w:lang w:val="en-US"/>
              </w:rPr>
              <w:t>[0]***</w:t>
            </w:r>
          </w:p>
        </w:tc>
        <w:tc>
          <w:tcPr>
            <w:tcW w:w="1275" w:type="dxa"/>
            <w:gridSpan w:val="3"/>
            <w:tcBorders>
              <w:right w:val="single" w:sz="18" w:space="0" w:color="auto"/>
            </w:tcBorders>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(-2.604)</w:t>
            </w:r>
          </w:p>
          <w:p w:rsidR="00E56410" w:rsidRPr="005202C7" w:rsidRDefault="00E56410" w:rsidP="0072391A">
            <w:pPr>
              <w:jc w:val="center"/>
              <w:rPr>
                <w:sz w:val="22"/>
                <w:szCs w:val="22"/>
                <w:lang w:val="en-US"/>
              </w:rPr>
            </w:pPr>
            <w:r w:rsidRPr="005202C7">
              <w:rPr>
                <w:sz w:val="22"/>
                <w:szCs w:val="22"/>
                <w:lang w:val="en-US"/>
              </w:rPr>
              <w:t>[0]***</w:t>
            </w:r>
          </w:p>
        </w:tc>
      </w:tr>
      <w:tr w:rsidR="00E56410" w:rsidRPr="00A10D33" w:rsidTr="0072391A">
        <w:trPr>
          <w:trHeight w:val="372"/>
        </w:trPr>
        <w:tc>
          <w:tcPr>
            <w:tcW w:w="1419" w:type="dxa"/>
            <w:gridSpan w:val="2"/>
            <w:tcBorders>
              <w:left w:val="single" w:sz="18" w:space="0" w:color="auto"/>
            </w:tcBorders>
          </w:tcPr>
          <w:p w:rsidR="00E56410" w:rsidRPr="005202C7" w:rsidRDefault="00E56410" w:rsidP="0072391A">
            <w:pPr>
              <w:jc w:val="center"/>
              <w:rPr>
                <w:b/>
                <w:sz w:val="22"/>
                <w:szCs w:val="22"/>
                <w:lang w:val="en-US"/>
              </w:rPr>
            </w:pPr>
            <w:r w:rsidRPr="005202C7">
              <w:rPr>
                <w:b/>
                <w:sz w:val="22"/>
                <w:szCs w:val="22"/>
                <w:lang w:val="en-US"/>
              </w:rPr>
              <w:t>Russell 2000</w:t>
            </w:r>
          </w:p>
          <w:p w:rsidR="00E56410" w:rsidRPr="005202C7" w:rsidRDefault="00E56410" w:rsidP="0072391A">
            <w:pPr>
              <w:jc w:val="center"/>
              <w:rPr>
                <w:b/>
                <w:sz w:val="22"/>
                <w:szCs w:val="22"/>
                <w:lang w:val="en-US"/>
              </w:rPr>
            </w:pPr>
            <w:r w:rsidRPr="005202C7">
              <w:rPr>
                <w:b/>
                <w:sz w:val="22"/>
                <w:szCs w:val="22"/>
                <w:lang w:val="en-US"/>
              </w:rPr>
              <w:t>(</w:t>
            </w:r>
            <w:proofErr w:type="spellStart"/>
            <w:proofErr w:type="gramStart"/>
            <w:r w:rsidRPr="005202C7">
              <w:rPr>
                <w:b/>
                <w:sz w:val="22"/>
                <w:szCs w:val="22"/>
                <w:lang w:val="en-US"/>
              </w:rPr>
              <w:t>coef</w:t>
            </w:r>
            <w:proofErr w:type="spellEnd"/>
            <w:proofErr w:type="gramEnd"/>
            <w:r w:rsidRPr="005202C7">
              <w:rPr>
                <w:b/>
                <w:sz w:val="22"/>
                <w:szCs w:val="22"/>
                <w:lang w:val="en-US"/>
              </w:rPr>
              <w:t>.)</w:t>
            </w:r>
          </w:p>
          <w:p w:rsidR="00E56410" w:rsidRPr="005202C7" w:rsidRDefault="00E56410" w:rsidP="0072391A">
            <w:pPr>
              <w:jc w:val="center"/>
              <w:rPr>
                <w:b/>
                <w:sz w:val="22"/>
                <w:szCs w:val="22"/>
                <w:lang w:val="en-US"/>
              </w:rPr>
            </w:pPr>
            <w:r w:rsidRPr="005202C7">
              <w:rPr>
                <w:b/>
                <w:sz w:val="22"/>
                <w:szCs w:val="22"/>
                <w:lang w:val="en-US"/>
              </w:rPr>
              <w:t>[p-value]</w:t>
            </w:r>
          </w:p>
        </w:tc>
        <w:tc>
          <w:tcPr>
            <w:tcW w:w="1275" w:type="dxa"/>
            <w:gridSpan w:val="2"/>
          </w:tcPr>
          <w:p w:rsidR="00E56410" w:rsidRPr="005202C7" w:rsidRDefault="00E56410" w:rsidP="0072391A">
            <w:pPr>
              <w:jc w:val="center"/>
              <w:rPr>
                <w:sz w:val="22"/>
                <w:szCs w:val="22"/>
                <w:lang w:val="en-US"/>
              </w:rPr>
            </w:pPr>
            <w:r w:rsidRPr="005202C7">
              <w:rPr>
                <w:sz w:val="22"/>
                <w:szCs w:val="22"/>
                <w:lang w:val="en-US"/>
              </w:rPr>
              <w:t>t+1</w:t>
            </w:r>
          </w:p>
          <w:p w:rsidR="00E56410" w:rsidRPr="005202C7" w:rsidRDefault="00E56410" w:rsidP="0072391A">
            <w:pPr>
              <w:jc w:val="center"/>
              <w:rPr>
                <w:sz w:val="22"/>
                <w:szCs w:val="22"/>
                <w:lang w:val="en-US"/>
              </w:rPr>
            </w:pPr>
            <w:r w:rsidRPr="005202C7">
              <w:rPr>
                <w:sz w:val="22"/>
                <w:szCs w:val="22"/>
                <w:lang w:val="en-US"/>
              </w:rPr>
              <w:t>(5.306)</w:t>
            </w:r>
          </w:p>
          <w:p w:rsidR="00E56410" w:rsidRPr="005202C7" w:rsidRDefault="00E56410" w:rsidP="0072391A">
            <w:pPr>
              <w:jc w:val="center"/>
              <w:rPr>
                <w:sz w:val="22"/>
                <w:szCs w:val="22"/>
                <w:lang w:val="en-US"/>
              </w:rPr>
            </w:pPr>
            <w:r w:rsidRPr="005202C7">
              <w:rPr>
                <w:sz w:val="22"/>
                <w:szCs w:val="22"/>
                <w:lang w:val="en-US"/>
              </w:rPr>
              <w:t>[0.025]**</w:t>
            </w:r>
          </w:p>
        </w:tc>
        <w:tc>
          <w:tcPr>
            <w:tcW w:w="1276" w:type="dxa"/>
          </w:tcPr>
          <w:p w:rsidR="00E56410" w:rsidRPr="005202C7" w:rsidRDefault="00E56410" w:rsidP="0072391A">
            <w:pPr>
              <w:jc w:val="center"/>
              <w:rPr>
                <w:sz w:val="22"/>
                <w:szCs w:val="22"/>
                <w:lang w:val="en-US"/>
              </w:rPr>
            </w:pPr>
            <w:r w:rsidRPr="005202C7">
              <w:rPr>
                <w:sz w:val="22"/>
                <w:szCs w:val="22"/>
                <w:lang w:val="en-US"/>
              </w:rPr>
              <w:t>t+1</w:t>
            </w:r>
          </w:p>
          <w:p w:rsidR="00E56410" w:rsidRPr="005202C7" w:rsidRDefault="00E56410" w:rsidP="0072391A">
            <w:pPr>
              <w:jc w:val="center"/>
              <w:rPr>
                <w:sz w:val="22"/>
                <w:szCs w:val="22"/>
                <w:lang w:val="en-US"/>
              </w:rPr>
            </w:pPr>
            <w:r w:rsidRPr="005202C7">
              <w:rPr>
                <w:sz w:val="22"/>
                <w:szCs w:val="22"/>
                <w:lang w:val="en-US"/>
              </w:rPr>
              <w:t>(4.808)</w:t>
            </w:r>
          </w:p>
          <w:p w:rsidR="00E56410" w:rsidRPr="005202C7" w:rsidRDefault="00E56410" w:rsidP="0072391A">
            <w:pPr>
              <w:jc w:val="center"/>
              <w:rPr>
                <w:sz w:val="22"/>
                <w:szCs w:val="22"/>
                <w:lang w:val="en-US"/>
              </w:rPr>
            </w:pPr>
            <w:r w:rsidRPr="005202C7">
              <w:rPr>
                <w:sz w:val="22"/>
                <w:szCs w:val="22"/>
                <w:lang w:val="en-US"/>
              </w:rPr>
              <w:t>[0]***</w:t>
            </w:r>
          </w:p>
        </w:tc>
        <w:tc>
          <w:tcPr>
            <w:tcW w:w="1276" w:type="dxa"/>
            <w:gridSpan w:val="2"/>
          </w:tcPr>
          <w:p w:rsidR="00E56410" w:rsidRPr="005202C7" w:rsidRDefault="00E56410" w:rsidP="0072391A">
            <w:pPr>
              <w:jc w:val="center"/>
              <w:rPr>
                <w:sz w:val="22"/>
                <w:szCs w:val="22"/>
                <w:lang w:val="en-US"/>
              </w:rPr>
            </w:pPr>
            <w:r w:rsidRPr="005202C7">
              <w:rPr>
                <w:sz w:val="22"/>
                <w:szCs w:val="22"/>
                <w:lang w:val="en-US"/>
              </w:rPr>
              <w:t>t-1</w:t>
            </w:r>
          </w:p>
          <w:p w:rsidR="00E56410" w:rsidRPr="005202C7" w:rsidRDefault="00E56410" w:rsidP="0072391A">
            <w:pPr>
              <w:jc w:val="center"/>
              <w:rPr>
                <w:sz w:val="22"/>
                <w:szCs w:val="22"/>
                <w:lang w:val="en-US"/>
              </w:rPr>
            </w:pPr>
            <w:r w:rsidRPr="005202C7">
              <w:rPr>
                <w:sz w:val="22"/>
                <w:szCs w:val="22"/>
                <w:lang w:val="en-US"/>
              </w:rPr>
              <w:t>(-3.193)</w:t>
            </w:r>
          </w:p>
          <w:p w:rsidR="00E56410" w:rsidRPr="005202C7" w:rsidRDefault="00E56410" w:rsidP="0072391A">
            <w:pPr>
              <w:jc w:val="center"/>
              <w:rPr>
                <w:sz w:val="22"/>
                <w:szCs w:val="22"/>
                <w:lang w:val="en-US"/>
              </w:rPr>
            </w:pPr>
            <w:r w:rsidRPr="005202C7">
              <w:rPr>
                <w:sz w:val="22"/>
                <w:szCs w:val="22"/>
                <w:lang w:val="en-US"/>
              </w:rPr>
              <w:t>[0.004]*</w:t>
            </w:r>
            <w:r>
              <w:rPr>
                <w:sz w:val="22"/>
                <w:szCs w:val="22"/>
                <w:lang w:val="en-US"/>
              </w:rPr>
              <w:t>**</w:t>
            </w:r>
          </w:p>
        </w:tc>
        <w:tc>
          <w:tcPr>
            <w:tcW w:w="1276" w:type="dxa"/>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(-4.945)</w:t>
            </w:r>
          </w:p>
          <w:p w:rsidR="00E56410" w:rsidRPr="005202C7" w:rsidRDefault="00E56410" w:rsidP="0072391A">
            <w:pPr>
              <w:jc w:val="center"/>
              <w:rPr>
                <w:sz w:val="22"/>
                <w:szCs w:val="22"/>
                <w:lang w:val="en-US"/>
              </w:rPr>
            </w:pPr>
            <w:r w:rsidRPr="005202C7">
              <w:rPr>
                <w:sz w:val="22"/>
                <w:szCs w:val="22"/>
                <w:lang w:val="en-US"/>
              </w:rPr>
              <w:t>[0]***</w:t>
            </w:r>
          </w:p>
        </w:tc>
        <w:tc>
          <w:tcPr>
            <w:tcW w:w="1275" w:type="dxa"/>
            <w:gridSpan w:val="2"/>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(3.618)</w:t>
            </w:r>
          </w:p>
          <w:p w:rsidR="00E56410" w:rsidRPr="005202C7" w:rsidRDefault="00E56410" w:rsidP="0072391A">
            <w:pPr>
              <w:jc w:val="center"/>
              <w:rPr>
                <w:sz w:val="22"/>
                <w:szCs w:val="22"/>
                <w:lang w:val="en-US"/>
              </w:rPr>
            </w:pPr>
            <w:r w:rsidRPr="005202C7">
              <w:rPr>
                <w:sz w:val="22"/>
                <w:szCs w:val="22"/>
                <w:lang w:val="en-US"/>
              </w:rPr>
              <w:t>[0]***</w:t>
            </w:r>
          </w:p>
        </w:tc>
        <w:tc>
          <w:tcPr>
            <w:tcW w:w="993" w:type="dxa"/>
            <w:gridSpan w:val="2"/>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(0.459)</w:t>
            </w:r>
          </w:p>
          <w:p w:rsidR="00E56410" w:rsidRPr="005202C7" w:rsidRDefault="00E56410" w:rsidP="0072391A">
            <w:pPr>
              <w:jc w:val="center"/>
              <w:rPr>
                <w:sz w:val="22"/>
                <w:szCs w:val="22"/>
                <w:lang w:val="en-US"/>
              </w:rPr>
            </w:pPr>
            <w:r w:rsidRPr="005202C7">
              <w:rPr>
                <w:sz w:val="22"/>
                <w:szCs w:val="22"/>
                <w:lang w:val="en-US"/>
              </w:rPr>
              <w:t>[0.328]</w:t>
            </w:r>
          </w:p>
        </w:tc>
        <w:tc>
          <w:tcPr>
            <w:tcW w:w="1134" w:type="dxa"/>
            <w:gridSpan w:val="3"/>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(-9.358)</w:t>
            </w:r>
          </w:p>
          <w:p w:rsidR="00E56410" w:rsidRPr="005202C7" w:rsidRDefault="00E56410" w:rsidP="0072391A">
            <w:pPr>
              <w:jc w:val="center"/>
              <w:rPr>
                <w:sz w:val="22"/>
                <w:szCs w:val="22"/>
                <w:lang w:val="en-US"/>
              </w:rPr>
            </w:pPr>
            <w:r w:rsidRPr="005202C7">
              <w:rPr>
                <w:sz w:val="22"/>
                <w:szCs w:val="22"/>
                <w:lang w:val="en-US"/>
              </w:rPr>
              <w:t>[0]***</w:t>
            </w:r>
          </w:p>
        </w:tc>
        <w:tc>
          <w:tcPr>
            <w:tcW w:w="1275" w:type="dxa"/>
            <w:gridSpan w:val="3"/>
            <w:tcBorders>
              <w:right w:val="single" w:sz="18" w:space="0" w:color="auto"/>
            </w:tcBorders>
          </w:tcPr>
          <w:p w:rsidR="00E56410" w:rsidRPr="005202C7" w:rsidRDefault="00E56410" w:rsidP="0072391A">
            <w:pPr>
              <w:jc w:val="center"/>
              <w:rPr>
                <w:sz w:val="22"/>
                <w:szCs w:val="22"/>
                <w:lang w:val="en-US"/>
              </w:rPr>
            </w:pPr>
            <w:r w:rsidRPr="005202C7">
              <w:rPr>
                <w:sz w:val="22"/>
                <w:szCs w:val="22"/>
                <w:lang w:val="en-US"/>
              </w:rPr>
              <w:t>t</w:t>
            </w:r>
          </w:p>
          <w:p w:rsidR="00E56410" w:rsidRPr="005202C7" w:rsidRDefault="00E56410" w:rsidP="0072391A">
            <w:pPr>
              <w:jc w:val="center"/>
              <w:rPr>
                <w:sz w:val="22"/>
                <w:szCs w:val="22"/>
                <w:lang w:val="en-US"/>
              </w:rPr>
            </w:pPr>
            <w:r w:rsidRPr="005202C7">
              <w:rPr>
                <w:sz w:val="22"/>
                <w:szCs w:val="22"/>
                <w:lang w:val="en-US"/>
              </w:rPr>
              <w:t>(-3.068)</w:t>
            </w:r>
          </w:p>
          <w:p w:rsidR="00E56410" w:rsidRPr="005202C7" w:rsidRDefault="00E56410" w:rsidP="0072391A">
            <w:pPr>
              <w:jc w:val="center"/>
              <w:rPr>
                <w:sz w:val="22"/>
                <w:szCs w:val="22"/>
                <w:lang w:val="en-US"/>
              </w:rPr>
            </w:pPr>
            <w:r w:rsidRPr="005202C7">
              <w:rPr>
                <w:sz w:val="22"/>
                <w:szCs w:val="22"/>
                <w:lang w:val="en-US"/>
              </w:rPr>
              <w:t>[0]***</w:t>
            </w:r>
          </w:p>
        </w:tc>
      </w:tr>
      <w:tr w:rsidR="00E56410" w:rsidRPr="00A10D33" w:rsidTr="0072391A">
        <w:trPr>
          <w:trHeight w:val="808"/>
        </w:trPr>
        <w:tc>
          <w:tcPr>
            <w:tcW w:w="1419" w:type="dxa"/>
            <w:gridSpan w:val="2"/>
            <w:tcBorders>
              <w:left w:val="single" w:sz="18" w:space="0" w:color="auto"/>
            </w:tcBorders>
          </w:tcPr>
          <w:p w:rsidR="00E56410" w:rsidRPr="005202C7" w:rsidRDefault="00E56410" w:rsidP="0072391A">
            <w:pPr>
              <w:jc w:val="center"/>
              <w:rPr>
                <w:b/>
                <w:sz w:val="22"/>
                <w:szCs w:val="22"/>
              </w:rPr>
            </w:pPr>
            <w:r w:rsidRPr="005202C7">
              <w:rPr>
                <w:b/>
                <w:sz w:val="22"/>
                <w:szCs w:val="22"/>
              </w:rPr>
              <w:t>DAX</w:t>
            </w:r>
          </w:p>
          <w:p w:rsidR="00E56410" w:rsidRPr="005202C7" w:rsidRDefault="00E56410" w:rsidP="0072391A">
            <w:pPr>
              <w:jc w:val="center"/>
              <w:rPr>
                <w:b/>
                <w:sz w:val="22"/>
                <w:szCs w:val="22"/>
              </w:rPr>
            </w:pPr>
            <w:r w:rsidRPr="005202C7">
              <w:rPr>
                <w:b/>
                <w:sz w:val="22"/>
                <w:szCs w:val="22"/>
              </w:rPr>
              <w:t>(coef.)</w:t>
            </w:r>
          </w:p>
          <w:p w:rsidR="00E56410" w:rsidRPr="005202C7" w:rsidRDefault="00E56410" w:rsidP="0072391A">
            <w:pPr>
              <w:jc w:val="center"/>
              <w:rPr>
                <w:b/>
                <w:sz w:val="22"/>
                <w:szCs w:val="22"/>
              </w:rPr>
            </w:pPr>
            <w:r w:rsidRPr="005202C7">
              <w:rPr>
                <w:b/>
                <w:sz w:val="22"/>
                <w:szCs w:val="22"/>
              </w:rPr>
              <w:t>[p-value]</w:t>
            </w:r>
          </w:p>
        </w:tc>
        <w:tc>
          <w:tcPr>
            <w:tcW w:w="1275" w:type="dxa"/>
            <w:gridSpan w:val="2"/>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(-20.348)</w:t>
            </w:r>
          </w:p>
          <w:p w:rsidR="00E56410" w:rsidRPr="005202C7" w:rsidRDefault="00E56410" w:rsidP="0072391A">
            <w:pPr>
              <w:jc w:val="center"/>
              <w:rPr>
                <w:sz w:val="22"/>
                <w:szCs w:val="22"/>
              </w:rPr>
            </w:pPr>
            <w:r w:rsidRPr="005202C7">
              <w:rPr>
                <w:sz w:val="22"/>
                <w:szCs w:val="22"/>
              </w:rPr>
              <w:t>[0]***</w:t>
            </w:r>
          </w:p>
        </w:tc>
        <w:tc>
          <w:tcPr>
            <w:tcW w:w="1276" w:type="dxa"/>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(-12.72)</w:t>
            </w:r>
          </w:p>
          <w:p w:rsidR="00E56410" w:rsidRPr="005202C7" w:rsidRDefault="00E56410" w:rsidP="0072391A">
            <w:pPr>
              <w:jc w:val="center"/>
              <w:rPr>
                <w:sz w:val="22"/>
                <w:szCs w:val="22"/>
              </w:rPr>
            </w:pPr>
            <w:r w:rsidRPr="005202C7">
              <w:rPr>
                <w:sz w:val="22"/>
                <w:szCs w:val="22"/>
              </w:rPr>
              <w:t>[0.024]**</w:t>
            </w:r>
          </w:p>
        </w:tc>
        <w:tc>
          <w:tcPr>
            <w:tcW w:w="1276" w:type="dxa"/>
            <w:gridSpan w:val="2"/>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(-5.61)</w:t>
            </w:r>
          </w:p>
          <w:p w:rsidR="00E56410" w:rsidRPr="005202C7" w:rsidRDefault="00E56410" w:rsidP="0072391A">
            <w:pPr>
              <w:jc w:val="center"/>
              <w:rPr>
                <w:sz w:val="22"/>
                <w:szCs w:val="22"/>
              </w:rPr>
            </w:pPr>
            <w:r w:rsidRPr="005202C7">
              <w:rPr>
                <w:sz w:val="22"/>
                <w:szCs w:val="22"/>
              </w:rPr>
              <w:t>[0.293]</w:t>
            </w:r>
          </w:p>
        </w:tc>
        <w:tc>
          <w:tcPr>
            <w:tcW w:w="1276" w:type="dxa"/>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(-15.363)</w:t>
            </w:r>
          </w:p>
          <w:p w:rsidR="00E56410" w:rsidRPr="005202C7" w:rsidRDefault="00E56410" w:rsidP="0072391A">
            <w:pPr>
              <w:jc w:val="center"/>
              <w:rPr>
                <w:sz w:val="22"/>
                <w:szCs w:val="22"/>
              </w:rPr>
            </w:pPr>
            <w:r w:rsidRPr="005202C7">
              <w:rPr>
                <w:sz w:val="22"/>
                <w:szCs w:val="22"/>
              </w:rPr>
              <w:t>[0.001]***</w:t>
            </w:r>
          </w:p>
        </w:tc>
        <w:tc>
          <w:tcPr>
            <w:tcW w:w="1275" w:type="dxa"/>
            <w:gridSpan w:val="2"/>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(8.06)</w:t>
            </w:r>
          </w:p>
          <w:p w:rsidR="00E56410" w:rsidRPr="005202C7" w:rsidRDefault="00E56410" w:rsidP="0072391A">
            <w:pPr>
              <w:jc w:val="center"/>
              <w:rPr>
                <w:sz w:val="22"/>
                <w:szCs w:val="22"/>
              </w:rPr>
            </w:pPr>
            <w:r w:rsidRPr="005202C7">
              <w:rPr>
                <w:sz w:val="22"/>
                <w:szCs w:val="22"/>
              </w:rPr>
              <w:t>[0.001]***</w:t>
            </w:r>
          </w:p>
        </w:tc>
        <w:tc>
          <w:tcPr>
            <w:tcW w:w="993" w:type="dxa"/>
            <w:gridSpan w:val="2"/>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(-0.136)</w:t>
            </w:r>
          </w:p>
          <w:p w:rsidR="00E56410" w:rsidRPr="005202C7" w:rsidRDefault="00E56410" w:rsidP="0072391A">
            <w:pPr>
              <w:jc w:val="center"/>
              <w:rPr>
                <w:sz w:val="22"/>
                <w:szCs w:val="22"/>
              </w:rPr>
            </w:pPr>
            <w:r w:rsidRPr="005202C7">
              <w:rPr>
                <w:sz w:val="22"/>
                <w:szCs w:val="22"/>
              </w:rPr>
              <w:t>[0.956]</w:t>
            </w:r>
          </w:p>
        </w:tc>
        <w:tc>
          <w:tcPr>
            <w:tcW w:w="1134" w:type="dxa"/>
            <w:gridSpan w:val="3"/>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(7.424)</w:t>
            </w:r>
          </w:p>
          <w:p w:rsidR="00E56410" w:rsidRPr="005202C7" w:rsidRDefault="00E56410" w:rsidP="0072391A">
            <w:pPr>
              <w:jc w:val="center"/>
              <w:rPr>
                <w:sz w:val="22"/>
                <w:szCs w:val="22"/>
              </w:rPr>
            </w:pPr>
            <w:r w:rsidRPr="005202C7">
              <w:rPr>
                <w:sz w:val="22"/>
                <w:szCs w:val="22"/>
              </w:rPr>
              <w:t>[0.05]**</w:t>
            </w:r>
          </w:p>
        </w:tc>
        <w:tc>
          <w:tcPr>
            <w:tcW w:w="1275" w:type="dxa"/>
            <w:gridSpan w:val="3"/>
            <w:tcBorders>
              <w:right w:val="single" w:sz="18" w:space="0" w:color="auto"/>
            </w:tcBorders>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(-4.18)</w:t>
            </w:r>
          </w:p>
          <w:p w:rsidR="00E56410" w:rsidRPr="005202C7" w:rsidRDefault="00E56410" w:rsidP="0072391A">
            <w:pPr>
              <w:jc w:val="center"/>
              <w:rPr>
                <w:sz w:val="22"/>
                <w:szCs w:val="22"/>
              </w:rPr>
            </w:pPr>
            <w:r w:rsidRPr="005202C7">
              <w:rPr>
                <w:sz w:val="22"/>
                <w:szCs w:val="22"/>
              </w:rPr>
              <w:t>[0.046]**</w:t>
            </w:r>
          </w:p>
        </w:tc>
      </w:tr>
      <w:tr w:rsidR="00E56410" w:rsidRPr="00A10D33" w:rsidTr="0072391A">
        <w:trPr>
          <w:trHeight w:val="575"/>
        </w:trPr>
        <w:tc>
          <w:tcPr>
            <w:tcW w:w="1419" w:type="dxa"/>
            <w:gridSpan w:val="2"/>
            <w:tcBorders>
              <w:left w:val="single" w:sz="18" w:space="0" w:color="auto"/>
              <w:bottom w:val="single" w:sz="18" w:space="0" w:color="auto"/>
            </w:tcBorders>
          </w:tcPr>
          <w:p w:rsidR="00E56410" w:rsidRPr="005202C7" w:rsidRDefault="00E56410" w:rsidP="0072391A">
            <w:pPr>
              <w:jc w:val="center"/>
              <w:rPr>
                <w:b/>
                <w:sz w:val="22"/>
                <w:szCs w:val="22"/>
              </w:rPr>
            </w:pPr>
            <w:r w:rsidRPr="005202C7">
              <w:rPr>
                <w:b/>
                <w:sz w:val="22"/>
                <w:szCs w:val="22"/>
              </w:rPr>
              <w:t>SDAX</w:t>
            </w:r>
          </w:p>
          <w:p w:rsidR="00E56410" w:rsidRPr="005202C7" w:rsidRDefault="00E56410" w:rsidP="0072391A">
            <w:pPr>
              <w:jc w:val="center"/>
              <w:rPr>
                <w:b/>
                <w:sz w:val="22"/>
                <w:szCs w:val="22"/>
              </w:rPr>
            </w:pPr>
            <w:r w:rsidRPr="005202C7">
              <w:rPr>
                <w:b/>
                <w:sz w:val="22"/>
                <w:szCs w:val="22"/>
              </w:rPr>
              <w:t>(coef.)</w:t>
            </w:r>
          </w:p>
          <w:p w:rsidR="00E56410" w:rsidRPr="005202C7" w:rsidRDefault="00E56410" w:rsidP="0072391A">
            <w:pPr>
              <w:jc w:val="center"/>
              <w:rPr>
                <w:b/>
                <w:sz w:val="22"/>
                <w:szCs w:val="22"/>
              </w:rPr>
            </w:pPr>
            <w:r w:rsidRPr="005202C7">
              <w:rPr>
                <w:b/>
                <w:sz w:val="22"/>
                <w:szCs w:val="22"/>
              </w:rPr>
              <w:t>[p-value]</w:t>
            </w:r>
          </w:p>
        </w:tc>
        <w:tc>
          <w:tcPr>
            <w:tcW w:w="1275" w:type="dxa"/>
            <w:gridSpan w:val="2"/>
            <w:tcBorders>
              <w:bottom w:val="single" w:sz="18" w:space="0" w:color="auto"/>
            </w:tcBorders>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(-16.585)</w:t>
            </w:r>
          </w:p>
          <w:p w:rsidR="00E56410" w:rsidRPr="005202C7" w:rsidRDefault="00E56410" w:rsidP="0072391A">
            <w:pPr>
              <w:jc w:val="center"/>
              <w:rPr>
                <w:sz w:val="22"/>
                <w:szCs w:val="22"/>
              </w:rPr>
            </w:pPr>
            <w:r w:rsidRPr="005202C7">
              <w:rPr>
                <w:sz w:val="22"/>
                <w:szCs w:val="22"/>
              </w:rPr>
              <w:t>[0.003]***</w:t>
            </w:r>
          </w:p>
        </w:tc>
        <w:tc>
          <w:tcPr>
            <w:tcW w:w="1276" w:type="dxa"/>
            <w:tcBorders>
              <w:bottom w:val="single" w:sz="18" w:space="0" w:color="auto"/>
            </w:tcBorders>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(11.695)</w:t>
            </w:r>
          </w:p>
          <w:p w:rsidR="00E56410" w:rsidRPr="005202C7" w:rsidRDefault="00E56410" w:rsidP="0072391A">
            <w:pPr>
              <w:jc w:val="center"/>
              <w:rPr>
                <w:sz w:val="22"/>
                <w:szCs w:val="22"/>
              </w:rPr>
            </w:pPr>
            <w:r w:rsidRPr="005202C7">
              <w:rPr>
                <w:sz w:val="22"/>
                <w:szCs w:val="22"/>
              </w:rPr>
              <w:t>[0.029]**</w:t>
            </w:r>
          </w:p>
        </w:tc>
        <w:tc>
          <w:tcPr>
            <w:tcW w:w="1276" w:type="dxa"/>
            <w:gridSpan w:val="2"/>
            <w:tcBorders>
              <w:bottom w:val="single" w:sz="18" w:space="0" w:color="auto"/>
            </w:tcBorders>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(7.364)</w:t>
            </w:r>
          </w:p>
          <w:p w:rsidR="00E56410" w:rsidRPr="005202C7" w:rsidRDefault="00E56410" w:rsidP="0072391A">
            <w:pPr>
              <w:jc w:val="center"/>
              <w:rPr>
                <w:sz w:val="22"/>
                <w:szCs w:val="22"/>
              </w:rPr>
            </w:pPr>
            <w:r>
              <w:rPr>
                <w:sz w:val="22"/>
                <w:szCs w:val="22"/>
              </w:rPr>
              <w:t>[0.14</w:t>
            </w:r>
            <w:r>
              <w:rPr>
                <w:sz w:val="22"/>
                <w:szCs w:val="22"/>
                <w:lang w:val="en-US"/>
              </w:rPr>
              <w:t>9</w:t>
            </w:r>
            <w:r w:rsidRPr="005202C7">
              <w:rPr>
                <w:sz w:val="22"/>
                <w:szCs w:val="22"/>
              </w:rPr>
              <w:t>]</w:t>
            </w:r>
          </w:p>
        </w:tc>
        <w:tc>
          <w:tcPr>
            <w:tcW w:w="1276" w:type="dxa"/>
            <w:tcBorders>
              <w:bottom w:val="single" w:sz="18" w:space="0" w:color="auto"/>
            </w:tcBorders>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(-11.715)</w:t>
            </w:r>
          </w:p>
          <w:p w:rsidR="00E56410" w:rsidRPr="005202C7" w:rsidRDefault="00E56410" w:rsidP="0072391A">
            <w:pPr>
              <w:jc w:val="center"/>
              <w:rPr>
                <w:sz w:val="22"/>
                <w:szCs w:val="22"/>
              </w:rPr>
            </w:pPr>
            <w:r w:rsidRPr="005202C7">
              <w:rPr>
                <w:sz w:val="22"/>
                <w:szCs w:val="22"/>
              </w:rPr>
              <w:t>[0.010]***</w:t>
            </w:r>
          </w:p>
        </w:tc>
        <w:tc>
          <w:tcPr>
            <w:tcW w:w="1275" w:type="dxa"/>
            <w:gridSpan w:val="2"/>
            <w:tcBorders>
              <w:bottom w:val="single" w:sz="18" w:space="0" w:color="auto"/>
            </w:tcBorders>
          </w:tcPr>
          <w:p w:rsidR="00E56410" w:rsidRPr="005202C7" w:rsidRDefault="00E56410" w:rsidP="0072391A">
            <w:pPr>
              <w:jc w:val="center"/>
              <w:rPr>
                <w:sz w:val="22"/>
                <w:szCs w:val="22"/>
              </w:rPr>
            </w:pPr>
            <w:r w:rsidRPr="005202C7">
              <w:rPr>
                <w:sz w:val="22"/>
                <w:szCs w:val="22"/>
              </w:rPr>
              <w:t>t</w:t>
            </w:r>
          </w:p>
          <w:p w:rsidR="00E56410" w:rsidRPr="005202C7" w:rsidRDefault="00E56410" w:rsidP="0072391A">
            <w:pPr>
              <w:jc w:val="center"/>
              <w:rPr>
                <w:sz w:val="22"/>
                <w:szCs w:val="22"/>
              </w:rPr>
            </w:pPr>
            <w:r w:rsidRPr="005202C7">
              <w:rPr>
                <w:sz w:val="22"/>
                <w:szCs w:val="22"/>
              </w:rPr>
              <w:t>(4.424)</w:t>
            </w:r>
          </w:p>
          <w:p w:rsidR="00E56410" w:rsidRPr="000C291C" w:rsidRDefault="00E56410" w:rsidP="0072391A">
            <w:pPr>
              <w:jc w:val="center"/>
              <w:rPr>
                <w:sz w:val="22"/>
                <w:szCs w:val="22"/>
                <w:lang w:val="en-US"/>
              </w:rPr>
            </w:pPr>
            <w:r w:rsidRPr="005202C7">
              <w:rPr>
                <w:sz w:val="22"/>
                <w:szCs w:val="22"/>
              </w:rPr>
              <w:t>[0.041]</w:t>
            </w:r>
            <w:r>
              <w:rPr>
                <w:sz w:val="22"/>
                <w:szCs w:val="22"/>
                <w:lang w:val="en-US"/>
              </w:rPr>
              <w:t>**</w:t>
            </w:r>
          </w:p>
        </w:tc>
        <w:tc>
          <w:tcPr>
            <w:tcW w:w="993" w:type="dxa"/>
            <w:gridSpan w:val="2"/>
            <w:tcBorders>
              <w:bottom w:val="single" w:sz="18" w:space="0" w:color="auto"/>
            </w:tcBorders>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(-0.77)</w:t>
            </w:r>
          </w:p>
          <w:p w:rsidR="00E56410" w:rsidRPr="005202C7" w:rsidRDefault="00E56410" w:rsidP="0072391A">
            <w:pPr>
              <w:jc w:val="center"/>
              <w:rPr>
                <w:sz w:val="22"/>
                <w:szCs w:val="22"/>
              </w:rPr>
            </w:pPr>
            <w:r w:rsidRPr="005202C7">
              <w:rPr>
                <w:sz w:val="22"/>
                <w:szCs w:val="22"/>
              </w:rPr>
              <w:t>[0.765]</w:t>
            </w:r>
          </w:p>
        </w:tc>
        <w:tc>
          <w:tcPr>
            <w:tcW w:w="1134" w:type="dxa"/>
            <w:gridSpan w:val="3"/>
            <w:tcBorders>
              <w:bottom w:val="single" w:sz="18" w:space="0" w:color="auto"/>
            </w:tcBorders>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(12.902)</w:t>
            </w:r>
          </w:p>
          <w:p w:rsidR="00E56410" w:rsidRPr="005202C7" w:rsidRDefault="00E56410" w:rsidP="0072391A">
            <w:pPr>
              <w:jc w:val="center"/>
              <w:rPr>
                <w:sz w:val="22"/>
                <w:szCs w:val="22"/>
              </w:rPr>
            </w:pPr>
            <w:r w:rsidRPr="005202C7">
              <w:rPr>
                <w:sz w:val="22"/>
                <w:szCs w:val="22"/>
              </w:rPr>
              <w:t>[0]***</w:t>
            </w:r>
          </w:p>
        </w:tc>
        <w:tc>
          <w:tcPr>
            <w:tcW w:w="1275" w:type="dxa"/>
            <w:gridSpan w:val="3"/>
            <w:tcBorders>
              <w:bottom w:val="single" w:sz="18" w:space="0" w:color="auto"/>
              <w:right w:val="single" w:sz="18" w:space="0" w:color="auto"/>
            </w:tcBorders>
          </w:tcPr>
          <w:p w:rsidR="00E56410" w:rsidRPr="005202C7" w:rsidRDefault="00E56410" w:rsidP="0072391A">
            <w:pPr>
              <w:jc w:val="center"/>
              <w:rPr>
                <w:sz w:val="22"/>
                <w:szCs w:val="22"/>
              </w:rPr>
            </w:pPr>
            <w:r w:rsidRPr="005202C7">
              <w:rPr>
                <w:sz w:val="22"/>
                <w:szCs w:val="22"/>
              </w:rPr>
              <w:t>t+1</w:t>
            </w:r>
          </w:p>
          <w:p w:rsidR="00E56410" w:rsidRPr="005202C7" w:rsidRDefault="00E56410" w:rsidP="0072391A">
            <w:pPr>
              <w:jc w:val="center"/>
              <w:rPr>
                <w:sz w:val="22"/>
                <w:szCs w:val="22"/>
              </w:rPr>
            </w:pPr>
            <w:r w:rsidRPr="005202C7">
              <w:rPr>
                <w:sz w:val="22"/>
                <w:szCs w:val="22"/>
              </w:rPr>
              <w:t>(-4.497)</w:t>
            </w:r>
          </w:p>
          <w:p w:rsidR="00E56410" w:rsidRPr="005202C7" w:rsidRDefault="00E56410" w:rsidP="0072391A">
            <w:pPr>
              <w:jc w:val="center"/>
              <w:rPr>
                <w:sz w:val="22"/>
                <w:szCs w:val="22"/>
              </w:rPr>
            </w:pPr>
            <w:r w:rsidRPr="005202C7">
              <w:rPr>
                <w:sz w:val="22"/>
                <w:szCs w:val="22"/>
              </w:rPr>
              <w:t>[0.033]**</w:t>
            </w:r>
          </w:p>
        </w:tc>
      </w:tr>
    </w:tbl>
    <w:p w:rsidR="00E56410" w:rsidRPr="00E56410" w:rsidRDefault="00E56410" w:rsidP="00E56410">
      <w:pPr>
        <w:rPr>
          <w:rFonts w:ascii="Times New Roman" w:hAnsi="Times New Roman" w:cs="Times New Roman"/>
          <w:sz w:val="18"/>
          <w:szCs w:val="18"/>
          <w:lang w:val="en-US"/>
        </w:rPr>
      </w:pPr>
      <w:r w:rsidRPr="00E56410">
        <w:rPr>
          <w:rFonts w:ascii="Times New Roman" w:hAnsi="Times New Roman" w:cs="Times New Roman"/>
          <w:sz w:val="18"/>
          <w:szCs w:val="18"/>
          <w:lang w:val="en-US"/>
        </w:rPr>
        <w:t>Reported values are rounded at the third decimal. Values in parentheses present the coefficients and values in brackets the p-values. (*) denotes significance at 10%, (**) at 5% and (***) at 1%.</w:t>
      </w: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Pr="00E56410" w:rsidRDefault="00E56410" w:rsidP="00E56410">
      <w:pPr>
        <w:pStyle w:val="Caption"/>
        <w:keepNext/>
        <w:jc w:val="both"/>
        <w:rPr>
          <w:rFonts w:ascii="Times New Roman" w:hAnsi="Times New Roman" w:cs="Times New Roman"/>
          <w:color w:val="auto"/>
          <w:sz w:val="24"/>
          <w:szCs w:val="24"/>
          <w:lang w:val="en-US"/>
        </w:rPr>
      </w:pPr>
      <w:r w:rsidRPr="00E56410">
        <w:rPr>
          <w:rFonts w:ascii="Times New Roman" w:hAnsi="Times New Roman" w:cs="Times New Roman"/>
          <w:color w:val="auto"/>
          <w:sz w:val="24"/>
          <w:szCs w:val="24"/>
          <w:lang w:val="en-US"/>
        </w:rPr>
        <w:lastRenderedPageBreak/>
        <w:t>Table 4 (b)</w:t>
      </w:r>
    </w:p>
    <w:p w:rsidR="00E56410" w:rsidRPr="00E56410" w:rsidRDefault="00E56410" w:rsidP="00E56410">
      <w:pPr>
        <w:pStyle w:val="Caption"/>
        <w:keepNext/>
        <w:jc w:val="both"/>
        <w:rPr>
          <w:rFonts w:ascii="Times New Roman" w:hAnsi="Times New Roman" w:cs="Times New Roman"/>
          <w:color w:val="auto"/>
          <w:sz w:val="24"/>
          <w:szCs w:val="24"/>
          <w:lang w:val="en-US"/>
        </w:rPr>
      </w:pPr>
      <w:r w:rsidRPr="00E56410">
        <w:rPr>
          <w:rFonts w:ascii="Times New Roman" w:hAnsi="Times New Roman" w:cs="Times New Roman"/>
          <w:color w:val="auto"/>
          <w:sz w:val="24"/>
          <w:szCs w:val="24"/>
          <w:lang w:val="en-US"/>
        </w:rPr>
        <w:t>Lead - Lag- Comovement testing for the difference between big and small cap stocks</w:t>
      </w:r>
    </w:p>
    <w:p w:rsidR="00C1778D" w:rsidRPr="00C1778D" w:rsidRDefault="00C1778D" w:rsidP="00C1778D">
      <w:pPr>
        <w:jc w:val="both"/>
        <w:rPr>
          <w:rFonts w:ascii="Times New Roman" w:hAnsi="Times New Roman" w:cs="Times New Roman"/>
          <w:sz w:val="20"/>
          <w:szCs w:val="20"/>
          <w:lang w:val="en-US"/>
        </w:rPr>
      </w:pPr>
      <w:r w:rsidRPr="00C1778D">
        <w:rPr>
          <w:rFonts w:ascii="Times New Roman" w:hAnsi="Times New Roman" w:cs="Times New Roman"/>
          <w:sz w:val="20"/>
          <w:szCs w:val="20"/>
          <w:lang w:val="en-US"/>
        </w:rPr>
        <w:t xml:space="preserve">In this table we display how the indices and the Fama-French factors should be incorporated in our regression formulas for the analysis of the differences between big and small cap U.S and German stocks. We run the following regression: </w:t>
      </w:r>
      <w:r w:rsidRPr="00C1778D">
        <w:rPr>
          <w:rFonts w:ascii="Times New Roman" w:hAnsi="Times New Roman" w:cs="Times New Roman"/>
          <w:sz w:val="20"/>
          <w:szCs w:val="20"/>
          <w:shd w:val="clear" w:color="auto" w:fill="FFFFFF"/>
          <w:lang w:val="en-US"/>
        </w:rPr>
        <w:t>(</w:t>
      </w:r>
      <w:proofErr w:type="spellStart"/>
      <w:r w:rsidRPr="00C1778D">
        <w:rPr>
          <w:rFonts w:ascii="Times New Roman" w:hAnsi="Times New Roman" w:cs="Times New Roman"/>
          <w:sz w:val="20"/>
          <w:szCs w:val="20"/>
          <w:shd w:val="clear" w:color="auto" w:fill="FFFFFF"/>
          <w:lang w:val="en-US"/>
        </w:rPr>
        <w:t>rbigcap</w:t>
      </w:r>
      <w:proofErr w:type="spellEnd"/>
      <w:r w:rsidRPr="00C1778D">
        <w:rPr>
          <w:rFonts w:ascii="Times New Roman" w:hAnsi="Times New Roman" w:cs="Times New Roman"/>
          <w:sz w:val="20"/>
          <w:szCs w:val="20"/>
          <w:shd w:val="clear" w:color="auto" w:fill="FFFFFF"/>
          <w:lang w:val="en-US"/>
        </w:rPr>
        <w:t xml:space="preserve"> – </w:t>
      </w:r>
      <w:proofErr w:type="spellStart"/>
      <w:r w:rsidRPr="00C1778D">
        <w:rPr>
          <w:rFonts w:ascii="Times New Roman" w:hAnsi="Times New Roman" w:cs="Times New Roman"/>
          <w:sz w:val="20"/>
          <w:szCs w:val="20"/>
          <w:shd w:val="clear" w:color="auto" w:fill="FFFFFF"/>
          <w:lang w:val="en-US"/>
        </w:rPr>
        <w:t>rsmallcap</w:t>
      </w:r>
      <w:proofErr w:type="spellEnd"/>
      <w:proofErr w:type="gramStart"/>
      <w:r w:rsidRPr="00C1778D">
        <w:rPr>
          <w:rFonts w:ascii="Times New Roman" w:hAnsi="Times New Roman" w:cs="Times New Roman"/>
          <w:sz w:val="20"/>
          <w:szCs w:val="20"/>
          <w:shd w:val="clear" w:color="auto" w:fill="FFFFFF"/>
          <w:lang w:val="en-US"/>
        </w:rPr>
        <w:t>)</w:t>
      </w:r>
      <w:r w:rsidRPr="00C1778D">
        <w:rPr>
          <w:rFonts w:ascii="Times New Roman" w:hAnsi="Times New Roman" w:cs="Times New Roman"/>
          <w:sz w:val="20"/>
          <w:szCs w:val="20"/>
          <w:shd w:val="clear" w:color="auto" w:fill="FFFFFF"/>
          <w:vertAlign w:val="subscript"/>
          <w:lang w:val="en-US"/>
        </w:rPr>
        <w:t>it</w:t>
      </w:r>
      <w:proofErr w:type="gramEnd"/>
      <w:r w:rsidRPr="00C1778D">
        <w:rPr>
          <w:rFonts w:ascii="Times New Roman" w:hAnsi="Times New Roman" w:cs="Times New Roman"/>
          <w:sz w:val="20"/>
          <w:szCs w:val="20"/>
          <w:shd w:val="clear" w:color="auto" w:fill="FFFFFF"/>
          <w:lang w:val="en-US"/>
        </w:rPr>
        <w:t xml:space="preserve"> = </w:t>
      </w:r>
      <w:r w:rsidRPr="00C1778D">
        <w:rPr>
          <w:rFonts w:ascii="Times New Roman" w:hAnsi="Times New Roman" w:cs="Times New Roman"/>
          <w:sz w:val="20"/>
          <w:szCs w:val="20"/>
        </w:rPr>
        <w:t>α</w:t>
      </w:r>
      <w:r w:rsidRPr="00C1778D">
        <w:rPr>
          <w:rFonts w:ascii="Times New Roman" w:hAnsi="Times New Roman" w:cs="Times New Roman"/>
          <w:sz w:val="20"/>
          <w:szCs w:val="20"/>
          <w:lang w:val="en-US"/>
        </w:rPr>
        <w:t xml:space="preserve"> + </w:t>
      </w:r>
      <w:r w:rsidRPr="00C1778D">
        <w:rPr>
          <w:rFonts w:ascii="Times New Roman" w:hAnsi="Times New Roman" w:cs="Times New Roman"/>
          <w:sz w:val="20"/>
          <w:szCs w:val="20"/>
        </w:rPr>
        <w:t>β</w:t>
      </w:r>
      <w:r w:rsidRPr="00C1778D">
        <w:rPr>
          <w:rFonts w:ascii="Times New Roman" w:hAnsi="Times New Roman" w:cs="Times New Roman"/>
          <w:sz w:val="20"/>
          <w:szCs w:val="20"/>
          <w:vertAlign w:val="subscript"/>
          <w:lang w:val="en-US"/>
        </w:rPr>
        <w:t>1</w:t>
      </w:r>
      <w:r w:rsidRPr="00C1778D">
        <w:rPr>
          <w:rFonts w:ascii="Times New Roman" w:hAnsi="Times New Roman" w:cs="Times New Roman"/>
          <w:sz w:val="20"/>
          <w:szCs w:val="20"/>
          <w:lang w:val="en-US"/>
        </w:rPr>
        <w:t>Index</w:t>
      </w:r>
      <w:r w:rsidRPr="00C1778D">
        <w:rPr>
          <w:rFonts w:ascii="Times New Roman" w:hAnsi="Times New Roman" w:cs="Times New Roman"/>
          <w:sz w:val="20"/>
          <w:szCs w:val="20"/>
          <w:vertAlign w:val="subscript"/>
          <w:lang w:val="en-US"/>
        </w:rPr>
        <w:t>t-1</w:t>
      </w:r>
      <w:r w:rsidRPr="00C1778D">
        <w:rPr>
          <w:rFonts w:ascii="Times New Roman" w:hAnsi="Times New Roman" w:cs="Times New Roman"/>
          <w:sz w:val="20"/>
          <w:szCs w:val="20"/>
          <w:lang w:val="en-US"/>
        </w:rPr>
        <w:t xml:space="preserve"> + </w:t>
      </w:r>
      <w:r w:rsidRPr="00C1778D">
        <w:rPr>
          <w:rFonts w:ascii="Times New Roman" w:hAnsi="Times New Roman" w:cs="Times New Roman"/>
          <w:sz w:val="20"/>
          <w:szCs w:val="20"/>
        </w:rPr>
        <w:t>β</w:t>
      </w:r>
      <w:r w:rsidRPr="00C1778D">
        <w:rPr>
          <w:rFonts w:ascii="Times New Roman" w:hAnsi="Times New Roman" w:cs="Times New Roman"/>
          <w:sz w:val="20"/>
          <w:szCs w:val="20"/>
          <w:vertAlign w:val="subscript"/>
          <w:lang w:val="en-US"/>
        </w:rPr>
        <w:t>2</w:t>
      </w:r>
      <w:r w:rsidRPr="00C1778D">
        <w:rPr>
          <w:rFonts w:ascii="Times New Roman" w:hAnsi="Times New Roman" w:cs="Times New Roman"/>
          <w:sz w:val="20"/>
          <w:szCs w:val="20"/>
          <w:lang w:val="en-US"/>
        </w:rPr>
        <w:t>Index</w:t>
      </w:r>
      <w:r w:rsidRPr="00C1778D">
        <w:rPr>
          <w:rFonts w:ascii="Times New Roman" w:hAnsi="Times New Roman" w:cs="Times New Roman"/>
          <w:sz w:val="20"/>
          <w:szCs w:val="20"/>
          <w:vertAlign w:val="subscript"/>
          <w:lang w:val="en-US"/>
        </w:rPr>
        <w:t>t</w:t>
      </w:r>
      <w:r w:rsidRPr="00C1778D">
        <w:rPr>
          <w:rFonts w:ascii="Times New Roman" w:hAnsi="Times New Roman" w:cs="Times New Roman"/>
          <w:sz w:val="20"/>
          <w:szCs w:val="20"/>
          <w:lang w:val="en-US"/>
        </w:rPr>
        <w:t xml:space="preserve"> + </w:t>
      </w:r>
      <w:r w:rsidRPr="00C1778D">
        <w:rPr>
          <w:rFonts w:ascii="Times New Roman" w:hAnsi="Times New Roman" w:cs="Times New Roman"/>
          <w:sz w:val="20"/>
          <w:szCs w:val="20"/>
        </w:rPr>
        <w:t>β</w:t>
      </w:r>
      <w:r w:rsidRPr="00C1778D">
        <w:rPr>
          <w:rFonts w:ascii="Times New Roman" w:hAnsi="Times New Roman" w:cs="Times New Roman"/>
          <w:sz w:val="20"/>
          <w:szCs w:val="20"/>
          <w:vertAlign w:val="subscript"/>
          <w:lang w:val="en-US"/>
        </w:rPr>
        <w:t>3</w:t>
      </w:r>
      <w:r w:rsidRPr="00C1778D">
        <w:rPr>
          <w:rFonts w:ascii="Times New Roman" w:hAnsi="Times New Roman" w:cs="Times New Roman"/>
          <w:sz w:val="20"/>
          <w:szCs w:val="20"/>
          <w:lang w:val="en-US"/>
        </w:rPr>
        <w:t xml:space="preserve"> Index</w:t>
      </w:r>
      <w:r w:rsidRPr="00C1778D">
        <w:rPr>
          <w:rFonts w:ascii="Times New Roman" w:hAnsi="Times New Roman" w:cs="Times New Roman"/>
          <w:sz w:val="20"/>
          <w:szCs w:val="20"/>
          <w:vertAlign w:val="subscript"/>
          <w:lang w:val="en-US"/>
        </w:rPr>
        <w:t>t+1</w:t>
      </w:r>
      <w:r w:rsidRPr="00C1778D">
        <w:rPr>
          <w:rFonts w:ascii="Times New Roman" w:hAnsi="Times New Roman" w:cs="Times New Roman"/>
          <w:sz w:val="20"/>
          <w:szCs w:val="20"/>
          <w:lang w:val="en-US"/>
        </w:rPr>
        <w:t xml:space="preserve"> +</w:t>
      </w:r>
      <w:r w:rsidRPr="00C1778D">
        <w:rPr>
          <w:rFonts w:ascii="Times New Roman" w:hAnsi="Times New Roman" w:cs="Times New Roman"/>
          <w:sz w:val="20"/>
          <w:szCs w:val="20"/>
        </w:rPr>
        <w:t>ε</w:t>
      </w:r>
      <w:r w:rsidRPr="00C1778D">
        <w:rPr>
          <w:rFonts w:ascii="Times New Roman" w:hAnsi="Times New Roman" w:cs="Times New Roman"/>
          <w:sz w:val="20"/>
          <w:szCs w:val="20"/>
          <w:lang w:val="en-US"/>
        </w:rPr>
        <w:t xml:space="preserve">, where </w:t>
      </w:r>
      <w:r w:rsidRPr="00C1778D">
        <w:rPr>
          <w:rFonts w:ascii="Times New Roman" w:hAnsi="Times New Roman" w:cs="Times New Roman"/>
          <w:sz w:val="20"/>
          <w:szCs w:val="20"/>
          <w:shd w:val="clear" w:color="auto" w:fill="FFFFFF"/>
          <w:lang w:val="en-US"/>
        </w:rPr>
        <w:t>(</w:t>
      </w:r>
      <w:proofErr w:type="spellStart"/>
      <w:r w:rsidRPr="00C1778D">
        <w:rPr>
          <w:rFonts w:ascii="Times New Roman" w:hAnsi="Times New Roman" w:cs="Times New Roman"/>
          <w:sz w:val="20"/>
          <w:szCs w:val="20"/>
          <w:shd w:val="clear" w:color="auto" w:fill="FFFFFF"/>
          <w:lang w:val="en-US"/>
        </w:rPr>
        <w:t>rbigcap</w:t>
      </w:r>
      <w:proofErr w:type="spellEnd"/>
      <w:r w:rsidRPr="00C1778D">
        <w:rPr>
          <w:rFonts w:ascii="Times New Roman" w:hAnsi="Times New Roman" w:cs="Times New Roman"/>
          <w:sz w:val="20"/>
          <w:szCs w:val="20"/>
          <w:shd w:val="clear" w:color="auto" w:fill="FFFFFF"/>
          <w:lang w:val="en-US"/>
        </w:rPr>
        <w:t xml:space="preserve"> – </w:t>
      </w:r>
      <w:proofErr w:type="spellStart"/>
      <w:r w:rsidRPr="00C1778D">
        <w:rPr>
          <w:rFonts w:ascii="Times New Roman" w:hAnsi="Times New Roman" w:cs="Times New Roman"/>
          <w:sz w:val="20"/>
          <w:szCs w:val="20"/>
          <w:shd w:val="clear" w:color="auto" w:fill="FFFFFF"/>
          <w:lang w:val="en-US"/>
        </w:rPr>
        <w:t>rsmallcap</w:t>
      </w:r>
      <w:proofErr w:type="spellEnd"/>
      <w:r w:rsidRPr="00C1778D">
        <w:rPr>
          <w:rFonts w:ascii="Times New Roman" w:hAnsi="Times New Roman" w:cs="Times New Roman"/>
          <w:sz w:val="20"/>
          <w:szCs w:val="20"/>
          <w:shd w:val="clear" w:color="auto" w:fill="FFFFFF"/>
          <w:lang w:val="en-US"/>
        </w:rPr>
        <w:t>)</w:t>
      </w:r>
      <w:r w:rsidRPr="00C1778D">
        <w:rPr>
          <w:rFonts w:ascii="Times New Roman" w:hAnsi="Times New Roman" w:cs="Times New Roman"/>
          <w:sz w:val="20"/>
          <w:szCs w:val="20"/>
          <w:shd w:val="clear" w:color="auto" w:fill="FFFFFF"/>
          <w:vertAlign w:val="subscript"/>
          <w:lang w:val="en-US"/>
        </w:rPr>
        <w:t xml:space="preserve">it </w:t>
      </w:r>
      <w:r w:rsidRPr="00C1778D">
        <w:rPr>
          <w:rFonts w:ascii="Times New Roman" w:hAnsi="Times New Roman" w:cs="Times New Roman"/>
          <w:sz w:val="20"/>
          <w:szCs w:val="20"/>
          <w:shd w:val="clear" w:color="auto" w:fill="FFFFFF"/>
          <w:lang w:val="en-US"/>
        </w:rPr>
        <w:t>stands for the difference in returns between big and small capitalization stocks of country i at time t</w:t>
      </w:r>
      <w:r w:rsidRPr="00C1778D">
        <w:rPr>
          <w:rFonts w:ascii="Times New Roman" w:hAnsi="Times New Roman" w:cs="Times New Roman"/>
          <w:sz w:val="20"/>
          <w:szCs w:val="20"/>
          <w:lang w:val="en-US"/>
        </w:rPr>
        <w:t xml:space="preserve"> , </w:t>
      </w:r>
      <w:r w:rsidRPr="00C1778D">
        <w:rPr>
          <w:rFonts w:ascii="Times New Roman" w:hAnsi="Times New Roman" w:cs="Times New Roman"/>
          <w:sz w:val="20"/>
          <w:szCs w:val="20"/>
        </w:rPr>
        <w:t>β</w:t>
      </w:r>
      <w:r w:rsidRPr="00C1778D">
        <w:rPr>
          <w:rFonts w:ascii="Times New Roman" w:hAnsi="Times New Roman" w:cs="Times New Roman"/>
          <w:sz w:val="20"/>
          <w:szCs w:val="20"/>
          <w:vertAlign w:val="subscript"/>
          <w:lang w:val="en-US"/>
        </w:rPr>
        <w:t>1</w:t>
      </w:r>
      <w:r w:rsidRPr="00C1778D">
        <w:rPr>
          <w:rFonts w:ascii="Times New Roman" w:hAnsi="Times New Roman" w:cs="Times New Roman"/>
          <w:sz w:val="20"/>
          <w:szCs w:val="20"/>
          <w:lang w:val="en-US"/>
        </w:rPr>
        <w:t xml:space="preserve">, </w:t>
      </w:r>
      <w:r w:rsidRPr="00C1778D">
        <w:rPr>
          <w:rFonts w:ascii="Times New Roman" w:hAnsi="Times New Roman" w:cs="Times New Roman"/>
          <w:sz w:val="20"/>
          <w:szCs w:val="20"/>
        </w:rPr>
        <w:t>β</w:t>
      </w:r>
      <w:r w:rsidRPr="00C1778D">
        <w:rPr>
          <w:rFonts w:ascii="Times New Roman" w:hAnsi="Times New Roman" w:cs="Times New Roman"/>
          <w:sz w:val="20"/>
          <w:szCs w:val="20"/>
          <w:vertAlign w:val="subscript"/>
          <w:lang w:val="en-US"/>
        </w:rPr>
        <w:t xml:space="preserve">2 </w:t>
      </w:r>
      <w:r w:rsidRPr="00C1778D">
        <w:rPr>
          <w:rFonts w:ascii="Times New Roman" w:hAnsi="Times New Roman" w:cs="Times New Roman"/>
          <w:sz w:val="20"/>
          <w:szCs w:val="20"/>
          <w:lang w:val="en-US"/>
        </w:rPr>
        <w:t xml:space="preserve">and </w:t>
      </w:r>
      <w:r w:rsidRPr="00C1778D">
        <w:rPr>
          <w:rFonts w:ascii="Times New Roman" w:hAnsi="Times New Roman" w:cs="Times New Roman"/>
          <w:sz w:val="20"/>
          <w:szCs w:val="20"/>
        </w:rPr>
        <w:t>β</w:t>
      </w:r>
      <w:r w:rsidRPr="00C1778D">
        <w:rPr>
          <w:rFonts w:ascii="Times New Roman" w:hAnsi="Times New Roman" w:cs="Times New Roman"/>
          <w:sz w:val="20"/>
          <w:szCs w:val="20"/>
          <w:vertAlign w:val="subscript"/>
          <w:lang w:val="en-US"/>
        </w:rPr>
        <w:t>3</w:t>
      </w:r>
      <w:r w:rsidRPr="00C1778D">
        <w:rPr>
          <w:rFonts w:ascii="Times New Roman" w:hAnsi="Times New Roman" w:cs="Times New Roman"/>
          <w:sz w:val="20"/>
          <w:szCs w:val="20"/>
          <w:lang w:val="en-US"/>
        </w:rPr>
        <w:t xml:space="preserve"> are the coefficients and Index</w:t>
      </w:r>
      <w:r w:rsidRPr="00C1778D">
        <w:rPr>
          <w:rFonts w:ascii="Times New Roman" w:hAnsi="Times New Roman" w:cs="Times New Roman"/>
          <w:sz w:val="20"/>
          <w:szCs w:val="20"/>
          <w:vertAlign w:val="subscript"/>
          <w:lang w:val="en-US"/>
        </w:rPr>
        <w:t xml:space="preserve"> t-1</w:t>
      </w:r>
      <w:r w:rsidRPr="00C1778D">
        <w:rPr>
          <w:rFonts w:ascii="Times New Roman" w:hAnsi="Times New Roman" w:cs="Times New Roman"/>
          <w:sz w:val="20"/>
          <w:szCs w:val="20"/>
          <w:lang w:val="en-US"/>
        </w:rPr>
        <w:t>, Index</w:t>
      </w:r>
      <w:r w:rsidRPr="00C1778D">
        <w:rPr>
          <w:rFonts w:ascii="Times New Roman" w:hAnsi="Times New Roman" w:cs="Times New Roman"/>
          <w:sz w:val="20"/>
          <w:szCs w:val="20"/>
          <w:vertAlign w:val="subscript"/>
          <w:lang w:val="en-US"/>
        </w:rPr>
        <w:t xml:space="preserve">t+1 </w:t>
      </w:r>
      <w:r w:rsidRPr="00C1778D">
        <w:rPr>
          <w:rFonts w:ascii="Times New Roman" w:hAnsi="Times New Roman" w:cs="Times New Roman"/>
          <w:sz w:val="20"/>
          <w:szCs w:val="20"/>
          <w:lang w:val="en-US"/>
        </w:rPr>
        <w:t>and Index</w:t>
      </w:r>
      <w:r w:rsidRPr="00C1778D">
        <w:rPr>
          <w:rFonts w:ascii="Times New Roman" w:hAnsi="Times New Roman" w:cs="Times New Roman"/>
          <w:sz w:val="20"/>
          <w:szCs w:val="20"/>
          <w:vertAlign w:val="subscript"/>
          <w:lang w:val="en-US"/>
        </w:rPr>
        <w:t xml:space="preserve"> t</w:t>
      </w:r>
      <w:r w:rsidRPr="00C1778D">
        <w:rPr>
          <w:rFonts w:ascii="Times New Roman" w:hAnsi="Times New Roman" w:cs="Times New Roman"/>
          <w:sz w:val="20"/>
          <w:szCs w:val="20"/>
          <w:lang w:val="en-US"/>
        </w:rPr>
        <w:t xml:space="preserve"> stand for the index as a leading, lagging or contemporaneous indicator respectively. The criterion is that the coefficient with the lowest p-value (or equivalent the highest t-statistic in absolute terms) is the most appropriate to be used. The t-1 indicates that the index is leading, t+1 that is lagging and t that the index is contemporaneous. The indices are the standardized values from the Baker and Wurgler (BW), University of Michigan Consumer Confidence Sentiment (CC), State Street Investor Confidence Index (ICI), Merrill Lynch’s Risk Aversion Indicator (ML_RAI), Global Risk Appetite Monitor by Nomura (NGRAM), Put-Call Ratio (PCR), VIX Index (VIX) and Westpac Risk Appetite (WP).</w:t>
      </w:r>
    </w:p>
    <w:p w:rsidR="00E56410" w:rsidRPr="005202C7" w:rsidRDefault="00E56410" w:rsidP="00E56410">
      <w:pPr>
        <w:rPr>
          <w:lang w:val="en-US"/>
        </w:rPr>
      </w:pPr>
      <w:r w:rsidRPr="005202C7">
        <w:rPr>
          <w:lang w:val="en-US"/>
        </w:rPr>
        <w:t xml:space="preserve"> </w:t>
      </w:r>
    </w:p>
    <w:tbl>
      <w:tblPr>
        <w:tblStyle w:val="TableGrid"/>
        <w:tblpPr w:leftFromText="180" w:rightFromText="180" w:vertAnchor="text" w:horzAnchor="page" w:tblpX="156" w:tblpY="387"/>
        <w:tblW w:w="11766" w:type="dxa"/>
        <w:tblLayout w:type="fixed"/>
        <w:tblLook w:val="04A0"/>
      </w:tblPr>
      <w:tblGrid>
        <w:gridCol w:w="817"/>
        <w:gridCol w:w="992"/>
        <w:gridCol w:w="1276"/>
        <w:gridCol w:w="142"/>
        <w:gridCol w:w="1134"/>
        <w:gridCol w:w="992"/>
        <w:gridCol w:w="1276"/>
        <w:gridCol w:w="992"/>
        <w:gridCol w:w="1134"/>
        <w:gridCol w:w="992"/>
        <w:gridCol w:w="993"/>
        <w:gridCol w:w="141"/>
        <w:gridCol w:w="885"/>
      </w:tblGrid>
      <w:tr w:rsidR="00E56410" w:rsidRPr="005202C7" w:rsidTr="0072391A">
        <w:trPr>
          <w:trHeight w:val="342"/>
        </w:trPr>
        <w:tc>
          <w:tcPr>
            <w:tcW w:w="817" w:type="dxa"/>
            <w:tcBorders>
              <w:top w:val="single" w:sz="18" w:space="0" w:color="auto"/>
              <w:left w:val="single" w:sz="18" w:space="0" w:color="auto"/>
              <w:bottom w:val="single" w:sz="12" w:space="0" w:color="auto"/>
              <w:right w:val="single" w:sz="12" w:space="0" w:color="auto"/>
            </w:tcBorders>
            <w:shd w:val="clear" w:color="auto" w:fill="B6DDE8" w:themeFill="accent5" w:themeFillTint="66"/>
          </w:tcPr>
          <w:p w:rsidR="00E56410" w:rsidRPr="005202C7" w:rsidRDefault="00E56410" w:rsidP="0072391A">
            <w:pPr>
              <w:rPr>
                <w:sz w:val="22"/>
                <w:szCs w:val="22"/>
                <w:lang w:val="en-US"/>
              </w:rPr>
            </w:pPr>
          </w:p>
        </w:tc>
        <w:tc>
          <w:tcPr>
            <w:tcW w:w="992" w:type="dxa"/>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jc w:val="center"/>
              <w:rPr>
                <w:b/>
                <w:sz w:val="22"/>
                <w:szCs w:val="22"/>
              </w:rPr>
            </w:pPr>
            <w:r w:rsidRPr="005202C7">
              <w:rPr>
                <w:b/>
                <w:sz w:val="22"/>
                <w:szCs w:val="22"/>
              </w:rPr>
              <w:t>BW</w:t>
            </w:r>
          </w:p>
        </w:tc>
        <w:tc>
          <w:tcPr>
            <w:tcW w:w="1418" w:type="dxa"/>
            <w:gridSpan w:val="2"/>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jc w:val="center"/>
              <w:rPr>
                <w:b/>
                <w:sz w:val="22"/>
                <w:szCs w:val="22"/>
              </w:rPr>
            </w:pPr>
            <w:r w:rsidRPr="005202C7">
              <w:rPr>
                <w:b/>
                <w:sz w:val="22"/>
                <w:szCs w:val="22"/>
              </w:rPr>
              <w:t>CC</w:t>
            </w:r>
          </w:p>
        </w:tc>
        <w:tc>
          <w:tcPr>
            <w:tcW w:w="1134" w:type="dxa"/>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jc w:val="center"/>
              <w:rPr>
                <w:b/>
                <w:sz w:val="22"/>
                <w:szCs w:val="22"/>
              </w:rPr>
            </w:pPr>
            <w:r w:rsidRPr="005202C7">
              <w:rPr>
                <w:b/>
                <w:sz w:val="22"/>
                <w:szCs w:val="22"/>
              </w:rPr>
              <w:t>ICI</w:t>
            </w:r>
          </w:p>
        </w:tc>
        <w:tc>
          <w:tcPr>
            <w:tcW w:w="992" w:type="dxa"/>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jc w:val="center"/>
              <w:rPr>
                <w:b/>
                <w:sz w:val="22"/>
                <w:szCs w:val="22"/>
              </w:rPr>
            </w:pPr>
            <w:r w:rsidRPr="005202C7">
              <w:rPr>
                <w:b/>
                <w:sz w:val="22"/>
                <w:szCs w:val="22"/>
              </w:rPr>
              <w:t>ML_RAI</w:t>
            </w:r>
          </w:p>
        </w:tc>
        <w:tc>
          <w:tcPr>
            <w:tcW w:w="1276" w:type="dxa"/>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jc w:val="center"/>
              <w:rPr>
                <w:b/>
                <w:sz w:val="22"/>
                <w:szCs w:val="22"/>
              </w:rPr>
            </w:pPr>
            <w:r w:rsidRPr="005202C7">
              <w:rPr>
                <w:b/>
                <w:sz w:val="22"/>
                <w:szCs w:val="22"/>
              </w:rPr>
              <w:t>NGRAM</w:t>
            </w:r>
          </w:p>
        </w:tc>
        <w:tc>
          <w:tcPr>
            <w:tcW w:w="992" w:type="dxa"/>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jc w:val="center"/>
              <w:rPr>
                <w:b/>
                <w:sz w:val="22"/>
                <w:szCs w:val="22"/>
              </w:rPr>
            </w:pPr>
            <w:r w:rsidRPr="005202C7">
              <w:rPr>
                <w:b/>
                <w:sz w:val="22"/>
                <w:szCs w:val="22"/>
              </w:rPr>
              <w:t>PCR</w:t>
            </w:r>
          </w:p>
        </w:tc>
        <w:tc>
          <w:tcPr>
            <w:tcW w:w="1134" w:type="dxa"/>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jc w:val="center"/>
              <w:rPr>
                <w:b/>
                <w:sz w:val="22"/>
                <w:szCs w:val="22"/>
              </w:rPr>
            </w:pPr>
            <w:r w:rsidRPr="005202C7">
              <w:rPr>
                <w:b/>
                <w:sz w:val="22"/>
                <w:szCs w:val="22"/>
              </w:rPr>
              <w:t>VIX</w:t>
            </w:r>
          </w:p>
        </w:tc>
        <w:tc>
          <w:tcPr>
            <w:tcW w:w="992" w:type="dxa"/>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jc w:val="center"/>
              <w:rPr>
                <w:b/>
                <w:sz w:val="22"/>
                <w:szCs w:val="22"/>
              </w:rPr>
            </w:pPr>
            <w:r w:rsidRPr="005202C7">
              <w:rPr>
                <w:b/>
                <w:sz w:val="22"/>
                <w:szCs w:val="22"/>
              </w:rPr>
              <w:t>WP</w:t>
            </w:r>
          </w:p>
        </w:tc>
        <w:tc>
          <w:tcPr>
            <w:tcW w:w="1134" w:type="dxa"/>
            <w:gridSpan w:val="2"/>
            <w:tcBorders>
              <w:top w:val="single" w:sz="18" w:space="0" w:color="auto"/>
              <w:left w:val="single" w:sz="12" w:space="0" w:color="auto"/>
              <w:bottom w:val="single" w:sz="12" w:space="0" w:color="auto"/>
              <w:right w:val="single" w:sz="12" w:space="0" w:color="auto"/>
            </w:tcBorders>
            <w:shd w:val="clear" w:color="auto" w:fill="B6DDE8" w:themeFill="accent5" w:themeFillTint="66"/>
          </w:tcPr>
          <w:p w:rsidR="00E56410" w:rsidRPr="005202C7" w:rsidRDefault="00E56410" w:rsidP="0072391A">
            <w:pPr>
              <w:rPr>
                <w:b/>
                <w:sz w:val="22"/>
                <w:szCs w:val="22"/>
              </w:rPr>
            </w:pPr>
            <w:r w:rsidRPr="005202C7">
              <w:rPr>
                <w:b/>
                <w:sz w:val="22"/>
                <w:szCs w:val="22"/>
              </w:rPr>
              <w:t>MKT</w:t>
            </w:r>
          </w:p>
        </w:tc>
        <w:tc>
          <w:tcPr>
            <w:tcW w:w="885" w:type="dxa"/>
            <w:tcBorders>
              <w:top w:val="single" w:sz="18" w:space="0" w:color="auto"/>
              <w:left w:val="single" w:sz="12" w:space="0" w:color="auto"/>
              <w:bottom w:val="single" w:sz="12" w:space="0" w:color="auto"/>
              <w:right w:val="single" w:sz="18" w:space="0" w:color="auto"/>
            </w:tcBorders>
            <w:shd w:val="clear" w:color="auto" w:fill="B6DDE8" w:themeFill="accent5" w:themeFillTint="66"/>
          </w:tcPr>
          <w:p w:rsidR="00E56410" w:rsidRPr="005202C7" w:rsidRDefault="00E56410" w:rsidP="0072391A">
            <w:pPr>
              <w:rPr>
                <w:b/>
                <w:sz w:val="22"/>
                <w:szCs w:val="22"/>
              </w:rPr>
            </w:pPr>
            <w:r w:rsidRPr="005202C7">
              <w:rPr>
                <w:b/>
                <w:sz w:val="22"/>
                <w:szCs w:val="22"/>
              </w:rPr>
              <w:t>HML</w:t>
            </w:r>
          </w:p>
        </w:tc>
      </w:tr>
      <w:tr w:rsidR="00E56410" w:rsidRPr="005202C7" w:rsidTr="0072391A">
        <w:trPr>
          <w:trHeight w:val="408"/>
        </w:trPr>
        <w:tc>
          <w:tcPr>
            <w:tcW w:w="817" w:type="dxa"/>
            <w:tcBorders>
              <w:top w:val="single" w:sz="12" w:space="0" w:color="auto"/>
              <w:left w:val="single" w:sz="18" w:space="0" w:color="auto"/>
              <w:bottom w:val="single" w:sz="12" w:space="0" w:color="FFFFFF" w:themeColor="background1"/>
              <w:right w:val="single" w:sz="12" w:space="0" w:color="auto"/>
            </w:tcBorders>
          </w:tcPr>
          <w:p w:rsidR="00E56410" w:rsidRPr="005202C7" w:rsidRDefault="00E56410" w:rsidP="0072391A">
            <w:pPr>
              <w:rPr>
                <w:b/>
                <w:sz w:val="22"/>
                <w:szCs w:val="22"/>
              </w:rPr>
            </w:pPr>
          </w:p>
          <w:p w:rsidR="00E56410" w:rsidRPr="005202C7" w:rsidRDefault="00E56410" w:rsidP="0072391A">
            <w:pPr>
              <w:rPr>
                <w:b/>
                <w:sz w:val="22"/>
                <w:szCs w:val="22"/>
              </w:rPr>
            </w:pPr>
            <w:r w:rsidRPr="005202C7">
              <w:rPr>
                <w:b/>
                <w:sz w:val="22"/>
                <w:szCs w:val="22"/>
              </w:rPr>
              <w:t>DIFRUS</w:t>
            </w:r>
          </w:p>
        </w:tc>
        <w:tc>
          <w:tcPr>
            <w:tcW w:w="992" w:type="dxa"/>
            <w:tcBorders>
              <w:top w:val="single" w:sz="12" w:space="0" w:color="auto"/>
              <w:left w:val="single" w:sz="12" w:space="0" w:color="auto"/>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12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1276" w:type="dxa"/>
            <w:gridSpan w:val="2"/>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992"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w:t>
            </w:r>
          </w:p>
        </w:tc>
        <w:tc>
          <w:tcPr>
            <w:tcW w:w="12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w:t>
            </w:r>
          </w:p>
        </w:tc>
        <w:tc>
          <w:tcPr>
            <w:tcW w:w="992"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w:t>
            </w:r>
          </w:p>
        </w:tc>
        <w:tc>
          <w:tcPr>
            <w:tcW w:w="1134"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w:t>
            </w:r>
          </w:p>
        </w:tc>
        <w:tc>
          <w:tcPr>
            <w:tcW w:w="992"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w:t>
            </w:r>
          </w:p>
        </w:tc>
        <w:tc>
          <w:tcPr>
            <w:tcW w:w="1134" w:type="dxa"/>
            <w:gridSpan w:val="2"/>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885" w:type="dxa"/>
            <w:tcBorders>
              <w:top w:val="single" w:sz="12" w:space="0" w:color="auto"/>
              <w:left w:val="single" w:sz="12" w:space="0" w:color="FFFFFF" w:themeColor="background1"/>
              <w:bottom w:val="single" w:sz="12" w:space="0" w:color="FFFFFF" w:themeColor="background1"/>
              <w:right w:val="single" w:sz="18" w:space="0" w:color="auto"/>
            </w:tcBorders>
            <w:vAlign w:val="bottom"/>
          </w:tcPr>
          <w:p w:rsidR="00E56410" w:rsidRPr="005922AE" w:rsidRDefault="00E56410" w:rsidP="0072391A">
            <w:pPr>
              <w:jc w:val="center"/>
              <w:rPr>
                <w:color w:val="000000"/>
                <w:sz w:val="22"/>
                <w:szCs w:val="22"/>
              </w:rPr>
            </w:pPr>
            <w:r w:rsidRPr="005922AE">
              <w:rPr>
                <w:color w:val="000000"/>
                <w:sz w:val="22"/>
                <w:szCs w:val="22"/>
              </w:rPr>
              <w:t>t-1</w:t>
            </w:r>
          </w:p>
        </w:tc>
      </w:tr>
      <w:tr w:rsidR="00E56410" w:rsidRPr="005202C7" w:rsidTr="0072391A">
        <w:trPr>
          <w:trHeight w:val="454"/>
        </w:trPr>
        <w:tc>
          <w:tcPr>
            <w:tcW w:w="817" w:type="dxa"/>
            <w:tcBorders>
              <w:top w:val="single" w:sz="12" w:space="0" w:color="FFFFFF" w:themeColor="background1"/>
              <w:left w:val="single" w:sz="18" w:space="0" w:color="auto"/>
              <w:bottom w:val="single" w:sz="12" w:space="0" w:color="FFFFFF" w:themeColor="background1"/>
              <w:right w:val="single" w:sz="12" w:space="0" w:color="auto"/>
            </w:tcBorders>
          </w:tcPr>
          <w:p w:rsidR="00E56410" w:rsidRPr="005202C7" w:rsidRDefault="00E56410" w:rsidP="0072391A">
            <w:pPr>
              <w:rPr>
                <w:b/>
                <w:sz w:val="22"/>
                <w:szCs w:val="22"/>
              </w:rPr>
            </w:pPr>
          </w:p>
          <w:p w:rsidR="00E56410" w:rsidRPr="005202C7" w:rsidRDefault="00E56410" w:rsidP="0072391A">
            <w:pPr>
              <w:rPr>
                <w:b/>
                <w:sz w:val="22"/>
                <w:szCs w:val="22"/>
              </w:rPr>
            </w:pPr>
            <w:r w:rsidRPr="005202C7">
              <w:rPr>
                <w:b/>
                <w:sz w:val="22"/>
                <w:szCs w:val="22"/>
              </w:rPr>
              <w:t>(coef.)</w:t>
            </w:r>
          </w:p>
        </w:tc>
        <w:tc>
          <w:tcPr>
            <w:tcW w:w="992" w:type="dxa"/>
            <w:tcBorders>
              <w:top w:val="single" w:sz="12" w:space="0" w:color="FFFFFF" w:themeColor="background1"/>
              <w:left w:val="single" w:sz="12" w:space="0" w:color="auto"/>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(-2.583)</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(2.532)</w:t>
            </w:r>
          </w:p>
        </w:tc>
        <w:tc>
          <w:tcPr>
            <w:tcW w:w="1276"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lang w:val="en-US"/>
              </w:rPr>
            </w:pPr>
            <w:r w:rsidRPr="005922AE">
              <w:rPr>
                <w:color w:val="000000"/>
                <w:sz w:val="22"/>
                <w:szCs w:val="22"/>
              </w:rPr>
              <w:t>(1.417)</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(1.05)</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(-0.781)</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(-0.276)</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(2.104)</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(0.463)</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(0.1)</w:t>
            </w:r>
          </w:p>
        </w:tc>
        <w:tc>
          <w:tcPr>
            <w:tcW w:w="1026" w:type="dxa"/>
            <w:gridSpan w:val="2"/>
            <w:tcBorders>
              <w:top w:val="single" w:sz="12" w:space="0" w:color="FFFFFF" w:themeColor="background1"/>
              <w:left w:val="single" w:sz="12" w:space="0" w:color="FFFFFF" w:themeColor="background1"/>
              <w:bottom w:val="single" w:sz="12" w:space="0" w:color="FFFFFF" w:themeColor="background1"/>
              <w:right w:val="single" w:sz="18" w:space="0" w:color="auto"/>
            </w:tcBorders>
            <w:vAlign w:val="bottom"/>
          </w:tcPr>
          <w:p w:rsidR="00E56410" w:rsidRPr="005922AE" w:rsidRDefault="00E56410" w:rsidP="0072391A">
            <w:pPr>
              <w:jc w:val="center"/>
              <w:rPr>
                <w:color w:val="000000"/>
                <w:sz w:val="22"/>
                <w:szCs w:val="22"/>
              </w:rPr>
            </w:pPr>
            <w:r w:rsidRPr="005922AE">
              <w:rPr>
                <w:color w:val="000000"/>
                <w:sz w:val="22"/>
                <w:szCs w:val="22"/>
              </w:rPr>
              <w:t>(-0.060)</w:t>
            </w:r>
          </w:p>
        </w:tc>
      </w:tr>
      <w:tr w:rsidR="00E56410" w:rsidRPr="005202C7" w:rsidTr="0072391A">
        <w:trPr>
          <w:trHeight w:val="267"/>
        </w:trPr>
        <w:tc>
          <w:tcPr>
            <w:tcW w:w="817" w:type="dxa"/>
            <w:tcBorders>
              <w:top w:val="single" w:sz="12" w:space="0" w:color="FFFFFF" w:themeColor="background1"/>
              <w:left w:val="single" w:sz="18" w:space="0" w:color="auto"/>
              <w:bottom w:val="single" w:sz="12" w:space="0" w:color="auto"/>
              <w:right w:val="single" w:sz="12" w:space="0" w:color="auto"/>
            </w:tcBorders>
          </w:tcPr>
          <w:p w:rsidR="00E56410" w:rsidRPr="005202C7" w:rsidRDefault="00E56410" w:rsidP="0072391A">
            <w:pPr>
              <w:rPr>
                <w:b/>
                <w:sz w:val="22"/>
                <w:szCs w:val="22"/>
              </w:rPr>
            </w:pPr>
          </w:p>
          <w:p w:rsidR="00E56410" w:rsidRPr="005202C7" w:rsidRDefault="00E56410" w:rsidP="0072391A">
            <w:pPr>
              <w:rPr>
                <w:b/>
                <w:sz w:val="22"/>
                <w:szCs w:val="22"/>
              </w:rPr>
            </w:pPr>
            <w:r w:rsidRPr="005202C7">
              <w:rPr>
                <w:b/>
                <w:sz w:val="22"/>
                <w:szCs w:val="22"/>
              </w:rPr>
              <w:t>[p-value]</w:t>
            </w:r>
          </w:p>
        </w:tc>
        <w:tc>
          <w:tcPr>
            <w:tcW w:w="992" w:type="dxa"/>
            <w:tcBorders>
              <w:top w:val="single" w:sz="12" w:space="0" w:color="FFFFFF" w:themeColor="background1"/>
              <w:left w:val="single" w:sz="12" w:space="0" w:color="auto"/>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[0.107]</w:t>
            </w:r>
          </w:p>
        </w:tc>
        <w:tc>
          <w:tcPr>
            <w:tcW w:w="12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Pr>
                <w:color w:val="000000"/>
                <w:sz w:val="22"/>
                <w:szCs w:val="22"/>
                <w:lang w:val="en-US"/>
              </w:rPr>
              <w:t xml:space="preserve"> </w:t>
            </w:r>
            <w:r w:rsidRPr="005922AE">
              <w:rPr>
                <w:color w:val="000000"/>
                <w:sz w:val="22"/>
                <w:szCs w:val="22"/>
              </w:rPr>
              <w:t>[0.001]***</w:t>
            </w:r>
          </w:p>
        </w:tc>
        <w:tc>
          <w:tcPr>
            <w:tcW w:w="1276"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[0.007]***</w:t>
            </w:r>
          </w:p>
        </w:tc>
        <w:tc>
          <w:tcPr>
            <w:tcW w:w="992" w:type="dxa"/>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[0.3]</w:t>
            </w:r>
          </w:p>
        </w:tc>
        <w:tc>
          <w:tcPr>
            <w:tcW w:w="12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[0.001]***</w:t>
            </w:r>
          </w:p>
        </w:tc>
        <w:tc>
          <w:tcPr>
            <w:tcW w:w="992" w:type="dxa"/>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[0.401]</w:t>
            </w:r>
          </w:p>
        </w:tc>
        <w:tc>
          <w:tcPr>
            <w:tcW w:w="1134" w:type="dxa"/>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w:t>
            </w:r>
          </w:p>
        </w:tc>
        <w:tc>
          <w:tcPr>
            <w:tcW w:w="992" w:type="dxa"/>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[0.055]*</w:t>
            </w:r>
          </w:p>
        </w:tc>
        <w:tc>
          <w:tcPr>
            <w:tcW w:w="1134"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[0.014]**</w:t>
            </w:r>
          </w:p>
        </w:tc>
        <w:tc>
          <w:tcPr>
            <w:tcW w:w="885" w:type="dxa"/>
            <w:tcBorders>
              <w:top w:val="single" w:sz="12" w:space="0" w:color="FFFFFF" w:themeColor="background1"/>
              <w:left w:val="single" w:sz="12" w:space="0" w:color="FFFFFF" w:themeColor="background1"/>
              <w:bottom w:val="single" w:sz="12" w:space="0" w:color="auto"/>
              <w:right w:val="single" w:sz="18" w:space="0" w:color="auto"/>
            </w:tcBorders>
            <w:vAlign w:val="bottom"/>
          </w:tcPr>
          <w:p w:rsidR="00E56410" w:rsidRPr="005922AE" w:rsidRDefault="00E56410" w:rsidP="0072391A">
            <w:pPr>
              <w:jc w:val="center"/>
              <w:rPr>
                <w:color w:val="000000"/>
                <w:sz w:val="22"/>
                <w:szCs w:val="22"/>
              </w:rPr>
            </w:pPr>
            <w:r w:rsidRPr="005922AE">
              <w:rPr>
                <w:color w:val="000000"/>
                <w:sz w:val="22"/>
                <w:szCs w:val="22"/>
              </w:rPr>
              <w:t>[0.109]</w:t>
            </w:r>
          </w:p>
        </w:tc>
      </w:tr>
      <w:tr w:rsidR="00E56410" w:rsidRPr="005202C7" w:rsidTr="0072391A">
        <w:trPr>
          <w:trHeight w:val="360"/>
        </w:trPr>
        <w:tc>
          <w:tcPr>
            <w:tcW w:w="817" w:type="dxa"/>
            <w:tcBorders>
              <w:top w:val="single" w:sz="12" w:space="0" w:color="auto"/>
              <w:left w:val="single" w:sz="18" w:space="0" w:color="auto"/>
              <w:bottom w:val="single" w:sz="12" w:space="0" w:color="FFFFFF" w:themeColor="background1"/>
              <w:right w:val="single" w:sz="12" w:space="0" w:color="auto"/>
            </w:tcBorders>
          </w:tcPr>
          <w:p w:rsidR="00E56410" w:rsidRPr="005202C7" w:rsidRDefault="00E56410" w:rsidP="0072391A">
            <w:pPr>
              <w:rPr>
                <w:b/>
                <w:sz w:val="22"/>
                <w:szCs w:val="22"/>
              </w:rPr>
            </w:pPr>
          </w:p>
          <w:p w:rsidR="00E56410" w:rsidRPr="005202C7" w:rsidRDefault="00E56410" w:rsidP="0072391A">
            <w:pPr>
              <w:rPr>
                <w:b/>
                <w:sz w:val="22"/>
                <w:szCs w:val="22"/>
              </w:rPr>
            </w:pPr>
            <w:r w:rsidRPr="005202C7">
              <w:rPr>
                <w:b/>
                <w:sz w:val="22"/>
                <w:szCs w:val="22"/>
              </w:rPr>
              <w:t>DIFDAX</w:t>
            </w:r>
          </w:p>
        </w:tc>
        <w:tc>
          <w:tcPr>
            <w:tcW w:w="992" w:type="dxa"/>
            <w:tcBorders>
              <w:top w:val="single" w:sz="12" w:space="0" w:color="auto"/>
              <w:left w:val="single" w:sz="12" w:space="0" w:color="auto"/>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12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w:t>
            </w:r>
          </w:p>
        </w:tc>
        <w:tc>
          <w:tcPr>
            <w:tcW w:w="1276" w:type="dxa"/>
            <w:gridSpan w:val="2"/>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992"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12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992"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1134"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992" w:type="dxa"/>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1134" w:type="dxa"/>
            <w:gridSpan w:val="2"/>
            <w:tcBorders>
              <w:top w:val="single" w:sz="12" w:space="0" w:color="auto"/>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t+1</w:t>
            </w:r>
          </w:p>
        </w:tc>
        <w:tc>
          <w:tcPr>
            <w:tcW w:w="885" w:type="dxa"/>
            <w:tcBorders>
              <w:top w:val="single" w:sz="12" w:space="0" w:color="auto"/>
              <w:left w:val="single" w:sz="12" w:space="0" w:color="FFFFFF" w:themeColor="background1"/>
              <w:bottom w:val="single" w:sz="12" w:space="0" w:color="FFFFFF" w:themeColor="background1"/>
              <w:right w:val="single" w:sz="18" w:space="0" w:color="auto"/>
            </w:tcBorders>
            <w:vAlign w:val="bottom"/>
          </w:tcPr>
          <w:p w:rsidR="00E56410" w:rsidRPr="005922AE" w:rsidRDefault="00E56410" w:rsidP="0072391A">
            <w:pPr>
              <w:jc w:val="center"/>
              <w:rPr>
                <w:color w:val="000000"/>
                <w:sz w:val="22"/>
                <w:szCs w:val="22"/>
              </w:rPr>
            </w:pPr>
            <w:r w:rsidRPr="005922AE">
              <w:rPr>
                <w:color w:val="000000"/>
                <w:sz w:val="22"/>
                <w:szCs w:val="22"/>
              </w:rPr>
              <w:t>t-1</w:t>
            </w:r>
          </w:p>
        </w:tc>
      </w:tr>
      <w:tr w:rsidR="00E56410" w:rsidRPr="005202C7" w:rsidTr="0072391A">
        <w:trPr>
          <w:trHeight w:val="454"/>
        </w:trPr>
        <w:tc>
          <w:tcPr>
            <w:tcW w:w="817" w:type="dxa"/>
            <w:tcBorders>
              <w:top w:val="single" w:sz="12" w:space="0" w:color="FFFFFF" w:themeColor="background1"/>
              <w:left w:val="single" w:sz="18" w:space="0" w:color="auto"/>
              <w:bottom w:val="single" w:sz="12" w:space="0" w:color="FFFFFF" w:themeColor="background1"/>
              <w:right w:val="single" w:sz="12" w:space="0" w:color="auto"/>
            </w:tcBorders>
          </w:tcPr>
          <w:p w:rsidR="00E56410" w:rsidRPr="005202C7" w:rsidRDefault="00E56410" w:rsidP="0072391A">
            <w:pPr>
              <w:rPr>
                <w:b/>
                <w:sz w:val="22"/>
                <w:szCs w:val="22"/>
              </w:rPr>
            </w:pPr>
          </w:p>
          <w:p w:rsidR="00E56410" w:rsidRPr="005202C7" w:rsidRDefault="00E56410" w:rsidP="0072391A">
            <w:pPr>
              <w:rPr>
                <w:b/>
                <w:sz w:val="22"/>
                <w:szCs w:val="22"/>
              </w:rPr>
            </w:pPr>
            <w:r w:rsidRPr="005202C7">
              <w:rPr>
                <w:b/>
                <w:sz w:val="22"/>
                <w:szCs w:val="22"/>
              </w:rPr>
              <w:t>(coef.)</w:t>
            </w:r>
          </w:p>
        </w:tc>
        <w:tc>
          <w:tcPr>
            <w:tcW w:w="992" w:type="dxa"/>
            <w:tcBorders>
              <w:top w:val="single" w:sz="12" w:space="0" w:color="FFFFFF" w:themeColor="background1"/>
              <w:left w:val="single" w:sz="12" w:space="0" w:color="auto"/>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(-6.568)</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(-3.174)</w:t>
            </w:r>
          </w:p>
        </w:tc>
        <w:tc>
          <w:tcPr>
            <w:tcW w:w="1276"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(-7.062)</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(-3.727)</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(3.825)</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(0.775)</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(-5.651)</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(0.761)</w:t>
            </w:r>
          </w:p>
        </w:tc>
        <w:tc>
          <w:tcPr>
            <w:tcW w:w="113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(0.403)</w:t>
            </w:r>
          </w:p>
        </w:tc>
        <w:tc>
          <w:tcPr>
            <w:tcW w:w="885" w:type="dxa"/>
            <w:tcBorders>
              <w:top w:val="single" w:sz="12" w:space="0" w:color="FFFFFF" w:themeColor="background1"/>
              <w:left w:val="single" w:sz="12" w:space="0" w:color="FFFFFF" w:themeColor="background1"/>
              <w:bottom w:val="single" w:sz="12" w:space="0" w:color="FFFFFF" w:themeColor="background1"/>
              <w:right w:val="single" w:sz="18" w:space="0" w:color="auto"/>
            </w:tcBorders>
            <w:vAlign w:val="bottom"/>
          </w:tcPr>
          <w:p w:rsidR="00E56410" w:rsidRPr="005922AE" w:rsidRDefault="00E56410" w:rsidP="0072391A">
            <w:pPr>
              <w:jc w:val="center"/>
              <w:rPr>
                <w:color w:val="000000"/>
                <w:sz w:val="22"/>
                <w:szCs w:val="22"/>
              </w:rPr>
            </w:pPr>
            <w:r w:rsidRPr="005922AE">
              <w:rPr>
                <w:color w:val="000000"/>
                <w:sz w:val="22"/>
                <w:szCs w:val="22"/>
              </w:rPr>
              <w:t>(0.157)</w:t>
            </w:r>
          </w:p>
        </w:tc>
      </w:tr>
      <w:tr w:rsidR="00E56410" w:rsidRPr="005202C7" w:rsidTr="0072391A">
        <w:trPr>
          <w:trHeight w:val="360"/>
        </w:trPr>
        <w:tc>
          <w:tcPr>
            <w:tcW w:w="817" w:type="dxa"/>
            <w:tcBorders>
              <w:top w:val="single" w:sz="12" w:space="0" w:color="FFFFFF" w:themeColor="background1"/>
              <w:left w:val="single" w:sz="18" w:space="0" w:color="auto"/>
              <w:bottom w:val="single" w:sz="18" w:space="0" w:color="auto"/>
              <w:right w:val="single" w:sz="12" w:space="0" w:color="auto"/>
            </w:tcBorders>
          </w:tcPr>
          <w:p w:rsidR="00E56410" w:rsidRPr="005202C7" w:rsidRDefault="00E56410" w:rsidP="0072391A">
            <w:pPr>
              <w:rPr>
                <w:b/>
                <w:sz w:val="22"/>
                <w:szCs w:val="22"/>
              </w:rPr>
            </w:pPr>
          </w:p>
          <w:p w:rsidR="00E56410" w:rsidRPr="005202C7" w:rsidRDefault="00E56410" w:rsidP="0072391A">
            <w:pPr>
              <w:rPr>
                <w:b/>
                <w:sz w:val="22"/>
                <w:szCs w:val="22"/>
              </w:rPr>
            </w:pPr>
            <w:r w:rsidRPr="005202C7">
              <w:rPr>
                <w:b/>
                <w:sz w:val="22"/>
                <w:szCs w:val="22"/>
              </w:rPr>
              <w:t>[p-value]</w:t>
            </w:r>
          </w:p>
        </w:tc>
        <w:tc>
          <w:tcPr>
            <w:tcW w:w="992" w:type="dxa"/>
            <w:tcBorders>
              <w:top w:val="single" w:sz="12" w:space="0" w:color="FFFFFF" w:themeColor="background1"/>
              <w:left w:val="single" w:sz="12" w:space="0" w:color="auto"/>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[0.177]</w:t>
            </w:r>
          </w:p>
        </w:tc>
        <w:tc>
          <w:tcPr>
            <w:tcW w:w="1276" w:type="dxa"/>
            <w:tcBorders>
              <w:top w:val="single" w:sz="12" w:space="0" w:color="FFFFFF" w:themeColor="background1"/>
              <w:left w:val="single" w:sz="12" w:space="0" w:color="FFFFFF" w:themeColor="background1"/>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[0.329]</w:t>
            </w:r>
          </w:p>
        </w:tc>
        <w:tc>
          <w:tcPr>
            <w:tcW w:w="1276" w:type="dxa"/>
            <w:gridSpan w:val="2"/>
            <w:tcBorders>
              <w:top w:val="single" w:sz="12" w:space="0" w:color="FFFFFF" w:themeColor="background1"/>
              <w:left w:val="single" w:sz="12" w:space="0" w:color="FFFFFF" w:themeColor="background1"/>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[0.016]**</w:t>
            </w:r>
          </w:p>
        </w:tc>
        <w:tc>
          <w:tcPr>
            <w:tcW w:w="992" w:type="dxa"/>
            <w:tcBorders>
              <w:top w:val="single" w:sz="12" w:space="0" w:color="FFFFFF" w:themeColor="background1"/>
              <w:left w:val="single" w:sz="12" w:space="0" w:color="FFFFFF" w:themeColor="background1"/>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[0.311]</w:t>
            </w:r>
          </w:p>
        </w:tc>
        <w:tc>
          <w:tcPr>
            <w:tcW w:w="1276" w:type="dxa"/>
            <w:tcBorders>
              <w:top w:val="single" w:sz="12" w:space="0" w:color="FFFFFF" w:themeColor="background1"/>
              <w:left w:val="single" w:sz="12" w:space="0" w:color="FFFFFF" w:themeColor="background1"/>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[0.054]*</w:t>
            </w:r>
          </w:p>
        </w:tc>
        <w:tc>
          <w:tcPr>
            <w:tcW w:w="992" w:type="dxa"/>
            <w:tcBorders>
              <w:top w:val="single" w:sz="12" w:space="0" w:color="FFFFFF" w:themeColor="background1"/>
              <w:left w:val="single" w:sz="12" w:space="0" w:color="FFFFFF" w:themeColor="background1"/>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[0.57]</w:t>
            </w:r>
          </w:p>
        </w:tc>
        <w:tc>
          <w:tcPr>
            <w:tcW w:w="1134" w:type="dxa"/>
            <w:tcBorders>
              <w:top w:val="single" w:sz="12" w:space="0" w:color="FFFFFF" w:themeColor="background1"/>
              <w:left w:val="single" w:sz="12" w:space="0" w:color="FFFFFF" w:themeColor="background1"/>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[0.024]**</w:t>
            </w:r>
          </w:p>
        </w:tc>
        <w:tc>
          <w:tcPr>
            <w:tcW w:w="992" w:type="dxa"/>
            <w:tcBorders>
              <w:top w:val="single" w:sz="12" w:space="0" w:color="FFFFFF" w:themeColor="background1"/>
              <w:left w:val="single" w:sz="12" w:space="0" w:color="FFFFFF" w:themeColor="background1"/>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[0.654]</w:t>
            </w:r>
          </w:p>
        </w:tc>
        <w:tc>
          <w:tcPr>
            <w:tcW w:w="1134" w:type="dxa"/>
            <w:gridSpan w:val="2"/>
            <w:tcBorders>
              <w:top w:val="single" w:sz="12" w:space="0" w:color="FFFFFF" w:themeColor="background1"/>
              <w:left w:val="single" w:sz="12" w:space="0" w:color="FFFFFF" w:themeColor="background1"/>
              <w:bottom w:val="single" w:sz="18" w:space="0" w:color="auto"/>
              <w:right w:val="single" w:sz="12" w:space="0" w:color="FFFFFF" w:themeColor="background1"/>
            </w:tcBorders>
            <w:vAlign w:val="bottom"/>
          </w:tcPr>
          <w:p w:rsidR="00E56410" w:rsidRPr="005922AE" w:rsidRDefault="00E56410" w:rsidP="0072391A">
            <w:pPr>
              <w:jc w:val="center"/>
              <w:rPr>
                <w:color w:val="000000"/>
                <w:sz w:val="22"/>
                <w:szCs w:val="22"/>
              </w:rPr>
            </w:pPr>
            <w:r w:rsidRPr="005922AE">
              <w:rPr>
                <w:color w:val="000000"/>
                <w:sz w:val="22"/>
                <w:szCs w:val="22"/>
              </w:rPr>
              <w:t>[0.225]</w:t>
            </w:r>
          </w:p>
        </w:tc>
        <w:tc>
          <w:tcPr>
            <w:tcW w:w="885" w:type="dxa"/>
            <w:tcBorders>
              <w:top w:val="single" w:sz="12" w:space="0" w:color="FFFFFF" w:themeColor="background1"/>
              <w:left w:val="single" w:sz="12" w:space="0" w:color="FFFFFF" w:themeColor="background1"/>
              <w:bottom w:val="single" w:sz="18" w:space="0" w:color="auto"/>
              <w:right w:val="single" w:sz="18" w:space="0" w:color="auto"/>
            </w:tcBorders>
            <w:vAlign w:val="bottom"/>
          </w:tcPr>
          <w:p w:rsidR="00E56410" w:rsidRPr="005922AE" w:rsidRDefault="00E56410" w:rsidP="0072391A">
            <w:pPr>
              <w:jc w:val="center"/>
              <w:rPr>
                <w:color w:val="000000"/>
                <w:sz w:val="22"/>
                <w:szCs w:val="22"/>
              </w:rPr>
            </w:pPr>
            <w:r w:rsidRPr="005922AE">
              <w:rPr>
                <w:color w:val="000000"/>
                <w:sz w:val="22"/>
                <w:szCs w:val="22"/>
              </w:rPr>
              <w:t>[0.766]</w:t>
            </w:r>
          </w:p>
        </w:tc>
      </w:tr>
    </w:tbl>
    <w:p w:rsidR="00E56410" w:rsidRDefault="00E56410" w:rsidP="00E56410">
      <w:pPr>
        <w:rPr>
          <w:sz w:val="18"/>
          <w:szCs w:val="18"/>
          <w:lang w:val="en-US"/>
        </w:rPr>
      </w:pPr>
    </w:p>
    <w:p w:rsidR="00E56410" w:rsidRPr="00E56410" w:rsidRDefault="00E56410" w:rsidP="00E56410">
      <w:pPr>
        <w:rPr>
          <w:rFonts w:ascii="Times New Roman" w:hAnsi="Times New Roman" w:cs="Times New Roman"/>
          <w:sz w:val="18"/>
          <w:szCs w:val="18"/>
          <w:lang w:val="en-US"/>
        </w:rPr>
      </w:pPr>
      <w:r w:rsidRPr="00E56410">
        <w:rPr>
          <w:rFonts w:ascii="Times New Roman" w:hAnsi="Times New Roman" w:cs="Times New Roman"/>
          <w:sz w:val="18"/>
          <w:szCs w:val="18"/>
          <w:lang w:val="en-US"/>
        </w:rPr>
        <w:t>Reported values are rounded at the third decimal. Values in parentheses present the coefficients and values in brackets the p-values. (*) denotes significance at 10%, (**) at 5% and (***) at 1%.</w:t>
      </w:r>
    </w:p>
    <w:p w:rsidR="00E56410" w:rsidRDefault="00E56410" w:rsidP="00E56410">
      <w:pPr>
        <w:pStyle w:val="Caption"/>
        <w:keepNext/>
        <w:jc w:val="both"/>
        <w:rPr>
          <w:color w:val="auto"/>
          <w:sz w:val="24"/>
          <w:szCs w:val="24"/>
          <w:lang w:val="en-US"/>
        </w:rPr>
      </w:pPr>
    </w:p>
    <w:p w:rsidR="00E56410" w:rsidRDefault="00E56410" w:rsidP="00E56410">
      <w:pPr>
        <w:pStyle w:val="Caption"/>
        <w:keepNext/>
        <w:jc w:val="both"/>
        <w:rPr>
          <w:color w:val="auto"/>
          <w:sz w:val="24"/>
          <w:szCs w:val="24"/>
          <w:lang w:val="en-US"/>
        </w:rPr>
      </w:pPr>
    </w:p>
    <w:p w:rsidR="00E56410" w:rsidRPr="006358FE" w:rsidRDefault="00E56410" w:rsidP="00E56410">
      <w:pPr>
        <w:rPr>
          <w:lang w:val="en-US"/>
        </w:rPr>
      </w:pPr>
    </w:p>
    <w:p w:rsidR="00937A52" w:rsidRDefault="00937A52" w:rsidP="00E56410">
      <w:pPr>
        <w:pStyle w:val="Caption"/>
        <w:keepNext/>
        <w:jc w:val="both"/>
        <w:rPr>
          <w:rFonts w:ascii="Times New Roman" w:hAnsi="Times New Roman" w:cs="Times New Roman"/>
          <w:color w:val="auto"/>
          <w:sz w:val="24"/>
          <w:szCs w:val="24"/>
          <w:lang w:val="en-US"/>
        </w:rPr>
      </w:pPr>
    </w:p>
    <w:p w:rsidR="00E56410" w:rsidRPr="00E56410" w:rsidRDefault="00E56410" w:rsidP="00E56410">
      <w:pPr>
        <w:pStyle w:val="Caption"/>
        <w:keepNext/>
        <w:jc w:val="both"/>
        <w:rPr>
          <w:rFonts w:ascii="Times New Roman" w:hAnsi="Times New Roman" w:cs="Times New Roman"/>
          <w:color w:val="auto"/>
          <w:sz w:val="24"/>
          <w:szCs w:val="24"/>
          <w:lang w:val="en-US"/>
        </w:rPr>
      </w:pPr>
      <w:r w:rsidRPr="00E56410">
        <w:rPr>
          <w:rFonts w:ascii="Times New Roman" w:hAnsi="Times New Roman" w:cs="Times New Roman"/>
          <w:color w:val="auto"/>
          <w:sz w:val="24"/>
          <w:szCs w:val="24"/>
          <w:lang w:val="en-US"/>
        </w:rPr>
        <w:t>Table 5</w:t>
      </w:r>
    </w:p>
    <w:p w:rsidR="00E56410" w:rsidRPr="00E56410" w:rsidRDefault="00E56410" w:rsidP="00E56410">
      <w:pPr>
        <w:pStyle w:val="Caption"/>
        <w:keepNext/>
        <w:jc w:val="both"/>
        <w:rPr>
          <w:rFonts w:ascii="Times New Roman" w:hAnsi="Times New Roman" w:cs="Times New Roman"/>
          <w:b w:val="0"/>
          <w:color w:val="auto"/>
          <w:sz w:val="24"/>
          <w:szCs w:val="24"/>
          <w:lang w:val="en-US"/>
        </w:rPr>
      </w:pPr>
      <w:r w:rsidRPr="00E56410">
        <w:rPr>
          <w:rFonts w:ascii="Times New Roman" w:hAnsi="Times New Roman" w:cs="Times New Roman"/>
          <w:color w:val="auto"/>
          <w:sz w:val="24"/>
          <w:szCs w:val="24"/>
          <w:lang w:val="en-US"/>
        </w:rPr>
        <w:t>Descriptive Statistics of indices</w:t>
      </w:r>
    </w:p>
    <w:p w:rsidR="00E56410" w:rsidRPr="00E56410" w:rsidRDefault="00E56410" w:rsidP="00E56410">
      <w:pPr>
        <w:jc w:val="both"/>
        <w:rPr>
          <w:rFonts w:ascii="Times New Roman" w:hAnsi="Times New Roman" w:cs="Times New Roman"/>
          <w:sz w:val="20"/>
          <w:szCs w:val="20"/>
          <w:lang w:val="en-US"/>
        </w:rPr>
      </w:pPr>
      <w:r w:rsidRPr="00E56410">
        <w:rPr>
          <w:rFonts w:ascii="Times New Roman" w:hAnsi="Times New Roman" w:cs="Times New Roman"/>
          <w:sz w:val="20"/>
          <w:szCs w:val="20"/>
          <w:lang w:val="en-US"/>
        </w:rPr>
        <w:t>The table is divided in two panels. Panel A presents the descriptive statistics of the indices and Panel B presents the same statistics but after standardization. The indices are the Baker and Wurgler (BW), University of Michigan Consumer Confidence Sentiment (CC), State Street Investor Confidence Index (ICI), Merrill Lynch’s Risk Aversion Indicator (ML_RAI), Global Risk Appetite Monitor by Nomura (NGRAM), Put-Call Ratio (PCR), VIX Index (VIX) and Westpac Risk Appetite (WP).</w:t>
      </w:r>
    </w:p>
    <w:p w:rsidR="00E56410" w:rsidRDefault="00E56410" w:rsidP="00E56410">
      <w:pPr>
        <w:rPr>
          <w:b/>
          <w:lang w:val="en-US"/>
        </w:rPr>
      </w:pPr>
    </w:p>
    <w:p w:rsidR="00E56410" w:rsidRPr="00E56410" w:rsidRDefault="00E56410" w:rsidP="00E56410">
      <w:pPr>
        <w:rPr>
          <w:rFonts w:ascii="Times New Roman" w:hAnsi="Times New Roman" w:cs="Times New Roman"/>
          <w:b/>
          <w:sz w:val="24"/>
          <w:szCs w:val="24"/>
        </w:rPr>
      </w:pPr>
      <w:r w:rsidRPr="00E56410">
        <w:rPr>
          <w:rFonts w:ascii="Times New Roman" w:hAnsi="Times New Roman" w:cs="Times New Roman"/>
          <w:b/>
          <w:sz w:val="24"/>
          <w:szCs w:val="24"/>
        </w:rPr>
        <w:t>Panel A: Indices</w:t>
      </w:r>
    </w:p>
    <w:tbl>
      <w:tblPr>
        <w:tblW w:w="9754"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1041"/>
        <w:gridCol w:w="1041"/>
        <w:gridCol w:w="1041"/>
        <w:gridCol w:w="1133"/>
        <w:gridCol w:w="1072"/>
        <w:gridCol w:w="1041"/>
        <w:gridCol w:w="1041"/>
        <w:gridCol w:w="1041"/>
      </w:tblGrid>
      <w:tr w:rsidR="00E56410" w:rsidRPr="00E56410" w:rsidTr="0072391A">
        <w:trPr>
          <w:trHeight w:val="300"/>
        </w:trPr>
        <w:tc>
          <w:tcPr>
            <w:tcW w:w="9754" w:type="dxa"/>
            <w:gridSpan w:val="9"/>
            <w:tcBorders>
              <w:top w:val="single" w:sz="18" w:space="0" w:color="auto"/>
              <w:left w:val="single" w:sz="18" w:space="0" w:color="auto"/>
              <w:bottom w:val="single" w:sz="4" w:space="0" w:color="auto"/>
              <w:right w:val="single" w:sz="18" w:space="0" w:color="auto"/>
            </w:tcBorders>
            <w:shd w:val="clear" w:color="auto" w:fill="B6DDE8" w:themeFill="accent5" w:themeFillTint="66"/>
            <w:noWrap/>
            <w:vAlign w:val="bottom"/>
            <w:hideMark/>
          </w:tcPr>
          <w:p w:rsidR="00E56410" w:rsidRPr="00E56410" w:rsidRDefault="00E56410" w:rsidP="0072391A">
            <w:pPr>
              <w:spacing w:after="0" w:line="240" w:lineRule="auto"/>
              <w:jc w:val="center"/>
              <w:rPr>
                <w:rFonts w:ascii="Times New Roman" w:hAnsi="Times New Roman" w:cs="Times New Roman"/>
                <w:b/>
                <w:lang w:val="en-US"/>
              </w:rPr>
            </w:pPr>
            <w:r w:rsidRPr="00E56410">
              <w:rPr>
                <w:rFonts w:ascii="Times New Roman" w:hAnsi="Times New Roman" w:cs="Times New Roman"/>
                <w:b/>
              </w:rPr>
              <w:t>INDICES</w:t>
            </w:r>
          </w:p>
          <w:p w:rsidR="00E56410" w:rsidRPr="00E56410" w:rsidRDefault="00E56410" w:rsidP="0072391A">
            <w:pPr>
              <w:spacing w:after="0" w:line="240" w:lineRule="auto"/>
              <w:jc w:val="center"/>
              <w:rPr>
                <w:rFonts w:ascii="Times New Roman" w:hAnsi="Times New Roman" w:cs="Times New Roman"/>
                <w:b/>
                <w:lang w:val="en-US"/>
              </w:rPr>
            </w:pPr>
          </w:p>
        </w:tc>
      </w:tr>
      <w:tr w:rsidR="00E56410" w:rsidRPr="00E56410" w:rsidTr="0072391A">
        <w:trPr>
          <w:trHeight w:val="300"/>
        </w:trPr>
        <w:tc>
          <w:tcPr>
            <w:tcW w:w="1303"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rPr>
                <w:rFonts w:ascii="Times New Roman" w:eastAsiaTheme="minorEastAsia" w:hAnsi="Times New Roman" w:cs="Times New Roman"/>
                <w:lang w:eastAsia="el-GR"/>
              </w:rPr>
            </w:pP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cente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BW</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cente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CC</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cente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ICI</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cente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ML_RAI</w:t>
            </w:r>
          </w:p>
        </w:tc>
        <w:tc>
          <w:tcPr>
            <w:tcW w:w="1072"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cente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NGRAM</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cente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PCR</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cente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VIX</w:t>
            </w:r>
          </w:p>
        </w:tc>
        <w:tc>
          <w:tcPr>
            <w:tcW w:w="1041" w:type="dxa"/>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cente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WP</w:t>
            </w:r>
          </w:p>
        </w:tc>
      </w:tr>
      <w:tr w:rsidR="00E56410" w:rsidRPr="00E56410" w:rsidTr="0072391A">
        <w:trPr>
          <w:trHeight w:val="300"/>
        </w:trPr>
        <w:tc>
          <w:tcPr>
            <w:tcW w:w="1303"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Mean</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0.18098</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83.90881</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110.9352</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-0.84484</w:t>
            </w:r>
          </w:p>
        </w:tc>
        <w:tc>
          <w:tcPr>
            <w:tcW w:w="1072"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0.53536</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1.461006</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22.08522</w:t>
            </w:r>
          </w:p>
        </w:tc>
        <w:tc>
          <w:tcPr>
            <w:tcW w:w="1041" w:type="dxa"/>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0.167101</w:t>
            </w:r>
          </w:p>
        </w:tc>
      </w:tr>
      <w:tr w:rsidR="00E56410" w:rsidRPr="00E56410" w:rsidTr="0072391A">
        <w:trPr>
          <w:trHeight w:val="300"/>
        </w:trPr>
        <w:tc>
          <w:tcPr>
            <w:tcW w:w="1303"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Median</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0.004499</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86.1</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108.6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-1.35275</w:t>
            </w:r>
          </w:p>
        </w:tc>
        <w:tc>
          <w:tcPr>
            <w:tcW w:w="1072"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0.57</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1.4</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21.2</w:t>
            </w:r>
          </w:p>
        </w:tc>
        <w:tc>
          <w:tcPr>
            <w:tcW w:w="1041" w:type="dxa"/>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0.107</w:t>
            </w:r>
          </w:p>
        </w:tc>
      </w:tr>
      <w:tr w:rsidR="00E56410" w:rsidRPr="00E56410" w:rsidTr="0072391A">
        <w:trPr>
          <w:trHeight w:val="300"/>
        </w:trPr>
        <w:tc>
          <w:tcPr>
            <w:tcW w:w="1303"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Maximum</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2.496648</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112</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141.8</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17.574</w:t>
            </w:r>
          </w:p>
        </w:tc>
        <w:tc>
          <w:tcPr>
            <w:tcW w:w="1072"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0.87</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2.96</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59.89</w:t>
            </w:r>
          </w:p>
        </w:tc>
        <w:tc>
          <w:tcPr>
            <w:tcW w:w="1041" w:type="dxa"/>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4.058</w:t>
            </w:r>
          </w:p>
        </w:tc>
      </w:tr>
      <w:tr w:rsidR="00E56410" w:rsidRPr="00E56410" w:rsidTr="0072391A">
        <w:trPr>
          <w:trHeight w:val="300"/>
        </w:trPr>
        <w:tc>
          <w:tcPr>
            <w:tcW w:w="1303"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Minimum</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-0.90244</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55.3</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82.1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-13.67</w:t>
            </w:r>
          </w:p>
        </w:tc>
        <w:tc>
          <w:tcPr>
            <w:tcW w:w="1072"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0.11</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0.64</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10.42</w:t>
            </w:r>
          </w:p>
        </w:tc>
        <w:tc>
          <w:tcPr>
            <w:tcW w:w="1041" w:type="dxa"/>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-2.588</w:t>
            </w:r>
          </w:p>
        </w:tc>
      </w:tr>
      <w:tr w:rsidR="00E56410" w:rsidRPr="00E56410" w:rsidTr="0072391A">
        <w:trPr>
          <w:trHeight w:val="300"/>
        </w:trPr>
        <w:tc>
          <w:tcPr>
            <w:tcW w:w="1303"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Std. Dev.</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0.664033</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14.00031</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13.84964</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6.874506</w:t>
            </w:r>
          </w:p>
        </w:tc>
        <w:tc>
          <w:tcPr>
            <w:tcW w:w="1072"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0.160511</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0.385407</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8.43543</w:t>
            </w:r>
          </w:p>
        </w:tc>
        <w:tc>
          <w:tcPr>
            <w:tcW w:w="1041" w:type="dxa"/>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1.311831</w:t>
            </w:r>
          </w:p>
        </w:tc>
      </w:tr>
      <w:tr w:rsidR="00E56410" w:rsidRPr="00E56410" w:rsidTr="0072391A">
        <w:trPr>
          <w:trHeight w:val="300"/>
        </w:trPr>
        <w:tc>
          <w:tcPr>
            <w:tcW w:w="1303"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Skewness</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1.472846</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-0.07973</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-0.02114</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0.356167</w:t>
            </w:r>
          </w:p>
        </w:tc>
        <w:tc>
          <w:tcPr>
            <w:tcW w:w="1072"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-0.32968</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1.007438</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1.465396</w:t>
            </w:r>
          </w:p>
        </w:tc>
        <w:tc>
          <w:tcPr>
            <w:tcW w:w="1041" w:type="dxa"/>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0.279325</w:t>
            </w:r>
          </w:p>
        </w:tc>
      </w:tr>
      <w:tr w:rsidR="00E56410" w:rsidRPr="00E56410" w:rsidTr="0072391A">
        <w:trPr>
          <w:trHeight w:val="300"/>
        </w:trPr>
        <w:tc>
          <w:tcPr>
            <w:tcW w:w="1303"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Kurtosis</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4.933632</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2.269588</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2.172189</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2.316303</w:t>
            </w:r>
          </w:p>
        </w:tc>
        <w:tc>
          <w:tcPr>
            <w:tcW w:w="1072"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2.572092</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4.934917</w:t>
            </w:r>
          </w:p>
        </w:tc>
        <w:tc>
          <w:tcPr>
            <w:tcW w:w="1041"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6.362852</w:t>
            </w:r>
          </w:p>
        </w:tc>
        <w:tc>
          <w:tcPr>
            <w:tcW w:w="1041" w:type="dxa"/>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2.598408</w:t>
            </w:r>
          </w:p>
        </w:tc>
      </w:tr>
      <w:tr w:rsidR="00E56410" w:rsidRPr="00E56410" w:rsidTr="0072391A">
        <w:trPr>
          <w:trHeight w:val="300"/>
        </w:trPr>
        <w:tc>
          <w:tcPr>
            <w:tcW w:w="1303" w:type="dxa"/>
            <w:tcBorders>
              <w:top w:val="single" w:sz="4" w:space="0" w:color="auto"/>
              <w:left w:val="single" w:sz="18" w:space="0" w:color="auto"/>
              <w:bottom w:val="single" w:sz="18"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of obs.</w:t>
            </w:r>
          </w:p>
        </w:tc>
        <w:tc>
          <w:tcPr>
            <w:tcW w:w="1041" w:type="dxa"/>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139</w:t>
            </w:r>
          </w:p>
        </w:tc>
        <w:tc>
          <w:tcPr>
            <w:tcW w:w="1041" w:type="dxa"/>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c>
          <w:tcPr>
            <w:tcW w:w="1041" w:type="dxa"/>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c>
          <w:tcPr>
            <w:tcW w:w="1133" w:type="dxa"/>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126</w:t>
            </w:r>
          </w:p>
        </w:tc>
        <w:tc>
          <w:tcPr>
            <w:tcW w:w="1072" w:type="dxa"/>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125</w:t>
            </w:r>
          </w:p>
        </w:tc>
        <w:tc>
          <w:tcPr>
            <w:tcW w:w="1041" w:type="dxa"/>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c>
          <w:tcPr>
            <w:tcW w:w="1041" w:type="dxa"/>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c>
          <w:tcPr>
            <w:tcW w:w="1041" w:type="dxa"/>
            <w:tcBorders>
              <w:top w:val="single" w:sz="4" w:space="0" w:color="auto"/>
              <w:left w:val="single" w:sz="4" w:space="0" w:color="auto"/>
              <w:bottom w:val="single" w:sz="18"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r>
    </w:tbl>
    <w:p w:rsidR="00E56410" w:rsidRDefault="00E56410" w:rsidP="00E56410">
      <w:pPr>
        <w:spacing w:line="360" w:lineRule="auto"/>
        <w:jc w:val="both"/>
        <w:rPr>
          <w:lang w:val="en-US"/>
        </w:rPr>
      </w:pPr>
    </w:p>
    <w:p w:rsidR="00E56410" w:rsidRPr="00E56410" w:rsidRDefault="00E56410" w:rsidP="00E56410">
      <w:pPr>
        <w:jc w:val="both"/>
        <w:rPr>
          <w:rFonts w:ascii="Times New Roman" w:hAnsi="Times New Roman" w:cs="Times New Roman"/>
          <w:b/>
          <w:sz w:val="24"/>
          <w:szCs w:val="24"/>
        </w:rPr>
      </w:pPr>
      <w:r w:rsidRPr="00E56410">
        <w:rPr>
          <w:rFonts w:ascii="Times New Roman" w:hAnsi="Times New Roman" w:cs="Times New Roman"/>
          <w:b/>
          <w:sz w:val="24"/>
          <w:szCs w:val="24"/>
        </w:rPr>
        <w:t>Panel B: Standardized Indices</w:t>
      </w:r>
    </w:p>
    <w:tbl>
      <w:tblPr>
        <w:tblW w:w="9796"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2"/>
        <w:gridCol w:w="1223"/>
        <w:gridCol w:w="938"/>
        <w:gridCol w:w="938"/>
        <w:gridCol w:w="1137"/>
        <w:gridCol w:w="1124"/>
        <w:gridCol w:w="938"/>
        <w:gridCol w:w="938"/>
        <w:gridCol w:w="938"/>
      </w:tblGrid>
      <w:tr w:rsidR="00E56410" w:rsidRPr="00E56410" w:rsidTr="0072391A">
        <w:trPr>
          <w:trHeight w:val="299"/>
        </w:trPr>
        <w:tc>
          <w:tcPr>
            <w:tcW w:w="9796" w:type="dxa"/>
            <w:gridSpan w:val="9"/>
            <w:tcBorders>
              <w:top w:val="single" w:sz="18" w:space="0" w:color="auto"/>
              <w:left w:val="single" w:sz="18" w:space="0" w:color="auto"/>
              <w:bottom w:val="single" w:sz="4" w:space="0" w:color="auto"/>
              <w:right w:val="single" w:sz="18" w:space="0" w:color="auto"/>
            </w:tcBorders>
            <w:shd w:val="clear" w:color="auto" w:fill="B6DDE8" w:themeFill="accent5" w:themeFillTint="66"/>
            <w:noWrap/>
            <w:vAlign w:val="bottom"/>
            <w:hideMark/>
          </w:tcPr>
          <w:p w:rsidR="00E56410" w:rsidRPr="00E56410" w:rsidRDefault="00E56410" w:rsidP="0072391A">
            <w:pPr>
              <w:jc w:val="center"/>
              <w:rPr>
                <w:rFonts w:ascii="Times New Roman" w:eastAsia="Times New Roman" w:hAnsi="Times New Roman" w:cs="Times New Roman"/>
                <w:b/>
                <w:color w:val="000000"/>
                <w:lang w:val="en-US"/>
              </w:rPr>
            </w:pPr>
            <w:r w:rsidRPr="00E56410">
              <w:rPr>
                <w:rFonts w:ascii="Times New Roman" w:hAnsi="Times New Roman" w:cs="Times New Roman"/>
                <w:b/>
              </w:rPr>
              <w:t>STANDARDIZED INDICES</w:t>
            </w:r>
          </w:p>
        </w:tc>
      </w:tr>
      <w:tr w:rsidR="00E56410" w:rsidRPr="00E56410" w:rsidTr="0072391A">
        <w:trPr>
          <w:trHeight w:val="298"/>
        </w:trPr>
        <w:tc>
          <w:tcPr>
            <w:tcW w:w="1546"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rPr>
                <w:rFonts w:ascii="Times New Roman" w:eastAsiaTheme="minorEastAsia" w:hAnsi="Times New Roman" w:cs="Times New Roman"/>
                <w:lang w:eastAsia="el-GR"/>
              </w:rPr>
            </w:pPr>
          </w:p>
        </w:tc>
        <w:tc>
          <w:tcPr>
            <w:tcW w:w="1166"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BW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CC</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ICI</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ML_RAI</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NGRAM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PCR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VIX</w:t>
            </w:r>
          </w:p>
        </w:tc>
        <w:tc>
          <w:tcPr>
            <w:tcW w:w="0" w:type="auto"/>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WP</w:t>
            </w:r>
          </w:p>
        </w:tc>
      </w:tr>
      <w:tr w:rsidR="00E56410" w:rsidRPr="00E56410" w:rsidTr="0072391A">
        <w:trPr>
          <w:trHeight w:val="299"/>
        </w:trPr>
        <w:tc>
          <w:tcPr>
            <w:tcW w:w="1546"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xml:space="preserve"> Mean</w:t>
            </w:r>
          </w:p>
        </w:tc>
        <w:tc>
          <w:tcPr>
            <w:tcW w:w="1166"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0.0000</w:t>
            </w:r>
          </w:p>
        </w:tc>
        <w:tc>
          <w:tcPr>
            <w:tcW w:w="0" w:type="auto"/>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0.0000</w:t>
            </w:r>
          </w:p>
        </w:tc>
      </w:tr>
      <w:tr w:rsidR="00E56410" w:rsidRPr="00E56410" w:rsidTr="0072391A">
        <w:trPr>
          <w:trHeight w:val="299"/>
        </w:trPr>
        <w:tc>
          <w:tcPr>
            <w:tcW w:w="1546"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xml:space="preserve"> Median</w:t>
            </w:r>
          </w:p>
        </w:tc>
        <w:tc>
          <w:tcPr>
            <w:tcW w:w="1166"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-0.2658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0.1565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-0.1686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-0.0739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0.2158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-0.1583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-0.1049</w:t>
            </w:r>
          </w:p>
        </w:tc>
        <w:tc>
          <w:tcPr>
            <w:tcW w:w="0" w:type="auto"/>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-0.0458</w:t>
            </w:r>
          </w:p>
        </w:tc>
      </w:tr>
      <w:tr w:rsidR="00E56410" w:rsidRPr="00E56410" w:rsidTr="0072391A">
        <w:trPr>
          <w:trHeight w:val="299"/>
        </w:trPr>
        <w:tc>
          <w:tcPr>
            <w:tcW w:w="1546"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xml:space="preserve"> Maximum</w:t>
            </w:r>
          </w:p>
        </w:tc>
        <w:tc>
          <w:tcPr>
            <w:tcW w:w="1166"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3.4873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2.0065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2.2286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2.6793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2.0848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3.8894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4.4817</w:t>
            </w:r>
          </w:p>
        </w:tc>
        <w:tc>
          <w:tcPr>
            <w:tcW w:w="0" w:type="auto"/>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2.9660</w:t>
            </w:r>
          </w:p>
        </w:tc>
      </w:tr>
      <w:tr w:rsidR="00E56410" w:rsidRPr="00E56410" w:rsidTr="0072391A">
        <w:trPr>
          <w:trHeight w:val="299"/>
        </w:trPr>
        <w:tc>
          <w:tcPr>
            <w:tcW w:w="1546"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xml:space="preserve"> Minimum</w:t>
            </w:r>
          </w:p>
        </w:tc>
        <w:tc>
          <w:tcPr>
            <w:tcW w:w="1166"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-1.6316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-2.0434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-2.0820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-1.8656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-2.6500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-2.1302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-1.3829</w:t>
            </w:r>
          </w:p>
        </w:tc>
        <w:tc>
          <w:tcPr>
            <w:tcW w:w="0" w:type="auto"/>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-2.1002</w:t>
            </w:r>
          </w:p>
        </w:tc>
      </w:tr>
      <w:tr w:rsidR="00E56410" w:rsidRPr="00E56410" w:rsidTr="0072391A">
        <w:trPr>
          <w:trHeight w:val="299"/>
        </w:trPr>
        <w:tc>
          <w:tcPr>
            <w:tcW w:w="1546"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xml:space="preserve"> Std. Dev.</w:t>
            </w:r>
          </w:p>
        </w:tc>
        <w:tc>
          <w:tcPr>
            <w:tcW w:w="1166"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1.0000</w:t>
            </w:r>
          </w:p>
        </w:tc>
        <w:tc>
          <w:tcPr>
            <w:tcW w:w="0" w:type="auto"/>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1.0000</w:t>
            </w:r>
          </w:p>
        </w:tc>
      </w:tr>
      <w:tr w:rsidR="00E56410" w:rsidRPr="00E56410" w:rsidTr="0072391A">
        <w:trPr>
          <w:trHeight w:val="299"/>
        </w:trPr>
        <w:tc>
          <w:tcPr>
            <w:tcW w:w="1546"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xml:space="preserve"> Skewness</w:t>
            </w:r>
          </w:p>
        </w:tc>
        <w:tc>
          <w:tcPr>
            <w:tcW w:w="1166"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1.4728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-0.0797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-0.0211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0.3562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-0.3297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1.0074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1.4654</w:t>
            </w:r>
          </w:p>
        </w:tc>
        <w:tc>
          <w:tcPr>
            <w:tcW w:w="0" w:type="auto"/>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0.2793</w:t>
            </w:r>
          </w:p>
        </w:tc>
      </w:tr>
      <w:tr w:rsidR="00E56410" w:rsidRPr="00E56410" w:rsidTr="0072391A">
        <w:trPr>
          <w:trHeight w:val="299"/>
        </w:trPr>
        <w:tc>
          <w:tcPr>
            <w:tcW w:w="1546" w:type="dxa"/>
            <w:tcBorders>
              <w:top w:val="single" w:sz="4" w:space="0" w:color="auto"/>
              <w:left w:val="single" w:sz="18" w:space="0" w:color="auto"/>
              <w:bottom w:val="single" w:sz="4"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xml:space="preserve"> Kurtosis</w:t>
            </w:r>
          </w:p>
        </w:tc>
        <w:tc>
          <w:tcPr>
            <w:tcW w:w="1166" w:type="dxa"/>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4.9336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2.2696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2.1722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2.3163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2.5721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4.9349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6.3629</w:t>
            </w:r>
          </w:p>
        </w:tc>
        <w:tc>
          <w:tcPr>
            <w:tcW w:w="0" w:type="auto"/>
            <w:tcBorders>
              <w:top w:val="single" w:sz="4" w:space="0" w:color="auto"/>
              <w:left w:val="single" w:sz="4" w:space="0" w:color="auto"/>
              <w:bottom w:val="single" w:sz="4"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2.5984</w:t>
            </w:r>
          </w:p>
        </w:tc>
      </w:tr>
      <w:tr w:rsidR="00E56410" w:rsidRPr="00E56410" w:rsidTr="0072391A">
        <w:trPr>
          <w:trHeight w:val="299"/>
        </w:trPr>
        <w:tc>
          <w:tcPr>
            <w:tcW w:w="1546" w:type="dxa"/>
            <w:tcBorders>
              <w:top w:val="single" w:sz="4" w:space="0" w:color="auto"/>
              <w:left w:val="single" w:sz="18" w:space="0" w:color="auto"/>
              <w:bottom w:val="single" w:sz="18" w:space="0" w:color="auto"/>
              <w:right w:val="single" w:sz="4" w:space="0" w:color="auto"/>
            </w:tcBorders>
            <w:noWrap/>
            <w:vAlign w:val="bottom"/>
            <w:hideMark/>
          </w:tcPr>
          <w:p w:rsidR="00E56410" w:rsidRPr="00E56410" w:rsidRDefault="00E56410" w:rsidP="0072391A">
            <w:pPr>
              <w:spacing w:after="0" w:line="240" w:lineRule="auto"/>
              <w:rPr>
                <w:rFonts w:ascii="Times New Roman" w:eastAsia="Times New Roman" w:hAnsi="Times New Roman" w:cs="Times New Roman"/>
                <w:b/>
                <w:color w:val="000000"/>
                <w:lang w:val="en-US"/>
              </w:rPr>
            </w:pPr>
            <w:r w:rsidRPr="00E56410">
              <w:rPr>
                <w:rFonts w:ascii="Times New Roman" w:eastAsia="Times New Roman" w:hAnsi="Times New Roman" w:cs="Times New Roman"/>
                <w:b/>
                <w:color w:val="000000"/>
              </w:rPr>
              <w:t xml:space="preserve"> # of obs.</w:t>
            </w:r>
          </w:p>
        </w:tc>
        <w:tc>
          <w:tcPr>
            <w:tcW w:w="1166" w:type="dxa"/>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139</w:t>
            </w:r>
          </w:p>
        </w:tc>
        <w:tc>
          <w:tcPr>
            <w:tcW w:w="0" w:type="auto"/>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c>
          <w:tcPr>
            <w:tcW w:w="0" w:type="auto"/>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c>
          <w:tcPr>
            <w:tcW w:w="0" w:type="auto"/>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126</w:t>
            </w:r>
          </w:p>
        </w:tc>
        <w:tc>
          <w:tcPr>
            <w:tcW w:w="0" w:type="auto"/>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125</w:t>
            </w:r>
          </w:p>
        </w:tc>
        <w:tc>
          <w:tcPr>
            <w:tcW w:w="0" w:type="auto"/>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c>
          <w:tcPr>
            <w:tcW w:w="0" w:type="auto"/>
            <w:tcBorders>
              <w:top w:val="single" w:sz="4" w:space="0" w:color="auto"/>
              <w:left w:val="single" w:sz="4" w:space="0" w:color="auto"/>
              <w:bottom w:val="single" w:sz="18" w:space="0" w:color="auto"/>
              <w:right w:val="single" w:sz="4"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c>
          <w:tcPr>
            <w:tcW w:w="0" w:type="auto"/>
            <w:tcBorders>
              <w:top w:val="single" w:sz="4" w:space="0" w:color="auto"/>
              <w:left w:val="single" w:sz="4" w:space="0" w:color="auto"/>
              <w:bottom w:val="single" w:sz="18" w:space="0" w:color="auto"/>
              <w:right w:val="single" w:sz="18" w:space="0" w:color="auto"/>
            </w:tcBorders>
            <w:noWrap/>
            <w:vAlign w:val="bottom"/>
            <w:hideMark/>
          </w:tcPr>
          <w:p w:rsidR="00E56410" w:rsidRPr="00E56410" w:rsidRDefault="00E56410" w:rsidP="0072391A">
            <w:pPr>
              <w:spacing w:after="0" w:line="240" w:lineRule="auto"/>
              <w:jc w:val="right"/>
              <w:rPr>
                <w:rFonts w:ascii="Times New Roman" w:eastAsia="Times New Roman" w:hAnsi="Times New Roman" w:cs="Times New Roman"/>
                <w:color w:val="000000"/>
                <w:lang w:val="en-US"/>
              </w:rPr>
            </w:pPr>
            <w:r w:rsidRPr="00E56410">
              <w:rPr>
                <w:rFonts w:ascii="Times New Roman" w:eastAsia="Times New Roman" w:hAnsi="Times New Roman" w:cs="Times New Roman"/>
                <w:color w:val="000000"/>
              </w:rPr>
              <w:t>159</w:t>
            </w:r>
          </w:p>
        </w:tc>
      </w:tr>
    </w:tbl>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Default="00E56410" w:rsidP="00E56410">
      <w:pPr>
        <w:pStyle w:val="ListParagraph"/>
        <w:ind w:left="0"/>
        <w:jc w:val="both"/>
        <w:rPr>
          <w:rFonts w:ascii="Times New Roman" w:hAnsi="Times New Roman" w:cs="Times New Roman"/>
          <w:b/>
          <w:bCs/>
          <w:sz w:val="24"/>
          <w:szCs w:val="24"/>
          <w:lang w:val="en-US"/>
        </w:rPr>
      </w:pPr>
    </w:p>
    <w:p w:rsidR="00E56410" w:rsidRPr="00B54C5D" w:rsidRDefault="00E56410" w:rsidP="00B54C5D">
      <w:pPr>
        <w:pStyle w:val="ListParagraph"/>
        <w:ind w:left="0"/>
        <w:jc w:val="center"/>
        <w:rPr>
          <w:rFonts w:ascii="Times New Roman" w:hAnsi="Times New Roman" w:cs="Times New Roman"/>
          <w:b/>
          <w:bCs/>
          <w:sz w:val="26"/>
          <w:szCs w:val="26"/>
          <w:lang w:val="en-US"/>
        </w:rPr>
      </w:pPr>
      <w:r w:rsidRPr="00B54C5D">
        <w:rPr>
          <w:rFonts w:ascii="Times New Roman" w:hAnsi="Times New Roman" w:cs="Times New Roman"/>
          <w:b/>
          <w:bCs/>
          <w:sz w:val="26"/>
          <w:szCs w:val="26"/>
          <w:lang w:val="en-US"/>
        </w:rPr>
        <w:lastRenderedPageBreak/>
        <w:t>APPENDIX B: Figures</w:t>
      </w:r>
    </w:p>
    <w:p w:rsidR="00E56410" w:rsidRDefault="00E56410" w:rsidP="00E56410">
      <w:pPr>
        <w:pStyle w:val="ListParagraph"/>
        <w:ind w:left="0"/>
        <w:jc w:val="both"/>
        <w:rPr>
          <w:rFonts w:ascii="Times New Roman" w:hAnsi="Times New Roman" w:cs="Times New Roman"/>
          <w:b/>
          <w:bCs/>
          <w:sz w:val="24"/>
          <w:szCs w:val="24"/>
          <w:lang w:val="en-US"/>
        </w:rPr>
      </w:pPr>
    </w:p>
    <w:p w:rsidR="00E56410" w:rsidRPr="00E56410" w:rsidRDefault="00E56410" w:rsidP="00E56410">
      <w:pPr>
        <w:pStyle w:val="Caption"/>
        <w:keepNext/>
        <w:jc w:val="both"/>
        <w:rPr>
          <w:rFonts w:ascii="Times New Roman" w:hAnsi="Times New Roman" w:cs="Times New Roman"/>
          <w:color w:val="auto"/>
          <w:sz w:val="24"/>
          <w:szCs w:val="24"/>
          <w:lang w:val="en-US"/>
        </w:rPr>
      </w:pPr>
      <w:r w:rsidRPr="00E56410">
        <w:rPr>
          <w:rFonts w:ascii="Times New Roman" w:hAnsi="Times New Roman" w:cs="Times New Roman"/>
          <w:color w:val="auto"/>
          <w:sz w:val="24"/>
          <w:szCs w:val="24"/>
          <w:lang w:val="en-US"/>
        </w:rPr>
        <w:t>Figure 3</w:t>
      </w:r>
    </w:p>
    <w:p w:rsidR="00E56410" w:rsidRPr="00E56410" w:rsidRDefault="00E56410" w:rsidP="00E56410">
      <w:pPr>
        <w:pStyle w:val="Caption"/>
        <w:keepNext/>
        <w:jc w:val="both"/>
        <w:rPr>
          <w:rFonts w:ascii="Times New Roman" w:hAnsi="Times New Roman" w:cs="Times New Roman"/>
          <w:color w:val="auto"/>
          <w:sz w:val="24"/>
          <w:szCs w:val="24"/>
          <w:lang w:val="en-US"/>
        </w:rPr>
      </w:pPr>
      <w:r w:rsidRPr="00E56410">
        <w:rPr>
          <w:rFonts w:ascii="Times New Roman" w:hAnsi="Times New Roman" w:cs="Times New Roman"/>
          <w:color w:val="auto"/>
          <w:sz w:val="24"/>
          <w:szCs w:val="24"/>
          <w:lang w:val="en-US"/>
        </w:rPr>
        <w:t>Historical asset values</w:t>
      </w:r>
    </w:p>
    <w:p w:rsidR="00E56410" w:rsidRPr="00E56410" w:rsidRDefault="00367E3B" w:rsidP="00E5641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Figure 3 displays the historical values of the assets graphically. </w:t>
      </w:r>
      <w:r w:rsidR="00E56410" w:rsidRPr="00E56410">
        <w:rPr>
          <w:rFonts w:ascii="Times New Roman" w:hAnsi="Times New Roman" w:cs="Times New Roman"/>
          <w:sz w:val="20"/>
          <w:szCs w:val="20"/>
          <w:lang w:val="en-US"/>
        </w:rPr>
        <w:t xml:space="preserve">Graph A presents the historical prices of the gold while Graph B and C for corn and copper respectively. Graph D, E and F show the historical exchange rate of the Swiss Franc (CHF), Euro (€) and Australian Dollar (AUD) to U.S Dollar ($). In Graph G and H the historical yields of the generic government bonds for U.S and Germany with a maturity of 10 years are displayed. Finally, in Graphs I-L we present the level of the Russell 1000, Russell 2000, DAX and SDAX respectively. In all graphs the period covered is from 30/6/1999 to 31/8/2012. </w:t>
      </w:r>
    </w:p>
    <w:p w:rsidR="00E56410" w:rsidRDefault="00E56410" w:rsidP="00E56410">
      <w:pPr>
        <w:rPr>
          <w:b/>
          <w:sz w:val="20"/>
          <w:szCs w:val="20"/>
          <w:lang w:val="en-US"/>
        </w:rPr>
      </w:pPr>
      <w:r>
        <w:rPr>
          <w:b/>
          <w:sz w:val="20"/>
          <w:szCs w:val="20"/>
          <w:lang w:val="en-US"/>
        </w:rPr>
        <w:t xml:space="preserve">  </w:t>
      </w:r>
    </w:p>
    <w:p w:rsidR="00E56410" w:rsidRPr="00E56410" w:rsidRDefault="00E56410" w:rsidP="00E56410">
      <w:pPr>
        <w:rPr>
          <w:rFonts w:ascii="Times New Roman" w:hAnsi="Times New Roman" w:cs="Times New Roman"/>
          <w:b/>
          <w:sz w:val="20"/>
          <w:szCs w:val="20"/>
          <w:lang w:val="en-US"/>
        </w:rPr>
      </w:pPr>
      <w:r>
        <w:rPr>
          <w:b/>
          <w:sz w:val="20"/>
          <w:szCs w:val="20"/>
          <w:lang w:val="en-US"/>
        </w:rPr>
        <w:t xml:space="preserve">  </w:t>
      </w:r>
      <w:r w:rsidRPr="00E56410">
        <w:rPr>
          <w:rFonts w:ascii="Times New Roman" w:hAnsi="Times New Roman" w:cs="Times New Roman"/>
          <w:b/>
          <w:sz w:val="20"/>
          <w:szCs w:val="20"/>
          <w:lang w:val="en-US"/>
        </w:rPr>
        <w:t>Graph A: Historical prices of gold</w:t>
      </w:r>
      <w:r w:rsidRPr="00E56410">
        <w:rPr>
          <w:rFonts w:ascii="Times New Roman" w:hAnsi="Times New Roman" w:cs="Times New Roman"/>
          <w:b/>
          <w:sz w:val="20"/>
          <w:szCs w:val="20"/>
          <w:lang w:val="en-US"/>
        </w:rPr>
        <w:tab/>
        <w:t xml:space="preserve">                        Graph B: Historical prices of corn</w:t>
      </w:r>
    </w:p>
    <w:p w:rsidR="00E56410" w:rsidRDefault="00E56410" w:rsidP="00E56410">
      <w:pPr>
        <w:rPr>
          <w:sz w:val="20"/>
          <w:szCs w:val="20"/>
          <w:lang w:val="en-US"/>
        </w:rPr>
      </w:pPr>
      <w:r>
        <w:rPr>
          <w:noProof/>
          <w:sz w:val="20"/>
          <w:szCs w:val="20"/>
          <w:lang w:val="en-US"/>
        </w:rPr>
        <w:drawing>
          <wp:inline distT="0" distB="0" distL="0" distR="0">
            <wp:extent cx="2674620" cy="1856507"/>
            <wp:effectExtent l="133350" t="76200" r="125730" b="86593"/>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4223" cy="18562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0"/>
          <w:szCs w:val="20"/>
          <w:lang w:val="en-US"/>
        </w:rPr>
        <w:drawing>
          <wp:inline distT="0" distB="0" distL="0" distR="0">
            <wp:extent cx="2686050" cy="1850984"/>
            <wp:effectExtent l="133350" t="76200" r="114300" b="73066"/>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1466" cy="18616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6410" w:rsidRDefault="00E56410" w:rsidP="00E56410">
      <w:pPr>
        <w:rPr>
          <w:b/>
          <w:sz w:val="20"/>
          <w:szCs w:val="20"/>
          <w:lang w:val="en-US"/>
        </w:rPr>
      </w:pPr>
      <w:r>
        <w:rPr>
          <w:b/>
          <w:sz w:val="20"/>
          <w:szCs w:val="20"/>
          <w:lang w:val="en-US"/>
        </w:rPr>
        <w:t xml:space="preserve">  </w:t>
      </w:r>
    </w:p>
    <w:p w:rsidR="00E56410" w:rsidRDefault="00E56410" w:rsidP="00E56410">
      <w:pPr>
        <w:rPr>
          <w:b/>
          <w:sz w:val="20"/>
          <w:szCs w:val="20"/>
          <w:lang w:val="en-US"/>
        </w:rPr>
      </w:pPr>
    </w:p>
    <w:p w:rsidR="00E56410" w:rsidRPr="00E56410" w:rsidRDefault="00E56410" w:rsidP="00E56410">
      <w:pPr>
        <w:rPr>
          <w:rFonts w:ascii="Times New Roman" w:hAnsi="Times New Roman" w:cs="Times New Roman"/>
          <w:sz w:val="20"/>
          <w:szCs w:val="20"/>
          <w:lang w:val="en-US"/>
        </w:rPr>
      </w:pPr>
      <w:r>
        <w:rPr>
          <w:b/>
          <w:sz w:val="20"/>
          <w:szCs w:val="20"/>
          <w:lang w:val="en-US"/>
        </w:rPr>
        <w:t xml:space="preserve">  </w:t>
      </w:r>
      <w:r w:rsidRPr="00E56410">
        <w:rPr>
          <w:rFonts w:ascii="Times New Roman" w:hAnsi="Times New Roman" w:cs="Times New Roman"/>
          <w:b/>
          <w:sz w:val="20"/>
          <w:szCs w:val="20"/>
          <w:lang w:val="en-US"/>
        </w:rPr>
        <w:t xml:space="preserve">Graph C: Historical prices of copper                             </w:t>
      </w:r>
      <w:r>
        <w:rPr>
          <w:rFonts w:ascii="Times New Roman" w:hAnsi="Times New Roman" w:cs="Times New Roman"/>
          <w:b/>
          <w:sz w:val="20"/>
          <w:szCs w:val="20"/>
          <w:lang w:val="en-US"/>
        </w:rPr>
        <w:t xml:space="preserve">  </w:t>
      </w:r>
      <w:r w:rsidRPr="00E56410">
        <w:rPr>
          <w:rFonts w:ascii="Times New Roman" w:hAnsi="Times New Roman" w:cs="Times New Roman"/>
          <w:b/>
          <w:sz w:val="20"/>
          <w:szCs w:val="20"/>
          <w:lang w:val="en-US"/>
        </w:rPr>
        <w:t>Graph D: Historical exchange rate of CHF to $</w:t>
      </w:r>
    </w:p>
    <w:p w:rsidR="00E56410" w:rsidRDefault="00E56410" w:rsidP="00E56410">
      <w:pPr>
        <w:rPr>
          <w:sz w:val="20"/>
          <w:szCs w:val="20"/>
          <w:lang w:val="en-US"/>
        </w:rPr>
      </w:pPr>
      <w:r>
        <w:rPr>
          <w:noProof/>
          <w:sz w:val="20"/>
          <w:szCs w:val="20"/>
          <w:lang w:val="en-US"/>
        </w:rPr>
        <w:drawing>
          <wp:inline distT="0" distB="0" distL="0" distR="0">
            <wp:extent cx="2647315" cy="1924050"/>
            <wp:effectExtent l="133350" t="76200" r="114935" b="762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315" cy="1924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0"/>
          <w:szCs w:val="20"/>
          <w:lang w:val="en-US"/>
        </w:rPr>
        <w:drawing>
          <wp:inline distT="0" distB="0" distL="0" distR="0">
            <wp:extent cx="2762250" cy="1927225"/>
            <wp:effectExtent l="133350" t="76200" r="114300" b="730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0275" cy="19328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6410" w:rsidRDefault="00E56410" w:rsidP="00E56410">
      <w:pPr>
        <w:rPr>
          <w:b/>
          <w:sz w:val="20"/>
          <w:szCs w:val="20"/>
          <w:lang w:val="en-US"/>
        </w:rPr>
      </w:pPr>
      <w:r>
        <w:rPr>
          <w:b/>
          <w:sz w:val="20"/>
          <w:szCs w:val="20"/>
          <w:lang w:val="en-US"/>
        </w:rPr>
        <w:t xml:space="preserve">  </w:t>
      </w:r>
    </w:p>
    <w:p w:rsidR="00E56410" w:rsidRDefault="00E56410" w:rsidP="00E56410">
      <w:pPr>
        <w:rPr>
          <w:b/>
          <w:sz w:val="20"/>
          <w:szCs w:val="20"/>
          <w:lang w:val="en-US"/>
        </w:rPr>
      </w:pPr>
    </w:p>
    <w:p w:rsidR="00E56410" w:rsidRDefault="00E56410" w:rsidP="00E56410">
      <w:pPr>
        <w:rPr>
          <w:b/>
          <w:sz w:val="20"/>
          <w:szCs w:val="20"/>
          <w:lang w:val="en-US"/>
        </w:rPr>
      </w:pPr>
    </w:p>
    <w:p w:rsidR="00E56410" w:rsidRPr="00E56410" w:rsidRDefault="00E56410" w:rsidP="00E56410">
      <w:pPr>
        <w:rPr>
          <w:rFonts w:ascii="Times New Roman" w:hAnsi="Times New Roman" w:cs="Times New Roman"/>
          <w:sz w:val="20"/>
          <w:szCs w:val="20"/>
          <w:lang w:val="en-US"/>
        </w:rPr>
      </w:pPr>
      <w:r>
        <w:rPr>
          <w:b/>
          <w:sz w:val="20"/>
          <w:szCs w:val="20"/>
          <w:lang w:val="en-US"/>
        </w:rPr>
        <w:t xml:space="preserve">  </w:t>
      </w:r>
      <w:r w:rsidRPr="00E56410">
        <w:rPr>
          <w:rFonts w:ascii="Times New Roman" w:hAnsi="Times New Roman" w:cs="Times New Roman"/>
          <w:b/>
          <w:sz w:val="20"/>
          <w:szCs w:val="20"/>
          <w:lang w:val="en-US"/>
        </w:rPr>
        <w:t xml:space="preserve">Graph E: Historical exchange rate of € to $                  </w:t>
      </w:r>
      <w:r>
        <w:rPr>
          <w:rFonts w:ascii="Times New Roman" w:hAnsi="Times New Roman" w:cs="Times New Roman"/>
          <w:b/>
          <w:sz w:val="20"/>
          <w:szCs w:val="20"/>
          <w:lang w:val="en-US"/>
        </w:rPr>
        <w:t xml:space="preserve"> </w:t>
      </w:r>
      <w:r w:rsidRPr="00E56410">
        <w:rPr>
          <w:rFonts w:ascii="Times New Roman" w:hAnsi="Times New Roman" w:cs="Times New Roman"/>
          <w:b/>
          <w:sz w:val="20"/>
          <w:szCs w:val="20"/>
          <w:lang w:val="en-US"/>
        </w:rPr>
        <w:t xml:space="preserve">Graph F: Historical exchange rate of AUD to $ </w:t>
      </w:r>
    </w:p>
    <w:p w:rsidR="00E56410" w:rsidRDefault="00E56410" w:rsidP="00E56410">
      <w:pPr>
        <w:rPr>
          <w:sz w:val="20"/>
          <w:szCs w:val="20"/>
          <w:lang w:val="en-US"/>
        </w:rPr>
      </w:pPr>
      <w:r>
        <w:rPr>
          <w:noProof/>
          <w:sz w:val="20"/>
          <w:szCs w:val="20"/>
          <w:lang w:val="en-US"/>
        </w:rPr>
        <w:drawing>
          <wp:inline distT="0" distB="0" distL="0" distR="0">
            <wp:extent cx="2654300" cy="1858419"/>
            <wp:effectExtent l="133350" t="76200" r="127000" b="84681"/>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4300" cy="18584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0"/>
          <w:szCs w:val="20"/>
          <w:lang w:val="en-US"/>
        </w:rPr>
        <w:drawing>
          <wp:inline distT="0" distB="0" distL="0" distR="0">
            <wp:extent cx="2609850" cy="1855470"/>
            <wp:effectExtent l="114300" t="76200" r="95250" b="876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9850" cy="18554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6410" w:rsidRDefault="00E56410" w:rsidP="00E56410">
      <w:pPr>
        <w:rPr>
          <w:sz w:val="20"/>
          <w:szCs w:val="20"/>
          <w:lang w:val="en-US"/>
        </w:rPr>
      </w:pPr>
    </w:p>
    <w:p w:rsidR="00E56410" w:rsidRDefault="00E56410" w:rsidP="00E56410">
      <w:pPr>
        <w:rPr>
          <w:b/>
          <w:sz w:val="20"/>
          <w:szCs w:val="20"/>
          <w:lang w:val="en-US"/>
        </w:rPr>
      </w:pPr>
      <w:r>
        <w:rPr>
          <w:b/>
          <w:sz w:val="20"/>
          <w:szCs w:val="20"/>
          <w:lang w:val="en-US"/>
        </w:rPr>
        <w:t xml:space="preserve"> </w:t>
      </w:r>
    </w:p>
    <w:p w:rsidR="00E56410" w:rsidRPr="00E56410" w:rsidRDefault="00E56410" w:rsidP="00E56410">
      <w:pPr>
        <w:rPr>
          <w:rFonts w:ascii="Times New Roman" w:hAnsi="Times New Roman" w:cs="Times New Roman"/>
          <w:sz w:val="20"/>
          <w:szCs w:val="20"/>
          <w:lang w:val="en-US"/>
        </w:rPr>
      </w:pPr>
      <w:r>
        <w:rPr>
          <w:b/>
          <w:sz w:val="20"/>
          <w:szCs w:val="20"/>
          <w:lang w:val="en-US"/>
        </w:rPr>
        <w:t xml:space="preserve">  </w:t>
      </w:r>
      <w:r w:rsidRPr="00E56410">
        <w:rPr>
          <w:rFonts w:ascii="Times New Roman" w:hAnsi="Times New Roman" w:cs="Times New Roman"/>
          <w:b/>
          <w:sz w:val="20"/>
          <w:szCs w:val="20"/>
          <w:lang w:val="en-US"/>
        </w:rPr>
        <w:t xml:space="preserve">Graph G: Historical yields of German 10Y </w:t>
      </w:r>
      <w:proofErr w:type="spellStart"/>
      <w:r w:rsidRPr="00E56410">
        <w:rPr>
          <w:rFonts w:ascii="Times New Roman" w:hAnsi="Times New Roman" w:cs="Times New Roman"/>
          <w:b/>
          <w:sz w:val="20"/>
          <w:szCs w:val="20"/>
          <w:lang w:val="en-US"/>
        </w:rPr>
        <w:t>gov</w:t>
      </w:r>
      <w:proofErr w:type="spellEnd"/>
      <w:r w:rsidRPr="00E56410">
        <w:rPr>
          <w:rFonts w:ascii="Times New Roman" w:hAnsi="Times New Roman" w:cs="Times New Roman"/>
          <w:b/>
          <w:sz w:val="20"/>
          <w:szCs w:val="20"/>
          <w:lang w:val="en-US"/>
        </w:rPr>
        <w:t xml:space="preserve">. bonds   Graph H: Historical yields of U.S 10Y </w:t>
      </w:r>
      <w:proofErr w:type="spellStart"/>
      <w:r w:rsidRPr="00E56410">
        <w:rPr>
          <w:rFonts w:ascii="Times New Roman" w:hAnsi="Times New Roman" w:cs="Times New Roman"/>
          <w:b/>
          <w:sz w:val="20"/>
          <w:szCs w:val="20"/>
          <w:lang w:val="en-US"/>
        </w:rPr>
        <w:t>gov</w:t>
      </w:r>
      <w:proofErr w:type="spellEnd"/>
      <w:r w:rsidRPr="00E56410">
        <w:rPr>
          <w:rFonts w:ascii="Times New Roman" w:hAnsi="Times New Roman" w:cs="Times New Roman"/>
          <w:b/>
          <w:sz w:val="20"/>
          <w:szCs w:val="20"/>
          <w:lang w:val="en-US"/>
        </w:rPr>
        <w:t>. bonds</w:t>
      </w:r>
    </w:p>
    <w:p w:rsidR="00E56410" w:rsidRDefault="00E56410" w:rsidP="00E56410">
      <w:pPr>
        <w:rPr>
          <w:sz w:val="20"/>
          <w:szCs w:val="20"/>
          <w:lang w:val="en-US"/>
        </w:rPr>
      </w:pPr>
      <w:r>
        <w:rPr>
          <w:noProof/>
          <w:sz w:val="20"/>
          <w:szCs w:val="20"/>
          <w:lang w:val="en-US"/>
        </w:rPr>
        <w:drawing>
          <wp:inline distT="0" distB="0" distL="0" distR="0">
            <wp:extent cx="2689225" cy="1858184"/>
            <wp:effectExtent l="133350" t="76200" r="111125" b="84916"/>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7033" cy="18635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0"/>
          <w:szCs w:val="20"/>
          <w:lang w:val="en-US"/>
        </w:rPr>
        <w:drawing>
          <wp:inline distT="0" distB="0" distL="0" distR="0">
            <wp:extent cx="2657475" cy="1850950"/>
            <wp:effectExtent l="133350" t="76200" r="123825" b="731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3257" cy="187587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6410" w:rsidRDefault="00E56410" w:rsidP="00E56410">
      <w:pPr>
        <w:rPr>
          <w:sz w:val="20"/>
          <w:szCs w:val="20"/>
          <w:lang w:val="en-US"/>
        </w:rPr>
      </w:pPr>
    </w:p>
    <w:p w:rsidR="00E56410" w:rsidRDefault="00E56410" w:rsidP="00E56410">
      <w:pPr>
        <w:rPr>
          <w:b/>
          <w:sz w:val="20"/>
          <w:szCs w:val="20"/>
          <w:lang w:val="en-US"/>
        </w:rPr>
      </w:pPr>
      <w:r>
        <w:rPr>
          <w:b/>
          <w:sz w:val="20"/>
          <w:szCs w:val="20"/>
          <w:lang w:val="en-US"/>
        </w:rPr>
        <w:t xml:space="preserve">  </w:t>
      </w:r>
    </w:p>
    <w:p w:rsidR="00E56410" w:rsidRPr="00E56410" w:rsidRDefault="00E56410" w:rsidP="00E56410">
      <w:pPr>
        <w:rPr>
          <w:rFonts w:ascii="Times New Roman" w:hAnsi="Times New Roman" w:cs="Times New Roman"/>
          <w:sz w:val="20"/>
          <w:szCs w:val="20"/>
          <w:lang w:val="en-US"/>
        </w:rPr>
      </w:pPr>
      <w:r>
        <w:rPr>
          <w:b/>
          <w:sz w:val="20"/>
          <w:szCs w:val="20"/>
          <w:lang w:val="en-US"/>
        </w:rPr>
        <w:t xml:space="preserve">   </w:t>
      </w:r>
      <w:r w:rsidRPr="00E56410">
        <w:rPr>
          <w:rFonts w:ascii="Times New Roman" w:hAnsi="Times New Roman" w:cs="Times New Roman"/>
          <w:b/>
          <w:sz w:val="20"/>
          <w:szCs w:val="20"/>
          <w:lang w:val="en-US"/>
        </w:rPr>
        <w:t xml:space="preserve">Graph I: Historical level of Russell 1000                       Graph J: Historical level of Russell 2000                                                                           </w:t>
      </w:r>
    </w:p>
    <w:p w:rsidR="00E56410" w:rsidRDefault="00E56410" w:rsidP="00E56410">
      <w:pPr>
        <w:rPr>
          <w:sz w:val="20"/>
          <w:szCs w:val="20"/>
          <w:lang w:val="en-US"/>
        </w:rPr>
      </w:pPr>
      <w:r>
        <w:rPr>
          <w:noProof/>
          <w:sz w:val="20"/>
          <w:szCs w:val="20"/>
          <w:lang w:val="en-US"/>
        </w:rPr>
        <w:drawing>
          <wp:inline distT="0" distB="0" distL="0" distR="0">
            <wp:extent cx="2635228" cy="1860550"/>
            <wp:effectExtent l="133350" t="76200" r="127022" b="825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113" cy="18604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0"/>
          <w:szCs w:val="20"/>
          <w:lang w:val="en-US"/>
        </w:rPr>
        <w:drawing>
          <wp:inline distT="0" distB="0" distL="0" distR="0">
            <wp:extent cx="2714625" cy="1868170"/>
            <wp:effectExtent l="133350" t="76200" r="123825" b="7493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4817" cy="18683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6410" w:rsidRDefault="00E56410" w:rsidP="00E56410">
      <w:pPr>
        <w:rPr>
          <w:sz w:val="20"/>
          <w:szCs w:val="20"/>
          <w:lang w:val="en-US"/>
        </w:rPr>
      </w:pPr>
    </w:p>
    <w:p w:rsidR="00E56410" w:rsidRPr="00E56410" w:rsidRDefault="00E56410" w:rsidP="00E56410">
      <w:pPr>
        <w:rPr>
          <w:rFonts w:ascii="Times New Roman" w:hAnsi="Times New Roman" w:cs="Times New Roman"/>
          <w:sz w:val="20"/>
          <w:szCs w:val="20"/>
          <w:lang w:val="en-US"/>
        </w:rPr>
      </w:pPr>
      <w:r w:rsidRPr="00E56410">
        <w:rPr>
          <w:rFonts w:ascii="Times New Roman" w:hAnsi="Times New Roman" w:cs="Times New Roman"/>
          <w:b/>
          <w:sz w:val="20"/>
          <w:szCs w:val="20"/>
          <w:lang w:val="en-US"/>
        </w:rPr>
        <w:t xml:space="preserve">  Graph K: Historical level DAX                                   Graph L: Historical level of SDAX                                                                           </w:t>
      </w:r>
    </w:p>
    <w:p w:rsidR="00E56410" w:rsidRDefault="00E56410" w:rsidP="00E56410">
      <w:r w:rsidRPr="00D74539">
        <w:rPr>
          <w:noProof/>
          <w:lang w:val="en-US"/>
        </w:rPr>
        <w:drawing>
          <wp:inline distT="0" distB="0" distL="0" distR="0">
            <wp:extent cx="2569210" cy="1932305"/>
            <wp:effectExtent l="114300" t="76200" r="97790" b="8699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9210" cy="19323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lang w:val="en-US"/>
        </w:rPr>
        <w:drawing>
          <wp:inline distT="0" distB="0" distL="0" distR="0">
            <wp:extent cx="2667000" cy="1933575"/>
            <wp:effectExtent l="133350" t="76200" r="114300" b="8572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0" cy="1933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6410" w:rsidRDefault="00E56410" w:rsidP="00E56410"/>
    <w:p w:rsidR="00E56410" w:rsidRDefault="00E56410" w:rsidP="00E56410">
      <w:pPr>
        <w:pStyle w:val="ListParagraph"/>
        <w:ind w:left="0"/>
        <w:jc w:val="both"/>
        <w:rPr>
          <w:rFonts w:ascii="Times New Roman" w:hAnsi="Times New Roman" w:cs="Times New Roman"/>
          <w:b/>
          <w:bCs/>
          <w:sz w:val="24"/>
          <w:szCs w:val="24"/>
          <w:lang w:val="en-US"/>
        </w:rPr>
      </w:pPr>
    </w:p>
    <w:p w:rsidR="001879CE" w:rsidRPr="005538FB" w:rsidRDefault="001879CE" w:rsidP="00E56410">
      <w:pPr>
        <w:tabs>
          <w:tab w:val="left" w:pos="7938"/>
        </w:tabs>
        <w:spacing w:line="360" w:lineRule="auto"/>
        <w:jc w:val="both"/>
        <w:rPr>
          <w:rFonts w:ascii="Times New Roman" w:hAnsi="Times New Roman" w:cs="Times New Roman"/>
          <w:sz w:val="24"/>
          <w:szCs w:val="24"/>
          <w:lang w:val="en-US"/>
        </w:rPr>
      </w:pPr>
    </w:p>
    <w:sectPr w:rsidR="001879CE" w:rsidRPr="005538FB" w:rsidSect="00937A52">
      <w:pgSz w:w="11906" w:h="16838" w:code="9"/>
      <w:pgMar w:top="1440" w:right="1134" w:bottom="1440" w:left="1418" w:header="709" w:footer="709" w:gutter="0"/>
      <w:pgNumType w:start="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78D" w:rsidRDefault="00BF578D" w:rsidP="00B62429">
      <w:pPr>
        <w:spacing w:after="0" w:line="240" w:lineRule="auto"/>
      </w:pPr>
      <w:r>
        <w:separator/>
      </w:r>
    </w:p>
  </w:endnote>
  <w:endnote w:type="continuationSeparator" w:id="0">
    <w:p w:rsidR="00BF578D" w:rsidRDefault="00BF578D" w:rsidP="00B62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3671"/>
      <w:docPartObj>
        <w:docPartGallery w:val="Page Numbers (Bottom of Page)"/>
        <w:docPartUnique/>
      </w:docPartObj>
    </w:sdtPr>
    <w:sdtContent>
      <w:p w:rsidR="00937A52" w:rsidRDefault="00F17C1C">
        <w:pPr>
          <w:pStyle w:val="Footer"/>
          <w:jc w:val="center"/>
        </w:pPr>
        <w:fldSimple w:instr=" PAGE   \* MERGEFORMAT ">
          <w:r w:rsidR="00E13554">
            <w:rPr>
              <w:noProof/>
            </w:rPr>
            <w:t>2</w:t>
          </w:r>
        </w:fldSimple>
      </w:p>
    </w:sdtContent>
  </w:sdt>
  <w:p w:rsidR="00937A52" w:rsidRDefault="00937A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78D" w:rsidRDefault="00BF578D" w:rsidP="00B62429">
      <w:pPr>
        <w:spacing w:after="0" w:line="240" w:lineRule="auto"/>
      </w:pPr>
      <w:r>
        <w:separator/>
      </w:r>
    </w:p>
  </w:footnote>
  <w:footnote w:type="continuationSeparator" w:id="0">
    <w:p w:rsidR="00BF578D" w:rsidRDefault="00BF578D" w:rsidP="00B62429">
      <w:pPr>
        <w:spacing w:after="0" w:line="240" w:lineRule="auto"/>
      </w:pPr>
      <w:r>
        <w:continuationSeparator/>
      </w:r>
    </w:p>
  </w:footnote>
  <w:footnote w:id="1">
    <w:p w:rsidR="00937A52" w:rsidRPr="005E7D5A" w:rsidRDefault="00937A52" w:rsidP="001879CE">
      <w:pPr>
        <w:pStyle w:val="FootnoteText"/>
        <w:jc w:val="both"/>
        <w:rPr>
          <w:rFonts w:ascii="Times New Roman" w:hAnsi="Times New Roman" w:cs="Times New Roman"/>
          <w:sz w:val="18"/>
          <w:szCs w:val="18"/>
          <w:lang w:val="en-US"/>
        </w:rPr>
      </w:pPr>
      <w:r w:rsidRPr="005E7D5A">
        <w:rPr>
          <w:rStyle w:val="FootnoteReference"/>
          <w:rFonts w:ascii="Times New Roman" w:hAnsi="Times New Roman" w:cs="Times New Roman"/>
          <w:sz w:val="18"/>
          <w:szCs w:val="18"/>
        </w:rPr>
        <w:footnoteRef/>
      </w:r>
      <w:r w:rsidRPr="005E7D5A">
        <w:rPr>
          <w:rFonts w:ascii="Times New Roman" w:hAnsi="Times New Roman" w:cs="Times New Roman"/>
          <w:sz w:val="18"/>
          <w:szCs w:val="18"/>
          <w:lang w:val="en-US"/>
        </w:rPr>
        <w:t xml:space="preserve"> A categorization pr</w:t>
      </w:r>
      <w:r>
        <w:rPr>
          <w:rFonts w:ascii="Times New Roman" w:hAnsi="Times New Roman" w:cs="Times New Roman"/>
          <w:sz w:val="18"/>
          <w:szCs w:val="18"/>
          <w:lang w:val="en-US"/>
        </w:rPr>
        <w:t>oposed by Illing &amp; Aaron (2005)</w:t>
      </w:r>
    </w:p>
  </w:footnote>
  <w:footnote w:id="2">
    <w:p w:rsidR="00937A52" w:rsidRPr="00F575DA" w:rsidRDefault="00937A52" w:rsidP="001879CE">
      <w:pPr>
        <w:autoSpaceDE w:val="0"/>
        <w:autoSpaceDN w:val="0"/>
        <w:adjustRightInd w:val="0"/>
        <w:spacing w:after="0" w:line="240" w:lineRule="auto"/>
        <w:ind w:right="282"/>
        <w:jc w:val="both"/>
        <w:rPr>
          <w:rFonts w:ascii="Times New Roman" w:hAnsi="Times New Roman" w:cs="Times New Roman"/>
          <w:sz w:val="18"/>
          <w:szCs w:val="18"/>
          <w:lang w:val="en-US"/>
        </w:rPr>
      </w:pPr>
      <w:r w:rsidRPr="00F575DA">
        <w:rPr>
          <w:rStyle w:val="FootnoteReference"/>
          <w:rFonts w:ascii="Times New Roman" w:hAnsi="Times New Roman" w:cs="Times New Roman"/>
          <w:sz w:val="18"/>
          <w:szCs w:val="18"/>
        </w:rPr>
        <w:footnoteRef/>
      </w:r>
      <w:r w:rsidRPr="00F575DA">
        <w:rPr>
          <w:rFonts w:ascii="Times New Roman" w:hAnsi="Times New Roman" w:cs="Times New Roman"/>
          <w:sz w:val="18"/>
          <w:szCs w:val="18"/>
          <w:lang w:val="en-US"/>
        </w:rPr>
        <w:t xml:space="preserve"> For a better insight see Fama, E. F. (1970) “Efficient capital markets: A review of theory and empirical work”, </w:t>
      </w:r>
      <w:r w:rsidRPr="00F575DA">
        <w:rPr>
          <w:rFonts w:ascii="Times New Roman" w:hAnsi="Times New Roman" w:cs="Times New Roman"/>
          <w:i/>
          <w:sz w:val="18"/>
          <w:szCs w:val="18"/>
          <w:lang w:val="en-US"/>
        </w:rPr>
        <w:t>The Journal of Finance</w:t>
      </w:r>
      <w:r w:rsidRPr="00F575DA">
        <w:rPr>
          <w:rFonts w:ascii="Times New Roman" w:hAnsi="Times New Roman" w:cs="Times New Roman"/>
          <w:sz w:val="18"/>
          <w:szCs w:val="18"/>
          <w:lang w:val="en-US"/>
        </w:rPr>
        <w:t>, vol. 25, no.2, pp. 383–417.</w:t>
      </w:r>
    </w:p>
  </w:footnote>
  <w:footnote w:id="3">
    <w:p w:rsidR="00937A52" w:rsidRPr="00F575DA" w:rsidRDefault="00937A52" w:rsidP="001879CE">
      <w:pPr>
        <w:pStyle w:val="FootnoteText"/>
        <w:ind w:right="282"/>
        <w:jc w:val="both"/>
        <w:rPr>
          <w:lang w:val="en-US"/>
        </w:rPr>
      </w:pPr>
      <w:r w:rsidRPr="00F575DA">
        <w:rPr>
          <w:rStyle w:val="FootnoteReference"/>
          <w:rFonts w:ascii="Times New Roman" w:hAnsi="Times New Roman" w:cs="Times New Roman"/>
          <w:sz w:val="18"/>
          <w:szCs w:val="18"/>
        </w:rPr>
        <w:footnoteRef/>
      </w:r>
      <w:r w:rsidRPr="00F575DA">
        <w:rPr>
          <w:rFonts w:ascii="Times New Roman" w:hAnsi="Times New Roman" w:cs="Times New Roman"/>
          <w:sz w:val="18"/>
          <w:szCs w:val="18"/>
          <w:lang w:val="en-US"/>
        </w:rPr>
        <w:t xml:space="preserve"> A notion first introduced by Bernoulli (1738).</w:t>
      </w:r>
    </w:p>
  </w:footnote>
  <w:footnote w:id="4">
    <w:p w:rsidR="00937A52" w:rsidRPr="002E73BA" w:rsidRDefault="00937A52" w:rsidP="001879CE">
      <w:pPr>
        <w:autoSpaceDE w:val="0"/>
        <w:autoSpaceDN w:val="0"/>
        <w:adjustRightInd w:val="0"/>
        <w:spacing w:after="0" w:line="240" w:lineRule="auto"/>
        <w:ind w:right="282"/>
        <w:jc w:val="both"/>
        <w:rPr>
          <w:lang w:val="en-US"/>
        </w:rPr>
      </w:pPr>
      <w:r w:rsidRPr="00F575DA">
        <w:rPr>
          <w:rFonts w:ascii="Times New Roman" w:hAnsi="Times New Roman" w:cs="Times New Roman"/>
          <w:sz w:val="18"/>
          <w:szCs w:val="18"/>
          <w:lang w:val="en-US"/>
        </w:rPr>
        <w:footnoteRef/>
      </w:r>
      <w:r w:rsidRPr="00F575DA">
        <w:rPr>
          <w:rFonts w:ascii="Times New Roman" w:hAnsi="Times New Roman" w:cs="Times New Roman"/>
          <w:sz w:val="18"/>
          <w:szCs w:val="18"/>
          <w:lang w:val="en-US"/>
        </w:rPr>
        <w:t xml:space="preserve"> For more details see Hartley, J. E. (1997): The Representative Agent in Macroeconomics. New York: </w:t>
      </w:r>
      <w:proofErr w:type="spellStart"/>
      <w:r w:rsidRPr="00F575DA">
        <w:rPr>
          <w:rFonts w:ascii="Times New Roman" w:hAnsi="Times New Roman" w:cs="Times New Roman"/>
          <w:sz w:val="18"/>
          <w:szCs w:val="18"/>
          <w:lang w:val="en-US"/>
        </w:rPr>
        <w:t>Routledge</w:t>
      </w:r>
      <w:proofErr w:type="spellEnd"/>
      <w:r w:rsidRPr="00F575DA">
        <w:rPr>
          <w:rFonts w:ascii="Times New Roman" w:hAnsi="Times New Roman" w:cs="Times New Roman"/>
          <w:sz w:val="18"/>
          <w:szCs w:val="18"/>
          <w:lang w:val="en-US"/>
        </w:rPr>
        <w:t>.</w:t>
      </w:r>
    </w:p>
  </w:footnote>
  <w:footnote w:id="5">
    <w:p w:rsidR="00937A52" w:rsidRPr="00C8618B" w:rsidRDefault="00937A52" w:rsidP="001879CE">
      <w:pPr>
        <w:pStyle w:val="FootnoteText"/>
        <w:jc w:val="both"/>
        <w:rPr>
          <w:rFonts w:ascii="Times New Roman" w:hAnsi="Times New Roman" w:cs="Times New Roman"/>
          <w:sz w:val="18"/>
          <w:szCs w:val="18"/>
          <w:lang w:val="en-US"/>
        </w:rPr>
      </w:pPr>
      <w:r w:rsidRPr="00C8618B">
        <w:rPr>
          <w:rStyle w:val="FootnoteReference"/>
          <w:rFonts w:ascii="Times New Roman" w:hAnsi="Times New Roman" w:cs="Times New Roman"/>
          <w:sz w:val="18"/>
          <w:szCs w:val="18"/>
        </w:rPr>
        <w:footnoteRef/>
      </w:r>
      <w:r w:rsidRPr="00C8618B">
        <w:rPr>
          <w:rFonts w:ascii="Times New Roman" w:hAnsi="Times New Roman" w:cs="Times New Roman"/>
          <w:sz w:val="18"/>
          <w:szCs w:val="18"/>
        </w:rPr>
        <w:t xml:space="preserve"> </w:t>
      </w:r>
      <w:r w:rsidRPr="00C8618B">
        <w:rPr>
          <w:rFonts w:ascii="Times New Roman" w:hAnsi="Times New Roman" w:cs="Times New Roman"/>
          <w:bCs/>
          <w:sz w:val="18"/>
          <w:szCs w:val="18"/>
          <w:lang w:val="en-US"/>
        </w:rPr>
        <w:t>See for example Cochrane (2001).</w:t>
      </w:r>
    </w:p>
  </w:footnote>
  <w:footnote w:id="6">
    <w:p w:rsidR="00937A52" w:rsidRPr="004A4D56" w:rsidRDefault="00937A52" w:rsidP="001879CE">
      <w:pPr>
        <w:pStyle w:val="FootnoteText"/>
        <w:ind w:right="282"/>
        <w:jc w:val="both"/>
        <w:rPr>
          <w:rFonts w:ascii="Times New Roman" w:hAnsi="Times New Roman" w:cs="Times New Roman"/>
          <w:lang w:val="en-US"/>
        </w:rPr>
      </w:pPr>
      <w:r w:rsidRPr="004A4D56">
        <w:rPr>
          <w:rStyle w:val="FootnoteReference"/>
          <w:rFonts w:ascii="Times New Roman" w:hAnsi="Times New Roman" w:cs="Times New Roman"/>
        </w:rPr>
        <w:footnoteRef/>
      </w:r>
      <w:r w:rsidRPr="004A4D56">
        <w:rPr>
          <w:rStyle w:val="FootnoteReference"/>
          <w:rFonts w:ascii="Times New Roman" w:hAnsi="Times New Roman" w:cs="Times New Roman"/>
        </w:rPr>
        <w:t xml:space="preserve"> </w:t>
      </w:r>
      <w:r w:rsidRPr="004A4D56">
        <w:rPr>
          <w:rStyle w:val="FootnoteReference"/>
          <w:rFonts w:ascii="Times New Roman" w:hAnsi="Times New Roman" w:cs="Times New Roman"/>
        </w:rPr>
        <w:t>An index now known as Commezbank Aggregate Risk Perception Index after the acquisition of Dresdner Bank in December 2009 by Commezbank.</w:t>
      </w:r>
    </w:p>
  </w:footnote>
  <w:footnote w:id="7">
    <w:p w:rsidR="00937A52" w:rsidRPr="00967625" w:rsidRDefault="00937A52" w:rsidP="001879CE">
      <w:pPr>
        <w:pStyle w:val="FootnoteText"/>
        <w:tabs>
          <w:tab w:val="left" w:pos="9072"/>
        </w:tabs>
        <w:ind w:right="282"/>
        <w:jc w:val="both"/>
        <w:rPr>
          <w:rFonts w:ascii="Times New Roman" w:hAnsi="Times New Roman" w:cs="Times New Roman"/>
          <w:sz w:val="18"/>
          <w:szCs w:val="18"/>
          <w:lang w:val="en-US"/>
        </w:rPr>
      </w:pPr>
      <w:r w:rsidRPr="00967625">
        <w:rPr>
          <w:rStyle w:val="FootnoteReference"/>
          <w:rFonts w:ascii="Times New Roman" w:hAnsi="Times New Roman" w:cs="Times New Roman"/>
          <w:sz w:val="18"/>
          <w:szCs w:val="18"/>
        </w:rPr>
        <w:footnoteRef/>
      </w:r>
      <w:r w:rsidRPr="00967625">
        <w:rPr>
          <w:rFonts w:ascii="Times New Roman" w:hAnsi="Times New Roman" w:cs="Times New Roman"/>
          <w:sz w:val="18"/>
          <w:szCs w:val="18"/>
          <w:lang w:val="en-US"/>
        </w:rPr>
        <w:t xml:space="preserve"> Authors used monthly data obtained from State Street’s database for equity securities in 29 (developed and emerging) markets.</w:t>
      </w:r>
    </w:p>
  </w:footnote>
  <w:footnote w:id="8">
    <w:p w:rsidR="00937A52" w:rsidRPr="00967625" w:rsidRDefault="00937A52" w:rsidP="001879CE">
      <w:pPr>
        <w:tabs>
          <w:tab w:val="left" w:pos="9072"/>
        </w:tabs>
        <w:autoSpaceDE w:val="0"/>
        <w:autoSpaceDN w:val="0"/>
        <w:adjustRightInd w:val="0"/>
        <w:spacing w:after="0" w:line="240" w:lineRule="auto"/>
        <w:ind w:right="282"/>
        <w:jc w:val="both"/>
        <w:rPr>
          <w:rFonts w:ascii="Times New Roman" w:hAnsi="Times New Roman" w:cs="Times New Roman"/>
          <w:sz w:val="18"/>
          <w:szCs w:val="18"/>
          <w:lang w:val="en-US"/>
        </w:rPr>
      </w:pPr>
      <w:r w:rsidRPr="00967625">
        <w:rPr>
          <w:rStyle w:val="FootnoteReference"/>
          <w:rFonts w:ascii="Times New Roman" w:hAnsi="Times New Roman" w:cs="Times New Roman"/>
          <w:sz w:val="18"/>
          <w:szCs w:val="18"/>
        </w:rPr>
        <w:footnoteRef/>
      </w:r>
      <w:r w:rsidRPr="00967625">
        <w:rPr>
          <w:rFonts w:ascii="Times New Roman" w:hAnsi="Times New Roman" w:cs="Times New Roman"/>
          <w:sz w:val="18"/>
          <w:szCs w:val="18"/>
          <w:lang w:val="en-US"/>
        </w:rPr>
        <w:t xml:space="preserve"> The Massachusetts Bloomberg Index follows the performance of public companies which are either based in or do considerable business in Massachusetts. This Massachusetts Bloomberg Index closely approximates other indices that contain a larger collection of firms.</w:t>
      </w:r>
    </w:p>
  </w:footnote>
  <w:footnote w:id="9">
    <w:p w:rsidR="00937A52" w:rsidRPr="005077D3" w:rsidRDefault="00937A52" w:rsidP="001879CE">
      <w:pPr>
        <w:pStyle w:val="FootnoteText"/>
        <w:tabs>
          <w:tab w:val="left" w:pos="9072"/>
        </w:tabs>
        <w:ind w:right="282"/>
        <w:jc w:val="both"/>
        <w:rPr>
          <w:sz w:val="18"/>
          <w:szCs w:val="18"/>
          <w:lang w:val="en-US"/>
        </w:rPr>
      </w:pPr>
      <w:r w:rsidRPr="00967625">
        <w:rPr>
          <w:rStyle w:val="FootnoteReference"/>
          <w:rFonts w:ascii="Times New Roman" w:hAnsi="Times New Roman" w:cs="Times New Roman"/>
          <w:sz w:val="18"/>
          <w:szCs w:val="18"/>
        </w:rPr>
        <w:footnoteRef/>
      </w:r>
      <w:r w:rsidRPr="00967625">
        <w:rPr>
          <w:rFonts w:ascii="Times New Roman" w:hAnsi="Times New Roman" w:cs="Times New Roman"/>
          <w:sz w:val="18"/>
          <w:szCs w:val="18"/>
          <w:lang w:val="en-US"/>
        </w:rPr>
        <w:t xml:space="preserve"> Brady bonds are bonds created in 1989 and issued mainly by Latin American countries denominated in U.S dollar.</w:t>
      </w:r>
      <w:r w:rsidRPr="005077D3">
        <w:rPr>
          <w:sz w:val="18"/>
          <w:szCs w:val="18"/>
          <w:lang w:val="en-US"/>
        </w:rPr>
        <w:t xml:space="preserve"> </w:t>
      </w:r>
    </w:p>
  </w:footnote>
  <w:footnote w:id="10">
    <w:p w:rsidR="00937A52" w:rsidRPr="003714E1" w:rsidRDefault="00937A52" w:rsidP="001879CE">
      <w:pPr>
        <w:pStyle w:val="FootnoteText"/>
        <w:ind w:right="282"/>
        <w:jc w:val="both"/>
        <w:rPr>
          <w:rFonts w:ascii="Times New Roman" w:hAnsi="Times New Roman" w:cs="Times New Roman"/>
          <w:sz w:val="18"/>
          <w:szCs w:val="18"/>
          <w:lang w:val="en-US"/>
        </w:rPr>
      </w:pPr>
      <w:r w:rsidRPr="003714E1">
        <w:rPr>
          <w:rStyle w:val="FootnoteReference"/>
          <w:rFonts w:ascii="Times New Roman" w:hAnsi="Times New Roman" w:cs="Times New Roman"/>
          <w:sz w:val="18"/>
          <w:szCs w:val="18"/>
        </w:rPr>
        <w:footnoteRef/>
      </w:r>
      <w:r w:rsidRPr="003714E1">
        <w:rPr>
          <w:rFonts w:ascii="Times New Roman" w:hAnsi="Times New Roman" w:cs="Times New Roman"/>
          <w:sz w:val="18"/>
          <w:szCs w:val="18"/>
          <w:lang w:val="en-US"/>
        </w:rPr>
        <w:t xml:space="preserve"> DAX index covers the 30 most liquid and largest firms that operate or are headquartered in Germany and the trading on whom “…accounts for more than 80% of Germany’s exchange traded equity volumes” (</w:t>
      </w:r>
      <w:proofErr w:type="spellStart"/>
      <w:r w:rsidRPr="003714E1">
        <w:rPr>
          <w:rFonts w:ascii="Times New Roman" w:hAnsi="Times New Roman" w:cs="Times New Roman"/>
          <w:sz w:val="18"/>
          <w:szCs w:val="18"/>
          <w:lang w:val="en-US"/>
        </w:rPr>
        <w:t>Deutche</w:t>
      </w:r>
      <w:proofErr w:type="spellEnd"/>
      <w:r w:rsidRPr="003714E1">
        <w:rPr>
          <w:rFonts w:ascii="Times New Roman" w:hAnsi="Times New Roman" w:cs="Times New Roman"/>
          <w:sz w:val="18"/>
          <w:szCs w:val="18"/>
          <w:lang w:val="en-US"/>
        </w:rPr>
        <w:t xml:space="preserve"> </w:t>
      </w:r>
      <w:proofErr w:type="spellStart"/>
      <w:r w:rsidRPr="003714E1">
        <w:rPr>
          <w:rFonts w:ascii="Times New Roman" w:hAnsi="Times New Roman" w:cs="Times New Roman"/>
          <w:sz w:val="18"/>
          <w:szCs w:val="18"/>
          <w:lang w:val="en-US"/>
        </w:rPr>
        <w:t>Borse</w:t>
      </w:r>
      <w:proofErr w:type="spellEnd"/>
      <w:r w:rsidRPr="003714E1">
        <w:rPr>
          <w:rFonts w:ascii="Times New Roman" w:hAnsi="Times New Roman" w:cs="Times New Roman"/>
          <w:sz w:val="18"/>
          <w:szCs w:val="18"/>
          <w:lang w:val="en-US"/>
        </w:rPr>
        <w:t xml:space="preserve"> 2007).</w:t>
      </w:r>
    </w:p>
  </w:footnote>
  <w:footnote w:id="11">
    <w:p w:rsidR="00937A52" w:rsidRPr="003714E1" w:rsidRDefault="00937A52" w:rsidP="001879CE">
      <w:pPr>
        <w:pStyle w:val="FootnoteText"/>
        <w:ind w:right="282"/>
        <w:jc w:val="both"/>
        <w:rPr>
          <w:rFonts w:ascii="Times New Roman" w:hAnsi="Times New Roman" w:cs="Times New Roman"/>
          <w:sz w:val="18"/>
          <w:szCs w:val="18"/>
          <w:lang w:val="en-US"/>
        </w:rPr>
      </w:pPr>
      <w:r w:rsidRPr="003714E1">
        <w:rPr>
          <w:rStyle w:val="FootnoteReference"/>
          <w:rFonts w:ascii="Times New Roman" w:hAnsi="Times New Roman" w:cs="Times New Roman"/>
          <w:sz w:val="18"/>
          <w:szCs w:val="18"/>
        </w:rPr>
        <w:footnoteRef/>
      </w:r>
      <w:r w:rsidRPr="003714E1">
        <w:rPr>
          <w:rFonts w:ascii="Times New Roman" w:hAnsi="Times New Roman" w:cs="Times New Roman"/>
          <w:sz w:val="18"/>
          <w:szCs w:val="18"/>
          <w:lang w:val="en-US"/>
        </w:rPr>
        <w:t xml:space="preserve"> A call (put) option is a security that gives its owner the right to buy (sell) an asset at a pre specified time –maturity- and at a pre specified price-exercise price (Black and </w:t>
      </w:r>
      <w:proofErr w:type="spellStart"/>
      <w:r w:rsidRPr="003714E1">
        <w:rPr>
          <w:rFonts w:ascii="Times New Roman" w:hAnsi="Times New Roman" w:cs="Times New Roman"/>
          <w:sz w:val="18"/>
          <w:szCs w:val="18"/>
          <w:lang w:val="en-US"/>
        </w:rPr>
        <w:t>Scholes</w:t>
      </w:r>
      <w:proofErr w:type="spellEnd"/>
      <w:r w:rsidRPr="003714E1">
        <w:rPr>
          <w:rFonts w:ascii="Times New Roman" w:hAnsi="Times New Roman" w:cs="Times New Roman"/>
          <w:sz w:val="18"/>
          <w:szCs w:val="18"/>
          <w:lang w:val="en-US"/>
        </w:rPr>
        <w:t>, 1973)</w:t>
      </w:r>
    </w:p>
  </w:footnote>
  <w:footnote w:id="12">
    <w:p w:rsidR="00937A52" w:rsidRPr="00AF45E6" w:rsidRDefault="00937A52" w:rsidP="001879CE">
      <w:pPr>
        <w:spacing w:line="240" w:lineRule="auto"/>
        <w:ind w:right="282"/>
        <w:jc w:val="both"/>
        <w:rPr>
          <w:rFonts w:ascii="Times New Roman" w:hAnsi="Times New Roman" w:cs="Times New Roman"/>
          <w:sz w:val="18"/>
          <w:szCs w:val="18"/>
          <w:lang w:val="en-US"/>
        </w:rPr>
      </w:pPr>
      <w:r w:rsidRPr="00AF45E6">
        <w:rPr>
          <w:rStyle w:val="FootnoteReference"/>
          <w:rFonts w:ascii="Times New Roman" w:hAnsi="Times New Roman" w:cs="Times New Roman"/>
          <w:sz w:val="18"/>
          <w:szCs w:val="18"/>
        </w:rPr>
        <w:footnoteRef/>
      </w:r>
      <w:r w:rsidRPr="00AF45E6">
        <w:rPr>
          <w:rFonts w:ascii="Times New Roman" w:hAnsi="Times New Roman" w:cs="Times New Roman"/>
          <w:sz w:val="18"/>
          <w:szCs w:val="18"/>
          <w:lang w:val="en-US"/>
        </w:rPr>
        <w:t xml:space="preserve"> </w:t>
      </w:r>
      <w:proofErr w:type="gramStart"/>
      <w:r w:rsidRPr="00AF45E6">
        <w:rPr>
          <w:rFonts w:ascii="Times New Roman" w:hAnsi="Times New Roman" w:cs="Times New Roman"/>
          <w:sz w:val="18"/>
          <w:szCs w:val="18"/>
          <w:lang w:val="en-US"/>
        </w:rPr>
        <w:t>According to the official website of AAII (</w:t>
      </w:r>
      <w:hyperlink r:id="rId1" w:history="1">
        <w:r w:rsidRPr="00AF45E6">
          <w:rPr>
            <w:rStyle w:val="Hyperlink"/>
            <w:rFonts w:ascii="Times New Roman" w:hAnsi="Times New Roman" w:cs="Times New Roman"/>
            <w:color w:val="auto"/>
            <w:sz w:val="18"/>
            <w:szCs w:val="18"/>
            <w:u w:val="none"/>
            <w:lang w:val="en-US"/>
          </w:rPr>
          <w:t>http://www.aaii.com/sentimentsurvey</w:t>
        </w:r>
      </w:hyperlink>
      <w:r w:rsidRPr="00AF45E6">
        <w:rPr>
          <w:rFonts w:ascii="Times New Roman" w:hAnsi="Times New Roman" w:cs="Times New Roman"/>
          <w:sz w:val="18"/>
          <w:szCs w:val="18"/>
          <w:lang w:val="en-US"/>
        </w:rPr>
        <w:t xml:space="preserve">): </w:t>
      </w:r>
      <w:r w:rsidRPr="00AF45E6">
        <w:rPr>
          <w:rFonts w:ascii="Times New Roman" w:hAnsi="Times New Roman" w:cs="Times New Roman"/>
          <w:i/>
          <w:sz w:val="18"/>
          <w:szCs w:val="18"/>
          <w:lang w:val="en-US"/>
        </w:rPr>
        <w:t>“The AAII Investor Sentiment Survey measures the percentage of individual investors who are bullish, bearish and neutral on the stock market for the next six months”.</w:t>
      </w:r>
      <w:proofErr w:type="gramEnd"/>
    </w:p>
  </w:footnote>
  <w:footnote w:id="13">
    <w:p w:rsidR="00937A52" w:rsidRPr="004D07F4" w:rsidRDefault="00937A52" w:rsidP="001879CE">
      <w:pPr>
        <w:pStyle w:val="FootnoteText"/>
        <w:jc w:val="both"/>
        <w:rPr>
          <w:lang w:val="en-US"/>
        </w:rPr>
      </w:pPr>
      <w:r w:rsidRPr="00AF45E6">
        <w:rPr>
          <w:rFonts w:ascii="Times New Roman" w:hAnsi="Times New Roman" w:cs="Times New Roman"/>
          <w:sz w:val="18"/>
          <w:szCs w:val="18"/>
          <w:lang w:val="en-US"/>
        </w:rPr>
        <w:footnoteRef/>
      </w:r>
      <w:r w:rsidRPr="00AF45E6">
        <w:rPr>
          <w:rFonts w:ascii="Times New Roman" w:hAnsi="Times New Roman" w:cs="Times New Roman"/>
          <w:sz w:val="18"/>
          <w:szCs w:val="18"/>
          <w:lang w:val="en-US"/>
        </w:rPr>
        <w:t xml:space="preserve"> The Investor Intelligence (II) survey categorizes weekly opinions that are published in </w:t>
      </w:r>
      <w:proofErr w:type="gramStart"/>
      <w:r w:rsidRPr="00AF45E6">
        <w:rPr>
          <w:rFonts w:ascii="Times New Roman" w:hAnsi="Times New Roman" w:cs="Times New Roman"/>
          <w:sz w:val="18"/>
          <w:szCs w:val="18"/>
          <w:lang w:val="en-US"/>
        </w:rPr>
        <w:t>investors</w:t>
      </w:r>
      <w:proofErr w:type="gramEnd"/>
      <w:r w:rsidRPr="00AF45E6">
        <w:rPr>
          <w:rFonts w:ascii="Times New Roman" w:hAnsi="Times New Roman" w:cs="Times New Roman"/>
          <w:sz w:val="18"/>
          <w:szCs w:val="18"/>
          <w:lang w:val="en-US"/>
        </w:rPr>
        <w:t xml:space="preserve"> newsletters in three separate categories: bullish, bearish or waiting for a correction.</w:t>
      </w:r>
    </w:p>
  </w:footnote>
  <w:footnote w:id="14">
    <w:p w:rsidR="00937A52" w:rsidRPr="008A2559" w:rsidRDefault="00937A52">
      <w:pPr>
        <w:pStyle w:val="FootnoteText"/>
        <w:rPr>
          <w:lang w:val="en-US"/>
        </w:rPr>
      </w:pPr>
      <w:r>
        <w:rPr>
          <w:rStyle w:val="FootnoteReference"/>
        </w:rPr>
        <w:footnoteRef/>
      </w:r>
      <w:r w:rsidRPr="008A2559">
        <w:rPr>
          <w:lang w:val="en-US"/>
        </w:rPr>
        <w:t xml:space="preserve"> </w:t>
      </w:r>
      <w:hyperlink r:id="rId2" w:history="1">
        <w:r w:rsidRPr="008A2559">
          <w:rPr>
            <w:rStyle w:val="Hyperlink"/>
            <w:rFonts w:ascii="Times New Roman" w:hAnsi="Times New Roman" w:cs="Times New Roman"/>
            <w:color w:val="auto"/>
            <w:sz w:val="18"/>
            <w:szCs w:val="18"/>
            <w:u w:val="none"/>
            <w:lang w:val="en-US"/>
          </w:rPr>
          <w:t>http://www.economist.com/blogs/dailychart/2011/07/gold-and-swiss-franc</w:t>
        </w:r>
      </w:hyperlink>
      <w:r>
        <w:rPr>
          <w:rFonts w:ascii="Times New Roman" w:hAnsi="Times New Roman" w:cs="Times New Roman"/>
          <w:sz w:val="18"/>
          <w:szCs w:val="18"/>
          <w:lang w:val="en-US"/>
        </w:rPr>
        <w:t xml:space="preserve"> </w:t>
      </w:r>
    </w:p>
  </w:footnote>
  <w:footnote w:id="15">
    <w:p w:rsidR="00937A52" w:rsidRPr="008A2559" w:rsidRDefault="00937A52" w:rsidP="00AF45E6">
      <w:pPr>
        <w:pStyle w:val="FootnoteText"/>
        <w:rPr>
          <w:rFonts w:ascii="Times New Roman" w:hAnsi="Times New Roman" w:cs="Times New Roman"/>
          <w:sz w:val="18"/>
          <w:szCs w:val="18"/>
          <w:lang w:val="en-US"/>
        </w:rPr>
      </w:pPr>
      <w:r w:rsidRPr="008A2559">
        <w:rPr>
          <w:rStyle w:val="FootnoteReference"/>
          <w:rFonts w:ascii="Times New Roman" w:hAnsi="Times New Roman" w:cs="Times New Roman"/>
          <w:sz w:val="18"/>
          <w:szCs w:val="18"/>
        </w:rPr>
        <w:footnoteRef/>
      </w:r>
      <w:r w:rsidRPr="008A2559">
        <w:rPr>
          <w:rFonts w:ascii="Times New Roman" w:hAnsi="Times New Roman" w:cs="Times New Roman"/>
          <w:sz w:val="18"/>
          <w:szCs w:val="18"/>
          <w:lang w:val="en-US"/>
        </w:rPr>
        <w:t xml:space="preserve"> </w:t>
      </w:r>
      <w:hyperlink r:id="rId3" w:history="1">
        <w:r w:rsidRPr="008A2559">
          <w:rPr>
            <w:rStyle w:val="Hyperlink"/>
            <w:rFonts w:ascii="Times New Roman" w:hAnsi="Times New Roman" w:cs="Times New Roman"/>
            <w:color w:val="auto"/>
            <w:sz w:val="18"/>
            <w:szCs w:val="18"/>
            <w:u w:val="none"/>
            <w:lang w:val="en-US"/>
          </w:rPr>
          <w:t>http://ftalphaville.ft.com/blog/2008/12/01/18877/dr-doom-on-volatility-and-gold-gold-gold/</w:t>
        </w:r>
      </w:hyperlink>
    </w:p>
  </w:footnote>
  <w:footnote w:id="16">
    <w:p w:rsidR="00937A52" w:rsidRPr="004A4D56" w:rsidRDefault="00937A52" w:rsidP="001879CE">
      <w:pPr>
        <w:pStyle w:val="FootnoteText"/>
        <w:jc w:val="both"/>
        <w:rPr>
          <w:rFonts w:ascii="Times New Roman" w:hAnsi="Times New Roman" w:cs="Times New Roman"/>
          <w:sz w:val="18"/>
          <w:szCs w:val="18"/>
          <w:lang w:val="en-US"/>
        </w:rPr>
      </w:pPr>
      <w:r w:rsidRPr="004A4D56">
        <w:rPr>
          <w:rStyle w:val="FootnoteReference"/>
          <w:rFonts w:ascii="Times New Roman" w:hAnsi="Times New Roman" w:cs="Times New Roman"/>
          <w:sz w:val="18"/>
          <w:szCs w:val="18"/>
        </w:rPr>
        <w:footnoteRef/>
      </w:r>
      <w:r w:rsidRPr="004A4D56">
        <w:rPr>
          <w:rFonts w:ascii="Times New Roman" w:hAnsi="Times New Roman" w:cs="Times New Roman"/>
          <w:sz w:val="18"/>
          <w:szCs w:val="18"/>
          <w:lang w:val="en-US"/>
        </w:rPr>
        <w:t xml:space="preserve"> Like for instance the Collateralized Debt Obligations (CDOs) and Credit Default Swaps (CDS) that were used during the subprime mortgage crisis in 2007.</w:t>
      </w:r>
    </w:p>
  </w:footnote>
  <w:footnote w:id="17">
    <w:p w:rsidR="00937A52" w:rsidRPr="00E3575B" w:rsidRDefault="00937A52" w:rsidP="001879CE">
      <w:pPr>
        <w:pStyle w:val="FootnoteText"/>
        <w:jc w:val="both"/>
        <w:rPr>
          <w:sz w:val="18"/>
          <w:szCs w:val="18"/>
          <w:lang w:val="en-US"/>
        </w:rPr>
      </w:pPr>
      <w:r w:rsidRPr="004A4D56">
        <w:rPr>
          <w:rStyle w:val="FootnoteReference"/>
          <w:rFonts w:ascii="Times New Roman" w:hAnsi="Times New Roman" w:cs="Times New Roman"/>
          <w:sz w:val="18"/>
          <w:szCs w:val="18"/>
        </w:rPr>
        <w:footnoteRef/>
      </w:r>
      <w:r w:rsidRPr="004A4D56">
        <w:rPr>
          <w:rFonts w:ascii="Times New Roman" w:hAnsi="Times New Roman" w:cs="Times New Roman"/>
          <w:sz w:val="18"/>
          <w:szCs w:val="18"/>
          <w:lang w:val="en-US"/>
        </w:rPr>
        <w:t xml:space="preserve"> The GSCI comprises of energy commodities (Brent crude oil, gasoil, natural gas, RBOB gasoline, heating oil and West Texas crude oil), agricultural (corn, red wheat, soybeans and wheat), livestock (feeder cattle, lean hogs and live cattle), precious (gold and silver) and industrial metals (copper) and has been frequently used by many researchers.</w:t>
      </w:r>
    </w:p>
  </w:footnote>
  <w:footnote w:id="18">
    <w:p w:rsidR="00937A52" w:rsidRPr="00AF45E6" w:rsidRDefault="00937A52" w:rsidP="001879CE">
      <w:pPr>
        <w:pStyle w:val="FootnoteText"/>
        <w:jc w:val="both"/>
        <w:rPr>
          <w:rFonts w:ascii="Times New Roman" w:hAnsi="Times New Roman" w:cs="Times New Roman"/>
          <w:sz w:val="18"/>
          <w:szCs w:val="18"/>
          <w:lang w:val="en-US"/>
        </w:rPr>
      </w:pPr>
      <w:r w:rsidRPr="00AF45E6">
        <w:rPr>
          <w:rStyle w:val="FootnoteReference"/>
          <w:rFonts w:ascii="Times New Roman" w:hAnsi="Times New Roman" w:cs="Times New Roman"/>
          <w:sz w:val="18"/>
          <w:szCs w:val="18"/>
        </w:rPr>
        <w:footnoteRef/>
      </w:r>
      <w:r w:rsidRPr="00AF45E6">
        <w:rPr>
          <w:rFonts w:ascii="Times New Roman" w:hAnsi="Times New Roman" w:cs="Times New Roman"/>
          <w:sz w:val="18"/>
          <w:szCs w:val="18"/>
          <w:lang w:val="en-US"/>
        </w:rPr>
        <w:t xml:space="preserve"> In her article for businessinsider.com titled as: “</w:t>
      </w:r>
      <w:r w:rsidRPr="00AF45E6">
        <w:rPr>
          <w:rFonts w:ascii="Times New Roman" w:hAnsi="Times New Roman" w:cs="Times New Roman"/>
          <w:i/>
          <w:sz w:val="18"/>
          <w:szCs w:val="18"/>
          <w:lang w:val="en-US"/>
        </w:rPr>
        <w:t>A Guide To The Next Big Safe Haven Currencies</w:t>
      </w:r>
      <w:r w:rsidRPr="00AF45E6">
        <w:rPr>
          <w:rFonts w:ascii="Times New Roman" w:hAnsi="Times New Roman" w:cs="Times New Roman"/>
          <w:sz w:val="18"/>
          <w:szCs w:val="18"/>
          <w:lang w:val="en-US"/>
        </w:rPr>
        <w:t>” (</w:t>
      </w:r>
      <w:hyperlink r:id="rId4" w:anchor="ixzz20KuAd4d9" w:history="1">
        <w:r w:rsidRPr="00AF45E6">
          <w:rPr>
            <w:rStyle w:val="Hyperlink"/>
            <w:rFonts w:ascii="Times New Roman" w:hAnsi="Times New Roman" w:cs="Times New Roman"/>
            <w:color w:val="auto"/>
            <w:sz w:val="18"/>
            <w:szCs w:val="18"/>
            <w:u w:val="none"/>
            <w:lang w:val="en-US"/>
          </w:rPr>
          <w:t>http://www.businessinsider.com/the-next-big-safe-haven-currencies-2011-9?op=1#ixzz20KuAd4d9</w:t>
        </w:r>
      </w:hyperlink>
      <w:r w:rsidRPr="00AF45E6">
        <w:rPr>
          <w:rFonts w:ascii="Times New Roman" w:hAnsi="Times New Roman" w:cs="Times New Roman"/>
          <w:sz w:val="18"/>
          <w:szCs w:val="18"/>
          <w:lang w:val="en-US"/>
        </w:rPr>
        <w:t>)</w:t>
      </w:r>
    </w:p>
  </w:footnote>
  <w:footnote w:id="19">
    <w:p w:rsidR="00937A52" w:rsidRPr="00E3575B" w:rsidRDefault="00937A52" w:rsidP="001879CE">
      <w:pPr>
        <w:pStyle w:val="FootnoteText"/>
        <w:jc w:val="both"/>
        <w:rPr>
          <w:rFonts w:ascii="Times New Roman" w:hAnsi="Times New Roman" w:cs="Times New Roman"/>
          <w:sz w:val="18"/>
          <w:szCs w:val="18"/>
          <w:lang w:val="en-US"/>
        </w:rPr>
      </w:pPr>
      <w:r w:rsidRPr="00AF45E6">
        <w:rPr>
          <w:rStyle w:val="FootnoteReference"/>
          <w:rFonts w:ascii="Times New Roman" w:hAnsi="Times New Roman" w:cs="Times New Roman"/>
          <w:sz w:val="18"/>
          <w:szCs w:val="18"/>
        </w:rPr>
        <w:footnoteRef/>
      </w:r>
      <w:r w:rsidRPr="00AF45E6">
        <w:rPr>
          <w:rFonts w:ascii="Times New Roman" w:hAnsi="Times New Roman" w:cs="Times New Roman"/>
          <w:sz w:val="18"/>
          <w:szCs w:val="18"/>
          <w:lang w:val="en-US"/>
        </w:rPr>
        <w:t xml:space="preserve"> At the article “When Flight </w:t>
      </w:r>
      <w:proofErr w:type="gramStart"/>
      <w:r w:rsidRPr="00AF45E6">
        <w:rPr>
          <w:rFonts w:ascii="Times New Roman" w:hAnsi="Times New Roman" w:cs="Times New Roman"/>
          <w:sz w:val="18"/>
          <w:szCs w:val="18"/>
          <w:lang w:val="en-US"/>
        </w:rPr>
        <w:t>To</w:t>
      </w:r>
      <w:proofErr w:type="gramEnd"/>
      <w:r w:rsidRPr="00AF45E6">
        <w:rPr>
          <w:rFonts w:ascii="Times New Roman" w:hAnsi="Times New Roman" w:cs="Times New Roman"/>
          <w:sz w:val="18"/>
          <w:szCs w:val="18"/>
          <w:lang w:val="en-US"/>
        </w:rPr>
        <w:t xml:space="preserve"> Safety Is Risky” on May 30 2012.</w:t>
      </w:r>
    </w:p>
  </w:footnote>
  <w:footnote w:id="20">
    <w:p w:rsidR="00937A52" w:rsidRPr="004A4D56" w:rsidRDefault="00937A52" w:rsidP="00AF45E6">
      <w:pPr>
        <w:pStyle w:val="FootnoteText"/>
        <w:jc w:val="both"/>
        <w:rPr>
          <w:rFonts w:ascii="Times New Roman" w:hAnsi="Times New Roman" w:cs="Times New Roman"/>
          <w:sz w:val="18"/>
          <w:szCs w:val="18"/>
          <w:lang w:val="en-US"/>
        </w:rPr>
      </w:pPr>
      <w:r w:rsidRPr="004A4D56">
        <w:rPr>
          <w:rStyle w:val="FootnoteReference"/>
          <w:rFonts w:ascii="Times New Roman" w:hAnsi="Times New Roman" w:cs="Times New Roman"/>
          <w:sz w:val="18"/>
          <w:szCs w:val="18"/>
        </w:rPr>
        <w:footnoteRef/>
      </w:r>
      <w:r w:rsidRPr="004A4D56">
        <w:rPr>
          <w:rFonts w:ascii="Times New Roman" w:hAnsi="Times New Roman" w:cs="Times New Roman"/>
          <w:sz w:val="18"/>
          <w:szCs w:val="18"/>
          <w:lang w:val="en-US"/>
        </w:rPr>
        <w:t xml:space="preserve"> </w:t>
      </w:r>
      <w:proofErr w:type="gramStart"/>
      <w:r w:rsidRPr="004A4D56">
        <w:rPr>
          <w:rFonts w:ascii="Times New Roman" w:hAnsi="Times New Roman" w:cs="Times New Roman"/>
          <w:sz w:val="18"/>
          <w:szCs w:val="18"/>
          <w:lang w:val="en-US"/>
        </w:rPr>
        <w:t>At the article “Flights to Safety Can’t Hide the Dangers” in The New York Times on 12 May 2012.</w:t>
      </w:r>
      <w:proofErr w:type="gramEnd"/>
    </w:p>
  </w:footnote>
  <w:footnote w:id="21">
    <w:p w:rsidR="00937A52" w:rsidRPr="004A4D56" w:rsidRDefault="00937A52" w:rsidP="00AF45E6">
      <w:pPr>
        <w:pStyle w:val="FootnoteText"/>
        <w:jc w:val="both"/>
        <w:rPr>
          <w:rFonts w:ascii="Times New Roman" w:hAnsi="Times New Roman" w:cs="Times New Roman"/>
          <w:sz w:val="18"/>
          <w:szCs w:val="18"/>
          <w:lang w:val="en-US"/>
        </w:rPr>
      </w:pPr>
      <w:r w:rsidRPr="004A4D56">
        <w:rPr>
          <w:rStyle w:val="FootnoteReference"/>
          <w:rFonts w:ascii="Times New Roman" w:hAnsi="Times New Roman" w:cs="Times New Roman"/>
          <w:sz w:val="18"/>
          <w:szCs w:val="18"/>
        </w:rPr>
        <w:footnoteRef/>
      </w:r>
      <w:r w:rsidRPr="004A4D56">
        <w:rPr>
          <w:rFonts w:ascii="Times New Roman" w:hAnsi="Times New Roman" w:cs="Times New Roman"/>
          <w:sz w:val="18"/>
          <w:szCs w:val="18"/>
          <w:lang w:val="en-US"/>
        </w:rPr>
        <w:t xml:space="preserve">  </w:t>
      </w:r>
      <w:proofErr w:type="gramStart"/>
      <w:r w:rsidRPr="004A4D56">
        <w:rPr>
          <w:rFonts w:ascii="Times New Roman" w:hAnsi="Times New Roman" w:cs="Times New Roman"/>
          <w:sz w:val="18"/>
          <w:szCs w:val="18"/>
          <w:lang w:val="en-US"/>
        </w:rPr>
        <w:t>A result of the increase in sovereign debt caused by the bailout actions for banks.</w:t>
      </w:r>
      <w:proofErr w:type="gramEnd"/>
      <w:r w:rsidRPr="004A4D56">
        <w:rPr>
          <w:rFonts w:ascii="Times New Roman" w:hAnsi="Times New Roman" w:cs="Times New Roman"/>
          <w:sz w:val="18"/>
          <w:szCs w:val="18"/>
          <w:lang w:val="en-US"/>
        </w:rPr>
        <w:t xml:space="preserve"> </w:t>
      </w:r>
    </w:p>
  </w:footnote>
  <w:footnote w:id="22">
    <w:p w:rsidR="00937A52" w:rsidRPr="00E3575B" w:rsidRDefault="00937A52" w:rsidP="00AF45E6">
      <w:pPr>
        <w:pStyle w:val="FootnoteText"/>
        <w:jc w:val="both"/>
        <w:rPr>
          <w:lang w:val="en-US"/>
        </w:rPr>
      </w:pPr>
      <w:r w:rsidRPr="004A4D56">
        <w:rPr>
          <w:rStyle w:val="FootnoteReference"/>
          <w:rFonts w:ascii="Times New Roman" w:hAnsi="Times New Roman" w:cs="Times New Roman"/>
          <w:sz w:val="18"/>
          <w:szCs w:val="18"/>
        </w:rPr>
        <w:footnoteRef/>
      </w:r>
      <w:r w:rsidRPr="004A4D56">
        <w:rPr>
          <w:rFonts w:ascii="Times New Roman" w:hAnsi="Times New Roman" w:cs="Times New Roman"/>
          <w:sz w:val="18"/>
          <w:szCs w:val="18"/>
          <w:lang w:val="en-US"/>
        </w:rPr>
        <w:t xml:space="preserve"> See for example Collin-</w:t>
      </w:r>
      <w:proofErr w:type="spellStart"/>
      <w:r w:rsidRPr="004A4D56">
        <w:rPr>
          <w:rFonts w:ascii="Times New Roman" w:hAnsi="Times New Roman" w:cs="Times New Roman"/>
          <w:sz w:val="18"/>
          <w:szCs w:val="18"/>
          <w:lang w:val="en-US"/>
        </w:rPr>
        <w:t>Dufresne</w:t>
      </w:r>
      <w:proofErr w:type="spellEnd"/>
      <w:r w:rsidRPr="004A4D56">
        <w:rPr>
          <w:rFonts w:ascii="Times New Roman" w:hAnsi="Times New Roman" w:cs="Times New Roman"/>
          <w:sz w:val="18"/>
          <w:szCs w:val="18"/>
          <w:lang w:val="en-US"/>
        </w:rPr>
        <w:t xml:space="preserve"> et al. (2001) for more details.</w:t>
      </w:r>
    </w:p>
  </w:footnote>
  <w:footnote w:id="23">
    <w:p w:rsidR="00937A52" w:rsidRPr="002D51CD" w:rsidRDefault="00937A52" w:rsidP="00AF45E6">
      <w:pPr>
        <w:pStyle w:val="FootnoteText"/>
        <w:jc w:val="both"/>
        <w:rPr>
          <w:rFonts w:ascii="Times New Roman" w:hAnsi="Times New Roman" w:cs="Times New Roman"/>
          <w:sz w:val="18"/>
          <w:szCs w:val="18"/>
          <w:lang w:val="en-US"/>
        </w:rPr>
      </w:pPr>
      <w:r w:rsidRPr="007662B7">
        <w:rPr>
          <w:rStyle w:val="FootnoteReference"/>
          <w:rFonts w:ascii="Times New Roman" w:hAnsi="Times New Roman" w:cs="Times New Roman"/>
          <w:sz w:val="18"/>
          <w:szCs w:val="18"/>
        </w:rPr>
        <w:footnoteRef/>
      </w:r>
      <w:r w:rsidRPr="002D51CD">
        <w:rPr>
          <w:rFonts w:ascii="Times New Roman" w:hAnsi="Times New Roman" w:cs="Times New Roman"/>
          <w:sz w:val="18"/>
          <w:szCs w:val="18"/>
          <w:lang w:val="en-US"/>
        </w:rPr>
        <w:t xml:space="preserve"> We refer readers to Appendix A where Table 1 presents the names of the indices, their components and the statistical methods they use. </w:t>
      </w:r>
    </w:p>
  </w:footnote>
  <w:footnote w:id="24">
    <w:p w:rsidR="00937A52" w:rsidRPr="00AF45E6" w:rsidRDefault="00937A52" w:rsidP="00AF45E6">
      <w:pPr>
        <w:pStyle w:val="Heading1"/>
        <w:numPr>
          <w:ilvl w:val="0"/>
          <w:numId w:val="0"/>
        </w:numPr>
        <w:shd w:val="clear" w:color="auto" w:fill="FFFFFF"/>
        <w:spacing w:before="0" w:after="0"/>
        <w:jc w:val="both"/>
        <w:rPr>
          <w:rFonts w:ascii="Times New Roman" w:hAnsi="Times New Roman" w:cs="Times New Roman"/>
          <w:b w:val="0"/>
          <w:sz w:val="18"/>
          <w:szCs w:val="18"/>
          <w:lang w:val="en-US"/>
        </w:rPr>
      </w:pPr>
      <w:r w:rsidRPr="00AF45E6">
        <w:rPr>
          <w:rStyle w:val="FootnoteReference"/>
          <w:rFonts w:ascii="Times New Roman" w:hAnsi="Times New Roman" w:cs="Times New Roman"/>
          <w:sz w:val="18"/>
          <w:szCs w:val="18"/>
        </w:rPr>
        <w:footnoteRef/>
      </w:r>
      <w:r w:rsidRPr="00AF45E6">
        <w:rPr>
          <w:rFonts w:ascii="Times New Roman" w:hAnsi="Times New Roman" w:cs="Times New Roman"/>
          <w:sz w:val="18"/>
          <w:szCs w:val="18"/>
          <w:lang w:val="en-US"/>
        </w:rPr>
        <w:t xml:space="preserve"> </w:t>
      </w:r>
      <w:r w:rsidRPr="00AF45E6">
        <w:rPr>
          <w:rFonts w:ascii="Times New Roman" w:hAnsi="Times New Roman" w:cs="Times New Roman"/>
          <w:b w:val="0"/>
          <w:sz w:val="18"/>
          <w:szCs w:val="18"/>
          <w:lang w:val="en-US"/>
        </w:rPr>
        <w:t xml:space="preserve">A view shared by Mr. McMillan, who is an option strategist, in his article “Peek Ahead </w:t>
      </w:r>
      <w:proofErr w:type="gramStart"/>
      <w:r w:rsidRPr="00AF45E6">
        <w:rPr>
          <w:rFonts w:ascii="Times New Roman" w:hAnsi="Times New Roman" w:cs="Times New Roman"/>
          <w:b w:val="0"/>
          <w:sz w:val="18"/>
          <w:szCs w:val="18"/>
          <w:lang w:val="en-US"/>
        </w:rPr>
        <w:t>With The</w:t>
      </w:r>
      <w:proofErr w:type="gramEnd"/>
      <w:r w:rsidRPr="00AF45E6">
        <w:rPr>
          <w:rFonts w:ascii="Times New Roman" w:hAnsi="Times New Roman" w:cs="Times New Roman"/>
          <w:b w:val="0"/>
          <w:sz w:val="18"/>
          <w:szCs w:val="18"/>
          <w:lang w:val="en-US"/>
        </w:rPr>
        <w:t xml:space="preserve"> Put-Call Ratio” in the online version of Forbes on the 28</w:t>
      </w:r>
      <w:r w:rsidRPr="00AF45E6">
        <w:rPr>
          <w:rFonts w:ascii="Times New Roman" w:hAnsi="Times New Roman" w:cs="Times New Roman"/>
          <w:b w:val="0"/>
          <w:sz w:val="18"/>
          <w:szCs w:val="18"/>
          <w:vertAlign w:val="superscript"/>
          <w:lang w:val="en-US"/>
        </w:rPr>
        <w:t xml:space="preserve">th </w:t>
      </w:r>
      <w:r w:rsidRPr="00AF45E6">
        <w:rPr>
          <w:rFonts w:ascii="Times New Roman" w:hAnsi="Times New Roman" w:cs="Times New Roman"/>
          <w:b w:val="0"/>
          <w:sz w:val="18"/>
          <w:szCs w:val="18"/>
          <w:lang w:val="en-US"/>
        </w:rPr>
        <w:t>August, 2009 (</w:t>
      </w:r>
      <w:hyperlink r:id="rId5" w:history="1">
        <w:r w:rsidRPr="00AF45E6">
          <w:rPr>
            <w:rStyle w:val="Hyperlink"/>
            <w:rFonts w:ascii="Times New Roman" w:hAnsi="Times New Roman" w:cs="Times New Roman"/>
            <w:b w:val="0"/>
            <w:color w:val="auto"/>
            <w:sz w:val="18"/>
            <w:szCs w:val="18"/>
            <w:u w:val="none"/>
            <w:lang w:val="en-US"/>
          </w:rPr>
          <w:t>http://www.forbes.com/2009/08/28/put-call-ratio-personal-finance-investing-ideas-larry-mcmillan.html</w:t>
        </w:r>
      </w:hyperlink>
      <w:r w:rsidRPr="00AF45E6">
        <w:rPr>
          <w:rFonts w:ascii="Times New Roman" w:hAnsi="Times New Roman" w:cs="Times New Roman"/>
          <w:b w:val="0"/>
          <w:sz w:val="18"/>
          <w:szCs w:val="18"/>
          <w:lang w:val="en-US"/>
        </w:rPr>
        <w:t>)</w:t>
      </w:r>
    </w:p>
    <w:p w:rsidR="00937A52" w:rsidRPr="00AF45E6" w:rsidRDefault="00937A52">
      <w:pPr>
        <w:pStyle w:val="FootnoteText"/>
        <w:rPr>
          <w:lang w:val="en-US"/>
        </w:rPr>
      </w:pPr>
    </w:p>
  </w:footnote>
  <w:footnote w:id="25">
    <w:p w:rsidR="00937A52" w:rsidRPr="007F3001" w:rsidRDefault="00937A52">
      <w:pPr>
        <w:pStyle w:val="FootnoteText"/>
        <w:rPr>
          <w:rFonts w:ascii="Times New Roman" w:hAnsi="Times New Roman" w:cs="Times New Roman"/>
          <w:sz w:val="18"/>
          <w:szCs w:val="18"/>
          <w:lang w:val="en-US"/>
        </w:rPr>
      </w:pPr>
      <w:r w:rsidRPr="007F3001">
        <w:rPr>
          <w:rStyle w:val="FootnoteReference"/>
          <w:rFonts w:ascii="Times New Roman" w:hAnsi="Times New Roman" w:cs="Times New Roman"/>
          <w:sz w:val="18"/>
          <w:szCs w:val="18"/>
        </w:rPr>
        <w:footnoteRef/>
      </w:r>
      <w:r w:rsidRPr="007F3001">
        <w:rPr>
          <w:rFonts w:ascii="Times New Roman" w:hAnsi="Times New Roman" w:cs="Times New Roman"/>
          <w:sz w:val="18"/>
          <w:szCs w:val="18"/>
          <w:lang w:val="en-US"/>
        </w:rPr>
        <w:t xml:space="preserve"> For the remainder of the paper, DAX and SDAX will depict the values of the indices denominated in U.S Dollars.</w:t>
      </w:r>
    </w:p>
  </w:footnote>
  <w:footnote w:id="26">
    <w:p w:rsidR="00937A52" w:rsidRPr="002D51CD" w:rsidRDefault="00937A52" w:rsidP="00AF45E6">
      <w:pPr>
        <w:pStyle w:val="FootnoteText"/>
        <w:jc w:val="both"/>
        <w:rPr>
          <w:rFonts w:ascii="Times New Roman" w:hAnsi="Times New Roman" w:cs="Times New Roman"/>
          <w:sz w:val="18"/>
          <w:szCs w:val="18"/>
          <w:lang w:val="en-US"/>
        </w:rPr>
      </w:pPr>
      <w:r w:rsidRPr="00596771">
        <w:rPr>
          <w:rStyle w:val="FootnoteReference"/>
          <w:rFonts w:ascii="Times New Roman" w:hAnsi="Times New Roman" w:cs="Times New Roman"/>
          <w:sz w:val="18"/>
          <w:szCs w:val="18"/>
        </w:rPr>
        <w:footnoteRef/>
      </w:r>
      <w:r w:rsidRPr="002D51CD">
        <w:rPr>
          <w:rFonts w:ascii="Times New Roman" w:hAnsi="Times New Roman" w:cs="Times New Roman"/>
          <w:sz w:val="18"/>
          <w:szCs w:val="18"/>
          <w:lang w:val="en-US"/>
        </w:rPr>
        <w:t xml:space="preserve"> Nonetheless, we had two exceptions. Firstly, data for Merrill Lynch’s Risk Aversion Indicator were kindly provided to us by Mr. Livio Stracca and the values of the model created by Baker and Wurgler were attainable through J. Wurgler’s personal website. </w:t>
      </w:r>
    </w:p>
  </w:footnote>
  <w:footnote w:id="27">
    <w:p w:rsidR="00937A52" w:rsidRPr="002D51CD" w:rsidRDefault="00937A52" w:rsidP="00AF45E6">
      <w:pPr>
        <w:pStyle w:val="FootnoteText"/>
        <w:spacing w:line="360" w:lineRule="auto"/>
        <w:jc w:val="both"/>
        <w:rPr>
          <w:rFonts w:ascii="Times New Roman" w:hAnsi="Times New Roman" w:cs="Times New Roman"/>
          <w:sz w:val="18"/>
          <w:szCs w:val="18"/>
          <w:lang w:val="en-US"/>
        </w:rPr>
      </w:pPr>
      <w:r w:rsidRPr="00596771">
        <w:rPr>
          <w:rStyle w:val="FootnoteReference"/>
          <w:rFonts w:ascii="Times New Roman" w:hAnsi="Times New Roman" w:cs="Times New Roman"/>
          <w:sz w:val="18"/>
          <w:szCs w:val="18"/>
        </w:rPr>
        <w:footnoteRef/>
      </w:r>
      <w:r w:rsidRPr="002D51CD">
        <w:rPr>
          <w:rFonts w:ascii="Times New Roman" w:hAnsi="Times New Roman" w:cs="Times New Roman"/>
          <w:sz w:val="18"/>
          <w:szCs w:val="18"/>
          <w:lang w:val="en-US"/>
        </w:rPr>
        <w:t xml:space="preserve"> In Appendix A, Table 3 displays in detail the sources and other characteristics of the indices and the assets that were selected.  </w:t>
      </w:r>
    </w:p>
    <w:p w:rsidR="00937A52" w:rsidRPr="002D51CD" w:rsidRDefault="00937A52" w:rsidP="002D51CD">
      <w:pPr>
        <w:pStyle w:val="FootnoteText"/>
        <w:rPr>
          <w:rFonts w:ascii="Times New Roman" w:hAnsi="Times New Roman" w:cs="Times New Roman"/>
          <w:lang w:val="en-US"/>
        </w:rPr>
      </w:pPr>
    </w:p>
  </w:footnote>
  <w:footnote w:id="28">
    <w:p w:rsidR="00937A52" w:rsidRPr="00AF45E6" w:rsidRDefault="00937A52" w:rsidP="002D51CD">
      <w:pPr>
        <w:spacing w:line="240" w:lineRule="auto"/>
        <w:jc w:val="both"/>
        <w:rPr>
          <w:rFonts w:ascii="Times New Roman" w:hAnsi="Times New Roman" w:cs="Times New Roman"/>
          <w:sz w:val="18"/>
          <w:szCs w:val="18"/>
          <w:lang w:val="en-US"/>
        </w:rPr>
      </w:pPr>
      <w:r w:rsidRPr="00AF45E6">
        <w:rPr>
          <w:rStyle w:val="FootnoteReference"/>
          <w:rFonts w:ascii="Times New Roman" w:hAnsi="Times New Roman" w:cs="Times New Roman"/>
          <w:sz w:val="18"/>
          <w:szCs w:val="18"/>
        </w:rPr>
        <w:footnoteRef/>
      </w:r>
      <w:r w:rsidRPr="00AF45E6">
        <w:rPr>
          <w:rFonts w:ascii="Times New Roman" w:hAnsi="Times New Roman" w:cs="Times New Roman"/>
          <w:sz w:val="18"/>
          <w:szCs w:val="18"/>
          <w:shd w:val="clear" w:color="auto" w:fill="FFFFFF"/>
          <w:lang w:val="en-US"/>
        </w:rPr>
        <w:t>According to K. French’s website:</w:t>
      </w:r>
      <w:r w:rsidRPr="00AF45E6">
        <w:rPr>
          <w:rFonts w:ascii="Times New Roman" w:hAnsi="Times New Roman" w:cs="Times New Roman"/>
          <w:sz w:val="18"/>
          <w:szCs w:val="18"/>
          <w:lang w:val="en-US"/>
        </w:rPr>
        <w:t xml:space="preserve"> </w:t>
      </w:r>
      <w:r w:rsidRPr="00AF45E6">
        <w:rPr>
          <w:rFonts w:ascii="Times New Roman" w:hAnsi="Times New Roman" w:cs="Times New Roman"/>
          <w:i/>
          <w:sz w:val="18"/>
          <w:szCs w:val="18"/>
          <w:lang w:val="en-US"/>
        </w:rPr>
        <w:t>“T</w:t>
      </w:r>
      <w:r w:rsidRPr="00AF45E6">
        <w:rPr>
          <w:rFonts w:ascii="Times New Roman" w:hAnsi="Times New Roman" w:cs="Times New Roman"/>
          <w:i/>
          <w:sz w:val="18"/>
          <w:szCs w:val="18"/>
          <w:shd w:val="clear" w:color="auto" w:fill="FFFFFF"/>
          <w:lang w:val="en-US"/>
        </w:rPr>
        <w:t>he European factors and portfolios include Austria, Belgium, Denmark, Finland, France, Germany, Greece, Ireland, Italy, the Netherlands, Norway, Portugal, Spain, Sweden, Switzerland, and the United Kingdom”</w:t>
      </w:r>
      <w:r w:rsidRPr="00AF45E6">
        <w:rPr>
          <w:rFonts w:ascii="Times New Roman" w:hAnsi="Times New Roman" w:cs="Times New Roman"/>
          <w:sz w:val="18"/>
          <w:szCs w:val="18"/>
          <w:shd w:val="clear" w:color="auto" w:fill="FFFFFF"/>
          <w:lang w:val="en-US"/>
        </w:rPr>
        <w:t xml:space="preserve"> (</w:t>
      </w:r>
      <w:hyperlink r:id="rId6" w:history="1">
        <w:r w:rsidRPr="00AF45E6">
          <w:rPr>
            <w:rStyle w:val="Hyperlink"/>
            <w:rFonts w:ascii="Times New Roman" w:hAnsi="Times New Roman" w:cs="Times New Roman"/>
            <w:color w:val="auto"/>
            <w:sz w:val="18"/>
            <w:szCs w:val="18"/>
            <w:u w:val="none"/>
            <w:lang w:val="en-US"/>
          </w:rPr>
          <w:t>http://mba.tuck.dartmouth.edu/pages/faculty/ken.french/Data_Library/details_european.html</w:t>
        </w:r>
      </w:hyperlink>
      <w:r w:rsidRPr="00AF45E6">
        <w:rPr>
          <w:rFonts w:ascii="Times New Roman" w:hAnsi="Times New Roman" w:cs="Times New Roman"/>
          <w:sz w:val="18"/>
          <w:szCs w:val="18"/>
          <w:lang w:val="en-US"/>
        </w:rPr>
        <w:t>)</w:t>
      </w:r>
      <w:r w:rsidRPr="00AF45E6">
        <w:rPr>
          <w:rFonts w:ascii="Times New Roman" w:hAnsi="Times New Roman" w:cs="Times New Roman"/>
          <w:sz w:val="18"/>
          <w:szCs w:val="18"/>
          <w:shd w:val="clear" w:color="auto" w:fill="FFFFFF"/>
          <w:lang w:val="en-US"/>
        </w:rPr>
        <w:t>.</w:t>
      </w:r>
    </w:p>
  </w:footnote>
  <w:footnote w:id="29">
    <w:p w:rsidR="00937A52" w:rsidRPr="00225CEB" w:rsidRDefault="00937A52" w:rsidP="002D51CD">
      <w:pPr>
        <w:pStyle w:val="FootnoteText"/>
        <w:jc w:val="both"/>
        <w:rPr>
          <w:rFonts w:ascii="Times New Roman" w:hAnsi="Times New Roman" w:cs="Times New Roman"/>
          <w:sz w:val="18"/>
          <w:szCs w:val="18"/>
          <w:lang w:val="en-US"/>
        </w:rPr>
      </w:pPr>
      <w:r w:rsidRPr="00225CEB">
        <w:rPr>
          <w:rFonts w:ascii="Times New Roman" w:hAnsi="Times New Roman" w:cs="Times New Roman"/>
          <w:sz w:val="18"/>
          <w:szCs w:val="18"/>
          <w:shd w:val="clear" w:color="auto" w:fill="FFFFFF"/>
        </w:rPr>
        <w:footnoteRef/>
      </w:r>
      <w:proofErr w:type="gramStart"/>
      <w:r w:rsidRPr="00225CEB">
        <w:rPr>
          <w:rFonts w:ascii="Times New Roman" w:hAnsi="Times New Roman" w:cs="Times New Roman"/>
          <w:sz w:val="18"/>
          <w:szCs w:val="18"/>
          <w:shd w:val="clear" w:color="auto" w:fill="FFFFFF"/>
          <w:lang w:val="en-US"/>
        </w:rPr>
        <w:t>According to K. French’s website: “The North American factors and portfolios include Canada and the United states” (</w:t>
      </w:r>
      <w:hyperlink r:id="rId7" w:history="1">
        <w:r w:rsidRPr="00225CEB">
          <w:rPr>
            <w:rStyle w:val="Hyperlink"/>
            <w:rFonts w:ascii="Times New Roman" w:hAnsi="Times New Roman" w:cs="Times New Roman"/>
            <w:color w:val="auto"/>
            <w:sz w:val="18"/>
            <w:szCs w:val="18"/>
            <w:u w:val="none"/>
            <w:lang w:val="en-US"/>
          </w:rPr>
          <w:t>http://mba.tuck.dartmouth.edu/pages/faculty/ken.french/Data_Library/details_northamerica.html</w:t>
        </w:r>
      </w:hyperlink>
      <w:r w:rsidRPr="00225CEB">
        <w:rPr>
          <w:rFonts w:ascii="Times New Roman" w:hAnsi="Times New Roman" w:cs="Times New Roman"/>
          <w:sz w:val="18"/>
          <w:szCs w:val="18"/>
          <w:lang w:val="en-US"/>
        </w:rPr>
        <w:t>)</w:t>
      </w:r>
      <w:r w:rsidRPr="00225CEB">
        <w:rPr>
          <w:rFonts w:ascii="Times New Roman" w:hAnsi="Times New Roman" w:cs="Times New Roman"/>
          <w:sz w:val="18"/>
          <w:szCs w:val="18"/>
          <w:shd w:val="clear" w:color="auto" w:fill="FFFFFF"/>
          <w:lang w:val="en-US"/>
        </w:rPr>
        <w:t>.</w:t>
      </w:r>
      <w:proofErr w:type="gramEnd"/>
    </w:p>
  </w:footnote>
  <w:footnote w:id="30">
    <w:p w:rsidR="00937A52" w:rsidRPr="00225CEB" w:rsidRDefault="00937A52" w:rsidP="002D51CD">
      <w:pPr>
        <w:pStyle w:val="FootnoteText"/>
        <w:jc w:val="both"/>
        <w:rPr>
          <w:rFonts w:ascii="Times New Roman" w:hAnsi="Times New Roman" w:cs="Times New Roman"/>
          <w:sz w:val="18"/>
          <w:szCs w:val="18"/>
          <w:lang w:val="en-US"/>
        </w:rPr>
      </w:pPr>
      <w:r w:rsidRPr="00225CEB">
        <w:rPr>
          <w:rStyle w:val="FootnoteReference"/>
          <w:rFonts w:ascii="Times New Roman" w:hAnsi="Times New Roman" w:cs="Times New Roman"/>
          <w:sz w:val="18"/>
          <w:szCs w:val="18"/>
        </w:rPr>
        <w:footnoteRef/>
      </w:r>
      <w:r w:rsidRPr="00225CEB">
        <w:rPr>
          <w:rFonts w:ascii="Times New Roman" w:hAnsi="Times New Roman" w:cs="Times New Roman"/>
          <w:sz w:val="18"/>
          <w:szCs w:val="18"/>
          <w:lang w:val="en-US"/>
        </w:rPr>
        <w:t xml:space="preserve"> </w:t>
      </w:r>
      <w:hyperlink r:id="rId8" w:history="1">
        <w:r w:rsidRPr="00225CEB">
          <w:rPr>
            <w:rStyle w:val="Hyperlink"/>
            <w:rFonts w:ascii="Times New Roman" w:hAnsi="Times New Roman" w:cs="Times New Roman"/>
            <w:color w:val="auto"/>
            <w:sz w:val="18"/>
            <w:szCs w:val="18"/>
            <w:u w:val="none"/>
            <w:lang w:val="en-US"/>
          </w:rPr>
          <w:t>http://www.reuters.com/article/2011/08/26/us-markets-investors-safety-idUSTRE77P1Y220110826</w:t>
        </w:r>
      </w:hyperlink>
    </w:p>
  </w:footnote>
  <w:footnote w:id="31">
    <w:p w:rsidR="00937A52" w:rsidRPr="00225CEB" w:rsidRDefault="00937A52" w:rsidP="00682A0E">
      <w:pPr>
        <w:autoSpaceDE w:val="0"/>
        <w:autoSpaceDN w:val="0"/>
        <w:adjustRightInd w:val="0"/>
        <w:spacing w:after="0" w:line="360" w:lineRule="auto"/>
        <w:jc w:val="both"/>
        <w:rPr>
          <w:rFonts w:ascii="Times New Roman" w:hAnsi="Times New Roman" w:cs="Times New Roman"/>
          <w:sz w:val="18"/>
          <w:szCs w:val="18"/>
          <w:lang w:val="en-US"/>
        </w:rPr>
      </w:pPr>
      <w:r w:rsidRPr="00225CEB">
        <w:rPr>
          <w:rStyle w:val="FootnoteReference"/>
          <w:rFonts w:ascii="Times New Roman" w:hAnsi="Times New Roman" w:cs="Times New Roman"/>
          <w:sz w:val="18"/>
          <w:szCs w:val="18"/>
        </w:rPr>
        <w:footnoteRef/>
      </w:r>
      <w:hyperlink r:id="rId9" w:history="1">
        <w:r w:rsidRPr="00225CEB">
          <w:rPr>
            <w:rStyle w:val="Hyperlink"/>
            <w:rFonts w:ascii="Times New Roman" w:hAnsi="Times New Roman" w:cs="Times New Roman"/>
            <w:color w:val="auto"/>
            <w:sz w:val="18"/>
            <w:szCs w:val="18"/>
            <w:u w:val="none"/>
            <w:lang w:val="en-US"/>
          </w:rPr>
          <w:t>http://www.telegraph.co.uk/finance/economics/9198418/Fall-in-safe-haven-assets-threatens-global-financial-stability-warns-IMF.html</w:t>
        </w:r>
      </w:hyperlink>
    </w:p>
    <w:p w:rsidR="00937A52" w:rsidRPr="00682A0E" w:rsidRDefault="00937A52" w:rsidP="00682A0E">
      <w:pPr>
        <w:pStyle w:val="FootnoteText"/>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01D3"/>
    <w:multiLevelType w:val="hybridMultilevel"/>
    <w:tmpl w:val="30DA7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FC3376"/>
    <w:multiLevelType w:val="hybridMultilevel"/>
    <w:tmpl w:val="F04ADA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4A2093"/>
    <w:multiLevelType w:val="hybridMultilevel"/>
    <w:tmpl w:val="FCB0A2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5026714"/>
    <w:multiLevelType w:val="hybridMultilevel"/>
    <w:tmpl w:val="60AE4A8E"/>
    <w:lvl w:ilvl="0" w:tplc="0408000B">
      <w:start w:val="1"/>
      <w:numFmt w:val="bullet"/>
      <w:lvlText w:val=""/>
      <w:lvlJc w:val="left"/>
      <w:pPr>
        <w:ind w:left="840" w:hanging="360"/>
      </w:pPr>
      <w:rPr>
        <w:rFonts w:ascii="Wingdings" w:hAnsi="Wingdings"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4">
    <w:nsid w:val="28F16359"/>
    <w:multiLevelType w:val="hybridMultilevel"/>
    <w:tmpl w:val="713800F8"/>
    <w:lvl w:ilvl="0" w:tplc="0408000B">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5">
    <w:nsid w:val="2B563C96"/>
    <w:multiLevelType w:val="hybridMultilevel"/>
    <w:tmpl w:val="168A01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14A31BC"/>
    <w:multiLevelType w:val="hybridMultilevel"/>
    <w:tmpl w:val="887214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BB83FE0"/>
    <w:multiLevelType w:val="multilevel"/>
    <w:tmpl w:val="4AA64E8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eastAsia="Times New Roman" w:hAnsi="Times New Roman" w:cs="Times New Roman"/>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B66400F"/>
    <w:multiLevelType w:val="hybridMultilevel"/>
    <w:tmpl w:val="A41652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72586B"/>
    <w:multiLevelType w:val="hybridMultilevel"/>
    <w:tmpl w:val="FE7C7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A9146EA"/>
    <w:multiLevelType w:val="hybridMultilevel"/>
    <w:tmpl w:val="61D80B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C53317D"/>
    <w:multiLevelType w:val="hybridMultilevel"/>
    <w:tmpl w:val="3CC0DF3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64FB3511"/>
    <w:multiLevelType w:val="hybridMultilevel"/>
    <w:tmpl w:val="F1A28352"/>
    <w:lvl w:ilvl="0" w:tplc="14C4FD4C">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94F3C5B"/>
    <w:multiLevelType w:val="hybridMultilevel"/>
    <w:tmpl w:val="4C9088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B3174E0"/>
    <w:multiLevelType w:val="hybridMultilevel"/>
    <w:tmpl w:val="F3CC6D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CB76DBB"/>
    <w:multiLevelType w:val="hybridMultilevel"/>
    <w:tmpl w:val="DF988E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F79508E"/>
    <w:multiLevelType w:val="hybridMultilevel"/>
    <w:tmpl w:val="3168E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FD6233B"/>
    <w:multiLevelType w:val="hybridMultilevel"/>
    <w:tmpl w:val="8A6251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4C57F85"/>
    <w:multiLevelType w:val="hybridMultilevel"/>
    <w:tmpl w:val="B688F6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4"/>
  </w:num>
  <w:num w:numId="4">
    <w:abstractNumId w:val="1"/>
  </w:num>
  <w:num w:numId="5">
    <w:abstractNumId w:val="2"/>
  </w:num>
  <w:num w:numId="6">
    <w:abstractNumId w:val="13"/>
  </w:num>
  <w:num w:numId="7">
    <w:abstractNumId w:val="15"/>
  </w:num>
  <w:num w:numId="8">
    <w:abstractNumId w:val="16"/>
  </w:num>
  <w:num w:numId="9">
    <w:abstractNumId w:val="0"/>
  </w:num>
  <w:num w:numId="10">
    <w:abstractNumId w:val="18"/>
  </w:num>
  <w:num w:numId="11">
    <w:abstractNumId w:val="3"/>
  </w:num>
  <w:num w:numId="12">
    <w:abstractNumId w:val="6"/>
  </w:num>
  <w:num w:numId="13">
    <w:abstractNumId w:val="11"/>
  </w:num>
  <w:num w:numId="14">
    <w:abstractNumId w:val="8"/>
  </w:num>
  <w:num w:numId="15">
    <w:abstractNumId w:val="10"/>
  </w:num>
  <w:num w:numId="16">
    <w:abstractNumId w:val="5"/>
  </w:num>
  <w:num w:numId="17">
    <w:abstractNumId w:val="4"/>
  </w:num>
  <w:num w:numId="18">
    <w:abstractNumId w:val="1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2429"/>
    <w:rsid w:val="00017151"/>
    <w:rsid w:val="0002152B"/>
    <w:rsid w:val="00065B3D"/>
    <w:rsid w:val="00075899"/>
    <w:rsid w:val="00081AAC"/>
    <w:rsid w:val="00085BF9"/>
    <w:rsid w:val="000D4234"/>
    <w:rsid w:val="00147525"/>
    <w:rsid w:val="00151CA6"/>
    <w:rsid w:val="00172AB3"/>
    <w:rsid w:val="00183182"/>
    <w:rsid w:val="001879CE"/>
    <w:rsid w:val="00197793"/>
    <w:rsid w:val="001A5723"/>
    <w:rsid w:val="001B677A"/>
    <w:rsid w:val="001C52D4"/>
    <w:rsid w:val="001D139D"/>
    <w:rsid w:val="001D6DC1"/>
    <w:rsid w:val="001F7911"/>
    <w:rsid w:val="00206105"/>
    <w:rsid w:val="00225CEB"/>
    <w:rsid w:val="002502B3"/>
    <w:rsid w:val="00257785"/>
    <w:rsid w:val="002764ED"/>
    <w:rsid w:val="002768ED"/>
    <w:rsid w:val="00285294"/>
    <w:rsid w:val="002860D9"/>
    <w:rsid w:val="00287E64"/>
    <w:rsid w:val="002977AF"/>
    <w:rsid w:val="002A1ADA"/>
    <w:rsid w:val="002A525A"/>
    <w:rsid w:val="002D0647"/>
    <w:rsid w:val="002D51CD"/>
    <w:rsid w:val="002E5CC6"/>
    <w:rsid w:val="002E7F57"/>
    <w:rsid w:val="002F339C"/>
    <w:rsid w:val="00323B01"/>
    <w:rsid w:val="00326143"/>
    <w:rsid w:val="003620A7"/>
    <w:rsid w:val="00366C42"/>
    <w:rsid w:val="00367E3B"/>
    <w:rsid w:val="00393099"/>
    <w:rsid w:val="003B2B43"/>
    <w:rsid w:val="003E039D"/>
    <w:rsid w:val="003F1A89"/>
    <w:rsid w:val="00421A20"/>
    <w:rsid w:val="00423F1F"/>
    <w:rsid w:val="0043036F"/>
    <w:rsid w:val="004309C4"/>
    <w:rsid w:val="00431D55"/>
    <w:rsid w:val="0047228C"/>
    <w:rsid w:val="00484A81"/>
    <w:rsid w:val="00487F34"/>
    <w:rsid w:val="00494B79"/>
    <w:rsid w:val="004A0FFC"/>
    <w:rsid w:val="004A168C"/>
    <w:rsid w:val="004B6E79"/>
    <w:rsid w:val="004D051D"/>
    <w:rsid w:val="00513BB6"/>
    <w:rsid w:val="00516262"/>
    <w:rsid w:val="005226A0"/>
    <w:rsid w:val="00545A15"/>
    <w:rsid w:val="005538FB"/>
    <w:rsid w:val="00565DCC"/>
    <w:rsid w:val="00575A01"/>
    <w:rsid w:val="00580EFE"/>
    <w:rsid w:val="0058370E"/>
    <w:rsid w:val="00590CEB"/>
    <w:rsid w:val="00594DF5"/>
    <w:rsid w:val="005A47C1"/>
    <w:rsid w:val="005C1626"/>
    <w:rsid w:val="005C2B41"/>
    <w:rsid w:val="005C4B66"/>
    <w:rsid w:val="005C6CBE"/>
    <w:rsid w:val="005D79F0"/>
    <w:rsid w:val="005E4CF6"/>
    <w:rsid w:val="00602552"/>
    <w:rsid w:val="00617804"/>
    <w:rsid w:val="0063239A"/>
    <w:rsid w:val="00673FE0"/>
    <w:rsid w:val="00682A0E"/>
    <w:rsid w:val="00685B4B"/>
    <w:rsid w:val="006A6428"/>
    <w:rsid w:val="006C193A"/>
    <w:rsid w:val="006C612E"/>
    <w:rsid w:val="006F055F"/>
    <w:rsid w:val="00705E96"/>
    <w:rsid w:val="007101A7"/>
    <w:rsid w:val="0072391A"/>
    <w:rsid w:val="007679DD"/>
    <w:rsid w:val="007832D7"/>
    <w:rsid w:val="00790430"/>
    <w:rsid w:val="007A54CB"/>
    <w:rsid w:val="007F3001"/>
    <w:rsid w:val="00870508"/>
    <w:rsid w:val="00877744"/>
    <w:rsid w:val="008953B4"/>
    <w:rsid w:val="00895B12"/>
    <w:rsid w:val="008A0EBA"/>
    <w:rsid w:val="008A2559"/>
    <w:rsid w:val="008C3068"/>
    <w:rsid w:val="008D1E1A"/>
    <w:rsid w:val="008D3520"/>
    <w:rsid w:val="00925EC8"/>
    <w:rsid w:val="0093424A"/>
    <w:rsid w:val="00937A52"/>
    <w:rsid w:val="00963696"/>
    <w:rsid w:val="00980B59"/>
    <w:rsid w:val="00987670"/>
    <w:rsid w:val="0099404B"/>
    <w:rsid w:val="009A092A"/>
    <w:rsid w:val="009C0826"/>
    <w:rsid w:val="009E5B38"/>
    <w:rsid w:val="00A01468"/>
    <w:rsid w:val="00A044C2"/>
    <w:rsid w:val="00A13223"/>
    <w:rsid w:val="00A17844"/>
    <w:rsid w:val="00A55FE3"/>
    <w:rsid w:val="00A72089"/>
    <w:rsid w:val="00A81A10"/>
    <w:rsid w:val="00AA0094"/>
    <w:rsid w:val="00AF45E6"/>
    <w:rsid w:val="00AF46E9"/>
    <w:rsid w:val="00B244D0"/>
    <w:rsid w:val="00B37021"/>
    <w:rsid w:val="00B45BFD"/>
    <w:rsid w:val="00B54C5D"/>
    <w:rsid w:val="00B62429"/>
    <w:rsid w:val="00B67B00"/>
    <w:rsid w:val="00B7011B"/>
    <w:rsid w:val="00BA7F74"/>
    <w:rsid w:val="00BB22FE"/>
    <w:rsid w:val="00BC5857"/>
    <w:rsid w:val="00BF578D"/>
    <w:rsid w:val="00C05EE6"/>
    <w:rsid w:val="00C128C7"/>
    <w:rsid w:val="00C1778D"/>
    <w:rsid w:val="00C370B6"/>
    <w:rsid w:val="00C71052"/>
    <w:rsid w:val="00C72B87"/>
    <w:rsid w:val="00C7320E"/>
    <w:rsid w:val="00C757A5"/>
    <w:rsid w:val="00C92DD0"/>
    <w:rsid w:val="00CB0AAB"/>
    <w:rsid w:val="00CC6B4F"/>
    <w:rsid w:val="00CE09D3"/>
    <w:rsid w:val="00D040A9"/>
    <w:rsid w:val="00D05016"/>
    <w:rsid w:val="00D167A3"/>
    <w:rsid w:val="00D45E09"/>
    <w:rsid w:val="00D542DA"/>
    <w:rsid w:val="00DC1575"/>
    <w:rsid w:val="00DC1998"/>
    <w:rsid w:val="00DC5CC8"/>
    <w:rsid w:val="00E02C78"/>
    <w:rsid w:val="00E13554"/>
    <w:rsid w:val="00E23DB7"/>
    <w:rsid w:val="00E33CB8"/>
    <w:rsid w:val="00E56410"/>
    <w:rsid w:val="00E8277A"/>
    <w:rsid w:val="00EA4F22"/>
    <w:rsid w:val="00ED7A45"/>
    <w:rsid w:val="00ED7B37"/>
    <w:rsid w:val="00F11F09"/>
    <w:rsid w:val="00F156CD"/>
    <w:rsid w:val="00F16A1A"/>
    <w:rsid w:val="00F17C1C"/>
    <w:rsid w:val="00F24EE8"/>
    <w:rsid w:val="00F2720A"/>
    <w:rsid w:val="00F27F61"/>
    <w:rsid w:val="00F413E8"/>
    <w:rsid w:val="00F46699"/>
    <w:rsid w:val="00F57E5D"/>
    <w:rsid w:val="00F81E58"/>
    <w:rsid w:val="00F94AA9"/>
    <w:rsid w:val="00FD08EA"/>
    <w:rsid w:val="00FE4FEF"/>
    <w:rsid w:val="00FF6F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29"/>
  </w:style>
  <w:style w:type="paragraph" w:styleId="Heading1">
    <w:name w:val="heading 1"/>
    <w:basedOn w:val="Normal"/>
    <w:next w:val="Normal"/>
    <w:link w:val="Heading1Char"/>
    <w:uiPriority w:val="9"/>
    <w:qFormat/>
    <w:rsid w:val="00B62429"/>
    <w:pPr>
      <w:keepNext/>
      <w:numPr>
        <w:numId w:val="1"/>
      </w:numPr>
      <w:spacing w:before="240" w:after="60" w:line="240" w:lineRule="auto"/>
      <w:outlineLvl w:val="0"/>
    </w:pPr>
    <w:rPr>
      <w:rFonts w:ascii="Arial" w:eastAsia="Times New Roman" w:hAnsi="Arial" w:cs="Arial"/>
      <w:b/>
      <w:bCs/>
      <w:kern w:val="32"/>
      <w:sz w:val="28"/>
      <w:szCs w:val="32"/>
      <w:lang w:val="en-GB"/>
    </w:rPr>
  </w:style>
  <w:style w:type="paragraph" w:styleId="Heading2">
    <w:name w:val="heading 2"/>
    <w:basedOn w:val="Normal"/>
    <w:next w:val="Normal"/>
    <w:link w:val="Heading2Char"/>
    <w:qFormat/>
    <w:rsid w:val="00B62429"/>
    <w:pPr>
      <w:keepNext/>
      <w:numPr>
        <w:ilvl w:val="1"/>
        <w:numId w:val="1"/>
      </w:numPr>
      <w:spacing w:before="240" w:after="60" w:line="240" w:lineRule="auto"/>
      <w:outlineLvl w:val="1"/>
    </w:pPr>
    <w:rPr>
      <w:rFonts w:ascii="Arial" w:eastAsia="Times New Roman" w:hAnsi="Arial" w:cs="Arial"/>
      <w:b/>
      <w:bCs/>
      <w:i/>
      <w:iCs/>
      <w:szCs w:val="28"/>
      <w:lang w:val="en-GB"/>
    </w:rPr>
  </w:style>
  <w:style w:type="paragraph" w:styleId="Heading3">
    <w:name w:val="heading 3"/>
    <w:basedOn w:val="Normal"/>
    <w:next w:val="Normal"/>
    <w:link w:val="Heading3Char"/>
    <w:qFormat/>
    <w:rsid w:val="00B62429"/>
    <w:pPr>
      <w:keepNext/>
      <w:numPr>
        <w:ilvl w:val="2"/>
        <w:numId w:val="1"/>
      </w:numPr>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B62429"/>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B62429"/>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B62429"/>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B62429"/>
    <w:pPr>
      <w:numPr>
        <w:ilvl w:val="6"/>
        <w:numId w:val="1"/>
      </w:numPr>
      <w:spacing w:before="240" w:after="60" w:line="240" w:lineRule="auto"/>
      <w:outlineLvl w:val="6"/>
    </w:pPr>
    <w:rPr>
      <w:rFonts w:ascii="Times New Roman" w:eastAsia="Times New Roman" w:hAnsi="Times New Roman" w:cs="Times New Roman"/>
      <w:szCs w:val="24"/>
      <w:lang w:val="en-GB"/>
    </w:rPr>
  </w:style>
  <w:style w:type="paragraph" w:styleId="Heading8">
    <w:name w:val="heading 8"/>
    <w:basedOn w:val="Normal"/>
    <w:next w:val="Normal"/>
    <w:link w:val="Heading8Char"/>
    <w:qFormat/>
    <w:rsid w:val="00B62429"/>
    <w:pPr>
      <w:numPr>
        <w:ilvl w:val="7"/>
        <w:numId w:val="1"/>
      </w:numPr>
      <w:spacing w:before="240" w:after="60" w:line="240" w:lineRule="auto"/>
      <w:outlineLvl w:val="7"/>
    </w:pPr>
    <w:rPr>
      <w:rFonts w:ascii="Times New Roman" w:eastAsia="Times New Roman" w:hAnsi="Times New Roman" w:cs="Times New Roman"/>
      <w:i/>
      <w:iCs/>
      <w:szCs w:val="24"/>
      <w:lang w:val="en-GB"/>
    </w:rPr>
  </w:style>
  <w:style w:type="paragraph" w:styleId="Heading9">
    <w:name w:val="heading 9"/>
    <w:basedOn w:val="Normal"/>
    <w:next w:val="Normal"/>
    <w:link w:val="Heading9Char"/>
    <w:qFormat/>
    <w:rsid w:val="00B62429"/>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429"/>
    <w:rPr>
      <w:rFonts w:ascii="Arial" w:eastAsia="Times New Roman" w:hAnsi="Arial" w:cs="Arial"/>
      <w:b/>
      <w:bCs/>
      <w:kern w:val="32"/>
      <w:sz w:val="28"/>
      <w:szCs w:val="32"/>
      <w:lang w:val="en-GB"/>
    </w:rPr>
  </w:style>
  <w:style w:type="character" w:customStyle="1" w:styleId="Heading2Char">
    <w:name w:val="Heading 2 Char"/>
    <w:basedOn w:val="DefaultParagraphFont"/>
    <w:link w:val="Heading2"/>
    <w:rsid w:val="00B62429"/>
    <w:rPr>
      <w:rFonts w:ascii="Arial" w:eastAsia="Times New Roman" w:hAnsi="Arial" w:cs="Arial"/>
      <w:b/>
      <w:bCs/>
      <w:i/>
      <w:iCs/>
      <w:szCs w:val="28"/>
      <w:lang w:val="en-GB"/>
    </w:rPr>
  </w:style>
  <w:style w:type="character" w:customStyle="1" w:styleId="Heading3Char">
    <w:name w:val="Heading 3 Char"/>
    <w:basedOn w:val="DefaultParagraphFont"/>
    <w:link w:val="Heading3"/>
    <w:rsid w:val="00B62429"/>
    <w:rPr>
      <w:rFonts w:ascii="Arial" w:eastAsia="Times New Roman" w:hAnsi="Arial" w:cs="Arial"/>
      <w:b/>
      <w:bCs/>
      <w:sz w:val="26"/>
      <w:szCs w:val="26"/>
      <w:lang w:val="en-GB"/>
    </w:rPr>
  </w:style>
  <w:style w:type="character" w:customStyle="1" w:styleId="Heading4Char">
    <w:name w:val="Heading 4 Char"/>
    <w:basedOn w:val="DefaultParagraphFont"/>
    <w:link w:val="Heading4"/>
    <w:rsid w:val="00B6242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62429"/>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B6242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B62429"/>
    <w:rPr>
      <w:rFonts w:ascii="Times New Roman" w:eastAsia="Times New Roman" w:hAnsi="Times New Roman" w:cs="Times New Roman"/>
      <w:szCs w:val="24"/>
      <w:lang w:val="en-GB"/>
    </w:rPr>
  </w:style>
  <w:style w:type="character" w:customStyle="1" w:styleId="Heading8Char">
    <w:name w:val="Heading 8 Char"/>
    <w:basedOn w:val="DefaultParagraphFont"/>
    <w:link w:val="Heading8"/>
    <w:rsid w:val="00B62429"/>
    <w:rPr>
      <w:rFonts w:ascii="Times New Roman" w:eastAsia="Times New Roman" w:hAnsi="Times New Roman" w:cs="Times New Roman"/>
      <w:i/>
      <w:iCs/>
      <w:szCs w:val="24"/>
      <w:lang w:val="en-GB"/>
    </w:rPr>
  </w:style>
  <w:style w:type="character" w:customStyle="1" w:styleId="Heading9Char">
    <w:name w:val="Heading 9 Char"/>
    <w:basedOn w:val="DefaultParagraphFont"/>
    <w:link w:val="Heading9"/>
    <w:rsid w:val="00B62429"/>
    <w:rPr>
      <w:rFonts w:ascii="Arial" w:eastAsia="Times New Roman" w:hAnsi="Arial" w:cs="Arial"/>
      <w:lang w:val="en-GB"/>
    </w:rPr>
  </w:style>
  <w:style w:type="paragraph" w:styleId="NormalWeb">
    <w:name w:val="Normal (Web)"/>
    <w:basedOn w:val="Normal"/>
    <w:uiPriority w:val="99"/>
    <w:unhideWhenUsed/>
    <w:rsid w:val="00B62429"/>
    <w:pPr>
      <w:spacing w:before="100" w:beforeAutospacing="1" w:after="100" w:afterAutospacing="1" w:line="240" w:lineRule="auto"/>
    </w:pPr>
    <w:rPr>
      <w:rFonts w:ascii="Times New Roman" w:eastAsiaTheme="minorEastAsia" w:hAnsi="Times New Roman" w:cs="Times New Roman"/>
      <w:sz w:val="24"/>
      <w:szCs w:val="24"/>
      <w:lang w:eastAsia="el-GR"/>
    </w:rPr>
  </w:style>
  <w:style w:type="character" w:styleId="CommentReference">
    <w:name w:val="annotation reference"/>
    <w:basedOn w:val="DefaultParagraphFont"/>
    <w:uiPriority w:val="99"/>
    <w:semiHidden/>
    <w:unhideWhenUsed/>
    <w:rsid w:val="00B62429"/>
    <w:rPr>
      <w:sz w:val="16"/>
      <w:szCs w:val="16"/>
    </w:rPr>
  </w:style>
  <w:style w:type="paragraph" w:styleId="CommentText">
    <w:name w:val="annotation text"/>
    <w:basedOn w:val="Normal"/>
    <w:link w:val="CommentTextChar"/>
    <w:uiPriority w:val="99"/>
    <w:semiHidden/>
    <w:unhideWhenUsed/>
    <w:rsid w:val="00B62429"/>
    <w:pPr>
      <w:spacing w:line="240" w:lineRule="auto"/>
    </w:pPr>
    <w:rPr>
      <w:sz w:val="20"/>
      <w:szCs w:val="20"/>
    </w:rPr>
  </w:style>
  <w:style w:type="character" w:customStyle="1" w:styleId="CommentTextChar">
    <w:name w:val="Comment Text Char"/>
    <w:basedOn w:val="DefaultParagraphFont"/>
    <w:link w:val="CommentText"/>
    <w:uiPriority w:val="99"/>
    <w:semiHidden/>
    <w:rsid w:val="00B62429"/>
    <w:rPr>
      <w:sz w:val="20"/>
      <w:szCs w:val="20"/>
    </w:rPr>
  </w:style>
  <w:style w:type="paragraph" w:styleId="FootnoteText">
    <w:name w:val="footnote text"/>
    <w:basedOn w:val="Normal"/>
    <w:link w:val="FootnoteTextChar"/>
    <w:uiPriority w:val="99"/>
    <w:unhideWhenUsed/>
    <w:rsid w:val="00B62429"/>
    <w:pPr>
      <w:spacing w:after="0" w:line="240" w:lineRule="auto"/>
    </w:pPr>
    <w:rPr>
      <w:sz w:val="20"/>
      <w:szCs w:val="20"/>
    </w:rPr>
  </w:style>
  <w:style w:type="character" w:customStyle="1" w:styleId="FootnoteTextChar">
    <w:name w:val="Footnote Text Char"/>
    <w:basedOn w:val="DefaultParagraphFont"/>
    <w:link w:val="FootnoteText"/>
    <w:uiPriority w:val="99"/>
    <w:rsid w:val="00B62429"/>
    <w:rPr>
      <w:sz w:val="20"/>
      <w:szCs w:val="20"/>
    </w:rPr>
  </w:style>
  <w:style w:type="character" w:styleId="FootnoteReference">
    <w:name w:val="footnote reference"/>
    <w:basedOn w:val="DefaultParagraphFont"/>
    <w:uiPriority w:val="99"/>
    <w:semiHidden/>
    <w:unhideWhenUsed/>
    <w:rsid w:val="00B62429"/>
    <w:rPr>
      <w:vertAlign w:val="superscript"/>
    </w:rPr>
  </w:style>
  <w:style w:type="paragraph" w:styleId="Caption">
    <w:name w:val="caption"/>
    <w:basedOn w:val="Normal"/>
    <w:next w:val="Normal"/>
    <w:uiPriority w:val="35"/>
    <w:unhideWhenUsed/>
    <w:qFormat/>
    <w:rsid w:val="00B62429"/>
    <w:pPr>
      <w:spacing w:line="240" w:lineRule="auto"/>
    </w:pPr>
    <w:rPr>
      <w:b/>
      <w:bCs/>
      <w:color w:val="4F81BD" w:themeColor="accent1"/>
      <w:sz w:val="18"/>
      <w:szCs w:val="18"/>
    </w:rPr>
  </w:style>
  <w:style w:type="paragraph" w:styleId="ListParagraph">
    <w:name w:val="List Paragraph"/>
    <w:basedOn w:val="Normal"/>
    <w:uiPriority w:val="34"/>
    <w:qFormat/>
    <w:rsid w:val="00B62429"/>
    <w:pPr>
      <w:ind w:left="720"/>
      <w:contextualSpacing/>
    </w:pPr>
  </w:style>
  <w:style w:type="character" w:customStyle="1" w:styleId="a">
    <w:name w:val="a"/>
    <w:basedOn w:val="DefaultParagraphFont"/>
    <w:rsid w:val="00B62429"/>
  </w:style>
  <w:style w:type="character" w:customStyle="1" w:styleId="apple-converted-space">
    <w:name w:val="apple-converted-space"/>
    <w:basedOn w:val="DefaultParagraphFont"/>
    <w:rsid w:val="00B62429"/>
  </w:style>
  <w:style w:type="character" w:styleId="Hyperlink">
    <w:name w:val="Hyperlink"/>
    <w:basedOn w:val="DefaultParagraphFont"/>
    <w:uiPriority w:val="99"/>
    <w:unhideWhenUsed/>
    <w:rsid w:val="00B62429"/>
    <w:rPr>
      <w:color w:val="0000FF"/>
      <w:u w:val="single"/>
    </w:rPr>
  </w:style>
  <w:style w:type="paragraph" w:styleId="BalloonText">
    <w:name w:val="Balloon Text"/>
    <w:basedOn w:val="Normal"/>
    <w:link w:val="BalloonTextChar"/>
    <w:uiPriority w:val="99"/>
    <w:semiHidden/>
    <w:unhideWhenUsed/>
    <w:rsid w:val="00B62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29"/>
    <w:rPr>
      <w:rFonts w:ascii="Tahoma" w:hAnsi="Tahoma" w:cs="Tahoma"/>
      <w:sz w:val="16"/>
      <w:szCs w:val="16"/>
    </w:rPr>
  </w:style>
  <w:style w:type="paragraph" w:styleId="TOC1">
    <w:name w:val="toc 1"/>
    <w:basedOn w:val="Normal"/>
    <w:next w:val="Normal"/>
    <w:autoRedefine/>
    <w:uiPriority w:val="39"/>
    <w:rsid w:val="00B54C5D"/>
    <w:pPr>
      <w:tabs>
        <w:tab w:val="left" w:pos="8931"/>
        <w:tab w:val="left" w:pos="9356"/>
      </w:tabs>
      <w:spacing w:after="0" w:line="240" w:lineRule="auto"/>
      <w:jc w:val="both"/>
    </w:pPr>
    <w:rPr>
      <w:rFonts w:ascii="Times New Roman" w:eastAsia="Times New Roman" w:hAnsi="Times New Roman" w:cs="Times New Roman"/>
      <w:noProof/>
      <w:sz w:val="24"/>
      <w:szCs w:val="24"/>
      <w:lang w:val="en-US"/>
    </w:rPr>
  </w:style>
  <w:style w:type="paragraph" w:styleId="TOC2">
    <w:name w:val="toc 2"/>
    <w:basedOn w:val="Normal"/>
    <w:next w:val="Normal"/>
    <w:autoRedefine/>
    <w:semiHidden/>
    <w:rsid w:val="00B62429"/>
    <w:pPr>
      <w:tabs>
        <w:tab w:val="left" w:pos="960"/>
        <w:tab w:val="right" w:leader="dot" w:pos="9000"/>
      </w:tabs>
      <w:spacing w:after="0" w:line="360" w:lineRule="auto"/>
      <w:ind w:left="238"/>
    </w:pPr>
    <w:rPr>
      <w:rFonts w:ascii="Times New Roman" w:eastAsia="Times New Roman" w:hAnsi="Times New Roman" w:cs="Times New Roman"/>
      <w:szCs w:val="24"/>
      <w:lang w:val="en-GB"/>
    </w:rPr>
  </w:style>
  <w:style w:type="paragraph" w:styleId="TOC3">
    <w:name w:val="toc 3"/>
    <w:basedOn w:val="Normal"/>
    <w:next w:val="Normal"/>
    <w:autoRedefine/>
    <w:semiHidden/>
    <w:rsid w:val="00B62429"/>
    <w:pPr>
      <w:widowControl w:val="0"/>
      <w:tabs>
        <w:tab w:val="right" w:leader="dot" w:pos="9000"/>
      </w:tabs>
      <w:spacing w:after="0" w:line="360" w:lineRule="auto"/>
      <w:ind w:left="425"/>
    </w:pPr>
    <w:rPr>
      <w:rFonts w:ascii="Times New Roman" w:eastAsia="Times New Roman" w:hAnsi="Times New Roman" w:cs="Times New Roman"/>
      <w:szCs w:val="24"/>
      <w:lang w:val="en-GB"/>
    </w:rPr>
  </w:style>
  <w:style w:type="paragraph" w:styleId="Header">
    <w:name w:val="header"/>
    <w:basedOn w:val="Normal"/>
    <w:link w:val="HeaderChar"/>
    <w:uiPriority w:val="99"/>
    <w:semiHidden/>
    <w:unhideWhenUsed/>
    <w:rsid w:val="001A572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A5723"/>
  </w:style>
  <w:style w:type="paragraph" w:styleId="Footer">
    <w:name w:val="footer"/>
    <w:basedOn w:val="Normal"/>
    <w:link w:val="FooterChar"/>
    <w:uiPriority w:val="99"/>
    <w:unhideWhenUsed/>
    <w:rsid w:val="001A57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5723"/>
  </w:style>
  <w:style w:type="character" w:styleId="FollowedHyperlink">
    <w:name w:val="FollowedHyperlink"/>
    <w:basedOn w:val="DefaultParagraphFont"/>
    <w:uiPriority w:val="99"/>
    <w:semiHidden/>
    <w:unhideWhenUsed/>
    <w:rsid w:val="001B677A"/>
    <w:rPr>
      <w:color w:val="800080" w:themeColor="followedHyperlink"/>
      <w:u w:val="single"/>
    </w:rPr>
  </w:style>
  <w:style w:type="paragraph" w:customStyle="1" w:styleId="Default">
    <w:name w:val="Default"/>
    <w:rsid w:val="002D51CD"/>
    <w:pPr>
      <w:autoSpaceDE w:val="0"/>
      <w:autoSpaceDN w:val="0"/>
      <w:adjustRightInd w:val="0"/>
      <w:spacing w:after="0" w:line="240" w:lineRule="auto"/>
    </w:pPr>
    <w:rPr>
      <w:rFonts w:ascii="Arial" w:hAnsi="Arial" w:cs="Arial"/>
      <w:color w:val="000000"/>
      <w:sz w:val="24"/>
      <w:szCs w:val="24"/>
      <w:lang w:val="en-US"/>
    </w:rPr>
  </w:style>
  <w:style w:type="character" w:customStyle="1" w:styleId="CommentSubjectChar">
    <w:name w:val="Comment Subject Char"/>
    <w:basedOn w:val="CommentTextChar"/>
    <w:link w:val="CommentSubject"/>
    <w:uiPriority w:val="99"/>
    <w:semiHidden/>
    <w:rsid w:val="002D51CD"/>
    <w:rPr>
      <w:rFonts w:ascii="Times New Roman" w:hAnsi="Times New Roman" w:cs="Times New Roman"/>
      <w:b/>
      <w:bCs/>
      <w:lang w:val="en-US"/>
    </w:rPr>
  </w:style>
  <w:style w:type="paragraph" w:styleId="CommentSubject">
    <w:name w:val="annotation subject"/>
    <w:basedOn w:val="CommentText"/>
    <w:next w:val="CommentText"/>
    <w:link w:val="CommentSubjectChar"/>
    <w:uiPriority w:val="99"/>
    <w:semiHidden/>
    <w:unhideWhenUsed/>
    <w:rsid w:val="002D51CD"/>
    <w:rPr>
      <w:rFonts w:ascii="Times New Roman" w:hAnsi="Times New Roman" w:cs="Times New Roman"/>
      <w:b/>
      <w:bCs/>
      <w:lang w:val="en-US"/>
    </w:rPr>
  </w:style>
  <w:style w:type="character" w:customStyle="1" w:styleId="searchword">
    <w:name w:val="searchword"/>
    <w:basedOn w:val="DefaultParagraphFont"/>
    <w:rsid w:val="002D51CD"/>
  </w:style>
  <w:style w:type="table" w:styleId="TableGrid">
    <w:name w:val="Table Grid"/>
    <w:basedOn w:val="TableNormal"/>
    <w:uiPriority w:val="59"/>
    <w:rsid w:val="002D51C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E56410"/>
    <w:pPr>
      <w:spacing w:after="0" w:line="240" w:lineRule="auto"/>
    </w:pPr>
    <w:rPr>
      <w:rFonts w:ascii="Times New Roman" w:hAnsi="Times New Roman" w:cs="Times New Roman"/>
      <w:color w:val="76923C" w:themeColor="accent3" w:themeShade="BF"/>
      <w:sz w:val="24"/>
      <w:szCs w:val="24"/>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lead">
    <w:name w:val="lead"/>
    <w:basedOn w:val="Normal"/>
    <w:rsid w:val="00E5641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TOCHeading">
    <w:name w:val="TOC Heading"/>
    <w:basedOn w:val="Heading1"/>
    <w:next w:val="Normal"/>
    <w:uiPriority w:val="39"/>
    <w:semiHidden/>
    <w:unhideWhenUsed/>
    <w:qFormat/>
    <w:rsid w:val="00B45BF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hwab.com/public/schwab/investing?src=nay" TargetMode="External"/><Relationship Id="rId18" Type="http://schemas.openxmlformats.org/officeDocument/2006/relationships/hyperlink" Target="http://ideas.repec.org/p/cii/cepidt/2010-13.html" TargetMode="External"/><Relationship Id="rId26" Type="http://schemas.openxmlformats.org/officeDocument/2006/relationships/hyperlink" Target="http://oxforddictionaries.com/definition/english/sentiment?q=sentiment" TargetMode="External"/><Relationship Id="rId39" Type="http://schemas.openxmlformats.org/officeDocument/2006/relationships/hyperlink" Target="http://www.rbsm.com/psp/public/pagebuilder.aspx?page=rp0135" TargetMode="External"/><Relationship Id="rId21" Type="http://schemas.openxmlformats.org/officeDocument/2006/relationships/hyperlink" Target="http://articles.marketwatch.com/2011-08-19/investing/30758752_1_jefferies-crb-index-commodities-safe-haven" TargetMode="External"/><Relationship Id="rId34" Type="http://schemas.openxmlformats.org/officeDocument/2006/relationships/hyperlink" Target="http://www.ft.com/intl/cms/s/0/9e46903e-a4ec-11e1-b421-00144feabdc0.html" TargetMode="External"/><Relationship Id="rId42" Type="http://schemas.openxmlformats.org/officeDocument/2006/relationships/hyperlink" Target="http://en.wikipedia.org/wiki/Frankfurt_Stock_Exchange" TargetMode="Externa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yperlink" Target="http://www.investopedia.com/terms/p/putcallratio.asp" TargetMode="External"/><Relationship Id="rId17" Type="http://schemas.openxmlformats.org/officeDocument/2006/relationships/hyperlink" Target="http://papers.ssrn.com/sol3/papers.cfm?abstract_id=1415226" TargetMode="External"/><Relationship Id="rId25" Type="http://schemas.openxmlformats.org/officeDocument/2006/relationships/hyperlink" Target="http://online.wsj.com/article/SB20001424052970203764804577060542418224620.html" TargetMode="External"/><Relationship Id="rId33" Type="http://schemas.openxmlformats.org/officeDocument/2006/relationships/hyperlink" Target="http://www.ft.com/intl/cms/s/0/423e75ac-d068-11dc-9309-0000779fd2ac.html" TargetMode="External"/><Relationship Id="rId38" Type="http://schemas.openxmlformats.org/officeDocument/2006/relationships/hyperlink" Target="http://www.ropercenter.uconn.edu/data_access/data/datasets/ubs_investor.html" TargetMode="External"/><Relationship Id="rId46"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pimco.com/Pages/default.aspx" TargetMode="External"/><Relationship Id="rId20" Type="http://schemas.openxmlformats.org/officeDocument/2006/relationships/hyperlink" Target="http://www.econ.ucdavis.edu/graduate/mgrabner/research/microfoundations.pdf" TargetMode="External"/><Relationship Id="rId29" Type="http://schemas.openxmlformats.org/officeDocument/2006/relationships/hyperlink" Target="http://www.businessinsider.com/the-next-big-safe-haven-currencies-2011-9?op=1" TargetMode="External"/><Relationship Id="rId41" Type="http://schemas.openxmlformats.org/officeDocument/2006/relationships/hyperlink" Target="http://en.wikipedia.org/wiki/Germany" TargetMode="External"/><Relationship Id="rId54"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DAX" TargetMode="External"/><Relationship Id="rId24" Type="http://schemas.openxmlformats.org/officeDocument/2006/relationships/hyperlink" Target="http://mba.tuck.dartmouth.edu/pages/faculty/ken.french/Data_Library/details_european.html" TargetMode="External"/><Relationship Id="rId32" Type="http://schemas.openxmlformats.org/officeDocument/2006/relationships/hyperlink" Target="http://www.forbes.com/sites/kenrapoza/2012/05/30/when-flight-to-safety-means-flight-to-liabilities/" TargetMode="External"/><Relationship Id="rId37" Type="http://schemas.openxmlformats.org/officeDocument/2006/relationships/hyperlink" Target="http://www.telegraph.co.uk/finance/economics/9198418/Fall-in-safe-haven-assets-threatens-global-financial-stability-warns-IMF.html" TargetMode="External"/><Relationship Id="rId40" Type="http://schemas.openxmlformats.org/officeDocument/2006/relationships/footer" Target="footer1.xml"/><Relationship Id="rId45" Type="http://schemas.openxmlformats.org/officeDocument/2006/relationships/image" Target="media/image3.png"/><Relationship Id="rId53" Type="http://schemas.openxmlformats.org/officeDocument/2006/relationships/image" Target="media/image11.pn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Breusch%E2%80%93Pagan_test" TargetMode="External"/><Relationship Id="rId23" Type="http://schemas.openxmlformats.org/officeDocument/2006/relationships/hyperlink" Target="http://mba.tuck.dartmouth.edu/pages/faculty/ken.french/Data_Library/details_northamerica.html" TargetMode="External"/><Relationship Id="rId28" Type="http://schemas.openxmlformats.org/officeDocument/2006/relationships/hyperlink" Target="http://www.bloomberg.com/news/2011-09-13/the-risks-lurking-in-treasury-bonds.html" TargetMode="External"/><Relationship Id="rId36" Type="http://schemas.openxmlformats.org/officeDocument/2006/relationships/hyperlink" Target="http://www.reuters.com/article/2011/08/26/us-markets-investors-safety-idUSTRE77P1Y220110826" TargetMode="External"/><Relationship Id="rId49" Type="http://schemas.openxmlformats.org/officeDocument/2006/relationships/image" Target="media/image7.png"/><Relationship Id="rId57" Type="http://schemas.openxmlformats.org/officeDocument/2006/relationships/fontTable" Target="fontTable.xml"/><Relationship Id="rId10" Type="http://schemas.openxmlformats.org/officeDocument/2006/relationships/hyperlink" Target="http://en.wikipedia.org/wiki/Implied_volatility" TargetMode="External"/><Relationship Id="rId19" Type="http://schemas.openxmlformats.org/officeDocument/2006/relationships/hyperlink" Target="http://ideas.repec.org/s/cii/cepidt.html" TargetMode="External"/><Relationship Id="rId31" Type="http://schemas.openxmlformats.org/officeDocument/2006/relationships/hyperlink" Target="http://www.forbes.com/2009/08/28/put-call-ratio-personal-finance-investing-ideas-larry-mcmillan.html" TargetMode="External"/><Relationship Id="rId44" Type="http://schemas.openxmlformats.org/officeDocument/2006/relationships/hyperlink" Target="http://en.wikipedia.org/wiki/Germany" TargetMode="External"/><Relationship Id="rId52"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wikipedia.org/wiki/Breusch%E2%80%93Godfrey_test" TargetMode="External"/><Relationship Id="rId22" Type="http://schemas.openxmlformats.org/officeDocument/2006/relationships/hyperlink" Target="http://ftalphaville.ft.com/blog/2008/12/01/18877/dr-doom-on-volatility-and-gold-gold-gold/" TargetMode="External"/><Relationship Id="rId27" Type="http://schemas.openxmlformats.org/officeDocument/2006/relationships/hyperlink" Target="http://www.aaii.com/sentimentsurvey" TargetMode="External"/><Relationship Id="rId30" Type="http://schemas.openxmlformats.org/officeDocument/2006/relationships/hyperlink" Target="http://www.economist.com/blogs/dailychart/2011/07/gold-and-swiss-franc" TargetMode="External"/><Relationship Id="rId35" Type="http://schemas.openxmlformats.org/officeDocument/2006/relationships/hyperlink" Target="http://www.nytimes.com/2012/05/13/your-money/investors-flights-to-safety-cant-hide-the-danger.html?_r=1" TargetMode="External"/><Relationship Id="rId43" Type="http://schemas.openxmlformats.org/officeDocument/2006/relationships/hyperlink" Target="http://en.wikipedia.org/wiki/Stock_market_index" TargetMode="External"/><Relationship Id="rId48" Type="http://schemas.openxmlformats.org/officeDocument/2006/relationships/image" Target="media/image6.png"/><Relationship Id="rId56" Type="http://schemas.openxmlformats.org/officeDocument/2006/relationships/image" Target="media/image14.png"/><Relationship Id="rId8" Type="http://schemas.openxmlformats.org/officeDocument/2006/relationships/image" Target="media/image1.png"/><Relationship Id="rId51" Type="http://schemas.openxmlformats.org/officeDocument/2006/relationships/image" Target="media/image9.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reuters.com/article/2011/08/26/us-markets-investors-safety-idUSTRE77P1Y220110826" TargetMode="External"/><Relationship Id="rId3" Type="http://schemas.openxmlformats.org/officeDocument/2006/relationships/hyperlink" Target="http://ftalphaville.ft.com/blog/2008/12/01/18877/dr-doom-on-volatility-and-gold-gold-gold/" TargetMode="External"/><Relationship Id="rId7" Type="http://schemas.openxmlformats.org/officeDocument/2006/relationships/hyperlink" Target="http://mba.tuck.dartmouth.edu/pages/faculty/ken.french/Data_Library/details_northamerica.html" TargetMode="External"/><Relationship Id="rId2" Type="http://schemas.openxmlformats.org/officeDocument/2006/relationships/hyperlink" Target="http://www.economist.com/blogs/dailychart/2011/07/gold-and-swiss-franc" TargetMode="External"/><Relationship Id="rId1" Type="http://schemas.openxmlformats.org/officeDocument/2006/relationships/hyperlink" Target="http://www.aaii.com/sentimentsurvey" TargetMode="External"/><Relationship Id="rId6" Type="http://schemas.openxmlformats.org/officeDocument/2006/relationships/hyperlink" Target="http://mba.tuck.dartmouth.edu/pages/faculty/ken.french/Data_Library/details_european.html" TargetMode="External"/><Relationship Id="rId5" Type="http://schemas.openxmlformats.org/officeDocument/2006/relationships/hyperlink" Target="http://www.forbes.com/2009/08/28/put-call-ratio-personal-finance-investing-ideas-larry-mcmillan.html" TargetMode="External"/><Relationship Id="rId4" Type="http://schemas.openxmlformats.org/officeDocument/2006/relationships/hyperlink" Target="http://www.businessinsider.com/the-next-big-safe-haven-currencies-2011-9?op=1" TargetMode="External"/><Relationship Id="rId9" Type="http://schemas.openxmlformats.org/officeDocument/2006/relationships/hyperlink" Target="http://www.telegraph.co.uk/finance/economics/9198418/Fall-in-safe-haven-assets-threatens-global-financial-stability-warns-IMF.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BA38B58-96D1-4B8E-A539-ADB2BF3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26515</Words>
  <Characters>151141</Characters>
  <Application>Microsoft Office Word</Application>
  <DocSecurity>4</DocSecurity>
  <Lines>1259</Lines>
  <Paragraphs>354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Ντάσου</dc:creator>
  <cp:lastModifiedBy>Helene L. Molenaar</cp:lastModifiedBy>
  <cp:revision>2</cp:revision>
  <dcterms:created xsi:type="dcterms:W3CDTF">2012-11-06T10:58:00Z</dcterms:created>
  <dcterms:modified xsi:type="dcterms:W3CDTF">2012-11-06T10:58:00Z</dcterms:modified>
</cp:coreProperties>
</file>