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49" w:rsidRPr="00515E54" w:rsidRDefault="00C05149" w:rsidP="00515E54">
      <w:pPr>
        <w:pStyle w:val="NoSpacing"/>
        <w:rPr>
          <w:sz w:val="20"/>
          <w:szCs w:val="20"/>
        </w:rPr>
      </w:pPr>
      <w:r w:rsidRPr="00515E54">
        <w:rPr>
          <w:sz w:val="20"/>
          <w:szCs w:val="20"/>
        </w:rPr>
        <w:t>ERASMUS UNIVERSITY ROTTERDAM</w:t>
      </w:r>
    </w:p>
    <w:p w:rsidR="00C05149" w:rsidRPr="00515E54" w:rsidRDefault="00C05149" w:rsidP="00515E54">
      <w:pPr>
        <w:pStyle w:val="NoSpacing"/>
        <w:rPr>
          <w:sz w:val="20"/>
          <w:szCs w:val="20"/>
        </w:rPr>
      </w:pPr>
      <w:r w:rsidRPr="00515E54">
        <w:rPr>
          <w:sz w:val="20"/>
          <w:szCs w:val="20"/>
        </w:rPr>
        <w:t>ERASMUS SCHOOL OF ECONOMICS</w:t>
      </w:r>
    </w:p>
    <w:p w:rsidR="00C05149" w:rsidRPr="00515E54" w:rsidRDefault="00C05149" w:rsidP="00515E54">
      <w:pPr>
        <w:pStyle w:val="NoSpacing"/>
        <w:rPr>
          <w:sz w:val="20"/>
          <w:szCs w:val="20"/>
        </w:rPr>
      </w:pPr>
      <w:r w:rsidRPr="00515E54">
        <w:rPr>
          <w:sz w:val="20"/>
          <w:szCs w:val="20"/>
        </w:rPr>
        <w:t>MSc Economics &amp; Business</w:t>
      </w:r>
    </w:p>
    <w:p w:rsidR="00C05149" w:rsidRPr="00515E54" w:rsidRDefault="00C05149" w:rsidP="00515E54">
      <w:pPr>
        <w:pStyle w:val="NoSpacing"/>
        <w:rPr>
          <w:sz w:val="20"/>
          <w:szCs w:val="20"/>
        </w:rPr>
      </w:pPr>
      <w:r w:rsidRPr="00515E54">
        <w:rPr>
          <w:sz w:val="20"/>
          <w:szCs w:val="20"/>
        </w:rPr>
        <w:t>Master Specialisation Financial Economics</w:t>
      </w:r>
    </w:p>
    <w:p w:rsidR="00C05149" w:rsidRDefault="00C05149" w:rsidP="00515E54"/>
    <w:p w:rsidR="00C05149" w:rsidRDefault="00C05149"/>
    <w:p w:rsidR="00C05149" w:rsidRDefault="00C05149"/>
    <w:p w:rsidR="00C05149" w:rsidRDefault="00C05149"/>
    <w:p w:rsidR="00C05149" w:rsidRPr="00C05149" w:rsidRDefault="00C05149">
      <w:pPr>
        <w:rPr>
          <w:sz w:val="48"/>
          <w:szCs w:val="48"/>
        </w:rPr>
      </w:pPr>
    </w:p>
    <w:p w:rsidR="00C05149" w:rsidRPr="00C05149" w:rsidRDefault="00C05149" w:rsidP="00C05149">
      <w:pPr>
        <w:jc w:val="center"/>
        <w:rPr>
          <w:sz w:val="48"/>
          <w:szCs w:val="48"/>
        </w:rPr>
      </w:pPr>
      <w:r w:rsidRPr="00C05149">
        <w:rPr>
          <w:sz w:val="48"/>
          <w:szCs w:val="48"/>
        </w:rPr>
        <w:t>Trust, risky business?</w:t>
      </w:r>
    </w:p>
    <w:p w:rsidR="00C05149" w:rsidRDefault="00C05149" w:rsidP="00C05149">
      <w:pPr>
        <w:pStyle w:val="NoSpacing"/>
      </w:pPr>
    </w:p>
    <w:p w:rsidR="00C05149" w:rsidRDefault="00C05149" w:rsidP="00C05149">
      <w:pPr>
        <w:jc w:val="center"/>
        <w:rPr>
          <w:sz w:val="32"/>
          <w:szCs w:val="32"/>
        </w:rPr>
      </w:pPr>
      <w:r>
        <w:rPr>
          <w:sz w:val="32"/>
          <w:szCs w:val="32"/>
        </w:rPr>
        <w:t xml:space="preserve">An analysis of the trust-risk relation in Dutch second pillar </w:t>
      </w:r>
    </w:p>
    <w:p w:rsidR="00C05149" w:rsidRPr="00204D4B" w:rsidRDefault="00C05149" w:rsidP="00C05149">
      <w:pPr>
        <w:jc w:val="center"/>
        <w:rPr>
          <w:sz w:val="32"/>
          <w:szCs w:val="32"/>
          <w:lang w:val="nl-NL"/>
        </w:rPr>
      </w:pPr>
      <w:r w:rsidRPr="00204D4B">
        <w:rPr>
          <w:sz w:val="32"/>
          <w:szCs w:val="32"/>
          <w:lang w:val="nl-NL"/>
        </w:rPr>
        <w:t>pension plan members</w:t>
      </w:r>
    </w:p>
    <w:p w:rsidR="00C05149" w:rsidRPr="00204D4B" w:rsidRDefault="00C05149">
      <w:pPr>
        <w:rPr>
          <w:lang w:val="nl-NL"/>
        </w:rPr>
      </w:pPr>
    </w:p>
    <w:p w:rsidR="00C05149" w:rsidRPr="00204D4B" w:rsidRDefault="00C05149">
      <w:pPr>
        <w:rPr>
          <w:lang w:val="nl-NL"/>
        </w:rPr>
      </w:pPr>
    </w:p>
    <w:p w:rsidR="00C05149" w:rsidRPr="00204D4B" w:rsidRDefault="00C05149">
      <w:pPr>
        <w:rPr>
          <w:lang w:val="nl-NL"/>
        </w:rPr>
      </w:pPr>
    </w:p>
    <w:p w:rsidR="00C05149" w:rsidRPr="00204D4B" w:rsidRDefault="00C05149">
      <w:pPr>
        <w:rPr>
          <w:lang w:val="nl-NL"/>
        </w:rPr>
      </w:pPr>
    </w:p>
    <w:p w:rsidR="00C05149" w:rsidRPr="00204D4B" w:rsidRDefault="00C05149">
      <w:pPr>
        <w:rPr>
          <w:lang w:val="nl-NL"/>
        </w:rPr>
      </w:pPr>
    </w:p>
    <w:p w:rsidR="00C05149" w:rsidRPr="00204D4B" w:rsidRDefault="00C05149">
      <w:pPr>
        <w:rPr>
          <w:lang w:val="nl-NL"/>
        </w:rPr>
      </w:pPr>
    </w:p>
    <w:p w:rsidR="00C05149" w:rsidRPr="00204D4B" w:rsidRDefault="00C05149">
      <w:pPr>
        <w:rPr>
          <w:lang w:val="nl-NL"/>
        </w:rPr>
      </w:pPr>
    </w:p>
    <w:p w:rsidR="00C05149" w:rsidRPr="00204D4B" w:rsidRDefault="00C05149">
      <w:pPr>
        <w:rPr>
          <w:lang w:val="nl-NL"/>
        </w:rPr>
      </w:pPr>
    </w:p>
    <w:p w:rsidR="00C05149" w:rsidRPr="00C05149" w:rsidRDefault="00515E54">
      <w:pPr>
        <w:rPr>
          <w:lang w:val="nl-NL"/>
        </w:rPr>
      </w:pPr>
      <w:r>
        <w:rPr>
          <w:lang w:val="nl-NL"/>
        </w:rPr>
        <w:t xml:space="preserve">Author: </w:t>
      </w:r>
      <w:r w:rsidR="00C05149" w:rsidRPr="00C05149">
        <w:rPr>
          <w:lang w:val="nl-NL"/>
        </w:rPr>
        <w:t>V.T.E. van der Leer</w:t>
      </w:r>
    </w:p>
    <w:p w:rsidR="00C05149" w:rsidRPr="008C300C" w:rsidRDefault="005B2CF9">
      <w:pPr>
        <w:rPr>
          <w:lang w:val="nl-NL"/>
        </w:rPr>
      </w:pPr>
      <w:r w:rsidRPr="008C300C">
        <w:rPr>
          <w:lang w:val="nl-NL"/>
        </w:rPr>
        <w:t>Studentnr:</w:t>
      </w:r>
      <w:r w:rsidR="00C05149" w:rsidRPr="008C300C">
        <w:rPr>
          <w:lang w:val="nl-NL"/>
        </w:rPr>
        <w:t>345589</w:t>
      </w:r>
    </w:p>
    <w:p w:rsidR="00C05149" w:rsidRPr="00204D4B" w:rsidRDefault="00515E54">
      <w:r>
        <w:t>Thesis s</w:t>
      </w:r>
      <w:r w:rsidR="005B2CF9">
        <w:t xml:space="preserve">upervisor: </w:t>
      </w:r>
      <w:r w:rsidR="00C05149" w:rsidRPr="00204D4B">
        <w:t>L.S. Swinkels</w:t>
      </w:r>
    </w:p>
    <w:p w:rsidR="00C05149" w:rsidRPr="00204D4B" w:rsidRDefault="00C05149">
      <w:r w:rsidRPr="00204D4B">
        <w:t>November 2012</w:t>
      </w:r>
    </w:p>
    <w:p w:rsidR="00C05149" w:rsidRPr="00204D4B" w:rsidRDefault="00C05149"/>
    <w:p w:rsidR="00C05149" w:rsidRDefault="00C05149"/>
    <w:p w:rsidR="00515E54" w:rsidRPr="00204D4B" w:rsidRDefault="00515E54"/>
    <w:p w:rsidR="00C05149" w:rsidRPr="00A26614" w:rsidRDefault="00204D4B" w:rsidP="00AE7BE5">
      <w:pPr>
        <w:pStyle w:val="VIN1"/>
        <w:jc w:val="center"/>
        <w:rPr>
          <w:sz w:val="29"/>
          <w:szCs w:val="29"/>
        </w:rPr>
      </w:pPr>
      <w:bookmarkStart w:id="0" w:name="_Toc340568880"/>
      <w:r w:rsidRPr="00A26614">
        <w:lastRenderedPageBreak/>
        <w:t>Acknowledgements</w:t>
      </w:r>
      <w:bookmarkEnd w:id="0"/>
    </w:p>
    <w:p w:rsidR="00B3150A" w:rsidRPr="007E7592" w:rsidRDefault="008B7611" w:rsidP="008B7611">
      <w:pPr>
        <w:pStyle w:val="NoSpacing"/>
        <w:spacing w:line="360" w:lineRule="auto"/>
        <w:jc w:val="both"/>
      </w:pPr>
      <w:r>
        <w:t>First of all I would like to extend my gratitude</w:t>
      </w:r>
      <w:r w:rsidR="00570869" w:rsidRPr="007E7592">
        <w:t xml:space="preserve"> both </w:t>
      </w:r>
      <w:r w:rsidR="00405932" w:rsidRPr="007E7592">
        <w:t>Mrs.</w:t>
      </w:r>
      <w:r w:rsidR="00570869" w:rsidRPr="007E7592">
        <w:t xml:space="preserve"> </w:t>
      </w:r>
      <w:r w:rsidR="00806853" w:rsidRPr="007E7592">
        <w:t>V</w:t>
      </w:r>
      <w:r w:rsidR="00570869" w:rsidRPr="007E7592">
        <w:t>an der Lecq and Mr</w:t>
      </w:r>
      <w:r w:rsidR="00405932" w:rsidRPr="007E7592">
        <w:t>.</w:t>
      </w:r>
      <w:r w:rsidR="00570869" w:rsidRPr="007E7592">
        <w:t xml:space="preserve"> Swinkels</w:t>
      </w:r>
      <w:r w:rsidR="00B3150A" w:rsidRPr="007E7592">
        <w:t xml:space="preserve"> for being</w:t>
      </w:r>
      <w:r w:rsidR="00570869" w:rsidRPr="007E7592">
        <w:t xml:space="preserve"> such constructive and </w:t>
      </w:r>
      <w:r w:rsidR="00B3150A" w:rsidRPr="007E7592">
        <w:t>pleasant</w:t>
      </w:r>
      <w:r w:rsidR="00570869" w:rsidRPr="007E7592">
        <w:t xml:space="preserve"> supervisors. </w:t>
      </w:r>
      <w:r w:rsidR="00B3150A" w:rsidRPr="007E7592">
        <w:t xml:space="preserve">I appreciate the experience of having worked with both, especially as I had difficulty choosing partnership at the start. </w:t>
      </w:r>
    </w:p>
    <w:p w:rsidR="00C05149" w:rsidRDefault="00A46113" w:rsidP="008B7611">
      <w:pPr>
        <w:pStyle w:val="NoSpacing"/>
        <w:spacing w:line="360" w:lineRule="auto"/>
        <w:jc w:val="both"/>
      </w:pPr>
      <w:r>
        <w:t>My appreciation follow</w:t>
      </w:r>
      <w:r w:rsidR="00B3150A" w:rsidRPr="007E7592">
        <w:t>s from the</w:t>
      </w:r>
      <w:r w:rsidR="00530A87" w:rsidRPr="007E7592">
        <w:t xml:space="preserve"> experience that</w:t>
      </w:r>
      <w:r w:rsidR="00570869" w:rsidRPr="007E7592">
        <w:t xml:space="preserve"> </w:t>
      </w:r>
      <w:r w:rsidR="00922559" w:rsidRPr="007E7592">
        <w:t>you</w:t>
      </w:r>
      <w:r w:rsidR="00570869" w:rsidRPr="007E7592">
        <w:t xml:space="preserve"> never put any limitations on the audacity and </w:t>
      </w:r>
      <w:r w:rsidR="00392D77">
        <w:t>ambition</w:t>
      </w:r>
      <w:r>
        <w:t xml:space="preserve"> with which I </w:t>
      </w:r>
      <w:r w:rsidR="00570869" w:rsidRPr="007E7592">
        <w:t xml:space="preserve">attempted to make this project my own. </w:t>
      </w:r>
      <w:r w:rsidR="00392D77">
        <w:t>You guided</w:t>
      </w:r>
      <w:r w:rsidR="00DD4305" w:rsidRPr="007E7592">
        <w:t xml:space="preserve"> me </w:t>
      </w:r>
      <w:r w:rsidR="00392D77">
        <w:t xml:space="preserve">through </w:t>
      </w:r>
      <w:r w:rsidR="00922559" w:rsidRPr="007E7592">
        <w:t>offering academic reflection</w:t>
      </w:r>
      <w:r w:rsidR="00DD4305" w:rsidRPr="007E7592">
        <w:t>, stimulating the development of</w:t>
      </w:r>
      <w:r w:rsidR="007D3B06" w:rsidRPr="007E7592">
        <w:t xml:space="preserve"> my </w:t>
      </w:r>
      <w:r w:rsidR="00DD4305" w:rsidRPr="007E7592">
        <w:t>critical</w:t>
      </w:r>
      <w:r w:rsidR="007D3B06" w:rsidRPr="007E7592">
        <w:t xml:space="preserve"> examination</w:t>
      </w:r>
      <w:r w:rsidR="00922559" w:rsidRPr="007E7592">
        <w:t xml:space="preserve"> a</w:t>
      </w:r>
      <w:r w:rsidR="00530A87" w:rsidRPr="007E7592">
        <w:t xml:space="preserve">nd </w:t>
      </w:r>
      <w:r w:rsidR="00570869" w:rsidRPr="007E7592">
        <w:t xml:space="preserve">aiding in the overcoming of any </w:t>
      </w:r>
      <w:r w:rsidR="00530A87" w:rsidRPr="007E7592">
        <w:t>practical tribulations</w:t>
      </w:r>
      <w:r w:rsidR="00570869" w:rsidRPr="007E7592">
        <w:t>.</w:t>
      </w:r>
      <w:r w:rsidR="00922559" w:rsidRPr="007E7592">
        <w:t xml:space="preserve"> Your supervision and your instruction in academia, </w:t>
      </w:r>
      <w:r w:rsidR="00EC43B8" w:rsidRPr="007E7592">
        <w:t xml:space="preserve">have </w:t>
      </w:r>
      <w:r w:rsidR="00922559" w:rsidRPr="007E7592">
        <w:t>made</w:t>
      </w:r>
      <w:r w:rsidR="00DD4305" w:rsidRPr="007E7592">
        <w:t xml:space="preserve"> </w:t>
      </w:r>
      <w:r w:rsidR="00392D77">
        <w:t>me student for the better.</w:t>
      </w:r>
      <w:r w:rsidR="007D3B06" w:rsidRPr="007E7592">
        <w:t xml:space="preserve"> I</w:t>
      </w:r>
      <w:r>
        <w:t xml:space="preserve"> owe you my sincerest gratitude and wish you all the best.</w:t>
      </w:r>
      <w:r w:rsidR="00392D77">
        <w:t xml:space="preserve"> </w:t>
      </w:r>
    </w:p>
    <w:p w:rsidR="00392D77" w:rsidRPr="007E7592" w:rsidRDefault="00392D77" w:rsidP="008B7611">
      <w:pPr>
        <w:pStyle w:val="NoSpacing"/>
        <w:spacing w:line="360" w:lineRule="auto"/>
        <w:jc w:val="both"/>
      </w:pPr>
    </w:p>
    <w:p w:rsidR="007055FE" w:rsidRDefault="007D3B06" w:rsidP="008B7611">
      <w:pPr>
        <w:pStyle w:val="NoSpacing"/>
        <w:spacing w:line="360" w:lineRule="auto"/>
        <w:jc w:val="both"/>
      </w:pPr>
      <w:r w:rsidRPr="007E7592">
        <w:t xml:space="preserve">Furthermore </w:t>
      </w:r>
      <w:r w:rsidR="00EC43B8" w:rsidRPr="007E7592">
        <w:t>I would like to say a thank you for all</w:t>
      </w:r>
      <w:r w:rsidR="00FD6FD4" w:rsidRPr="007E7592">
        <w:t xml:space="preserve"> the support</w:t>
      </w:r>
      <w:r w:rsidRPr="007E7592">
        <w:t xml:space="preserve"> and</w:t>
      </w:r>
      <w:r w:rsidR="00FD6FD4" w:rsidRPr="007E7592">
        <w:t xml:space="preserve"> unders</w:t>
      </w:r>
      <w:r w:rsidR="001F7F45" w:rsidRPr="007E7592">
        <w:t>tanding that I received from my parents, sisters</w:t>
      </w:r>
      <w:r w:rsidR="00FD6FD4" w:rsidRPr="007E7592">
        <w:t>, housemates and friends</w:t>
      </w:r>
      <w:r w:rsidR="00EC43B8" w:rsidRPr="007E7592">
        <w:t>.</w:t>
      </w:r>
      <w:r w:rsidR="001F7F45" w:rsidRPr="007E7592">
        <w:t xml:space="preserve"> </w:t>
      </w:r>
      <w:r w:rsidR="007055FE">
        <w:t>D</w:t>
      </w:r>
      <w:r w:rsidR="001F7F45" w:rsidRPr="007E7592">
        <w:t xml:space="preserve">uring this thesis I wasn’t </w:t>
      </w:r>
      <w:r w:rsidR="007055FE">
        <w:t xml:space="preserve">always </w:t>
      </w:r>
      <w:r w:rsidR="001F7F45" w:rsidRPr="007E7592">
        <w:t>the most flexible person</w:t>
      </w:r>
      <w:r w:rsidR="00392D77">
        <w:t xml:space="preserve"> or best friend</w:t>
      </w:r>
      <w:r w:rsidR="007055FE">
        <w:t>, your consideration for this was comforting.</w:t>
      </w:r>
    </w:p>
    <w:p w:rsidR="00FD6FD4" w:rsidRPr="007E7592" w:rsidRDefault="007055FE" w:rsidP="008B7611">
      <w:pPr>
        <w:pStyle w:val="NoSpacing"/>
        <w:spacing w:line="360" w:lineRule="auto"/>
        <w:jc w:val="both"/>
      </w:pPr>
      <w:r>
        <w:t xml:space="preserve">Of course </w:t>
      </w:r>
      <w:r w:rsidR="007D3B06" w:rsidRPr="007E7592">
        <w:t xml:space="preserve">I am </w:t>
      </w:r>
      <w:r>
        <w:t xml:space="preserve">also </w:t>
      </w:r>
      <w:r w:rsidR="007D3B06" w:rsidRPr="007E7592">
        <w:t>indebted to my anonymous subject population, their cooperation was instrumental.</w:t>
      </w:r>
    </w:p>
    <w:p w:rsidR="004503B4" w:rsidRPr="007E7592" w:rsidRDefault="00FD6FD4" w:rsidP="008B7611">
      <w:pPr>
        <w:pStyle w:val="NoSpacing"/>
        <w:spacing w:line="360" w:lineRule="auto"/>
        <w:jc w:val="both"/>
      </w:pPr>
      <w:r w:rsidRPr="007E7592">
        <w:t>L</w:t>
      </w:r>
      <w:r w:rsidR="00570869" w:rsidRPr="007E7592">
        <w:t xml:space="preserve">ast but certainly not the </w:t>
      </w:r>
      <w:r w:rsidR="00EC43B8" w:rsidRPr="007E7592">
        <w:t>least;</w:t>
      </w:r>
      <w:r w:rsidR="004503B4" w:rsidRPr="007E7592">
        <w:t xml:space="preserve"> I would like to express my </w:t>
      </w:r>
      <w:r w:rsidR="007055FE" w:rsidRPr="007E7592">
        <w:t>appreciation</w:t>
      </w:r>
      <w:r w:rsidR="00570869" w:rsidRPr="007E7592">
        <w:t xml:space="preserve"> to </w:t>
      </w:r>
      <w:r w:rsidR="00405932" w:rsidRPr="007E7592">
        <w:t>M</w:t>
      </w:r>
      <w:r w:rsidR="00570869" w:rsidRPr="007E7592">
        <w:t>rs. Edmee Scholte</w:t>
      </w:r>
      <w:r w:rsidR="00B3150A" w:rsidRPr="007E7592">
        <w:t>.</w:t>
      </w:r>
      <w:r w:rsidR="00570869" w:rsidRPr="007E7592">
        <w:t xml:space="preserve"> </w:t>
      </w:r>
    </w:p>
    <w:p w:rsidR="00C05149" w:rsidRPr="007E7592" w:rsidRDefault="00DD4305" w:rsidP="008B7611">
      <w:pPr>
        <w:pStyle w:val="NoSpacing"/>
        <w:spacing w:line="360" w:lineRule="auto"/>
        <w:jc w:val="both"/>
      </w:pPr>
      <w:r w:rsidRPr="007E7592">
        <w:t>Always critical and honest</w:t>
      </w:r>
      <w:r w:rsidR="004503B4" w:rsidRPr="007E7592">
        <w:t>;</w:t>
      </w:r>
      <w:r w:rsidRPr="007E7592">
        <w:t xml:space="preserve"> h</w:t>
      </w:r>
      <w:r w:rsidR="00570869" w:rsidRPr="007E7592">
        <w:t>er support</w:t>
      </w:r>
      <w:r w:rsidRPr="007E7592">
        <w:t>, advise and seemingly unhampered</w:t>
      </w:r>
      <w:r w:rsidR="00570869" w:rsidRPr="007E7592">
        <w:t xml:space="preserve"> optimism</w:t>
      </w:r>
      <w:r w:rsidRPr="007E7592">
        <w:t xml:space="preserve"> were </w:t>
      </w:r>
      <w:r w:rsidR="004503B4" w:rsidRPr="007E7592">
        <w:t>invaluable</w:t>
      </w:r>
      <w:r w:rsidRPr="007E7592">
        <w:t xml:space="preserve">. Her spirit, </w:t>
      </w:r>
      <w:r w:rsidR="00711FB3" w:rsidRPr="007E7592">
        <w:t xml:space="preserve">managed to keep me motivated during the longer hours. </w:t>
      </w:r>
      <w:r w:rsidR="00183795">
        <w:t>She allowed me</w:t>
      </w:r>
      <w:r w:rsidR="00570869" w:rsidRPr="007E7592">
        <w:t xml:space="preserve"> to turn some of my can’t</w:t>
      </w:r>
      <w:r w:rsidR="008E0C11" w:rsidRPr="007E7592">
        <w:t>s</w:t>
      </w:r>
      <w:r w:rsidR="00570869" w:rsidRPr="007E7592">
        <w:t xml:space="preserve"> in can’s and my ideas into plans. I could </w:t>
      </w:r>
      <w:r w:rsidR="00711FB3" w:rsidRPr="007E7592">
        <w:t xml:space="preserve">not </w:t>
      </w:r>
      <w:r w:rsidR="00570869" w:rsidRPr="007E7592">
        <w:t>have asked for a better companion</w:t>
      </w:r>
      <w:r w:rsidR="00711FB3" w:rsidRPr="007E7592">
        <w:t xml:space="preserve"> and fellow thesis writing student</w:t>
      </w:r>
      <w:r w:rsidRPr="007E7592">
        <w:t>,</w:t>
      </w:r>
      <w:r w:rsidR="00711FB3" w:rsidRPr="007E7592">
        <w:t xml:space="preserve"> to have shared the </w:t>
      </w:r>
      <w:r w:rsidR="004503B4" w:rsidRPr="007E7592">
        <w:t xml:space="preserve">thesis </w:t>
      </w:r>
      <w:r w:rsidR="00711FB3" w:rsidRPr="007E7592">
        <w:t>experience with</w:t>
      </w:r>
      <w:r w:rsidR="00B3150A" w:rsidRPr="007E7592">
        <w:t xml:space="preserve">. </w:t>
      </w:r>
    </w:p>
    <w:p w:rsidR="00DD4305" w:rsidRPr="00204D4B" w:rsidRDefault="00DD4305" w:rsidP="00B3150A">
      <w:pPr>
        <w:pStyle w:val="NoSpacing"/>
        <w:spacing w:line="360" w:lineRule="auto"/>
      </w:pPr>
    </w:p>
    <w:p w:rsidR="00570869" w:rsidRDefault="00570869" w:rsidP="008E0C11">
      <w:pPr>
        <w:pStyle w:val="NoSpacing"/>
        <w:spacing w:line="360" w:lineRule="auto"/>
        <w:rPr>
          <w:i/>
          <w:strike/>
        </w:rPr>
      </w:pPr>
    </w:p>
    <w:p w:rsidR="008E0C11" w:rsidRDefault="008E0C11" w:rsidP="008E0C11">
      <w:pPr>
        <w:pStyle w:val="NoSpacing"/>
        <w:spacing w:line="360" w:lineRule="auto"/>
        <w:rPr>
          <w:i/>
          <w:strike/>
        </w:rPr>
      </w:pPr>
    </w:p>
    <w:p w:rsidR="008E0C11" w:rsidRDefault="008E0C11" w:rsidP="008E0C11">
      <w:pPr>
        <w:pStyle w:val="NoSpacing"/>
        <w:spacing w:line="360" w:lineRule="auto"/>
        <w:rPr>
          <w:i/>
          <w:strike/>
        </w:rPr>
      </w:pPr>
    </w:p>
    <w:p w:rsidR="008E0C11" w:rsidRDefault="008E0C11" w:rsidP="008E0C11">
      <w:pPr>
        <w:pStyle w:val="NoSpacing"/>
        <w:spacing w:line="360" w:lineRule="auto"/>
        <w:rPr>
          <w:i/>
          <w:strike/>
        </w:rPr>
      </w:pPr>
    </w:p>
    <w:p w:rsidR="008E0C11" w:rsidRPr="004503B4" w:rsidRDefault="008E0C11" w:rsidP="008E0C11">
      <w:pPr>
        <w:pStyle w:val="NoSpacing"/>
        <w:spacing w:line="360" w:lineRule="auto"/>
        <w:rPr>
          <w:i/>
          <w:strike/>
        </w:rPr>
      </w:pPr>
    </w:p>
    <w:p w:rsidR="00C05149" w:rsidRDefault="00C05149" w:rsidP="00B54132">
      <w:pPr>
        <w:jc w:val="center"/>
      </w:pPr>
    </w:p>
    <w:p w:rsidR="00515E54" w:rsidRPr="008E0C11" w:rsidRDefault="008C300C" w:rsidP="008C300C">
      <w:pPr>
        <w:jc w:val="center"/>
        <w:rPr>
          <w:i/>
        </w:rPr>
      </w:pPr>
      <w:r w:rsidRPr="008E0C11">
        <w:rPr>
          <w:i/>
        </w:rPr>
        <w:t>To be trusted</w:t>
      </w:r>
    </w:p>
    <w:p w:rsidR="008C300C" w:rsidRPr="008E0C11" w:rsidRDefault="008C300C" w:rsidP="008C300C">
      <w:pPr>
        <w:jc w:val="center"/>
        <w:rPr>
          <w:i/>
        </w:rPr>
      </w:pPr>
      <w:r w:rsidRPr="008E0C11">
        <w:rPr>
          <w:i/>
        </w:rPr>
        <w:t xml:space="preserve">Is a greater compliment </w:t>
      </w:r>
    </w:p>
    <w:p w:rsidR="00515E54" w:rsidRPr="008E0C11" w:rsidRDefault="008C300C" w:rsidP="008C300C">
      <w:pPr>
        <w:jc w:val="center"/>
        <w:rPr>
          <w:i/>
        </w:rPr>
      </w:pPr>
      <w:r w:rsidRPr="008E0C11">
        <w:rPr>
          <w:i/>
        </w:rPr>
        <w:t>than to be loved</w:t>
      </w:r>
    </w:p>
    <w:p w:rsidR="008E0C11" w:rsidRDefault="008E0C11"/>
    <w:p w:rsidR="00515E54" w:rsidRPr="008E0C11" w:rsidRDefault="008C300C">
      <w:pPr>
        <w:rPr>
          <w:i/>
          <w:sz w:val="20"/>
          <w:szCs w:val="20"/>
        </w:rPr>
      </w:pPr>
      <w:r w:rsidRPr="008E0C11">
        <w:rPr>
          <w:sz w:val="20"/>
          <w:szCs w:val="20"/>
        </w:rPr>
        <w:t>George MacDonald</w:t>
      </w:r>
      <w:r w:rsidRPr="008E0C11">
        <w:rPr>
          <w:i/>
          <w:sz w:val="20"/>
          <w:szCs w:val="20"/>
        </w:rPr>
        <w:t xml:space="preserve"> ; The Marquis of Lossie </w:t>
      </w:r>
      <w:r w:rsidRPr="008E0C11">
        <w:rPr>
          <w:sz w:val="20"/>
          <w:szCs w:val="20"/>
        </w:rPr>
        <w:t>(1877)</w:t>
      </w:r>
    </w:p>
    <w:p w:rsidR="00515E54" w:rsidRDefault="00515E54"/>
    <w:p w:rsidR="00C05149" w:rsidRPr="00A26614" w:rsidRDefault="00204D4B" w:rsidP="00AE7BE5">
      <w:pPr>
        <w:pStyle w:val="VIN1"/>
        <w:jc w:val="center"/>
      </w:pPr>
      <w:bookmarkStart w:id="1" w:name="_Toc340568881"/>
      <w:r w:rsidRPr="00A26614">
        <w:lastRenderedPageBreak/>
        <w:t>Abstract</w:t>
      </w:r>
      <w:bookmarkEnd w:id="1"/>
    </w:p>
    <w:p w:rsidR="006F1050" w:rsidRPr="00204D4B" w:rsidRDefault="00057CC9" w:rsidP="00286071">
      <w:pPr>
        <w:spacing w:line="360" w:lineRule="auto"/>
        <w:jc w:val="both"/>
      </w:pPr>
      <w:r>
        <w:t xml:space="preserve">This thesis </w:t>
      </w:r>
      <w:r w:rsidR="001B7ABD">
        <w:t>address</w:t>
      </w:r>
      <w:r w:rsidR="00183795">
        <w:t>es</w:t>
      </w:r>
      <w:r w:rsidR="001B7ABD">
        <w:t xml:space="preserve"> the </w:t>
      </w:r>
      <w:r w:rsidR="00183795">
        <w:t>dimensions of the trust-</w:t>
      </w:r>
      <w:r>
        <w:t>risk relation in Dutch second pillar pension plan members.</w:t>
      </w:r>
      <w:r w:rsidR="008D6DE9">
        <w:t xml:space="preserve"> This study is i</w:t>
      </w:r>
      <w:r w:rsidR="001B7ABD">
        <w:t>nduced by the i</w:t>
      </w:r>
      <w:r w:rsidR="008D6DE9">
        <w:t>dea</w:t>
      </w:r>
      <w:r w:rsidR="001B7ABD">
        <w:t xml:space="preserve"> of discrepancy between plan member risk attitudes and pension plan risk behavior. </w:t>
      </w:r>
      <w:r>
        <w:t xml:space="preserve"> </w:t>
      </w:r>
      <w:r w:rsidR="006F1050">
        <w:t xml:space="preserve">This thesis aims to test for the relational influence of plan member trust on the plan member’s respective risk attitude. After exploring the existing academics literature on the </w:t>
      </w:r>
      <w:r w:rsidR="004E00EA">
        <w:t>depth</w:t>
      </w:r>
      <w:r w:rsidR="006F1050">
        <w:t xml:space="preserve"> of the relation, the central variables and viable </w:t>
      </w:r>
      <w:r w:rsidR="004E00EA">
        <w:t xml:space="preserve">testing </w:t>
      </w:r>
      <w:r w:rsidR="006F1050">
        <w:t xml:space="preserve">methods. </w:t>
      </w:r>
      <w:r w:rsidR="004E00EA">
        <w:t xml:space="preserve">A survey was done. </w:t>
      </w:r>
      <w:r w:rsidR="006F1050">
        <w:t>The survey results are subjected to regression analysis. The main fi</w:t>
      </w:r>
      <w:r w:rsidR="004E00EA">
        <w:t xml:space="preserve">ndings of this thesis are </w:t>
      </w:r>
      <w:r w:rsidR="00E769A6">
        <w:t>bas</w:t>
      </w:r>
      <w:r w:rsidR="004E00EA">
        <w:t xml:space="preserve">ed </w:t>
      </w:r>
      <w:r w:rsidR="00E769A6">
        <w:t xml:space="preserve">on the data supplied by </w:t>
      </w:r>
      <w:r w:rsidR="004E00EA">
        <w:t xml:space="preserve">122 </w:t>
      </w:r>
      <w:r w:rsidR="00E769A6">
        <w:t xml:space="preserve">individual </w:t>
      </w:r>
      <w:r w:rsidR="004E00EA">
        <w:t>subject</w:t>
      </w:r>
      <w:r w:rsidR="00E769A6">
        <w:t xml:space="preserve">s. </w:t>
      </w:r>
      <w:r w:rsidR="004E00EA">
        <w:t>O</w:t>
      </w:r>
      <w:r w:rsidR="006F1050">
        <w:t xml:space="preserve">n the basis of </w:t>
      </w:r>
      <w:r w:rsidR="004E00EA">
        <w:t>the regression results; the</w:t>
      </w:r>
      <w:r w:rsidR="006F1050">
        <w:t xml:space="preserve"> relation between trust and risk is </w:t>
      </w:r>
      <w:r w:rsidR="004E00EA">
        <w:t xml:space="preserve">found </w:t>
      </w:r>
      <w:r w:rsidR="005939A9">
        <w:t xml:space="preserve">not </w:t>
      </w:r>
      <w:r w:rsidR="004E00EA">
        <w:t xml:space="preserve">to be </w:t>
      </w:r>
      <w:r w:rsidR="006F1050">
        <w:t>significant, a plan member</w:t>
      </w:r>
      <w:r w:rsidR="004E00EA">
        <w:t>’</w:t>
      </w:r>
      <w:r w:rsidR="006F1050">
        <w:t>s trust is independent of his knowledge and that of all expected cohort patterns</w:t>
      </w:r>
      <w:r w:rsidR="005939A9">
        <w:t>,</w:t>
      </w:r>
      <w:r w:rsidR="006F1050">
        <w:t xml:space="preserve"> in trust and risk aversion</w:t>
      </w:r>
      <w:r w:rsidR="005939A9">
        <w:t>,</w:t>
      </w:r>
      <w:r w:rsidR="006F1050">
        <w:t xml:space="preserve"> only age and investment experience </w:t>
      </w:r>
      <w:r w:rsidR="005939A9">
        <w:t>have a significant effect on</w:t>
      </w:r>
      <w:r w:rsidR="006F1050">
        <w:t xml:space="preserve"> trust. I conclude that our understanding of trust is in need of greater attention and the risk attitude of </w:t>
      </w:r>
      <w:r w:rsidR="005939A9">
        <w:t xml:space="preserve">the tested </w:t>
      </w:r>
      <w:r w:rsidR="006F1050">
        <w:t>seco</w:t>
      </w:r>
      <w:r w:rsidR="005939A9">
        <w:t>nd pillar pension plan members appears</w:t>
      </w:r>
      <w:r w:rsidR="006F1050">
        <w:t xml:space="preserve"> unrelated to </w:t>
      </w:r>
      <w:r w:rsidR="005939A9">
        <w:t xml:space="preserve">their </w:t>
      </w:r>
      <w:r w:rsidR="006F1050">
        <w:t>trust</w:t>
      </w:r>
      <w:r w:rsidR="005939A9">
        <w:t xml:space="preserve"> level</w:t>
      </w:r>
      <w:r w:rsidR="00FC7AB7">
        <w:t>.</w:t>
      </w:r>
    </w:p>
    <w:p w:rsidR="00C05149" w:rsidRPr="00204D4B" w:rsidRDefault="00C05149" w:rsidP="00FC7AB7"/>
    <w:p w:rsidR="00C05149" w:rsidRPr="00204D4B" w:rsidRDefault="00C05149" w:rsidP="00FC7AB7"/>
    <w:p w:rsidR="00C05149" w:rsidRPr="00204D4B" w:rsidRDefault="00C05149"/>
    <w:p w:rsidR="00C05149" w:rsidRPr="00204D4B" w:rsidRDefault="00C05149"/>
    <w:p w:rsidR="00C05149" w:rsidRPr="00204D4B" w:rsidRDefault="00C05149"/>
    <w:p w:rsidR="00C05149" w:rsidRPr="00204D4B" w:rsidRDefault="00C05149"/>
    <w:p w:rsidR="00C05149" w:rsidRPr="00204D4B" w:rsidRDefault="00C05149"/>
    <w:p w:rsidR="00C05149" w:rsidRPr="00204D4B" w:rsidRDefault="00C05149"/>
    <w:p w:rsidR="00C05149" w:rsidRPr="00204D4B" w:rsidRDefault="00C05149"/>
    <w:p w:rsidR="00C05149" w:rsidRPr="00204D4B" w:rsidRDefault="00C05149"/>
    <w:p w:rsidR="00C05149" w:rsidRPr="00515E54" w:rsidRDefault="00515E54">
      <w:pPr>
        <w:rPr>
          <w:b/>
        </w:rPr>
      </w:pPr>
      <w:r w:rsidRPr="00515E54">
        <w:rPr>
          <w:b/>
        </w:rPr>
        <w:t xml:space="preserve">Keywords: </w:t>
      </w:r>
      <w:r w:rsidRPr="00515E54">
        <w:t>Second pillar, pension, trust, risk attitude and survey</w:t>
      </w:r>
    </w:p>
    <w:p w:rsidR="00C05149" w:rsidRDefault="00C05149"/>
    <w:p w:rsidR="00B46F8C" w:rsidRPr="00204D4B" w:rsidRDefault="008D32CE" w:rsidP="008D32CE">
      <w:pPr>
        <w:tabs>
          <w:tab w:val="left" w:pos="6134"/>
        </w:tabs>
      </w:pPr>
      <w:r>
        <w:tab/>
      </w:r>
    </w:p>
    <w:p w:rsidR="00C05149" w:rsidRDefault="00C05149"/>
    <w:p w:rsidR="00AE7BE5" w:rsidRPr="00204D4B" w:rsidRDefault="00AE7BE5"/>
    <w:p w:rsidR="00C05149" w:rsidRDefault="00C05149"/>
    <w:p w:rsidR="007E7592" w:rsidRDefault="007E7592"/>
    <w:p w:rsidR="0021417F" w:rsidRDefault="00AE7BE5" w:rsidP="00AE7BE5">
      <w:pPr>
        <w:pStyle w:val="VIN1"/>
        <w:jc w:val="center"/>
        <w:rPr>
          <w:sz w:val="16"/>
          <w:szCs w:val="16"/>
        </w:rPr>
      </w:pPr>
      <w:bookmarkStart w:id="2" w:name="_Toc340568882"/>
      <w:r>
        <w:lastRenderedPageBreak/>
        <w:t>Table of Contents</w:t>
      </w:r>
      <w:bookmarkEnd w:id="2"/>
    </w:p>
    <w:p w:rsidR="006D4FBF" w:rsidRPr="006D4FBF" w:rsidRDefault="006D4FBF" w:rsidP="006D4FBF">
      <w:pPr>
        <w:pStyle w:val="VIN1"/>
        <w:rPr>
          <w:sz w:val="4"/>
          <w:szCs w:val="4"/>
        </w:rPr>
      </w:pPr>
    </w:p>
    <w:p w:rsidR="004014D8" w:rsidRPr="004014D8" w:rsidRDefault="00CC17A1">
      <w:pPr>
        <w:pStyle w:val="TOC1"/>
        <w:tabs>
          <w:tab w:val="right" w:leader="dot" w:pos="9016"/>
        </w:tabs>
        <w:rPr>
          <w:rFonts w:cstheme="minorBidi"/>
          <w:b w:val="0"/>
          <w:bCs w:val="0"/>
          <w:caps w:val="0"/>
          <w:noProof/>
          <w:sz w:val="22"/>
          <w:szCs w:val="22"/>
        </w:rPr>
      </w:pPr>
      <w:r w:rsidRPr="00CC17A1">
        <w:rPr>
          <w:b w:val="0"/>
          <w:sz w:val="22"/>
          <w:szCs w:val="22"/>
        </w:rPr>
        <w:fldChar w:fldCharType="begin"/>
      </w:r>
      <w:r w:rsidR="008C02B0" w:rsidRPr="004014D8">
        <w:rPr>
          <w:b w:val="0"/>
          <w:sz w:val="22"/>
          <w:szCs w:val="22"/>
        </w:rPr>
        <w:instrText xml:space="preserve"> TOC \o "1-3" \h \z \u </w:instrText>
      </w:r>
      <w:r w:rsidRPr="00CC17A1">
        <w:rPr>
          <w:b w:val="0"/>
          <w:sz w:val="22"/>
          <w:szCs w:val="22"/>
        </w:rPr>
        <w:fldChar w:fldCharType="separate"/>
      </w:r>
      <w:hyperlink w:anchor="_Toc340568880" w:history="1">
        <w:r w:rsidR="004014D8" w:rsidRPr="004014D8">
          <w:rPr>
            <w:rStyle w:val="Hyperlink"/>
            <w:b w:val="0"/>
            <w:noProof/>
          </w:rPr>
          <w:t>Acknowledgements</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_Toc340568880 \h </w:instrText>
        </w:r>
        <w:r w:rsidRPr="004014D8">
          <w:rPr>
            <w:b w:val="0"/>
            <w:noProof/>
            <w:webHidden/>
          </w:rPr>
        </w:r>
        <w:r w:rsidRPr="004014D8">
          <w:rPr>
            <w:b w:val="0"/>
            <w:noProof/>
            <w:webHidden/>
          </w:rPr>
          <w:fldChar w:fldCharType="separate"/>
        </w:r>
        <w:r w:rsidR="006E036E">
          <w:rPr>
            <w:b w:val="0"/>
            <w:noProof/>
            <w:webHidden/>
          </w:rPr>
          <w:t>2</w:t>
        </w:r>
        <w:r w:rsidRPr="004014D8">
          <w:rPr>
            <w:b w:val="0"/>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881" w:history="1">
        <w:r w:rsidR="004014D8" w:rsidRPr="004014D8">
          <w:rPr>
            <w:rStyle w:val="Hyperlink"/>
            <w:b w:val="0"/>
            <w:noProof/>
          </w:rPr>
          <w:t>Abstract</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_Toc340568881 \h </w:instrText>
        </w:r>
        <w:r w:rsidRPr="004014D8">
          <w:rPr>
            <w:b w:val="0"/>
            <w:noProof/>
            <w:webHidden/>
          </w:rPr>
        </w:r>
        <w:r w:rsidRPr="004014D8">
          <w:rPr>
            <w:b w:val="0"/>
            <w:noProof/>
            <w:webHidden/>
          </w:rPr>
          <w:fldChar w:fldCharType="separate"/>
        </w:r>
        <w:r w:rsidR="006E036E">
          <w:rPr>
            <w:b w:val="0"/>
            <w:noProof/>
            <w:webHidden/>
          </w:rPr>
          <w:t>3</w:t>
        </w:r>
        <w:r w:rsidRPr="004014D8">
          <w:rPr>
            <w:b w:val="0"/>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882" w:history="1">
        <w:r w:rsidR="004014D8" w:rsidRPr="004014D8">
          <w:rPr>
            <w:rStyle w:val="Hyperlink"/>
            <w:b w:val="0"/>
            <w:noProof/>
          </w:rPr>
          <w:t>Table of Contents</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_Toc340568882 \h </w:instrText>
        </w:r>
        <w:r w:rsidRPr="004014D8">
          <w:rPr>
            <w:b w:val="0"/>
            <w:noProof/>
            <w:webHidden/>
          </w:rPr>
        </w:r>
        <w:r w:rsidRPr="004014D8">
          <w:rPr>
            <w:b w:val="0"/>
            <w:noProof/>
            <w:webHidden/>
          </w:rPr>
          <w:fldChar w:fldCharType="separate"/>
        </w:r>
        <w:r w:rsidR="006E036E">
          <w:rPr>
            <w:b w:val="0"/>
            <w:noProof/>
            <w:webHidden/>
          </w:rPr>
          <w:t>4</w:t>
        </w:r>
        <w:r w:rsidRPr="004014D8">
          <w:rPr>
            <w:b w:val="0"/>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883" w:history="1">
        <w:r w:rsidR="004014D8" w:rsidRPr="004014D8">
          <w:rPr>
            <w:rStyle w:val="Hyperlink"/>
            <w:b w:val="0"/>
            <w:noProof/>
          </w:rPr>
          <w:t>Chapter 1: Introduction</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_Toc340568883 \h </w:instrText>
        </w:r>
        <w:r w:rsidRPr="004014D8">
          <w:rPr>
            <w:b w:val="0"/>
            <w:noProof/>
            <w:webHidden/>
          </w:rPr>
        </w:r>
        <w:r w:rsidRPr="004014D8">
          <w:rPr>
            <w:b w:val="0"/>
            <w:noProof/>
            <w:webHidden/>
          </w:rPr>
          <w:fldChar w:fldCharType="separate"/>
        </w:r>
        <w:r w:rsidR="006E036E">
          <w:rPr>
            <w:b w:val="0"/>
            <w:noProof/>
            <w:webHidden/>
          </w:rPr>
          <w:t>6</w:t>
        </w:r>
        <w:r w:rsidRPr="004014D8">
          <w:rPr>
            <w:b w:val="0"/>
            <w:noProof/>
            <w:webHidden/>
          </w:rPr>
          <w:fldChar w:fldCharType="end"/>
        </w:r>
      </w:hyperlink>
    </w:p>
    <w:p w:rsidR="004014D8" w:rsidRPr="004014D8" w:rsidRDefault="00CC17A1">
      <w:pPr>
        <w:pStyle w:val="TOC2"/>
        <w:tabs>
          <w:tab w:val="left" w:pos="880"/>
          <w:tab w:val="right" w:leader="dot" w:pos="9016"/>
        </w:tabs>
        <w:rPr>
          <w:rFonts w:cstheme="minorBidi"/>
          <w:smallCaps w:val="0"/>
          <w:noProof/>
          <w:sz w:val="22"/>
          <w:szCs w:val="22"/>
        </w:rPr>
      </w:pPr>
      <w:hyperlink w:anchor="_Toc340568884" w:history="1">
        <w:r w:rsidR="004014D8" w:rsidRPr="004014D8">
          <w:rPr>
            <w:rStyle w:val="Hyperlink"/>
            <w:noProof/>
          </w:rPr>
          <w:t>1.1</w:t>
        </w:r>
        <w:r w:rsidR="004014D8" w:rsidRPr="004014D8">
          <w:rPr>
            <w:rFonts w:cstheme="minorBidi"/>
            <w:smallCaps w:val="0"/>
            <w:noProof/>
            <w:sz w:val="22"/>
            <w:szCs w:val="22"/>
          </w:rPr>
          <w:tab/>
        </w:r>
        <w:r w:rsidR="004014D8" w:rsidRPr="004014D8">
          <w:rPr>
            <w:rStyle w:val="Hyperlink"/>
            <w:noProof/>
          </w:rPr>
          <w:t>Thesis foundation</w:t>
        </w:r>
        <w:r w:rsidR="004014D8" w:rsidRPr="004014D8">
          <w:rPr>
            <w:noProof/>
            <w:webHidden/>
          </w:rPr>
          <w:tab/>
        </w:r>
        <w:r w:rsidRPr="004014D8">
          <w:rPr>
            <w:noProof/>
            <w:webHidden/>
          </w:rPr>
          <w:fldChar w:fldCharType="begin"/>
        </w:r>
        <w:r w:rsidR="004014D8" w:rsidRPr="004014D8">
          <w:rPr>
            <w:noProof/>
            <w:webHidden/>
          </w:rPr>
          <w:instrText xml:space="preserve"> PAGEREF _Toc340568884 \h </w:instrText>
        </w:r>
        <w:r w:rsidRPr="004014D8">
          <w:rPr>
            <w:noProof/>
            <w:webHidden/>
          </w:rPr>
        </w:r>
        <w:r w:rsidRPr="004014D8">
          <w:rPr>
            <w:noProof/>
            <w:webHidden/>
          </w:rPr>
          <w:fldChar w:fldCharType="separate"/>
        </w:r>
        <w:r w:rsidR="006E036E">
          <w:rPr>
            <w:noProof/>
            <w:webHidden/>
          </w:rPr>
          <w:t>6</w:t>
        </w:r>
        <w:r w:rsidRPr="004014D8">
          <w:rPr>
            <w:noProof/>
            <w:webHidden/>
          </w:rPr>
          <w:fldChar w:fldCharType="end"/>
        </w:r>
      </w:hyperlink>
    </w:p>
    <w:p w:rsidR="004014D8" w:rsidRPr="004014D8" w:rsidRDefault="00CC17A1">
      <w:pPr>
        <w:pStyle w:val="TOC2"/>
        <w:tabs>
          <w:tab w:val="left" w:pos="880"/>
          <w:tab w:val="right" w:leader="dot" w:pos="9016"/>
        </w:tabs>
        <w:rPr>
          <w:rFonts w:cstheme="minorBidi"/>
          <w:smallCaps w:val="0"/>
          <w:noProof/>
          <w:sz w:val="22"/>
          <w:szCs w:val="22"/>
        </w:rPr>
      </w:pPr>
      <w:hyperlink w:anchor="_Toc340568885" w:history="1">
        <w:r w:rsidR="004014D8" w:rsidRPr="004014D8">
          <w:rPr>
            <w:rStyle w:val="Hyperlink"/>
            <w:noProof/>
          </w:rPr>
          <w:t>1.2</w:t>
        </w:r>
        <w:r w:rsidR="004014D8" w:rsidRPr="004014D8">
          <w:rPr>
            <w:rFonts w:cstheme="minorBidi"/>
            <w:smallCaps w:val="0"/>
            <w:noProof/>
            <w:sz w:val="22"/>
            <w:szCs w:val="22"/>
          </w:rPr>
          <w:tab/>
        </w:r>
        <w:r w:rsidR="004014D8" w:rsidRPr="004014D8">
          <w:rPr>
            <w:rStyle w:val="Hyperlink"/>
            <w:noProof/>
          </w:rPr>
          <w:t>The Dutch pension system</w:t>
        </w:r>
        <w:r w:rsidR="004014D8" w:rsidRPr="004014D8">
          <w:rPr>
            <w:noProof/>
            <w:webHidden/>
          </w:rPr>
          <w:tab/>
        </w:r>
        <w:r w:rsidRPr="004014D8">
          <w:rPr>
            <w:noProof/>
            <w:webHidden/>
          </w:rPr>
          <w:fldChar w:fldCharType="begin"/>
        </w:r>
        <w:r w:rsidR="004014D8" w:rsidRPr="004014D8">
          <w:rPr>
            <w:noProof/>
            <w:webHidden/>
          </w:rPr>
          <w:instrText xml:space="preserve"> PAGEREF _Toc340568885 \h </w:instrText>
        </w:r>
        <w:r w:rsidRPr="004014D8">
          <w:rPr>
            <w:noProof/>
            <w:webHidden/>
          </w:rPr>
        </w:r>
        <w:r w:rsidRPr="004014D8">
          <w:rPr>
            <w:noProof/>
            <w:webHidden/>
          </w:rPr>
          <w:fldChar w:fldCharType="separate"/>
        </w:r>
        <w:r w:rsidR="006E036E">
          <w:rPr>
            <w:noProof/>
            <w:webHidden/>
          </w:rPr>
          <w:t>8</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886" w:history="1">
        <w:r w:rsidR="004014D8" w:rsidRPr="004014D8">
          <w:rPr>
            <w:rStyle w:val="Hyperlink"/>
            <w:i w:val="0"/>
            <w:noProof/>
          </w:rPr>
          <w:t>1.2.1. General overview</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_Toc340568886 \h </w:instrText>
        </w:r>
        <w:r w:rsidRPr="004014D8">
          <w:rPr>
            <w:i w:val="0"/>
            <w:noProof/>
            <w:webHidden/>
          </w:rPr>
        </w:r>
        <w:r w:rsidRPr="004014D8">
          <w:rPr>
            <w:i w:val="0"/>
            <w:noProof/>
            <w:webHidden/>
          </w:rPr>
          <w:fldChar w:fldCharType="separate"/>
        </w:r>
        <w:r w:rsidR="006E036E">
          <w:rPr>
            <w:i w:val="0"/>
            <w:noProof/>
            <w:webHidden/>
          </w:rPr>
          <w:t>8</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887" w:history="1">
        <w:r w:rsidR="004014D8" w:rsidRPr="004014D8">
          <w:rPr>
            <w:rStyle w:val="Hyperlink"/>
            <w:i w:val="0"/>
            <w:noProof/>
          </w:rPr>
          <w:t>1.2.2. Second pillar pensions</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_Toc340568887 \h </w:instrText>
        </w:r>
        <w:r w:rsidRPr="004014D8">
          <w:rPr>
            <w:i w:val="0"/>
            <w:noProof/>
            <w:webHidden/>
          </w:rPr>
        </w:r>
        <w:r w:rsidRPr="004014D8">
          <w:rPr>
            <w:i w:val="0"/>
            <w:noProof/>
            <w:webHidden/>
          </w:rPr>
          <w:fldChar w:fldCharType="separate"/>
        </w:r>
        <w:r w:rsidR="006E036E">
          <w:rPr>
            <w:i w:val="0"/>
            <w:noProof/>
            <w:webHidden/>
          </w:rPr>
          <w:t>8</w:t>
        </w:r>
        <w:r w:rsidRPr="004014D8">
          <w:rPr>
            <w:i w:val="0"/>
            <w:noProof/>
            <w:webHidden/>
          </w:rPr>
          <w:fldChar w:fldCharType="end"/>
        </w:r>
      </w:hyperlink>
    </w:p>
    <w:p w:rsidR="004014D8" w:rsidRPr="004014D8" w:rsidRDefault="00CC17A1">
      <w:pPr>
        <w:pStyle w:val="TOC2"/>
        <w:tabs>
          <w:tab w:val="left" w:pos="880"/>
          <w:tab w:val="right" w:leader="dot" w:pos="9016"/>
        </w:tabs>
        <w:rPr>
          <w:rFonts w:cstheme="minorBidi"/>
          <w:smallCaps w:val="0"/>
          <w:noProof/>
          <w:sz w:val="22"/>
          <w:szCs w:val="22"/>
        </w:rPr>
      </w:pPr>
      <w:hyperlink w:anchor="_Toc340568888" w:history="1">
        <w:r w:rsidR="004014D8" w:rsidRPr="004014D8">
          <w:rPr>
            <w:rStyle w:val="Hyperlink"/>
            <w:noProof/>
          </w:rPr>
          <w:t>1.3</w:t>
        </w:r>
        <w:r w:rsidR="004014D8" w:rsidRPr="004014D8">
          <w:rPr>
            <w:rFonts w:cstheme="minorBidi"/>
            <w:smallCaps w:val="0"/>
            <w:noProof/>
            <w:sz w:val="22"/>
            <w:szCs w:val="22"/>
          </w:rPr>
          <w:tab/>
        </w:r>
        <w:r w:rsidR="004014D8" w:rsidRPr="004014D8">
          <w:rPr>
            <w:rStyle w:val="Hyperlink"/>
            <w:noProof/>
          </w:rPr>
          <w:t>Research domain</w:t>
        </w:r>
        <w:r w:rsidR="004014D8" w:rsidRPr="004014D8">
          <w:rPr>
            <w:noProof/>
            <w:webHidden/>
          </w:rPr>
          <w:tab/>
        </w:r>
        <w:r w:rsidRPr="004014D8">
          <w:rPr>
            <w:noProof/>
            <w:webHidden/>
          </w:rPr>
          <w:fldChar w:fldCharType="begin"/>
        </w:r>
        <w:r w:rsidR="004014D8" w:rsidRPr="004014D8">
          <w:rPr>
            <w:noProof/>
            <w:webHidden/>
          </w:rPr>
          <w:instrText xml:space="preserve"> PAGEREF _Toc340568888 \h </w:instrText>
        </w:r>
        <w:r w:rsidRPr="004014D8">
          <w:rPr>
            <w:noProof/>
            <w:webHidden/>
          </w:rPr>
        </w:r>
        <w:r w:rsidRPr="004014D8">
          <w:rPr>
            <w:noProof/>
            <w:webHidden/>
          </w:rPr>
          <w:fldChar w:fldCharType="separate"/>
        </w:r>
        <w:r w:rsidR="006E036E">
          <w:rPr>
            <w:noProof/>
            <w:webHidden/>
          </w:rPr>
          <w:t>9</w:t>
        </w:r>
        <w:r w:rsidRPr="004014D8">
          <w:rPr>
            <w:noProof/>
            <w:webHidden/>
          </w:rPr>
          <w:fldChar w:fldCharType="end"/>
        </w:r>
      </w:hyperlink>
    </w:p>
    <w:p w:rsidR="004014D8" w:rsidRPr="004014D8" w:rsidRDefault="00CC17A1">
      <w:pPr>
        <w:pStyle w:val="TOC2"/>
        <w:tabs>
          <w:tab w:val="left" w:pos="880"/>
          <w:tab w:val="right" w:leader="dot" w:pos="9016"/>
        </w:tabs>
        <w:rPr>
          <w:rFonts w:cstheme="minorBidi"/>
          <w:smallCaps w:val="0"/>
          <w:noProof/>
          <w:sz w:val="22"/>
          <w:szCs w:val="22"/>
        </w:rPr>
      </w:pPr>
      <w:hyperlink w:anchor="_Toc340568889" w:history="1">
        <w:r w:rsidR="004014D8" w:rsidRPr="004014D8">
          <w:rPr>
            <w:rStyle w:val="Hyperlink"/>
            <w:noProof/>
          </w:rPr>
          <w:t>1.4</w:t>
        </w:r>
        <w:r w:rsidR="004014D8" w:rsidRPr="004014D8">
          <w:rPr>
            <w:rFonts w:cstheme="minorBidi"/>
            <w:smallCaps w:val="0"/>
            <w:noProof/>
            <w:sz w:val="22"/>
            <w:szCs w:val="22"/>
          </w:rPr>
          <w:tab/>
        </w:r>
        <w:r w:rsidR="004014D8" w:rsidRPr="004014D8">
          <w:rPr>
            <w:rStyle w:val="Hyperlink"/>
            <w:noProof/>
          </w:rPr>
          <w:t>Scientific and social relevance</w:t>
        </w:r>
        <w:r w:rsidR="004014D8" w:rsidRPr="004014D8">
          <w:rPr>
            <w:noProof/>
            <w:webHidden/>
          </w:rPr>
          <w:tab/>
        </w:r>
        <w:r w:rsidRPr="004014D8">
          <w:rPr>
            <w:noProof/>
            <w:webHidden/>
          </w:rPr>
          <w:fldChar w:fldCharType="begin"/>
        </w:r>
        <w:r w:rsidR="004014D8" w:rsidRPr="004014D8">
          <w:rPr>
            <w:noProof/>
            <w:webHidden/>
          </w:rPr>
          <w:instrText xml:space="preserve"> PAGEREF _Toc340568889 \h </w:instrText>
        </w:r>
        <w:r w:rsidRPr="004014D8">
          <w:rPr>
            <w:noProof/>
            <w:webHidden/>
          </w:rPr>
        </w:r>
        <w:r w:rsidRPr="004014D8">
          <w:rPr>
            <w:noProof/>
            <w:webHidden/>
          </w:rPr>
          <w:fldChar w:fldCharType="separate"/>
        </w:r>
        <w:r w:rsidR="006E036E">
          <w:rPr>
            <w:noProof/>
            <w:webHidden/>
          </w:rPr>
          <w:t>10</w:t>
        </w:r>
        <w:r w:rsidRPr="004014D8">
          <w:rPr>
            <w:noProof/>
            <w:webHidden/>
          </w:rPr>
          <w:fldChar w:fldCharType="end"/>
        </w:r>
      </w:hyperlink>
    </w:p>
    <w:p w:rsidR="004014D8" w:rsidRPr="004014D8" w:rsidRDefault="00CC17A1">
      <w:pPr>
        <w:pStyle w:val="TOC2"/>
        <w:tabs>
          <w:tab w:val="left" w:pos="880"/>
          <w:tab w:val="right" w:leader="dot" w:pos="9016"/>
        </w:tabs>
        <w:rPr>
          <w:rFonts w:cstheme="minorBidi"/>
          <w:smallCaps w:val="0"/>
          <w:noProof/>
          <w:sz w:val="22"/>
          <w:szCs w:val="22"/>
        </w:rPr>
      </w:pPr>
      <w:hyperlink w:anchor="_Toc340568890" w:history="1">
        <w:r w:rsidR="004014D8" w:rsidRPr="004014D8">
          <w:rPr>
            <w:rStyle w:val="Hyperlink"/>
            <w:noProof/>
          </w:rPr>
          <w:t>1.5</w:t>
        </w:r>
        <w:r w:rsidR="004014D8" w:rsidRPr="004014D8">
          <w:rPr>
            <w:rFonts w:cstheme="minorBidi"/>
            <w:smallCaps w:val="0"/>
            <w:noProof/>
            <w:sz w:val="22"/>
            <w:szCs w:val="22"/>
          </w:rPr>
          <w:tab/>
        </w:r>
        <w:r w:rsidR="004014D8" w:rsidRPr="004014D8">
          <w:rPr>
            <w:rStyle w:val="Hyperlink"/>
            <w:noProof/>
          </w:rPr>
          <w:t>Delimitations</w:t>
        </w:r>
        <w:r w:rsidR="004014D8" w:rsidRPr="004014D8">
          <w:rPr>
            <w:noProof/>
            <w:webHidden/>
          </w:rPr>
          <w:tab/>
        </w:r>
        <w:r w:rsidRPr="004014D8">
          <w:rPr>
            <w:noProof/>
            <w:webHidden/>
          </w:rPr>
          <w:fldChar w:fldCharType="begin"/>
        </w:r>
        <w:r w:rsidR="004014D8" w:rsidRPr="004014D8">
          <w:rPr>
            <w:noProof/>
            <w:webHidden/>
          </w:rPr>
          <w:instrText xml:space="preserve"> PAGEREF _Toc340568890 \h </w:instrText>
        </w:r>
        <w:r w:rsidRPr="004014D8">
          <w:rPr>
            <w:noProof/>
            <w:webHidden/>
          </w:rPr>
        </w:r>
        <w:r w:rsidRPr="004014D8">
          <w:rPr>
            <w:noProof/>
            <w:webHidden/>
          </w:rPr>
          <w:fldChar w:fldCharType="separate"/>
        </w:r>
        <w:r w:rsidR="006E036E">
          <w:rPr>
            <w:noProof/>
            <w:webHidden/>
          </w:rPr>
          <w:t>11</w:t>
        </w:r>
        <w:r w:rsidRPr="004014D8">
          <w:rPr>
            <w:noProof/>
            <w:webHidden/>
          </w:rPr>
          <w:fldChar w:fldCharType="end"/>
        </w:r>
      </w:hyperlink>
    </w:p>
    <w:p w:rsidR="004014D8" w:rsidRPr="004014D8" w:rsidRDefault="00CC17A1">
      <w:pPr>
        <w:pStyle w:val="TOC2"/>
        <w:tabs>
          <w:tab w:val="left" w:pos="880"/>
          <w:tab w:val="right" w:leader="dot" w:pos="9016"/>
        </w:tabs>
        <w:rPr>
          <w:rFonts w:cstheme="minorBidi"/>
          <w:smallCaps w:val="0"/>
          <w:noProof/>
          <w:sz w:val="22"/>
          <w:szCs w:val="22"/>
        </w:rPr>
      </w:pPr>
      <w:hyperlink w:anchor="_Toc340568891" w:history="1">
        <w:r w:rsidR="004014D8" w:rsidRPr="004014D8">
          <w:rPr>
            <w:rStyle w:val="Hyperlink"/>
            <w:noProof/>
          </w:rPr>
          <w:t>1.6</w:t>
        </w:r>
        <w:r w:rsidR="004014D8" w:rsidRPr="004014D8">
          <w:rPr>
            <w:rFonts w:cstheme="minorBidi"/>
            <w:smallCaps w:val="0"/>
            <w:noProof/>
            <w:sz w:val="22"/>
            <w:szCs w:val="22"/>
          </w:rPr>
          <w:tab/>
        </w:r>
        <w:r w:rsidR="004014D8" w:rsidRPr="004014D8">
          <w:rPr>
            <w:rStyle w:val="Hyperlink"/>
            <w:noProof/>
          </w:rPr>
          <w:t>Research question</w:t>
        </w:r>
        <w:r w:rsidR="004014D8" w:rsidRPr="004014D8">
          <w:rPr>
            <w:noProof/>
            <w:webHidden/>
          </w:rPr>
          <w:tab/>
        </w:r>
        <w:r w:rsidRPr="004014D8">
          <w:rPr>
            <w:noProof/>
            <w:webHidden/>
          </w:rPr>
          <w:fldChar w:fldCharType="begin"/>
        </w:r>
        <w:r w:rsidR="004014D8" w:rsidRPr="004014D8">
          <w:rPr>
            <w:noProof/>
            <w:webHidden/>
          </w:rPr>
          <w:instrText xml:space="preserve"> PAGEREF _Toc340568891 \h </w:instrText>
        </w:r>
        <w:r w:rsidRPr="004014D8">
          <w:rPr>
            <w:noProof/>
            <w:webHidden/>
          </w:rPr>
        </w:r>
        <w:r w:rsidRPr="004014D8">
          <w:rPr>
            <w:noProof/>
            <w:webHidden/>
          </w:rPr>
          <w:fldChar w:fldCharType="separate"/>
        </w:r>
        <w:r w:rsidR="006E036E">
          <w:rPr>
            <w:noProof/>
            <w:webHidden/>
          </w:rPr>
          <w:t>12</w:t>
        </w:r>
        <w:r w:rsidRPr="004014D8">
          <w:rPr>
            <w:noProof/>
            <w:webHidden/>
          </w:rPr>
          <w:fldChar w:fldCharType="end"/>
        </w:r>
      </w:hyperlink>
    </w:p>
    <w:p w:rsidR="004014D8" w:rsidRPr="004014D8" w:rsidRDefault="00CC17A1">
      <w:pPr>
        <w:pStyle w:val="TOC2"/>
        <w:tabs>
          <w:tab w:val="left" w:pos="880"/>
          <w:tab w:val="right" w:leader="dot" w:pos="9016"/>
        </w:tabs>
        <w:rPr>
          <w:rFonts w:cstheme="minorBidi"/>
          <w:smallCaps w:val="0"/>
          <w:noProof/>
          <w:sz w:val="22"/>
          <w:szCs w:val="22"/>
        </w:rPr>
      </w:pPr>
      <w:hyperlink w:anchor="_Toc340568892" w:history="1">
        <w:r w:rsidR="004014D8" w:rsidRPr="004014D8">
          <w:rPr>
            <w:rStyle w:val="Hyperlink"/>
            <w:noProof/>
          </w:rPr>
          <w:t>1.7</w:t>
        </w:r>
        <w:r w:rsidR="004014D8" w:rsidRPr="004014D8">
          <w:rPr>
            <w:rFonts w:cstheme="minorBidi"/>
            <w:smallCaps w:val="0"/>
            <w:noProof/>
            <w:sz w:val="22"/>
            <w:szCs w:val="22"/>
          </w:rPr>
          <w:tab/>
        </w:r>
        <w:r w:rsidR="004014D8" w:rsidRPr="004014D8">
          <w:rPr>
            <w:rStyle w:val="Hyperlink"/>
            <w:noProof/>
          </w:rPr>
          <w:t>Hypotheses</w:t>
        </w:r>
        <w:r w:rsidR="004014D8" w:rsidRPr="004014D8">
          <w:rPr>
            <w:noProof/>
            <w:webHidden/>
          </w:rPr>
          <w:tab/>
        </w:r>
        <w:r w:rsidRPr="004014D8">
          <w:rPr>
            <w:noProof/>
            <w:webHidden/>
          </w:rPr>
          <w:fldChar w:fldCharType="begin"/>
        </w:r>
        <w:r w:rsidR="004014D8" w:rsidRPr="004014D8">
          <w:rPr>
            <w:noProof/>
            <w:webHidden/>
          </w:rPr>
          <w:instrText xml:space="preserve"> PAGEREF _Toc340568892 \h </w:instrText>
        </w:r>
        <w:r w:rsidRPr="004014D8">
          <w:rPr>
            <w:noProof/>
            <w:webHidden/>
          </w:rPr>
        </w:r>
        <w:r w:rsidRPr="004014D8">
          <w:rPr>
            <w:noProof/>
            <w:webHidden/>
          </w:rPr>
          <w:fldChar w:fldCharType="separate"/>
        </w:r>
        <w:r w:rsidR="006E036E">
          <w:rPr>
            <w:noProof/>
            <w:webHidden/>
          </w:rPr>
          <w:t>12</w:t>
        </w:r>
        <w:r w:rsidRPr="004014D8">
          <w:rPr>
            <w:noProof/>
            <w:webHidden/>
          </w:rPr>
          <w:fldChar w:fldCharType="end"/>
        </w:r>
      </w:hyperlink>
    </w:p>
    <w:p w:rsidR="004014D8" w:rsidRPr="004014D8" w:rsidRDefault="00CC17A1">
      <w:pPr>
        <w:pStyle w:val="TOC2"/>
        <w:tabs>
          <w:tab w:val="left" w:pos="880"/>
          <w:tab w:val="right" w:leader="dot" w:pos="9016"/>
        </w:tabs>
        <w:rPr>
          <w:rFonts w:cstheme="minorBidi"/>
          <w:smallCaps w:val="0"/>
          <w:noProof/>
          <w:sz w:val="22"/>
          <w:szCs w:val="22"/>
        </w:rPr>
      </w:pPr>
      <w:hyperlink w:anchor="_Toc340568893" w:history="1">
        <w:r w:rsidR="004014D8" w:rsidRPr="004014D8">
          <w:rPr>
            <w:rStyle w:val="Hyperlink"/>
            <w:noProof/>
          </w:rPr>
          <w:t>1.8</w:t>
        </w:r>
        <w:r w:rsidR="004014D8" w:rsidRPr="004014D8">
          <w:rPr>
            <w:rFonts w:cstheme="minorBidi"/>
            <w:smallCaps w:val="0"/>
            <w:noProof/>
            <w:sz w:val="22"/>
            <w:szCs w:val="22"/>
          </w:rPr>
          <w:tab/>
        </w:r>
        <w:r w:rsidR="004014D8" w:rsidRPr="004014D8">
          <w:rPr>
            <w:rStyle w:val="Hyperlink"/>
            <w:noProof/>
          </w:rPr>
          <w:t>Thesis structure</w:t>
        </w:r>
        <w:r w:rsidR="004014D8" w:rsidRPr="004014D8">
          <w:rPr>
            <w:noProof/>
            <w:webHidden/>
          </w:rPr>
          <w:tab/>
        </w:r>
        <w:r w:rsidRPr="004014D8">
          <w:rPr>
            <w:noProof/>
            <w:webHidden/>
          </w:rPr>
          <w:fldChar w:fldCharType="begin"/>
        </w:r>
        <w:r w:rsidR="004014D8" w:rsidRPr="004014D8">
          <w:rPr>
            <w:noProof/>
            <w:webHidden/>
          </w:rPr>
          <w:instrText xml:space="preserve"> PAGEREF _Toc340568893 \h </w:instrText>
        </w:r>
        <w:r w:rsidRPr="004014D8">
          <w:rPr>
            <w:noProof/>
            <w:webHidden/>
          </w:rPr>
        </w:r>
        <w:r w:rsidRPr="004014D8">
          <w:rPr>
            <w:noProof/>
            <w:webHidden/>
          </w:rPr>
          <w:fldChar w:fldCharType="separate"/>
        </w:r>
        <w:r w:rsidR="006E036E">
          <w:rPr>
            <w:noProof/>
            <w:webHidden/>
          </w:rPr>
          <w:t>14</w:t>
        </w:r>
        <w:r w:rsidRPr="004014D8">
          <w:rPr>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894" w:history="1">
        <w:r w:rsidR="004014D8" w:rsidRPr="004014D8">
          <w:rPr>
            <w:rStyle w:val="Hyperlink"/>
            <w:b w:val="0"/>
            <w:noProof/>
          </w:rPr>
          <w:t>Chapter 2: Theoretical Background</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_Toc340568894 \h </w:instrText>
        </w:r>
        <w:r w:rsidRPr="004014D8">
          <w:rPr>
            <w:b w:val="0"/>
            <w:noProof/>
            <w:webHidden/>
          </w:rPr>
        </w:r>
        <w:r w:rsidRPr="004014D8">
          <w:rPr>
            <w:b w:val="0"/>
            <w:noProof/>
            <w:webHidden/>
          </w:rPr>
          <w:fldChar w:fldCharType="separate"/>
        </w:r>
        <w:r w:rsidR="006E036E">
          <w:rPr>
            <w:b w:val="0"/>
            <w:noProof/>
            <w:webHidden/>
          </w:rPr>
          <w:t>15</w:t>
        </w:r>
        <w:r w:rsidRPr="004014D8">
          <w:rPr>
            <w:b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895" w:history="1">
        <w:r w:rsidR="004014D8" w:rsidRPr="004014D8">
          <w:rPr>
            <w:rStyle w:val="Hyperlink"/>
            <w:noProof/>
          </w:rPr>
          <w:t>2.1 Introduction</w:t>
        </w:r>
        <w:r w:rsidR="004014D8" w:rsidRPr="004014D8">
          <w:rPr>
            <w:noProof/>
            <w:webHidden/>
          </w:rPr>
          <w:tab/>
        </w:r>
        <w:r w:rsidRPr="004014D8">
          <w:rPr>
            <w:noProof/>
            <w:webHidden/>
          </w:rPr>
          <w:fldChar w:fldCharType="begin"/>
        </w:r>
        <w:r w:rsidR="004014D8" w:rsidRPr="004014D8">
          <w:rPr>
            <w:noProof/>
            <w:webHidden/>
          </w:rPr>
          <w:instrText xml:space="preserve"> PAGEREF _Toc340568895 \h </w:instrText>
        </w:r>
        <w:r w:rsidRPr="004014D8">
          <w:rPr>
            <w:noProof/>
            <w:webHidden/>
          </w:rPr>
        </w:r>
        <w:r w:rsidRPr="004014D8">
          <w:rPr>
            <w:noProof/>
            <w:webHidden/>
          </w:rPr>
          <w:fldChar w:fldCharType="separate"/>
        </w:r>
        <w:r w:rsidR="006E036E">
          <w:rPr>
            <w:noProof/>
            <w:webHidden/>
          </w:rPr>
          <w:t>15</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896" w:history="1">
        <w:r w:rsidR="004014D8" w:rsidRPr="004014D8">
          <w:rPr>
            <w:rStyle w:val="Hyperlink"/>
            <w:noProof/>
          </w:rPr>
          <w:t>2.2 Principal-agent relation</w:t>
        </w:r>
        <w:r w:rsidR="004014D8" w:rsidRPr="004014D8">
          <w:rPr>
            <w:noProof/>
            <w:webHidden/>
          </w:rPr>
          <w:tab/>
        </w:r>
        <w:r w:rsidRPr="004014D8">
          <w:rPr>
            <w:noProof/>
            <w:webHidden/>
          </w:rPr>
          <w:fldChar w:fldCharType="begin"/>
        </w:r>
        <w:r w:rsidR="004014D8" w:rsidRPr="004014D8">
          <w:rPr>
            <w:noProof/>
            <w:webHidden/>
          </w:rPr>
          <w:instrText xml:space="preserve"> PAGEREF _Toc340568896 \h </w:instrText>
        </w:r>
        <w:r w:rsidRPr="004014D8">
          <w:rPr>
            <w:noProof/>
            <w:webHidden/>
          </w:rPr>
        </w:r>
        <w:r w:rsidRPr="004014D8">
          <w:rPr>
            <w:noProof/>
            <w:webHidden/>
          </w:rPr>
          <w:fldChar w:fldCharType="separate"/>
        </w:r>
        <w:r w:rsidR="006E036E">
          <w:rPr>
            <w:noProof/>
            <w:webHidden/>
          </w:rPr>
          <w:t>15</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897" w:history="1">
        <w:r w:rsidR="004014D8" w:rsidRPr="004014D8">
          <w:rPr>
            <w:rStyle w:val="Hyperlink"/>
            <w:i w:val="0"/>
            <w:noProof/>
          </w:rPr>
          <w:t>2.2.1 Introduction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_Toc340568897 \h </w:instrText>
        </w:r>
        <w:r w:rsidRPr="004014D8">
          <w:rPr>
            <w:i w:val="0"/>
            <w:noProof/>
            <w:webHidden/>
          </w:rPr>
        </w:r>
        <w:r w:rsidRPr="004014D8">
          <w:rPr>
            <w:i w:val="0"/>
            <w:noProof/>
            <w:webHidden/>
          </w:rPr>
          <w:fldChar w:fldCharType="separate"/>
        </w:r>
        <w:r w:rsidR="006E036E">
          <w:rPr>
            <w:i w:val="0"/>
            <w:noProof/>
            <w:webHidden/>
          </w:rPr>
          <w:t>15</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898" w:history="1">
        <w:r w:rsidR="004014D8" w:rsidRPr="004014D8">
          <w:rPr>
            <w:rStyle w:val="Hyperlink"/>
            <w:i w:val="0"/>
            <w:noProof/>
          </w:rPr>
          <w:t>2.2.2 Market interaction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_Toc340568898 \h </w:instrText>
        </w:r>
        <w:r w:rsidRPr="004014D8">
          <w:rPr>
            <w:i w:val="0"/>
            <w:noProof/>
            <w:webHidden/>
          </w:rPr>
        </w:r>
        <w:r w:rsidRPr="004014D8">
          <w:rPr>
            <w:i w:val="0"/>
            <w:noProof/>
            <w:webHidden/>
          </w:rPr>
          <w:fldChar w:fldCharType="separate"/>
        </w:r>
        <w:r w:rsidR="006E036E">
          <w:rPr>
            <w:i w:val="0"/>
            <w:noProof/>
            <w:webHidden/>
          </w:rPr>
          <w:t>16</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899" w:history="1">
        <w:r w:rsidR="004014D8" w:rsidRPr="004014D8">
          <w:rPr>
            <w:rStyle w:val="Hyperlink"/>
            <w:i w:val="0"/>
            <w:noProof/>
          </w:rPr>
          <w:t>2.2.3 Conclusion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_Toc340568899 \h </w:instrText>
        </w:r>
        <w:r w:rsidRPr="004014D8">
          <w:rPr>
            <w:i w:val="0"/>
            <w:noProof/>
            <w:webHidden/>
          </w:rPr>
        </w:r>
        <w:r w:rsidRPr="004014D8">
          <w:rPr>
            <w:i w:val="0"/>
            <w:noProof/>
            <w:webHidden/>
          </w:rPr>
          <w:fldChar w:fldCharType="separate"/>
        </w:r>
        <w:r w:rsidR="006E036E">
          <w:rPr>
            <w:i w:val="0"/>
            <w:noProof/>
            <w:webHidden/>
          </w:rPr>
          <w:t>18</w:t>
        </w:r>
        <w:r w:rsidRPr="004014D8">
          <w:rPr>
            <w:i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00" w:history="1">
        <w:r w:rsidR="004014D8" w:rsidRPr="004014D8">
          <w:rPr>
            <w:rStyle w:val="Hyperlink"/>
            <w:noProof/>
          </w:rPr>
          <w:t>2.3 Risk</w:t>
        </w:r>
        <w:r w:rsidR="004014D8" w:rsidRPr="004014D8">
          <w:rPr>
            <w:noProof/>
            <w:webHidden/>
          </w:rPr>
          <w:tab/>
        </w:r>
        <w:r w:rsidRPr="004014D8">
          <w:rPr>
            <w:noProof/>
            <w:webHidden/>
          </w:rPr>
          <w:fldChar w:fldCharType="begin"/>
        </w:r>
        <w:r w:rsidR="004014D8" w:rsidRPr="004014D8">
          <w:rPr>
            <w:noProof/>
            <w:webHidden/>
          </w:rPr>
          <w:instrText xml:space="preserve"> PAGEREF _Toc340568900 \h </w:instrText>
        </w:r>
        <w:r w:rsidRPr="004014D8">
          <w:rPr>
            <w:noProof/>
            <w:webHidden/>
          </w:rPr>
        </w:r>
        <w:r w:rsidRPr="004014D8">
          <w:rPr>
            <w:noProof/>
            <w:webHidden/>
          </w:rPr>
          <w:fldChar w:fldCharType="separate"/>
        </w:r>
        <w:r w:rsidR="006E036E">
          <w:rPr>
            <w:noProof/>
            <w:webHidden/>
          </w:rPr>
          <w:t>19</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01" w:history="1">
        <w:r w:rsidR="004014D8" w:rsidRPr="004014D8">
          <w:rPr>
            <w:rStyle w:val="Hyperlink"/>
            <w:i w:val="0"/>
            <w:noProof/>
          </w:rPr>
          <w:t>2.3.1. Introduction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_Toc340568901 \h </w:instrText>
        </w:r>
        <w:r w:rsidRPr="004014D8">
          <w:rPr>
            <w:i w:val="0"/>
            <w:noProof/>
            <w:webHidden/>
          </w:rPr>
        </w:r>
        <w:r w:rsidRPr="004014D8">
          <w:rPr>
            <w:i w:val="0"/>
            <w:noProof/>
            <w:webHidden/>
          </w:rPr>
          <w:fldChar w:fldCharType="separate"/>
        </w:r>
        <w:r w:rsidR="006E036E">
          <w:rPr>
            <w:i w:val="0"/>
            <w:noProof/>
            <w:webHidden/>
          </w:rPr>
          <w:t>19</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02" w:history="1">
        <w:r w:rsidR="004014D8" w:rsidRPr="004014D8">
          <w:rPr>
            <w:rStyle w:val="Hyperlink"/>
            <w:i w:val="0"/>
            <w:noProof/>
          </w:rPr>
          <w:t>2.3.2 Risk Attitude</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_Toc340568902 \h </w:instrText>
        </w:r>
        <w:r w:rsidRPr="004014D8">
          <w:rPr>
            <w:i w:val="0"/>
            <w:noProof/>
            <w:webHidden/>
          </w:rPr>
        </w:r>
        <w:r w:rsidRPr="004014D8">
          <w:rPr>
            <w:i w:val="0"/>
            <w:noProof/>
            <w:webHidden/>
          </w:rPr>
          <w:fldChar w:fldCharType="separate"/>
        </w:r>
        <w:r w:rsidR="006E036E">
          <w:rPr>
            <w:i w:val="0"/>
            <w:noProof/>
            <w:webHidden/>
          </w:rPr>
          <w:t>19</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03" w:history="1">
        <w:r w:rsidR="004014D8" w:rsidRPr="004014D8">
          <w:rPr>
            <w:rStyle w:val="Hyperlink"/>
            <w:i w:val="0"/>
            <w:noProof/>
          </w:rPr>
          <w:t>2.3.3 Risk domains</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_Toc340568903 \h </w:instrText>
        </w:r>
        <w:r w:rsidRPr="004014D8">
          <w:rPr>
            <w:i w:val="0"/>
            <w:noProof/>
            <w:webHidden/>
          </w:rPr>
        </w:r>
        <w:r w:rsidRPr="004014D8">
          <w:rPr>
            <w:i w:val="0"/>
            <w:noProof/>
            <w:webHidden/>
          </w:rPr>
          <w:fldChar w:fldCharType="separate"/>
        </w:r>
        <w:r w:rsidR="006E036E">
          <w:rPr>
            <w:i w:val="0"/>
            <w:noProof/>
            <w:webHidden/>
          </w:rPr>
          <w:t>20</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04" w:history="1">
        <w:r w:rsidR="004014D8" w:rsidRPr="004014D8">
          <w:rPr>
            <w:rStyle w:val="Hyperlink"/>
            <w:i w:val="0"/>
            <w:noProof/>
          </w:rPr>
          <w:t>2.3.4 Risk dynamics</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_Toc340568904 \h </w:instrText>
        </w:r>
        <w:r w:rsidRPr="004014D8">
          <w:rPr>
            <w:i w:val="0"/>
            <w:noProof/>
            <w:webHidden/>
          </w:rPr>
        </w:r>
        <w:r w:rsidRPr="004014D8">
          <w:rPr>
            <w:i w:val="0"/>
            <w:noProof/>
            <w:webHidden/>
          </w:rPr>
          <w:fldChar w:fldCharType="separate"/>
        </w:r>
        <w:r w:rsidR="006E036E">
          <w:rPr>
            <w:i w:val="0"/>
            <w:noProof/>
            <w:webHidden/>
          </w:rPr>
          <w:t>21</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05" w:history="1">
        <w:r w:rsidR="004014D8" w:rsidRPr="004014D8">
          <w:rPr>
            <w:rStyle w:val="Hyperlink"/>
            <w:i w:val="0"/>
            <w:noProof/>
          </w:rPr>
          <w:t>2.3.5 Risk attitude measurement</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_Toc340568905 \h </w:instrText>
        </w:r>
        <w:r w:rsidRPr="004014D8">
          <w:rPr>
            <w:i w:val="0"/>
            <w:noProof/>
            <w:webHidden/>
          </w:rPr>
        </w:r>
        <w:r w:rsidRPr="004014D8">
          <w:rPr>
            <w:i w:val="0"/>
            <w:noProof/>
            <w:webHidden/>
          </w:rPr>
          <w:fldChar w:fldCharType="separate"/>
        </w:r>
        <w:r w:rsidR="006E036E">
          <w:rPr>
            <w:i w:val="0"/>
            <w:noProof/>
            <w:webHidden/>
          </w:rPr>
          <w:t>21</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06" w:history="1">
        <w:r w:rsidR="004014D8" w:rsidRPr="004014D8">
          <w:rPr>
            <w:rStyle w:val="Hyperlink"/>
            <w:i w:val="0"/>
            <w:noProof/>
          </w:rPr>
          <w:t>2.3.6 Ambiguity aversion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_Toc340568906 \h </w:instrText>
        </w:r>
        <w:r w:rsidRPr="004014D8">
          <w:rPr>
            <w:i w:val="0"/>
            <w:noProof/>
            <w:webHidden/>
          </w:rPr>
        </w:r>
        <w:r w:rsidRPr="004014D8">
          <w:rPr>
            <w:i w:val="0"/>
            <w:noProof/>
            <w:webHidden/>
          </w:rPr>
          <w:fldChar w:fldCharType="separate"/>
        </w:r>
        <w:r w:rsidR="006E036E">
          <w:rPr>
            <w:i w:val="0"/>
            <w:noProof/>
            <w:webHidden/>
          </w:rPr>
          <w:t>23</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07" w:history="1">
        <w:r w:rsidR="004014D8" w:rsidRPr="004014D8">
          <w:rPr>
            <w:rStyle w:val="Hyperlink"/>
            <w:i w:val="0"/>
            <w:noProof/>
          </w:rPr>
          <w:t>2.3.7 Conclusion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_Toc340568907 \h </w:instrText>
        </w:r>
        <w:r w:rsidRPr="004014D8">
          <w:rPr>
            <w:i w:val="0"/>
            <w:noProof/>
            <w:webHidden/>
          </w:rPr>
        </w:r>
        <w:r w:rsidRPr="004014D8">
          <w:rPr>
            <w:i w:val="0"/>
            <w:noProof/>
            <w:webHidden/>
          </w:rPr>
          <w:fldChar w:fldCharType="separate"/>
        </w:r>
        <w:r w:rsidR="006E036E">
          <w:rPr>
            <w:i w:val="0"/>
            <w:noProof/>
            <w:webHidden/>
          </w:rPr>
          <w:t>24</w:t>
        </w:r>
        <w:r w:rsidRPr="004014D8">
          <w:rPr>
            <w:i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08" w:history="1">
        <w:r w:rsidR="004014D8" w:rsidRPr="004014D8">
          <w:rPr>
            <w:rStyle w:val="Hyperlink"/>
            <w:noProof/>
          </w:rPr>
          <w:t>2.4 Trust</w:t>
        </w:r>
        <w:r w:rsidR="004014D8" w:rsidRPr="004014D8">
          <w:rPr>
            <w:noProof/>
            <w:webHidden/>
          </w:rPr>
          <w:tab/>
        </w:r>
        <w:r w:rsidRPr="004014D8">
          <w:rPr>
            <w:noProof/>
            <w:webHidden/>
          </w:rPr>
          <w:fldChar w:fldCharType="begin"/>
        </w:r>
        <w:r w:rsidR="004014D8" w:rsidRPr="004014D8">
          <w:rPr>
            <w:noProof/>
            <w:webHidden/>
          </w:rPr>
          <w:instrText xml:space="preserve"> PAGEREF _Toc340568908 \h </w:instrText>
        </w:r>
        <w:r w:rsidRPr="004014D8">
          <w:rPr>
            <w:noProof/>
            <w:webHidden/>
          </w:rPr>
        </w:r>
        <w:r w:rsidRPr="004014D8">
          <w:rPr>
            <w:noProof/>
            <w:webHidden/>
          </w:rPr>
          <w:fldChar w:fldCharType="separate"/>
        </w:r>
        <w:r w:rsidR="006E036E">
          <w:rPr>
            <w:noProof/>
            <w:webHidden/>
          </w:rPr>
          <w:t>25</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09" w:history="1">
        <w:r w:rsidR="004014D8" w:rsidRPr="004014D8">
          <w:rPr>
            <w:rStyle w:val="Hyperlink"/>
            <w:i w:val="0"/>
            <w:noProof/>
          </w:rPr>
          <w:t>2.4.1 Introduction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_Toc340568909 \h </w:instrText>
        </w:r>
        <w:r w:rsidRPr="004014D8">
          <w:rPr>
            <w:i w:val="0"/>
            <w:noProof/>
            <w:webHidden/>
          </w:rPr>
        </w:r>
        <w:r w:rsidRPr="004014D8">
          <w:rPr>
            <w:i w:val="0"/>
            <w:noProof/>
            <w:webHidden/>
          </w:rPr>
          <w:fldChar w:fldCharType="separate"/>
        </w:r>
        <w:r w:rsidR="006E036E">
          <w:rPr>
            <w:i w:val="0"/>
            <w:noProof/>
            <w:webHidden/>
          </w:rPr>
          <w:t>25</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10" w:history="1">
        <w:r w:rsidR="004014D8" w:rsidRPr="004014D8">
          <w:rPr>
            <w:rStyle w:val="Hyperlink"/>
            <w:i w:val="0"/>
            <w:noProof/>
          </w:rPr>
          <w:t>2.4.2 Trust in economics</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_Toc340568910 \h </w:instrText>
        </w:r>
        <w:r w:rsidRPr="004014D8">
          <w:rPr>
            <w:i w:val="0"/>
            <w:noProof/>
            <w:webHidden/>
          </w:rPr>
        </w:r>
        <w:r w:rsidRPr="004014D8">
          <w:rPr>
            <w:i w:val="0"/>
            <w:noProof/>
            <w:webHidden/>
          </w:rPr>
          <w:fldChar w:fldCharType="separate"/>
        </w:r>
        <w:r w:rsidR="006E036E">
          <w:rPr>
            <w:i w:val="0"/>
            <w:noProof/>
            <w:webHidden/>
          </w:rPr>
          <w:t>26</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11" w:history="1">
        <w:r w:rsidR="004014D8" w:rsidRPr="004014D8">
          <w:rPr>
            <w:rStyle w:val="Hyperlink"/>
            <w:i w:val="0"/>
            <w:noProof/>
          </w:rPr>
          <w:t>2.4.3. Trust in the pension domain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_Toc340568911 \h </w:instrText>
        </w:r>
        <w:r w:rsidRPr="004014D8">
          <w:rPr>
            <w:i w:val="0"/>
            <w:noProof/>
            <w:webHidden/>
          </w:rPr>
        </w:r>
        <w:r w:rsidRPr="004014D8">
          <w:rPr>
            <w:i w:val="0"/>
            <w:noProof/>
            <w:webHidden/>
          </w:rPr>
          <w:fldChar w:fldCharType="separate"/>
        </w:r>
        <w:r w:rsidR="006E036E">
          <w:rPr>
            <w:i w:val="0"/>
            <w:noProof/>
            <w:webHidden/>
          </w:rPr>
          <w:t>28</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12" w:history="1">
        <w:r w:rsidR="004014D8" w:rsidRPr="004014D8">
          <w:rPr>
            <w:rStyle w:val="Hyperlink"/>
            <w:i w:val="0"/>
            <w:noProof/>
          </w:rPr>
          <w:t>2.4.4. Trust and risk</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_Toc340568912 \h </w:instrText>
        </w:r>
        <w:r w:rsidRPr="004014D8">
          <w:rPr>
            <w:i w:val="0"/>
            <w:noProof/>
            <w:webHidden/>
          </w:rPr>
        </w:r>
        <w:r w:rsidRPr="004014D8">
          <w:rPr>
            <w:i w:val="0"/>
            <w:noProof/>
            <w:webHidden/>
          </w:rPr>
          <w:fldChar w:fldCharType="separate"/>
        </w:r>
        <w:r w:rsidR="006E036E">
          <w:rPr>
            <w:i w:val="0"/>
            <w:noProof/>
            <w:webHidden/>
          </w:rPr>
          <w:t>29</w:t>
        </w:r>
        <w:r w:rsidRPr="004014D8">
          <w:rPr>
            <w:i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13" w:history="1">
        <w:r w:rsidR="004014D8" w:rsidRPr="004014D8">
          <w:rPr>
            <w:rStyle w:val="Hyperlink"/>
            <w:noProof/>
          </w:rPr>
          <w:t>2.5. Knowledge</w:t>
        </w:r>
        <w:r w:rsidR="004014D8" w:rsidRPr="004014D8">
          <w:rPr>
            <w:noProof/>
            <w:webHidden/>
          </w:rPr>
          <w:tab/>
        </w:r>
        <w:r w:rsidRPr="004014D8">
          <w:rPr>
            <w:noProof/>
            <w:webHidden/>
          </w:rPr>
          <w:fldChar w:fldCharType="begin"/>
        </w:r>
        <w:r w:rsidR="004014D8" w:rsidRPr="004014D8">
          <w:rPr>
            <w:noProof/>
            <w:webHidden/>
          </w:rPr>
          <w:instrText xml:space="preserve"> PAGEREF _Toc340568913 \h </w:instrText>
        </w:r>
        <w:r w:rsidRPr="004014D8">
          <w:rPr>
            <w:noProof/>
            <w:webHidden/>
          </w:rPr>
        </w:r>
        <w:r w:rsidRPr="004014D8">
          <w:rPr>
            <w:noProof/>
            <w:webHidden/>
          </w:rPr>
          <w:fldChar w:fldCharType="separate"/>
        </w:r>
        <w:r w:rsidR="006E036E">
          <w:rPr>
            <w:noProof/>
            <w:webHidden/>
          </w:rPr>
          <w:t>32</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14" w:history="1">
        <w:r w:rsidR="004014D8" w:rsidRPr="004014D8">
          <w:rPr>
            <w:rStyle w:val="Hyperlink"/>
            <w:i w:val="0"/>
            <w:noProof/>
          </w:rPr>
          <w:t>2.5.1. Introduction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_Toc340568914 \h </w:instrText>
        </w:r>
        <w:r w:rsidRPr="004014D8">
          <w:rPr>
            <w:i w:val="0"/>
            <w:noProof/>
            <w:webHidden/>
          </w:rPr>
        </w:r>
        <w:r w:rsidRPr="004014D8">
          <w:rPr>
            <w:i w:val="0"/>
            <w:noProof/>
            <w:webHidden/>
          </w:rPr>
          <w:fldChar w:fldCharType="separate"/>
        </w:r>
        <w:r w:rsidR="006E036E">
          <w:rPr>
            <w:i w:val="0"/>
            <w:noProof/>
            <w:webHidden/>
          </w:rPr>
          <w:t>32</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15" w:history="1">
        <w:r w:rsidR="004014D8" w:rsidRPr="004014D8">
          <w:rPr>
            <w:rStyle w:val="Hyperlink"/>
            <w:i w:val="0"/>
            <w:noProof/>
          </w:rPr>
          <w:t>2.5.2 Financial knowledge</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_Toc340568915 \h </w:instrText>
        </w:r>
        <w:r w:rsidRPr="004014D8">
          <w:rPr>
            <w:i w:val="0"/>
            <w:noProof/>
            <w:webHidden/>
          </w:rPr>
        </w:r>
        <w:r w:rsidRPr="004014D8">
          <w:rPr>
            <w:i w:val="0"/>
            <w:noProof/>
            <w:webHidden/>
          </w:rPr>
          <w:fldChar w:fldCharType="separate"/>
        </w:r>
        <w:r w:rsidR="006E036E">
          <w:rPr>
            <w:i w:val="0"/>
            <w:noProof/>
            <w:webHidden/>
          </w:rPr>
          <w:t>32</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16" w:history="1">
        <w:r w:rsidR="004014D8" w:rsidRPr="004014D8">
          <w:rPr>
            <w:rStyle w:val="Hyperlink"/>
            <w:i w:val="0"/>
            <w:noProof/>
          </w:rPr>
          <w:t>2.5.3 Pension fund knowledge</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_Toc340568916 \h </w:instrText>
        </w:r>
        <w:r w:rsidRPr="004014D8">
          <w:rPr>
            <w:i w:val="0"/>
            <w:noProof/>
            <w:webHidden/>
          </w:rPr>
        </w:r>
        <w:r w:rsidRPr="004014D8">
          <w:rPr>
            <w:i w:val="0"/>
            <w:noProof/>
            <w:webHidden/>
          </w:rPr>
          <w:fldChar w:fldCharType="separate"/>
        </w:r>
        <w:r w:rsidR="006E036E">
          <w:rPr>
            <w:i w:val="0"/>
            <w:noProof/>
            <w:webHidden/>
          </w:rPr>
          <w:t>33</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17" w:history="1">
        <w:r w:rsidR="004014D8" w:rsidRPr="004014D8">
          <w:rPr>
            <w:rStyle w:val="Hyperlink"/>
            <w:i w:val="0"/>
            <w:noProof/>
          </w:rPr>
          <w:t>2.5.4 Conclusion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_Toc340568917 \h </w:instrText>
        </w:r>
        <w:r w:rsidRPr="004014D8">
          <w:rPr>
            <w:i w:val="0"/>
            <w:noProof/>
            <w:webHidden/>
          </w:rPr>
        </w:r>
        <w:r w:rsidRPr="004014D8">
          <w:rPr>
            <w:i w:val="0"/>
            <w:noProof/>
            <w:webHidden/>
          </w:rPr>
          <w:fldChar w:fldCharType="separate"/>
        </w:r>
        <w:r w:rsidR="006E036E">
          <w:rPr>
            <w:i w:val="0"/>
            <w:noProof/>
            <w:webHidden/>
          </w:rPr>
          <w:t>36</w:t>
        </w:r>
        <w:r w:rsidRPr="004014D8">
          <w:rPr>
            <w:i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18" w:history="1">
        <w:r w:rsidR="004014D8" w:rsidRPr="004014D8">
          <w:rPr>
            <w:rStyle w:val="Hyperlink"/>
            <w:noProof/>
          </w:rPr>
          <w:t>2.6 Reputation</w:t>
        </w:r>
        <w:r w:rsidR="004014D8" w:rsidRPr="004014D8">
          <w:rPr>
            <w:noProof/>
            <w:webHidden/>
          </w:rPr>
          <w:tab/>
        </w:r>
        <w:r w:rsidRPr="004014D8">
          <w:rPr>
            <w:noProof/>
            <w:webHidden/>
          </w:rPr>
          <w:fldChar w:fldCharType="begin"/>
        </w:r>
        <w:r w:rsidR="004014D8" w:rsidRPr="004014D8">
          <w:rPr>
            <w:noProof/>
            <w:webHidden/>
          </w:rPr>
          <w:instrText xml:space="preserve"> PAGEREF _Toc340568918 \h </w:instrText>
        </w:r>
        <w:r w:rsidRPr="004014D8">
          <w:rPr>
            <w:noProof/>
            <w:webHidden/>
          </w:rPr>
        </w:r>
        <w:r w:rsidRPr="004014D8">
          <w:rPr>
            <w:noProof/>
            <w:webHidden/>
          </w:rPr>
          <w:fldChar w:fldCharType="separate"/>
        </w:r>
        <w:r w:rsidR="006E036E">
          <w:rPr>
            <w:noProof/>
            <w:webHidden/>
          </w:rPr>
          <w:t>37</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19" w:history="1">
        <w:r w:rsidR="004014D8" w:rsidRPr="004014D8">
          <w:rPr>
            <w:rStyle w:val="Hyperlink"/>
            <w:i w:val="0"/>
            <w:noProof/>
          </w:rPr>
          <w:t>2.6.1. Introduction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_Toc340568919 \h </w:instrText>
        </w:r>
        <w:r w:rsidRPr="004014D8">
          <w:rPr>
            <w:i w:val="0"/>
            <w:noProof/>
            <w:webHidden/>
          </w:rPr>
        </w:r>
        <w:r w:rsidRPr="004014D8">
          <w:rPr>
            <w:i w:val="0"/>
            <w:noProof/>
            <w:webHidden/>
          </w:rPr>
          <w:fldChar w:fldCharType="separate"/>
        </w:r>
        <w:r w:rsidR="006E036E">
          <w:rPr>
            <w:i w:val="0"/>
            <w:noProof/>
            <w:webHidden/>
          </w:rPr>
          <w:t>37</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20" w:history="1">
        <w:r w:rsidR="004014D8" w:rsidRPr="004014D8">
          <w:rPr>
            <w:rStyle w:val="Hyperlink"/>
            <w:i w:val="0"/>
            <w:noProof/>
          </w:rPr>
          <w:t>2.6.2 Pension fund reputation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_Toc340568920 \h </w:instrText>
        </w:r>
        <w:r w:rsidRPr="004014D8">
          <w:rPr>
            <w:i w:val="0"/>
            <w:noProof/>
            <w:webHidden/>
          </w:rPr>
        </w:r>
        <w:r w:rsidRPr="004014D8">
          <w:rPr>
            <w:i w:val="0"/>
            <w:noProof/>
            <w:webHidden/>
          </w:rPr>
          <w:fldChar w:fldCharType="separate"/>
        </w:r>
        <w:r w:rsidR="006E036E">
          <w:rPr>
            <w:i w:val="0"/>
            <w:noProof/>
            <w:webHidden/>
          </w:rPr>
          <w:t>37</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21" w:history="1">
        <w:r w:rsidR="004014D8" w:rsidRPr="004014D8">
          <w:rPr>
            <w:rStyle w:val="Hyperlink"/>
            <w:i w:val="0"/>
            <w:noProof/>
          </w:rPr>
          <w:t>2.6.3 Conclusion</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_Toc340568921 \h </w:instrText>
        </w:r>
        <w:r w:rsidRPr="004014D8">
          <w:rPr>
            <w:i w:val="0"/>
            <w:noProof/>
            <w:webHidden/>
          </w:rPr>
        </w:r>
        <w:r w:rsidRPr="004014D8">
          <w:rPr>
            <w:i w:val="0"/>
            <w:noProof/>
            <w:webHidden/>
          </w:rPr>
          <w:fldChar w:fldCharType="separate"/>
        </w:r>
        <w:r w:rsidR="006E036E">
          <w:rPr>
            <w:i w:val="0"/>
            <w:noProof/>
            <w:webHidden/>
          </w:rPr>
          <w:t>38</w:t>
        </w:r>
        <w:r w:rsidRPr="004014D8">
          <w:rPr>
            <w:i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22" w:history="1">
        <w:r w:rsidR="004014D8" w:rsidRPr="004014D8">
          <w:rPr>
            <w:rStyle w:val="Hyperlink"/>
            <w:noProof/>
          </w:rPr>
          <w:t>2.7 Conclusion</w:t>
        </w:r>
        <w:r w:rsidR="004014D8" w:rsidRPr="004014D8">
          <w:rPr>
            <w:noProof/>
            <w:webHidden/>
          </w:rPr>
          <w:tab/>
        </w:r>
        <w:r w:rsidRPr="004014D8">
          <w:rPr>
            <w:noProof/>
            <w:webHidden/>
          </w:rPr>
          <w:fldChar w:fldCharType="begin"/>
        </w:r>
        <w:r w:rsidR="004014D8" w:rsidRPr="004014D8">
          <w:rPr>
            <w:noProof/>
            <w:webHidden/>
          </w:rPr>
          <w:instrText xml:space="preserve"> PAGEREF _Toc340568922 \h </w:instrText>
        </w:r>
        <w:r w:rsidRPr="004014D8">
          <w:rPr>
            <w:noProof/>
            <w:webHidden/>
          </w:rPr>
        </w:r>
        <w:r w:rsidRPr="004014D8">
          <w:rPr>
            <w:noProof/>
            <w:webHidden/>
          </w:rPr>
          <w:fldChar w:fldCharType="separate"/>
        </w:r>
        <w:r w:rsidR="006E036E">
          <w:rPr>
            <w:noProof/>
            <w:webHidden/>
          </w:rPr>
          <w:t>38</w:t>
        </w:r>
        <w:r w:rsidRPr="004014D8">
          <w:rPr>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923" w:history="1">
        <w:r w:rsidR="004014D8" w:rsidRPr="004014D8">
          <w:rPr>
            <w:rStyle w:val="Hyperlink"/>
            <w:b w:val="0"/>
            <w:noProof/>
          </w:rPr>
          <w:t>Chapter 3: Methodology &amp; preliminary data analysis</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_Toc340568923 \h </w:instrText>
        </w:r>
        <w:r w:rsidRPr="004014D8">
          <w:rPr>
            <w:b w:val="0"/>
            <w:noProof/>
            <w:webHidden/>
          </w:rPr>
        </w:r>
        <w:r w:rsidRPr="004014D8">
          <w:rPr>
            <w:b w:val="0"/>
            <w:noProof/>
            <w:webHidden/>
          </w:rPr>
          <w:fldChar w:fldCharType="separate"/>
        </w:r>
        <w:r w:rsidR="006E036E">
          <w:rPr>
            <w:b w:val="0"/>
            <w:noProof/>
            <w:webHidden/>
          </w:rPr>
          <w:t>39</w:t>
        </w:r>
        <w:r w:rsidRPr="004014D8">
          <w:rPr>
            <w:b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24" w:history="1">
        <w:r w:rsidR="004014D8" w:rsidRPr="004014D8">
          <w:rPr>
            <w:rStyle w:val="Hyperlink"/>
            <w:noProof/>
          </w:rPr>
          <w:t>3.1 Introduction</w:t>
        </w:r>
        <w:r w:rsidR="004014D8" w:rsidRPr="004014D8">
          <w:rPr>
            <w:noProof/>
            <w:webHidden/>
          </w:rPr>
          <w:tab/>
        </w:r>
        <w:r w:rsidRPr="004014D8">
          <w:rPr>
            <w:noProof/>
            <w:webHidden/>
          </w:rPr>
          <w:fldChar w:fldCharType="begin"/>
        </w:r>
        <w:r w:rsidR="004014D8" w:rsidRPr="004014D8">
          <w:rPr>
            <w:noProof/>
            <w:webHidden/>
          </w:rPr>
          <w:instrText xml:space="preserve"> PAGEREF _Toc340568924 \h </w:instrText>
        </w:r>
        <w:r w:rsidRPr="004014D8">
          <w:rPr>
            <w:noProof/>
            <w:webHidden/>
          </w:rPr>
        </w:r>
        <w:r w:rsidRPr="004014D8">
          <w:rPr>
            <w:noProof/>
            <w:webHidden/>
          </w:rPr>
          <w:fldChar w:fldCharType="separate"/>
        </w:r>
        <w:r w:rsidR="006E036E">
          <w:rPr>
            <w:noProof/>
            <w:webHidden/>
          </w:rPr>
          <w:t>39</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25" w:history="1">
        <w:r w:rsidR="004014D8" w:rsidRPr="004014D8">
          <w:rPr>
            <w:rStyle w:val="Hyperlink"/>
            <w:noProof/>
          </w:rPr>
          <w:t>3.2 Survey</w:t>
        </w:r>
        <w:r w:rsidR="004014D8" w:rsidRPr="004014D8">
          <w:rPr>
            <w:noProof/>
            <w:webHidden/>
          </w:rPr>
          <w:tab/>
        </w:r>
        <w:r w:rsidRPr="004014D8">
          <w:rPr>
            <w:noProof/>
            <w:webHidden/>
          </w:rPr>
          <w:fldChar w:fldCharType="begin"/>
        </w:r>
        <w:r w:rsidR="004014D8" w:rsidRPr="004014D8">
          <w:rPr>
            <w:noProof/>
            <w:webHidden/>
          </w:rPr>
          <w:instrText xml:space="preserve"> PAGEREF _Toc340568925 \h </w:instrText>
        </w:r>
        <w:r w:rsidRPr="004014D8">
          <w:rPr>
            <w:noProof/>
            <w:webHidden/>
          </w:rPr>
        </w:r>
        <w:r w:rsidRPr="004014D8">
          <w:rPr>
            <w:noProof/>
            <w:webHidden/>
          </w:rPr>
          <w:fldChar w:fldCharType="separate"/>
        </w:r>
        <w:r w:rsidR="006E036E">
          <w:rPr>
            <w:noProof/>
            <w:webHidden/>
          </w:rPr>
          <w:t>39</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26" w:history="1">
        <w:r w:rsidR="004014D8" w:rsidRPr="004014D8">
          <w:rPr>
            <w:rStyle w:val="Hyperlink"/>
            <w:noProof/>
          </w:rPr>
          <w:t>3.3 Survey trust questions</w:t>
        </w:r>
        <w:r w:rsidR="004014D8" w:rsidRPr="004014D8">
          <w:rPr>
            <w:noProof/>
            <w:webHidden/>
          </w:rPr>
          <w:tab/>
        </w:r>
        <w:r w:rsidRPr="004014D8">
          <w:rPr>
            <w:noProof/>
            <w:webHidden/>
          </w:rPr>
          <w:fldChar w:fldCharType="begin"/>
        </w:r>
        <w:r w:rsidR="004014D8" w:rsidRPr="004014D8">
          <w:rPr>
            <w:noProof/>
            <w:webHidden/>
          </w:rPr>
          <w:instrText xml:space="preserve"> PAGEREF _Toc340568926 \h </w:instrText>
        </w:r>
        <w:r w:rsidRPr="004014D8">
          <w:rPr>
            <w:noProof/>
            <w:webHidden/>
          </w:rPr>
        </w:r>
        <w:r w:rsidRPr="004014D8">
          <w:rPr>
            <w:noProof/>
            <w:webHidden/>
          </w:rPr>
          <w:fldChar w:fldCharType="separate"/>
        </w:r>
        <w:r w:rsidR="006E036E">
          <w:rPr>
            <w:noProof/>
            <w:webHidden/>
          </w:rPr>
          <w:t>42</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27" w:history="1">
        <w:r w:rsidR="004014D8" w:rsidRPr="004014D8">
          <w:rPr>
            <w:rStyle w:val="Hyperlink"/>
            <w:noProof/>
          </w:rPr>
          <w:t>3.4 Preliminary data analysis</w:t>
        </w:r>
        <w:r w:rsidR="004014D8" w:rsidRPr="004014D8">
          <w:rPr>
            <w:noProof/>
            <w:webHidden/>
          </w:rPr>
          <w:tab/>
        </w:r>
        <w:r w:rsidRPr="004014D8">
          <w:rPr>
            <w:noProof/>
            <w:webHidden/>
          </w:rPr>
          <w:fldChar w:fldCharType="begin"/>
        </w:r>
        <w:r w:rsidR="004014D8" w:rsidRPr="004014D8">
          <w:rPr>
            <w:noProof/>
            <w:webHidden/>
          </w:rPr>
          <w:instrText xml:space="preserve"> PAGEREF _Toc340568927 \h </w:instrText>
        </w:r>
        <w:r w:rsidRPr="004014D8">
          <w:rPr>
            <w:noProof/>
            <w:webHidden/>
          </w:rPr>
        </w:r>
        <w:r w:rsidRPr="004014D8">
          <w:rPr>
            <w:noProof/>
            <w:webHidden/>
          </w:rPr>
          <w:fldChar w:fldCharType="separate"/>
        </w:r>
        <w:r w:rsidR="006E036E">
          <w:rPr>
            <w:noProof/>
            <w:webHidden/>
          </w:rPr>
          <w:t>44</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28" w:history="1">
        <w:r w:rsidR="004014D8" w:rsidRPr="004014D8">
          <w:rPr>
            <w:rStyle w:val="Hyperlink"/>
            <w:noProof/>
          </w:rPr>
          <w:t>3.5 Conclusion</w:t>
        </w:r>
        <w:r w:rsidR="004014D8" w:rsidRPr="004014D8">
          <w:rPr>
            <w:noProof/>
            <w:webHidden/>
          </w:rPr>
          <w:tab/>
        </w:r>
        <w:r w:rsidRPr="004014D8">
          <w:rPr>
            <w:noProof/>
            <w:webHidden/>
          </w:rPr>
          <w:fldChar w:fldCharType="begin"/>
        </w:r>
        <w:r w:rsidR="004014D8" w:rsidRPr="004014D8">
          <w:rPr>
            <w:noProof/>
            <w:webHidden/>
          </w:rPr>
          <w:instrText xml:space="preserve"> PAGEREF _Toc340568928 \h </w:instrText>
        </w:r>
        <w:r w:rsidRPr="004014D8">
          <w:rPr>
            <w:noProof/>
            <w:webHidden/>
          </w:rPr>
        </w:r>
        <w:r w:rsidRPr="004014D8">
          <w:rPr>
            <w:noProof/>
            <w:webHidden/>
          </w:rPr>
          <w:fldChar w:fldCharType="separate"/>
        </w:r>
        <w:r w:rsidR="006E036E">
          <w:rPr>
            <w:noProof/>
            <w:webHidden/>
          </w:rPr>
          <w:t>49</w:t>
        </w:r>
        <w:r w:rsidRPr="004014D8">
          <w:rPr>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929" w:history="1">
        <w:r w:rsidR="004014D8" w:rsidRPr="004014D8">
          <w:rPr>
            <w:rStyle w:val="Hyperlink"/>
            <w:b w:val="0"/>
            <w:noProof/>
          </w:rPr>
          <w:t>Chapter 4 Data analysis</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_Toc340568929 \h </w:instrText>
        </w:r>
        <w:r w:rsidRPr="004014D8">
          <w:rPr>
            <w:b w:val="0"/>
            <w:noProof/>
            <w:webHidden/>
          </w:rPr>
        </w:r>
        <w:r w:rsidRPr="004014D8">
          <w:rPr>
            <w:b w:val="0"/>
            <w:noProof/>
            <w:webHidden/>
          </w:rPr>
          <w:fldChar w:fldCharType="separate"/>
        </w:r>
        <w:r w:rsidR="006E036E">
          <w:rPr>
            <w:b w:val="0"/>
            <w:noProof/>
            <w:webHidden/>
          </w:rPr>
          <w:t>50</w:t>
        </w:r>
        <w:r w:rsidRPr="004014D8">
          <w:rPr>
            <w:b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30" w:history="1">
        <w:r w:rsidR="004014D8" w:rsidRPr="004014D8">
          <w:rPr>
            <w:rStyle w:val="Hyperlink"/>
            <w:noProof/>
          </w:rPr>
          <w:t>4.1 Introduction</w:t>
        </w:r>
        <w:r w:rsidR="004014D8" w:rsidRPr="004014D8">
          <w:rPr>
            <w:noProof/>
            <w:webHidden/>
          </w:rPr>
          <w:tab/>
        </w:r>
        <w:r w:rsidRPr="004014D8">
          <w:rPr>
            <w:noProof/>
            <w:webHidden/>
          </w:rPr>
          <w:fldChar w:fldCharType="begin"/>
        </w:r>
        <w:r w:rsidR="004014D8" w:rsidRPr="004014D8">
          <w:rPr>
            <w:noProof/>
            <w:webHidden/>
          </w:rPr>
          <w:instrText xml:space="preserve"> PAGEREF _Toc340568930 \h </w:instrText>
        </w:r>
        <w:r w:rsidRPr="004014D8">
          <w:rPr>
            <w:noProof/>
            <w:webHidden/>
          </w:rPr>
        </w:r>
        <w:r w:rsidRPr="004014D8">
          <w:rPr>
            <w:noProof/>
            <w:webHidden/>
          </w:rPr>
          <w:fldChar w:fldCharType="separate"/>
        </w:r>
        <w:r w:rsidR="006E036E">
          <w:rPr>
            <w:noProof/>
            <w:webHidden/>
          </w:rPr>
          <w:t>50</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31" w:history="1">
        <w:r w:rsidR="004014D8" w:rsidRPr="004014D8">
          <w:rPr>
            <w:rStyle w:val="Hyperlink"/>
            <w:noProof/>
          </w:rPr>
          <w:t>4.2 Principle variables</w:t>
        </w:r>
        <w:r w:rsidR="004014D8" w:rsidRPr="004014D8">
          <w:rPr>
            <w:noProof/>
            <w:webHidden/>
          </w:rPr>
          <w:tab/>
        </w:r>
        <w:r w:rsidRPr="004014D8">
          <w:rPr>
            <w:noProof/>
            <w:webHidden/>
          </w:rPr>
          <w:fldChar w:fldCharType="begin"/>
        </w:r>
        <w:r w:rsidR="004014D8" w:rsidRPr="004014D8">
          <w:rPr>
            <w:noProof/>
            <w:webHidden/>
          </w:rPr>
          <w:instrText xml:space="preserve"> PAGEREF _Toc340568931 \h </w:instrText>
        </w:r>
        <w:r w:rsidRPr="004014D8">
          <w:rPr>
            <w:noProof/>
            <w:webHidden/>
          </w:rPr>
        </w:r>
        <w:r w:rsidRPr="004014D8">
          <w:rPr>
            <w:noProof/>
            <w:webHidden/>
          </w:rPr>
          <w:fldChar w:fldCharType="separate"/>
        </w:r>
        <w:r w:rsidR="006E036E">
          <w:rPr>
            <w:noProof/>
            <w:webHidden/>
          </w:rPr>
          <w:t>50</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32" w:history="1">
        <w:r w:rsidR="004014D8" w:rsidRPr="004014D8">
          <w:rPr>
            <w:rStyle w:val="Hyperlink"/>
            <w:noProof/>
          </w:rPr>
          <w:t>4.3 Regression methods</w:t>
        </w:r>
        <w:r w:rsidR="004014D8" w:rsidRPr="004014D8">
          <w:rPr>
            <w:noProof/>
            <w:webHidden/>
          </w:rPr>
          <w:tab/>
        </w:r>
        <w:r w:rsidRPr="004014D8">
          <w:rPr>
            <w:noProof/>
            <w:webHidden/>
          </w:rPr>
          <w:fldChar w:fldCharType="begin"/>
        </w:r>
        <w:r w:rsidR="004014D8" w:rsidRPr="004014D8">
          <w:rPr>
            <w:noProof/>
            <w:webHidden/>
          </w:rPr>
          <w:instrText xml:space="preserve"> PAGEREF _Toc340568932 \h </w:instrText>
        </w:r>
        <w:r w:rsidRPr="004014D8">
          <w:rPr>
            <w:noProof/>
            <w:webHidden/>
          </w:rPr>
        </w:r>
        <w:r w:rsidRPr="004014D8">
          <w:rPr>
            <w:noProof/>
            <w:webHidden/>
          </w:rPr>
          <w:fldChar w:fldCharType="separate"/>
        </w:r>
        <w:r w:rsidR="006E036E">
          <w:rPr>
            <w:noProof/>
            <w:webHidden/>
          </w:rPr>
          <w:t>51</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33" w:history="1">
        <w:r w:rsidR="004014D8" w:rsidRPr="004014D8">
          <w:rPr>
            <w:rStyle w:val="Hyperlink"/>
            <w:i w:val="0"/>
            <w:noProof/>
          </w:rPr>
          <w:t>4.3.1 Parametric &amp; Non-parametric methods</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_Toc340568933 \h </w:instrText>
        </w:r>
        <w:r w:rsidRPr="004014D8">
          <w:rPr>
            <w:i w:val="0"/>
            <w:noProof/>
            <w:webHidden/>
          </w:rPr>
        </w:r>
        <w:r w:rsidRPr="004014D8">
          <w:rPr>
            <w:i w:val="0"/>
            <w:noProof/>
            <w:webHidden/>
          </w:rPr>
          <w:fldChar w:fldCharType="separate"/>
        </w:r>
        <w:r w:rsidR="006E036E">
          <w:rPr>
            <w:i w:val="0"/>
            <w:noProof/>
            <w:webHidden/>
          </w:rPr>
          <w:t>51</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34" w:history="1">
        <w:r w:rsidR="004014D8" w:rsidRPr="004014D8">
          <w:rPr>
            <w:rStyle w:val="Hyperlink"/>
            <w:i w:val="0"/>
            <w:noProof/>
          </w:rPr>
          <w:t>4.3.2 Hypothesis 1</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_Toc340568934 \h </w:instrText>
        </w:r>
        <w:r w:rsidRPr="004014D8">
          <w:rPr>
            <w:i w:val="0"/>
            <w:noProof/>
            <w:webHidden/>
          </w:rPr>
        </w:r>
        <w:r w:rsidRPr="004014D8">
          <w:rPr>
            <w:i w:val="0"/>
            <w:noProof/>
            <w:webHidden/>
          </w:rPr>
          <w:fldChar w:fldCharType="separate"/>
        </w:r>
        <w:r w:rsidR="006E036E">
          <w:rPr>
            <w:i w:val="0"/>
            <w:noProof/>
            <w:webHidden/>
          </w:rPr>
          <w:t>52</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35" w:history="1">
        <w:r w:rsidR="004014D8" w:rsidRPr="004014D8">
          <w:rPr>
            <w:rStyle w:val="Hyperlink"/>
            <w:i w:val="0"/>
            <w:noProof/>
          </w:rPr>
          <w:t>4.3.3 Hypothesis 2</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_Toc340568935 \h </w:instrText>
        </w:r>
        <w:r w:rsidRPr="004014D8">
          <w:rPr>
            <w:i w:val="0"/>
            <w:noProof/>
            <w:webHidden/>
          </w:rPr>
        </w:r>
        <w:r w:rsidRPr="004014D8">
          <w:rPr>
            <w:i w:val="0"/>
            <w:noProof/>
            <w:webHidden/>
          </w:rPr>
          <w:fldChar w:fldCharType="separate"/>
        </w:r>
        <w:r w:rsidR="006E036E">
          <w:rPr>
            <w:i w:val="0"/>
            <w:noProof/>
            <w:webHidden/>
          </w:rPr>
          <w:t>53</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36" w:history="1">
        <w:r w:rsidR="004014D8" w:rsidRPr="004014D8">
          <w:rPr>
            <w:rStyle w:val="Hyperlink"/>
            <w:i w:val="0"/>
            <w:noProof/>
          </w:rPr>
          <w:t>4.3.4 Hypothesis 3</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_Toc340568936 \h </w:instrText>
        </w:r>
        <w:r w:rsidRPr="004014D8">
          <w:rPr>
            <w:i w:val="0"/>
            <w:noProof/>
            <w:webHidden/>
          </w:rPr>
        </w:r>
        <w:r w:rsidRPr="004014D8">
          <w:rPr>
            <w:i w:val="0"/>
            <w:noProof/>
            <w:webHidden/>
          </w:rPr>
          <w:fldChar w:fldCharType="separate"/>
        </w:r>
        <w:r w:rsidR="006E036E">
          <w:rPr>
            <w:i w:val="0"/>
            <w:noProof/>
            <w:webHidden/>
          </w:rPr>
          <w:t>53</w:t>
        </w:r>
        <w:r w:rsidRPr="004014D8">
          <w:rPr>
            <w:i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37" w:history="1">
        <w:r w:rsidR="004014D8" w:rsidRPr="004014D8">
          <w:rPr>
            <w:rStyle w:val="Hyperlink"/>
            <w:noProof/>
          </w:rPr>
          <w:t>4.4 Normality tests</w:t>
        </w:r>
        <w:r w:rsidR="004014D8" w:rsidRPr="004014D8">
          <w:rPr>
            <w:noProof/>
            <w:webHidden/>
          </w:rPr>
          <w:tab/>
        </w:r>
        <w:r w:rsidRPr="004014D8">
          <w:rPr>
            <w:noProof/>
            <w:webHidden/>
          </w:rPr>
          <w:fldChar w:fldCharType="begin"/>
        </w:r>
        <w:r w:rsidR="004014D8" w:rsidRPr="004014D8">
          <w:rPr>
            <w:noProof/>
            <w:webHidden/>
          </w:rPr>
          <w:instrText xml:space="preserve"> PAGEREF _Toc340568937 \h </w:instrText>
        </w:r>
        <w:r w:rsidRPr="004014D8">
          <w:rPr>
            <w:noProof/>
            <w:webHidden/>
          </w:rPr>
        </w:r>
        <w:r w:rsidRPr="004014D8">
          <w:rPr>
            <w:noProof/>
            <w:webHidden/>
          </w:rPr>
          <w:fldChar w:fldCharType="separate"/>
        </w:r>
        <w:r w:rsidR="006E036E">
          <w:rPr>
            <w:noProof/>
            <w:webHidden/>
          </w:rPr>
          <w:t>53</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38" w:history="1">
        <w:r w:rsidR="004014D8" w:rsidRPr="004014D8">
          <w:rPr>
            <w:rStyle w:val="Hyperlink"/>
            <w:noProof/>
          </w:rPr>
          <w:t>4.5 Hypotheses</w:t>
        </w:r>
        <w:r w:rsidR="004014D8" w:rsidRPr="004014D8">
          <w:rPr>
            <w:noProof/>
            <w:webHidden/>
          </w:rPr>
          <w:tab/>
        </w:r>
        <w:r w:rsidRPr="004014D8">
          <w:rPr>
            <w:noProof/>
            <w:webHidden/>
          </w:rPr>
          <w:fldChar w:fldCharType="begin"/>
        </w:r>
        <w:r w:rsidR="004014D8" w:rsidRPr="004014D8">
          <w:rPr>
            <w:noProof/>
            <w:webHidden/>
          </w:rPr>
          <w:instrText xml:space="preserve"> PAGEREF _Toc340568938 \h </w:instrText>
        </w:r>
        <w:r w:rsidRPr="004014D8">
          <w:rPr>
            <w:noProof/>
            <w:webHidden/>
          </w:rPr>
        </w:r>
        <w:r w:rsidRPr="004014D8">
          <w:rPr>
            <w:noProof/>
            <w:webHidden/>
          </w:rPr>
          <w:fldChar w:fldCharType="separate"/>
        </w:r>
        <w:r w:rsidR="006E036E">
          <w:rPr>
            <w:noProof/>
            <w:webHidden/>
          </w:rPr>
          <w:t>54</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39" w:history="1">
        <w:r w:rsidR="004014D8" w:rsidRPr="004014D8">
          <w:rPr>
            <w:rStyle w:val="Hyperlink"/>
            <w:i w:val="0"/>
            <w:noProof/>
          </w:rPr>
          <w:t>4.5.1 Hypothesis 1</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_Toc340568939 \h </w:instrText>
        </w:r>
        <w:r w:rsidRPr="004014D8">
          <w:rPr>
            <w:i w:val="0"/>
            <w:noProof/>
            <w:webHidden/>
          </w:rPr>
        </w:r>
        <w:r w:rsidRPr="004014D8">
          <w:rPr>
            <w:i w:val="0"/>
            <w:noProof/>
            <w:webHidden/>
          </w:rPr>
          <w:fldChar w:fldCharType="separate"/>
        </w:r>
        <w:r w:rsidR="006E036E">
          <w:rPr>
            <w:i w:val="0"/>
            <w:noProof/>
            <w:webHidden/>
          </w:rPr>
          <w:t>54</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40" w:history="1">
        <w:r w:rsidR="004014D8" w:rsidRPr="004014D8">
          <w:rPr>
            <w:rStyle w:val="Hyperlink"/>
            <w:i w:val="0"/>
            <w:noProof/>
          </w:rPr>
          <w:t>4.5.2 Hypothesis 2</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_Toc340568940 \h </w:instrText>
        </w:r>
        <w:r w:rsidRPr="004014D8">
          <w:rPr>
            <w:i w:val="0"/>
            <w:noProof/>
            <w:webHidden/>
          </w:rPr>
        </w:r>
        <w:r w:rsidRPr="004014D8">
          <w:rPr>
            <w:i w:val="0"/>
            <w:noProof/>
            <w:webHidden/>
          </w:rPr>
          <w:fldChar w:fldCharType="separate"/>
        </w:r>
        <w:r w:rsidR="006E036E">
          <w:rPr>
            <w:i w:val="0"/>
            <w:noProof/>
            <w:webHidden/>
          </w:rPr>
          <w:t>56</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41" w:history="1">
        <w:r w:rsidR="004014D8" w:rsidRPr="004014D8">
          <w:rPr>
            <w:rStyle w:val="Hyperlink"/>
            <w:i w:val="0"/>
            <w:noProof/>
          </w:rPr>
          <w:t>4.5.3 Hypothesis 3</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_Toc340568941 \h </w:instrText>
        </w:r>
        <w:r w:rsidRPr="004014D8">
          <w:rPr>
            <w:i w:val="0"/>
            <w:noProof/>
            <w:webHidden/>
          </w:rPr>
        </w:r>
        <w:r w:rsidRPr="004014D8">
          <w:rPr>
            <w:i w:val="0"/>
            <w:noProof/>
            <w:webHidden/>
          </w:rPr>
          <w:fldChar w:fldCharType="separate"/>
        </w:r>
        <w:r w:rsidR="006E036E">
          <w:rPr>
            <w:i w:val="0"/>
            <w:noProof/>
            <w:webHidden/>
          </w:rPr>
          <w:t>58</w:t>
        </w:r>
        <w:r w:rsidRPr="004014D8">
          <w:rPr>
            <w:i w:val="0"/>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942" w:history="1">
        <w:r w:rsidR="004014D8" w:rsidRPr="004014D8">
          <w:rPr>
            <w:rStyle w:val="Hyperlink"/>
            <w:b w:val="0"/>
            <w:noProof/>
          </w:rPr>
          <w:t>Chapter 5 Discussion</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_Toc340568942 \h </w:instrText>
        </w:r>
        <w:r w:rsidRPr="004014D8">
          <w:rPr>
            <w:b w:val="0"/>
            <w:noProof/>
            <w:webHidden/>
          </w:rPr>
        </w:r>
        <w:r w:rsidRPr="004014D8">
          <w:rPr>
            <w:b w:val="0"/>
            <w:noProof/>
            <w:webHidden/>
          </w:rPr>
          <w:fldChar w:fldCharType="separate"/>
        </w:r>
        <w:r w:rsidR="006E036E">
          <w:rPr>
            <w:b w:val="0"/>
            <w:noProof/>
            <w:webHidden/>
          </w:rPr>
          <w:t>58</w:t>
        </w:r>
        <w:r w:rsidRPr="004014D8">
          <w:rPr>
            <w:b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43" w:history="1">
        <w:r w:rsidR="004014D8" w:rsidRPr="004014D8">
          <w:rPr>
            <w:rStyle w:val="Hyperlink"/>
            <w:noProof/>
          </w:rPr>
          <w:t>5.1 Introduction</w:t>
        </w:r>
        <w:r w:rsidR="004014D8" w:rsidRPr="004014D8">
          <w:rPr>
            <w:noProof/>
            <w:webHidden/>
          </w:rPr>
          <w:tab/>
        </w:r>
        <w:r w:rsidRPr="004014D8">
          <w:rPr>
            <w:noProof/>
            <w:webHidden/>
          </w:rPr>
          <w:fldChar w:fldCharType="begin"/>
        </w:r>
        <w:r w:rsidR="004014D8" w:rsidRPr="004014D8">
          <w:rPr>
            <w:noProof/>
            <w:webHidden/>
          </w:rPr>
          <w:instrText xml:space="preserve"> PAGEREF _Toc340568943 \h </w:instrText>
        </w:r>
        <w:r w:rsidRPr="004014D8">
          <w:rPr>
            <w:noProof/>
            <w:webHidden/>
          </w:rPr>
        </w:r>
        <w:r w:rsidRPr="004014D8">
          <w:rPr>
            <w:noProof/>
            <w:webHidden/>
          </w:rPr>
          <w:fldChar w:fldCharType="separate"/>
        </w:r>
        <w:r w:rsidR="006E036E">
          <w:rPr>
            <w:noProof/>
            <w:webHidden/>
          </w:rPr>
          <w:t>58</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44" w:history="1">
        <w:r w:rsidR="004014D8" w:rsidRPr="004014D8">
          <w:rPr>
            <w:rStyle w:val="Hyperlink"/>
            <w:noProof/>
          </w:rPr>
          <w:t>5.2 Results</w:t>
        </w:r>
        <w:r w:rsidR="004014D8" w:rsidRPr="004014D8">
          <w:rPr>
            <w:noProof/>
            <w:webHidden/>
          </w:rPr>
          <w:tab/>
        </w:r>
        <w:r w:rsidRPr="004014D8">
          <w:rPr>
            <w:noProof/>
            <w:webHidden/>
          </w:rPr>
          <w:fldChar w:fldCharType="begin"/>
        </w:r>
        <w:r w:rsidR="004014D8" w:rsidRPr="004014D8">
          <w:rPr>
            <w:noProof/>
            <w:webHidden/>
          </w:rPr>
          <w:instrText xml:space="preserve"> PAGEREF _Toc340568944 \h </w:instrText>
        </w:r>
        <w:r w:rsidRPr="004014D8">
          <w:rPr>
            <w:noProof/>
            <w:webHidden/>
          </w:rPr>
        </w:r>
        <w:r w:rsidRPr="004014D8">
          <w:rPr>
            <w:noProof/>
            <w:webHidden/>
          </w:rPr>
          <w:fldChar w:fldCharType="separate"/>
        </w:r>
        <w:r w:rsidR="006E036E">
          <w:rPr>
            <w:noProof/>
            <w:webHidden/>
          </w:rPr>
          <w:t>58</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45" w:history="1">
        <w:r w:rsidR="004014D8" w:rsidRPr="004014D8">
          <w:rPr>
            <w:rStyle w:val="Hyperlink"/>
            <w:i w:val="0"/>
            <w:noProof/>
          </w:rPr>
          <w:t>5.2.1 Survey results</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_Toc340568945 \h </w:instrText>
        </w:r>
        <w:r w:rsidRPr="004014D8">
          <w:rPr>
            <w:i w:val="0"/>
            <w:noProof/>
            <w:webHidden/>
          </w:rPr>
        </w:r>
        <w:r w:rsidRPr="004014D8">
          <w:rPr>
            <w:i w:val="0"/>
            <w:noProof/>
            <w:webHidden/>
          </w:rPr>
          <w:fldChar w:fldCharType="separate"/>
        </w:r>
        <w:r w:rsidR="006E036E">
          <w:rPr>
            <w:i w:val="0"/>
            <w:noProof/>
            <w:webHidden/>
          </w:rPr>
          <w:t>58</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46" w:history="1">
        <w:r w:rsidR="004014D8" w:rsidRPr="004014D8">
          <w:rPr>
            <w:rStyle w:val="Hyperlink"/>
            <w:i w:val="0"/>
            <w:noProof/>
          </w:rPr>
          <w:t>5.2.2 Alternative survey questions</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_Toc340568946 \h </w:instrText>
        </w:r>
        <w:r w:rsidRPr="004014D8">
          <w:rPr>
            <w:i w:val="0"/>
            <w:noProof/>
            <w:webHidden/>
          </w:rPr>
        </w:r>
        <w:r w:rsidRPr="004014D8">
          <w:rPr>
            <w:i w:val="0"/>
            <w:noProof/>
            <w:webHidden/>
          </w:rPr>
          <w:fldChar w:fldCharType="separate"/>
        </w:r>
        <w:r w:rsidR="006E036E">
          <w:rPr>
            <w:i w:val="0"/>
            <w:noProof/>
            <w:webHidden/>
          </w:rPr>
          <w:t>58</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47" w:history="1">
        <w:r w:rsidR="004014D8" w:rsidRPr="004014D8">
          <w:rPr>
            <w:rStyle w:val="Hyperlink"/>
            <w:i w:val="0"/>
            <w:noProof/>
          </w:rPr>
          <w:t>5.2.3 Regression results</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_Toc340568947 \h </w:instrText>
        </w:r>
        <w:r w:rsidRPr="004014D8">
          <w:rPr>
            <w:i w:val="0"/>
            <w:noProof/>
            <w:webHidden/>
          </w:rPr>
        </w:r>
        <w:r w:rsidRPr="004014D8">
          <w:rPr>
            <w:i w:val="0"/>
            <w:noProof/>
            <w:webHidden/>
          </w:rPr>
          <w:fldChar w:fldCharType="separate"/>
        </w:r>
        <w:r w:rsidR="006E036E">
          <w:rPr>
            <w:i w:val="0"/>
            <w:noProof/>
            <w:webHidden/>
          </w:rPr>
          <w:t>58</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48" w:history="1">
        <w:r w:rsidR="004014D8" w:rsidRPr="004014D8">
          <w:rPr>
            <w:rStyle w:val="Hyperlink"/>
            <w:i w:val="0"/>
            <w:noProof/>
          </w:rPr>
          <w:t>5.2.4 Hypothesis 1</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_Toc340568948 \h </w:instrText>
        </w:r>
        <w:r w:rsidRPr="004014D8">
          <w:rPr>
            <w:i w:val="0"/>
            <w:noProof/>
            <w:webHidden/>
          </w:rPr>
        </w:r>
        <w:r w:rsidRPr="004014D8">
          <w:rPr>
            <w:i w:val="0"/>
            <w:noProof/>
            <w:webHidden/>
          </w:rPr>
          <w:fldChar w:fldCharType="separate"/>
        </w:r>
        <w:r w:rsidR="006E036E">
          <w:rPr>
            <w:i w:val="0"/>
            <w:noProof/>
            <w:webHidden/>
          </w:rPr>
          <w:t>58</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49" w:history="1">
        <w:r w:rsidR="004014D8" w:rsidRPr="004014D8">
          <w:rPr>
            <w:rStyle w:val="Hyperlink"/>
            <w:i w:val="0"/>
            <w:noProof/>
          </w:rPr>
          <w:t>5.2.5 Hypothesis 2</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_Toc340568949 \h </w:instrText>
        </w:r>
        <w:r w:rsidRPr="004014D8">
          <w:rPr>
            <w:i w:val="0"/>
            <w:noProof/>
            <w:webHidden/>
          </w:rPr>
        </w:r>
        <w:r w:rsidRPr="004014D8">
          <w:rPr>
            <w:i w:val="0"/>
            <w:noProof/>
            <w:webHidden/>
          </w:rPr>
          <w:fldChar w:fldCharType="separate"/>
        </w:r>
        <w:r w:rsidR="006E036E">
          <w:rPr>
            <w:i w:val="0"/>
            <w:noProof/>
            <w:webHidden/>
          </w:rPr>
          <w:t>58</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50" w:history="1">
        <w:r w:rsidR="004014D8" w:rsidRPr="004014D8">
          <w:rPr>
            <w:rStyle w:val="Hyperlink"/>
            <w:i w:val="0"/>
            <w:noProof/>
          </w:rPr>
          <w:t>5.2.6 Hypothesis 3</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_Toc340568950 \h </w:instrText>
        </w:r>
        <w:r w:rsidRPr="004014D8">
          <w:rPr>
            <w:i w:val="0"/>
            <w:noProof/>
            <w:webHidden/>
          </w:rPr>
        </w:r>
        <w:r w:rsidRPr="004014D8">
          <w:rPr>
            <w:i w:val="0"/>
            <w:noProof/>
            <w:webHidden/>
          </w:rPr>
          <w:fldChar w:fldCharType="separate"/>
        </w:r>
        <w:r w:rsidR="006E036E">
          <w:rPr>
            <w:i w:val="0"/>
            <w:noProof/>
            <w:webHidden/>
          </w:rPr>
          <w:t>58</w:t>
        </w:r>
        <w:r w:rsidRPr="004014D8">
          <w:rPr>
            <w:i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51" w:history="1">
        <w:r w:rsidR="004014D8" w:rsidRPr="004014D8">
          <w:rPr>
            <w:rStyle w:val="Hyperlink"/>
            <w:noProof/>
          </w:rPr>
          <w:t>5.3 Limitations &amp; amendments</w:t>
        </w:r>
        <w:r w:rsidR="004014D8" w:rsidRPr="004014D8">
          <w:rPr>
            <w:noProof/>
            <w:webHidden/>
          </w:rPr>
          <w:tab/>
        </w:r>
        <w:r w:rsidRPr="004014D8">
          <w:rPr>
            <w:noProof/>
            <w:webHidden/>
          </w:rPr>
          <w:fldChar w:fldCharType="begin"/>
        </w:r>
        <w:r w:rsidR="004014D8" w:rsidRPr="004014D8">
          <w:rPr>
            <w:noProof/>
            <w:webHidden/>
          </w:rPr>
          <w:instrText xml:space="preserve"> PAGEREF _Toc340568951 \h </w:instrText>
        </w:r>
        <w:r w:rsidRPr="004014D8">
          <w:rPr>
            <w:noProof/>
            <w:webHidden/>
          </w:rPr>
        </w:r>
        <w:r w:rsidRPr="004014D8">
          <w:rPr>
            <w:noProof/>
            <w:webHidden/>
          </w:rPr>
          <w:fldChar w:fldCharType="separate"/>
        </w:r>
        <w:r w:rsidR="006E036E">
          <w:rPr>
            <w:noProof/>
            <w:webHidden/>
          </w:rPr>
          <w:t>58</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52" w:history="1">
        <w:r w:rsidR="004014D8" w:rsidRPr="004014D8">
          <w:rPr>
            <w:rStyle w:val="Hyperlink"/>
            <w:noProof/>
          </w:rPr>
          <w:t>5.4 Conclusion</w:t>
        </w:r>
        <w:r w:rsidR="004014D8" w:rsidRPr="004014D8">
          <w:rPr>
            <w:noProof/>
            <w:webHidden/>
          </w:rPr>
          <w:tab/>
        </w:r>
        <w:r w:rsidRPr="004014D8">
          <w:rPr>
            <w:noProof/>
            <w:webHidden/>
          </w:rPr>
          <w:fldChar w:fldCharType="begin"/>
        </w:r>
        <w:r w:rsidR="004014D8" w:rsidRPr="004014D8">
          <w:rPr>
            <w:noProof/>
            <w:webHidden/>
          </w:rPr>
          <w:instrText xml:space="preserve"> PAGEREF _Toc340568952 \h </w:instrText>
        </w:r>
        <w:r w:rsidRPr="004014D8">
          <w:rPr>
            <w:noProof/>
            <w:webHidden/>
          </w:rPr>
        </w:r>
        <w:r w:rsidRPr="004014D8">
          <w:rPr>
            <w:noProof/>
            <w:webHidden/>
          </w:rPr>
          <w:fldChar w:fldCharType="separate"/>
        </w:r>
        <w:r w:rsidR="006E036E">
          <w:rPr>
            <w:noProof/>
            <w:webHidden/>
          </w:rPr>
          <w:t>58</w:t>
        </w:r>
        <w:r w:rsidRPr="004014D8">
          <w:rPr>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953" w:history="1">
        <w:r w:rsidR="004014D8" w:rsidRPr="004014D8">
          <w:rPr>
            <w:rStyle w:val="Hyperlink"/>
            <w:b w:val="0"/>
            <w:noProof/>
          </w:rPr>
          <w:t>Chapter 6 Conclusion &amp; recommendations</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_Toc340568953 \h </w:instrText>
        </w:r>
        <w:r w:rsidRPr="004014D8">
          <w:rPr>
            <w:b w:val="0"/>
            <w:noProof/>
            <w:webHidden/>
          </w:rPr>
        </w:r>
        <w:r w:rsidRPr="004014D8">
          <w:rPr>
            <w:b w:val="0"/>
            <w:noProof/>
            <w:webHidden/>
          </w:rPr>
          <w:fldChar w:fldCharType="separate"/>
        </w:r>
        <w:r w:rsidR="006E036E">
          <w:rPr>
            <w:b w:val="0"/>
            <w:noProof/>
            <w:webHidden/>
          </w:rPr>
          <w:t>58</w:t>
        </w:r>
        <w:r w:rsidRPr="004014D8">
          <w:rPr>
            <w:b w:val="0"/>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54" w:history="1">
        <w:r w:rsidR="004014D8" w:rsidRPr="004014D8">
          <w:rPr>
            <w:rStyle w:val="Hyperlink"/>
            <w:noProof/>
          </w:rPr>
          <w:t>6.1 Introduction</w:t>
        </w:r>
        <w:r w:rsidR="004014D8" w:rsidRPr="004014D8">
          <w:rPr>
            <w:noProof/>
            <w:webHidden/>
          </w:rPr>
          <w:tab/>
        </w:r>
        <w:r w:rsidRPr="004014D8">
          <w:rPr>
            <w:noProof/>
            <w:webHidden/>
          </w:rPr>
          <w:fldChar w:fldCharType="begin"/>
        </w:r>
        <w:r w:rsidR="004014D8" w:rsidRPr="004014D8">
          <w:rPr>
            <w:noProof/>
            <w:webHidden/>
          </w:rPr>
          <w:instrText xml:space="preserve"> PAGEREF _Toc340568954 \h </w:instrText>
        </w:r>
        <w:r w:rsidRPr="004014D8">
          <w:rPr>
            <w:noProof/>
            <w:webHidden/>
          </w:rPr>
        </w:r>
        <w:r w:rsidRPr="004014D8">
          <w:rPr>
            <w:noProof/>
            <w:webHidden/>
          </w:rPr>
          <w:fldChar w:fldCharType="separate"/>
        </w:r>
        <w:r w:rsidR="006E036E">
          <w:rPr>
            <w:noProof/>
            <w:webHidden/>
          </w:rPr>
          <w:t>58</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55" w:history="1">
        <w:r w:rsidR="004014D8" w:rsidRPr="004014D8">
          <w:rPr>
            <w:rStyle w:val="Hyperlink"/>
            <w:noProof/>
          </w:rPr>
          <w:t>6.2 Conclusion</w:t>
        </w:r>
        <w:r w:rsidR="004014D8" w:rsidRPr="004014D8">
          <w:rPr>
            <w:noProof/>
            <w:webHidden/>
          </w:rPr>
          <w:tab/>
        </w:r>
        <w:r w:rsidRPr="004014D8">
          <w:rPr>
            <w:noProof/>
            <w:webHidden/>
          </w:rPr>
          <w:fldChar w:fldCharType="begin"/>
        </w:r>
        <w:r w:rsidR="004014D8" w:rsidRPr="004014D8">
          <w:rPr>
            <w:noProof/>
            <w:webHidden/>
          </w:rPr>
          <w:instrText xml:space="preserve"> PAGEREF _Toc340568955 \h </w:instrText>
        </w:r>
        <w:r w:rsidRPr="004014D8">
          <w:rPr>
            <w:noProof/>
            <w:webHidden/>
          </w:rPr>
        </w:r>
        <w:r w:rsidRPr="004014D8">
          <w:rPr>
            <w:noProof/>
            <w:webHidden/>
          </w:rPr>
          <w:fldChar w:fldCharType="separate"/>
        </w:r>
        <w:r w:rsidR="006E036E">
          <w:rPr>
            <w:noProof/>
            <w:webHidden/>
          </w:rPr>
          <w:t>58</w:t>
        </w:r>
        <w:r w:rsidRPr="004014D8">
          <w:rPr>
            <w:noProof/>
            <w:webHidden/>
          </w:rPr>
          <w:fldChar w:fldCharType="end"/>
        </w:r>
      </w:hyperlink>
    </w:p>
    <w:p w:rsidR="004014D8" w:rsidRPr="004014D8" w:rsidRDefault="00CC17A1">
      <w:pPr>
        <w:pStyle w:val="TOC2"/>
        <w:tabs>
          <w:tab w:val="right" w:leader="dot" w:pos="9016"/>
        </w:tabs>
        <w:rPr>
          <w:rFonts w:cstheme="minorBidi"/>
          <w:smallCaps w:val="0"/>
          <w:noProof/>
          <w:sz w:val="22"/>
          <w:szCs w:val="22"/>
        </w:rPr>
      </w:pPr>
      <w:hyperlink w:anchor="_Toc340568956" w:history="1">
        <w:r w:rsidR="004014D8" w:rsidRPr="004014D8">
          <w:rPr>
            <w:rStyle w:val="Hyperlink"/>
            <w:noProof/>
          </w:rPr>
          <w:t>6.3 Recommendations</w:t>
        </w:r>
        <w:r w:rsidR="004014D8" w:rsidRPr="004014D8">
          <w:rPr>
            <w:noProof/>
            <w:webHidden/>
          </w:rPr>
          <w:tab/>
        </w:r>
        <w:r w:rsidRPr="004014D8">
          <w:rPr>
            <w:noProof/>
            <w:webHidden/>
          </w:rPr>
          <w:fldChar w:fldCharType="begin"/>
        </w:r>
        <w:r w:rsidR="004014D8" w:rsidRPr="004014D8">
          <w:rPr>
            <w:noProof/>
            <w:webHidden/>
          </w:rPr>
          <w:instrText xml:space="preserve"> PAGEREF _Toc340568956 \h </w:instrText>
        </w:r>
        <w:r w:rsidRPr="004014D8">
          <w:rPr>
            <w:noProof/>
            <w:webHidden/>
          </w:rPr>
        </w:r>
        <w:r w:rsidRPr="004014D8">
          <w:rPr>
            <w:noProof/>
            <w:webHidden/>
          </w:rPr>
          <w:fldChar w:fldCharType="separate"/>
        </w:r>
        <w:r w:rsidR="006E036E">
          <w:rPr>
            <w:noProof/>
            <w:webHidden/>
          </w:rPr>
          <w:t>58</w:t>
        </w:r>
        <w:r w:rsidRPr="004014D8">
          <w:rPr>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57" w:history="1">
        <w:r w:rsidR="004014D8" w:rsidRPr="004014D8">
          <w:rPr>
            <w:rStyle w:val="Hyperlink"/>
            <w:i w:val="0"/>
            <w:noProof/>
          </w:rPr>
          <w:t>6.3.1 Further research</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_Toc340568957 \h </w:instrText>
        </w:r>
        <w:r w:rsidRPr="004014D8">
          <w:rPr>
            <w:i w:val="0"/>
            <w:noProof/>
            <w:webHidden/>
          </w:rPr>
        </w:r>
        <w:r w:rsidRPr="004014D8">
          <w:rPr>
            <w:i w:val="0"/>
            <w:noProof/>
            <w:webHidden/>
          </w:rPr>
          <w:fldChar w:fldCharType="separate"/>
        </w:r>
        <w:r w:rsidR="006E036E">
          <w:rPr>
            <w:i w:val="0"/>
            <w:noProof/>
            <w:webHidden/>
          </w:rPr>
          <w:t>58</w:t>
        </w:r>
        <w:r w:rsidRPr="004014D8">
          <w:rPr>
            <w:i w:val="0"/>
            <w:noProof/>
            <w:webHidden/>
          </w:rPr>
          <w:fldChar w:fldCharType="end"/>
        </w:r>
      </w:hyperlink>
    </w:p>
    <w:p w:rsidR="004014D8" w:rsidRPr="004014D8" w:rsidRDefault="00CC17A1">
      <w:pPr>
        <w:pStyle w:val="TOC3"/>
        <w:tabs>
          <w:tab w:val="right" w:leader="dot" w:pos="9016"/>
        </w:tabs>
        <w:rPr>
          <w:rFonts w:cstheme="minorBidi"/>
          <w:i w:val="0"/>
          <w:iCs w:val="0"/>
          <w:noProof/>
          <w:sz w:val="22"/>
          <w:szCs w:val="22"/>
        </w:rPr>
      </w:pPr>
      <w:hyperlink w:anchor="_Toc340568958" w:history="1">
        <w:r w:rsidR="004014D8" w:rsidRPr="004014D8">
          <w:rPr>
            <w:rStyle w:val="Hyperlink"/>
            <w:i w:val="0"/>
            <w:noProof/>
          </w:rPr>
          <w:t>6.3.2 Second pillar pension market structure</w:t>
        </w:r>
        <w:r w:rsidR="004014D8" w:rsidRPr="004014D8">
          <w:rPr>
            <w:i w:val="0"/>
            <w:noProof/>
            <w:webHidden/>
          </w:rPr>
          <w:tab/>
        </w:r>
        <w:r w:rsidRPr="004014D8">
          <w:rPr>
            <w:i w:val="0"/>
            <w:noProof/>
            <w:webHidden/>
          </w:rPr>
          <w:fldChar w:fldCharType="begin"/>
        </w:r>
        <w:r w:rsidR="004014D8" w:rsidRPr="004014D8">
          <w:rPr>
            <w:i w:val="0"/>
            <w:noProof/>
            <w:webHidden/>
          </w:rPr>
          <w:instrText xml:space="preserve"> PAGEREF _Toc340568958 \h </w:instrText>
        </w:r>
        <w:r w:rsidRPr="004014D8">
          <w:rPr>
            <w:i w:val="0"/>
            <w:noProof/>
            <w:webHidden/>
          </w:rPr>
        </w:r>
        <w:r w:rsidRPr="004014D8">
          <w:rPr>
            <w:i w:val="0"/>
            <w:noProof/>
            <w:webHidden/>
          </w:rPr>
          <w:fldChar w:fldCharType="separate"/>
        </w:r>
        <w:r w:rsidR="006E036E">
          <w:rPr>
            <w:i w:val="0"/>
            <w:noProof/>
            <w:webHidden/>
          </w:rPr>
          <w:t>58</w:t>
        </w:r>
        <w:r w:rsidRPr="004014D8">
          <w:rPr>
            <w:i w:val="0"/>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959" w:history="1">
        <w:r w:rsidR="004014D8" w:rsidRPr="004014D8">
          <w:rPr>
            <w:rStyle w:val="Hyperlink"/>
            <w:b w:val="0"/>
            <w:noProof/>
          </w:rPr>
          <w:t>References</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_Toc340568959 \h </w:instrText>
        </w:r>
        <w:r w:rsidRPr="004014D8">
          <w:rPr>
            <w:b w:val="0"/>
            <w:noProof/>
            <w:webHidden/>
          </w:rPr>
        </w:r>
        <w:r w:rsidRPr="004014D8">
          <w:rPr>
            <w:b w:val="0"/>
            <w:noProof/>
            <w:webHidden/>
          </w:rPr>
          <w:fldChar w:fldCharType="separate"/>
        </w:r>
        <w:r w:rsidR="006E036E">
          <w:rPr>
            <w:b w:val="0"/>
            <w:noProof/>
            <w:webHidden/>
          </w:rPr>
          <w:t>58</w:t>
        </w:r>
        <w:r w:rsidRPr="004014D8">
          <w:rPr>
            <w:b w:val="0"/>
            <w:noProof/>
            <w:webHidden/>
          </w:rPr>
          <w:fldChar w:fldCharType="end"/>
        </w:r>
      </w:hyperlink>
    </w:p>
    <w:p w:rsidR="004014D8" w:rsidRPr="004014D8" w:rsidRDefault="00CC17A1">
      <w:pPr>
        <w:pStyle w:val="TOC1"/>
        <w:tabs>
          <w:tab w:val="right" w:leader="dot" w:pos="9016"/>
        </w:tabs>
        <w:rPr>
          <w:rFonts w:cstheme="minorBidi"/>
          <w:b w:val="0"/>
          <w:bCs w:val="0"/>
          <w:caps w:val="0"/>
          <w:noProof/>
          <w:sz w:val="22"/>
          <w:szCs w:val="22"/>
        </w:rPr>
      </w:pPr>
      <w:hyperlink w:anchor="_Toc340568960" w:history="1">
        <w:r w:rsidR="004014D8" w:rsidRPr="004014D8">
          <w:rPr>
            <w:rStyle w:val="Hyperlink"/>
            <w:b w:val="0"/>
            <w:noProof/>
          </w:rPr>
          <w:t>Appendix</w:t>
        </w:r>
        <w:r w:rsidR="004014D8" w:rsidRPr="004014D8">
          <w:rPr>
            <w:b w:val="0"/>
            <w:noProof/>
            <w:webHidden/>
          </w:rPr>
          <w:tab/>
        </w:r>
        <w:r w:rsidRPr="004014D8">
          <w:rPr>
            <w:b w:val="0"/>
            <w:noProof/>
            <w:webHidden/>
          </w:rPr>
          <w:fldChar w:fldCharType="begin"/>
        </w:r>
        <w:r w:rsidR="004014D8" w:rsidRPr="004014D8">
          <w:rPr>
            <w:b w:val="0"/>
            <w:noProof/>
            <w:webHidden/>
          </w:rPr>
          <w:instrText xml:space="preserve"> PAGEREF _Toc340568960 \h </w:instrText>
        </w:r>
        <w:r w:rsidRPr="004014D8">
          <w:rPr>
            <w:b w:val="0"/>
            <w:noProof/>
            <w:webHidden/>
          </w:rPr>
        </w:r>
        <w:r w:rsidRPr="004014D8">
          <w:rPr>
            <w:b w:val="0"/>
            <w:noProof/>
            <w:webHidden/>
          </w:rPr>
          <w:fldChar w:fldCharType="separate"/>
        </w:r>
        <w:r w:rsidR="006E036E">
          <w:rPr>
            <w:b w:val="0"/>
            <w:noProof/>
            <w:webHidden/>
          </w:rPr>
          <w:t>58</w:t>
        </w:r>
        <w:r w:rsidRPr="004014D8">
          <w:rPr>
            <w:b w:val="0"/>
            <w:noProof/>
            <w:webHidden/>
          </w:rPr>
          <w:fldChar w:fldCharType="end"/>
        </w:r>
      </w:hyperlink>
    </w:p>
    <w:p w:rsidR="0021417F" w:rsidRPr="004014D8" w:rsidRDefault="00CC17A1" w:rsidP="00834B83">
      <w:pPr>
        <w:pStyle w:val="NoSpacing"/>
        <w:spacing w:line="276" w:lineRule="auto"/>
        <w:rPr>
          <w:rFonts w:cstheme="minorHAnsi"/>
        </w:rPr>
      </w:pPr>
      <w:r w:rsidRPr="004014D8">
        <w:rPr>
          <w:rFonts w:cstheme="minorHAnsi"/>
        </w:rPr>
        <w:fldChar w:fldCharType="end"/>
      </w:r>
    </w:p>
    <w:p w:rsidR="0021417F" w:rsidRDefault="0021417F" w:rsidP="00834B83">
      <w:pPr>
        <w:pStyle w:val="NoSpacing"/>
        <w:spacing w:line="276" w:lineRule="auto"/>
      </w:pPr>
    </w:p>
    <w:p w:rsidR="0021417F" w:rsidRDefault="0021417F" w:rsidP="00834B83">
      <w:pPr>
        <w:pStyle w:val="NoSpacing"/>
        <w:spacing w:line="276" w:lineRule="auto"/>
      </w:pPr>
    </w:p>
    <w:p w:rsidR="007E7592" w:rsidRPr="00A26614" w:rsidRDefault="00B80307" w:rsidP="001C53D9">
      <w:pPr>
        <w:pStyle w:val="VIN1"/>
      </w:pPr>
      <w:bookmarkStart w:id="3" w:name="_Toc340568883"/>
      <w:r w:rsidRPr="00A26614">
        <w:lastRenderedPageBreak/>
        <w:t>Chapter 1: Introduction</w:t>
      </w:r>
      <w:bookmarkEnd w:id="3"/>
    </w:p>
    <w:p w:rsidR="00B80307" w:rsidRPr="00A26614" w:rsidRDefault="00A85D20" w:rsidP="001C53D9">
      <w:pPr>
        <w:pStyle w:val="Vin2"/>
      </w:pPr>
      <w:bookmarkStart w:id="4" w:name="_Toc340568884"/>
      <w:r w:rsidRPr="00A26614">
        <w:t>Thesis f</w:t>
      </w:r>
      <w:r w:rsidR="00B80307" w:rsidRPr="00A26614">
        <w:t>oundation</w:t>
      </w:r>
      <w:bookmarkEnd w:id="4"/>
    </w:p>
    <w:p w:rsidR="00B80307" w:rsidRPr="00CB2FBF" w:rsidRDefault="00B80307" w:rsidP="00286071">
      <w:pPr>
        <w:pStyle w:val="NoSpacing"/>
        <w:spacing w:line="360" w:lineRule="auto"/>
        <w:jc w:val="both"/>
      </w:pPr>
      <w:r w:rsidRPr="00CB2FBF">
        <w:t>The start of the financial crisis sent shockwaves through the world. Its scale</w:t>
      </w:r>
      <w:r w:rsidR="00B656B4">
        <w:t>,</w:t>
      </w:r>
      <w:r w:rsidRPr="00CB2FBF">
        <w:t xml:space="preserve"> meant no aspect of the financial sector was able to escape, including the pension sector. As the crisis unfolded and grew lengthier, the consequences became more apparent.</w:t>
      </w:r>
    </w:p>
    <w:p w:rsidR="00B80307" w:rsidRDefault="00B80307" w:rsidP="00286071">
      <w:pPr>
        <w:pStyle w:val="VVV"/>
        <w:jc w:val="both"/>
      </w:pPr>
      <w:r w:rsidRPr="00CB2FBF">
        <w:t xml:space="preserve">Somewhere in the midst of it all, pension funds were propelled onto the center stage of news coverage. A frequent incident for financial institutions in those times, as many suffered by the reach of the financial crisis. A combination of factors is what drew the attention, </w:t>
      </w:r>
      <w:r w:rsidR="00B656B4">
        <w:t xml:space="preserve">as </w:t>
      </w:r>
      <w:r w:rsidRPr="00CB2FBF">
        <w:t xml:space="preserve">the issue of an aging population </w:t>
      </w:r>
      <w:r w:rsidR="00B656B4">
        <w:t xml:space="preserve">was </w:t>
      </w:r>
      <w:r w:rsidRPr="00CB2FBF">
        <w:t xml:space="preserve">now joined by financial crisis turmoil. A chain of events was set in motion by the crisis, </w:t>
      </w:r>
      <w:r w:rsidR="00B656B4">
        <w:t>as</w:t>
      </w:r>
      <w:r w:rsidRPr="00CB2FBF">
        <w:t xml:space="preserve"> coverage ratios </w:t>
      </w:r>
      <w:r w:rsidR="00B656B4">
        <w:t>were being</w:t>
      </w:r>
      <w:r w:rsidRPr="00CB2FBF">
        <w:t xml:space="preserve"> reported as below par and uncertainty about the height of retirement benefits </w:t>
      </w:r>
      <w:r w:rsidR="002A6366">
        <w:t>grew</w:t>
      </w:r>
      <w:r w:rsidRPr="00CB2FBF">
        <w:t>. Consequently a discussion arose about raising the retirement age.</w:t>
      </w:r>
    </w:p>
    <w:p w:rsidR="00B80307" w:rsidRPr="00CB2FBF" w:rsidRDefault="00B80307" w:rsidP="00286071">
      <w:pPr>
        <w:pStyle w:val="NoSpacing"/>
        <w:spacing w:line="360" w:lineRule="auto"/>
        <w:jc w:val="both"/>
        <w:rPr>
          <w:rFonts w:cs="Calibri"/>
        </w:rPr>
      </w:pPr>
      <w:r w:rsidRPr="00CB2FBF">
        <w:rPr>
          <w:rFonts w:cs="Calibri"/>
        </w:rPr>
        <w:t>This renewed attention for pension funds evoked public interest and put the</w:t>
      </w:r>
      <w:r w:rsidR="00EA791D">
        <w:rPr>
          <w:rFonts w:cs="Calibri"/>
        </w:rPr>
        <w:t xml:space="preserve"> funds</w:t>
      </w:r>
      <w:r w:rsidRPr="00CB2FBF">
        <w:rPr>
          <w:rFonts w:cs="Calibri"/>
        </w:rPr>
        <w:t xml:space="preserve"> under more scrutiny.</w:t>
      </w:r>
    </w:p>
    <w:p w:rsidR="00B80307" w:rsidRPr="00CB2FBF" w:rsidRDefault="00B80307" w:rsidP="00286071">
      <w:pPr>
        <w:pStyle w:val="NoSpacing"/>
        <w:spacing w:line="360" w:lineRule="auto"/>
        <w:jc w:val="both"/>
      </w:pPr>
      <w:r w:rsidRPr="00CB2FBF">
        <w:rPr>
          <w:rFonts w:cs="Calibri"/>
        </w:rPr>
        <w:t>The accumulation of these events and circumstances resulted in an interesting development, where public opinion shifted from apparent blind trust during the last decades to the other end of the spectrum, distrust.</w:t>
      </w:r>
    </w:p>
    <w:p w:rsidR="00B80307" w:rsidRPr="00CB2FBF" w:rsidRDefault="00B80307" w:rsidP="00286071">
      <w:pPr>
        <w:pStyle w:val="NoSpacing"/>
        <w:spacing w:line="360" w:lineRule="auto"/>
        <w:jc w:val="both"/>
      </w:pPr>
      <w:r w:rsidRPr="00CB2FBF">
        <w:t>Some decline of trust in pension funds would not be exceptional, the financial sector as a whole lost credibility as well as trust. However</w:t>
      </w:r>
      <w:r w:rsidR="006E2ED6">
        <w:t>,</w:t>
      </w:r>
      <w:r w:rsidRPr="00CB2FBF">
        <w:t xml:space="preserve"> for the pension sector this is a dramatic turn in sentiment. The Netherlands has one of the best pension systems in the world and the Dutch people have always trusted their pension fund. Unequivocally so that many considered their pensions (funds) to be more reliable than other financial institutions, never really asking any questions regarding its certainty. The sudden overhaul in trust from the one extreme to the other is baffling.</w:t>
      </w:r>
    </w:p>
    <w:p w:rsidR="00B80307" w:rsidRPr="00CB2FBF" w:rsidRDefault="00B80307" w:rsidP="00286071">
      <w:pPr>
        <w:pStyle w:val="NoSpacing"/>
        <w:spacing w:line="360" w:lineRule="auto"/>
        <w:jc w:val="both"/>
      </w:pPr>
      <w:r w:rsidRPr="00CB2FBF">
        <w:t xml:space="preserve">The decline in trust has not gone unnoticed to the pension funds themselves either. They are aware of the evolvement and by own admission, need to regain the trust from their plan members and improve their reputation. The necessity for trust is not only of importance for a balanced relation in financials, it also has societal significance. In the words of the then state secretary and now Prime Minister M. Rutte </w:t>
      </w:r>
      <w:r w:rsidRPr="00CB2FBF">
        <w:rPr>
          <w:i/>
        </w:rPr>
        <w:t>“The fundament on which our pension system is built, in trust. Trust is embedded in the assurance that under all circumstances pension funds can deliver what they promise their plan members”</w:t>
      </w:r>
      <w:r w:rsidRPr="00CB2FBF">
        <w:rPr>
          <w:rStyle w:val="FootnoteReference"/>
          <w:i/>
        </w:rPr>
        <w:footnoteReference w:id="1"/>
      </w:r>
    </w:p>
    <w:p w:rsidR="00B80307" w:rsidRPr="00CB2FBF" w:rsidRDefault="00B80307" w:rsidP="00B80307">
      <w:pPr>
        <w:pStyle w:val="NoSpacing"/>
        <w:spacing w:line="360" w:lineRule="auto"/>
      </w:pPr>
    </w:p>
    <w:p w:rsidR="00B80307" w:rsidRPr="00CB2FBF" w:rsidRDefault="00B80307" w:rsidP="00B80307">
      <w:pPr>
        <w:pStyle w:val="NoSpacing"/>
        <w:spacing w:line="360" w:lineRule="auto"/>
      </w:pPr>
    </w:p>
    <w:p w:rsidR="00B80307" w:rsidRPr="00CB2FBF" w:rsidRDefault="00B80307" w:rsidP="00B80307">
      <w:pPr>
        <w:pStyle w:val="NoSpacing"/>
        <w:spacing w:line="360" w:lineRule="auto"/>
      </w:pPr>
    </w:p>
    <w:p w:rsidR="00B80307" w:rsidRPr="00CB2FBF" w:rsidRDefault="00B80307" w:rsidP="00286071">
      <w:pPr>
        <w:pStyle w:val="NoSpacing"/>
        <w:spacing w:line="360" w:lineRule="auto"/>
        <w:jc w:val="both"/>
      </w:pPr>
      <w:r w:rsidRPr="00CB2FBF">
        <w:lastRenderedPageBreak/>
        <w:t>Of course the question arises what the effect is of this tectonic shift in public opinion. What are the consequences and what do these mean? With the public trust at an arguable all time low, one of the issues that arose is whether the investment strategies of existing pension funds truthfully reflect the risk appetite of its members. The market</w:t>
      </w:r>
      <w:r w:rsidR="00E433FF">
        <w:t>’s</w:t>
      </w:r>
      <w:r w:rsidRPr="00CB2FBF">
        <w:t xml:space="preserve"> events affected the risk attitu</w:t>
      </w:r>
      <w:r w:rsidR="00BF49AB">
        <w:t>de of their plan members, fueling</w:t>
      </w:r>
      <w:r w:rsidRPr="00CB2FBF">
        <w:t xml:space="preserve"> existing ambiguity aversion for the financial sector.</w:t>
      </w:r>
    </w:p>
    <w:p w:rsidR="00B80307" w:rsidRPr="00CB2FBF" w:rsidRDefault="00B80307" w:rsidP="00286071">
      <w:pPr>
        <w:pStyle w:val="NoSpacing"/>
        <w:spacing w:line="360" w:lineRule="auto"/>
        <w:jc w:val="both"/>
      </w:pPr>
      <w:r w:rsidRPr="00CB2FBF">
        <w:t>To assure that pension funds serve the interest of their members they are legally bound by duty of care. This compels them to abide by the risk attitude of their plan members and pay attention to the information in client profiles.</w:t>
      </w:r>
    </w:p>
    <w:p w:rsidR="00B80307" w:rsidRPr="00CB2FBF" w:rsidRDefault="00B80307" w:rsidP="00286071">
      <w:pPr>
        <w:pStyle w:val="NoSpacing"/>
        <w:spacing w:line="360" w:lineRule="auto"/>
        <w:jc w:val="both"/>
        <w:rPr>
          <w:rFonts w:cs="Calibri"/>
        </w:rPr>
      </w:pPr>
      <w:r w:rsidRPr="00CB2FBF">
        <w:t xml:space="preserve">A significant amount of literature has already established that every individual has a different risk profile where it concerns financials. However, </w:t>
      </w:r>
      <w:r w:rsidRPr="00CB2FBF">
        <w:rPr>
          <w:rFonts w:cs="Calibri"/>
        </w:rPr>
        <w:t xml:space="preserve">as it now appears there is a discrepancy between the risk desired by plan members and the risk taken by pension funds. A significant and persisting difference between these two could indicate bad practice on the part of the funds operations. </w:t>
      </w: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rPr>
          <w:rFonts w:cs="Calibri"/>
        </w:rPr>
      </w:pPr>
      <w:r w:rsidRPr="00CB2FBF">
        <w:rPr>
          <w:rFonts w:cs="Calibri"/>
        </w:rPr>
        <w:t xml:space="preserve">The first step to clarifying what is happening, is determining the pension funds members risk profile.  The investments made by the pension funds are known and can easily be measured; meaning the crux of this matter lays within the plan members. </w:t>
      </w:r>
    </w:p>
    <w:p w:rsidR="00B80307" w:rsidRPr="00CB2FBF" w:rsidRDefault="00B80307" w:rsidP="00286071">
      <w:pPr>
        <w:pStyle w:val="NoSpacing"/>
        <w:spacing w:line="360" w:lineRule="auto"/>
        <w:jc w:val="both"/>
        <w:rPr>
          <w:rFonts w:cs="Calibri"/>
        </w:rPr>
      </w:pPr>
      <w:r w:rsidRPr="00CB2FBF">
        <w:rPr>
          <w:rFonts w:cs="Calibri"/>
        </w:rPr>
        <w:t xml:space="preserve">In the process of revealing the dynamics of plan members’ risk appetite, there will be a simultaneous focus on the trust level of these second pillar pension fund plan members. </w:t>
      </w:r>
      <w:r w:rsidR="00A67A57">
        <w:rPr>
          <w:rFonts w:cs="Calibri"/>
        </w:rPr>
        <w:t>In order to establish whether there is a significant r</w:t>
      </w:r>
      <w:r w:rsidRPr="00CB2FBF">
        <w:rPr>
          <w:rFonts w:cs="Calibri"/>
        </w:rPr>
        <w:t xml:space="preserve">elation between trust and risk appetite. This study does not actually seek to resolve the </w:t>
      </w:r>
      <w:r w:rsidR="00A67A57">
        <w:rPr>
          <w:rFonts w:cs="Calibri"/>
        </w:rPr>
        <w:t xml:space="preserve">market’s </w:t>
      </w:r>
      <w:r w:rsidRPr="00CB2FBF">
        <w:rPr>
          <w:rFonts w:cs="Calibri"/>
        </w:rPr>
        <w:t>discrepancy, it does seek to find its origin and study the dynamics of the underlying relations.</w:t>
      </w: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pPr>
      <w:r w:rsidRPr="00CB2FBF">
        <w:t>As indicated, the focus o</w:t>
      </w:r>
      <w:r w:rsidR="00984E56">
        <w:t>f this research is on the trust</w:t>
      </w:r>
      <w:r w:rsidRPr="00CB2FBF">
        <w:t xml:space="preserve">–risk relation in second pillar pension plan members. The second pillar pension market is particularly interesting as it is such a peculiar market, where the trust-risk situation between individuals and financial institutions is distorted. </w:t>
      </w:r>
    </w:p>
    <w:p w:rsidR="00B80307" w:rsidRPr="00CB2FBF" w:rsidRDefault="00B80307" w:rsidP="00286071">
      <w:pPr>
        <w:pStyle w:val="NoSpacing"/>
        <w:spacing w:line="360" w:lineRule="auto"/>
        <w:jc w:val="both"/>
        <w:rPr>
          <w:rFonts w:cs="Calibri"/>
        </w:rPr>
      </w:pPr>
      <w:r w:rsidRPr="00CB2FBF">
        <w:rPr>
          <w:rFonts w:cs="Calibri"/>
        </w:rPr>
        <w:t>The asymmetric principal-agent relation between the two parties, combined with the second pillar mandatory character redefine the purpose of trust in this financial relationship.</w:t>
      </w:r>
    </w:p>
    <w:p w:rsidR="00B80307" w:rsidRPr="00CB2FBF" w:rsidRDefault="00B80307" w:rsidP="00286071">
      <w:pPr>
        <w:pStyle w:val="NoSpacing"/>
        <w:spacing w:line="360" w:lineRule="auto"/>
        <w:jc w:val="both"/>
        <w:rPr>
          <w:rFonts w:cs="Calibri"/>
        </w:rPr>
      </w:pPr>
      <w:r w:rsidRPr="00CB2FBF">
        <w:rPr>
          <w:rFonts w:cs="Calibri"/>
        </w:rPr>
        <w:t>With the knowledge that risk appetite is not rigid and as such can differ between people</w:t>
      </w:r>
      <w:r w:rsidR="00240796">
        <w:rPr>
          <w:rFonts w:cs="Calibri"/>
        </w:rPr>
        <w:t xml:space="preserve"> and overtime</w:t>
      </w:r>
      <w:r w:rsidRPr="00CB2FBF">
        <w:rPr>
          <w:rFonts w:cs="Calibri"/>
        </w:rPr>
        <w:t>, the dynamics of it are important to understand. The exact same is applicable for trust.</w:t>
      </w:r>
    </w:p>
    <w:p w:rsidR="00B80307" w:rsidRPr="00CB2FBF" w:rsidRDefault="00B80307" w:rsidP="00286071">
      <w:pPr>
        <w:pStyle w:val="NoSpacing"/>
        <w:spacing w:line="360" w:lineRule="auto"/>
        <w:jc w:val="both"/>
        <w:rPr>
          <w:rFonts w:cs="Calibri"/>
        </w:rPr>
      </w:pPr>
      <w:r w:rsidRPr="00CB2FBF">
        <w:rPr>
          <w:rFonts w:cs="Calibri"/>
        </w:rPr>
        <w:t>Eventually this study’s information should assist in the creation of a more complementing relation between the pension funds and the plan members.</w:t>
      </w:r>
      <w:r w:rsidRPr="00CB2FBF">
        <w:t xml:space="preserve"> As such it is aptly suitable for attempting to test for a causal correlation.</w:t>
      </w: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pPr>
      <w:r w:rsidRPr="00CB2FBF">
        <w:lastRenderedPageBreak/>
        <w:t>Firstly I will look at the individual variables that are believed to influence the risk profile of the population. Relations between risk, financial knowledge, demographic characteristics and trust are assessed.</w:t>
      </w:r>
    </w:p>
    <w:p w:rsidR="00B80307" w:rsidRPr="00CB2FBF" w:rsidRDefault="00B80307" w:rsidP="00286071">
      <w:pPr>
        <w:pStyle w:val="NoSpacing"/>
        <w:spacing w:line="360" w:lineRule="auto"/>
        <w:jc w:val="both"/>
      </w:pPr>
      <w:r w:rsidRPr="00CB2FBF">
        <w:t>Secondly, the focus will shift to the possible causal relation between trust and risk in population cohorts, and the role of influence by other variables. In the course, relevant and interesting results that come forth from regression analyses will be analysed and discussed.</w:t>
      </w:r>
    </w:p>
    <w:p w:rsidR="00B80307" w:rsidRPr="00CB2FBF" w:rsidRDefault="00B80307" w:rsidP="00286071">
      <w:pPr>
        <w:pStyle w:val="NoSpacing"/>
        <w:spacing w:line="360" w:lineRule="auto"/>
        <w:jc w:val="both"/>
      </w:pPr>
      <w:r w:rsidRPr="00CB2FBF">
        <w:t xml:space="preserve">I expect to find a dominant role for trust and a </w:t>
      </w:r>
      <w:r w:rsidR="00276AFF">
        <w:t xml:space="preserve">significant </w:t>
      </w:r>
      <w:r w:rsidRPr="00CB2FBF">
        <w:t xml:space="preserve">correlational relationship to second pillar plan </w:t>
      </w:r>
      <w:r w:rsidR="00276AFF">
        <w:t>member risk appetite formation. Thus, t</w:t>
      </w:r>
      <w:r w:rsidRPr="00CB2FBF">
        <w:t xml:space="preserve">rust being the main determining factor for the risk appetite expressed by plan members. This is an expectation derived from the elementary life </w:t>
      </w:r>
      <w:r w:rsidR="00276AFF">
        <w:t>idea</w:t>
      </w:r>
      <w:r w:rsidRPr="00CB2FBF">
        <w:t xml:space="preserve">, that in the absence of trust no risk will be taken, as trust decides whether (and how much) risk is acceptable at all. And as such, increased trust </w:t>
      </w:r>
      <w:r w:rsidR="00276AFF">
        <w:t xml:space="preserve">should </w:t>
      </w:r>
      <w:r w:rsidRPr="00CB2FBF">
        <w:t xml:space="preserve">enable an increase in risk appetite. </w:t>
      </w:r>
      <w:r w:rsidR="00CC7473">
        <w:t>Risk is essentially an expression of uncertainty. People almost intrinsically dislike uncertainty, they are avers to ambiguity. Now trust offers the sense of certainty. This suggests that it can influence their attitude to the uncertain.</w:t>
      </w:r>
    </w:p>
    <w:p w:rsidR="00B80307" w:rsidRPr="0021417F" w:rsidRDefault="007A1A09" w:rsidP="0021417F">
      <w:pPr>
        <w:pStyle w:val="Vin2"/>
      </w:pPr>
      <w:bookmarkStart w:id="5" w:name="_Toc340568885"/>
      <w:r>
        <w:t xml:space="preserve"> </w:t>
      </w:r>
      <w:r w:rsidR="00A85D20" w:rsidRPr="0021417F">
        <w:t>The Dutch p</w:t>
      </w:r>
      <w:r w:rsidR="00B80307" w:rsidRPr="0021417F">
        <w:t xml:space="preserve">ension </w:t>
      </w:r>
      <w:r w:rsidR="00A85D20" w:rsidRPr="0021417F">
        <w:t>s</w:t>
      </w:r>
      <w:r w:rsidR="00B80307" w:rsidRPr="0021417F">
        <w:t>ystem</w:t>
      </w:r>
      <w:bookmarkEnd w:id="5"/>
    </w:p>
    <w:p w:rsidR="00B80307" w:rsidRPr="00907D50" w:rsidRDefault="00B80307" w:rsidP="00907D50">
      <w:pPr>
        <w:pStyle w:val="VIn33"/>
      </w:pPr>
      <w:bookmarkStart w:id="6" w:name="_Toc340568886"/>
      <w:r w:rsidRPr="00907D50">
        <w:t xml:space="preserve">1.2.1. General </w:t>
      </w:r>
      <w:r w:rsidR="00A85D20" w:rsidRPr="00907D50">
        <w:t>o</w:t>
      </w:r>
      <w:r w:rsidRPr="00907D50">
        <w:t>verview</w:t>
      </w:r>
      <w:bookmarkEnd w:id="6"/>
    </w:p>
    <w:p w:rsidR="00B80307" w:rsidRPr="00CB2FBF" w:rsidRDefault="00B80307" w:rsidP="00286071">
      <w:pPr>
        <w:pStyle w:val="NoSpacing"/>
        <w:spacing w:line="360" w:lineRule="auto"/>
        <w:jc w:val="both"/>
      </w:pPr>
      <w:r w:rsidRPr="00CB2FBF">
        <w:t>The Dutch pension system is based on a tier structure or pillars as they are commonly referred to. The first pillar is the government provided pension (AOW) and any Dutch citizen over the age of 65 is entitled to this. It’s aimed at keeping retirees out of poverty.</w:t>
      </w:r>
    </w:p>
    <w:p w:rsidR="00B80307" w:rsidRPr="00CB2FBF" w:rsidRDefault="00B80307" w:rsidP="00286071">
      <w:pPr>
        <w:pStyle w:val="NoSpacing"/>
        <w:spacing w:line="360" w:lineRule="auto"/>
        <w:jc w:val="both"/>
      </w:pPr>
      <w:r w:rsidRPr="00CB2FBF">
        <w:t xml:space="preserve">The second pillar is known as the collective employment pension. This is an additional pension that an employee builds up over the course of their employment. Participation in the provided collective fund is compulsory for the employee and employer. </w:t>
      </w:r>
    </w:p>
    <w:p w:rsidR="00B80307" w:rsidRPr="00CB2FBF" w:rsidRDefault="00B80307" w:rsidP="00286071">
      <w:pPr>
        <w:pStyle w:val="NoSpacing"/>
        <w:spacing w:line="360" w:lineRule="auto"/>
        <w:jc w:val="both"/>
      </w:pPr>
      <w:r w:rsidRPr="00CB2FBF">
        <w:t xml:space="preserve">The third pillar is the smallest of the three pillars and known as the individual voluntary pension. Any employee can choose to make additional pension savings arrangements, supplementary to the first and second pillar. They can decide to do this when they find the first and second pillar to be too low. For those not included in the second pillar (independents) the third pillar can also act as a replacement to the second pillar. The third pillar is mainly serviced by bank and insurance companies, offering savings and investment products.  </w:t>
      </w:r>
    </w:p>
    <w:p w:rsidR="00B80307" w:rsidRPr="00A26614" w:rsidRDefault="00B80307" w:rsidP="001C53D9">
      <w:pPr>
        <w:pStyle w:val="VIn33"/>
      </w:pPr>
      <w:bookmarkStart w:id="7" w:name="_Toc340568887"/>
      <w:r w:rsidRPr="00A26614">
        <w:t xml:space="preserve">1.2.2. Second </w:t>
      </w:r>
      <w:r w:rsidR="00A85D20" w:rsidRPr="00A26614">
        <w:t>p</w:t>
      </w:r>
      <w:r w:rsidRPr="00A26614">
        <w:t xml:space="preserve">illar </w:t>
      </w:r>
      <w:r w:rsidR="00A85D20" w:rsidRPr="00A26614">
        <w:t>p</w:t>
      </w:r>
      <w:r w:rsidRPr="00A26614">
        <w:t>ensions</w:t>
      </w:r>
      <w:bookmarkEnd w:id="7"/>
    </w:p>
    <w:p w:rsidR="007E7592" w:rsidRDefault="00B80307" w:rsidP="00286071">
      <w:pPr>
        <w:pStyle w:val="NoSpacing"/>
        <w:spacing w:line="360" w:lineRule="auto"/>
        <w:jc w:val="both"/>
      </w:pPr>
      <w:r w:rsidRPr="00CB2FBF">
        <w:t xml:space="preserve">The second pillar is a pension component that is exclusively for employees. Many Dutch employers offer their employees a collective pension fund. Depending on the collective labor agreement stipulations, the pension fund offered can be company, occupation or industry exclusive.  An example of an industry fund is the nationwide public servant fund, whilst the medical industry fund </w:t>
      </w:r>
      <w:r w:rsidRPr="00CB2FBF">
        <w:lastRenderedPageBreak/>
        <w:t xml:space="preserve">is exclusively available to medical professionals.  The collective labor agreements often compel employees to partake in the fund offered by their employer. </w:t>
      </w:r>
    </w:p>
    <w:p w:rsidR="00B80307" w:rsidRPr="00CB2FBF" w:rsidRDefault="00B80307" w:rsidP="00286071">
      <w:pPr>
        <w:pStyle w:val="NoSpacing"/>
        <w:spacing w:line="360" w:lineRule="auto"/>
        <w:jc w:val="both"/>
      </w:pPr>
      <w:r w:rsidRPr="00CB2FBF">
        <w:t xml:space="preserve">In the norm, both the employee and the employer make monthly contributions to the employee’s pension savings in the fund over the duration of the employee’s employment. </w:t>
      </w:r>
    </w:p>
    <w:p w:rsidR="00B80307" w:rsidRPr="00CB2FBF" w:rsidRDefault="00B80307" w:rsidP="00286071">
      <w:pPr>
        <w:pStyle w:val="NoSpacing"/>
        <w:spacing w:line="360" w:lineRule="auto"/>
        <w:jc w:val="both"/>
      </w:pPr>
      <w:r w:rsidRPr="00CB2FBF">
        <w:t xml:space="preserve">Second pillar pension plans generally have one of two forms; Defined Benefit (DB) and Defined Contribution (DC).The difference between these forms is in the risk-bearing party. In the DB form, the pension fund (and the employer) bears all the investment risk. A monthly benefit upon retirement is prespecified in a contract or employment agreement. Generally the benefit is based on the employee’s average salary during employment, upon retirement the employee is thus guaranteed of its benefits. Any funding issues are thus on the conto of the pension fund.  </w:t>
      </w:r>
    </w:p>
    <w:p w:rsidR="00B80307" w:rsidRPr="00CB2FBF" w:rsidRDefault="00B80307" w:rsidP="00286071">
      <w:pPr>
        <w:pStyle w:val="NoSpacing"/>
        <w:spacing w:line="360" w:lineRule="auto"/>
        <w:jc w:val="both"/>
      </w:pPr>
      <w:r w:rsidRPr="00CB2FBF">
        <w:t>The Defined Contribution is the exact opposite, with the employee bearing all the risk. As in the DC scheme not the monthly benefits post-retirement but the monthly contributions during employment by the employer and the employee are set. These contributions are invested and upon retirement the height of the pension payments is based on the accrued funds over the years. In the Netherlands the majorit</w:t>
      </w:r>
      <w:r w:rsidR="00F6774C">
        <w:t>y of the second pillar pension scheme</w:t>
      </w:r>
      <w:r w:rsidRPr="00CB2FBF">
        <w:t xml:space="preserve">s are DB. </w:t>
      </w:r>
    </w:p>
    <w:p w:rsidR="00B80307" w:rsidRPr="00A26614" w:rsidRDefault="00A85D20" w:rsidP="001C53D9">
      <w:pPr>
        <w:pStyle w:val="Vin2"/>
      </w:pPr>
      <w:r w:rsidRPr="00A26614">
        <w:t xml:space="preserve"> </w:t>
      </w:r>
      <w:bookmarkStart w:id="8" w:name="_Toc340568888"/>
      <w:r w:rsidRPr="00A26614">
        <w:t>Research d</w:t>
      </w:r>
      <w:r w:rsidR="00B80307" w:rsidRPr="00A26614">
        <w:t>omain</w:t>
      </w:r>
      <w:bookmarkEnd w:id="8"/>
    </w:p>
    <w:p w:rsidR="00B80307" w:rsidRPr="00CB2FBF" w:rsidRDefault="00B80307" w:rsidP="00286071">
      <w:pPr>
        <w:pStyle w:val="NoSpacing"/>
        <w:spacing w:line="360" w:lineRule="auto"/>
        <w:jc w:val="both"/>
      </w:pPr>
      <w:r w:rsidRPr="00CB2FBF">
        <w:t>The second pillar pension market is a peculiar market and in more than one way an hybrid market, alike its position between the first and third pillar. The combination of its obligatory character and the pension funds’ collective agreement, which is uncommon in the private sector, are the main cause for its hybrid nature. The pension funds are autonomous entities that operate separately from the employer.</w:t>
      </w:r>
    </w:p>
    <w:p w:rsidR="00B80307" w:rsidRPr="00CB2FBF" w:rsidRDefault="00B80307" w:rsidP="00286071">
      <w:pPr>
        <w:pStyle w:val="NoSpacing"/>
        <w:spacing w:line="360" w:lineRule="auto"/>
        <w:jc w:val="both"/>
      </w:pPr>
      <w:r w:rsidRPr="00CB2FBF">
        <w:t>As a consequence the market is characterized by an unique triangular relation, with a trinity of stakeholders; the employer, the employee and the pension fu</w:t>
      </w:r>
      <w:r w:rsidR="000F76CD">
        <w:t>nd. This</w:t>
      </w:r>
      <w:r w:rsidRPr="00CB2FBF">
        <w:t xml:space="preserve"> result i</w:t>
      </w:r>
      <w:r w:rsidR="000F76CD">
        <w:t>n</w:t>
      </w:r>
      <w:r w:rsidRPr="00CB2FBF">
        <w:t xml:space="preserve"> a situation where employees are forced into a relation with a financial service provider. This </w:t>
      </w:r>
      <w:r w:rsidR="000F76CD">
        <w:t xml:space="preserve">abatement of free </w:t>
      </w:r>
      <w:r w:rsidRPr="00CB2FBF">
        <w:t>market</w:t>
      </w:r>
      <w:r w:rsidR="000F76CD">
        <w:t xml:space="preserve"> interaction, lead</w:t>
      </w:r>
      <w:r w:rsidRPr="00CB2FBF">
        <w:t xml:space="preserve">s to </w:t>
      </w:r>
      <w:r w:rsidR="000F76CD">
        <w:t xml:space="preserve">a </w:t>
      </w:r>
      <w:r w:rsidR="008E4491">
        <w:t>skewed</w:t>
      </w:r>
      <w:r w:rsidR="000F76CD">
        <w:t xml:space="preserve"> relation between the plan member and the pension fund. </w:t>
      </w:r>
      <w:r w:rsidR="008E4491">
        <w:t>T</w:t>
      </w:r>
      <w:r w:rsidR="008E4491" w:rsidRPr="00CB2FBF">
        <w:t>h</w:t>
      </w:r>
      <w:r w:rsidR="00017DC9">
        <w:t>is</w:t>
      </w:r>
      <w:r w:rsidR="008E4491" w:rsidRPr="00CB2FBF">
        <w:t xml:space="preserve"> power structure, limit</w:t>
      </w:r>
      <w:r w:rsidR="008E4491">
        <w:t>s</w:t>
      </w:r>
      <w:r w:rsidR="008E4491" w:rsidRPr="00CB2FBF">
        <w:t xml:space="preserve"> the employee</w:t>
      </w:r>
      <w:r w:rsidR="008E4491">
        <w:t>’</w:t>
      </w:r>
      <w:r w:rsidR="008E4491" w:rsidRPr="00CB2FBF">
        <w:t xml:space="preserve">s </w:t>
      </w:r>
      <w:r w:rsidR="008E4491">
        <w:t>ability to influence the course of the relation</w:t>
      </w:r>
      <w:r w:rsidR="008E4491" w:rsidRPr="00CB2FBF">
        <w:t>.</w:t>
      </w:r>
      <w:r w:rsidR="00017DC9">
        <w:t xml:space="preserve"> Consequently, t</w:t>
      </w:r>
      <w:r w:rsidRPr="00CB2FBF">
        <w:t xml:space="preserve">he </w:t>
      </w:r>
      <w:r w:rsidR="000F76CD">
        <w:t xml:space="preserve">existing </w:t>
      </w:r>
      <w:r w:rsidRPr="00CB2FBF">
        <w:t xml:space="preserve">principal-agent </w:t>
      </w:r>
      <w:r w:rsidR="000F76CD">
        <w:t xml:space="preserve">relation becomes more </w:t>
      </w:r>
      <w:r w:rsidRPr="00CB2FBF">
        <w:t>asymmetr</w:t>
      </w:r>
      <w:r w:rsidR="000F76CD">
        <w:t xml:space="preserve">ical. </w:t>
      </w:r>
      <w:r w:rsidRPr="00CB2FBF">
        <w:t xml:space="preserve">Coincidently </w:t>
      </w:r>
      <w:r w:rsidR="00017DC9">
        <w:t xml:space="preserve">this transforms </w:t>
      </w:r>
      <w:r w:rsidRPr="00CB2FBF">
        <w:t>t</w:t>
      </w:r>
      <w:r w:rsidR="00017DC9">
        <w:t>he role and leverage of trust</w:t>
      </w:r>
      <w:r w:rsidRPr="00CB2FBF">
        <w:t>. Normal</w:t>
      </w:r>
      <w:r w:rsidR="00017DC9">
        <w:t>ly trust is a necessity for sustaining</w:t>
      </w:r>
      <w:r w:rsidRPr="00CB2FBF">
        <w:t xml:space="preserve"> a relationship, here that function is effectively neutralized. Technically, plan members have some influence but trust would have to be very deprived amongst members before any action </w:t>
      </w:r>
      <w:r w:rsidR="00017DC9">
        <w:t>i</w:t>
      </w:r>
      <w:r w:rsidRPr="00CB2FBF">
        <w:t>s</w:t>
      </w:r>
      <w:r w:rsidR="00017DC9">
        <w:t xml:space="preserve"> taken by the employer</w:t>
      </w:r>
      <w:r w:rsidRPr="00CB2FBF">
        <w:t xml:space="preserve">.  </w:t>
      </w:r>
    </w:p>
    <w:p w:rsidR="00B80307" w:rsidRDefault="00B80307" w:rsidP="00286071">
      <w:pPr>
        <w:pStyle w:val="NoSpacing"/>
        <w:spacing w:line="360" w:lineRule="auto"/>
        <w:jc w:val="both"/>
      </w:pPr>
      <w:r w:rsidRPr="00CB2FBF">
        <w:t>Although having been invalidated, trust doesn’</w:t>
      </w:r>
      <w:r w:rsidR="000F76CD">
        <w:t>t disappear; it remains existent</w:t>
      </w:r>
      <w:r w:rsidRPr="00CB2FBF">
        <w:t xml:space="preserve"> and can still be measured. However, in the second pillar it has been degraded to an approval number, acting as a sentiment indicator.</w:t>
      </w:r>
    </w:p>
    <w:p w:rsidR="00B80307" w:rsidRPr="00CB2FBF" w:rsidRDefault="00B80307" w:rsidP="00286071">
      <w:pPr>
        <w:pStyle w:val="NoSpacing"/>
        <w:spacing w:line="360" w:lineRule="auto"/>
        <w:jc w:val="both"/>
      </w:pPr>
      <w:r w:rsidRPr="00CB2FBF">
        <w:lastRenderedPageBreak/>
        <w:t>Under more familiar circumstances, firms that are anoted on the stock market have their share price acting in some respects as a confidence or sentiment indicator. A fall or absence in confidence will result in refraining from share possession. This should cause a negative asymmetry in demand and supply, lowering the share price. Additionally, any business associate will simply reduce or halt its business involvement when there is a lack of trust.</w:t>
      </w:r>
    </w:p>
    <w:p w:rsidR="00B80307" w:rsidRPr="00CB2FBF" w:rsidRDefault="00B80307" w:rsidP="00286071">
      <w:pPr>
        <w:pStyle w:val="NoSpacing"/>
        <w:spacing w:line="360" w:lineRule="auto"/>
        <w:jc w:val="both"/>
      </w:pPr>
      <w:r w:rsidRPr="00CB2FBF">
        <w:t>However, as briefly mentioned, the second pillar pension plan member has neither of these tools readily accessible</w:t>
      </w:r>
      <w:r w:rsidRPr="00CB2FBF">
        <w:rPr>
          <w:i/>
        </w:rPr>
        <w:t xml:space="preserve">. </w:t>
      </w:r>
      <w:r w:rsidRPr="00CB2FBF">
        <w:t xml:space="preserve">The emphasis on the accessibility is important, as igniting pension fund alteration is not impossible but unusual and rather slow. The (apparent) absence of these market mechanisms in the second pillar pension market makes it impossible to extract information from such events. </w:t>
      </w:r>
    </w:p>
    <w:p w:rsidR="00BF0BFE" w:rsidRPr="00CB2FBF" w:rsidRDefault="00BF0BFE" w:rsidP="00286071">
      <w:pPr>
        <w:pStyle w:val="NoSpacing"/>
        <w:spacing w:line="360" w:lineRule="auto"/>
        <w:jc w:val="both"/>
      </w:pPr>
    </w:p>
    <w:p w:rsidR="00B80307" w:rsidRPr="00CB2FBF" w:rsidRDefault="00B80307" w:rsidP="00286071">
      <w:pPr>
        <w:pStyle w:val="NoSpacing"/>
        <w:spacing w:line="360" w:lineRule="auto"/>
        <w:jc w:val="both"/>
      </w:pPr>
      <w:r w:rsidRPr="00CB2FBF">
        <w:t xml:space="preserve">The </w:t>
      </w:r>
      <w:r w:rsidR="00360278" w:rsidRPr="00CB2FBF">
        <w:t>exceptional</w:t>
      </w:r>
      <w:r w:rsidRPr="00CB2FBF">
        <w:t xml:space="preserve"> market characteristics are the facilitators of this study. They create an isolated environment of trust that is rare in economics. They also allow for the possibility to measure trust across the range of a population, with members very unlikely to leave</w:t>
      </w:r>
      <w:r w:rsidR="00360278">
        <w:t xml:space="preserve"> the pension funds</w:t>
      </w:r>
      <w:r w:rsidRPr="00CB2FBF">
        <w:t>, meaning all levels of trust and sentiment on the spectrum are likely to be present.</w:t>
      </w:r>
    </w:p>
    <w:p w:rsidR="00B80307" w:rsidRPr="00A26614" w:rsidRDefault="00B80307" w:rsidP="001C53D9">
      <w:pPr>
        <w:pStyle w:val="Vin2"/>
      </w:pPr>
      <w:r w:rsidRPr="00A26614">
        <w:t xml:space="preserve"> </w:t>
      </w:r>
      <w:bookmarkStart w:id="9" w:name="_Toc340568889"/>
      <w:r w:rsidRPr="00A26614">
        <w:t>Scientific and social relevance</w:t>
      </w:r>
      <w:bookmarkEnd w:id="9"/>
      <w:r w:rsidRPr="00A26614">
        <w:tab/>
      </w:r>
    </w:p>
    <w:p w:rsidR="00B80307" w:rsidRPr="00CB2FBF" w:rsidRDefault="00B80307" w:rsidP="00286071">
      <w:pPr>
        <w:pStyle w:val="NoSpacing"/>
        <w:spacing w:line="360" w:lineRule="auto"/>
        <w:jc w:val="both"/>
      </w:pPr>
      <w:r w:rsidRPr="00CB2FBF">
        <w:t>The contributive value of this thesis spreads on two levels, scientifically and societally. Currently there is a limited amount of academic literature on trust</w:t>
      </w:r>
      <w:r w:rsidR="00510FC8">
        <w:t xml:space="preserve"> behavior</w:t>
      </w:r>
      <w:r w:rsidRPr="00CB2FBF">
        <w:t xml:space="preserve"> in economics. An even more limited amount of literature is present on trust and its relation to risk. Leaving a gap in the understanding of the dynamics between trust and risk appetite, as the present literature is not just scarce but also inconclusive. </w:t>
      </w:r>
    </w:p>
    <w:p w:rsidR="00B80307" w:rsidRDefault="00B80307" w:rsidP="00286071">
      <w:pPr>
        <w:pStyle w:val="NoSpacing"/>
        <w:spacing w:line="360" w:lineRule="auto"/>
        <w:jc w:val="both"/>
      </w:pPr>
      <w:r w:rsidRPr="00CB2FBF">
        <w:t xml:space="preserve">The existing literature on the functioning of trust in economics, thus far has largely abstained from thoroughly testing the role of trust in decision making. Nor have many looked at the depth of the causal direction in the relation between trust and risk. This thesis attempts to test these two variables as directly to one another as possible. The </w:t>
      </w:r>
      <w:r w:rsidR="00301814" w:rsidRPr="00CB2FBF">
        <w:t xml:space="preserve">chosen </w:t>
      </w:r>
      <w:r w:rsidRPr="00CB2FBF">
        <w:t xml:space="preserve">scope </w:t>
      </w:r>
      <w:r w:rsidR="00301814">
        <w:t>of</w:t>
      </w:r>
      <w:r w:rsidRPr="00CB2FBF">
        <w:t xml:space="preserve"> the second pillar pension market; </w:t>
      </w:r>
      <w:r w:rsidR="00301814">
        <w:t xml:space="preserve">means </w:t>
      </w:r>
      <w:r w:rsidRPr="00CB2FBF">
        <w:t>the testing is subject to a principal-agent setting. In the process, this thesis also delivers a very complete description of the second pillar pension market</w:t>
      </w:r>
      <w:r w:rsidR="00301814">
        <w:t xml:space="preserve"> interaction</w:t>
      </w:r>
      <w:r w:rsidRPr="00CB2FBF">
        <w:t xml:space="preserve">s. This is also where I aim to add to the existing literature and widen the understanding of trust and risk appetite, in this particular relation. Through the results from my research I hope to set a fresh cohesive step towards a greater understanding and potential mandate for the role of trust, in financial risk appetite. </w:t>
      </w:r>
    </w:p>
    <w:p w:rsidR="002B0E04" w:rsidRDefault="002B0E04" w:rsidP="00286071">
      <w:pPr>
        <w:pStyle w:val="NoSpacing"/>
        <w:spacing w:line="360" w:lineRule="auto"/>
        <w:jc w:val="both"/>
      </w:pPr>
    </w:p>
    <w:p w:rsidR="002B0E04" w:rsidRDefault="002B0E04" w:rsidP="00286071">
      <w:pPr>
        <w:pStyle w:val="NoSpacing"/>
        <w:spacing w:line="360" w:lineRule="auto"/>
        <w:jc w:val="both"/>
      </w:pPr>
    </w:p>
    <w:p w:rsidR="002B0E04" w:rsidRDefault="002B0E04" w:rsidP="00286071">
      <w:pPr>
        <w:pStyle w:val="NoSpacing"/>
        <w:spacing w:line="360" w:lineRule="auto"/>
        <w:jc w:val="both"/>
      </w:pPr>
    </w:p>
    <w:p w:rsidR="00E83521" w:rsidRDefault="00B80307" w:rsidP="00286071">
      <w:pPr>
        <w:pStyle w:val="NoSpacing"/>
        <w:spacing w:line="360" w:lineRule="auto"/>
        <w:jc w:val="both"/>
      </w:pPr>
      <w:r w:rsidRPr="00CB2FBF">
        <w:lastRenderedPageBreak/>
        <w:t xml:space="preserve">The matter of the disparity between the pension funds investment activities and plan member’s risk appetite </w:t>
      </w:r>
      <w:r w:rsidR="00E83521">
        <w:t>was only</w:t>
      </w:r>
      <w:r w:rsidRPr="00CB2FBF">
        <w:t xml:space="preserve"> </w:t>
      </w:r>
      <w:r w:rsidR="00E83521">
        <w:t xml:space="preserve">aired </w:t>
      </w:r>
      <w:r w:rsidRPr="00CB2FBF">
        <w:t>relative</w:t>
      </w:r>
      <w:r w:rsidR="00E83521">
        <w:t>ly</w:t>
      </w:r>
      <w:r w:rsidRPr="00CB2FBF">
        <w:t xml:space="preserve"> recent</w:t>
      </w:r>
      <w:r w:rsidR="00E83521">
        <w:t>ly</w:t>
      </w:r>
      <w:r w:rsidRPr="00CB2FBF">
        <w:t xml:space="preserve">. Yet it has great social significance due to the number of people affected. </w:t>
      </w:r>
      <w:r w:rsidR="00E83521">
        <w:t xml:space="preserve">This is because </w:t>
      </w:r>
      <w:r w:rsidR="00D2345F">
        <w:t xml:space="preserve">intrinsically </w:t>
      </w:r>
      <w:r w:rsidR="00E83521">
        <w:t xml:space="preserve">pension funds have no aim to make a profit, other than for their members. </w:t>
      </w:r>
      <w:r w:rsidR="00801AA1">
        <w:t xml:space="preserve">Thus there should be no reason for distrust. However, factors such as pride, career security, remuneration and prestige are all potential causes for engaging in too risky investments. After all, often reporting the best performance figures is reduces chances of redundancy and being more successful than other pension funds is a reputation booster. </w:t>
      </w:r>
    </w:p>
    <w:p w:rsidR="00801AA1" w:rsidRDefault="00801AA1" w:rsidP="00E605CF">
      <w:pPr>
        <w:pStyle w:val="NoSpacing"/>
        <w:jc w:val="both"/>
      </w:pPr>
    </w:p>
    <w:p w:rsidR="002B0E04" w:rsidRPr="00CB2FBF" w:rsidRDefault="00B80307" w:rsidP="00286071">
      <w:pPr>
        <w:pStyle w:val="NoSpacing"/>
        <w:spacing w:line="360" w:lineRule="auto"/>
        <w:jc w:val="both"/>
      </w:pPr>
      <w:r w:rsidRPr="00CB2FBF">
        <w:t xml:space="preserve">This makes any effort that assists in finding an explanation, solution and preventing reoccurrence </w:t>
      </w:r>
      <w:r w:rsidR="00801AA1">
        <w:t>of divergence a</w:t>
      </w:r>
      <w:r w:rsidRPr="00CB2FBF">
        <w:t xml:space="preserve"> worthy one. Therefore whatever relations, the results of this thesis may confirm or deny, will help in that process. </w:t>
      </w:r>
    </w:p>
    <w:p w:rsidR="00B80307" w:rsidRPr="00CB2FBF" w:rsidRDefault="00B80307" w:rsidP="00286071">
      <w:pPr>
        <w:pStyle w:val="NoSpacing"/>
        <w:spacing w:line="360" w:lineRule="auto"/>
        <w:jc w:val="both"/>
      </w:pPr>
      <w:r w:rsidRPr="00CB2FBF">
        <w:t xml:space="preserve">It might not provide an immediate solution or remedy but it is the start in a process. This social value also encapsulates the innovative value of this thesis. Very few academic efforts have been made with regards to the observed discrepancy issue. </w:t>
      </w:r>
    </w:p>
    <w:p w:rsidR="00B80307" w:rsidRPr="00CB2FBF" w:rsidRDefault="00B80307" w:rsidP="00286071">
      <w:pPr>
        <w:pStyle w:val="NoSpacing"/>
        <w:spacing w:line="360" w:lineRule="auto"/>
        <w:jc w:val="both"/>
      </w:pPr>
      <w:r w:rsidRPr="00CB2FBF">
        <w:t>With this first step, furthering research can be stimulated to find out how a more optimal trust relation between the two parties can be established. This could be extended and if possible, capitalized upon through the creation of a measurement tool. Helping to better align and optimize the risk relation, between pension funds and their plan members. Leading to more prudent and compatible investment strategy.</w:t>
      </w:r>
    </w:p>
    <w:p w:rsidR="00B80307" w:rsidRPr="00A26614" w:rsidRDefault="001C53D9" w:rsidP="001C53D9">
      <w:pPr>
        <w:pStyle w:val="Vin2"/>
      </w:pPr>
      <w:r>
        <w:t xml:space="preserve"> </w:t>
      </w:r>
      <w:bookmarkStart w:id="10" w:name="_Toc340568890"/>
      <w:r w:rsidR="00B80307" w:rsidRPr="00A26614">
        <w:t>Delimitations</w:t>
      </w:r>
      <w:bookmarkEnd w:id="10"/>
    </w:p>
    <w:p w:rsidR="00B80307" w:rsidRPr="00CB2FBF" w:rsidRDefault="00B80307" w:rsidP="00286071">
      <w:pPr>
        <w:pStyle w:val="NoSpacing"/>
        <w:spacing w:line="360" w:lineRule="auto"/>
        <w:jc w:val="both"/>
      </w:pPr>
      <w:r w:rsidRPr="00CB2FBF">
        <w:t xml:space="preserve">This thesis is of an exploratory nature and as such does not ultimately seek to directly solve any problems or explain every finding it comes across. It aims to explore and provide insight into the trust–risk relation in this particular pension domain. Thus, this thesis does not aim or attempt to solve the observed second pillar pension market problems or single handedly explain the entire </w:t>
      </w:r>
      <w:r w:rsidR="000D4F95">
        <w:t xml:space="preserve">relation between risk and trust. </w:t>
      </w:r>
      <w:r w:rsidR="00E605CF">
        <w:t>A</w:t>
      </w:r>
      <w:r w:rsidR="00E605CF" w:rsidRPr="00CB2FBF">
        <w:t>lbeit</w:t>
      </w:r>
      <w:r w:rsidR="00E605CF">
        <w:t xml:space="preserve"> the origin of this thesis is</w:t>
      </w:r>
      <w:r w:rsidR="00E605CF" w:rsidRPr="00CB2FBF">
        <w:t xml:space="preserve"> the </w:t>
      </w:r>
      <w:r w:rsidR="00E605CF">
        <w:t>suspected abundance of riskful investments made by the second pillar pension funds</w:t>
      </w:r>
      <w:r w:rsidR="00E605CF" w:rsidRPr="00CB2FBF">
        <w:t>.</w:t>
      </w:r>
    </w:p>
    <w:p w:rsidR="00B80307" w:rsidRPr="00CB2FBF" w:rsidRDefault="00B80307" w:rsidP="00286071">
      <w:pPr>
        <w:pStyle w:val="NoSpacing"/>
        <w:spacing w:line="360" w:lineRule="auto"/>
        <w:jc w:val="both"/>
      </w:pPr>
      <w:r w:rsidRPr="00CB2FBF">
        <w:t xml:space="preserve">The thesis does cover aspects that provide a better understanding of the trust and risk concept, which are believed to be at the heart of the </w:t>
      </w:r>
      <w:r w:rsidR="005822B4">
        <w:t>issue</w:t>
      </w:r>
      <w:r w:rsidRPr="00CB2FBF">
        <w:t>. The decision for this approach is very simple. Attempting to find a solution is too complex for one thesis, both in depth and in size. Therefore, this exploratory study covers the relation between risk and trust</w:t>
      </w:r>
      <w:r w:rsidR="00DD584C">
        <w:t>,</w:t>
      </w:r>
      <w:r w:rsidRPr="00CB2FBF">
        <w:t xml:space="preserve"> and not the </w:t>
      </w:r>
      <w:r w:rsidR="005822B4">
        <w:t xml:space="preserve">respective </w:t>
      </w:r>
      <w:r w:rsidR="00DD584C">
        <w:t>outcome</w:t>
      </w:r>
      <w:r w:rsidRPr="00CB2FBF">
        <w:t xml:space="preserve">. </w:t>
      </w:r>
    </w:p>
    <w:p w:rsidR="00B80307" w:rsidRPr="00CB2FBF" w:rsidRDefault="00B80307" w:rsidP="00286071">
      <w:pPr>
        <w:pStyle w:val="NoSpacing"/>
        <w:spacing w:line="360" w:lineRule="auto"/>
        <w:jc w:val="both"/>
      </w:pPr>
      <w:r w:rsidRPr="00CB2FBF">
        <w:t xml:space="preserve">The second pillar pension market is the chosen domain, as the focus is purely on the second pillar pension market; the results are only relevant in that setting. </w:t>
      </w:r>
      <w:r w:rsidR="00F54E8D">
        <w:t xml:space="preserve">This means </w:t>
      </w:r>
      <w:r w:rsidRPr="00CB2FBF">
        <w:t xml:space="preserve">this thesis does not cover the entire trust and risk relation, as that is too complex and variable. Hence the choice to solely assess the niche of the second pillar pension market setting, which offers interesting parameters. </w:t>
      </w:r>
    </w:p>
    <w:p w:rsidR="00B80307" w:rsidRPr="00A26614" w:rsidRDefault="00E83521" w:rsidP="001C53D9">
      <w:pPr>
        <w:pStyle w:val="Vin2"/>
      </w:pPr>
      <w:bookmarkStart w:id="11" w:name="_Toc340568891"/>
      <w:r>
        <w:lastRenderedPageBreak/>
        <w:t xml:space="preserve"> </w:t>
      </w:r>
      <w:r w:rsidR="00A85D20" w:rsidRPr="00A26614">
        <w:t>Research q</w:t>
      </w:r>
      <w:r w:rsidR="00B80307" w:rsidRPr="00A26614">
        <w:t>uestion</w:t>
      </w:r>
      <w:bookmarkEnd w:id="11"/>
    </w:p>
    <w:p w:rsidR="00B80307" w:rsidRDefault="00B80307" w:rsidP="00286071">
      <w:pPr>
        <w:pStyle w:val="NoSpacing"/>
        <w:spacing w:line="360" w:lineRule="auto"/>
        <w:jc w:val="both"/>
      </w:pPr>
      <w:r w:rsidRPr="00CB2FBF">
        <w:t xml:space="preserve">The </w:t>
      </w:r>
      <w:r w:rsidR="00A26614" w:rsidRPr="00CB2FBF">
        <w:t>buildup</w:t>
      </w:r>
      <w:r w:rsidRPr="00CB2FBF">
        <w:t xml:space="preserve"> of recent events, the unique structure of the second pillar pension market, the limited research on this matter and the conceived importance of understanding trust form the inspiration for this thesis.  This combination of factors is fused in the central research question;</w:t>
      </w:r>
    </w:p>
    <w:p w:rsidR="00CB5B09" w:rsidRPr="00CB2FBF" w:rsidRDefault="00CB5B09" w:rsidP="00286071">
      <w:pPr>
        <w:pStyle w:val="NoSpacing"/>
        <w:spacing w:line="360" w:lineRule="auto"/>
        <w:jc w:val="both"/>
      </w:pPr>
    </w:p>
    <w:p w:rsidR="00B80307" w:rsidRPr="00CB2FBF" w:rsidRDefault="00B80307" w:rsidP="00286071">
      <w:pPr>
        <w:pStyle w:val="NoSpacing"/>
        <w:spacing w:line="360" w:lineRule="auto"/>
        <w:jc w:val="both"/>
        <w:rPr>
          <w:i/>
        </w:rPr>
      </w:pPr>
      <w:r w:rsidRPr="00CB2FBF">
        <w:rPr>
          <w:i/>
        </w:rPr>
        <w:t xml:space="preserve"> What effects does trust have on the risk appetite of second pillar pension fund plan members?  </w:t>
      </w: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rPr>
          <w:rFonts w:cs="Calibri"/>
        </w:rPr>
      </w:pPr>
      <w:r w:rsidRPr="00CB2FBF">
        <w:t>Hence the underlying aim is to credibly expose the dynamics of the trust-risk relation. As this thesis revolves around the</w:t>
      </w:r>
      <w:r w:rsidRPr="00CB2FBF">
        <w:rPr>
          <w:rFonts w:cs="Calibri"/>
        </w:rPr>
        <w:t xml:space="preserve"> establishment of the extent to which trust affects the risk appetite of (second pillar) pension fund plan members. A number of secondary research questions review aspect that influence or are a part of the equation: the dynamics of the asymmetric principal-agent relation, the role of financial literacy in trust and risk attitude, the different dynamics of trust and risk and the variance in risk appetite and reactions to trust in varying cohorts. </w:t>
      </w:r>
    </w:p>
    <w:p w:rsidR="00B80307" w:rsidRPr="00CB2FBF" w:rsidRDefault="00B80307" w:rsidP="00286071">
      <w:pPr>
        <w:pStyle w:val="NoSpacing"/>
        <w:spacing w:line="360" w:lineRule="auto"/>
        <w:jc w:val="both"/>
      </w:pPr>
    </w:p>
    <w:p w:rsidR="00B80307" w:rsidRPr="00A26614" w:rsidRDefault="00377071" w:rsidP="001C53D9">
      <w:pPr>
        <w:pStyle w:val="Vin2"/>
      </w:pPr>
      <w:r w:rsidRPr="00A26614">
        <w:t xml:space="preserve"> </w:t>
      </w:r>
      <w:bookmarkStart w:id="12" w:name="_Toc340568892"/>
      <w:r w:rsidRPr="00A26614">
        <w:t>Hypothese</w:t>
      </w:r>
      <w:r w:rsidR="00B80307" w:rsidRPr="00A26614">
        <w:t>s</w:t>
      </w:r>
      <w:bookmarkEnd w:id="12"/>
    </w:p>
    <w:p w:rsidR="00B80307" w:rsidRPr="00CB2FBF" w:rsidRDefault="00B80307" w:rsidP="00286071">
      <w:pPr>
        <w:pStyle w:val="NoSpacing"/>
        <w:spacing w:line="360" w:lineRule="auto"/>
        <w:jc w:val="both"/>
      </w:pPr>
      <w:r w:rsidRPr="00CB2FBF">
        <w:t>In relation to the main research question, secondary research questions and available literature; the following hypotheses are tested to establish whether a (significant) relation between trust and plan member’s risk appetite exists.</w:t>
      </w: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rPr>
          <w:i/>
        </w:rPr>
      </w:pPr>
      <w:r w:rsidRPr="00CB2FBF">
        <w:rPr>
          <w:i/>
        </w:rPr>
        <w:t>Hypothesis 1</w:t>
      </w:r>
    </w:p>
    <w:tbl>
      <w:tblPr>
        <w:tblStyle w:val="TableGrid"/>
        <w:tblW w:w="0" w:type="auto"/>
        <w:tblLook w:val="04A0"/>
      </w:tblPr>
      <w:tblGrid>
        <w:gridCol w:w="558"/>
        <w:gridCol w:w="8684"/>
      </w:tblGrid>
      <w:tr w:rsidR="00B80307" w:rsidRPr="00CB2FBF" w:rsidTr="003A798F">
        <w:tc>
          <w:tcPr>
            <w:tcW w:w="558" w:type="dxa"/>
          </w:tcPr>
          <w:p w:rsidR="00B80307" w:rsidRPr="00CB2FBF" w:rsidRDefault="00B80307" w:rsidP="00286071">
            <w:pPr>
              <w:pStyle w:val="NoSpacing"/>
              <w:spacing w:line="360" w:lineRule="auto"/>
              <w:jc w:val="both"/>
            </w:pPr>
            <w:r w:rsidRPr="00CB2FBF">
              <w:t>H0:</w:t>
            </w:r>
          </w:p>
        </w:tc>
        <w:tc>
          <w:tcPr>
            <w:tcW w:w="8684" w:type="dxa"/>
          </w:tcPr>
          <w:p w:rsidR="00B80307" w:rsidRPr="00CB2FBF" w:rsidRDefault="00B80307" w:rsidP="00286071">
            <w:pPr>
              <w:pStyle w:val="NoSpacing"/>
              <w:spacing w:line="360" w:lineRule="auto"/>
              <w:jc w:val="both"/>
            </w:pPr>
            <w:r w:rsidRPr="00CB2FBF">
              <w:t xml:space="preserve">A negative change in the trust embedded in the agent by the principal, will not result in an increase in the risk aversion level of the principal’s risk appetite </w:t>
            </w:r>
          </w:p>
        </w:tc>
      </w:tr>
      <w:tr w:rsidR="00B80307" w:rsidRPr="00CB2FBF" w:rsidTr="003A798F">
        <w:tc>
          <w:tcPr>
            <w:tcW w:w="558" w:type="dxa"/>
          </w:tcPr>
          <w:p w:rsidR="00B80307" w:rsidRPr="00CB2FBF" w:rsidRDefault="00B80307" w:rsidP="00286071">
            <w:pPr>
              <w:pStyle w:val="NoSpacing"/>
              <w:spacing w:line="360" w:lineRule="auto"/>
              <w:jc w:val="both"/>
            </w:pPr>
            <w:r w:rsidRPr="00CB2FBF">
              <w:t>Ha:</w:t>
            </w:r>
          </w:p>
        </w:tc>
        <w:tc>
          <w:tcPr>
            <w:tcW w:w="8684" w:type="dxa"/>
          </w:tcPr>
          <w:p w:rsidR="00B80307" w:rsidRPr="00CB2FBF" w:rsidRDefault="00B80307" w:rsidP="00286071">
            <w:pPr>
              <w:pStyle w:val="NoSpacing"/>
              <w:spacing w:line="360" w:lineRule="auto"/>
              <w:jc w:val="both"/>
            </w:pPr>
            <w:r w:rsidRPr="00CB2FBF">
              <w:t xml:space="preserve">A negative change in the trust embedded in the agent by the principal, will result in an increase in the risk aversion level of the principal’s risk appetite  </w:t>
            </w:r>
          </w:p>
        </w:tc>
      </w:tr>
    </w:tbl>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pPr>
      <w:r w:rsidRPr="00CB2FBF">
        <w:t xml:space="preserve">The Alternative Hypothesis tests whether there is a direct correlation between a change in the Principal’s-agent trust relation and Principal’s risk appetite. Neither the rejection nor the affirmation of this hypothesis does unequivocally answer or explain the central research question, in all of its  dimensions. </w:t>
      </w:r>
    </w:p>
    <w:p w:rsidR="00B80307" w:rsidRPr="00CB2FBF" w:rsidRDefault="00B80307" w:rsidP="00286071">
      <w:pPr>
        <w:pStyle w:val="NoSpacing"/>
        <w:spacing w:line="360" w:lineRule="auto"/>
        <w:jc w:val="both"/>
      </w:pPr>
      <w:r w:rsidRPr="00CB2FBF">
        <w:t>However, it provides the most crucial information necessary to form an answer. The finding of a perfect negative correlation between these two central variables would indicate that trust is indeed a decisive factor in the risk appetite of plan members. As such, a negative change in the trust-level of a plan’s participants will result in a significant increase in participant’s risk averseness.</w:t>
      </w:r>
    </w:p>
    <w:p w:rsidR="00B80307" w:rsidRPr="00CB2FBF" w:rsidRDefault="00B80307" w:rsidP="00286071">
      <w:pPr>
        <w:pStyle w:val="NoSpacing"/>
        <w:spacing w:line="360" w:lineRule="auto"/>
        <w:jc w:val="both"/>
      </w:pPr>
      <w:r w:rsidRPr="00CB2FBF">
        <w:lastRenderedPageBreak/>
        <w:t xml:space="preserve">This hypothesis </w:t>
      </w:r>
      <w:r w:rsidR="00AA2C7D">
        <w:t xml:space="preserve">also implies to attempt and </w:t>
      </w:r>
      <w:r w:rsidR="001827E7">
        <w:t>dis</w:t>
      </w:r>
      <w:r w:rsidR="00AA2C7D">
        <w:t xml:space="preserve">cover </w:t>
      </w:r>
      <w:r w:rsidR="00760871">
        <w:t>the suggested</w:t>
      </w:r>
      <w:r w:rsidR="00AA2C7D">
        <w:t xml:space="preserve"> </w:t>
      </w:r>
      <w:r w:rsidRPr="00CB2FBF">
        <w:t>causal</w:t>
      </w:r>
      <w:r w:rsidR="00AA2C7D">
        <w:t xml:space="preserve"> effect</w:t>
      </w:r>
      <w:r w:rsidRPr="00CB2FBF">
        <w:t xml:space="preserve"> between these two variables. A choice was made to see whether </w:t>
      </w:r>
      <w:r w:rsidR="00760871">
        <w:t>it is possible to</w:t>
      </w:r>
      <w:r w:rsidRPr="00CB2FBF">
        <w:t xml:space="preserve"> test th</w:t>
      </w:r>
      <w:r w:rsidR="00760871">
        <w:t xml:space="preserve">e full depth of the relation and </w:t>
      </w:r>
      <w:r w:rsidRPr="00CB2FBF">
        <w:t>hypothesis</w:t>
      </w:r>
      <w:r w:rsidR="00760871">
        <w:t xml:space="preserve">. Instead of </w:t>
      </w:r>
      <w:r w:rsidRPr="00CB2FBF">
        <w:t>merely look</w:t>
      </w:r>
      <w:r w:rsidR="00863A2C">
        <w:t>ing</w:t>
      </w:r>
      <w:r w:rsidRPr="00CB2FBF">
        <w:t xml:space="preserve"> whether a negative change in the trust embedded in the agent by the principal, will be paired with higher level of risk aversion in the principal’s risk appetite. Such a  version of the hypothesis makes acceptance and rejection of the Null hypothesis easier, but is also less interesting and of lower (scientific) value to this thesis. Such hypothesis would fail in its attempt to fully investigate the depth of the relation between the variables of trust and risk in the second pillar pension market. </w:t>
      </w: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rPr>
          <w:i/>
        </w:rPr>
      </w:pPr>
      <w:r w:rsidRPr="00CB2FBF">
        <w:rPr>
          <w:i/>
        </w:rPr>
        <w:t>Hypothesis 2</w:t>
      </w:r>
    </w:p>
    <w:tbl>
      <w:tblPr>
        <w:tblStyle w:val="TableGrid"/>
        <w:tblW w:w="0" w:type="auto"/>
        <w:tblLook w:val="04A0"/>
      </w:tblPr>
      <w:tblGrid>
        <w:gridCol w:w="558"/>
        <w:gridCol w:w="8684"/>
      </w:tblGrid>
      <w:tr w:rsidR="00B80307" w:rsidRPr="00CB2FBF" w:rsidTr="003A798F">
        <w:tc>
          <w:tcPr>
            <w:tcW w:w="558" w:type="dxa"/>
          </w:tcPr>
          <w:p w:rsidR="00B80307" w:rsidRPr="00CB2FBF" w:rsidRDefault="00B80307" w:rsidP="00286071">
            <w:pPr>
              <w:pStyle w:val="NoSpacing"/>
              <w:spacing w:line="360" w:lineRule="auto"/>
              <w:jc w:val="both"/>
            </w:pPr>
            <w:r w:rsidRPr="00CB2FBF">
              <w:t>H0:</w:t>
            </w:r>
          </w:p>
        </w:tc>
        <w:tc>
          <w:tcPr>
            <w:tcW w:w="8684" w:type="dxa"/>
          </w:tcPr>
          <w:p w:rsidR="00B80307" w:rsidRPr="00CB2FBF" w:rsidRDefault="0032755B" w:rsidP="0032755B">
            <w:pPr>
              <w:pStyle w:val="NoSpacing"/>
              <w:spacing w:line="360" w:lineRule="auto"/>
              <w:jc w:val="both"/>
            </w:pPr>
            <w:r w:rsidRPr="00CB2FBF">
              <w:t>Plan member tr</w:t>
            </w:r>
            <w:r w:rsidR="00D077A9">
              <w:t xml:space="preserve">ust in his/her relation to the </w:t>
            </w:r>
            <w:r w:rsidRPr="00CB2FBF">
              <w:t xml:space="preserve">pension fund is independent of knowledge </w:t>
            </w:r>
          </w:p>
        </w:tc>
      </w:tr>
      <w:tr w:rsidR="00B80307" w:rsidRPr="00CB2FBF" w:rsidTr="003A798F">
        <w:trPr>
          <w:trHeight w:val="371"/>
        </w:trPr>
        <w:tc>
          <w:tcPr>
            <w:tcW w:w="558" w:type="dxa"/>
          </w:tcPr>
          <w:p w:rsidR="00B80307" w:rsidRPr="00CB2FBF" w:rsidRDefault="00B80307" w:rsidP="00286071">
            <w:pPr>
              <w:pStyle w:val="NoSpacing"/>
              <w:spacing w:line="360" w:lineRule="auto"/>
              <w:jc w:val="both"/>
            </w:pPr>
            <w:r w:rsidRPr="00CB2FBF">
              <w:t>Ha:</w:t>
            </w:r>
          </w:p>
        </w:tc>
        <w:tc>
          <w:tcPr>
            <w:tcW w:w="8684" w:type="dxa"/>
          </w:tcPr>
          <w:p w:rsidR="00B80307" w:rsidRPr="00CB2FBF" w:rsidRDefault="0032755B" w:rsidP="00286071">
            <w:pPr>
              <w:pStyle w:val="NoSpacing"/>
              <w:spacing w:line="360" w:lineRule="auto"/>
              <w:jc w:val="both"/>
            </w:pPr>
            <w:r w:rsidRPr="00CB2FBF">
              <w:t>Plan member trust in his/her relation to the pension fund is not independent of knowledge</w:t>
            </w:r>
          </w:p>
        </w:tc>
      </w:tr>
    </w:tbl>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pPr>
      <w:r w:rsidRPr="00CB2FBF">
        <w:t xml:space="preserve">This second hypothesis assists in unraveling the processes of trust formation and its dominance. Knowledge and decision making are intrinsically related, as everyone consults their knowledge and understanding during a decision making process. The realization whether such a similar mechanism is true for trust, helps to define the identity of trust. If knowledge is </w:t>
      </w:r>
      <w:r w:rsidR="00EB69AA">
        <w:t xml:space="preserve">significantly </w:t>
      </w:r>
      <w:r w:rsidRPr="00CB2FBF">
        <w:t>correlated to trust than we know a bit more about the orders of the decision making process. And this will thus provide valuable information on the forming of trust and how it can be affected.</w:t>
      </w:r>
    </w:p>
    <w:p w:rsidR="00B80307" w:rsidRPr="00CB2FBF" w:rsidRDefault="00B80307" w:rsidP="00286071">
      <w:pPr>
        <w:pStyle w:val="NoSpacing"/>
        <w:spacing w:line="360" w:lineRule="auto"/>
        <w:jc w:val="both"/>
      </w:pPr>
      <w:r w:rsidRPr="00CB2FBF">
        <w:t>As for the depth of the relation’s substance tested in this hypothesis; if trust and knowledge have a positive bilateral connection for the plan member, in the relation towards the pension fund. Then it is most probable that knowledge influences trust,  suggesting knowledge</w:t>
      </w:r>
      <w:r w:rsidR="00EB69AA">
        <w:t>’s</w:t>
      </w:r>
      <w:r w:rsidRPr="00CB2FBF">
        <w:t xml:space="preserve"> dominance over trust.</w:t>
      </w: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rPr>
          <w:i/>
        </w:rPr>
      </w:pPr>
      <w:r w:rsidRPr="00CB2FBF">
        <w:rPr>
          <w:i/>
        </w:rPr>
        <w:t>Hypothesis 3</w:t>
      </w:r>
    </w:p>
    <w:tbl>
      <w:tblPr>
        <w:tblStyle w:val="TableGrid"/>
        <w:tblW w:w="9483" w:type="dxa"/>
        <w:tblLook w:val="04A0"/>
      </w:tblPr>
      <w:tblGrid>
        <w:gridCol w:w="629"/>
        <w:gridCol w:w="8854"/>
      </w:tblGrid>
      <w:tr w:rsidR="00B80307" w:rsidRPr="00CB2FBF" w:rsidTr="003A798F">
        <w:trPr>
          <w:trHeight w:val="620"/>
        </w:trPr>
        <w:tc>
          <w:tcPr>
            <w:tcW w:w="629" w:type="dxa"/>
          </w:tcPr>
          <w:p w:rsidR="00B80307" w:rsidRPr="00CB2FBF" w:rsidRDefault="00B80307" w:rsidP="00286071">
            <w:pPr>
              <w:pStyle w:val="NoSpacing"/>
              <w:spacing w:line="360" w:lineRule="auto"/>
              <w:jc w:val="both"/>
              <w:rPr>
                <w:b/>
              </w:rPr>
            </w:pPr>
            <w:r w:rsidRPr="00CB2FBF">
              <w:t>H0:</w:t>
            </w:r>
          </w:p>
        </w:tc>
        <w:tc>
          <w:tcPr>
            <w:tcW w:w="8854" w:type="dxa"/>
          </w:tcPr>
          <w:p w:rsidR="00B80307" w:rsidRPr="00CB2FBF" w:rsidRDefault="00B80307" w:rsidP="00286071">
            <w:pPr>
              <w:pStyle w:val="NoSpacing"/>
              <w:spacing w:line="360" w:lineRule="auto"/>
              <w:jc w:val="both"/>
            </w:pPr>
            <w:r w:rsidRPr="00CB2FBF">
              <w:t xml:space="preserve">Different population cohorts do not differ in both their risk appetite and the amount of trust they bestow upon the pension fund </w:t>
            </w:r>
          </w:p>
        </w:tc>
      </w:tr>
      <w:tr w:rsidR="00B80307" w:rsidRPr="00CB2FBF" w:rsidTr="003A798F">
        <w:trPr>
          <w:trHeight w:val="539"/>
        </w:trPr>
        <w:tc>
          <w:tcPr>
            <w:tcW w:w="629" w:type="dxa"/>
          </w:tcPr>
          <w:p w:rsidR="00B80307" w:rsidRPr="00CB2FBF" w:rsidRDefault="00B80307" w:rsidP="00286071">
            <w:pPr>
              <w:pStyle w:val="NoSpacing"/>
              <w:spacing w:line="360" w:lineRule="auto"/>
              <w:jc w:val="both"/>
              <w:rPr>
                <w:b/>
              </w:rPr>
            </w:pPr>
            <w:r w:rsidRPr="00CB2FBF">
              <w:t>Ha:</w:t>
            </w:r>
          </w:p>
        </w:tc>
        <w:tc>
          <w:tcPr>
            <w:tcW w:w="8854" w:type="dxa"/>
          </w:tcPr>
          <w:p w:rsidR="00B80307" w:rsidRPr="00CB2FBF" w:rsidRDefault="00B80307" w:rsidP="00286071">
            <w:pPr>
              <w:pStyle w:val="NoSpacing"/>
              <w:spacing w:line="360" w:lineRule="auto"/>
              <w:jc w:val="both"/>
              <w:rPr>
                <w:b/>
              </w:rPr>
            </w:pPr>
            <w:r w:rsidRPr="00CB2FBF">
              <w:t>Different population cohorts differ in both their risk appetite and the amount of trust they bestow upon the pension fund.</w:t>
            </w:r>
          </w:p>
        </w:tc>
      </w:tr>
    </w:tbl>
    <w:p w:rsidR="00B80307" w:rsidRPr="00CB2FBF" w:rsidRDefault="00B80307" w:rsidP="00286071">
      <w:pPr>
        <w:pStyle w:val="NoSpacing"/>
        <w:spacing w:line="360" w:lineRule="auto"/>
        <w:jc w:val="both"/>
        <w:rPr>
          <w:b/>
        </w:rPr>
      </w:pPr>
    </w:p>
    <w:p w:rsidR="00B80307" w:rsidRDefault="00B80307" w:rsidP="00286071">
      <w:pPr>
        <w:pStyle w:val="NoSpacing"/>
        <w:spacing w:line="360" w:lineRule="auto"/>
        <w:jc w:val="both"/>
      </w:pPr>
      <w:r w:rsidRPr="00CB2FBF">
        <w:t xml:space="preserve">This hypothesis tests for significant differences in trust and risk between population cohorts. Literature suggests the inevitable occurrence of certain </w:t>
      </w:r>
      <w:r w:rsidR="00EA3CB7">
        <w:t xml:space="preserve">risk </w:t>
      </w:r>
      <w:r w:rsidRPr="00CB2FBF">
        <w:t>patterns in the subject population</w:t>
      </w:r>
      <w:r w:rsidR="00EA3CB7">
        <w:t>,</w:t>
      </w:r>
      <w:r w:rsidRPr="00CB2FBF">
        <w:t xml:space="preserve"> in relation to demographic </w:t>
      </w:r>
      <w:r w:rsidR="00EA3CB7">
        <w:t xml:space="preserve">and descriptive </w:t>
      </w:r>
      <w:r w:rsidRPr="00CB2FBF">
        <w:t xml:space="preserve">characteristics. </w:t>
      </w:r>
      <w:r w:rsidR="00EA3CB7">
        <w:t>T</w:t>
      </w:r>
      <w:r w:rsidRPr="00CB2FBF">
        <w:t>he apparent similarities between risk and trust dynamics</w:t>
      </w:r>
      <w:r w:rsidR="00EA3CB7">
        <w:t xml:space="preserve"> </w:t>
      </w:r>
      <w:r w:rsidRPr="00CB2FBF">
        <w:t xml:space="preserve">are worth an examination and to be confirmed or denied. </w:t>
      </w:r>
    </w:p>
    <w:p w:rsidR="007E7592" w:rsidRPr="00CB2FBF" w:rsidRDefault="007E7592" w:rsidP="00286071">
      <w:pPr>
        <w:pStyle w:val="NoSpacing"/>
        <w:spacing w:line="360" w:lineRule="auto"/>
        <w:jc w:val="both"/>
      </w:pPr>
    </w:p>
    <w:p w:rsidR="00B80307" w:rsidRPr="00CB2FBF" w:rsidRDefault="00B80307" w:rsidP="00286071">
      <w:pPr>
        <w:pStyle w:val="NoSpacing"/>
        <w:spacing w:line="360" w:lineRule="auto"/>
        <w:jc w:val="both"/>
      </w:pPr>
      <w:r w:rsidRPr="00CB2FBF">
        <w:lastRenderedPageBreak/>
        <w:t xml:space="preserve">These research findings form the foundation for the acceptance or rejection of the Null hypothesis, aiding in a bettered understanding of trust’s dynamics and to the reveal </w:t>
      </w:r>
      <w:r w:rsidR="00EA3CB7">
        <w:t xml:space="preserve">affects of </w:t>
      </w:r>
      <w:r w:rsidRPr="00CB2FBF">
        <w:t>the relation.</w:t>
      </w:r>
      <w:r w:rsidR="007E7592">
        <w:t xml:space="preserve"> </w:t>
      </w:r>
      <w:r w:rsidRPr="00CB2FBF">
        <w:t>A solid understanding of the specific cohorts is necessary to make distinctions and claims about the process in general.</w:t>
      </w:r>
    </w:p>
    <w:p w:rsidR="00B80307" w:rsidRPr="00A26614" w:rsidRDefault="001C53D9" w:rsidP="001C53D9">
      <w:pPr>
        <w:pStyle w:val="Vin2"/>
      </w:pPr>
      <w:r>
        <w:t xml:space="preserve"> </w:t>
      </w:r>
      <w:bookmarkStart w:id="13" w:name="_Toc340568893"/>
      <w:r w:rsidR="00B80307" w:rsidRPr="00A26614">
        <w:t xml:space="preserve">Thesis </w:t>
      </w:r>
      <w:r w:rsidR="00A85D20" w:rsidRPr="00A26614">
        <w:t>s</w:t>
      </w:r>
      <w:r w:rsidR="00B80307" w:rsidRPr="00A26614">
        <w:t>tructure</w:t>
      </w:r>
      <w:bookmarkEnd w:id="13"/>
    </w:p>
    <w:p w:rsidR="00B80307" w:rsidRPr="00CB2FBF" w:rsidRDefault="00B80307" w:rsidP="00286071">
      <w:pPr>
        <w:pStyle w:val="NoSpacing"/>
        <w:spacing w:line="360" w:lineRule="auto"/>
        <w:jc w:val="both"/>
      </w:pPr>
      <w:r w:rsidRPr="00CB2FBF">
        <w:t>In chapter 2, the theoretical background and literature on relevant variable factors such as; the principal agent relation, financial knowledge, pension knowledge, reputation, trust and risk are discussed. In order to provide a good understanding of their individual importance and dynamics, in addition to setting forth what the basis for the stated hypothesis is. The variables are assessed in relation to their role in the process of decision making and the influence on it they have. The 3</w:t>
      </w:r>
      <w:r w:rsidRPr="00CB2FBF">
        <w:rPr>
          <w:vertAlign w:val="superscript"/>
        </w:rPr>
        <w:t>rd</w:t>
      </w:r>
      <w:r w:rsidRPr="00CB2FBF">
        <w:t xml:space="preserve"> Chapter continues with a methodology assessment, to explain how and why results were collected. Before a preliminary analysis of the survey population, stipulates its demographic make-up and cohesion. Chapter 4 is dedicated to a full regression analysis of the survey data and hypothesis testing, which form the basis for the conclusions of this thesis’ outcomes. Chapter 5 discusses the results and puts them into context as much possible, it also reviews the thesis process and methods. In Chapter 6 of this thesis the final conclusion will be drawn before it is completed with some recommendations regarding further research and policy.</w:t>
      </w: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pPr>
    </w:p>
    <w:p w:rsidR="00B80307" w:rsidRPr="00CB2FBF" w:rsidRDefault="00B80307" w:rsidP="00286071">
      <w:pPr>
        <w:pStyle w:val="NoSpacing"/>
        <w:spacing w:line="360" w:lineRule="auto"/>
        <w:jc w:val="both"/>
      </w:pPr>
    </w:p>
    <w:p w:rsidR="00B80307" w:rsidRPr="00CB2FBF" w:rsidRDefault="00B80307" w:rsidP="00B80307">
      <w:pPr>
        <w:pStyle w:val="NoSpacing"/>
        <w:spacing w:line="360" w:lineRule="auto"/>
      </w:pPr>
    </w:p>
    <w:p w:rsidR="00B80307" w:rsidRPr="00CB2FBF" w:rsidRDefault="00B80307" w:rsidP="00B80307">
      <w:pPr>
        <w:pStyle w:val="NoSpacing"/>
        <w:spacing w:line="360" w:lineRule="auto"/>
      </w:pPr>
    </w:p>
    <w:p w:rsidR="00B80307" w:rsidRPr="00CB2FBF" w:rsidRDefault="00B80307" w:rsidP="00B80307">
      <w:pPr>
        <w:pStyle w:val="NoSpacing"/>
        <w:spacing w:line="360" w:lineRule="auto"/>
      </w:pPr>
    </w:p>
    <w:p w:rsidR="009D5425" w:rsidRDefault="009D5425">
      <w:r>
        <w:br w:type="page"/>
      </w:r>
    </w:p>
    <w:p w:rsidR="00EF36AF" w:rsidRPr="002059A9" w:rsidRDefault="00EF36AF" w:rsidP="002059A9">
      <w:pPr>
        <w:pStyle w:val="VIN1"/>
      </w:pPr>
      <w:bookmarkStart w:id="14" w:name="_Toc340568894"/>
      <w:r w:rsidRPr="002059A9">
        <w:lastRenderedPageBreak/>
        <w:t>Chapter 2: Theoretical Background</w:t>
      </w:r>
      <w:bookmarkEnd w:id="14"/>
      <w:r w:rsidRPr="002059A9">
        <w:t xml:space="preserve"> </w:t>
      </w:r>
    </w:p>
    <w:p w:rsidR="00EF36AF" w:rsidRPr="008A6C20" w:rsidRDefault="002059A9" w:rsidP="002059A9">
      <w:pPr>
        <w:pStyle w:val="Vin2"/>
        <w:numPr>
          <w:ilvl w:val="0"/>
          <w:numId w:val="0"/>
        </w:numPr>
      </w:pPr>
      <w:bookmarkStart w:id="15" w:name="_Toc340568895"/>
      <w:r>
        <w:t>2.1</w:t>
      </w:r>
      <w:r w:rsidR="00EF36AF" w:rsidRPr="008A6C20">
        <w:t xml:space="preserve"> Introduction</w:t>
      </w:r>
      <w:bookmarkEnd w:id="15"/>
    </w:p>
    <w:p w:rsidR="00EF36AF" w:rsidRDefault="00EF36AF" w:rsidP="00286071">
      <w:pPr>
        <w:pStyle w:val="NoSpacing"/>
        <w:spacing w:line="360" w:lineRule="auto"/>
        <w:jc w:val="both"/>
      </w:pPr>
      <w:r>
        <w:t xml:space="preserve">Having established the research subject and specified the research questions and hypothesis of this thesis. </w:t>
      </w:r>
      <w:r w:rsidRPr="003170A3">
        <w:t>The pu</w:t>
      </w:r>
      <w:r>
        <w:t>rpose of this chapter</w:t>
      </w:r>
      <w:r w:rsidRPr="003170A3">
        <w:t xml:space="preserve"> is to introduce </w:t>
      </w:r>
      <w:r>
        <w:t>and analyze an array of aspects and factors, conce</w:t>
      </w:r>
      <w:r w:rsidRPr="003170A3">
        <w:t>r</w:t>
      </w:r>
      <w:r>
        <w:t>n</w:t>
      </w:r>
      <w:r w:rsidRPr="003170A3">
        <w:t>ing the</w:t>
      </w:r>
      <w:r>
        <w:t xml:space="preserve"> topic. </w:t>
      </w:r>
    </w:p>
    <w:p w:rsidR="00EF36AF" w:rsidRDefault="00EF36AF" w:rsidP="00286071">
      <w:pPr>
        <w:pStyle w:val="NoSpacing"/>
        <w:spacing w:line="360" w:lineRule="auto"/>
        <w:jc w:val="both"/>
      </w:pPr>
      <w:r>
        <w:t>A correct and comprehensive understanding of all the factors addressed in this chapter, is deemed instrumental. As it helps establish a clear overview on the (cross) relations between the important factors, forming the basis for the coming chapters.</w:t>
      </w:r>
    </w:p>
    <w:p w:rsidR="00EF36AF" w:rsidRDefault="00EF36AF" w:rsidP="00286071">
      <w:pPr>
        <w:pStyle w:val="NoSpacing"/>
        <w:spacing w:line="360" w:lineRule="auto"/>
        <w:jc w:val="both"/>
      </w:pPr>
      <w:r>
        <w:t>Factors, relevant and fundamental to this thesis are given an in depth analysis. Using previous research and literature, their characteristics and dynamics are explained. It is important to have a transparent and ordered view of previous studies as they influence our perception.</w:t>
      </w:r>
    </w:p>
    <w:p w:rsidR="00EF36AF" w:rsidRDefault="00EF36AF" w:rsidP="00286071">
      <w:pPr>
        <w:pStyle w:val="NoSpacing"/>
        <w:spacing w:line="360" w:lineRule="auto"/>
        <w:jc w:val="both"/>
      </w:pPr>
      <w:r>
        <w:t>The chapter will start with the setting and dynamics of the relationship between the stakeholders i.e. plan members and the pension fund. Before continuing to the two most important aspects of this research project, risk and trust. These need to be understood independently before their interaction can become subject to examination, in the later stages of this paper. Once having discussed the two mainstays, the focus is redirected to the role of supportive factors including knowledge and reputation.</w:t>
      </w:r>
    </w:p>
    <w:p w:rsidR="00EF36AF" w:rsidRPr="008A6C20" w:rsidRDefault="002059A9" w:rsidP="002059A9">
      <w:pPr>
        <w:pStyle w:val="Vin2"/>
        <w:numPr>
          <w:ilvl w:val="0"/>
          <w:numId w:val="0"/>
        </w:numPr>
      </w:pPr>
      <w:bookmarkStart w:id="16" w:name="_Toc340568896"/>
      <w:r>
        <w:t>2.2</w:t>
      </w:r>
      <w:r w:rsidR="00EF36AF" w:rsidRPr="008A6C20">
        <w:t xml:space="preserve"> Principal-agent relation</w:t>
      </w:r>
      <w:bookmarkEnd w:id="16"/>
    </w:p>
    <w:p w:rsidR="00EF36AF" w:rsidRPr="00907D50" w:rsidRDefault="00EF36AF" w:rsidP="00907D50">
      <w:pPr>
        <w:pStyle w:val="VIn33"/>
      </w:pPr>
      <w:bookmarkStart w:id="17" w:name="_Toc340568897"/>
      <w:r w:rsidRPr="00907D50">
        <w:t>2.2.1 Introduction</w:t>
      </w:r>
      <w:bookmarkEnd w:id="17"/>
    </w:p>
    <w:p w:rsidR="00EF36AF" w:rsidRPr="002778BF" w:rsidRDefault="00EF36AF" w:rsidP="00286071">
      <w:pPr>
        <w:pStyle w:val="NoSpacing"/>
        <w:spacing w:line="360" w:lineRule="auto"/>
        <w:jc w:val="both"/>
      </w:pPr>
      <w:r w:rsidRPr="002778BF">
        <w:t xml:space="preserve">Before attention is directed towards the central elements in this research, of trust and risk. It is paramount to start with a discussion of the setting within which all phenomena interact, the second pillar pension market itself. The market’s structure is interesting as it commands the relations between the parties involved. </w:t>
      </w:r>
    </w:p>
    <w:p w:rsidR="00EF36AF" w:rsidRPr="002778BF" w:rsidRDefault="00EF36AF" w:rsidP="00286071">
      <w:pPr>
        <w:pStyle w:val="NoSpacing"/>
        <w:spacing w:line="360" w:lineRule="auto"/>
        <w:jc w:val="both"/>
      </w:pPr>
      <w:r w:rsidRPr="002778BF">
        <w:t>The market is the domain of the relationship; between the plan member, the employer and the pension fund. The fundamental structure has great influence on the dynamics of their relations, as it allows and restricts movements. In a similar perspective as that the path of price and quantity, is defined by the relation of supply and demand.</w:t>
      </w:r>
    </w:p>
    <w:p w:rsidR="00EF36AF" w:rsidRPr="002778BF" w:rsidRDefault="00EF36AF" w:rsidP="00286071">
      <w:pPr>
        <w:pStyle w:val="NoSpacing"/>
        <w:spacing w:line="360" w:lineRule="auto"/>
        <w:jc w:val="both"/>
      </w:pPr>
      <w:r w:rsidRPr="002778BF">
        <w:t>Therefore,  the analysis of the economic factors and variables is preceded, with an examination of the relationship between the second pillar pension plan member, the plan member’s employer and the pension fund. Like many financial service markets, the structure of the relationship can be appropriately defined as a principal-agent relationship.</w:t>
      </w:r>
    </w:p>
    <w:p w:rsidR="00EF36AF" w:rsidRPr="002778BF" w:rsidRDefault="00EF36AF" w:rsidP="00286071">
      <w:pPr>
        <w:pStyle w:val="NoSpacing"/>
        <w:spacing w:line="360" w:lineRule="auto"/>
        <w:jc w:val="both"/>
      </w:pPr>
      <w:r w:rsidRPr="002778BF">
        <w:t>In the following paragraph the dynamics of the principal-agent theory are explained and the particulars of the second pillar market are reviewed and discussed.</w:t>
      </w:r>
    </w:p>
    <w:p w:rsidR="00EF36AF" w:rsidRPr="00907D50" w:rsidRDefault="00EF36AF" w:rsidP="00907D50">
      <w:pPr>
        <w:pStyle w:val="VIn33"/>
      </w:pPr>
      <w:bookmarkStart w:id="18" w:name="_Toc340568898"/>
      <w:r w:rsidRPr="00907D50">
        <w:lastRenderedPageBreak/>
        <w:t>2.2.2 Market interaction</w:t>
      </w:r>
      <w:bookmarkEnd w:id="18"/>
    </w:p>
    <w:p w:rsidR="00EF36AF" w:rsidRDefault="00EF36AF" w:rsidP="00286071">
      <w:pPr>
        <w:pStyle w:val="NoSpacing"/>
        <w:spacing w:line="360" w:lineRule="auto"/>
        <w:jc w:val="both"/>
      </w:pPr>
      <w:r>
        <w:t xml:space="preserve">The principal-agent framework is a </w:t>
      </w:r>
      <w:r w:rsidR="00E714FF">
        <w:t>well-known</w:t>
      </w:r>
      <w:r>
        <w:t xml:space="preserve"> economic theory. It refers to the problems that can arise between two parties, due to an asymmetric relationship.  The theory states that problems can occur, when one party (the principal), hires a second party (the agent) to perform a task for the principal. The agent is expected to act in the principal’s best interest. However, due to the influence of </w:t>
      </w:r>
      <w:r w:rsidR="00E714FF">
        <w:t>self-interest</w:t>
      </w:r>
      <w:r>
        <w:t xml:space="preserve"> and moral-hazard, the agent might choose not to do so. The principal-agent framework is seen in many different economic situations.</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t xml:space="preserve">In the second pillar pension fund sector, the relations between parties involved show close similarities to the classic principal-agent framework. </w:t>
      </w:r>
    </w:p>
    <w:p w:rsidR="00EF36AF" w:rsidRDefault="00EF36AF" w:rsidP="00286071">
      <w:pPr>
        <w:pStyle w:val="NoSpacing"/>
        <w:spacing w:line="360" w:lineRule="auto"/>
        <w:jc w:val="both"/>
      </w:pPr>
      <w:r>
        <w:t xml:space="preserve">First, let’s start with looking at the principal side of the relationship. We can identify the plan members as the principal party, who employ an agent to manage their pension savings. Here the pension fund is the obvious agent. The plan member provides the pension fund with its pension savings, a risk profile and the instruction to take good care of its money and assure that upon retirement the pension savings will have been accumulated, to the expected funds necessary to life comfortably in retirement. </w:t>
      </w:r>
    </w:p>
    <w:p w:rsidR="00EF36AF" w:rsidRDefault="00EF36AF" w:rsidP="00286071">
      <w:pPr>
        <w:pStyle w:val="NoSpacing"/>
        <w:spacing w:line="360" w:lineRule="auto"/>
        <w:jc w:val="both"/>
      </w:pPr>
      <w:r>
        <w:t xml:space="preserve">The pension fund as the agent party performs a service in request of the principal. It receives the mandate to invest and care for the principal’s funds, under the terms and conditions set with the principal. This implies acting in accordance to the plan member’s risk profile. In return for the services performed it is rewarded by the principal. </w:t>
      </w:r>
    </w:p>
    <w:p w:rsidR="00EF36AF" w:rsidRDefault="00EF36AF" w:rsidP="00286071">
      <w:pPr>
        <w:pStyle w:val="NoSpacing"/>
        <w:spacing w:line="360" w:lineRule="auto"/>
        <w:jc w:val="both"/>
      </w:pPr>
      <w:r>
        <w:t xml:space="preserve">However, the second pillar market sets itself apart from the standard principal-agent relations due to a major difference. In the standard situation that we are all familiar with, think of your relation to your bank or insurer, the principal chooses whom to employ as his agent. After all, the principal has to be assured that the agent indeed perform in accordance to the principal’s best interest. In these relations trust plays a major role, you don’t give your money to someone you don’t trust to take good care of it. This is exactly where the second pillar pension market is different. </w:t>
      </w:r>
    </w:p>
    <w:p w:rsidR="00EF36AF" w:rsidRDefault="00EF36AF" w:rsidP="00286071">
      <w:pPr>
        <w:pStyle w:val="NoSpacing"/>
        <w:spacing w:line="360" w:lineRule="auto"/>
        <w:jc w:val="both"/>
      </w:pPr>
      <w:r>
        <w:t xml:space="preserve">In the second pillar pension market the employer decides on the agent, contrary to a normal market situation. The Dutch system requires employees to participate in the pension plan offered by their employer, introducing a third stakeholder to the equation. </w:t>
      </w:r>
    </w:p>
    <w:p w:rsidR="00EF36AF" w:rsidRDefault="00EF36AF" w:rsidP="00286071">
      <w:pPr>
        <w:pStyle w:val="NoSpacing"/>
        <w:spacing w:line="360" w:lineRule="auto"/>
        <w:jc w:val="both"/>
      </w:pPr>
      <w:r>
        <w:t>The result is a triangular relationship, where the agent has little to no choice over the agent they are partnered with (van Rooij et al, 2007). The details of the effect and transformation this has on the plan member trust are mentioned in chapter 1 and will be revisited later on in this chapter.</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rsidRPr="001450D6">
        <w:lastRenderedPageBreak/>
        <w:t>The</w:t>
      </w:r>
      <w:r>
        <w:t xml:space="preserve"> problematic situation at the basis of this research project, can be stripped back to an symmetric informational relationship. Where the principal finds itself in a disadvantageous position, as both the plan member and the employer are not as fully informed about the agent’s activities. </w:t>
      </w:r>
    </w:p>
    <w:p w:rsidR="00EF36AF" w:rsidRDefault="00EF36AF" w:rsidP="00286071">
      <w:pPr>
        <w:pStyle w:val="NoSpacing"/>
        <w:spacing w:line="360" w:lineRule="auto"/>
        <w:jc w:val="both"/>
      </w:pPr>
      <w:r>
        <w:t xml:space="preserve">This information asymmetry in the relation has allowed the pension fund to inflict moral hazard, by not acting to the complete interest of the plan members. The result is a very undesirable situation, which is even more detrimental than the common principal agent problem. </w:t>
      </w:r>
    </w:p>
    <w:p w:rsidR="00EF36AF" w:rsidRDefault="00EF36AF" w:rsidP="00286071">
      <w:pPr>
        <w:pStyle w:val="NoSpacing"/>
        <w:spacing w:line="360" w:lineRule="auto"/>
        <w:jc w:val="both"/>
      </w:pPr>
      <w:r>
        <w:t xml:space="preserve">In the regular principal-agent relationship, the principal can end the relation and switch agent in the case of a discerning degree of asymmetry and decrease of trust. In the second pillar market this is unfeasible. </w:t>
      </w:r>
    </w:p>
    <w:p w:rsidR="00EF36AF" w:rsidRDefault="00EF36AF" w:rsidP="00286071">
      <w:pPr>
        <w:pStyle w:val="NoSpacing"/>
        <w:spacing w:line="360" w:lineRule="auto"/>
        <w:jc w:val="both"/>
      </w:pPr>
      <w:r>
        <w:t xml:space="preserve">This involuntary partnership does not only skew the informational relation but also the power relation, both to the disadvantage of the principal. The pension fund has an unprecedented agent position and can be rather secure of its principal’s account. This means it doesn’t have to be too concerned with the trust level of the principal. Not as concerned as the agent’s in “open” principal-agent relations. </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t xml:space="preserve">According to </w:t>
      </w:r>
      <w:r w:rsidRPr="00945748">
        <w:t>Laffont &amp; Martimont (2001), Shavell (1979)</w:t>
      </w:r>
      <w:r>
        <w:t xml:space="preserve"> and</w:t>
      </w:r>
      <w:r w:rsidRPr="00945748">
        <w:t xml:space="preserve"> Harris &amp; Raviv (1979)</w:t>
      </w:r>
      <w:r>
        <w:t xml:space="preserve">, the dynamics of the principal-agent relation require appropriate incentives to prevent moral hazard on the part of the agent. The studies differ in opinion on the best method and degree of incentive, given the circumstances and relationship. </w:t>
      </w:r>
    </w:p>
    <w:p w:rsidR="00EF36AF" w:rsidRDefault="00EF36AF" w:rsidP="00286071">
      <w:pPr>
        <w:pStyle w:val="NoSpacing"/>
        <w:spacing w:line="360" w:lineRule="auto"/>
        <w:ind w:right="-46"/>
        <w:jc w:val="both"/>
      </w:pPr>
      <w:r>
        <w:t xml:space="preserve">The theory thus suggests that observed misconduct cannot simply be dismissed as accidental. The potential scale of the issue in the second pillar market enforces the likelihood of such a claim. The term misconduct is not to be mistaken for the recent problems of underfunding. Recent turmoil </w:t>
      </w:r>
      <w:r w:rsidRPr="00772EB0">
        <w:t xml:space="preserve">concerning the underfunding is not directly related to this paper’s focus. According to Gravelande (2011), the underfunding is the result of an unfortunate series of events, of which mismanagement of investments </w:t>
      </w:r>
      <w:r>
        <w:t>is only a part.</w:t>
      </w:r>
    </w:p>
    <w:p w:rsidR="00EF36AF" w:rsidRDefault="00EF36AF" w:rsidP="00286071">
      <w:pPr>
        <w:pStyle w:val="NoSpacing"/>
        <w:spacing w:line="360" w:lineRule="auto"/>
        <w:jc w:val="both"/>
      </w:pPr>
      <w:r>
        <w:t>The observation of mis-management, meaning the pension fund acts in discordance to the plan members’ interests and preference, can thus most likely be explained by the occurrence of moral hazard. In this thesis this entails second pillar pension funds engaging in higher levels of (investment) risk than adhere to plan member risk attitudes.</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t xml:space="preserve">Thus applying the theoretical framework of the principal-agent theory to the relations in the second pillar pension market, a number of deviations are exposed. These deviations make the reality of this relation more complicated than theory suggests. For clarity the specific dimensions </w:t>
      </w:r>
      <w:r w:rsidR="00BF1FDA">
        <w:t>that illustrate the market are parted and revisited as follows</w:t>
      </w:r>
      <w:r>
        <w:t>:</w:t>
      </w:r>
    </w:p>
    <w:p w:rsidR="00EF36AF" w:rsidRDefault="00EF36AF" w:rsidP="00286071">
      <w:pPr>
        <w:pStyle w:val="NoSpacing"/>
        <w:spacing w:line="360" w:lineRule="auto"/>
        <w:jc w:val="both"/>
      </w:pPr>
      <w:r>
        <w:lastRenderedPageBreak/>
        <w:t xml:space="preserve">Obligatory participation; is the most fundamental difference in the relation of the second pillar pension plan to employees. The employees have no choice and are by law forced to participate. This dimension creates a principal-agent situation where the principal has no realistic alternatives to the agent’s services. </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t>Skewed power relation; the first market characteristic gives birth to the second deviation. The common informational asymmetry is joined by a power relation that is now also skewed.  Enhanced by the fact that the plan members can exert only little influence on the agent. There are certain participation committee’s that act as control bodies. However, in reality the individual plan member is far removed from the pension plan. Influencing the agent appears to be very difficult.</w:t>
      </w:r>
    </w:p>
    <w:p w:rsidR="00EF36AF" w:rsidRDefault="00EF36AF" w:rsidP="00286071">
      <w:pPr>
        <w:pStyle w:val="NoSpacing"/>
        <w:spacing w:line="360" w:lineRule="auto"/>
        <w:jc w:val="both"/>
      </w:pPr>
    </w:p>
    <w:p w:rsidR="00B05B60" w:rsidRDefault="00EF36AF" w:rsidP="00286071">
      <w:pPr>
        <w:pStyle w:val="NoSpacing"/>
        <w:spacing w:line="360" w:lineRule="auto"/>
        <w:jc w:val="both"/>
      </w:pPr>
      <w:r w:rsidRPr="00BD3697">
        <w:t>T</w:t>
      </w:r>
      <w:r>
        <w:t>hird stakeholder; t</w:t>
      </w:r>
      <w:r w:rsidRPr="00BD3697">
        <w:t xml:space="preserve">he third distinction concerns </w:t>
      </w:r>
      <w:r>
        <w:t>the role of the employer</w:t>
      </w:r>
      <w:r w:rsidRPr="00BD3697">
        <w:t xml:space="preserve">. Some may argue that there are in fact two principals in this situation. There is not only the </w:t>
      </w:r>
      <w:r>
        <w:t xml:space="preserve">primairy </w:t>
      </w:r>
      <w:r w:rsidRPr="00BD3697">
        <w:t>relati</w:t>
      </w:r>
      <w:r>
        <w:t>on between the plan membe</w:t>
      </w:r>
      <w:r w:rsidRPr="00BD3697">
        <w:t>r and the pension fund</w:t>
      </w:r>
      <w:r>
        <w:t xml:space="preserve">. There is </w:t>
      </w:r>
      <w:r w:rsidRPr="00BD3697">
        <w:t xml:space="preserve">also </w:t>
      </w:r>
      <w:r>
        <w:t>the relation between these two</w:t>
      </w:r>
      <w:r w:rsidRPr="00BD3697">
        <w:t xml:space="preserve"> parties and the employer. </w:t>
      </w:r>
      <w:r>
        <w:t xml:space="preserve">The employer is an influential stakeholder as it chooses the agent. Additionally In the </w:t>
      </w:r>
      <w:r w:rsidR="00B05B60">
        <w:t>l</w:t>
      </w:r>
      <w:r>
        <w:t>abor contracts the share of pension saving to be fulfilled from the employer and employee side</w:t>
      </w:r>
      <w:r w:rsidRPr="00D67D76">
        <w:t xml:space="preserve"> </w:t>
      </w:r>
      <w:r>
        <w:t xml:space="preserve">is </w:t>
      </w:r>
      <w:r w:rsidR="00B05B60">
        <w:t>s</w:t>
      </w:r>
      <w:r>
        <w:t>tipulated</w:t>
      </w:r>
      <w:r w:rsidRPr="00BD3697">
        <w:t xml:space="preserve">. </w:t>
      </w:r>
      <w:r>
        <w:t>These dynamics put the three parties in</w:t>
      </w:r>
      <w:r w:rsidRPr="00BD3697">
        <w:t xml:space="preserve"> a triangular relation.</w:t>
      </w:r>
      <w:r>
        <w:t xml:space="preserve"> With the plan member sees its power in its role as principal diminished.</w:t>
      </w:r>
    </w:p>
    <w:p w:rsidR="00EF36AF" w:rsidRDefault="00EF36AF" w:rsidP="00286071">
      <w:pPr>
        <w:pStyle w:val="NoSpacing"/>
        <w:spacing w:line="360" w:lineRule="auto"/>
        <w:jc w:val="both"/>
      </w:pPr>
      <w:r>
        <w:t xml:space="preserve"> </w:t>
      </w:r>
    </w:p>
    <w:p w:rsidR="00EF36AF" w:rsidRDefault="00EF36AF" w:rsidP="00286071">
      <w:pPr>
        <w:pStyle w:val="NoSpacing"/>
        <w:spacing w:line="360" w:lineRule="auto"/>
        <w:jc w:val="both"/>
      </w:pPr>
      <w:r>
        <w:t>The combination of these three distinctions creates the unique dimensions of the second pillar pensions system. The principal-agent theory offers an rudimentary framework in which to analyse the situation. But ultimately the reality is far more complicated and the explanation of the abovementioned distinctions is necessary keep in mind for the continuation of this chapter.</w:t>
      </w:r>
    </w:p>
    <w:p w:rsidR="00EF36AF" w:rsidRDefault="00EF36AF" w:rsidP="00286071">
      <w:pPr>
        <w:pStyle w:val="NoSpacing"/>
        <w:spacing w:line="360" w:lineRule="auto"/>
        <w:jc w:val="both"/>
      </w:pPr>
    </w:p>
    <w:p w:rsidR="00EF36AF" w:rsidRPr="00907D50" w:rsidRDefault="00EF36AF" w:rsidP="00907D50">
      <w:pPr>
        <w:pStyle w:val="VIn33"/>
      </w:pPr>
      <w:bookmarkStart w:id="19" w:name="_Toc340568899"/>
      <w:r w:rsidRPr="00907D50">
        <w:t>2.2.3 Conclusion</w:t>
      </w:r>
      <w:bookmarkEnd w:id="19"/>
      <w:r w:rsidRPr="00907D50">
        <w:t xml:space="preserve"> </w:t>
      </w:r>
    </w:p>
    <w:p w:rsidR="00EF36AF" w:rsidRDefault="00EF36AF" w:rsidP="00286071">
      <w:pPr>
        <w:pStyle w:val="NoSpacing"/>
        <w:spacing w:line="360" w:lineRule="auto"/>
        <w:jc w:val="both"/>
      </w:pPr>
      <w:r>
        <w:t>The result of this brief analysis of the second pillar pension fund situation, offers an insight into the unique relational interactions between the involved parties. The basic understanding of the interactions and relations is key for the explanation of certain features in latter stages of this research. As the effects the market’s structure will have on the central variables is discussed in more detail later on.</w:t>
      </w:r>
    </w:p>
    <w:p w:rsidR="00EF36AF" w:rsidRDefault="00EF36AF" w:rsidP="00286071">
      <w:pPr>
        <w:pStyle w:val="NoSpacing"/>
        <w:spacing w:line="360" w:lineRule="auto"/>
        <w:jc w:val="both"/>
      </w:pPr>
      <w:r>
        <w:t xml:space="preserve">The breakdown of the market’s structure reveals where the suspicion of pension fund mismanagement originates from. Graveland argues that the failure of the pensionfunds in recent times is mainly due to circumstancial market events (financial crisis) and only partly due to poor conduct on behalf of the pension funds. </w:t>
      </w:r>
    </w:p>
    <w:p w:rsidR="00EF36AF" w:rsidRDefault="00EF36AF" w:rsidP="00286071">
      <w:pPr>
        <w:pStyle w:val="NoSpacing"/>
        <w:spacing w:line="360" w:lineRule="auto"/>
        <w:jc w:val="both"/>
      </w:pPr>
      <w:r>
        <w:lastRenderedPageBreak/>
        <w:t>This may well be true and indeed pension funds might not act intentionally in contrary to the principals’ wishes. However, there is still no concise explanation for the expected disparity between the plan members’ risk appetite and the observed fund behavior, such mistakes aren’t supposed to be structural.</w:t>
      </w:r>
    </w:p>
    <w:p w:rsidR="00EF36AF" w:rsidRDefault="00EF36AF" w:rsidP="00286071">
      <w:pPr>
        <w:pStyle w:val="NoSpacing"/>
        <w:spacing w:line="360" w:lineRule="auto"/>
        <w:jc w:val="both"/>
      </w:pPr>
    </w:p>
    <w:p w:rsidR="00EF36AF" w:rsidRPr="008A6C20" w:rsidRDefault="00815830" w:rsidP="00815830">
      <w:pPr>
        <w:pStyle w:val="Vin2"/>
        <w:numPr>
          <w:ilvl w:val="0"/>
          <w:numId w:val="0"/>
        </w:numPr>
      </w:pPr>
      <w:bookmarkStart w:id="20" w:name="_Toc340568900"/>
      <w:r>
        <w:t>2.3</w:t>
      </w:r>
      <w:r w:rsidR="00EF36AF" w:rsidRPr="008A6C20">
        <w:t xml:space="preserve"> Risk</w:t>
      </w:r>
      <w:bookmarkEnd w:id="20"/>
      <w:r w:rsidR="00EF36AF" w:rsidRPr="008A6C20">
        <w:t xml:space="preserve"> </w:t>
      </w:r>
    </w:p>
    <w:p w:rsidR="00EF36AF" w:rsidRPr="00907D50" w:rsidRDefault="00EF36AF" w:rsidP="00907D50">
      <w:pPr>
        <w:pStyle w:val="VIn33"/>
      </w:pPr>
      <w:bookmarkStart w:id="21" w:name="_Toc340568901"/>
      <w:r w:rsidRPr="00907D50">
        <w:t>2.3.1. Introduction</w:t>
      </w:r>
      <w:bookmarkEnd w:id="21"/>
    </w:p>
    <w:p w:rsidR="00EF36AF" w:rsidRPr="00E70667" w:rsidRDefault="00EF36AF" w:rsidP="00286071">
      <w:pPr>
        <w:pStyle w:val="NoSpacing"/>
        <w:spacing w:line="360" w:lineRule="auto"/>
        <w:jc w:val="both"/>
      </w:pPr>
      <w:r>
        <w:t xml:space="preserve">The analysis of the market and principal agent relation, </w:t>
      </w:r>
      <w:r w:rsidRPr="00E70667">
        <w:t xml:space="preserve">established the dynamics of the relationship between the plan and its members. The </w:t>
      </w:r>
      <w:r>
        <w:t xml:space="preserve">attention now turns </w:t>
      </w:r>
      <w:r w:rsidRPr="00E70667">
        <w:t xml:space="preserve">to understanding </w:t>
      </w:r>
      <w:r>
        <w:t>one of the two</w:t>
      </w:r>
      <w:r w:rsidRPr="00E70667">
        <w:t xml:space="preserve"> central </w:t>
      </w:r>
      <w:r>
        <w:t>factor</w:t>
      </w:r>
      <w:r w:rsidRPr="00E70667">
        <w:t>s in this paper, risk.</w:t>
      </w:r>
    </w:p>
    <w:p w:rsidR="00EF36AF" w:rsidRPr="00E70667" w:rsidRDefault="00EF36AF" w:rsidP="00286071">
      <w:pPr>
        <w:pStyle w:val="NoSpacing"/>
        <w:spacing w:line="360" w:lineRule="auto"/>
        <w:jc w:val="both"/>
      </w:pPr>
      <w:r w:rsidRPr="00E70667">
        <w:t xml:space="preserve">The </w:t>
      </w:r>
      <w:r>
        <w:t>Oxford English D</w:t>
      </w:r>
      <w:r w:rsidRPr="00E70667">
        <w:t>ictionary defines risk as the “</w:t>
      </w:r>
      <w:r w:rsidRPr="00E70667">
        <w:rPr>
          <w:i/>
        </w:rPr>
        <w:t>(Exposure to) the possibility of loss, injury, or other adverse or unwelcome circumstance; a chance or situation involving such a possibility”.</w:t>
      </w:r>
      <w:r w:rsidRPr="00E70667">
        <w:t xml:space="preserve"> Risk, by definition seems an almost all encompassing life concept. This quality makes it </w:t>
      </w:r>
      <w:r>
        <w:t>v</w:t>
      </w:r>
      <w:r w:rsidRPr="00E70667">
        <w:t>ery versatile and applicable to a wide range of situation</w:t>
      </w:r>
      <w:r>
        <w:t>s</w:t>
      </w:r>
      <w:r w:rsidRPr="00E70667">
        <w:t xml:space="preserve">. Properly defining what </w:t>
      </w:r>
      <w:r>
        <w:t>situation</w:t>
      </w:r>
      <w:r w:rsidRPr="00E70667">
        <w:t xml:space="preserve"> and applicat</w:t>
      </w:r>
      <w:r>
        <w:t>i</w:t>
      </w:r>
      <w:r w:rsidRPr="00E70667">
        <w:t xml:space="preserve">on risk is positioned in is therefore crucial. </w:t>
      </w:r>
    </w:p>
    <w:p w:rsidR="00EF36AF" w:rsidRPr="00E70667" w:rsidRDefault="00EF36AF" w:rsidP="00286071">
      <w:pPr>
        <w:pStyle w:val="NoSpacing"/>
        <w:spacing w:line="360" w:lineRule="auto"/>
        <w:jc w:val="both"/>
      </w:pPr>
      <w:r w:rsidRPr="00E70667">
        <w:t>In th</w:t>
      </w:r>
      <w:r>
        <w:t>e</w:t>
      </w:r>
      <w:r w:rsidRPr="00E70667">
        <w:t xml:space="preserve"> </w:t>
      </w:r>
      <w:r>
        <w:t>discrepancy of the second pillar market, risk plays two roles</w:t>
      </w:r>
      <w:r w:rsidRPr="00E70667">
        <w:t>.</w:t>
      </w:r>
      <w:r>
        <w:t xml:space="preserve"> </w:t>
      </w:r>
      <w:r w:rsidRPr="00E70667">
        <w:t xml:space="preserve">The </w:t>
      </w:r>
      <w:r>
        <w:t>first</w:t>
      </w:r>
      <w:r w:rsidRPr="00E70667">
        <w:t xml:space="preserve"> is in the risk </w:t>
      </w:r>
      <w:r>
        <w:t>take</w:t>
      </w:r>
      <w:r w:rsidRPr="00E70667">
        <w:t xml:space="preserve">n by the pension fund through investment of pension savings. </w:t>
      </w:r>
    </w:p>
    <w:p w:rsidR="00EF36AF" w:rsidRPr="00E70667" w:rsidRDefault="00EF36AF" w:rsidP="00286071">
      <w:pPr>
        <w:pStyle w:val="NoSpacing"/>
        <w:spacing w:line="360" w:lineRule="auto"/>
        <w:jc w:val="both"/>
      </w:pPr>
      <w:r w:rsidRPr="00E70667">
        <w:t xml:space="preserve">The second application, </w:t>
      </w:r>
      <w:r>
        <w:t>which is the focus of this study, is the risk attitude</w:t>
      </w:r>
      <w:r w:rsidRPr="00E70667">
        <w:t xml:space="preserve"> of the pension fund’s plan members. In this </w:t>
      </w:r>
      <w:r>
        <w:t>section</w:t>
      </w:r>
      <w:r w:rsidRPr="00E70667">
        <w:t xml:space="preserve"> the properties and dynamics of risk appetite are analyzed</w:t>
      </w:r>
      <w:r>
        <w:t xml:space="preserve"> and measurement approaches identified</w:t>
      </w:r>
      <w:r w:rsidRPr="00E70667">
        <w:t>.</w:t>
      </w:r>
      <w:r>
        <w:t xml:space="preserve"> </w:t>
      </w:r>
      <w:r w:rsidRPr="00E70667">
        <w:t>The information and knowledge on risk appetite is necessary for the implementation and analysis of the plan member survey. More importantly, the answer to the research question largely lies in the analysis of expressed risk appetite</w:t>
      </w:r>
      <w:r>
        <w:t xml:space="preserve"> and its forming</w:t>
      </w:r>
      <w:r w:rsidRPr="00E70667">
        <w:t>.</w:t>
      </w:r>
    </w:p>
    <w:p w:rsidR="00EF36AF" w:rsidRDefault="00EF36AF" w:rsidP="00286071">
      <w:pPr>
        <w:pStyle w:val="NoSpacing"/>
        <w:spacing w:line="360" w:lineRule="auto"/>
        <w:jc w:val="both"/>
      </w:pPr>
    </w:p>
    <w:p w:rsidR="00EF36AF" w:rsidRPr="00907D50" w:rsidRDefault="00EF36AF" w:rsidP="00907D50">
      <w:pPr>
        <w:pStyle w:val="VIn33"/>
      </w:pPr>
      <w:bookmarkStart w:id="22" w:name="_Toc340568902"/>
      <w:r w:rsidRPr="00907D50">
        <w:t>2.3.2 Risk Attitude</w:t>
      </w:r>
      <w:bookmarkEnd w:id="22"/>
    </w:p>
    <w:p w:rsidR="00EF36AF" w:rsidRDefault="00EF36AF" w:rsidP="00286071">
      <w:pPr>
        <w:pStyle w:val="NoSpacing"/>
        <w:spacing w:line="360" w:lineRule="auto"/>
        <w:jc w:val="both"/>
      </w:pPr>
      <w:r w:rsidRPr="00E70667">
        <w:t xml:space="preserve">In this paper </w:t>
      </w:r>
      <w:r>
        <w:t>our focus is on the co</w:t>
      </w:r>
      <w:r w:rsidRPr="00E70667">
        <w:t>ncept o</w:t>
      </w:r>
      <w:r>
        <w:t>f risk attitude. In this instance,</w:t>
      </w:r>
      <w:r w:rsidRPr="00E70667">
        <w:t xml:space="preserve"> risk a</w:t>
      </w:r>
      <w:r>
        <w:t>ttitud</w:t>
      </w:r>
      <w:r w:rsidRPr="00E70667">
        <w:t xml:space="preserve">e </w:t>
      </w:r>
      <w:r>
        <w:t xml:space="preserve">refers to the particular second pillar </w:t>
      </w:r>
      <w:r w:rsidRPr="00E70667">
        <w:t xml:space="preserve">pension plan member’s desired degree of risk, taken with the investment of pension savings. It is a plain expression to indicate the preference for the level of risk of an investment. </w:t>
      </w:r>
      <w:r>
        <w:t>Risk att</w:t>
      </w:r>
      <w:r w:rsidRPr="00E70667">
        <w:t>it</w:t>
      </w:r>
      <w:r>
        <w:t xml:space="preserve">ude’s strict definition, describes a person’s attitude to uncertainty. It is often interchanged with risk appetite which strictly refers to the degree a person wants to engage in risk, there is no consensus on the entanglement of these terms. </w:t>
      </w:r>
    </w:p>
    <w:p w:rsidR="00EF36AF" w:rsidRDefault="00EF36AF" w:rsidP="00286071">
      <w:pPr>
        <w:pStyle w:val="NoSpacing"/>
        <w:spacing w:line="360" w:lineRule="auto"/>
        <w:jc w:val="both"/>
      </w:pPr>
      <w:r>
        <w:t>Risk att</w:t>
      </w:r>
      <w:r w:rsidRPr="00E70667">
        <w:t>it</w:t>
      </w:r>
      <w:r>
        <w:t xml:space="preserve">ude differs per individual and </w:t>
      </w:r>
      <w:r w:rsidRPr="00E70667">
        <w:t xml:space="preserve">is </w:t>
      </w:r>
      <w:r>
        <w:t>subject</w:t>
      </w:r>
      <w:r w:rsidRPr="00E70667">
        <w:t xml:space="preserve"> </w:t>
      </w:r>
      <w:r>
        <w:t>to</w:t>
      </w:r>
      <w:r w:rsidRPr="00E70667">
        <w:t xml:space="preserve"> a number of other factors, which wi</w:t>
      </w:r>
      <w:r>
        <w:t>ll be discussed in a later alinea, but crucially it is also subject to a person’s observations.</w:t>
      </w:r>
    </w:p>
    <w:p w:rsidR="004E496D" w:rsidRDefault="004E496D" w:rsidP="00286071">
      <w:pPr>
        <w:pStyle w:val="NoSpacing"/>
        <w:spacing w:line="360" w:lineRule="auto"/>
        <w:jc w:val="both"/>
      </w:pPr>
    </w:p>
    <w:p w:rsidR="00EF36AF" w:rsidRDefault="00EF36AF" w:rsidP="00286071">
      <w:pPr>
        <w:pStyle w:val="NoSpacing"/>
        <w:spacing w:line="360" w:lineRule="auto"/>
        <w:jc w:val="both"/>
      </w:pPr>
      <w:r w:rsidRPr="00E70667">
        <w:lastRenderedPageBreak/>
        <w:t>Gai &amp; Vause (2005)</w:t>
      </w:r>
      <w:r>
        <w:t xml:space="preserve"> </w:t>
      </w:r>
      <w:r w:rsidRPr="00E70667">
        <w:t>explain that risk appetite can change periodically with people observing and responding to the state of the economy (i.e. financial crisis)</w:t>
      </w:r>
      <w:r>
        <w:t xml:space="preserve"> </w:t>
      </w:r>
      <w:r w:rsidRPr="00E70667">
        <w:t>and mac</w:t>
      </w:r>
      <w:r>
        <w:t>ro-economic insecurity. Risk at</w:t>
      </w:r>
      <w:r w:rsidRPr="00E70667">
        <w:t>tit</w:t>
      </w:r>
      <w:r>
        <w:t>ud</w:t>
      </w:r>
      <w:r w:rsidRPr="00E70667">
        <w:t xml:space="preserve">e is thus a dynamic feature, subject to alteration. Danielson, Shin and Zigrand (2009) state the intuitive </w:t>
      </w:r>
      <w:r>
        <w:t xml:space="preserve">notion </w:t>
      </w:r>
      <w:r w:rsidRPr="00E70667">
        <w:t xml:space="preserve">that in times of economic downturn, a reduction in risk appetite is observed. They argue that risk appetite and </w:t>
      </w:r>
      <w:r>
        <w:t xml:space="preserve">investment </w:t>
      </w:r>
      <w:r w:rsidRPr="00E70667">
        <w:t>risk are connected and both related to market outcomes</w:t>
      </w:r>
      <w:r>
        <w:t xml:space="preserve"> and market sentiment</w:t>
      </w:r>
      <w:r w:rsidRPr="00E70667">
        <w:t>.</w:t>
      </w:r>
      <w:r>
        <w:t xml:space="preserve"> Knowing that risk attitudes change for the information and sentiment of plan members is interesting. Currently many financial service providers (agents) measure their principal’s risk attitude only once at the start of their relation. And they continue to act upon these figures for long periods, often the entire relations. They might consider the market sentiment in relation to the investment risk and the plan member risk profiles. Yet, a minor mis-assumption strongly increases the chances of mis-estimating the plan members true risk attitude.</w:t>
      </w:r>
    </w:p>
    <w:p w:rsidR="00AD27E8" w:rsidRPr="00E70667" w:rsidRDefault="00AD27E8" w:rsidP="00286071">
      <w:pPr>
        <w:pStyle w:val="NoSpacing"/>
        <w:spacing w:line="360" w:lineRule="auto"/>
        <w:jc w:val="both"/>
      </w:pPr>
    </w:p>
    <w:p w:rsidR="00EF36AF" w:rsidRPr="00907D50" w:rsidRDefault="00EF36AF" w:rsidP="00907D50">
      <w:pPr>
        <w:pStyle w:val="VIn33"/>
      </w:pPr>
      <w:bookmarkStart w:id="23" w:name="_Toc340568903"/>
      <w:r w:rsidRPr="00907D50">
        <w:t>2.3.3 Risk domains</w:t>
      </w:r>
      <w:bookmarkEnd w:id="23"/>
    </w:p>
    <w:p w:rsidR="00EF36AF" w:rsidRPr="00E70667" w:rsidRDefault="00EF36AF" w:rsidP="00286071">
      <w:pPr>
        <w:pStyle w:val="NoSpacing"/>
        <w:spacing w:line="360" w:lineRule="auto"/>
        <w:jc w:val="both"/>
      </w:pPr>
      <w:r w:rsidRPr="00E70667">
        <w:t>Every individual is familiar with risk; it is a con</w:t>
      </w:r>
      <w:r>
        <w:t>stant factor in decision making, o</w:t>
      </w:r>
      <w:r w:rsidRPr="00E70667">
        <w:t xml:space="preserve">ne that has been </w:t>
      </w:r>
      <w:r>
        <w:t xml:space="preserve">around </w:t>
      </w:r>
      <w:r w:rsidRPr="00E70667">
        <w:t>since more primal times.</w:t>
      </w:r>
      <w:r>
        <w:t xml:space="preserve"> </w:t>
      </w:r>
      <w:r w:rsidRPr="00E70667">
        <w:t xml:space="preserve">Risk, itself has a negative connotation and refers to possibility that something can result in an unfavorable outcome. </w:t>
      </w:r>
    </w:p>
    <w:p w:rsidR="00EF36AF" w:rsidRPr="00E70667" w:rsidRDefault="00EF36AF" w:rsidP="00286071">
      <w:pPr>
        <w:pStyle w:val="NoSpacing"/>
        <w:spacing w:line="360" w:lineRule="auto"/>
        <w:jc w:val="both"/>
      </w:pPr>
      <w:r>
        <w:t xml:space="preserve">However, what is </w:t>
      </w:r>
      <w:r w:rsidRPr="00E70667">
        <w:t xml:space="preserve">interesting about </w:t>
      </w:r>
      <w:r>
        <w:t xml:space="preserve">our interaction with </w:t>
      </w:r>
      <w:r w:rsidRPr="00E70667">
        <w:t xml:space="preserve">risk is that we constantly assess it differently. Risk differs per situation and the reaction of an individual is very dependent on the scenario.  The scenarios can be categorized into domains, making the assessment of risk more synoptic. </w:t>
      </w:r>
    </w:p>
    <w:p w:rsidR="00EF36AF" w:rsidRDefault="00EF36AF" w:rsidP="00286071">
      <w:pPr>
        <w:pStyle w:val="NoSpacing"/>
        <w:spacing w:line="360" w:lineRule="auto"/>
        <w:jc w:val="both"/>
      </w:pPr>
      <w:r w:rsidRPr="00E70667">
        <w:t>Weber, Blais &amp;Betz (2002) tested domain specific risk attitudes and conclude that the risk taken by an individual is domain-specific. In their research they identified and tested risk behavior and risk perception in the following domains; Financial (investment &amp; gambling), Health/safety, Recreational, Ethical and Social. They conclude that there is supportive evidence to say that risk taking is domain-specific</w:t>
      </w:r>
      <w:r>
        <w:t xml:space="preserve"> and </w:t>
      </w:r>
      <w:r w:rsidRPr="00E70667">
        <w:t xml:space="preserve">that inter-domain differences are </w:t>
      </w:r>
      <w:r>
        <w:t>relevant</w:t>
      </w:r>
      <w:r w:rsidRPr="00E70667">
        <w:t xml:space="preserve">. Thus, meaning that indeed risk taking behavior is dependent on the content of the decision and the situation. The same holds for the perception of risk. </w:t>
      </w:r>
    </w:p>
    <w:p w:rsidR="00EF36AF" w:rsidRPr="00E70667" w:rsidRDefault="00EF36AF" w:rsidP="00286071">
      <w:pPr>
        <w:pStyle w:val="NoSpacing"/>
        <w:spacing w:line="360" w:lineRule="auto"/>
        <w:jc w:val="both"/>
      </w:pPr>
      <w:r w:rsidRPr="00E70667">
        <w:t>This chameleon-like qu</w:t>
      </w:r>
      <w:r>
        <w:t>ality to risk makes it impor</w:t>
      </w:r>
      <w:r w:rsidRPr="00E70667">
        <w:t xml:space="preserve">tant to define the domain within which risk is relevant and assessed. Knowing within which framework, decisions are analyzed and made assists in the understanding of these decisions. It is useful to know that financial decisions are made under separate considerations and attitude, from i.e. ethical decisions. </w:t>
      </w:r>
      <w:r>
        <w:t>It also shows that people have certain priorities and people differentiate between the severities of outcomes. This is interesting</w:t>
      </w:r>
      <w:r w:rsidRPr="00E70667">
        <w:t xml:space="preserve"> with regards to the implementation side of this </w:t>
      </w:r>
      <w:r>
        <w:t>t</w:t>
      </w:r>
      <w:r w:rsidRPr="00E70667">
        <w:t>h</w:t>
      </w:r>
      <w:r>
        <w:t>esis</w:t>
      </w:r>
      <w:r w:rsidRPr="00E70667">
        <w:t>, which centers around</w:t>
      </w:r>
      <w:r>
        <w:t xml:space="preserve"> risk in the financial domain and what factors can influence the risk attitude in this domain.</w:t>
      </w:r>
    </w:p>
    <w:p w:rsidR="00EF36AF" w:rsidRPr="00907D50" w:rsidRDefault="00EF36AF" w:rsidP="00907D50">
      <w:pPr>
        <w:pStyle w:val="VIn33"/>
      </w:pPr>
      <w:bookmarkStart w:id="24" w:name="_Toc340568904"/>
      <w:r w:rsidRPr="00907D50">
        <w:lastRenderedPageBreak/>
        <w:t>2.3.4 Risk dynamics</w:t>
      </w:r>
      <w:bookmarkEnd w:id="24"/>
    </w:p>
    <w:p w:rsidR="00EF36AF" w:rsidRPr="00E70667" w:rsidRDefault="00EF36AF" w:rsidP="00286071">
      <w:pPr>
        <w:pStyle w:val="NoSpacing"/>
        <w:spacing w:line="360" w:lineRule="auto"/>
        <w:jc w:val="both"/>
      </w:pPr>
      <w:r>
        <w:t xml:space="preserve">As briefly asserted, risk attitudes are not static. They almost constantly change and react to the economic situation and information. </w:t>
      </w:r>
      <w:r w:rsidRPr="00E70667">
        <w:t>Gai &amp; Vause</w:t>
      </w:r>
      <w:r>
        <w:t>(2005)</w:t>
      </w:r>
      <w:r w:rsidRPr="00E70667">
        <w:t xml:space="preserve"> argue that</w:t>
      </w:r>
      <w:r>
        <w:t xml:space="preserve"> they differ </w:t>
      </w:r>
      <w:r w:rsidRPr="00E70667">
        <w:t>because</w:t>
      </w:r>
      <w:r>
        <w:t xml:space="preserve"> </w:t>
      </w:r>
      <w:r w:rsidRPr="00E70667">
        <w:t>t</w:t>
      </w:r>
      <w:r>
        <w:t>hey are</w:t>
      </w:r>
      <w:r w:rsidRPr="00E70667">
        <w:t xml:space="preserve"> intrinsically part of an investor. One might even say it is part of an individual’s characte</w:t>
      </w:r>
      <w:r>
        <w:t xml:space="preserve">r (Danielson, Shin and Zigrand; </w:t>
      </w:r>
      <w:r w:rsidRPr="00E70667">
        <w:t>2009</w:t>
      </w:r>
      <w:r>
        <w:t>).  Although they are different per individual and can fluctuate over time, there are some prevalent population cohort patterns. In literature there is a widely established base of socioeconomic and demographic factors that have been shown to determine a person’s risk attitude (e.g. Harrison et al 2004; Holt and Laury 2002).</w:t>
      </w:r>
      <w:r w:rsidRPr="004E5031">
        <w:t xml:space="preserve"> </w:t>
      </w:r>
      <w:r>
        <w:t>The best known and relevant are set out below.</w:t>
      </w:r>
    </w:p>
    <w:p w:rsidR="00EF36AF" w:rsidRPr="00E70667" w:rsidRDefault="00EF36AF" w:rsidP="00286071">
      <w:pPr>
        <w:pStyle w:val="NoSpacing"/>
        <w:spacing w:line="360" w:lineRule="auto"/>
        <w:jc w:val="both"/>
      </w:pPr>
      <w:r>
        <w:t>An established effect is that of gender, a wealth of studies has found that women exhibit higher levels of risk aversion than men (Charness and Gneezy, 2007; Hartog et al, 2002; Agnew et al 2007).</w:t>
      </w:r>
    </w:p>
    <w:p w:rsidR="00EF36AF" w:rsidRPr="00E70667" w:rsidRDefault="00EF36AF" w:rsidP="00286071">
      <w:pPr>
        <w:pStyle w:val="NoSpacing"/>
        <w:spacing w:line="360" w:lineRule="auto"/>
        <w:jc w:val="both"/>
      </w:pPr>
      <w:r>
        <w:t>Besides gender it’s been shown that for age there are also significant differences in risk attitudes. As people (adults) grow older their risk aversion increases, a development that is seen across the board not just in the financial domain (Dohmen et al, 2005; Donkers et al, 2001). Besides demographic variables, which are a given, there are also differences for socioeconomic factors.</w:t>
      </w:r>
    </w:p>
    <w:p w:rsidR="00EF36AF" w:rsidRPr="00E70667" w:rsidRDefault="00EF36AF" w:rsidP="00286071">
      <w:pPr>
        <w:pStyle w:val="NoSpacing"/>
        <w:spacing w:line="360" w:lineRule="auto"/>
        <w:jc w:val="both"/>
      </w:pPr>
      <w:r>
        <w:t xml:space="preserve">For the factor of income, studies have shown that there is a significant relation between the income of an individual and their risk attitude. Higher levels of risk averseness are over the board correlated with lower incomes (Dohmen et al 2009; Donkers et al, 2001; Bonin et al, 2007). </w:t>
      </w:r>
    </w:p>
    <w:p w:rsidR="00EF36AF" w:rsidRPr="00157503" w:rsidRDefault="00EF36AF" w:rsidP="00286071">
      <w:pPr>
        <w:pStyle w:val="NoSpacing"/>
        <w:spacing w:line="360" w:lineRule="auto"/>
        <w:jc w:val="both"/>
      </w:pPr>
      <w:r>
        <w:t xml:space="preserve">The </w:t>
      </w:r>
      <w:r w:rsidRPr="00157503">
        <w:t xml:space="preserve">significant relation between risk attitude and income is likely to be a result of the significant relation between education and risk aversion. As the correlation between knowledge, education and subsequent employment related income is strong. </w:t>
      </w:r>
      <w:r>
        <w:t>K</w:t>
      </w:r>
      <w:r w:rsidRPr="00157503">
        <w:t>nowledge is a factor that is relevant in decision making</w:t>
      </w:r>
      <w:r>
        <w:t>, influenced by e</w:t>
      </w:r>
      <w:r w:rsidRPr="00157503">
        <w:t>ducation</w:t>
      </w:r>
      <w:r>
        <w:t xml:space="preserve">, which itself </w:t>
      </w:r>
      <w:r w:rsidRPr="00157503">
        <w:t>is</w:t>
      </w:r>
      <w:r>
        <w:t xml:space="preserve"> a</w:t>
      </w:r>
      <w:r w:rsidRPr="00157503">
        <w:t xml:space="preserve"> known factor to influence risk aversion. Most of the existing studies use factors as education or financial literacy to correlate against financial domain behavior to draw conclusions on the relation of knowledge to risk aversion. On the basis of those findings however it’s safe to say that people with higher levels of financial knowledge and understanding exhibit lower levels of risk aversion (Cox et al, 2011; </w:t>
      </w:r>
      <w:r w:rsidR="00BA3C66">
        <w:t xml:space="preserve">Guiso, 2011; </w:t>
      </w:r>
      <w:r w:rsidRPr="00157503">
        <w:t xml:space="preserve">van </w:t>
      </w:r>
      <w:r w:rsidR="00FA5F9C">
        <w:t>Els</w:t>
      </w:r>
      <w:r w:rsidRPr="00157503">
        <w:t xml:space="preserve"> et al, 2005). This could be a sign of a better understanding of the risks involved.</w:t>
      </w:r>
    </w:p>
    <w:p w:rsidR="00EF36AF" w:rsidRDefault="00EF36AF" w:rsidP="00286071">
      <w:pPr>
        <w:pStyle w:val="NoSpacing"/>
        <w:tabs>
          <w:tab w:val="left" w:pos="3098"/>
        </w:tabs>
        <w:spacing w:line="360" w:lineRule="auto"/>
        <w:jc w:val="both"/>
      </w:pPr>
    </w:p>
    <w:p w:rsidR="00EF36AF" w:rsidRPr="00907D50" w:rsidRDefault="00EF36AF" w:rsidP="00907D50">
      <w:pPr>
        <w:pStyle w:val="VIn33"/>
      </w:pPr>
      <w:bookmarkStart w:id="25" w:name="_Toc340568905"/>
      <w:r w:rsidRPr="00907D50">
        <w:t>2.3.5 Risk attitude measurement</w:t>
      </w:r>
      <w:bookmarkEnd w:id="25"/>
    </w:p>
    <w:p w:rsidR="004E496D" w:rsidRDefault="00EF36AF" w:rsidP="00286071">
      <w:pPr>
        <w:pStyle w:val="NoSpacing"/>
        <w:spacing w:line="360" w:lineRule="auto"/>
        <w:jc w:val="both"/>
      </w:pPr>
      <w:r>
        <w:t xml:space="preserve">Thus far the heterogeneity, the dynamics and forming factors of risk attitude have been assessed. With respect to the answering of the research question and to test the hypothesis it is paramount to discuss the expression of risk attitude. The requisite for measuring risk attitudes is a scale of gradation, to express the spectrum of risk attitudes. </w:t>
      </w:r>
    </w:p>
    <w:p w:rsidR="00EF36AF" w:rsidRDefault="00EF36AF" w:rsidP="00286071">
      <w:pPr>
        <w:pStyle w:val="NoSpacing"/>
        <w:spacing w:line="360" w:lineRule="auto"/>
        <w:jc w:val="both"/>
      </w:pPr>
      <w:r>
        <w:lastRenderedPageBreak/>
        <w:t xml:space="preserve">Early economic risk analysis centered around Expected Utility Theory, as it was able to quantify people’s risk attitudes based on their utility function (Donkers et al, 2012). Although it has been found wanting and more elaborate theories are around, it is still regarded as the basis for risk attitude measurement. </w:t>
      </w:r>
    </w:p>
    <w:p w:rsidR="00EF36AF" w:rsidRPr="00E70667" w:rsidRDefault="00EF36AF" w:rsidP="00286071">
      <w:pPr>
        <w:pStyle w:val="NoSpacing"/>
        <w:spacing w:line="360" w:lineRule="auto"/>
        <w:jc w:val="both"/>
      </w:pPr>
      <w:r>
        <w:t>Risk attitude is commonly articulated in three degrees; risk seeking, risk neutral and risk averse. These labels allow for the distinction between how people rank uncertainty; to express the difference when comparing people, we generally articulate the difference as a measure of risk aversion. Thus it is said someone is more or less risk averse. Often in literature, risk attitude is simply referred to as degree of risk aversion.</w:t>
      </w:r>
    </w:p>
    <w:p w:rsidR="00EF36AF" w:rsidRPr="00E70667" w:rsidRDefault="00EF36AF" w:rsidP="00286071">
      <w:pPr>
        <w:pStyle w:val="NoSpacing"/>
        <w:spacing w:line="360" w:lineRule="auto"/>
        <w:jc w:val="both"/>
      </w:pPr>
      <w:r>
        <w:t xml:space="preserve">The label of risk averse is given when a person dislikes uncertainty and prefers to avoid risk. In practical terms it means when someone is presented with the choice between a risky option and a certain option, which have equal expected payoffs. The person consistently prefers the certain option. A person is labeled risk neutral when they are indifferent between the two choices and a risk seeking individual is the opposite of the risk averse individual and is relatively comfortable with uncertainty. He will choose the risky option, hoping to attain greater pay off (Hillson, 2007). In all these choices, and labeling, it is the uncertainty which is decisive. </w:t>
      </w:r>
    </w:p>
    <w:p w:rsidR="00EF36AF" w:rsidRDefault="00EF36AF" w:rsidP="00286071">
      <w:pPr>
        <w:pStyle w:val="NoSpacing"/>
        <w:spacing w:line="360" w:lineRule="auto"/>
        <w:jc w:val="both"/>
      </w:pPr>
      <w:r>
        <w:t>There is large varying literary base that explains and describes the theoretical structure that sustains the theories on risk attitudes (Donkers et al, 2012). Nonetheless the question of measuring risk attitudes is the most important as the method plays an important role in the results and their interpretation. The classic methods were often developed starting with a proposition and model parameters, such as Constant Relative or Absolute Risk Aversion, as generated by Arrow and Pratt. These assumptions are then tested against gathered data, i.e. surveys and portfolio returns. (Deck et al, 2010).</w:t>
      </w:r>
    </w:p>
    <w:p w:rsidR="00EF36AF" w:rsidRDefault="00EF36AF" w:rsidP="00286071">
      <w:pPr>
        <w:pStyle w:val="NoSpacing"/>
        <w:spacing w:line="360" w:lineRule="auto"/>
        <w:jc w:val="both"/>
      </w:pPr>
      <w:r>
        <w:t xml:space="preserve">There are a number of methods that can be employed to measure risk attitude. The method by Holt and Laury (2002) is widely regarded as a solid set-up (e.g. Harrison et al, 2004) and offers an alternative approach. In their 2002 paper </w:t>
      </w:r>
      <w:r w:rsidRPr="002644E8">
        <w:rPr>
          <w:i/>
        </w:rPr>
        <w:t>Risk aversion and Incentive Effects</w:t>
      </w:r>
      <w:r>
        <w:t>, they present their method to measure risk aversion. They use a lottery choice experiment to reveal a person’s degree of risk aversion. This method works very simple, the participants are presented with ten</w:t>
      </w:r>
      <w:r w:rsidRPr="00097B6D">
        <w:t xml:space="preserve"> different s</w:t>
      </w:r>
      <w:r>
        <w:t>equential lottery questions. In each question they are presented with a choice between two options, lottery A and lottery B.  Both are lotteries and the probabilities division is equal for either option; i.e. for question 1 the division is 1/10 to 9/10. Thus the participant has to choose between two risky options. The options differ in their pay offs, option A offers fairly equal returns of $2 and $1.60, for the respective probabilities. Contrary, option B offers the more diverged pay offs of $3.85 and $0.10.</w:t>
      </w:r>
    </w:p>
    <w:p w:rsidR="00EF36AF" w:rsidRDefault="00EF36AF" w:rsidP="00286071">
      <w:pPr>
        <w:pStyle w:val="NoSpacing"/>
        <w:spacing w:line="360" w:lineRule="auto"/>
        <w:jc w:val="both"/>
      </w:pPr>
      <w:r>
        <w:lastRenderedPageBreak/>
        <w:t xml:space="preserve"> As the participants progresses through the questions, the pay offs don’t change but the probabilities change with 10%  per question, progressively the probability of the higher pay off in either option rises till the last question where its 10/10 or 100% sure or the higher payoff in each option. </w:t>
      </w:r>
    </w:p>
    <w:p w:rsidR="00EF36AF" w:rsidRDefault="00EF36AF" w:rsidP="00286071">
      <w:pPr>
        <w:pStyle w:val="NoSpacing"/>
        <w:spacing w:line="360" w:lineRule="auto"/>
        <w:jc w:val="both"/>
      </w:pPr>
      <w:r>
        <w:t>Every question, the participants assess the probabilities and choose one of the two options. This set up</w:t>
      </w:r>
      <w:r w:rsidRPr="00097B6D">
        <w:t xml:space="preserve"> provide</w:t>
      </w:r>
      <w:r>
        <w:t>s</w:t>
      </w:r>
      <w:r w:rsidRPr="00097B6D">
        <w:t xml:space="preserve"> 10 possible switching points</w:t>
      </w:r>
      <w:r>
        <w:t>, assuming rationality</w:t>
      </w:r>
      <w:r w:rsidRPr="00097B6D">
        <w:t xml:space="preserve">. </w:t>
      </w:r>
      <w:r>
        <w:t>A risk averse individual will stay with option A much longer than a risk seeking individual. T</w:t>
      </w:r>
      <w:r w:rsidRPr="00097B6D">
        <w:t xml:space="preserve">he switching point of </w:t>
      </w:r>
      <w:r>
        <w:t>a</w:t>
      </w:r>
      <w:r w:rsidRPr="00097B6D">
        <w:t xml:space="preserve"> subject</w:t>
      </w:r>
      <w:r>
        <w:t xml:space="preserve"> is</w:t>
      </w:r>
      <w:r w:rsidRPr="00097B6D">
        <w:t xml:space="preserve"> tra</w:t>
      </w:r>
      <w:r>
        <w:t>n</w:t>
      </w:r>
      <w:r w:rsidRPr="00097B6D">
        <w:t>sform</w:t>
      </w:r>
      <w:r>
        <w:t>ed</w:t>
      </w:r>
      <w:r w:rsidRPr="00097B6D">
        <w:t xml:space="preserve"> into </w:t>
      </w:r>
      <w:r>
        <w:t>a value of relative risk aversion. Corresponding the have articulate ten risk preference classifications, a more detailed expression of the risk seeking, risk neutral and risk averse range.</w:t>
      </w:r>
    </w:p>
    <w:p w:rsidR="00EF36AF" w:rsidRDefault="00EF36AF" w:rsidP="00286071">
      <w:pPr>
        <w:pStyle w:val="NoSpacing"/>
        <w:spacing w:line="360" w:lineRule="auto"/>
        <w:jc w:val="both"/>
      </w:pPr>
      <w:r>
        <w:t xml:space="preserve">With this method you get a switching point for every individual and judging the moment they switch you can classify their risk averseness. </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t>The advantage of this is set up is that the measurement method does not require the subjects perceived reporting of their risk attitude. The participant’s level of risk aversion is revealed using a series of choices, of which the answers will reveal the subject’s risk attitude. So rather than asking them to classify their risk averseness, it is elicited by means of their answers. Eliciting risk attitudes appears more robust than self-reported figures. Their method also foregoes the common laboratory weaknesses of being unrealistic, requiring too much imagination and self-comprehension of the participant (Holt and Laury, 2002).</w:t>
      </w:r>
    </w:p>
    <w:p w:rsidR="00EF36AF" w:rsidRDefault="00EF36AF" w:rsidP="00286071">
      <w:pPr>
        <w:pStyle w:val="NoSpacing"/>
        <w:spacing w:line="360" w:lineRule="auto"/>
        <w:jc w:val="both"/>
      </w:pPr>
      <w:r>
        <w:t>For this thesis there is no necessity to convert the participant’s risk aversion switching point into a measure of relative risk aversion. To test the hypotheses it is necessary to find a significant correlation, the calculation transforming the switching points into relative risk aversion measures doesn’t fundamentally change the pattern in the data. It is more of a redefinition.  Moreover, the use of the switching points allows me to regress much easier than the recalcuted figures. It is also not a problem for the articulation of the figures, as the relative risk aversion and the articulated risk preference classification are directly linked to the switching point. Recalculation does not offer added value to this thesis.</w:t>
      </w:r>
    </w:p>
    <w:p w:rsidR="00EF36AF" w:rsidRDefault="00EF36AF" w:rsidP="00286071">
      <w:pPr>
        <w:pStyle w:val="NoSpacing"/>
        <w:spacing w:line="360" w:lineRule="auto"/>
        <w:jc w:val="both"/>
      </w:pPr>
      <w:r>
        <w:t>Furthermore, the Holt and Laury method also proved able to yield demographic and socioeconomic effects in the results. This combined with its solid design and functionality for survey practice motivates why this method was chosen.</w:t>
      </w:r>
    </w:p>
    <w:p w:rsidR="00EF36AF" w:rsidRPr="00907D50" w:rsidRDefault="00EF36AF" w:rsidP="00907D50">
      <w:pPr>
        <w:pStyle w:val="VIn33"/>
      </w:pPr>
      <w:bookmarkStart w:id="26" w:name="_Toc340568906"/>
      <w:r w:rsidRPr="00907D50">
        <w:t>2.3.6 Ambiguity aversion</w:t>
      </w:r>
      <w:bookmarkEnd w:id="26"/>
    </w:p>
    <w:p w:rsidR="00EF36AF" w:rsidRDefault="00EF36AF" w:rsidP="00286071">
      <w:pPr>
        <w:pStyle w:val="NoSpacing"/>
        <w:spacing w:line="360" w:lineRule="auto"/>
        <w:jc w:val="both"/>
      </w:pPr>
      <w:r w:rsidRPr="00157503">
        <w:t>Thus far it has been explained what risk attitudes entail and how they vary. There is however, another aspect involved, ambiguity aversion. Strictly speaking, ambiguity aversion is a measure of a person’s preference for known risk</w:t>
      </w:r>
      <w:r>
        <w:t>s</w:t>
      </w:r>
      <w:r w:rsidRPr="00157503">
        <w:t xml:space="preserve"> over unknown risks.</w:t>
      </w:r>
    </w:p>
    <w:p w:rsidR="00EF36AF" w:rsidRPr="00157503" w:rsidRDefault="00EF36AF" w:rsidP="00286071">
      <w:pPr>
        <w:pStyle w:val="NoSpacing"/>
        <w:spacing w:line="360" w:lineRule="auto"/>
        <w:jc w:val="both"/>
      </w:pPr>
      <w:r w:rsidRPr="00157503">
        <w:lastRenderedPageBreak/>
        <w:t xml:space="preserve"> When someone is presented with two risky options, one for which the chances are stated and one for which the chances are not disclosed, they are more likely to choose the option which discloses the risk. As we have the tendency to be averse towards the unknown. The notion of ambiguity aversion comes from behavioral finance and is often also referred to as uncertainty aversion (Epstein, 1999). It is different from risk aversion, as risk aversion concerns options for which the probability of all the risky options are known.</w:t>
      </w:r>
      <w:r>
        <w:t xml:space="preserve"> It should also not be confused with loss aversion, people’s preference to avoid losing outweighing the preference to attain gains.</w:t>
      </w:r>
    </w:p>
    <w:p w:rsidR="00EF36AF" w:rsidRDefault="00EF36AF" w:rsidP="00286071">
      <w:pPr>
        <w:pStyle w:val="NoSpacing"/>
        <w:spacing w:line="360" w:lineRule="auto"/>
        <w:jc w:val="both"/>
      </w:pPr>
      <w:r>
        <w:t>The</w:t>
      </w:r>
      <w:r w:rsidRPr="00157503">
        <w:t xml:space="preserve"> adaptable conception is that humans dislike the unknown. In the Dutch society pensions are somewhat of a commonplace. </w:t>
      </w:r>
      <w:r>
        <w:t>People are just very</w:t>
      </w:r>
      <w:r w:rsidRPr="00157503">
        <w:t xml:space="preserve"> accustomed to the idea.</w:t>
      </w:r>
      <w:r>
        <w:t xml:space="preserve"> </w:t>
      </w:r>
      <w:r w:rsidRPr="00157503">
        <w:t xml:space="preserve">They are often in the news and they are a part of our societal grain. </w:t>
      </w:r>
      <w:r>
        <w:t xml:space="preserve">Yet the principal agent relation distances them from the people. </w:t>
      </w:r>
      <w:r w:rsidRPr="00157503">
        <w:t>Th</w:t>
      </w:r>
      <w:r>
        <w:t>e</w:t>
      </w:r>
      <w:r w:rsidRPr="00157503">
        <w:t>s</w:t>
      </w:r>
      <w:r>
        <w:t>e</w:t>
      </w:r>
      <w:r w:rsidRPr="00157503">
        <w:t xml:space="preserve"> </w:t>
      </w:r>
      <w:r>
        <w:t xml:space="preserve">conflicting ideas </w:t>
      </w:r>
      <w:r w:rsidRPr="00157503">
        <w:t xml:space="preserve">make it </w:t>
      </w:r>
      <w:r>
        <w:t>hard to judge whether</w:t>
      </w:r>
      <w:r w:rsidRPr="00157503">
        <w:t xml:space="preserve"> for anybody </w:t>
      </w:r>
      <w:r>
        <w:t>there is a</w:t>
      </w:r>
      <w:r w:rsidRPr="00157503">
        <w:t xml:space="preserve"> strong ambiguity aversion towards pension</w:t>
      </w:r>
      <w:r>
        <w:t xml:space="preserve"> funds</w:t>
      </w:r>
      <w:r w:rsidRPr="00157503">
        <w:t xml:space="preserve">. </w:t>
      </w:r>
      <w:r>
        <w:t>However, it’s probable that</w:t>
      </w:r>
      <w:r w:rsidRPr="00157503">
        <w:t xml:space="preserve"> ambiguity aversion is fueled by people’s unawareness of the investment activities and risks the pension funds engage in. These are financial topic</w:t>
      </w:r>
      <w:r>
        <w:t xml:space="preserve">s the average person </w:t>
      </w:r>
      <w:r w:rsidRPr="00157503">
        <w:t>is not familiar with, and th</w:t>
      </w:r>
      <w:r>
        <w:t>u</w:t>
      </w:r>
      <w:r w:rsidRPr="00157503">
        <w:t xml:space="preserve">s </w:t>
      </w:r>
      <w:r>
        <w:t>a likely</w:t>
      </w:r>
      <w:r w:rsidRPr="00157503">
        <w:t xml:space="preserve"> source of ambiguity aversion towards pensions. </w:t>
      </w:r>
      <w:r>
        <w:t xml:space="preserve"> </w:t>
      </w:r>
      <w:r w:rsidRPr="00157503">
        <w:t xml:space="preserve">It is however safe to say that since the outbreak of the crisis people have become far more apprehensive towards the </w:t>
      </w:r>
      <w:r>
        <w:t>(alien)</w:t>
      </w:r>
      <w:r w:rsidRPr="00157503">
        <w:t xml:space="preserve"> financial sector, second pillar pension funds included. This ambigu</w:t>
      </w:r>
      <w:r>
        <w:t>ity aversion development contributes to people’s</w:t>
      </w:r>
      <w:r w:rsidRPr="00157503">
        <w:t xml:space="preserve"> trust change in pensions. </w:t>
      </w:r>
    </w:p>
    <w:p w:rsidR="00EF36AF" w:rsidRPr="00907D50" w:rsidRDefault="00EF36AF" w:rsidP="00907D50">
      <w:pPr>
        <w:pStyle w:val="VIn33"/>
      </w:pPr>
      <w:bookmarkStart w:id="27" w:name="_Toc340568907"/>
      <w:r w:rsidRPr="00907D50">
        <w:t>2.3.</w:t>
      </w:r>
      <w:r w:rsidR="0059429C" w:rsidRPr="00907D50">
        <w:t>7</w:t>
      </w:r>
      <w:r w:rsidRPr="00907D50">
        <w:t xml:space="preserve"> Conclusion</w:t>
      </w:r>
      <w:bookmarkEnd w:id="27"/>
    </w:p>
    <w:p w:rsidR="00EF36AF" w:rsidRDefault="00EF36AF" w:rsidP="00286071">
      <w:pPr>
        <w:pStyle w:val="NoSpacing"/>
        <w:spacing w:line="360" w:lineRule="auto"/>
        <w:jc w:val="both"/>
      </w:pPr>
      <w:r>
        <w:t>People are used to deal with risk and rather capable at distinguishing between domains and their appropriate risk level.</w:t>
      </w:r>
    </w:p>
    <w:p w:rsidR="00EF36AF" w:rsidRDefault="00EF36AF" w:rsidP="00286071">
      <w:pPr>
        <w:pStyle w:val="NoSpacing"/>
        <w:spacing w:line="360" w:lineRule="auto"/>
        <w:jc w:val="both"/>
      </w:pPr>
      <w:r>
        <w:t xml:space="preserve">It’s been established that every person has their own risk attitude, whilst there are still particular patterns to be found for different population cohorts. These risk attitudes are not static, but change over time. This information is useful for the survey design. The method of Holt and Laury is a solid approach to measure the risk aversion of people. Its strength is in eliciting the risk aversion of people, its simplicity to the participant, comprehensible data results and survey appropriateness. Providing all the necessary information on risk aversion to later on regress against other data on other variables.  </w:t>
      </w:r>
    </w:p>
    <w:p w:rsidR="00EF36AF" w:rsidRDefault="00EF36AF" w:rsidP="00286071">
      <w:pPr>
        <w:pStyle w:val="NoSpacing"/>
        <w:spacing w:line="360" w:lineRule="auto"/>
        <w:jc w:val="both"/>
      </w:pPr>
      <w:r>
        <w:t xml:space="preserve">The notion that risk attitude is a flexible and non-universal variable, and thus can’t be assumed to be static, has been aired. This information makes it reasonable to doubt whether second pillar pension funds, and other financial service providers for that matter, do indeed have the appropriate procedures in place to accurately measure their plan member’s risk attitude. How often is risk attitude data updated and how often should it be updated? I fully recognize that the funds can’t constantly adjust in accordance to their plan member’s, so what is a reasonable middle ground?  </w:t>
      </w:r>
    </w:p>
    <w:p w:rsidR="00EF36AF" w:rsidRDefault="00EF36AF" w:rsidP="00286071">
      <w:pPr>
        <w:pStyle w:val="NoSpacing"/>
        <w:spacing w:line="360" w:lineRule="auto"/>
        <w:jc w:val="both"/>
      </w:pPr>
      <w:r>
        <w:t xml:space="preserve">How accurate do the pension funds invest according to instance the make-up of their member population. Do they equally consider the presence and preference of the different cohorts? These are questions that can best be answered with a good solid understanding of risk attitudes and the dynamics of it. The current protocols don’t seem to adequately represent the plan members. </w:t>
      </w:r>
    </w:p>
    <w:p w:rsidR="00EF36AF" w:rsidRPr="008A6C20" w:rsidRDefault="00EF36AF" w:rsidP="00286071">
      <w:pPr>
        <w:pStyle w:val="NoSpacing"/>
        <w:spacing w:line="360" w:lineRule="auto"/>
        <w:jc w:val="both"/>
        <w:rPr>
          <w:color w:val="1F497D" w:themeColor="text2"/>
        </w:rPr>
      </w:pPr>
    </w:p>
    <w:p w:rsidR="00EF36AF" w:rsidRPr="00907D50" w:rsidRDefault="00907D50" w:rsidP="00907D50">
      <w:pPr>
        <w:pStyle w:val="Vin2"/>
        <w:numPr>
          <w:ilvl w:val="0"/>
          <w:numId w:val="0"/>
        </w:numPr>
      </w:pPr>
      <w:bookmarkStart w:id="28" w:name="_Toc340568908"/>
      <w:r>
        <w:t>2.4</w:t>
      </w:r>
      <w:r w:rsidR="00EF36AF" w:rsidRPr="00907D50">
        <w:t xml:space="preserve"> Trust</w:t>
      </w:r>
      <w:bookmarkEnd w:id="28"/>
    </w:p>
    <w:p w:rsidR="00EF36AF" w:rsidRPr="00907D50" w:rsidRDefault="00EF36AF" w:rsidP="00907D50">
      <w:pPr>
        <w:pStyle w:val="VIn33"/>
      </w:pPr>
      <w:bookmarkStart w:id="29" w:name="_Toc340568909"/>
      <w:r w:rsidRPr="00907D50">
        <w:t>2.4.1 Introduction</w:t>
      </w:r>
      <w:bookmarkEnd w:id="29"/>
    </w:p>
    <w:p w:rsidR="00EF36AF" w:rsidRDefault="00EF36AF" w:rsidP="00286071">
      <w:pPr>
        <w:pStyle w:val="NoSpacing"/>
        <w:spacing w:line="360" w:lineRule="auto"/>
        <w:jc w:val="both"/>
      </w:pPr>
      <w:r>
        <w:t>Trust is one of the two main factors in this research, the other being risk. What makes trust so interesting is that it is as familiar as it is intangible. Indeed so intangible that it is difficult to define (van der Lecq, 1998). This combination of properties gives trust a dynamic almost instinctive quality. The influence of trust can be observed and experienced by anybody in their daily life. Indisputably, trust is part of our behavior and therefore is not only present in what we do but also decisive</w:t>
      </w:r>
      <w:r w:rsidRPr="00F548AA">
        <w:t xml:space="preserve"> </w:t>
      </w:r>
      <w:r>
        <w:t>for it. As it is an important factor in our decision making.</w:t>
      </w:r>
    </w:p>
    <w:p w:rsidR="00EF36AF" w:rsidRDefault="00EF36AF" w:rsidP="00286071">
      <w:pPr>
        <w:pStyle w:val="NoSpacing"/>
        <w:spacing w:line="360" w:lineRule="auto"/>
        <w:jc w:val="both"/>
      </w:pPr>
      <w:r>
        <w:t>Although trust is deeply personal in sensation and forming, in essence it is a social mechanism. Trust always concerns interaction with another entity. It’s been discovered that trust is related to a neurobiological reaction involving oxytocin, a chemical which has the inclination to increase affection for others(Kosfeld et al, 2005). Knowledge of the intricate biological origins of trust is non-essential to this research; the dynamics of trust are.</w:t>
      </w:r>
    </w:p>
    <w:p w:rsidR="00EF36AF" w:rsidRDefault="00EF36AF" w:rsidP="00286071">
      <w:pPr>
        <w:pStyle w:val="NoSpacing"/>
        <w:spacing w:line="360" w:lineRule="auto"/>
        <w:jc w:val="both"/>
      </w:pPr>
      <w:r>
        <w:t xml:space="preserve">The social nature of trust means that it is intrinsically present in the social norms and values of a society. As a direct consequence of trust’s reflection in social norms, trust is an integral part of culture. Being a social-cultural entity, trust is also present in economics. </w:t>
      </w:r>
    </w:p>
    <w:p w:rsidR="00EF36AF" w:rsidRDefault="00EF36AF" w:rsidP="00286071">
      <w:pPr>
        <w:pStyle w:val="NoSpacing"/>
        <w:spacing w:line="360" w:lineRule="auto"/>
        <w:jc w:val="both"/>
      </w:pPr>
      <w:r>
        <w:t xml:space="preserve">In the wake of the growing interest in behavioral economics, trust has also gained attention. Research ranges from trust’s role in broad economic progress to neuroeconomic investment games (Guiso et al, 2006; Sapienza et al, 2007; Berg et al, 1995; Dincer and Uslaner, 2007; Hardin, 2002; Zak, 2008). </w:t>
      </w:r>
      <w:r w:rsidRPr="00830FB4">
        <w:t xml:space="preserve">As van der Lecq (1998, p142) indicates </w:t>
      </w:r>
      <w:r>
        <w:t xml:space="preserve">the complexity and versatility of trust broadly divides subject literature in two. Since </w:t>
      </w:r>
      <w:r w:rsidRPr="00830FB4">
        <w:t xml:space="preserve">recognizing and </w:t>
      </w:r>
      <w:r>
        <w:t>comparing trust (-situations) are</w:t>
      </w:r>
      <w:r w:rsidRPr="00830FB4">
        <w:t xml:space="preserve"> not the same as </w:t>
      </w:r>
      <w:r>
        <w:t>explaining and dissecting the concept. This study focuses on the parameters of trust in relation to its interaction with financial risk appetite. Plainly put how theory and literature suggest one’s risk appetite is influenced by trust. Before exploring that relation, trust itself is assessed.</w:t>
      </w:r>
    </w:p>
    <w:p w:rsidR="00EF36AF" w:rsidRDefault="00EF36AF" w:rsidP="00286071">
      <w:pPr>
        <w:pStyle w:val="NoSpacing"/>
        <w:jc w:val="both"/>
      </w:pPr>
    </w:p>
    <w:p w:rsidR="00EF36AF" w:rsidRDefault="00EF36AF" w:rsidP="00286071">
      <w:pPr>
        <w:pStyle w:val="NoSpacing"/>
        <w:jc w:val="both"/>
      </w:pPr>
    </w:p>
    <w:p w:rsidR="00EF36AF" w:rsidRPr="008A6C20" w:rsidRDefault="005C4D89" w:rsidP="00907D50">
      <w:pPr>
        <w:pStyle w:val="VIn33"/>
      </w:pPr>
      <w:bookmarkStart w:id="30" w:name="_Toc340568910"/>
      <w:r>
        <w:t>2.4.2 Trust in e</w:t>
      </w:r>
      <w:r w:rsidR="00EF36AF" w:rsidRPr="008A6C20">
        <w:t>conomics</w:t>
      </w:r>
      <w:bookmarkEnd w:id="30"/>
    </w:p>
    <w:p w:rsidR="00EF36AF" w:rsidRDefault="00EF36AF" w:rsidP="00286071">
      <w:pPr>
        <w:pStyle w:val="NoSpacing"/>
        <w:spacing w:line="360" w:lineRule="auto"/>
        <w:jc w:val="both"/>
      </w:pPr>
      <w:r>
        <w:t xml:space="preserve">The social importance of trust is deemed vast, as our socio-economic system functions on it. Trust is essential to keep society and the economy fluent (Clower&amp;Howit, 1994). It can be described as a lubricant; the right amount of it smoothens society’s functioning. It promotes fluent communication and information exchange between economic agents (Gulati, 1998), greatly reduces or even obliterates transaction costs (Arrow, 1971 &amp; 1974) and reduces the necessity for regulations and coercive enforcement mechanisms (Fukuyama, 1995). </w:t>
      </w:r>
    </w:p>
    <w:p w:rsidR="00EF36AF" w:rsidRDefault="00EF36AF" w:rsidP="00286071">
      <w:pPr>
        <w:pStyle w:val="NoSpacing"/>
        <w:spacing w:line="360" w:lineRule="auto"/>
        <w:jc w:val="both"/>
        <w:rPr>
          <w:strike/>
        </w:rPr>
      </w:pPr>
      <w:r>
        <w:t xml:space="preserve">Arrow (1974) exceeds the perception of trust’s lubricating role as a mere facilitator and proclaims his findings suggest that higher levels of trust are positively correlated to higher rates of growth </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t>According to senior World Bank economist Stephen Knack and Prof. Paul Zak, major macro-economic differences can be attributed to trust.  They ascribe and exemplify the disparity in per capita income between wealthy and poor countries to trust, “</w:t>
      </w:r>
      <w:r w:rsidRPr="001B2441">
        <w:rPr>
          <w:i/>
        </w:rPr>
        <w:t>we discovered that trust is among the strongest known predictors of a country’s wealth.</w:t>
      </w:r>
      <w:r>
        <w:t>”</w:t>
      </w:r>
      <w:r>
        <w:rPr>
          <w:rStyle w:val="FootnoteReference"/>
        </w:rPr>
        <w:footnoteReference w:id="2"/>
      </w:r>
      <w:r>
        <w:t xml:space="preserve"> In their 1998 paper </w:t>
      </w:r>
      <w:r w:rsidRPr="00E96A61">
        <w:rPr>
          <w:i/>
        </w:rPr>
        <w:t>Trust and Growth</w:t>
      </w:r>
      <w:r>
        <w:t xml:space="preserve">, they set up a single period general equilibrium heterogeneous agent growth model aimed at answering two central questions, </w:t>
      </w:r>
      <w:r w:rsidRPr="002F1A18">
        <w:rPr>
          <w:i/>
        </w:rPr>
        <w:t>Why does trust vary so substantially across countries?</w:t>
      </w:r>
      <w:r>
        <w:t xml:space="preserve"> and </w:t>
      </w:r>
      <w:r w:rsidRPr="00CF5DB5">
        <w:rPr>
          <w:i/>
        </w:rPr>
        <w:t>How</w:t>
      </w:r>
      <w:r>
        <w:t xml:space="preserve"> </w:t>
      </w:r>
      <w:r w:rsidRPr="002F1A18">
        <w:rPr>
          <w:i/>
        </w:rPr>
        <w:t>does trust affect growth?</w:t>
      </w:r>
      <w:r>
        <w:rPr>
          <w:rStyle w:val="FootnoteReference"/>
          <w:i/>
        </w:rPr>
        <w:footnoteReference w:id="3"/>
      </w:r>
      <w:r>
        <w:t xml:space="preserve"> Testing their model with cross country data on measures of trust; and correlating with GDP growth, investment, schooling, per capita income, (in) formal institutions, wealth and ethnic heterogeneity.</w:t>
      </w:r>
    </w:p>
    <w:p w:rsidR="00EF36AF" w:rsidRDefault="00EF36AF" w:rsidP="00286071">
      <w:pPr>
        <w:pStyle w:val="NoSpacing"/>
        <w:spacing w:line="360" w:lineRule="auto"/>
        <w:jc w:val="both"/>
      </w:pPr>
      <w:r>
        <w:t>They found that trust is not an autonomous force but subject to the social, economic and institutional conditions of society in which transactions are executed.  Variables that differ per region, country and culture.</w:t>
      </w:r>
    </w:p>
    <w:p w:rsidR="00EF36AF" w:rsidRDefault="00EF36AF" w:rsidP="00286071">
      <w:pPr>
        <w:pStyle w:val="NoSpacing"/>
        <w:spacing w:line="360" w:lineRule="auto"/>
        <w:jc w:val="both"/>
      </w:pPr>
      <w:r>
        <w:t xml:space="preserve">Indeed, they are not the only ones that found trust to be such a dominant variable in macro economics. Recently, Dincer and Uslaner (2007) confirmed that there is a robust influence of trust on the growth rate of per capita income. </w:t>
      </w:r>
    </w:p>
    <w:p w:rsidR="00EF36AF" w:rsidRDefault="00EF36AF" w:rsidP="00286071">
      <w:pPr>
        <w:pStyle w:val="NoSpacing"/>
        <w:spacing w:line="360" w:lineRule="auto"/>
        <w:jc w:val="both"/>
      </w:pPr>
      <w:r>
        <w:t>However,  Zak &amp; Knack’ s most interesting claim is in the conclusion of their paper, where the authors argue that their model and research is applicable and relevant for all general principal-agent relationships. Suggesting that the model and the forthcoming results can even be applicable to the casus of our second pillar pension system as scoped in this paper.</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rsidRPr="00074A47">
        <w:t>Concentrating more on the decision making process</w:t>
      </w:r>
      <w:r>
        <w:t>,</w:t>
      </w:r>
      <w:r w:rsidRPr="00074A47">
        <w:t xml:space="preserve"> </w:t>
      </w:r>
      <w:r>
        <w:t>shift</w:t>
      </w:r>
      <w:r w:rsidRPr="00074A47">
        <w:t xml:space="preserve">s the assessment of trust </w:t>
      </w:r>
      <w:r>
        <w:t>t</w:t>
      </w:r>
      <w:r w:rsidRPr="00074A47">
        <w:t xml:space="preserve">o </w:t>
      </w:r>
      <w:r>
        <w:t>the</w:t>
      </w:r>
      <w:r w:rsidRPr="00074A47">
        <w:t xml:space="preserve"> individual level. </w:t>
      </w:r>
      <w:r>
        <w:t xml:space="preserve"> This reveals the complex interactive relation between trust levels and choices.</w:t>
      </w:r>
      <w:r w:rsidRPr="00074A47">
        <w:t xml:space="preserve">  </w:t>
      </w:r>
    </w:p>
    <w:p w:rsidR="00EF36AF" w:rsidRDefault="00EF36AF" w:rsidP="00286071">
      <w:pPr>
        <w:pStyle w:val="NoSpacing"/>
        <w:spacing w:line="360" w:lineRule="auto"/>
        <w:jc w:val="both"/>
      </w:pPr>
      <w:r>
        <w:t xml:space="preserve">A popular method for testing the influence of trust has been through game theoretic experiments. Often very similar to the set-ups used to assess an individual’s attitude to risk. </w:t>
      </w:r>
    </w:p>
    <w:p w:rsidR="00EF36AF" w:rsidRDefault="00EF36AF" w:rsidP="00286071">
      <w:pPr>
        <w:pStyle w:val="NoSpacing"/>
        <w:spacing w:line="360" w:lineRule="auto"/>
        <w:jc w:val="both"/>
      </w:pPr>
      <w:r>
        <w:t>The most well-known set-up premiered in the study by Berg et al (1995), the investment game, served as a precedent on individual level trust research. The investment game is a one period, two stage sequential move game, with a two player set up. The experiment starts by giving the first subject the chance to share or keep a provided sum of money, the first time it’s shared the amount is tripled. Now the second subject has the tripled amount and faces the same choice, to keep or to share, where after no more moves are made and the money is paid out</w:t>
      </w:r>
      <w:r w:rsidRPr="008A1111">
        <w:t>.</w:t>
      </w:r>
      <w:r>
        <w:t xml:space="preserve"> </w:t>
      </w:r>
      <w:r w:rsidRPr="008A1111">
        <w:t>Backward induction opts for not sharing, yet trust makes the players share and reciprocate</w:t>
      </w:r>
      <w:r>
        <w:t xml:space="preserve"> trusting behavior. </w:t>
      </w:r>
      <w:r w:rsidRPr="004D0AAD">
        <w:t>A string of similar and inspired studies followed revealing information on the change of trust and trustworthiness in and in-between individuals.</w:t>
      </w:r>
    </w:p>
    <w:p w:rsidR="00EF36AF" w:rsidRDefault="00EF36AF" w:rsidP="00286071">
      <w:pPr>
        <w:pStyle w:val="NoSpacing"/>
        <w:spacing w:line="360" w:lineRule="auto"/>
        <w:jc w:val="both"/>
      </w:pPr>
      <w:r>
        <w:t>With studies focusing on reciprocity (McCabe et al, 2003), the role of gender (Cox and Deck, 2006; Corson and Gneezy, 2004) and inequality aversion (Bolton &amp; Ockfe</w:t>
      </w:r>
      <w:r w:rsidR="00035829">
        <w:t>nfe</w:t>
      </w:r>
      <w:r>
        <w:t>ls, 2000); uncovering some interesting dynamics of trust.</w:t>
      </w:r>
    </w:p>
    <w:p w:rsidR="00EF36AF" w:rsidRPr="00C50A78" w:rsidRDefault="00EF36AF" w:rsidP="00286071">
      <w:pPr>
        <w:pStyle w:val="NoSpacing"/>
        <w:spacing w:line="360" w:lineRule="auto"/>
        <w:jc w:val="both"/>
      </w:pPr>
      <w:r w:rsidRPr="00C50A78">
        <w:t xml:space="preserve">The complex nature and volatility of trust means that there is no universal standard for anyone human, but this does not impair the exposure of broad patterns amongst groups. </w:t>
      </w:r>
    </w:p>
    <w:p w:rsidR="00EF36AF" w:rsidRDefault="00EF36AF" w:rsidP="00286071">
      <w:pPr>
        <w:pStyle w:val="NoSpacing"/>
        <w:spacing w:line="360" w:lineRule="auto"/>
        <w:jc w:val="both"/>
      </w:pPr>
      <w:r>
        <w:t xml:space="preserve">Chaudhuri and Gangaharan (2003) and Buchan, Croson and Solnick (2008) studied the possible relevance of gender in trust and trustworthiness. The observed tendency is that men demonstrate more trust than women. Nonetheless, women proof more trustworthy than men by showing higher levels of reciprocity. The difference may be explained by the perception that women commonly have a higher degree of risk aversion. </w:t>
      </w:r>
    </w:p>
    <w:p w:rsidR="00EF36AF" w:rsidRDefault="00EF36AF" w:rsidP="00286071">
      <w:pPr>
        <w:pStyle w:val="NoSpacing"/>
        <w:spacing w:line="360" w:lineRule="auto"/>
        <w:jc w:val="both"/>
      </w:pPr>
      <w:r>
        <w:t xml:space="preserve">Another aspect of trust’s dynamic character was studied by Sutter and Kocher (2006). Who postulated that trust does not merely vary between individuals, it also changes within them over time. Their study assessed trust and trustworthiness in different age groups. </w:t>
      </w:r>
    </w:p>
    <w:p w:rsidR="00EF36AF" w:rsidRDefault="00EF36AF" w:rsidP="00286071">
      <w:pPr>
        <w:pStyle w:val="NoSpacing"/>
        <w:spacing w:line="360" w:lineRule="auto"/>
        <w:jc w:val="both"/>
      </w:pPr>
      <w:r>
        <w:t xml:space="preserve">They concluded that trust is significantly higher in the adult groups, compared to children and adolescents. Trust evolves almost linearly for children onwards to the age of 30-40, where it peaks and stabilizes, before slightly declining in retirees. </w:t>
      </w:r>
    </w:p>
    <w:p w:rsidR="00EF36AF" w:rsidRDefault="00EF36AF" w:rsidP="00286071">
      <w:pPr>
        <w:pStyle w:val="NoSpacing"/>
        <w:spacing w:line="360" w:lineRule="auto"/>
        <w:jc w:val="both"/>
      </w:pPr>
      <w:r>
        <w:t>These studies indicate there to be particular patterns in trust. Both gender and age are so-called intraneous variables, as they can’t be externally influenced or formed.</w:t>
      </w:r>
    </w:p>
    <w:p w:rsidR="00EF36AF" w:rsidRDefault="00EF36AF" w:rsidP="00286071">
      <w:pPr>
        <w:pStyle w:val="NoSpacing"/>
        <w:spacing w:line="360" w:lineRule="auto"/>
        <w:jc w:val="both"/>
      </w:pPr>
      <w:r>
        <w:t xml:space="preserve">In relation to pensions the other main variable of interest is income. Income is contrary to gender and age available to self-induced alteration. In an experimental study performed under the Dutch population (Bellamare and Kroger, 2006) the influence of income on trust was found to be insignificant. This result corroborates with Fehr et al (2003), who’s findings suggest income not to influence trusting behavior. </w:t>
      </w:r>
    </w:p>
    <w:p w:rsidR="001C7473" w:rsidRDefault="001C7473" w:rsidP="00286071">
      <w:pPr>
        <w:pStyle w:val="NoSpacing"/>
        <w:spacing w:line="360" w:lineRule="auto"/>
        <w:jc w:val="both"/>
      </w:pPr>
    </w:p>
    <w:p w:rsidR="00EF36AF" w:rsidRDefault="00EF36AF" w:rsidP="00286071">
      <w:pPr>
        <w:pStyle w:val="NoSpacing"/>
        <w:spacing w:line="360" w:lineRule="auto"/>
        <w:jc w:val="both"/>
      </w:pPr>
      <w:r>
        <w:t xml:space="preserve">Steijn and Lancee (2011) paid special attention to the influence of income inequality on trust levels. Their conclusion affirmed the idea of Zak and Knack (2001), that it is not income inequality but national wealth, playing a major role in societal trust levels. These results indicate there to be no significant influence of income on trust. </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t xml:space="preserve">All these studies have afforded some valuable insight into the dynamics of trust. However they are nearly all experimental laboratory studies. Virtually all studies on these matters use the same basic set-up as Berg et al (1995). Only a very small minority (Fehr et al, 2003) consider the use of survey questions to help explain results or find (mis)matches, between actual behavior and the conscious subject judgment in a survey. Nonetheless, the most crucial limitation of these studies is the frequent neglection or confounding of risk attitudes in the consideration of behavior analysis (Fehr, 2009; Karlan, 2005; Kosfeld et al 2005). The experimental set-ups create a risk bearing situation, the effect of which is often ignored or neglected. </w:t>
      </w:r>
    </w:p>
    <w:p w:rsidR="00EF36AF" w:rsidRDefault="00EF36AF" w:rsidP="00286071">
      <w:pPr>
        <w:pStyle w:val="NoSpacing"/>
        <w:spacing w:line="360" w:lineRule="auto"/>
        <w:jc w:val="both"/>
      </w:pPr>
      <w:r>
        <w:t>Furthermore, some experimental studies don’t cater to the focus of this study, where we test the trust –risk relation between principal-agent subjects engaged in a long term relation. Where the pay-off is only definitive in the far future and not immediately.</w:t>
      </w:r>
      <w:r w:rsidRPr="007407DA">
        <w:t xml:space="preserve"> </w:t>
      </w:r>
      <w:r>
        <w:t>An in-depth assessment of the known relation between risk and trust is assessed in section 2.4.4.</w:t>
      </w:r>
    </w:p>
    <w:p w:rsidR="00EF36AF" w:rsidRPr="008A6C20" w:rsidRDefault="005C4D89" w:rsidP="00907D50">
      <w:pPr>
        <w:pStyle w:val="VIn33"/>
      </w:pPr>
      <w:bookmarkStart w:id="31" w:name="_Toc340568911"/>
      <w:r>
        <w:t>2.4.3. Trust in the p</w:t>
      </w:r>
      <w:r w:rsidR="00EF36AF" w:rsidRPr="008A6C20">
        <w:t>ension domain</w:t>
      </w:r>
      <w:bookmarkEnd w:id="31"/>
    </w:p>
    <w:p w:rsidR="00EF36AF" w:rsidRPr="000921A3" w:rsidRDefault="00EF36AF" w:rsidP="00286071">
      <w:pPr>
        <w:pStyle w:val="NoSpacing"/>
        <w:spacing w:line="360" w:lineRule="auto"/>
        <w:jc w:val="both"/>
      </w:pPr>
      <w:r w:rsidRPr="000921A3">
        <w:t xml:space="preserve">An initial interest that sparked the idea to study the role of trust was related to the transformation of trust in the second pillar pension sector. The pension domain’s landscape has been discussed previously in this chapter; nonetheless contrasting relevant studies with reality gives some additional insight into the </w:t>
      </w:r>
      <w:r w:rsidRPr="0082160F">
        <w:t>special trust</w:t>
      </w:r>
      <w:r w:rsidRPr="000921A3">
        <w:t xml:space="preserve"> relation. </w:t>
      </w:r>
      <w:r>
        <w:t>As said t</w:t>
      </w:r>
      <w:r w:rsidRPr="000921A3">
        <w:t>he common design of existing trust studies and literature largely abate the pension domain. With which the most forthcoming difference is the longevity of the relationship, pension relations are much unlike the one-period or one-move situations in experiments.</w:t>
      </w:r>
    </w:p>
    <w:p w:rsidR="00EF36AF" w:rsidRPr="000921A3" w:rsidRDefault="00EF36AF" w:rsidP="00286071">
      <w:pPr>
        <w:pStyle w:val="NoSpacing"/>
        <w:spacing w:line="360" w:lineRule="auto"/>
        <w:jc w:val="both"/>
      </w:pPr>
      <w:r w:rsidRPr="000921A3">
        <w:t>The principal domain characteristic is that the pension fund market is like most of the financial markets characterized by a fiduciary relationship (Ring, 2004). Meaning that for the market’s existence and operating, trust is a necessity. Llewellyn (1999) explains that the need or cause for such a relation is due to the information asymmetry.</w:t>
      </w:r>
    </w:p>
    <w:p w:rsidR="00EF36AF" w:rsidRDefault="00EF36AF" w:rsidP="00286071">
      <w:pPr>
        <w:pStyle w:val="NoSpacing"/>
        <w:spacing w:line="360" w:lineRule="auto"/>
        <w:jc w:val="both"/>
      </w:pPr>
      <w:r w:rsidRPr="000921A3">
        <w:t>The second pillar pension market sets itself apart from the rest of the financial service industry due to number of reasons. One being that besides the</w:t>
      </w:r>
      <w:r>
        <w:t xml:space="preserve"> knowledge disp</w:t>
      </w:r>
      <w:r w:rsidRPr="000921A3">
        <w:t>a</w:t>
      </w:r>
      <w:r>
        <w:t>rit</w:t>
      </w:r>
      <w:r w:rsidRPr="000921A3">
        <w:t>y, there is virtually no choice to the employee, their relationship with the pension</w:t>
      </w:r>
      <w:r>
        <w:t xml:space="preserve"> </w:t>
      </w:r>
      <w:r w:rsidRPr="000921A3">
        <w:t xml:space="preserve">fund is an obligatory or forced one. In addition to the normal function that trust fulfills in economic relations. In this market trust performs a </w:t>
      </w:r>
      <w:r>
        <w:t>supplementary role</w:t>
      </w:r>
      <w:r w:rsidRPr="000921A3">
        <w:t xml:space="preserve">. </w:t>
      </w:r>
    </w:p>
    <w:p w:rsidR="00EF36AF" w:rsidRPr="000921A3" w:rsidRDefault="00EF36AF" w:rsidP="00286071">
      <w:pPr>
        <w:pStyle w:val="NoSpacing"/>
        <w:spacing w:line="360" w:lineRule="auto"/>
        <w:jc w:val="both"/>
      </w:pPr>
      <w:r w:rsidRPr="000921A3">
        <w:t xml:space="preserve">With obligatory membership, trust </w:t>
      </w:r>
      <w:r>
        <w:t xml:space="preserve">also </w:t>
      </w:r>
      <w:r w:rsidRPr="000921A3">
        <w:t>acts as the pension</w:t>
      </w:r>
      <w:r>
        <w:t xml:space="preserve"> </w:t>
      </w:r>
      <w:r w:rsidRPr="000921A3">
        <w:t xml:space="preserve">fund’s indicator of </w:t>
      </w:r>
      <w:r>
        <w:t>approval</w:t>
      </w:r>
      <w:r w:rsidRPr="000921A3">
        <w:t xml:space="preserve">. </w:t>
      </w:r>
      <w:r>
        <w:t>Particularly, as a</w:t>
      </w:r>
      <w:r w:rsidRPr="000921A3">
        <w:t xml:space="preserve"> reduction in plan member trust levels is unlikely to have immediate consequences for a pension fund. It is a rather complex and enduring process that has to come in to action, before an employer is persuaded to switch pension fund provider.</w:t>
      </w:r>
    </w:p>
    <w:p w:rsidR="00EF36AF" w:rsidRPr="000921A3" w:rsidRDefault="00EF36AF" w:rsidP="00286071">
      <w:pPr>
        <w:pStyle w:val="NoSpacing"/>
        <w:spacing w:line="360" w:lineRule="auto"/>
        <w:jc w:val="both"/>
      </w:pPr>
      <w:r w:rsidRPr="000921A3">
        <w:t>By own declaration, on their websites and annual reports</w:t>
      </w:r>
      <w:r w:rsidRPr="000921A3">
        <w:rPr>
          <w:rStyle w:val="FootnoteReference"/>
        </w:rPr>
        <w:footnoteReference w:id="4"/>
      </w:r>
      <w:r w:rsidRPr="000921A3">
        <w:t xml:space="preserve">, pension funds admit that their trustworthiness is important. This paper is set out to proof that indeed trust is important for a far more pressing reason than mere plan member approval, as it is </w:t>
      </w:r>
      <w:r>
        <w:t>thought</w:t>
      </w:r>
      <w:r w:rsidRPr="000921A3">
        <w:t xml:space="preserve"> to </w:t>
      </w:r>
      <w:r>
        <w:t xml:space="preserve">influence </w:t>
      </w:r>
      <w:r w:rsidRPr="000921A3">
        <w:t>risk attitudes. And through the</w:t>
      </w:r>
      <w:r>
        <w:t xml:space="preserve"> plan member’s</w:t>
      </w:r>
      <w:r w:rsidRPr="000921A3">
        <w:t xml:space="preserve"> risk attitude, the investme</w:t>
      </w:r>
      <w:r>
        <w:t>nt purview</w:t>
      </w:r>
      <w:r w:rsidRPr="000921A3">
        <w:t xml:space="preserve"> of the pension plan.</w:t>
      </w:r>
    </w:p>
    <w:p w:rsidR="00EF36AF" w:rsidRPr="000921A3" w:rsidRDefault="00EF36AF" w:rsidP="00286071">
      <w:pPr>
        <w:pStyle w:val="NoSpacing"/>
        <w:spacing w:line="360" w:lineRule="auto"/>
        <w:jc w:val="both"/>
      </w:pPr>
    </w:p>
    <w:p w:rsidR="00EF36AF" w:rsidRPr="000921A3" w:rsidRDefault="00EF36AF" w:rsidP="00286071">
      <w:pPr>
        <w:pStyle w:val="NoSpacing"/>
        <w:spacing w:line="360" w:lineRule="auto"/>
        <w:jc w:val="both"/>
      </w:pPr>
      <w:r w:rsidRPr="000921A3">
        <w:t xml:space="preserve">The current situation is far from desirable and trust levels have taken a pounding since the beginning of the financial crisis. In </w:t>
      </w:r>
      <w:r w:rsidRPr="00966CBA">
        <w:t>the most recent</w:t>
      </w:r>
      <w:r w:rsidRPr="000921A3">
        <w:t xml:space="preserve"> publication of an annual </w:t>
      </w:r>
      <w:r>
        <w:t xml:space="preserve">De </w:t>
      </w:r>
      <w:r w:rsidRPr="00966CBA">
        <w:t>Nederlandsche</w:t>
      </w:r>
      <w:r w:rsidRPr="000921A3">
        <w:t xml:space="preserve"> Bank household survey</w:t>
      </w:r>
      <w:r>
        <w:t xml:space="preserve"> (DNB, 2012)</w:t>
      </w:r>
      <w:r w:rsidRPr="000921A3">
        <w:t xml:space="preserve"> there was disheartening news regarding trust levels. Public trust in pension funds in 2012 was at </w:t>
      </w:r>
      <w:r>
        <w:t xml:space="preserve">the </w:t>
      </w:r>
      <w:r w:rsidRPr="000921A3">
        <w:t xml:space="preserve">55% level, a 7% decrease from the 62% in 2011, and a tumble from 2007’s 85%. Trust levels in pension funds are at their lowest point since 2006, falling behind on other financial service providers such as banks and insurers. This is a distressing trend for an industry so reliant on trust. </w:t>
      </w:r>
    </w:p>
    <w:p w:rsidR="00EF36AF" w:rsidRDefault="00EF36AF" w:rsidP="00286071">
      <w:pPr>
        <w:pStyle w:val="NoSpacing"/>
        <w:spacing w:line="360" w:lineRule="auto"/>
        <w:jc w:val="both"/>
      </w:pPr>
      <w:r w:rsidRPr="000921A3">
        <w:t>Illustrative of this development is the simultaneous movement under younger generations (21-40) of which a majority of 67% wants to be able to choose their own pension</w:t>
      </w:r>
      <w:r>
        <w:t xml:space="preserve"> </w:t>
      </w:r>
      <w:r w:rsidRPr="000921A3">
        <w:t xml:space="preserve">fund.  </w:t>
      </w:r>
    </w:p>
    <w:p w:rsidR="00EF36AF" w:rsidRDefault="00EF36AF" w:rsidP="00286071">
      <w:pPr>
        <w:pStyle w:val="NoSpacing"/>
        <w:spacing w:line="360" w:lineRule="auto"/>
        <w:jc w:val="both"/>
      </w:pPr>
    </w:p>
    <w:p w:rsidR="00EF36AF" w:rsidRPr="008A6C20" w:rsidRDefault="00EF36AF" w:rsidP="00907D50">
      <w:pPr>
        <w:pStyle w:val="VIn33"/>
      </w:pPr>
      <w:bookmarkStart w:id="32" w:name="_Toc340568912"/>
      <w:r w:rsidRPr="008A6C20">
        <w:t xml:space="preserve">2.4.4. Trust and </w:t>
      </w:r>
      <w:r w:rsidR="005C4D89">
        <w:t>r</w:t>
      </w:r>
      <w:r w:rsidRPr="008A6C20">
        <w:t>isk</w:t>
      </w:r>
      <w:bookmarkEnd w:id="32"/>
    </w:p>
    <w:p w:rsidR="00EF36AF" w:rsidRDefault="00EF36AF" w:rsidP="00286071">
      <w:pPr>
        <w:pStyle w:val="NoSpacing"/>
        <w:spacing w:line="360" w:lineRule="auto"/>
        <w:jc w:val="both"/>
      </w:pPr>
      <w:r w:rsidRPr="00874BA5">
        <w:t xml:space="preserve">Trust is proven to be an influential explanatory factor for (economic) behavior. The same is true for risk attitudes. However not much has been said about the interaction between them, which is one of the main pillars this study revolves around. </w:t>
      </w:r>
      <w:r>
        <w:t xml:space="preserve"> </w:t>
      </w:r>
    </w:p>
    <w:p w:rsidR="00EF36AF" w:rsidRDefault="00EF36AF" w:rsidP="00286071">
      <w:pPr>
        <w:pStyle w:val="NoSpacing"/>
        <w:spacing w:line="360" w:lineRule="auto"/>
        <w:jc w:val="both"/>
      </w:pPr>
      <w:r>
        <w:t>The dynamic characters of trust and risk show certain compatibility. Whilst they are considered as deeply personal and different per individual; for both substantive patterns are found i.e. in age and gender.</w:t>
      </w:r>
    </w:p>
    <w:p w:rsidR="00EF36AF" w:rsidRDefault="00EF36AF" w:rsidP="00286071">
      <w:pPr>
        <w:pStyle w:val="NoSpacing"/>
        <w:spacing w:line="360" w:lineRule="auto"/>
        <w:jc w:val="both"/>
      </w:pPr>
      <w:r>
        <w:t>This does not unify the two, but there appears to be a rather interesting relation, one that might possibly help elucidate the debt of their relation to economist. The bilateral connection between them indicates a mutual influence, the understanding of which is still very limited.</w:t>
      </w:r>
    </w:p>
    <w:p w:rsidR="00EF36AF" w:rsidRDefault="00EF36AF" w:rsidP="00286071">
      <w:pPr>
        <w:pStyle w:val="NoSpacing"/>
        <w:spacing w:line="360" w:lineRule="auto"/>
        <w:jc w:val="both"/>
      </w:pPr>
      <w:r>
        <w:t xml:space="preserve">The ambiguous nature of the two concepts has divided research and opinions on the relation. </w:t>
      </w:r>
    </w:p>
    <w:p w:rsidR="00EF36AF" w:rsidRDefault="00EF36AF" w:rsidP="00286071">
      <w:pPr>
        <w:pStyle w:val="NoSpacing"/>
        <w:spacing w:line="360" w:lineRule="auto"/>
        <w:jc w:val="both"/>
      </w:pPr>
      <w:r>
        <w:t>Subsequently there are various notions on which of the two (factors) stimulates or dominates the other. However, for a large part that argument can be distilled down to interpretational conflicts on definition or dissimilar standpoint.</w:t>
      </w:r>
    </w:p>
    <w:p w:rsidR="00EF36AF" w:rsidRDefault="00EF36AF" w:rsidP="00286071">
      <w:pPr>
        <w:pStyle w:val="NoSpacing"/>
        <w:spacing w:line="360" w:lineRule="auto"/>
        <w:jc w:val="both"/>
      </w:pPr>
      <w:r>
        <w:t xml:space="preserve">Some theorist argue that trust is only needed in risky situations (Coleman, 1990), others argue the opposite and </w:t>
      </w:r>
      <w:r w:rsidRPr="004B5BD2">
        <w:t xml:space="preserve">see </w:t>
      </w:r>
      <w:r>
        <w:t>risk taking as a result of trust. Whilst there is yet another group, who argue that trust should be considered not as an independent entity but as a subsection of risk, and thus be treated accordingly (Williamson, 1993). The weakness of this last argument is in the premise.</w:t>
      </w:r>
    </w:p>
    <w:p w:rsidR="00EF36AF" w:rsidRDefault="00EF36AF" w:rsidP="00286071">
      <w:pPr>
        <w:pStyle w:val="NoSpacing"/>
        <w:spacing w:line="360" w:lineRule="auto"/>
        <w:jc w:val="both"/>
      </w:pPr>
      <w:r>
        <w:t>The reasoning that trust is not independent from risk (Williamson, 1993) is inherently flawed.</w:t>
      </w:r>
    </w:p>
    <w:p w:rsidR="00EF36AF" w:rsidRDefault="00EF36AF" w:rsidP="00286071">
      <w:pPr>
        <w:pStyle w:val="NoSpacing"/>
        <w:spacing w:line="360" w:lineRule="auto"/>
        <w:jc w:val="both"/>
      </w:pPr>
      <w:r>
        <w:t xml:space="preserve">As indeed Houser et al (2006) proofs, the most common held understanding that the two can appear separately. In their research, under modeled circumstances there is a clear and observable independence </w:t>
      </w:r>
      <w:r w:rsidR="00CE503A">
        <w:t xml:space="preserve">existence </w:t>
      </w:r>
      <w:r>
        <w:t>of the two.</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t>To put these studies into the purview of this paper, the second pillar pension market won’t let itself be defined as either a pure trust or a pure risk game, as it contains both.</w:t>
      </w:r>
    </w:p>
    <w:p w:rsidR="00EF36AF" w:rsidRDefault="00EF36AF" w:rsidP="00286071">
      <w:pPr>
        <w:pStyle w:val="NoSpacing"/>
        <w:spacing w:line="360" w:lineRule="auto"/>
        <w:jc w:val="both"/>
      </w:pPr>
      <w:r>
        <w:t xml:space="preserve">Attempts made at constructing satisfactory risk-trust models, to date have been rather unrewarding. This is largely due to their intangibility and because both remain subjective concepts, for which no unanimous measuring scale has been established (Josang and Lo Presti, 2004). </w:t>
      </w:r>
    </w:p>
    <w:p w:rsidR="00EF36AF" w:rsidRDefault="00EF36AF" w:rsidP="00286071">
      <w:pPr>
        <w:pStyle w:val="NoSpacing"/>
        <w:spacing w:line="360" w:lineRule="auto"/>
        <w:jc w:val="both"/>
      </w:pPr>
      <w:r>
        <w:t>With no adequate or satisfying model available to the needs and ends of this research. This study is conducted from the adopted standpoint that the decision making process in economics is not primarily dependent on the risk that is borne, in the specific or resulting situation. In the decision making process, the importance of risk and the acceptability of this risk is subordinate to one’s trust in the counterparty or favorable outcome. Meaning that when trust is sufficient to proceed than the risk must automatically also be acceptable. Schoorman et al (2007) explains this by saying that “</w:t>
      </w:r>
      <w:r w:rsidRPr="00FF7D20">
        <w:rPr>
          <w:i/>
        </w:rPr>
        <w:t>Trust is the “willingness to take risk”, and the level of trust is an indication of the amount of risk that one is willing to take”</w:t>
      </w:r>
      <w:r>
        <w:rPr>
          <w:rStyle w:val="FootnoteReference"/>
          <w:i/>
        </w:rPr>
        <w:footnoteReference w:id="5"/>
      </w:r>
      <w:r>
        <w:t xml:space="preserve">. </w:t>
      </w:r>
    </w:p>
    <w:p w:rsidR="00EF36AF" w:rsidRDefault="00EF36AF" w:rsidP="00286071">
      <w:pPr>
        <w:pStyle w:val="NoSpacing"/>
        <w:spacing w:line="360" w:lineRule="auto"/>
        <w:jc w:val="both"/>
        <w:rPr>
          <w:strike/>
          <w:u w:val="single"/>
        </w:rPr>
      </w:pPr>
      <w:r>
        <w:t>Johnston-George and Swap (1982) simply argue that the presence of trust supports risk taking by the trustor. Since “</w:t>
      </w:r>
      <w:r w:rsidRPr="00836190">
        <w:rPr>
          <w:i/>
        </w:rPr>
        <w:t>willingness to take risks may be one of the few characteristics common to all trust situations”</w:t>
      </w:r>
      <w:r>
        <w:rPr>
          <w:rStyle w:val="FootnoteReference"/>
          <w:i/>
        </w:rPr>
        <w:footnoteReference w:id="6"/>
      </w:r>
      <w:r>
        <w:t>. Craswel (1993) puts it that trust is a “</w:t>
      </w:r>
      <w:r w:rsidRPr="00836190">
        <w:rPr>
          <w:i/>
        </w:rPr>
        <w:t>noncalculative explanation for cooperative or risk-taking behavior”</w:t>
      </w:r>
      <w:r>
        <w:rPr>
          <w:rStyle w:val="FootnoteReference"/>
          <w:i/>
        </w:rPr>
        <w:footnoteReference w:id="7"/>
      </w:r>
      <w:r>
        <w:t xml:space="preserve">. </w:t>
      </w:r>
      <w:r w:rsidRPr="00DB32F3">
        <w:t>Thus in no situation is risk ignored or disregarded, it is merely considered dominated in relation to trust. If trust doesn’t exceed risk, the situation is avoided and vice versa.</w:t>
      </w:r>
    </w:p>
    <w:p w:rsidR="00EF36AF" w:rsidRPr="00EB38AB" w:rsidRDefault="00EF36AF" w:rsidP="00286071">
      <w:pPr>
        <w:pStyle w:val="NoSpacing"/>
        <w:spacing w:line="360" w:lineRule="auto"/>
        <w:jc w:val="both"/>
        <w:rPr>
          <w:strike/>
          <w:u w:val="single"/>
        </w:rPr>
      </w:pPr>
    </w:p>
    <w:p w:rsidR="00EF36AF" w:rsidRDefault="00EF36AF" w:rsidP="00286071">
      <w:pPr>
        <w:pStyle w:val="NoSpacing"/>
        <w:spacing w:line="360" w:lineRule="auto"/>
        <w:jc w:val="both"/>
      </w:pPr>
      <w:r>
        <w:t>When combining the facts and literature presented in this study, the motivation for this research is obvious. In the niche market of the second pillar pension funds, its design is what makes the case fascinating.</w:t>
      </w:r>
    </w:p>
    <w:p w:rsidR="00EF36AF" w:rsidRDefault="00EF36AF" w:rsidP="00286071">
      <w:pPr>
        <w:pStyle w:val="NoSpacing"/>
        <w:spacing w:line="360" w:lineRule="auto"/>
        <w:jc w:val="both"/>
      </w:pPr>
      <w:r>
        <w:t>The extraordinary nature of the market has made it incompatible or comparable to the many studies and their findings. Evermore, the restricted functioning of trust in this market is ignored by many studies.</w:t>
      </w:r>
    </w:p>
    <w:p w:rsidR="00EF36AF" w:rsidRDefault="00EF36AF" w:rsidP="00286071">
      <w:pPr>
        <w:pStyle w:val="NoSpacing"/>
        <w:spacing w:line="360" w:lineRule="auto"/>
        <w:jc w:val="both"/>
      </w:pPr>
      <w:r>
        <w:t>The average plan member is aware of the pension fund’s involvement in risk bearing investment. A fund, which is imposed upon the plan member’s by an employer. Creating a situation where trust is no longer a primary necessity to sustain the relation, of the financial agent and the principal. This development retires trust’s facilitating role. However, the trust of plan members doesn’t disappear and their trust levels will still shift. As a result, trust solely becomes an indicator for the member’s approval. When trust is considered to be the “willingness to take risk” then, trust variation potentially has the power to infer risk appetite adaptions.</w:t>
      </w:r>
    </w:p>
    <w:p w:rsidR="00EF36AF" w:rsidRDefault="00EF36AF" w:rsidP="00286071">
      <w:pPr>
        <w:pStyle w:val="NoSpacing"/>
        <w:spacing w:line="360" w:lineRule="auto"/>
        <w:jc w:val="both"/>
      </w:pPr>
      <w:r>
        <w:t>The bilateral bond as described in the paragraph above has not been successfully tested or proven up to this date. Evidence that confirms or denies the hypothesis of this study aids either way, in the understanding of the trust-risk relation.</w:t>
      </w:r>
    </w:p>
    <w:p w:rsidR="004E496D" w:rsidRDefault="004E496D" w:rsidP="00286071">
      <w:pPr>
        <w:pStyle w:val="NoSpacing"/>
        <w:spacing w:line="360" w:lineRule="auto"/>
        <w:jc w:val="both"/>
      </w:pPr>
    </w:p>
    <w:p w:rsidR="00EF36AF" w:rsidRPr="008A6C20" w:rsidRDefault="00EF36AF" w:rsidP="00286071">
      <w:pPr>
        <w:pStyle w:val="NoSpacing"/>
        <w:spacing w:line="360" w:lineRule="auto"/>
        <w:jc w:val="both"/>
        <w:rPr>
          <w:color w:val="1F497D" w:themeColor="text2"/>
          <w:sz w:val="24"/>
          <w:szCs w:val="24"/>
        </w:rPr>
      </w:pPr>
      <w:r w:rsidRPr="008A6C20">
        <w:rPr>
          <w:color w:val="1F497D" w:themeColor="text2"/>
          <w:sz w:val="24"/>
          <w:szCs w:val="24"/>
        </w:rPr>
        <w:t>2.4.5. Conclusion</w:t>
      </w:r>
    </w:p>
    <w:p w:rsidR="00EF36AF" w:rsidRDefault="00EF36AF" w:rsidP="00286071">
      <w:pPr>
        <w:pStyle w:val="NoSpacing"/>
        <w:spacing w:line="360" w:lineRule="auto"/>
        <w:jc w:val="both"/>
      </w:pPr>
      <w:r>
        <w:t xml:space="preserve">Trust is proven to be more than a vague feeling or a concept. It is demonstrated to be the very catalyst of our modern economy. No money without trust and most certainly no financial sector. Like all financial service providers, pension funds are in the business of trust, as much as they are in the business of pensions. Therefore, their consideration for it should be rather significant. </w:t>
      </w:r>
    </w:p>
    <w:p w:rsidR="00EF36AF" w:rsidRDefault="00EF36AF" w:rsidP="00286071">
      <w:pPr>
        <w:pStyle w:val="NoSpacing"/>
        <w:spacing w:line="360" w:lineRule="auto"/>
        <w:jc w:val="both"/>
      </w:pPr>
      <w:r>
        <w:t>Experimental research has revealed that there are certain patterns in trust and that it’s not entirely individual. There are claims that men are more trusting whilst women are the more trustworthy of the two. Age plays a role in the transformation of trust, as it almost linearly increases from childhood to adulthood. Trusting peaks between the ages of 30 to 40 before slightly decreasing near retirement. Income has proven to be an irrelevant factor in trust.</w:t>
      </w:r>
    </w:p>
    <w:p w:rsidR="00EF36AF" w:rsidRDefault="00EF36AF" w:rsidP="00286071">
      <w:pPr>
        <w:pStyle w:val="NoSpacing"/>
        <w:spacing w:line="360" w:lineRule="auto"/>
        <w:jc w:val="both"/>
      </w:pPr>
      <w:r>
        <w:t xml:space="preserve">In the pension domain, trust and trustworthiness are important factors. In the second pillar where they fulfill a more unique role than a mere measurement tool for client satisfaction this is even more true. In recent times the trust of the population in the pension funds has shown a decreasing trend. The falling trust levels are a worrying development, which coincidentally goes accompanied by younger generation’s desire for systematic reform of the employer obligatory fund. </w:t>
      </w:r>
    </w:p>
    <w:p w:rsidR="00EF36AF" w:rsidRDefault="00EF36AF" w:rsidP="00286071">
      <w:pPr>
        <w:pStyle w:val="NoSpacing"/>
        <w:spacing w:line="360" w:lineRule="auto"/>
        <w:jc w:val="both"/>
      </w:pPr>
      <w:r>
        <w:t xml:space="preserve">The distinctive market characteristics of the second pillar pension sector create an asymmetric informational relation which redefines the functioning of trust in a transaction and business relation.The known researched relation between the separate entities of risk and trust has shown to be diverse and so-far incomplete, on the debt and dynamics of the undeniable relation between trust and risk. </w:t>
      </w:r>
    </w:p>
    <w:p w:rsidR="00EF36AF" w:rsidRPr="008A6C20" w:rsidRDefault="00EF36AF" w:rsidP="00907D50">
      <w:pPr>
        <w:pStyle w:val="Vin2"/>
        <w:numPr>
          <w:ilvl w:val="0"/>
          <w:numId w:val="0"/>
        </w:numPr>
      </w:pPr>
      <w:bookmarkStart w:id="33" w:name="_Toc340568913"/>
      <w:r w:rsidRPr="008A6C20">
        <w:t>2.5. Knowledge</w:t>
      </w:r>
      <w:bookmarkEnd w:id="33"/>
    </w:p>
    <w:p w:rsidR="00EF36AF" w:rsidRPr="008A6C20" w:rsidRDefault="00EF36AF" w:rsidP="00907D50">
      <w:pPr>
        <w:pStyle w:val="VIn33"/>
      </w:pPr>
      <w:bookmarkStart w:id="34" w:name="_Toc340568914"/>
      <w:r w:rsidRPr="008A6C20">
        <w:t>2.5.1. Introduction</w:t>
      </w:r>
      <w:bookmarkEnd w:id="34"/>
    </w:p>
    <w:p w:rsidR="00EF36AF" w:rsidRDefault="00EF36AF" w:rsidP="00286071">
      <w:pPr>
        <w:pStyle w:val="NoSpacing"/>
        <w:spacing w:line="360" w:lineRule="auto"/>
        <w:jc w:val="both"/>
      </w:pPr>
      <w:r>
        <w:t xml:space="preserve">Part of rational decision-making, is knowledge. Knowledge encapsulates the theoretical and practical understanding, facts, information and skill acquired through education and experience. </w:t>
      </w:r>
    </w:p>
    <w:p w:rsidR="00EF36AF" w:rsidRDefault="00EF36AF" w:rsidP="00286071">
      <w:pPr>
        <w:pStyle w:val="NoSpacing"/>
        <w:spacing w:line="360" w:lineRule="auto"/>
        <w:jc w:val="both"/>
      </w:pPr>
      <w:r>
        <w:t xml:space="preserve">Much has been written on the importance of knowledge and the value it holds to the owner. The phrase “knowledge is power”, attributed to Sir Francis Bacon, has a strong validity. </w:t>
      </w:r>
    </w:p>
    <w:p w:rsidR="00EF36AF" w:rsidRDefault="00EF36AF" w:rsidP="00286071">
      <w:pPr>
        <w:pStyle w:val="NoSpacing"/>
        <w:spacing w:line="360" w:lineRule="auto"/>
        <w:jc w:val="both"/>
      </w:pPr>
      <w:r>
        <w:t>A very intuitive and common perception is that, having an understanding of the relevant subject is a necessity to make a rational choice between the available options. Sowell (1980) opinionates that the knowledge used at the moment of decision-making is more important than the knowledge used leading up to it. There have many others in the academic (economic) community that have published on the matter, amongst whom names as Sandel, Kahneman and Tversky.</w:t>
      </w:r>
    </w:p>
    <w:p w:rsidR="00EF36AF" w:rsidRDefault="00EF36AF" w:rsidP="00286071">
      <w:pPr>
        <w:pStyle w:val="NoSpacing"/>
        <w:spacing w:line="360" w:lineRule="auto"/>
        <w:jc w:val="both"/>
      </w:pPr>
      <w:r>
        <w:t>There are many factors part of the decision-making process that are influenced by knowledge. This influence on other factors makes knowledge an integral part of making rational decision.</w:t>
      </w:r>
    </w:p>
    <w:p w:rsidR="00EF36AF" w:rsidRPr="008A6C20" w:rsidRDefault="00EF36AF" w:rsidP="00286071">
      <w:pPr>
        <w:pStyle w:val="NoSpacing"/>
        <w:spacing w:line="360" w:lineRule="auto"/>
        <w:jc w:val="both"/>
        <w:rPr>
          <w:color w:val="1F497D" w:themeColor="text2"/>
        </w:rPr>
      </w:pPr>
    </w:p>
    <w:p w:rsidR="00EF36AF" w:rsidRPr="008A6C20" w:rsidRDefault="005C4D89" w:rsidP="00907D50">
      <w:pPr>
        <w:pStyle w:val="VIn33"/>
      </w:pPr>
      <w:bookmarkStart w:id="35" w:name="_Toc340568915"/>
      <w:r>
        <w:t>2.5.2 Financial k</w:t>
      </w:r>
      <w:r w:rsidR="00EF36AF" w:rsidRPr="008A6C20">
        <w:t>nowledge</w:t>
      </w:r>
      <w:bookmarkEnd w:id="35"/>
    </w:p>
    <w:p w:rsidR="00EF36AF" w:rsidRDefault="00EF36AF" w:rsidP="00286071">
      <w:pPr>
        <w:pStyle w:val="NoSpacing"/>
        <w:spacing w:line="360" w:lineRule="auto"/>
        <w:jc w:val="both"/>
      </w:pPr>
      <w:r>
        <w:t xml:space="preserve">Financial knowledge or financial literacy, refer to an individual’s degree of understanding of economics and finance. It is the type of intelligence that assists an individual in making considerate and informed choices, within the financial domain. </w:t>
      </w:r>
    </w:p>
    <w:p w:rsidR="00EF36AF" w:rsidRDefault="00EF36AF" w:rsidP="00286071">
      <w:pPr>
        <w:pStyle w:val="NoSpacing"/>
        <w:spacing w:line="360" w:lineRule="auto"/>
        <w:jc w:val="both"/>
      </w:pPr>
      <w:r>
        <w:t>Amongst the majority of Dutch households, financial knowledge is rather unsatisfactory.  In a recent small research survey, held by the BNP bank</w:t>
      </w:r>
      <w:r w:rsidR="000A37D3">
        <w:t xml:space="preserve"> (BNP, 2010)</w:t>
      </w:r>
      <w:r>
        <w:t xml:space="preserve">, the results revealed that people in general overestimate their financial knowledge. Whilst 40% of the households considered themselves to have good financial knowledge, in reality only a mere 13% truly had good financial knowledge. When submitted to multiple choice questions about the meaning of certain financial terms, “pensioengat” had the highest score with 73% knowing the correct meaning. Amongst the other terms tested, the score oscillates around a quite poor 30%. </w:t>
      </w:r>
    </w:p>
    <w:p w:rsidR="00EF36AF" w:rsidRDefault="00EF36AF" w:rsidP="00286071">
      <w:pPr>
        <w:pStyle w:val="NoSpacing"/>
        <w:spacing w:line="360" w:lineRule="auto"/>
        <w:jc w:val="both"/>
      </w:pPr>
      <w:r>
        <w:t xml:space="preserve">This could suggest that people are in some sense more concerned and informed with the pension system, than with other financial domains. This is likely to be a consequence of the recent media coverage of the turmoil in the pension sector. </w:t>
      </w:r>
    </w:p>
    <w:p w:rsidR="00EF36AF" w:rsidRDefault="00EF36AF" w:rsidP="00286071">
      <w:pPr>
        <w:pStyle w:val="NoSpacing"/>
        <w:spacing w:line="360" w:lineRule="auto"/>
        <w:jc w:val="both"/>
      </w:pPr>
      <w:r>
        <w:t xml:space="preserve">A more elaborate study by De Nederlansche Bank in 2005 (DNB, 2005) drew relatively similar conclusions about the financial literacy amongst Dutch households. The average level of financial knowledge was revealed to be limited. However, the paper is careful to note that there is no absolute level of knowledge to be expected of common people. The studies agree on the unsatisfactory level of financial knowledge of Dutch households. </w:t>
      </w:r>
    </w:p>
    <w:p w:rsidR="00EF36AF" w:rsidRPr="00C758DB" w:rsidRDefault="00EF36AF" w:rsidP="00286071">
      <w:pPr>
        <w:pStyle w:val="NoSpacing"/>
        <w:spacing w:line="360" w:lineRule="auto"/>
        <w:jc w:val="both"/>
      </w:pPr>
      <w:r w:rsidRPr="00C758DB">
        <w:t xml:space="preserve">De Nederlandsche Bank furthermore judged that the knowledge on investments was rather meager. The scores on the investment question were below the questionnaire average.  </w:t>
      </w:r>
    </w:p>
    <w:p w:rsidR="00EF36AF" w:rsidRPr="00C758DB" w:rsidRDefault="00EF36AF" w:rsidP="00286071">
      <w:pPr>
        <w:pStyle w:val="NoSpacing"/>
        <w:spacing w:line="360" w:lineRule="auto"/>
        <w:jc w:val="both"/>
      </w:pPr>
      <w:r w:rsidRPr="00C758DB">
        <w:t xml:space="preserve">These studies provide a clear conclusion on the financial literacy of the average Dutch household.  Even though their conclusions may not be all too surprising, their findings encapsulate a valuable judgment, for this thesis. This information is usefull in the consideration of an individual’s understanding of a pension fund’s activities. Since investment is a core activity of a pensionfund, these results suggest that people do not have much understanding of pension funds financial operations.  </w:t>
      </w:r>
    </w:p>
    <w:p w:rsidR="00EF36AF" w:rsidRPr="00C758DB" w:rsidRDefault="00EF36AF" w:rsidP="00286071">
      <w:pPr>
        <w:pStyle w:val="NoSpacing"/>
        <w:spacing w:line="360" w:lineRule="auto"/>
        <w:jc w:val="both"/>
      </w:pPr>
      <w:r w:rsidRPr="00C758DB">
        <w:t>Before observing the details of pension specific financial literacy, it is insightful to look at the practical and related consequences of general financial knowledge.</w:t>
      </w:r>
    </w:p>
    <w:p w:rsidR="00EF36AF" w:rsidRPr="00C758DB" w:rsidRDefault="00EF36AF" w:rsidP="00286071">
      <w:pPr>
        <w:pStyle w:val="NoSpacing"/>
        <w:spacing w:line="360" w:lineRule="auto"/>
        <w:jc w:val="both"/>
      </w:pPr>
      <w:r w:rsidRPr="00C758DB">
        <w:t xml:space="preserve">Lusardi (2008) assessed the importance of financial literacy on household savings behavior in the United States. She explains that low or substandard financial literacy and information, have a negative effect on an individual’s likelihood to ensure sufficient savings and pension. Although this research publication was performed in the United States of America, which has a different welfare system in effect. The notion, that financial literacy is crucial to making effective and desirable personal economic decisions, is universally true. </w:t>
      </w:r>
    </w:p>
    <w:p w:rsidR="00EF36AF" w:rsidRPr="00C758DB" w:rsidRDefault="00EF36AF" w:rsidP="00286071">
      <w:pPr>
        <w:pStyle w:val="NoSpacing"/>
        <w:spacing w:line="360" w:lineRule="auto"/>
        <w:jc w:val="both"/>
      </w:pPr>
      <w:r w:rsidRPr="00C758DB">
        <w:t xml:space="preserve">This view is confirmed by van Rooij (2009). He did not only look at the financial knowledge of Dutch households, but he also calculated the financial consequences of this for the households. He affirmed the previously aired notion, that the financial knowledge of the average Dutch households is very unsatisfactory. So unsatisfactory indeed, that he considers them to be unequipped for making well considered financial decisions. </w:t>
      </w:r>
    </w:p>
    <w:p w:rsidR="00EF36AF" w:rsidRPr="00C758DB" w:rsidRDefault="00EF36AF" w:rsidP="00286071">
      <w:pPr>
        <w:pStyle w:val="NoSpacing"/>
        <w:spacing w:line="360" w:lineRule="auto"/>
        <w:jc w:val="both"/>
      </w:pPr>
      <w:r w:rsidRPr="00C758DB">
        <w:t xml:space="preserve">The main significance of his research is in the outcome of his calculations, which quantify the monetary value and importance of financial knowledge. He has calculated that the difference between a weak financially literate household and a good financially literate household, can amount to an €80,000 difference in wealth. This is a very significant difference in wealth and a clear numerical expression of financial knowledge’s importance. Amongst several other factors, he mentions pension-planning as one of the reasons for the wealth difference. </w:t>
      </w:r>
    </w:p>
    <w:p w:rsidR="00EF36AF" w:rsidRDefault="00EF36AF" w:rsidP="00286071">
      <w:pPr>
        <w:pStyle w:val="NoSpacing"/>
        <w:spacing w:line="360" w:lineRule="auto"/>
        <w:jc w:val="both"/>
      </w:pPr>
    </w:p>
    <w:p w:rsidR="00EF36AF" w:rsidRPr="008A6C20" w:rsidRDefault="00EF36AF" w:rsidP="00907D50">
      <w:pPr>
        <w:pStyle w:val="VIn33"/>
      </w:pPr>
      <w:bookmarkStart w:id="36" w:name="_Toc340568916"/>
      <w:r w:rsidRPr="008A6C20">
        <w:t>2.5.3 Pension fund knowledge</w:t>
      </w:r>
      <w:bookmarkEnd w:id="36"/>
    </w:p>
    <w:p w:rsidR="00EF36AF" w:rsidRDefault="00EF36AF" w:rsidP="00286071">
      <w:pPr>
        <w:pStyle w:val="NoSpacing"/>
        <w:spacing w:line="360" w:lineRule="auto"/>
        <w:jc w:val="both"/>
      </w:pPr>
      <w:r>
        <w:t xml:space="preserve">Thus far, the role of financial knowledge in decision making has been identified as important. Additionally, the expectation that an increase in knowledge on personal finances would create a change in an individual’s demeanor appears to be valid. Here, demeanor refers to the combination of factors such as interest, attitude and behavior. However, the pension sector is an area of its own and has to be considered separately from financial knowledge. </w:t>
      </w:r>
    </w:p>
    <w:p w:rsidR="00EF36AF" w:rsidRDefault="00EF36AF" w:rsidP="00286071">
      <w:pPr>
        <w:pStyle w:val="NoSpacing"/>
        <w:spacing w:line="360" w:lineRule="auto"/>
        <w:jc w:val="both"/>
      </w:pPr>
      <w:r>
        <w:t xml:space="preserve">The functioning of pension fund knowledge is put into an interesting perspective by the Hartsink (2011), who studied the information asymmetry in the Dutch second pillar pension plan. He discovered that an increase in the quality of information available to plan members does not result in an reaction towards the pension fund. The plan members do not take action or use the information to their advantage and benefit. Whilst acting upon it could indeed be in their best interest. Two explanations are offered for this inactivity. Firstly, that these members have little means to act upon the information and action is considered complicated and futile. More likely seems the second explanation, that the members don’t have a sufficient knowledge to understand the information. </w:t>
      </w:r>
    </w:p>
    <w:p w:rsidR="00EF36AF" w:rsidRDefault="00EF36AF" w:rsidP="00286071">
      <w:pPr>
        <w:pStyle w:val="NoSpacing"/>
        <w:spacing w:line="360" w:lineRule="auto"/>
        <w:jc w:val="both"/>
      </w:pPr>
      <w:r>
        <w:t xml:space="preserve">Without sufficient financial knowledge, the available information does not cause any change, as it is not appreciated. The illiteracy argument corresponds to the findings of a </w:t>
      </w:r>
      <w:r w:rsidRPr="0070250B">
        <w:t>2010</w:t>
      </w:r>
      <w:r w:rsidR="00EA4B3A">
        <w:t xml:space="preserve"> AFM report (AFM, 2010</w:t>
      </w:r>
      <w:r>
        <w:t xml:space="preserve">). That found a fair amount of information on pensions to be available to consumers, but the utilization of this information was limited due to their impaired capacity to understand the implications and consequences related. Contrastingly, 47% of the participants felt that their knowledge was not unsatisfactory at all. </w:t>
      </w:r>
    </w:p>
    <w:p w:rsidR="00EF36AF" w:rsidRDefault="00EF36AF" w:rsidP="00286071">
      <w:pPr>
        <w:pStyle w:val="NoSpacing"/>
        <w:spacing w:line="360" w:lineRule="auto"/>
        <w:jc w:val="both"/>
      </w:pPr>
      <w:r>
        <w:t xml:space="preserve">In the same </w:t>
      </w:r>
      <w:r w:rsidR="00EA4B3A">
        <w:t xml:space="preserve">report, the AFM publically </w:t>
      </w:r>
      <w:r>
        <w:t>urged for the improvement in pension knowledge of the Dutch population. They reported that expectations were too optimistic, whilst the actual interest and knowledge on the matter were lacking. The figures reported said that a quarter of the population had no idea what their pension was or would become. Nearly 60% of the people expressed their expectation of receiving 70% or more of their final gross salary. An expectation that research revealed as being too ambitious for the majority of the people. As a result the disappointment over pension savings will be a reality for an increasing number of people.</w:t>
      </w:r>
    </w:p>
    <w:p w:rsidR="00EF36AF" w:rsidRDefault="00EF36AF" w:rsidP="00286071">
      <w:pPr>
        <w:pStyle w:val="NoSpacing"/>
        <w:spacing w:line="360" w:lineRule="auto"/>
        <w:jc w:val="both"/>
      </w:pPr>
      <w:r>
        <w:t>These figures are in harsh contrast with people’s own perception of their pension knowledge. As an AFM report published in 2011 (AFM, 2011</w:t>
      </w:r>
      <w:r w:rsidR="003F0510">
        <w:t>A</w:t>
      </w:r>
      <w:r>
        <w:t>),  reported that 28% of the consumers admitted to not knowing the kind of pension arrangement they had. Whilst 72% said that they find pension information understandable</w:t>
      </w:r>
    </w:p>
    <w:p w:rsidR="00C758DB" w:rsidRDefault="00C758DB" w:rsidP="00286071">
      <w:pPr>
        <w:pStyle w:val="NoSpacing"/>
        <w:spacing w:line="360" w:lineRule="auto"/>
        <w:jc w:val="both"/>
      </w:pPr>
    </w:p>
    <w:p w:rsidR="00EF36AF" w:rsidRPr="00F315C0" w:rsidRDefault="00EF36AF" w:rsidP="00286071">
      <w:pPr>
        <w:pStyle w:val="NoSpacing"/>
        <w:spacing w:line="360" w:lineRule="auto"/>
        <w:jc w:val="both"/>
      </w:pPr>
      <w:r>
        <w:t xml:space="preserve">In </w:t>
      </w:r>
      <w:r w:rsidR="003F0510">
        <w:t>the fall</w:t>
      </w:r>
      <w:r>
        <w:t xml:space="preserve"> of 2011, the AFM</w:t>
      </w:r>
      <w:r w:rsidR="003F0510">
        <w:t xml:space="preserve"> (AFM,2011B)</w:t>
      </w:r>
      <w:r>
        <w:t xml:space="preserve"> had to conclude that since 2009 the expectations of consumers had not become more realistic. Also the type of pension arrangement people thought to have was wrong in an substantial number of cases.</w:t>
      </w:r>
      <w:r w:rsidRPr="004B7AC9">
        <w:t xml:space="preserve"> </w:t>
      </w:r>
      <w:r>
        <w:t>Albeit the AFM’s efforts to educate and inform people</w:t>
      </w:r>
      <w:r w:rsidR="00C758DB">
        <w:t xml:space="preserve">. </w:t>
      </w:r>
      <w:r>
        <w:t xml:space="preserve">The results of this report suggest the presence of an overconfidence bias, where people overestimate their own knowledge and understanding. As in spite of their persisting misinformed state, almost 50% says they understand their pension. Positive news came in early 2012, when the </w:t>
      </w:r>
      <w:r w:rsidRPr="00F315C0">
        <w:t xml:space="preserve">AFM reported a slight but positive change in people’s expectations (AFM, 2012). </w:t>
      </w:r>
    </w:p>
    <w:p w:rsidR="00EF36AF" w:rsidRPr="00F315C0" w:rsidRDefault="00EF36AF" w:rsidP="00286071">
      <w:pPr>
        <w:pStyle w:val="NoSpacing"/>
        <w:spacing w:line="360" w:lineRule="auto"/>
        <w:jc w:val="both"/>
      </w:pPr>
      <w:r w:rsidRPr="00F315C0">
        <w:t>Could this be a sign of improvements following the previous calls of the AFM  to simplify</w:t>
      </w:r>
    </w:p>
    <w:p w:rsidR="00EF36AF" w:rsidRPr="00F315C0" w:rsidRDefault="00EF36AF" w:rsidP="00286071">
      <w:pPr>
        <w:pStyle w:val="NoSpacing"/>
        <w:spacing w:line="360" w:lineRule="auto"/>
        <w:jc w:val="both"/>
      </w:pPr>
      <w:r w:rsidRPr="00F315C0">
        <w:t xml:space="preserve">and improve the information for people? </w:t>
      </w:r>
    </w:p>
    <w:p w:rsidR="00EF36AF" w:rsidRDefault="00EF36AF" w:rsidP="00286071">
      <w:pPr>
        <w:pStyle w:val="NoSpacing"/>
        <w:spacing w:line="360" w:lineRule="auto"/>
        <w:jc w:val="both"/>
      </w:pPr>
      <w:r w:rsidRPr="00F315C0">
        <w:t>The statements and finding of the AFM reports over the past two years make an almost paradoxical impression. The information is signaled as understandable, but expectations and knowledge are faulty</w:t>
      </w:r>
      <w:r>
        <w:t>. Yet at the same time people aren’t as knowledgeable as they consider themselves to be. A rather peculiar discrepancy, hinting of consumer indifference</w:t>
      </w:r>
    </w:p>
    <w:p w:rsidR="00EF36AF" w:rsidRDefault="00EF36AF" w:rsidP="00286071">
      <w:pPr>
        <w:pStyle w:val="NoSpacing"/>
        <w:spacing w:line="360" w:lineRule="auto"/>
        <w:jc w:val="both"/>
      </w:pPr>
      <w:r>
        <w:t>Nonetheless, pension literacy is poor and there are a recurring number of causes mentioned for “pension illiteracy”. One of the most prominent causes is the population’s general disinterest and lack of effort to improve</w:t>
      </w:r>
      <w:r w:rsidR="00EA4B3A">
        <w:t xml:space="preserve"> on their knowledge (AFM, 2010</w:t>
      </w:r>
      <w:r>
        <w:t>). The AFM has recognized that the increasing complexity of pension products and arrangements isn’t helpful for the common man’s understanding of pensions. (AFM, 2010) Despite its efforts to simplify these, overestimation of knowledge by households equally persisted.</w:t>
      </w:r>
    </w:p>
    <w:p w:rsidR="00EF36AF" w:rsidRPr="00516804" w:rsidRDefault="00EF36AF" w:rsidP="00286071">
      <w:pPr>
        <w:pStyle w:val="NoSpacing"/>
        <w:spacing w:line="360" w:lineRule="auto"/>
        <w:jc w:val="both"/>
      </w:pPr>
      <w:r w:rsidRPr="00516804">
        <w:t>Perhaps the most comprehensive study was done by Alessie et al (2011), who measured financial and pension fund literacy in the Netherlands with a 5 year interval. They</w:t>
      </w:r>
      <w:r>
        <w:t xml:space="preserve"> also</w:t>
      </w:r>
      <w:r w:rsidRPr="00516804">
        <w:t xml:space="preserve"> found that in the 5 years since 2005, overall financial literacy had no improved.  </w:t>
      </w:r>
    </w:p>
    <w:p w:rsidR="00EF36AF" w:rsidRDefault="00EF36AF" w:rsidP="00286071">
      <w:pPr>
        <w:pStyle w:val="NoSpacing"/>
        <w:spacing w:line="360" w:lineRule="auto"/>
        <w:jc w:val="both"/>
      </w:pPr>
      <w:r w:rsidRPr="00516804">
        <w:t xml:space="preserve">They did report a rise in pension awareness and found that those who find pensions to be more important exhibit </w:t>
      </w:r>
      <w:r>
        <w:t>higher savings (van Rooij et al</w:t>
      </w:r>
      <w:r w:rsidRPr="00516804">
        <w:t>,</w:t>
      </w:r>
      <w:r>
        <w:t xml:space="preserve"> </w:t>
      </w:r>
      <w:r w:rsidRPr="00516804">
        <w:t>2011</w:t>
      </w:r>
      <w:r w:rsidR="000E1838">
        <w:t>.1</w:t>
      </w:r>
      <w:r w:rsidRPr="00516804">
        <w:t xml:space="preserve">) and financial literacy. </w:t>
      </w:r>
      <w:r>
        <w:t>T</w:t>
      </w:r>
      <w:r w:rsidRPr="00516804">
        <w:t>hey find no significant relation for knowledge in different age categories; age is</w:t>
      </w:r>
      <w:r>
        <w:t xml:space="preserve"> commonly</w:t>
      </w:r>
      <w:r w:rsidRPr="00516804">
        <w:t xml:space="preserve"> </w:t>
      </w:r>
      <w:r>
        <w:t xml:space="preserve">regarded as a weakly related </w:t>
      </w:r>
      <w:r w:rsidRPr="00516804">
        <w:t>factor</w:t>
      </w:r>
      <w:r w:rsidRPr="00516804">
        <w:rPr>
          <w:color w:val="FF0000"/>
        </w:rPr>
        <w:t>.</w:t>
      </w:r>
      <w:r w:rsidRPr="00516804">
        <w:t xml:space="preserve"> </w:t>
      </w:r>
      <w:r w:rsidRPr="00002133">
        <w:t>They do find a positive relation between financial knowledge</w:t>
      </w:r>
      <w:r>
        <w:t xml:space="preserve"> </w:t>
      </w:r>
      <w:r w:rsidRPr="00002133">
        <w:t>and the level of education and consequently with a person’s socioeconomic status.</w:t>
      </w:r>
      <w:r w:rsidRPr="001403ED">
        <w:rPr>
          <w:i/>
        </w:rPr>
        <w:t xml:space="preserve"> </w:t>
      </w:r>
      <w:r w:rsidRPr="00002133">
        <w:t>Also the self-employed are more informed. This is unsurprising because they have no second pillar pension arrangement and have to make pension arrangements themselves</w:t>
      </w:r>
      <w:r>
        <w:t xml:space="preserve">, and thus have to be more </w:t>
      </w:r>
      <w:r w:rsidRPr="00002133">
        <w:t>informed. In their conclu</w:t>
      </w:r>
      <w:r>
        <w:t xml:space="preserve">sion they </w:t>
      </w:r>
      <w:r w:rsidRPr="00002133">
        <w:t>make a</w:t>
      </w:r>
      <w:r>
        <w:t>n</w:t>
      </w:r>
      <w:r w:rsidRPr="00002133">
        <w:t xml:space="preserve"> observation concerning recent events, and caution that so far the pension funds have not succeeded in correctly informing their plan members about </w:t>
      </w:r>
      <w:r>
        <w:t xml:space="preserve">their </w:t>
      </w:r>
      <w:r w:rsidRPr="00002133">
        <w:t>prospects.</w:t>
      </w:r>
      <w:r>
        <w:t xml:space="preserve"> The question remains whether pension funds indeed fall short.</w:t>
      </w:r>
    </w:p>
    <w:p w:rsidR="00C758DB" w:rsidRPr="00002133" w:rsidRDefault="00C758DB" w:rsidP="00286071">
      <w:pPr>
        <w:pStyle w:val="NoSpacing"/>
        <w:spacing w:line="360" w:lineRule="auto"/>
        <w:jc w:val="both"/>
      </w:pPr>
    </w:p>
    <w:p w:rsidR="00EF36AF" w:rsidRDefault="00EF36AF" w:rsidP="00286071">
      <w:pPr>
        <w:pStyle w:val="NoSpacing"/>
        <w:spacing w:line="360" w:lineRule="auto"/>
        <w:jc w:val="both"/>
      </w:pPr>
      <w:r>
        <w:t xml:space="preserve">In the previous paragraph on the principal agent framework, the information asymmetry that is part of this relation was discussed. As it turns out the asymmetry is true to a greater extent than theory predicts. The information asymmetry in the second pillar market, is not merely due to the fact that the principal does not have complete insight into the activities; it is enlarged by the principal’s poor degree of financial and pension fund literacy.  Even if the agent provided full disclosure of everything it did, studies have shown that the poor levels of financial literacy or the disinterest to inform themselves, the informational asymmetry wouldn’t decrease. </w:t>
      </w:r>
    </w:p>
    <w:p w:rsidR="00EF36AF" w:rsidRDefault="00EF36AF" w:rsidP="00286071">
      <w:pPr>
        <w:pStyle w:val="NoSpacing"/>
        <w:spacing w:line="360" w:lineRule="auto"/>
        <w:jc w:val="both"/>
      </w:pPr>
      <w:r>
        <w:t xml:space="preserve">Furthermore, based on the levels of financial and pension fund knowledge and the influence of myopia, it is fair to say that the obligation for employees to participate in a second pillar fund is not such a bad one. A study by Thaler and Benartzi (2004) showed that people safe less </w:t>
      </w:r>
      <w:r w:rsidRPr="00650EF3">
        <w:t>than needed</w:t>
      </w:r>
      <w:r>
        <w:t xml:space="preserve"> for their optimal life cycle savings rate, when they are left to their</w:t>
      </w:r>
      <w:r w:rsidRPr="00280F31">
        <w:t xml:space="preserve"> </w:t>
      </w:r>
      <w:r>
        <w:t>own devices. People are almost chronically nearsighted and inclined to underestimate the future.</w:t>
      </w:r>
    </w:p>
    <w:p w:rsidR="00EF36AF" w:rsidRDefault="00EF36AF" w:rsidP="00286071">
      <w:pPr>
        <w:pStyle w:val="NoSpacing"/>
        <w:spacing w:line="360" w:lineRule="auto"/>
        <w:jc w:val="both"/>
      </w:pPr>
      <w:r w:rsidRPr="00E55B14">
        <w:t xml:space="preserve">According to </w:t>
      </w:r>
      <w:r>
        <w:t>van Rooij et al (2005) knowledge</w:t>
      </w:r>
      <w:r w:rsidRPr="00E55B14">
        <w:t xml:space="preserve"> is also proven to have a relevant influence on an individual’s</w:t>
      </w:r>
      <w:r>
        <w:t xml:space="preserve"> financi</w:t>
      </w:r>
      <w:r w:rsidRPr="00E55B14">
        <w:t xml:space="preserve">al risk </w:t>
      </w:r>
      <w:r>
        <w:t>tolerance</w:t>
      </w:r>
      <w:r w:rsidRPr="00E55B14">
        <w:t xml:space="preserve">. </w:t>
      </w:r>
    </w:p>
    <w:p w:rsidR="00EF36AF" w:rsidRPr="00EF36AF" w:rsidRDefault="00EF36AF" w:rsidP="00286071">
      <w:pPr>
        <w:pStyle w:val="NoSpacing"/>
        <w:spacing w:line="360" w:lineRule="auto"/>
        <w:jc w:val="both"/>
      </w:pPr>
    </w:p>
    <w:p w:rsidR="00EF36AF" w:rsidRDefault="00EF36AF" w:rsidP="00907D50">
      <w:pPr>
        <w:pStyle w:val="VIn33"/>
      </w:pPr>
      <w:bookmarkStart w:id="37" w:name="_Toc340568917"/>
      <w:r w:rsidRPr="00C758DB">
        <w:t>2.5.4 Conclusion</w:t>
      </w:r>
      <w:bookmarkEnd w:id="37"/>
      <w:r w:rsidRPr="00C758DB">
        <w:t xml:space="preserve"> </w:t>
      </w:r>
    </w:p>
    <w:p w:rsidR="00EF36AF" w:rsidRDefault="00EF36AF" w:rsidP="00286071">
      <w:pPr>
        <w:pStyle w:val="NoSpacing"/>
        <w:spacing w:line="360" w:lineRule="auto"/>
        <w:jc w:val="both"/>
      </w:pPr>
      <w:r>
        <w:t>The conclusion on knowledge and its role in decision making is plain. Knowledge is a crucial aspect in the decision making process. In the context of the financial domain, evidence strongly supports this.</w:t>
      </w:r>
    </w:p>
    <w:p w:rsidR="00EF36AF" w:rsidRDefault="00EF36AF" w:rsidP="00286071">
      <w:pPr>
        <w:pStyle w:val="NoSpacing"/>
        <w:spacing w:line="360" w:lineRule="auto"/>
        <w:jc w:val="both"/>
      </w:pPr>
      <w:r>
        <w:t xml:space="preserve">Financial knowledge amongst the vast majority of people is poor. The specific niche of pension knowledge is no exception and also proofs to be unsatisfactory. There is clear evidence on the importance of financial knowledge. It appears to be a necessity for an individual, as it can greatly influence your wealth. </w:t>
      </w:r>
    </w:p>
    <w:p w:rsidR="00EF36AF" w:rsidRDefault="00EF36AF" w:rsidP="00286071">
      <w:pPr>
        <w:pStyle w:val="NoSpacing"/>
        <w:spacing w:line="360" w:lineRule="auto"/>
        <w:jc w:val="both"/>
      </w:pPr>
      <w:r>
        <w:t>The population survey’s performed on the household’s knowledge of the pension system and their personal pension savings, indicated that of this highly personal finance niche, knowledge was inadequate. (Although improving in recent times a proportion of the population is still unaware of their arrangements)</w:t>
      </w:r>
    </w:p>
    <w:p w:rsidR="00EF36AF" w:rsidRDefault="00EF36AF" w:rsidP="00286071">
      <w:pPr>
        <w:pStyle w:val="NoSpacing"/>
        <w:spacing w:line="360" w:lineRule="auto"/>
        <w:jc w:val="both"/>
      </w:pPr>
      <w:r>
        <w:t>The main causes identified for pension illiteracy are the lack of awareness and interest amongst the general population. As a result expectations are flawed, resulting in disappointment and dissatisfaction.</w:t>
      </w:r>
    </w:p>
    <w:p w:rsidR="00EF36AF" w:rsidRDefault="00EF36AF" w:rsidP="00286071">
      <w:pPr>
        <w:pStyle w:val="NoSpacing"/>
        <w:spacing w:line="360" w:lineRule="auto"/>
        <w:jc w:val="both"/>
      </w:pPr>
      <w:r>
        <w:t xml:space="preserve">Furthermore it has been revealed that the average household’s knowledge and understanding on pension fund operations and activities is even of a lower level. The correlation to this thesis is in the tangency between trust, risk and the suspected catalyst role fulfilled by an individual’s knowledge. </w:t>
      </w:r>
    </w:p>
    <w:p w:rsidR="00EF36AF" w:rsidRDefault="00EF36AF" w:rsidP="00286071">
      <w:pPr>
        <w:pStyle w:val="NoSpacing"/>
        <w:spacing w:line="360" w:lineRule="auto"/>
        <w:jc w:val="both"/>
      </w:pPr>
    </w:p>
    <w:p w:rsidR="00EF36AF" w:rsidRDefault="00EF36AF" w:rsidP="00286071">
      <w:pPr>
        <w:pStyle w:val="NoSpacing"/>
        <w:spacing w:line="360" w:lineRule="auto"/>
        <w:jc w:val="both"/>
      </w:pPr>
      <w:r>
        <w:t>In further stages of this research, knowledge will be controlled for. Because knowledge has such a large influence on these significant decisions, it is important to know the level of understanding that an individual has. This will allow for the observation of relations between knowledge and other aspects in the behavior of a population. The results present here are helpful in the analysis process of research data. The effect of knowledge has on trust is tested in hypothesis 2.</w:t>
      </w:r>
    </w:p>
    <w:p w:rsidR="00EF36AF" w:rsidRDefault="00EF36AF" w:rsidP="00286071">
      <w:pPr>
        <w:pStyle w:val="NoSpacing"/>
        <w:jc w:val="both"/>
      </w:pPr>
    </w:p>
    <w:p w:rsidR="00C758DB" w:rsidRDefault="00C758DB" w:rsidP="00286071">
      <w:pPr>
        <w:pStyle w:val="NoSpacing"/>
        <w:jc w:val="both"/>
      </w:pPr>
    </w:p>
    <w:p w:rsidR="00C758DB" w:rsidRDefault="00C758DB" w:rsidP="00286071">
      <w:pPr>
        <w:pStyle w:val="NoSpacing"/>
        <w:jc w:val="both"/>
      </w:pPr>
    </w:p>
    <w:p w:rsidR="00C758DB" w:rsidRDefault="00C758DB" w:rsidP="00286071">
      <w:pPr>
        <w:pStyle w:val="NoSpacing"/>
        <w:jc w:val="both"/>
      </w:pPr>
    </w:p>
    <w:p w:rsidR="00EF36AF" w:rsidRPr="008A6C20" w:rsidRDefault="00907D50" w:rsidP="00907D50">
      <w:pPr>
        <w:pStyle w:val="Vin2"/>
        <w:numPr>
          <w:ilvl w:val="0"/>
          <w:numId w:val="0"/>
        </w:numPr>
      </w:pPr>
      <w:bookmarkStart w:id="38" w:name="_Toc340568918"/>
      <w:r>
        <w:t>2.6</w:t>
      </w:r>
      <w:r w:rsidR="00EF36AF" w:rsidRPr="008A6C20">
        <w:t xml:space="preserve"> Reputation</w:t>
      </w:r>
      <w:bookmarkEnd w:id="38"/>
    </w:p>
    <w:p w:rsidR="00EF36AF" w:rsidRPr="008A6C20" w:rsidRDefault="00EF36AF" w:rsidP="00907D50">
      <w:pPr>
        <w:pStyle w:val="VIn33"/>
      </w:pPr>
      <w:bookmarkStart w:id="39" w:name="_Toc340568919"/>
      <w:r w:rsidRPr="008A6C20">
        <w:t>2.6.1. Introduction</w:t>
      </w:r>
      <w:bookmarkEnd w:id="39"/>
    </w:p>
    <w:p w:rsidR="00EF36AF" w:rsidRPr="00D53F16" w:rsidRDefault="00EF36AF" w:rsidP="00286071">
      <w:pPr>
        <w:pStyle w:val="NoSpacing"/>
        <w:spacing w:line="360" w:lineRule="auto"/>
        <w:jc w:val="both"/>
      </w:pPr>
      <w:r w:rsidRPr="00D53F16">
        <w:t xml:space="preserve">The reputation of an entity is information that precedes its presence. It will be a combination of information, experience and judgment, suggesting opinions to the minds of those unfamiliar. This quality makes it a very influential instrument, which can be both positive and negative in its outcome for the reputee. </w:t>
      </w:r>
    </w:p>
    <w:p w:rsidR="00EF36AF" w:rsidRPr="00D53F16" w:rsidRDefault="00EF36AF" w:rsidP="00286071">
      <w:pPr>
        <w:pStyle w:val="NoSpacing"/>
        <w:spacing w:line="360" w:lineRule="auto"/>
        <w:jc w:val="both"/>
      </w:pPr>
      <w:r w:rsidRPr="00D53F16">
        <w:t>Reputation is a pure social mechanism, as it always stems from the result of previous interaction.</w:t>
      </w:r>
    </w:p>
    <w:p w:rsidR="00EF36AF" w:rsidRPr="00D53F16" w:rsidRDefault="00EF36AF" w:rsidP="00286071">
      <w:pPr>
        <w:pStyle w:val="NoSpacing"/>
        <w:spacing w:line="360" w:lineRule="auto"/>
        <w:jc w:val="both"/>
      </w:pPr>
      <w:r w:rsidRPr="00D53F16">
        <w:t>That previous interaction and reputation play a role in decision-making has been proven by game theoretic experiments on many occ</w:t>
      </w:r>
      <w:r w:rsidR="00CF1F98">
        <w:t>asions under many circumstances</w:t>
      </w:r>
      <w:r w:rsidRPr="00D53F16">
        <w:t xml:space="preserve"> (K</w:t>
      </w:r>
      <w:r>
        <w:t>reps and Wilson, 1982;</w:t>
      </w:r>
      <w:r w:rsidRPr="00D53F16">
        <w:t xml:space="preserve"> Milgrom a</w:t>
      </w:r>
      <w:r w:rsidR="00CF1F98">
        <w:t>nd Roberts, 1982</w:t>
      </w:r>
      <w:r w:rsidR="006E0745">
        <w:t>; Aberer, 2006</w:t>
      </w:r>
      <w:r w:rsidRPr="00D53F16">
        <w:t>)</w:t>
      </w:r>
      <w:r w:rsidR="00CF1F98">
        <w:t>.</w:t>
      </w:r>
      <w:r w:rsidRPr="00D53F16">
        <w:t xml:space="preserve"> Its applied appearance has also been observed in real life situations, where reputation was deemed the distinctive factor for trading success (H</w:t>
      </w:r>
      <w:r>
        <w:t xml:space="preserve">ouser and Wooders, </w:t>
      </w:r>
      <w:r w:rsidRPr="00D53F16">
        <w:t>2001</w:t>
      </w:r>
      <w:r>
        <w:t xml:space="preserve">; Melnik and Alm, </w:t>
      </w:r>
      <w:r w:rsidRPr="00D53F16">
        <w:t>2002).</w:t>
      </w:r>
    </w:p>
    <w:p w:rsidR="00EF36AF" w:rsidRPr="008A6C20" w:rsidRDefault="00EF36AF" w:rsidP="00907D50">
      <w:pPr>
        <w:pStyle w:val="VIn33"/>
      </w:pPr>
      <w:bookmarkStart w:id="40" w:name="_Toc340568920"/>
      <w:r w:rsidRPr="008A6C20">
        <w:t>2.6.2 Pension fund reputation</w:t>
      </w:r>
      <w:bookmarkEnd w:id="40"/>
    </w:p>
    <w:p w:rsidR="00EF36AF" w:rsidRPr="00D53F16" w:rsidRDefault="00EF36AF" w:rsidP="00286071">
      <w:pPr>
        <w:pStyle w:val="NoSpacing"/>
        <w:spacing w:line="360" w:lineRule="auto"/>
        <w:jc w:val="both"/>
      </w:pPr>
      <w:r w:rsidRPr="00D53F16">
        <w:t xml:space="preserve">As discussed the second pillar pension market is a very distinctive market. The asymmetric nature of the relation, characterized by limited interaction and choice for the plan members, has been discussed earlier this chapter. These market conditions combined with the low financial literacy of the average plan member and their unreceptiveness to relevant information. Severely narrow the range of sources on which they base their opinion and trust. </w:t>
      </w:r>
    </w:p>
    <w:p w:rsidR="00EF36AF" w:rsidRPr="00D53F16" w:rsidRDefault="00EF36AF" w:rsidP="00286071">
      <w:pPr>
        <w:pStyle w:val="NoSpacing"/>
        <w:spacing w:line="360" w:lineRule="auto"/>
        <w:jc w:val="both"/>
      </w:pPr>
      <w:r w:rsidRPr="00D53F16">
        <w:t>As a consequence of this, reputation and media images are likely to take a more prominent role in the formation of trust. This would suggest that to a certain degree the reputation of a pension fund is an indicator for the trust endowed in it</w:t>
      </w:r>
    </w:p>
    <w:p w:rsidR="00EF36AF" w:rsidRPr="00D53F16" w:rsidRDefault="00EF36AF" w:rsidP="00286071">
      <w:pPr>
        <w:pStyle w:val="NoSpacing"/>
        <w:spacing w:line="360" w:lineRule="auto"/>
        <w:jc w:val="both"/>
      </w:pPr>
      <w:r w:rsidRPr="00D53F16">
        <w:t>Chapter 1, discussed the recent developments in the pension sector and the</w:t>
      </w:r>
      <w:r>
        <w:t xml:space="preserve"> origin of this thesis</w:t>
      </w:r>
      <w:r w:rsidRPr="00D53F16">
        <w:t>.</w:t>
      </w:r>
      <w:r>
        <w:t xml:space="preserve">  </w:t>
      </w:r>
      <w:r w:rsidRPr="00D53F16">
        <w:t xml:space="preserve"> The necessity for an improvement in the reputation of pension funds has hit home before this publication. The financial crisis has destroyed many a reputation in the financial sector, whether justified or not. The pension funds are aware of the precarious situation they have ended up in. They seem to be equally aware of the importance of reputation in their industry, or the financial industry as a whole.</w:t>
      </w:r>
    </w:p>
    <w:p w:rsidR="00EF36AF" w:rsidRPr="00D53F16" w:rsidRDefault="00EF36AF" w:rsidP="00286071">
      <w:pPr>
        <w:pStyle w:val="NoSpacing"/>
        <w:spacing w:line="360" w:lineRule="auto"/>
        <w:jc w:val="both"/>
      </w:pPr>
      <w:r w:rsidRPr="00D53F16">
        <w:t>A very recent publication</w:t>
      </w:r>
      <w:r>
        <w:t xml:space="preserve"> by pension fund</w:t>
      </w:r>
      <w:r w:rsidRPr="00D53F16">
        <w:t xml:space="preserve"> </w:t>
      </w:r>
      <w:r w:rsidRPr="0034475C">
        <w:t xml:space="preserve"> </w:t>
      </w:r>
      <w:r w:rsidRPr="00D53F16">
        <w:t>PBM</w:t>
      </w:r>
      <w:r>
        <w:t>,</w:t>
      </w:r>
      <w:r w:rsidRPr="00D53F16">
        <w:t xml:space="preserve"> acknowledged the importance of reputation for the fund and its member’s. It explains that reputation should be valued by the fund and well managed. Reputation, is thus by pension fund’s acknowledgement an important factor in the member-fund relationship. </w:t>
      </w:r>
    </w:p>
    <w:p w:rsidR="00EF36AF" w:rsidRPr="00D53F16" w:rsidRDefault="00EF36AF" w:rsidP="00286071">
      <w:pPr>
        <w:pStyle w:val="NoSpacing"/>
        <w:spacing w:line="360" w:lineRule="auto"/>
        <w:jc w:val="both"/>
      </w:pPr>
      <w:r w:rsidRPr="00D53F16">
        <w:t xml:space="preserve">PBM has not been the only one to understand the importance of reputation. A number of industry partners and experts have noticed the developments and decided to publicize about the events. Interpolis (2011) declared the reputation of pension funds to have sunk below that of insurance companies. </w:t>
      </w:r>
    </w:p>
    <w:p w:rsidR="00EF36AF" w:rsidRPr="00D53F16" w:rsidRDefault="00EF36AF" w:rsidP="00286071">
      <w:pPr>
        <w:pStyle w:val="NoSpacing"/>
        <w:spacing w:line="360" w:lineRule="auto"/>
        <w:jc w:val="both"/>
      </w:pPr>
      <w:r w:rsidRPr="00D53F16">
        <w:t>In March of 2012, the federation of Dutch pension funds attempted to improve the general reputation of pension funds through a large scale commercial campaign, under the banner “Samen sta jij sterk”</w:t>
      </w:r>
      <w:r>
        <w:rPr>
          <w:rStyle w:val="FootnoteReference"/>
        </w:rPr>
        <w:footnoteReference w:id="8"/>
      </w:r>
      <w:r w:rsidRPr="00D53F16">
        <w:t>. Through a website and television commercials the Dutch households were informed about a variety of pension fundamentals, on the current situation, the (supposed) causes that led to it and reigning negative prejudices were invalidated.  The campaign led to a lot of resistance as opposers (Pensioenopstand) argued the infomercials were inaccurate, untruthful and gave the viewer a false sense of security. In the dispute that followed the Pension federation’s campaign was indeed judged to be wrongful and the misleading through incomplete statements</w:t>
      </w:r>
      <w:r>
        <w:t xml:space="preserve"> (Pensioenopstand 2012)</w:t>
      </w:r>
      <w:r w:rsidRPr="00D53F16">
        <w:t>.</w:t>
      </w:r>
    </w:p>
    <w:p w:rsidR="00EF36AF" w:rsidRPr="008A6C20" w:rsidRDefault="00EF36AF" w:rsidP="00907D50">
      <w:pPr>
        <w:pStyle w:val="VIn33"/>
      </w:pPr>
      <w:bookmarkStart w:id="41" w:name="_Toc340568921"/>
      <w:r w:rsidRPr="008A6C20">
        <w:t>2.6.3 Conclusion</w:t>
      </w:r>
      <w:bookmarkEnd w:id="41"/>
      <w:r w:rsidRPr="008A6C20">
        <w:tab/>
      </w:r>
    </w:p>
    <w:p w:rsidR="00EF36AF" w:rsidRPr="00D53F16" w:rsidRDefault="00EF36AF" w:rsidP="00286071">
      <w:pPr>
        <w:pStyle w:val="NoSpacing"/>
        <w:spacing w:line="360" w:lineRule="auto"/>
        <w:jc w:val="both"/>
      </w:pPr>
      <w:r w:rsidRPr="00D53F16">
        <w:t>Reputation is related to trust and in some aspects it is also an indicator for it. These supportive qualities to trust suggest that the reputation of a pension fund is an indicator for the trust endowed in it, to a certain degree. It might not have the capacity to replace trust, when trust can’t be measured, but it can be distinguishing variable. But it can be used as a control variable.</w:t>
      </w:r>
    </w:p>
    <w:p w:rsidR="00EF36AF" w:rsidRPr="00D53F16" w:rsidRDefault="00EF36AF" w:rsidP="00286071">
      <w:pPr>
        <w:pStyle w:val="NoSpacing"/>
        <w:spacing w:line="360" w:lineRule="auto"/>
        <w:jc w:val="both"/>
      </w:pPr>
      <w:r w:rsidRPr="00D53F16">
        <w:t>One’s judgment on trust is often accompanied by a judgment on reputation. When the trust is positive, the reputation should logically also be. This correlation between the two factors means that in research. Reputational scaling results and trust scaling results can be considered in relation to each other. With reputation acting as a controlling variable, used to appraise the results on trust. Or to validate the rationality of answers given. As the direct relation is not quantifiable and the relation not perfectly positive it should be used with caution.</w:t>
      </w:r>
    </w:p>
    <w:p w:rsidR="00EF36AF" w:rsidRDefault="00EF36AF" w:rsidP="00286071">
      <w:pPr>
        <w:pStyle w:val="NoSpacing"/>
        <w:spacing w:line="360" w:lineRule="auto"/>
        <w:jc w:val="both"/>
      </w:pPr>
      <w:r w:rsidRPr="00D53F16">
        <w:t xml:space="preserve">This incorporative bond between trust and reputation, in a plan member, means that the outcome of hypothesis 1 can serve as a vague indication of reputations influence on a plan member’s risk appetite. </w:t>
      </w:r>
    </w:p>
    <w:p w:rsidR="00EF36AF" w:rsidRPr="008A6C20" w:rsidRDefault="00907D50" w:rsidP="00907D50">
      <w:pPr>
        <w:pStyle w:val="Vin2"/>
        <w:numPr>
          <w:ilvl w:val="0"/>
          <w:numId w:val="0"/>
        </w:numPr>
      </w:pPr>
      <w:bookmarkStart w:id="42" w:name="_Toc340568922"/>
      <w:r>
        <w:t>2.7</w:t>
      </w:r>
      <w:r w:rsidR="00EF36AF" w:rsidRPr="008A6C20">
        <w:t xml:space="preserve"> Conclusion</w:t>
      </w:r>
      <w:bookmarkEnd w:id="42"/>
    </w:p>
    <w:p w:rsidR="00EF36AF" w:rsidRDefault="00EF36AF" w:rsidP="00286071">
      <w:pPr>
        <w:pStyle w:val="NoSpacing"/>
        <w:spacing w:line="360" w:lineRule="auto"/>
        <w:jc w:val="both"/>
      </w:pPr>
      <w:r>
        <w:t>In this chapter the market structure and dynamics, the details of relevant factors and their specifics were assessed and discussed. The review of these variables has provided a clear picture of the ideas that enabled this research. The information and explanation of encapsulated in this chapter form the basis for the survey content results analysis, in chapters 3 and 4. The findings of this chapter will return to contrast with the relevant regression analysis results</w:t>
      </w:r>
    </w:p>
    <w:p w:rsidR="00EB0FCC" w:rsidRPr="009A6293" w:rsidRDefault="00EB0FCC" w:rsidP="00907D50">
      <w:pPr>
        <w:pStyle w:val="VIN1"/>
      </w:pPr>
      <w:bookmarkStart w:id="43" w:name="_Toc340568923"/>
      <w:r w:rsidRPr="009A6293">
        <w:t>Chapter 3: Methodology</w:t>
      </w:r>
      <w:r w:rsidR="005C4D89">
        <w:t xml:space="preserve"> &amp; p</w:t>
      </w:r>
      <w:r w:rsidRPr="009A6293">
        <w:t>reliminary data analysis</w:t>
      </w:r>
      <w:bookmarkEnd w:id="43"/>
    </w:p>
    <w:p w:rsidR="00EB0FCC" w:rsidRPr="009A6293" w:rsidRDefault="00907D50" w:rsidP="00907D50">
      <w:pPr>
        <w:pStyle w:val="Vin2"/>
        <w:numPr>
          <w:ilvl w:val="0"/>
          <w:numId w:val="0"/>
        </w:numPr>
      </w:pPr>
      <w:bookmarkStart w:id="44" w:name="_Toc340568924"/>
      <w:r>
        <w:t>3.1</w:t>
      </w:r>
      <w:r w:rsidR="00EB0FCC" w:rsidRPr="009A6293">
        <w:t xml:space="preserve"> Introduction</w:t>
      </w:r>
      <w:bookmarkEnd w:id="44"/>
    </w:p>
    <w:p w:rsidR="00EB0FCC" w:rsidRPr="00A66A1B" w:rsidRDefault="00EB0FCC" w:rsidP="00286071">
      <w:pPr>
        <w:pStyle w:val="NoSpacing"/>
        <w:spacing w:line="360" w:lineRule="auto"/>
        <w:jc w:val="both"/>
      </w:pPr>
      <w:r>
        <w:t>Having discussed the t</w:t>
      </w:r>
      <w:r w:rsidRPr="00A66A1B">
        <w:t xml:space="preserve">heoretical concepts </w:t>
      </w:r>
      <w:r>
        <w:t>in Chapter Two</w:t>
      </w:r>
      <w:r w:rsidRPr="00A66A1B">
        <w:t>, in this chapter</w:t>
      </w:r>
      <w:r>
        <w:t xml:space="preserve"> the focus </w:t>
      </w:r>
      <w:r w:rsidRPr="00A66A1B">
        <w:t>s</w:t>
      </w:r>
      <w:r>
        <w:t>hifts</w:t>
      </w:r>
      <w:r w:rsidRPr="00A66A1B">
        <w:t xml:space="preserve"> to </w:t>
      </w:r>
      <w:r>
        <w:t xml:space="preserve">the </w:t>
      </w:r>
      <w:r w:rsidRPr="00A66A1B">
        <w:t>practic</w:t>
      </w:r>
      <w:r>
        <w:t>al side of this thesis</w:t>
      </w:r>
      <w:r w:rsidRPr="00A66A1B">
        <w:t xml:space="preserve">. Before analyzing and looking at the representation of the subject population of this research, we look at the methodology. </w:t>
      </w:r>
    </w:p>
    <w:p w:rsidR="00EB0FCC" w:rsidRPr="00A66A1B" w:rsidRDefault="00EB0FCC" w:rsidP="00286071">
      <w:pPr>
        <w:pStyle w:val="NoSpacing"/>
        <w:spacing w:line="360" w:lineRule="auto"/>
        <w:jc w:val="both"/>
      </w:pPr>
      <w:r w:rsidRPr="00A66A1B">
        <w:t xml:space="preserve">The choice for a survey over laboratory experiment is further elaborated upon and some relevant survey details are discussed. </w:t>
      </w:r>
    </w:p>
    <w:p w:rsidR="00EB0FCC" w:rsidRPr="00A66A1B" w:rsidRDefault="00EB0FCC" w:rsidP="00286071">
      <w:pPr>
        <w:pStyle w:val="NoSpacing"/>
        <w:spacing w:line="360" w:lineRule="auto"/>
        <w:jc w:val="both"/>
      </w:pPr>
      <w:r>
        <w:t>The preliminary data analysis focuses on the composition of the subject population. A</w:t>
      </w:r>
      <w:r w:rsidRPr="00A66A1B">
        <w:t>ttention is</w:t>
      </w:r>
      <w:r>
        <w:t xml:space="preserve"> paid t</w:t>
      </w:r>
      <w:r w:rsidRPr="00A66A1B">
        <w:t>o their demographic characteristics</w:t>
      </w:r>
      <w:r>
        <w:t>,</w:t>
      </w:r>
      <w:r w:rsidRPr="00A66A1B">
        <w:t xml:space="preserve"> to </w:t>
      </w:r>
      <w:r>
        <w:t>create some</w:t>
      </w:r>
      <w:r w:rsidRPr="00A66A1B">
        <w:t xml:space="preserve"> </w:t>
      </w:r>
      <w:r>
        <w:t>perspective</w:t>
      </w:r>
      <w:r w:rsidRPr="00A66A1B">
        <w:t xml:space="preserve"> before further analysis and hypothesis testing. </w:t>
      </w:r>
      <w:r>
        <w:t>A number of</w:t>
      </w:r>
      <w:r w:rsidRPr="00A66A1B">
        <w:t xml:space="preserve"> potential causes of biases are sought out and explored.</w:t>
      </w:r>
    </w:p>
    <w:p w:rsidR="00EB0FCC" w:rsidRPr="00A66A1B" w:rsidRDefault="00EB0FCC" w:rsidP="00286071">
      <w:pPr>
        <w:pStyle w:val="NoSpacing"/>
        <w:spacing w:line="360" w:lineRule="auto"/>
        <w:jc w:val="both"/>
      </w:pPr>
    </w:p>
    <w:p w:rsidR="00EB0FCC" w:rsidRPr="009A6293" w:rsidRDefault="00907D50" w:rsidP="00907D50">
      <w:pPr>
        <w:pStyle w:val="Vin2"/>
        <w:numPr>
          <w:ilvl w:val="0"/>
          <w:numId w:val="0"/>
        </w:numPr>
      </w:pPr>
      <w:bookmarkStart w:id="45" w:name="_Toc340568925"/>
      <w:r>
        <w:t>3.2</w:t>
      </w:r>
      <w:r w:rsidR="00EB0FCC" w:rsidRPr="009A6293">
        <w:t xml:space="preserve"> Survey</w:t>
      </w:r>
      <w:bookmarkEnd w:id="45"/>
    </w:p>
    <w:p w:rsidR="00EB0FCC" w:rsidRPr="00A66A1B" w:rsidRDefault="00EB0FCC" w:rsidP="00286071">
      <w:pPr>
        <w:pStyle w:val="NoSpacing"/>
        <w:spacing w:line="360" w:lineRule="auto"/>
        <w:jc w:val="both"/>
      </w:pPr>
      <w:r w:rsidRPr="00A66A1B">
        <w:t>This study employs a survey to illicit information from the responde</w:t>
      </w:r>
      <w:r>
        <w:t xml:space="preserve">nts on their risk appetite, </w:t>
      </w:r>
      <w:r w:rsidRPr="00A66A1B">
        <w:t xml:space="preserve">their respective thoughts and personal estimation of trust behavior. The use of a survey contrasts to the majority of literature on these research subjects. </w:t>
      </w:r>
    </w:p>
    <w:p w:rsidR="00EB0FCC" w:rsidRPr="00A66A1B" w:rsidRDefault="00EB0FCC" w:rsidP="00286071">
      <w:pPr>
        <w:pStyle w:val="NoSpacing"/>
        <w:spacing w:line="360" w:lineRule="auto"/>
        <w:jc w:val="both"/>
      </w:pPr>
      <w:r w:rsidRPr="00A66A1B">
        <w:t xml:space="preserve">The majority of studies on the risk-trust relation engage in the usage of so-called risk and trust games, of which one of the most well-known versions is the set-up of Berg et al (1995).  </w:t>
      </w:r>
      <w:r>
        <w:t>Consequently, t</w:t>
      </w:r>
      <w:r w:rsidRPr="00A66A1B">
        <w:t>he results produced by such experiments are readily available in a wide variety of papers. The array of variations</w:t>
      </w:r>
      <w:r>
        <w:t xml:space="preserve"> of</w:t>
      </w:r>
      <w:r w:rsidRPr="00A66A1B">
        <w:t xml:space="preserve"> the two games used and the numerous combining of the two games have contributed a wealth of information</w:t>
      </w:r>
      <w:r>
        <w:t xml:space="preserve">, the true value </w:t>
      </w:r>
      <w:r w:rsidRPr="00A66A1B">
        <w:t xml:space="preserve">of which is not </w:t>
      </w:r>
      <w:r>
        <w:t>always properly understood appreciated</w:t>
      </w:r>
      <w:r w:rsidRPr="00A66A1B">
        <w:t>. As practical evidence from outside the laboratory is scarce and th</w:t>
      </w:r>
      <w:r>
        <w:t>i</w:t>
      </w:r>
      <w:r w:rsidRPr="00A66A1B">
        <w:t xml:space="preserve">s prohibits </w:t>
      </w:r>
      <w:r>
        <w:t xml:space="preserve">the </w:t>
      </w:r>
      <w:r w:rsidRPr="00A66A1B">
        <w:t>contrasting of results.</w:t>
      </w:r>
    </w:p>
    <w:p w:rsidR="00EB0FCC" w:rsidRPr="00A66A1B" w:rsidRDefault="00EB0FCC" w:rsidP="00286071">
      <w:pPr>
        <w:pStyle w:val="NoSpacing"/>
        <w:spacing w:line="360" w:lineRule="auto"/>
        <w:jc w:val="both"/>
      </w:pPr>
      <w:r w:rsidRPr="00A66A1B">
        <w:t xml:space="preserve">There are a number of reasons why previous studies have chosen to go down the laboratory experimental route. The foremost motivation is that the laboratory experiments allow for a controlled environment. There is the </w:t>
      </w:r>
      <w:r>
        <w:t>a</w:t>
      </w:r>
      <w:r w:rsidRPr="00A66A1B">
        <w:t>bility to firmly control for the influence of variables, allowing for the testing and isolation of certain aspects of decision making. In other words</w:t>
      </w:r>
      <w:r>
        <w:t>,</w:t>
      </w:r>
      <w:r w:rsidRPr="00A66A1B">
        <w:t xml:space="preserve"> it is the closest a researcher can get to creating a ceteris paribus situation. </w:t>
      </w:r>
    </w:p>
    <w:p w:rsidR="00EB0FCC" w:rsidRPr="00A66A1B" w:rsidRDefault="00EB0FCC" w:rsidP="00286071">
      <w:pPr>
        <w:pStyle w:val="NoSpacing"/>
        <w:spacing w:line="360" w:lineRule="auto"/>
        <w:jc w:val="both"/>
      </w:pPr>
      <w:r w:rsidRPr="00A66A1B">
        <w:t>This means that a researcher can test for a very large quantity of vari</w:t>
      </w:r>
      <w:r>
        <w:t>ables and for specific relations.</w:t>
      </w:r>
    </w:p>
    <w:p w:rsidR="00EB0FCC" w:rsidRPr="00A66A1B" w:rsidRDefault="00EB0FCC" w:rsidP="00286071">
      <w:pPr>
        <w:pStyle w:val="NoSpacing"/>
        <w:spacing w:line="360" w:lineRule="auto"/>
        <w:jc w:val="both"/>
      </w:pPr>
      <w:r w:rsidRPr="00A66A1B">
        <w:t xml:space="preserve">These experiments carry </w:t>
      </w:r>
      <w:r>
        <w:t>certain</w:t>
      </w:r>
      <w:r w:rsidRPr="00A66A1B">
        <w:t xml:space="preserve"> robustness, as the experiment should be replicable by another</w:t>
      </w:r>
      <w:r>
        <w:t>,</w:t>
      </w:r>
      <w:r w:rsidRPr="00A66A1B">
        <w:t xml:space="preserve"> whom can test and control </w:t>
      </w:r>
      <w:r>
        <w:t>its</w:t>
      </w:r>
      <w:r w:rsidRPr="00A66A1B">
        <w:t xml:space="preserve"> validity (Fehr et al, 2003). In the course of the years laboratory experiments have be</w:t>
      </w:r>
      <w:r>
        <w:t>come</w:t>
      </w:r>
      <w:r w:rsidRPr="00A66A1B">
        <w:t xml:space="preserve"> an integral part of economics and prov</w:t>
      </w:r>
      <w:r>
        <w:t>ided</w:t>
      </w:r>
      <w:r w:rsidRPr="00A66A1B">
        <w:t xml:space="preserve"> much insight and understanding</w:t>
      </w:r>
      <w:r>
        <w:t xml:space="preserve"> </w:t>
      </w:r>
      <w:r w:rsidRPr="00A66A1B">
        <w:t>(Villeval, 2007)</w:t>
      </w:r>
      <w:r>
        <w:t>.</w:t>
      </w:r>
      <w:r w:rsidRPr="00A66A1B">
        <w:t xml:space="preserve"> </w:t>
      </w:r>
    </w:p>
    <w:p w:rsidR="00113C29" w:rsidRDefault="00113C29" w:rsidP="00286071">
      <w:pPr>
        <w:pStyle w:val="NoSpacing"/>
        <w:spacing w:line="360" w:lineRule="auto"/>
        <w:jc w:val="both"/>
      </w:pPr>
    </w:p>
    <w:p w:rsidR="00EB0FCC" w:rsidRDefault="00EB0FCC" w:rsidP="00286071">
      <w:pPr>
        <w:pStyle w:val="NoSpacing"/>
        <w:spacing w:line="360" w:lineRule="auto"/>
        <w:jc w:val="both"/>
        <w:rPr>
          <w:sz w:val="2"/>
          <w:szCs w:val="2"/>
        </w:rPr>
      </w:pPr>
      <w:r w:rsidRPr="00EB0FCC">
        <w:t>However, the laboratory experimental route also has a number of disadvantages. What has long been seen as a laboratory’s most prominent advantages can also be described as one of its biggest weak spots. The strict controlling and modeling of the experimental environment inhibits reality and as such has an air of artificiality. As mentioned in chapter 2, these experiments can isolate and control variables so effectively that the results swiftly lose their legitimacy outside the laboratory (Guala, 1999; Levitt and List, 2007; Loewenstein, 1999; Roe and Just, 2009). As such their practical use and value can easily be disqualified. Homogenous subject pools and self-selection bias are some other of the foremost pitfalls associated with laboratory experiments. Often the subjects for an experiment are drawn from the student population or another population sub-group addressed via generic communication. In the example of students, it is known that they are better educated and more intelligent than the average population, they often come from more affluent backgrounds and their mean age is below that of the average population. The effects of such (self-) selection bias can create a number of prejudices affecting the research’s results and potentially discrediting the study. (Belot, Duch Miller, 2010).  The use of a survey allows for a greater variation in subject population than could be achieved alternatively, without having to compromise on the significance of the results possibly yielded from laboratory experiments (Ding et al, 2010)</w:t>
      </w:r>
    </w:p>
    <w:p w:rsidR="00113C29" w:rsidRDefault="00113C29" w:rsidP="00286071">
      <w:pPr>
        <w:pStyle w:val="NoSpacing"/>
        <w:spacing w:line="360" w:lineRule="auto"/>
        <w:jc w:val="both"/>
        <w:rPr>
          <w:sz w:val="2"/>
          <w:szCs w:val="2"/>
        </w:rPr>
      </w:pPr>
    </w:p>
    <w:p w:rsidR="00113C29" w:rsidRDefault="00113C29" w:rsidP="00286071">
      <w:pPr>
        <w:pStyle w:val="NoSpacing"/>
        <w:spacing w:line="360" w:lineRule="auto"/>
        <w:jc w:val="both"/>
        <w:rPr>
          <w:sz w:val="2"/>
          <w:szCs w:val="2"/>
        </w:rPr>
      </w:pPr>
    </w:p>
    <w:p w:rsidR="00113C29" w:rsidRDefault="00113C29" w:rsidP="00286071">
      <w:pPr>
        <w:pStyle w:val="NoSpacing"/>
        <w:spacing w:line="360" w:lineRule="auto"/>
        <w:jc w:val="both"/>
        <w:rPr>
          <w:sz w:val="2"/>
          <w:szCs w:val="2"/>
        </w:rPr>
      </w:pPr>
    </w:p>
    <w:p w:rsidR="00113C29" w:rsidRPr="00113C29" w:rsidRDefault="00113C29" w:rsidP="00286071">
      <w:pPr>
        <w:pStyle w:val="NoSpacing"/>
        <w:spacing w:line="360" w:lineRule="auto"/>
        <w:jc w:val="both"/>
        <w:rPr>
          <w:sz w:val="2"/>
          <w:szCs w:val="2"/>
        </w:rPr>
      </w:pPr>
    </w:p>
    <w:p w:rsidR="00EB0FCC" w:rsidRPr="00EB0FCC" w:rsidRDefault="00EB0FCC" w:rsidP="00286071">
      <w:pPr>
        <w:pStyle w:val="NoSpacing"/>
        <w:spacing w:line="360" w:lineRule="auto"/>
        <w:jc w:val="both"/>
      </w:pPr>
      <w:r w:rsidRPr="00EB0FCC">
        <w:t xml:space="preserve">Besides the theoretical objection to the effectiveness of a laboratory experiment and the already huge number of studies exercising laboratory experiments, there is a practical objection. </w:t>
      </w:r>
    </w:p>
    <w:p w:rsidR="00EB0FCC" w:rsidRPr="00EB0FCC" w:rsidRDefault="00EB0FCC" w:rsidP="00286071">
      <w:pPr>
        <w:pStyle w:val="NoSpacing"/>
        <w:spacing w:line="360" w:lineRule="auto"/>
        <w:jc w:val="both"/>
      </w:pPr>
      <w:r w:rsidRPr="00EB0FCC">
        <w:t xml:space="preserve">Even when successfully eliminating all major biases, it would be very difficult to extract the needed information from the subjects merely using an experiment. In the experiment, choices and actions are isolated and subjects are aware of this environment, influencing their thoughts. </w:t>
      </w:r>
    </w:p>
    <w:p w:rsidR="00EB0FCC" w:rsidRDefault="00EB0FCC" w:rsidP="00286071">
      <w:pPr>
        <w:pStyle w:val="NoSpacing"/>
        <w:spacing w:line="360" w:lineRule="auto"/>
        <w:jc w:val="both"/>
        <w:rPr>
          <w:sz w:val="4"/>
          <w:szCs w:val="4"/>
        </w:rPr>
      </w:pPr>
      <w:r w:rsidRPr="00EB0FCC">
        <w:t xml:space="preserve">Thus, experiments can elicit behavior under ceteris paribus conditions, but often lack the ability to put this into the subject’s context. They can’t necessarily reveal how and why an individual reacts when there are multiple and different options as is the case outside the laboratory. Leaving room for innuendo, misinterpretation and speculation on the part of the researcher. </w:t>
      </w:r>
    </w:p>
    <w:p w:rsidR="00113C29" w:rsidRDefault="00113C29" w:rsidP="00286071">
      <w:pPr>
        <w:pStyle w:val="NoSpacing"/>
        <w:spacing w:line="360" w:lineRule="auto"/>
        <w:jc w:val="both"/>
        <w:rPr>
          <w:sz w:val="4"/>
          <w:szCs w:val="4"/>
        </w:rPr>
      </w:pPr>
    </w:p>
    <w:p w:rsidR="00113C29" w:rsidRDefault="00113C29" w:rsidP="00286071">
      <w:pPr>
        <w:pStyle w:val="NoSpacing"/>
        <w:spacing w:line="360" w:lineRule="auto"/>
        <w:jc w:val="both"/>
        <w:rPr>
          <w:sz w:val="4"/>
          <w:szCs w:val="4"/>
        </w:rPr>
      </w:pPr>
    </w:p>
    <w:p w:rsidR="00113C29" w:rsidRPr="00113C29" w:rsidRDefault="00113C29" w:rsidP="00286071">
      <w:pPr>
        <w:pStyle w:val="NoSpacing"/>
        <w:spacing w:line="360" w:lineRule="auto"/>
        <w:jc w:val="both"/>
        <w:rPr>
          <w:sz w:val="4"/>
          <w:szCs w:val="4"/>
        </w:rPr>
      </w:pPr>
    </w:p>
    <w:p w:rsidR="00EB0FCC" w:rsidRPr="00EB0FCC" w:rsidRDefault="00EB0FCC" w:rsidP="00286071">
      <w:pPr>
        <w:pStyle w:val="NoSpacing"/>
        <w:spacing w:line="360" w:lineRule="auto"/>
        <w:jc w:val="both"/>
      </w:pPr>
      <w:r w:rsidRPr="00EB0FCC">
        <w:t xml:space="preserve">An exception is the study by Fehr et al (2003), who expanded their research by complementing the experimental study with a survey. The use of a survey is explained as a tool that contrary to the experiments also has the subjects consciously question and consult their opinion. It’s no secret that a person’s actions and choices are not always exclusively compatible to their stated principals and opinions. As a result these may conflict. Nonetheless, the answers given in a survey carry the expression of an opinion; knowledge of this opinion is interesting. Uncovering these opinions is the start of a process, with the aim to eventually contrast them with actions. Attempting to widen the understanding of trust and risk in decision making. The exploration of the survey’s effectiveness is thus a worthy one and one that has proven so far to be valuable.  </w:t>
      </w:r>
    </w:p>
    <w:p w:rsidR="00EB0FCC" w:rsidRPr="00A66A1B" w:rsidRDefault="00EB0FCC" w:rsidP="00286071">
      <w:pPr>
        <w:pStyle w:val="NoSpacing"/>
        <w:spacing w:line="360" w:lineRule="auto"/>
        <w:jc w:val="both"/>
      </w:pPr>
      <w:r>
        <w:t>In this thesis, c</w:t>
      </w:r>
      <w:r w:rsidRPr="00A66A1B">
        <w:t>areful attempts were made to prevent and reduce the chance of measurement error or non-response, two common survey pitfalls. The survey was carefully designed and the population was attempted to be as diversified as possible. Survey particulars are discussed in more detail in the next paragraph.</w:t>
      </w:r>
    </w:p>
    <w:p w:rsidR="00EB0FCC" w:rsidRPr="00A66A1B" w:rsidRDefault="00EB0FCC" w:rsidP="00286071">
      <w:pPr>
        <w:pStyle w:val="NoSpacing"/>
        <w:spacing w:line="360" w:lineRule="auto"/>
        <w:jc w:val="both"/>
      </w:pPr>
      <w:r w:rsidRPr="00A66A1B">
        <w:t>The survey experienced only a little trouble with regards to non-response. A large number of 185 subjects responded to the survey. After selection and exclusion of incomplete results, useful data shrunk from 185 to 122 participants. Although this is a reduction in figures, incomplete data lacking knowledge on gender, age, income and other vital information can create bias in the re</w:t>
      </w:r>
      <w:r>
        <w:t>sults. The remaining data was suit</w:t>
      </w:r>
      <w:r w:rsidRPr="00A66A1B">
        <w:t xml:space="preserve">able for this study.  </w:t>
      </w:r>
      <w:r>
        <w:t>The survey was</w:t>
      </w:r>
      <w:r w:rsidRPr="00A66A1B">
        <w:t xml:space="preserve"> done in complete anonymity, eliminating the most prominent reason for caution in subjects. Although basic demographic information was requested, no identifiable personal details were demanded.</w:t>
      </w:r>
    </w:p>
    <w:p w:rsidR="00EB0FCC" w:rsidRPr="00A66A1B" w:rsidRDefault="00EB0FCC" w:rsidP="00286071">
      <w:pPr>
        <w:pStyle w:val="NoSpacing"/>
        <w:spacing w:line="360" w:lineRule="auto"/>
        <w:jc w:val="both"/>
      </w:pPr>
      <w:r w:rsidRPr="00A66A1B">
        <w:t xml:space="preserve">Considering the data requirement of this research, data collection methods, subject pool and subject preferences; for the purpose of this study the survey </w:t>
      </w:r>
      <w:r>
        <w:t>prov</w:t>
      </w:r>
      <w:r w:rsidRPr="00A66A1B">
        <w:t>ed to be the most appropriate and practical tool.</w:t>
      </w:r>
      <w:r>
        <w:t xml:space="preserve"> </w:t>
      </w:r>
    </w:p>
    <w:p w:rsidR="00EB0FCC" w:rsidRDefault="00EB0FCC" w:rsidP="00286071">
      <w:pPr>
        <w:pStyle w:val="NoSpacing"/>
        <w:spacing w:line="360" w:lineRule="auto"/>
        <w:jc w:val="both"/>
      </w:pPr>
    </w:p>
    <w:p w:rsidR="00EB0FCC" w:rsidRPr="00A66A1B" w:rsidRDefault="00EB0FCC" w:rsidP="00286071">
      <w:pPr>
        <w:pStyle w:val="NoSpacing"/>
        <w:spacing w:line="360" w:lineRule="auto"/>
        <w:jc w:val="both"/>
      </w:pPr>
      <w:r w:rsidRPr="00A66A1B">
        <w:t>In reference to the methodology employed for data collection, t</w:t>
      </w:r>
      <w:r>
        <w:t>here are a few</w:t>
      </w:r>
      <w:r w:rsidRPr="00A66A1B">
        <w:t xml:space="preserve"> notes with regards to the survey design. </w:t>
      </w:r>
    </w:p>
    <w:p w:rsidR="00EB0FCC" w:rsidRDefault="00EB0FCC" w:rsidP="00286071">
      <w:pPr>
        <w:pStyle w:val="NoSpacing"/>
        <w:spacing w:line="360" w:lineRule="auto"/>
        <w:jc w:val="both"/>
      </w:pPr>
      <w:r>
        <w:t>The survey consists</w:t>
      </w:r>
      <w:r w:rsidRPr="00A66A1B">
        <w:t xml:space="preserve"> of several sections aimed at eliciting different information. The first section contains some very short question</w:t>
      </w:r>
      <w:r>
        <w:t>s</w:t>
      </w:r>
      <w:r w:rsidRPr="00A66A1B">
        <w:t xml:space="preserve"> allowing subjects to indicate their perceived knowledge and experience on investment and risk attitude. The next section contains a set of questions on the measurement of risk attitude amongst the survey subjects. This series of questions is inspired by Holt and Laury</w:t>
      </w:r>
      <w:r>
        <w:t xml:space="preserve"> </w:t>
      </w:r>
      <w:r w:rsidRPr="00A66A1B">
        <w:t>(</w:t>
      </w:r>
      <w:r>
        <w:t>2002). The questions reveal a participant’s switching point</w:t>
      </w:r>
      <w:r w:rsidRPr="00A66A1B">
        <w:t xml:space="preserve"> between two variable options, which </w:t>
      </w:r>
      <w:r>
        <w:t>is</w:t>
      </w:r>
      <w:r w:rsidRPr="00A66A1B">
        <w:t xml:space="preserve"> used to est</w:t>
      </w:r>
      <w:r>
        <w:t>ablish a participant’s</w:t>
      </w:r>
      <w:r w:rsidRPr="00A66A1B">
        <w:t xml:space="preserve"> risk attitude. </w:t>
      </w:r>
      <w:r>
        <w:t xml:space="preserve">At the start of the question the participants are introduced into a scenario where they earn a net wage of </w:t>
      </w:r>
      <w:r w:rsidRPr="00A66A1B">
        <w:t>€</w:t>
      </w:r>
      <w:r>
        <w:t xml:space="preserve">1.670 a month and they have to choose a new pension arrangement. In correspondence to Holt and Laury (2002) the participants are offered the choice between two variable monthly pension options, the safer option A and the riskier B. For option A the pay offs are fixed at €1.002 and </w:t>
      </w:r>
      <w:r w:rsidRPr="00A66A1B">
        <w:t>€</w:t>
      </w:r>
      <w:r>
        <w:t xml:space="preserve">1.169, whilst for option B the pay offs are fixed at </w:t>
      </w:r>
      <w:r w:rsidRPr="00A66A1B">
        <w:t>€</w:t>
      </w:r>
      <w:r>
        <w:t xml:space="preserve">668 and </w:t>
      </w:r>
      <w:r w:rsidRPr="00A66A1B">
        <w:t>€</w:t>
      </w:r>
      <w:r>
        <w:t>1.503. The pay offs are fixed but the probabilities change equally for both options, starting with 1/10 chance for receiving the higher pay off in either option. With a gradual 10% adjustment per question the balance shifts to 10/10 chance for the risky option, to test whether the participant is rational.</w:t>
      </w:r>
    </w:p>
    <w:p w:rsidR="00EB0FCC" w:rsidRPr="00A66A1B" w:rsidRDefault="00EB0FCC" w:rsidP="00286071">
      <w:pPr>
        <w:pStyle w:val="NoSpacing"/>
        <w:spacing w:line="360" w:lineRule="auto"/>
        <w:jc w:val="both"/>
      </w:pPr>
      <w:r>
        <w:t>For the ten successive questions they are asked to choose which pension arrangement they would prefer. Depending on the participants risk aversion at some point he will switch to option B, with more diverged pay offs.</w:t>
      </w:r>
    </w:p>
    <w:p w:rsidR="00EB0FCC" w:rsidRPr="00A66A1B" w:rsidRDefault="00EB0FCC" w:rsidP="00286071">
      <w:pPr>
        <w:pStyle w:val="NoSpacing"/>
        <w:spacing w:line="360" w:lineRule="auto"/>
        <w:jc w:val="both"/>
      </w:pPr>
      <w:r w:rsidRPr="00A66A1B">
        <w:t xml:space="preserve">In the third section there is a variety of questions, </w:t>
      </w:r>
      <w:r>
        <w:t>with a</w:t>
      </w:r>
      <w:r w:rsidRPr="00A66A1B">
        <w:t xml:space="preserve"> cluster o</w:t>
      </w:r>
      <w:r>
        <w:t>f questions on risk attitude,</w:t>
      </w:r>
      <w:r w:rsidRPr="00A66A1B">
        <w:t xml:space="preserve"> trust</w:t>
      </w:r>
      <w:r>
        <w:t>, knowledge and the economic climate</w:t>
      </w:r>
      <w:r w:rsidRPr="00A66A1B">
        <w:t>. There is diversity in the style and scenario of the questions, to engage the subjects on different levels and put the matter</w:t>
      </w:r>
      <w:r>
        <w:t>s</w:t>
      </w:r>
      <w:r w:rsidRPr="00A66A1B">
        <w:t xml:space="preserve"> into </w:t>
      </w:r>
      <w:r>
        <w:t xml:space="preserve">a </w:t>
      </w:r>
      <w:r w:rsidRPr="00A66A1B">
        <w:t xml:space="preserve">different perspective. </w:t>
      </w:r>
      <w:r>
        <w:t>With s</w:t>
      </w:r>
      <w:r w:rsidRPr="00A66A1B">
        <w:t xml:space="preserve">ome </w:t>
      </w:r>
      <w:r>
        <w:t xml:space="preserve">open </w:t>
      </w:r>
      <w:r w:rsidRPr="00A66A1B">
        <w:t>questions ask</w:t>
      </w:r>
      <w:r>
        <w:t>ing</w:t>
      </w:r>
      <w:r w:rsidRPr="00A66A1B">
        <w:t xml:space="preserve"> the subject</w:t>
      </w:r>
      <w:r>
        <w:t>s</w:t>
      </w:r>
      <w:r w:rsidRPr="00A66A1B">
        <w:t xml:space="preserve"> to indicate what figures they would find acceptable with regards to income percentages and their pension. The last section of question is on demographics (age, gender, income, etc)</w:t>
      </w:r>
      <w:r>
        <w:t>, providing valuable information</w:t>
      </w:r>
      <w:r w:rsidRPr="00A66A1B">
        <w:t xml:space="preserve"> to establish patterns and context for subject cohorts.</w:t>
      </w:r>
    </w:p>
    <w:p w:rsidR="00EB0FCC" w:rsidRPr="00A66A1B" w:rsidRDefault="00EB0FCC" w:rsidP="00286071">
      <w:pPr>
        <w:pStyle w:val="NoSpacing"/>
        <w:tabs>
          <w:tab w:val="left" w:pos="1851"/>
        </w:tabs>
        <w:spacing w:line="360" w:lineRule="auto"/>
        <w:jc w:val="both"/>
      </w:pPr>
    </w:p>
    <w:p w:rsidR="00EB0FCC" w:rsidRDefault="00EB0FCC" w:rsidP="00286071">
      <w:pPr>
        <w:pStyle w:val="NoSpacing"/>
        <w:spacing w:line="360" w:lineRule="auto"/>
        <w:jc w:val="both"/>
      </w:pPr>
      <w:r w:rsidRPr="00A66A1B">
        <w:t xml:space="preserve">Throughout the entire survey </w:t>
      </w:r>
      <w:r>
        <w:t xml:space="preserve">the answers for multiple-choice questions were based on </w:t>
      </w:r>
      <w:r w:rsidRPr="00A66A1B">
        <w:t>the Likert scale of 7</w:t>
      </w:r>
      <w:r>
        <w:t xml:space="preserve">(Likert, 1932). </w:t>
      </w:r>
      <w:r w:rsidRPr="00A66A1B">
        <w:t xml:space="preserve">The use of the Likert scale is an accepted measurement method in the academic community. The </w:t>
      </w:r>
      <w:r>
        <w:t xml:space="preserve">symmetrical </w:t>
      </w:r>
      <w:r w:rsidRPr="00A66A1B">
        <w:t>spectrum of answers ranges from one end (1) to the other end (7). It is important to consider that the interval between the different scales can’t be presumed equal. The participant’s opinion between “disagree” and “strongly disagree” can vary a lot compared to “agree” and “strongly agree”, regarding the topic (Gob et al, 2007). Caution is necessary in the analysis of the results to prevent measurement error and mis-conclusion.</w:t>
      </w:r>
      <w:r w:rsidRPr="00716ABF">
        <w:t xml:space="preserve"> </w:t>
      </w:r>
      <w:r>
        <w:t>In the survey, t</w:t>
      </w:r>
      <w:r w:rsidRPr="00A66A1B">
        <w:t xml:space="preserve">he 1 to 7 scale is always combined with fitting expression in </w:t>
      </w:r>
      <w:r>
        <w:t>text</w:t>
      </w:r>
      <w:r w:rsidRPr="00A66A1B">
        <w:t>, so that the respondents can be very clear about what opinion or feeling they express through their answer.</w:t>
      </w:r>
      <w:r>
        <w:t xml:space="preserve"> </w:t>
      </w:r>
      <w:r w:rsidRPr="00496E16">
        <w:t>The range used was as follows (1) Very Low, (2) Low, (3) Moderately Low, (4) Average, (5) Moderately High, (6) High and (7) Very High</w:t>
      </w:r>
      <w:r>
        <w:t xml:space="preserve">. This combination makes the differences more perceptible for the participant as well as allowing them to use their previous answer as a benchmark. </w:t>
      </w:r>
      <w:r w:rsidRPr="00A66A1B">
        <w:t>There are academics who argue that the Likert scale’s fitness is due to its simplicity</w:t>
      </w:r>
      <w:r>
        <w:t xml:space="preserve"> (Neumann, 2000),</w:t>
      </w:r>
      <w:r w:rsidRPr="00A66A1B">
        <w:t xml:space="preserve"> </w:t>
      </w:r>
      <w:r>
        <w:t>as</w:t>
      </w:r>
      <w:r w:rsidRPr="00A66A1B">
        <w:t xml:space="preserve"> the scale is considered</w:t>
      </w:r>
      <w:r>
        <w:t xml:space="preserve"> to be</w:t>
      </w:r>
      <w:r w:rsidRPr="00A66A1B">
        <w:t xml:space="preserve"> understandable</w:t>
      </w:r>
      <w:r>
        <w:t xml:space="preserve"> and varied</w:t>
      </w:r>
      <w:r w:rsidRPr="00A66A1B">
        <w:t xml:space="preserve">. </w:t>
      </w:r>
      <w:r w:rsidRPr="00496E16">
        <w:t>For a full detailed view of the survey as it was executed, please see the appendix.</w:t>
      </w:r>
    </w:p>
    <w:p w:rsidR="00EB0FCC" w:rsidRDefault="00EB0FCC" w:rsidP="00286071">
      <w:pPr>
        <w:pStyle w:val="NoSpacing"/>
        <w:spacing w:line="360" w:lineRule="auto"/>
        <w:jc w:val="both"/>
      </w:pPr>
    </w:p>
    <w:p w:rsidR="00EB0FCC" w:rsidRPr="009A6293" w:rsidRDefault="00F64C80" w:rsidP="00F64C80">
      <w:pPr>
        <w:pStyle w:val="Vin2"/>
        <w:numPr>
          <w:ilvl w:val="0"/>
          <w:numId w:val="0"/>
        </w:numPr>
      </w:pPr>
      <w:bookmarkStart w:id="46" w:name="_Toc340568926"/>
      <w:r>
        <w:t>3.3</w:t>
      </w:r>
      <w:r w:rsidR="00A61AFC">
        <w:t xml:space="preserve"> S</w:t>
      </w:r>
      <w:r w:rsidR="00EB0FCC" w:rsidRPr="009A6293">
        <w:t xml:space="preserve">urvey </w:t>
      </w:r>
      <w:r w:rsidR="00A61AFC">
        <w:t xml:space="preserve">trust </w:t>
      </w:r>
      <w:r w:rsidR="00EB0FCC" w:rsidRPr="009A6293">
        <w:t>questions</w:t>
      </w:r>
      <w:bookmarkEnd w:id="46"/>
    </w:p>
    <w:p w:rsidR="00EB0FCC" w:rsidRPr="007E09D8" w:rsidRDefault="00EB0FCC" w:rsidP="00286071">
      <w:pPr>
        <w:spacing w:line="360" w:lineRule="auto"/>
        <w:jc w:val="both"/>
      </w:pPr>
      <w:r w:rsidRPr="007E09D8">
        <w:t>The two central variables in this thesis are the trust and risk. The matter of how risk appetite is measured has been discussed in Chapter Two, with the discussion of Holt and Laury</w:t>
      </w:r>
      <w:r>
        <w:t xml:space="preserve"> (2002)</w:t>
      </w:r>
      <w:r w:rsidRPr="007E09D8">
        <w:t xml:space="preserve">. Risk appetite is distilled by obtaining the subject’s switching point between two options varying in riskiness, a straightforward operation. The other central variable is trust; the survey questions used to test for the relevant aspects to trust are set out here. Together the survey questions on these variables provide the major information needed for this thesis. </w:t>
      </w:r>
    </w:p>
    <w:p w:rsidR="00EB0FCC" w:rsidRPr="0084209B" w:rsidRDefault="00EB0FCC" w:rsidP="00286071">
      <w:pPr>
        <w:pStyle w:val="NoSpacing"/>
        <w:spacing w:line="360" w:lineRule="auto"/>
        <w:ind w:firstLine="708"/>
        <w:jc w:val="both"/>
        <w:rPr>
          <w:rFonts w:cstheme="minorHAnsi"/>
          <w:i/>
        </w:rPr>
      </w:pPr>
      <w:r w:rsidRPr="00023449">
        <w:rPr>
          <w:i/>
        </w:rPr>
        <w:t>Question 1. How much do you trust your pensioenscheme?</w:t>
      </w:r>
      <w:r w:rsidRPr="0084209B">
        <w:rPr>
          <w:rFonts w:cstheme="minorHAnsi"/>
          <w:i/>
        </w:rPr>
        <w:t xml:space="preserve"> </w:t>
      </w:r>
      <w:r>
        <w:rPr>
          <w:rStyle w:val="FootnoteReference"/>
          <w:rFonts w:cstheme="minorHAnsi"/>
          <w:i/>
        </w:rPr>
        <w:footnoteReference w:id="9"/>
      </w:r>
    </w:p>
    <w:p w:rsidR="00EB0FCC" w:rsidRPr="007E09D8" w:rsidRDefault="00EB0FCC" w:rsidP="00286071">
      <w:pPr>
        <w:spacing w:line="360" w:lineRule="auto"/>
        <w:jc w:val="both"/>
      </w:pPr>
      <w:r>
        <w:t xml:space="preserve">The first question (Q1) is a direct question to reveal the subject’s current trust in their pension fund. It is difficult and uncommon to use a technique similar as used to distill risk appetite; it’s unclear </w:t>
      </w:r>
      <w:r w:rsidRPr="007E09D8">
        <w:t>whether this information can be elicited via such methods.</w:t>
      </w:r>
    </w:p>
    <w:p w:rsidR="00EB0FCC" w:rsidRPr="004B702C" w:rsidRDefault="00EB0FCC" w:rsidP="00286071">
      <w:pPr>
        <w:spacing w:line="360" w:lineRule="auto"/>
        <w:ind w:firstLine="708"/>
        <w:jc w:val="both"/>
        <w:rPr>
          <w:rFonts w:cstheme="minorHAnsi"/>
        </w:rPr>
      </w:pPr>
      <w:r w:rsidRPr="004B702C">
        <w:rPr>
          <w:rFonts w:cstheme="minorHAnsi"/>
          <w:i/>
        </w:rPr>
        <w:t>Q</w:t>
      </w:r>
      <w:r>
        <w:rPr>
          <w:rFonts w:cstheme="minorHAnsi"/>
          <w:i/>
        </w:rPr>
        <w:t xml:space="preserve">uestion </w:t>
      </w:r>
      <w:r w:rsidRPr="004B702C">
        <w:rPr>
          <w:rFonts w:cstheme="minorHAnsi"/>
          <w:i/>
        </w:rPr>
        <w:t>2.</w:t>
      </w:r>
      <w:r>
        <w:rPr>
          <w:rFonts w:cstheme="minorHAnsi"/>
          <w:i/>
        </w:rPr>
        <w:t xml:space="preserve"> </w:t>
      </w:r>
      <w:r w:rsidRPr="004B702C">
        <w:rPr>
          <w:rFonts w:cstheme="minorHAnsi"/>
          <w:i/>
        </w:rPr>
        <w:t>Has this trus</w:t>
      </w:r>
      <w:r>
        <w:rPr>
          <w:rFonts w:cstheme="minorHAnsi"/>
          <w:i/>
        </w:rPr>
        <w:t xml:space="preserve">t </w:t>
      </w:r>
      <w:r w:rsidRPr="004B702C">
        <w:rPr>
          <w:rFonts w:cstheme="minorHAnsi"/>
          <w:i/>
        </w:rPr>
        <w:t>recently changed?</w:t>
      </w:r>
      <w:r>
        <w:rPr>
          <w:rFonts w:cstheme="minorHAnsi"/>
          <w:i/>
        </w:rPr>
        <w:t xml:space="preserve"> What was the trust level before</w:t>
      </w:r>
      <w:r w:rsidRPr="004B702C">
        <w:rPr>
          <w:rFonts w:cstheme="minorHAnsi"/>
        </w:rPr>
        <w:t>?</w:t>
      </w:r>
      <w:r>
        <w:rPr>
          <w:rStyle w:val="FootnoteReference"/>
          <w:rFonts w:cstheme="minorHAnsi"/>
          <w:lang w:val="nl-NL"/>
        </w:rPr>
        <w:footnoteReference w:id="10"/>
      </w:r>
    </w:p>
    <w:p w:rsidR="00EB0FCC" w:rsidRDefault="00EB0FCC" w:rsidP="00286071">
      <w:pPr>
        <w:pStyle w:val="NoSpacing"/>
        <w:spacing w:line="360" w:lineRule="auto"/>
        <w:jc w:val="both"/>
      </w:pPr>
      <w:r w:rsidRPr="007E09D8">
        <w:t xml:space="preserve">Post Question 1, with the subjects now thinking about the trust they bestow or feel towards their pension fund, the second question asks whether this trust has recently changed and if so what it was before. To prevent any modifications, the second question remains hidden until question one has been answered. The information in this pair of question does not only expose current trust positions and previous trust positions, it also reveals the relative change in a subject’s trust position. </w:t>
      </w:r>
      <w:r>
        <w:t xml:space="preserve">            </w:t>
      </w:r>
      <w:r w:rsidRPr="007E09D8">
        <w:t>This means we have an absolute self-professed measure of trust and a relative (semi- unconscious) measure of trust.</w:t>
      </w:r>
    </w:p>
    <w:p w:rsidR="00EB0FCC" w:rsidRPr="00F13075" w:rsidRDefault="00EB0FCC" w:rsidP="00286071">
      <w:pPr>
        <w:ind w:left="708"/>
        <w:jc w:val="both"/>
        <w:rPr>
          <w:i/>
        </w:rPr>
      </w:pPr>
      <w:r w:rsidRPr="00DC7A77">
        <w:rPr>
          <w:i/>
        </w:rPr>
        <w:t xml:space="preserve">Question 3. Would an increase of trust in your pensionscheme, affect your risk-attitude? Put differently; If you were to trust your pensionscheme more. Would this change the risk that you are willing to take with your pension savings. </w:t>
      </w:r>
      <w:r w:rsidRPr="00F13075">
        <w:rPr>
          <w:i/>
        </w:rPr>
        <w:t>[Considering risk and return are related]</w:t>
      </w:r>
    </w:p>
    <w:p w:rsidR="00EB0FCC" w:rsidRPr="00DC7A77" w:rsidRDefault="00EB0FCC" w:rsidP="00286071">
      <w:pPr>
        <w:ind w:firstLine="708"/>
        <w:jc w:val="both"/>
        <w:rPr>
          <w:i/>
        </w:rPr>
      </w:pPr>
      <w:r w:rsidRPr="00DC7A77">
        <w:rPr>
          <w:i/>
        </w:rPr>
        <w:t>Yes (an increase in risk would not be a problem)</w:t>
      </w:r>
    </w:p>
    <w:p w:rsidR="00EB0FCC" w:rsidRPr="00DC7A77" w:rsidRDefault="00EB0FCC" w:rsidP="00286071">
      <w:pPr>
        <w:ind w:firstLine="708"/>
        <w:jc w:val="both"/>
        <w:rPr>
          <w:i/>
        </w:rPr>
      </w:pPr>
      <w:r w:rsidRPr="00DC7A77">
        <w:rPr>
          <w:i/>
        </w:rPr>
        <w:t>No (I ought more trust not to be of importance)</w:t>
      </w:r>
      <w:r w:rsidRPr="00DC7A77">
        <w:rPr>
          <w:rStyle w:val="FootnoteReference"/>
          <w:i/>
        </w:rPr>
        <w:footnoteReference w:id="11"/>
      </w:r>
    </w:p>
    <w:p w:rsidR="00EB0FCC" w:rsidRPr="00F95163" w:rsidRDefault="00EB0FCC" w:rsidP="00286071">
      <w:pPr>
        <w:spacing w:line="360" w:lineRule="auto"/>
        <w:jc w:val="both"/>
      </w:pPr>
      <w:r>
        <w:t xml:space="preserve">The third question (Q3) is a simple direct yes-or-no question, to see whether the subject themselves consider trust to play a role in their risk appetite. Thus, revealing an interesting insight into people’s perception of the trust-risk relation. Such an insight offers an interesting discussion when compared </w:t>
      </w:r>
      <w:r w:rsidRPr="00F95163">
        <w:t>to the regression results.</w:t>
      </w:r>
    </w:p>
    <w:p w:rsidR="00EB0FCC" w:rsidRPr="00DC7A77" w:rsidRDefault="00EB0FCC" w:rsidP="00286071">
      <w:pPr>
        <w:ind w:left="708"/>
        <w:jc w:val="both"/>
        <w:rPr>
          <w:i/>
        </w:rPr>
      </w:pPr>
      <w:r w:rsidRPr="00DC7A77">
        <w:rPr>
          <w:i/>
        </w:rPr>
        <w:t>Question 4. To what extend is the trust you have in your pension scheme, and its employees, subject to your knowledge and understanding of what it is they do?</w:t>
      </w:r>
      <w:r w:rsidRPr="00DC7A77">
        <w:rPr>
          <w:rStyle w:val="FootnoteReference"/>
          <w:i/>
        </w:rPr>
        <w:footnoteReference w:id="12"/>
      </w:r>
    </w:p>
    <w:p w:rsidR="00EB0FCC" w:rsidRDefault="00EB0FCC" w:rsidP="00286071">
      <w:pPr>
        <w:pStyle w:val="NoSpacing"/>
        <w:spacing w:line="360" w:lineRule="auto"/>
        <w:jc w:val="both"/>
      </w:pPr>
    </w:p>
    <w:p w:rsidR="00EB0FCC" w:rsidRDefault="00EB0FCC" w:rsidP="00286071">
      <w:pPr>
        <w:pStyle w:val="NoSpacing"/>
        <w:spacing w:line="360" w:lineRule="auto"/>
        <w:jc w:val="both"/>
      </w:pPr>
      <w:r w:rsidRPr="002C006F">
        <w:t>The Fourth question (Q4), is similar to the previous question. However, its significantly different as it contrasts with Q3 as it puts trust and pension knowledge in an immediate context together. In other survey questions both of these variables are tested separately. The results of this question act as a co</w:t>
      </w:r>
      <w:r>
        <w:t>ntrol variable</w:t>
      </w:r>
      <w:r w:rsidRPr="002C006F">
        <w:t xml:space="preserve"> to the correlation between those variables. </w:t>
      </w:r>
    </w:p>
    <w:p w:rsidR="00EB0FCC" w:rsidRDefault="00EB0FCC" w:rsidP="00286071">
      <w:pPr>
        <w:pStyle w:val="NoSpacing"/>
        <w:spacing w:line="360" w:lineRule="auto"/>
        <w:jc w:val="both"/>
      </w:pPr>
    </w:p>
    <w:p w:rsidR="00EB0FCC" w:rsidRDefault="00EB0FCC" w:rsidP="00286071">
      <w:pPr>
        <w:pStyle w:val="NoSpacing"/>
        <w:spacing w:line="360" w:lineRule="auto"/>
        <w:jc w:val="both"/>
      </w:pPr>
      <w:r w:rsidRPr="002C006F">
        <w:t xml:space="preserve">Correlations can change when variables are tested on one another; further consideration is apt for the fact that some questions are conscious self-professed weighting of thoughts. The first, second and fourth questions were multiple choice questions. The answers existed of the same 7-Likert scale answers, discussed in previous paragraph. </w:t>
      </w:r>
    </w:p>
    <w:p w:rsidR="00EB0FCC" w:rsidRDefault="00EB0FCC" w:rsidP="00286071">
      <w:pPr>
        <w:pStyle w:val="NoSpacing"/>
        <w:spacing w:line="360" w:lineRule="auto"/>
        <w:jc w:val="both"/>
      </w:pPr>
    </w:p>
    <w:p w:rsidR="00EB0FCC" w:rsidRPr="009A6293" w:rsidRDefault="00F64C80" w:rsidP="00F64C80">
      <w:pPr>
        <w:pStyle w:val="Vin2"/>
        <w:numPr>
          <w:ilvl w:val="0"/>
          <w:numId w:val="0"/>
        </w:numPr>
      </w:pPr>
      <w:bookmarkStart w:id="47" w:name="_Toc340568927"/>
      <w:r>
        <w:t>3.4</w:t>
      </w:r>
      <w:r w:rsidR="00EB0FCC" w:rsidRPr="009A6293">
        <w:t xml:space="preserve"> Preliminary data analysis</w:t>
      </w:r>
      <w:bookmarkEnd w:id="47"/>
    </w:p>
    <w:p w:rsidR="00EB0FCC" w:rsidRPr="008257D4" w:rsidRDefault="00EB0FCC" w:rsidP="00286071">
      <w:pPr>
        <w:pStyle w:val="NoSpacing"/>
        <w:spacing w:line="360" w:lineRule="auto"/>
        <w:jc w:val="both"/>
      </w:pPr>
      <w:r w:rsidRPr="00A66A1B">
        <w:t>The data gathered from the survey contains a large variety of important information about the test subjects.</w:t>
      </w:r>
      <w:r>
        <w:t xml:space="preserve"> A</w:t>
      </w:r>
      <w:r w:rsidRPr="00A66A1B">
        <w:t xml:space="preserve"> representative overview of the survey </w:t>
      </w:r>
      <w:r w:rsidRPr="008257D4">
        <w:t>subject population aides in the understanding of the survey’s results</w:t>
      </w:r>
      <w:r>
        <w:t xml:space="preserve"> and provides the opportunity to put them into context</w:t>
      </w:r>
      <w:r w:rsidRPr="008257D4">
        <w:t xml:space="preserve">. </w:t>
      </w:r>
    </w:p>
    <w:p w:rsidR="00EB0FCC" w:rsidRDefault="00EB0FCC" w:rsidP="00286071">
      <w:pPr>
        <w:pStyle w:val="NoSpacing"/>
        <w:jc w:val="both"/>
      </w:pPr>
    </w:p>
    <w:p w:rsidR="00EB0FCC" w:rsidRDefault="00EB0FCC" w:rsidP="00286071">
      <w:pPr>
        <w:pStyle w:val="NoSpacing"/>
        <w:jc w:val="both"/>
      </w:pPr>
    </w:p>
    <w:p w:rsidR="00EB0FCC" w:rsidRPr="009D1FA6" w:rsidRDefault="00EB0FCC" w:rsidP="00286071">
      <w:pPr>
        <w:pStyle w:val="NoSpacing"/>
        <w:spacing w:line="360" w:lineRule="auto"/>
        <w:jc w:val="both"/>
        <w:rPr>
          <w:i/>
        </w:rPr>
      </w:pPr>
      <w:r w:rsidRPr="009D1FA6">
        <w:rPr>
          <w:i/>
        </w:rPr>
        <w:t>Gender</w:t>
      </w:r>
    </w:p>
    <w:p w:rsidR="00EB0FCC" w:rsidRDefault="00EB0FCC" w:rsidP="00286071">
      <w:pPr>
        <w:pStyle w:val="NoSpacing"/>
        <w:spacing w:line="360" w:lineRule="auto"/>
        <w:jc w:val="both"/>
      </w:pPr>
      <w:r w:rsidRPr="00A66A1B">
        <w:t>The subject population consists for the majority of men. The exact figures in table 3.1</w:t>
      </w:r>
      <w:r>
        <w:t>, show that the ratio</w:t>
      </w:r>
      <w:r w:rsidRPr="00A66A1B">
        <w:t xml:space="preserve"> between male-female participants is almost perfectly in a proportion of 2-to-1.  </w:t>
      </w:r>
      <w:r>
        <w:t>Contrasting</w:t>
      </w:r>
      <w:r w:rsidRPr="00A66A1B">
        <w:t xml:space="preserve"> t</w:t>
      </w:r>
      <w:r>
        <w:t>his to</w:t>
      </w:r>
      <w:r w:rsidRPr="00A66A1B">
        <w:t xml:space="preserve"> the make-up of the Dutch workforce (who forms the second pillar plan members) these numbers are not a proportiona</w:t>
      </w:r>
      <w:r>
        <w:t xml:space="preserve">l representation.  </w:t>
      </w:r>
    </w:p>
    <w:p w:rsidR="00EB0FCC" w:rsidRDefault="00EB0FCC" w:rsidP="00286071">
      <w:pPr>
        <w:pStyle w:val="NoSpacing"/>
        <w:spacing w:line="360" w:lineRule="auto"/>
        <w:jc w:val="both"/>
      </w:pPr>
      <w:r w:rsidRPr="00A66A1B">
        <w:t>The Dutch participation rate in 2011 between men (74%) and women (60%)</w:t>
      </w:r>
      <w:r>
        <w:t xml:space="preserve"> wa</w:t>
      </w:r>
      <w:r w:rsidRPr="00A66A1B">
        <w:t>s in a proportion of 1.23-to-1.</w:t>
      </w:r>
      <w:r w:rsidRPr="00A66A1B">
        <w:rPr>
          <w:rStyle w:val="FootnoteReference"/>
        </w:rPr>
        <w:footnoteReference w:id="13"/>
      </w:r>
      <w:r w:rsidRPr="00A66A1B">
        <w:t xml:space="preserve"> A verified explanation for this inequality is unavailable, the most likely explanation for the anomaly in the result is simply that more men received and completed the survey. This observed balance doesn’t disqualify the data and </w:t>
      </w:r>
      <w:r w:rsidRPr="00074D33">
        <w:t xml:space="preserve">in further </w:t>
      </w:r>
      <w:r w:rsidRPr="001D5935">
        <w:t>analysis the observation is considered.</w:t>
      </w:r>
      <w:r w:rsidRPr="00A66A1B">
        <w:t xml:space="preserve"> </w:t>
      </w: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2"/>
          <w:szCs w:val="12"/>
        </w:rPr>
      </w:pPr>
      <w:r w:rsidRPr="00A6048E">
        <w:rPr>
          <w:sz w:val="18"/>
          <w:szCs w:val="18"/>
        </w:rPr>
        <w:t>Table 3.1</w:t>
      </w:r>
      <w:r w:rsidRPr="00A66A1B">
        <w:t xml:space="preserve"> </w:t>
      </w:r>
    </w:p>
    <w:p w:rsidR="00EB0FCC" w:rsidRPr="00256A67" w:rsidRDefault="00EB0FCC" w:rsidP="00286071">
      <w:pPr>
        <w:pStyle w:val="NoSpacing"/>
        <w:spacing w:line="360" w:lineRule="auto"/>
        <w:jc w:val="both"/>
        <w:rPr>
          <w:sz w:val="6"/>
          <w:szCs w:val="6"/>
        </w:rPr>
      </w:pPr>
      <w:r>
        <w:tab/>
      </w:r>
      <w:r>
        <w:tab/>
      </w:r>
      <w:r>
        <w:tab/>
        <w:t xml:space="preserve">              </w:t>
      </w:r>
      <w:r w:rsidRPr="005F0DAD">
        <w:rPr>
          <w:b/>
        </w:rPr>
        <w:t>Gender division survey population</w:t>
      </w:r>
    </w:p>
    <w:tbl>
      <w:tblPr>
        <w:tblStyle w:val="TableGrid"/>
        <w:tblW w:w="0" w:type="auto"/>
        <w:jc w:val="center"/>
        <w:tblLook w:val="04A0"/>
      </w:tblPr>
      <w:tblGrid>
        <w:gridCol w:w="3778"/>
        <w:gridCol w:w="4031"/>
      </w:tblGrid>
      <w:tr w:rsidR="00EB0FCC" w:rsidRPr="00A66A1B" w:rsidTr="0021417F">
        <w:trPr>
          <w:trHeight w:val="88"/>
          <w:jc w:val="center"/>
        </w:trPr>
        <w:tc>
          <w:tcPr>
            <w:tcW w:w="3778" w:type="dxa"/>
          </w:tcPr>
          <w:p w:rsidR="00EB0FCC" w:rsidRPr="00A66A1B" w:rsidRDefault="00EB0FCC" w:rsidP="00286071">
            <w:pPr>
              <w:pStyle w:val="NoSpacing"/>
              <w:jc w:val="both"/>
            </w:pPr>
            <w:r w:rsidRPr="00A66A1B">
              <w:t>Male</w:t>
            </w:r>
          </w:p>
        </w:tc>
        <w:tc>
          <w:tcPr>
            <w:tcW w:w="4031" w:type="dxa"/>
          </w:tcPr>
          <w:p w:rsidR="00EB0FCC" w:rsidRPr="00A66A1B" w:rsidRDefault="00EB0FCC" w:rsidP="00286071">
            <w:pPr>
              <w:pStyle w:val="NoSpacing"/>
              <w:jc w:val="both"/>
            </w:pPr>
            <w:r w:rsidRPr="00A66A1B">
              <w:t>Female</w:t>
            </w:r>
          </w:p>
        </w:tc>
      </w:tr>
      <w:tr w:rsidR="00EB0FCC" w:rsidRPr="00A66A1B" w:rsidTr="0021417F">
        <w:trPr>
          <w:trHeight w:val="300"/>
          <w:jc w:val="center"/>
        </w:trPr>
        <w:tc>
          <w:tcPr>
            <w:tcW w:w="3778" w:type="dxa"/>
          </w:tcPr>
          <w:p w:rsidR="00EB0FCC" w:rsidRPr="00A66A1B" w:rsidRDefault="00EB0FCC" w:rsidP="00286071">
            <w:pPr>
              <w:pStyle w:val="NoSpacing"/>
              <w:spacing w:line="360" w:lineRule="auto"/>
              <w:jc w:val="both"/>
            </w:pPr>
            <w:r w:rsidRPr="00A66A1B">
              <w:t>82</w:t>
            </w:r>
          </w:p>
        </w:tc>
        <w:tc>
          <w:tcPr>
            <w:tcW w:w="4031" w:type="dxa"/>
          </w:tcPr>
          <w:p w:rsidR="00EB0FCC" w:rsidRPr="00A66A1B" w:rsidRDefault="00EB0FCC" w:rsidP="00286071">
            <w:pPr>
              <w:pStyle w:val="NoSpacing"/>
              <w:spacing w:line="360" w:lineRule="auto"/>
              <w:jc w:val="both"/>
            </w:pPr>
            <w:r w:rsidRPr="00A66A1B">
              <w:t>40</w:t>
            </w:r>
          </w:p>
        </w:tc>
      </w:tr>
      <w:tr w:rsidR="00EB0FCC" w:rsidRPr="00A66A1B" w:rsidTr="0021417F">
        <w:trPr>
          <w:trHeight w:val="306"/>
          <w:jc w:val="center"/>
        </w:trPr>
        <w:tc>
          <w:tcPr>
            <w:tcW w:w="3778" w:type="dxa"/>
          </w:tcPr>
          <w:p w:rsidR="00EB0FCC" w:rsidRPr="00A66A1B" w:rsidRDefault="00EB0FCC" w:rsidP="00286071">
            <w:pPr>
              <w:pStyle w:val="NoSpacing"/>
              <w:spacing w:line="360" w:lineRule="auto"/>
              <w:jc w:val="both"/>
            </w:pPr>
            <w:r w:rsidRPr="00A66A1B">
              <w:t>67.2%</w:t>
            </w:r>
          </w:p>
        </w:tc>
        <w:tc>
          <w:tcPr>
            <w:tcW w:w="4031" w:type="dxa"/>
          </w:tcPr>
          <w:p w:rsidR="00EB0FCC" w:rsidRPr="00A66A1B" w:rsidRDefault="00EB0FCC" w:rsidP="00286071">
            <w:pPr>
              <w:pStyle w:val="NoSpacing"/>
              <w:spacing w:line="360" w:lineRule="auto"/>
              <w:jc w:val="both"/>
            </w:pPr>
            <w:r w:rsidRPr="00A66A1B">
              <w:t>32.8%</w:t>
            </w:r>
          </w:p>
        </w:tc>
      </w:tr>
    </w:tbl>
    <w:p w:rsidR="00EB0FCC" w:rsidRPr="004C336E" w:rsidRDefault="00EB0FCC" w:rsidP="00286071">
      <w:pPr>
        <w:pStyle w:val="NoSpacing"/>
        <w:spacing w:line="360" w:lineRule="auto"/>
        <w:jc w:val="both"/>
        <w:rPr>
          <w:i/>
          <w:sz w:val="16"/>
          <w:szCs w:val="16"/>
        </w:rPr>
      </w:pPr>
    </w:p>
    <w:p w:rsidR="00EB0FCC" w:rsidRDefault="00EB0FCC" w:rsidP="00286071">
      <w:pPr>
        <w:pStyle w:val="NoSpacing"/>
        <w:spacing w:line="360" w:lineRule="auto"/>
        <w:jc w:val="both"/>
        <w:rPr>
          <w:i/>
        </w:rPr>
      </w:pPr>
    </w:p>
    <w:p w:rsidR="00EB0FCC" w:rsidRDefault="00EB0FCC" w:rsidP="00286071">
      <w:pPr>
        <w:pStyle w:val="NoSpacing"/>
        <w:spacing w:line="360" w:lineRule="auto"/>
        <w:jc w:val="both"/>
        <w:rPr>
          <w:i/>
        </w:rPr>
      </w:pPr>
    </w:p>
    <w:p w:rsidR="00EB0FCC" w:rsidRDefault="00EB0FCC" w:rsidP="00286071">
      <w:pPr>
        <w:pStyle w:val="NoSpacing"/>
        <w:spacing w:line="360" w:lineRule="auto"/>
        <w:jc w:val="both"/>
        <w:rPr>
          <w:i/>
        </w:rPr>
      </w:pPr>
    </w:p>
    <w:p w:rsidR="00EB0FCC" w:rsidRDefault="00EB0FCC" w:rsidP="00286071">
      <w:pPr>
        <w:pStyle w:val="NoSpacing"/>
        <w:spacing w:line="360" w:lineRule="auto"/>
        <w:jc w:val="both"/>
        <w:rPr>
          <w:i/>
        </w:rPr>
      </w:pPr>
    </w:p>
    <w:p w:rsidR="00EB0FCC" w:rsidRDefault="00EB0FCC" w:rsidP="00286071">
      <w:pPr>
        <w:pStyle w:val="NoSpacing"/>
        <w:spacing w:line="360" w:lineRule="auto"/>
        <w:jc w:val="both"/>
        <w:rPr>
          <w:i/>
        </w:rPr>
      </w:pPr>
    </w:p>
    <w:p w:rsidR="00EB0FCC" w:rsidRPr="00A66A1B" w:rsidRDefault="00EB0FCC" w:rsidP="00286071">
      <w:pPr>
        <w:pStyle w:val="NoSpacing"/>
        <w:spacing w:line="360" w:lineRule="auto"/>
        <w:jc w:val="both"/>
        <w:rPr>
          <w:i/>
        </w:rPr>
      </w:pPr>
      <w:r w:rsidRPr="00A66A1B">
        <w:rPr>
          <w:i/>
        </w:rPr>
        <w:t>Age</w:t>
      </w:r>
    </w:p>
    <w:p w:rsidR="00EB0FCC" w:rsidRPr="00E1102D" w:rsidRDefault="00EB0FCC" w:rsidP="00286071">
      <w:pPr>
        <w:pStyle w:val="NoSpacing"/>
        <w:spacing w:line="360" w:lineRule="auto"/>
        <w:jc w:val="both"/>
      </w:pPr>
      <w:r w:rsidRPr="00A66A1B">
        <w:t xml:space="preserve">The age diversity of the subject population is of crucial importance to this type of study. As explained in chapter 2, gender and age are two </w:t>
      </w:r>
      <w:r>
        <w:t>very determining</w:t>
      </w:r>
      <w:r w:rsidRPr="00A66A1B">
        <w:t xml:space="preserve"> factors that </w:t>
      </w:r>
      <w:r>
        <w:t>influence</w:t>
      </w:r>
      <w:r w:rsidRPr="00A66A1B">
        <w:t xml:space="preserve"> trust and risk levels in individuals, both separate and combined. </w:t>
      </w:r>
      <w:r>
        <w:t>The average age of the subject population is 38.9, close in approximation to the Dutch employed working population’s average age of 41.2</w:t>
      </w:r>
      <w:r>
        <w:rPr>
          <w:rStyle w:val="FootnoteReference"/>
        </w:rPr>
        <w:footnoteReference w:id="14"/>
      </w:r>
      <w:r>
        <w:t xml:space="preserve">. For women the national average is 40.3 whilst in the subject population it’s 36.1, comparatively for men the figures are 41.9 against 40.2 for the subject population. </w:t>
      </w:r>
      <w:r w:rsidRPr="00A66A1B">
        <w:t xml:space="preserve">When looking at the age range of the participants we see that little over half of the participants are 40 or younger and only 1 subject </w:t>
      </w:r>
      <w:r>
        <w:t>su</w:t>
      </w:r>
      <w:r w:rsidRPr="00A66A1B">
        <w:t>r</w:t>
      </w:r>
      <w:r>
        <w:t>passes</w:t>
      </w:r>
      <w:r w:rsidRPr="00A66A1B">
        <w:t xml:space="preserve"> the former retirement age of 65. Although the highest peaks are with the under-30 and the 50-55 tranches, the spread of the participants over the age spectrum assures that no particular age category significantly dominates the entire population. Although seen</w:t>
      </w:r>
      <w:r>
        <w:t xml:space="preserve"> the</w:t>
      </w:r>
      <w:r w:rsidRPr="00A66A1B">
        <w:t xml:space="preserve"> spikes in the under-30’s, it is fair to say the “young” exhibit a strong </w:t>
      </w:r>
      <w:r>
        <w:t>presence.</w:t>
      </w: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3B7AD5">
      <w:pPr>
        <w:pStyle w:val="NoSpacing"/>
        <w:spacing w:line="360" w:lineRule="auto"/>
        <w:rPr>
          <w:sz w:val="18"/>
          <w:szCs w:val="18"/>
        </w:rPr>
      </w:pPr>
      <w:r>
        <w:rPr>
          <w:sz w:val="18"/>
          <w:szCs w:val="18"/>
        </w:rPr>
        <w:t>Figure</w:t>
      </w:r>
      <w:r w:rsidR="00286071">
        <w:rPr>
          <w:sz w:val="18"/>
          <w:szCs w:val="18"/>
        </w:rPr>
        <w:t xml:space="preserve"> </w:t>
      </w:r>
      <w:r>
        <w:rPr>
          <w:sz w:val="18"/>
          <w:szCs w:val="18"/>
        </w:rPr>
        <w:t>3.1.</w:t>
      </w:r>
      <w:r w:rsidRPr="00A66A1B">
        <w:rPr>
          <w:noProof/>
          <w:lang w:val="nl-NL" w:eastAsia="nl-NL"/>
        </w:rPr>
        <w:drawing>
          <wp:inline distT="0" distB="0" distL="0" distR="0">
            <wp:extent cx="6353298" cy="3277589"/>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rPr>
          <w:sz w:val="18"/>
          <w:szCs w:val="18"/>
        </w:rPr>
      </w:pPr>
    </w:p>
    <w:p w:rsidR="00EB0FCC" w:rsidRDefault="00EB0FCC" w:rsidP="00286071">
      <w:pPr>
        <w:pStyle w:val="NoSpacing"/>
        <w:spacing w:line="360" w:lineRule="auto"/>
        <w:jc w:val="both"/>
      </w:pPr>
      <w:r w:rsidRPr="00A66A1B">
        <w:t xml:space="preserve">Using the population pyramid in Figure </w:t>
      </w:r>
      <w:r>
        <w:t>3.2</w:t>
      </w:r>
      <w:r w:rsidRPr="00A66A1B">
        <w:t xml:space="preserve"> it is possible to assess the two variables Gender and Age simultaneously, revealing a detailed overview of the population build up. The majority of male respondents is apparent and the concentration of respondent’s ages can be clearly identified. Contrasting to the figure above there is a continuous age scale, showing a precise population build- up and exposing </w:t>
      </w:r>
      <w:r>
        <w:t xml:space="preserve">any </w:t>
      </w:r>
      <w:r w:rsidRPr="00A66A1B">
        <w:t xml:space="preserve">age gaps. </w:t>
      </w:r>
      <w:r>
        <w:t xml:space="preserve"> </w:t>
      </w:r>
      <w:r w:rsidRPr="00A66A1B">
        <w:t xml:space="preserve">There are some gaps in the female population, with a particularly thin representation between the ages of 33 to 48, </w:t>
      </w:r>
      <w:r>
        <w:t xml:space="preserve">which </w:t>
      </w:r>
      <w:r w:rsidRPr="00A66A1B">
        <w:t>correspond with the dip seen in those tranches in Figure 3.</w:t>
      </w:r>
      <w:r>
        <w:t>1. As a r</w:t>
      </w:r>
      <w:r w:rsidRPr="00A66A1B">
        <w:t>esult the</w:t>
      </w:r>
      <w:r>
        <w:t xml:space="preserve"> male population dominates</w:t>
      </w:r>
      <w:r w:rsidRPr="00A66A1B">
        <w:t xml:space="preserve"> the female population in the middle tranches.</w:t>
      </w:r>
      <w:r>
        <w:t xml:space="preserve"> </w:t>
      </w:r>
      <w:r w:rsidRPr="00A66A1B">
        <w:t>With the male population nicely spread out over the age spectrum and the female population seemingly clustering at the younger ages, the lower average age of the latter is</w:t>
      </w:r>
      <w:r>
        <w:t xml:space="preserve"> u</w:t>
      </w:r>
      <w:r w:rsidRPr="00A66A1B">
        <w:t>nsurprising.</w:t>
      </w:r>
    </w:p>
    <w:p w:rsidR="00EB0FCC" w:rsidRDefault="00EB0FCC" w:rsidP="00286071">
      <w:pPr>
        <w:pStyle w:val="NoSpacing"/>
        <w:spacing w:line="360" w:lineRule="auto"/>
        <w:jc w:val="both"/>
      </w:pPr>
      <w:r w:rsidRPr="00A66A1B">
        <w:t xml:space="preserve"> </w:t>
      </w:r>
      <w:r w:rsidR="009B7515">
        <w:t xml:space="preserve"> </w:t>
      </w:r>
    </w:p>
    <w:p w:rsidR="00F864DF" w:rsidRDefault="00F864DF" w:rsidP="00286071">
      <w:pPr>
        <w:pStyle w:val="NoSpacing"/>
        <w:spacing w:line="360" w:lineRule="auto"/>
        <w:jc w:val="both"/>
      </w:pPr>
    </w:p>
    <w:p w:rsidR="00EB0FCC" w:rsidRDefault="00EB0FCC" w:rsidP="00286071">
      <w:pPr>
        <w:pStyle w:val="NoSpacing"/>
        <w:spacing w:line="360" w:lineRule="auto"/>
        <w:jc w:val="both"/>
      </w:pPr>
      <w:r w:rsidRPr="00A6048E">
        <w:rPr>
          <w:sz w:val="18"/>
          <w:szCs w:val="18"/>
        </w:rPr>
        <w:t>Figure 3.</w:t>
      </w:r>
      <w:r>
        <w:rPr>
          <w:sz w:val="18"/>
          <w:szCs w:val="18"/>
        </w:rPr>
        <w:t>2</w:t>
      </w:r>
      <w:r w:rsidRPr="00A6048E">
        <w:rPr>
          <w:sz w:val="18"/>
          <w:szCs w:val="18"/>
        </w:rPr>
        <w:t xml:space="preserve"> </w:t>
      </w:r>
    </w:p>
    <w:p w:rsidR="00EB0FCC" w:rsidRDefault="00EB0FCC" w:rsidP="009B7515">
      <w:pPr>
        <w:pStyle w:val="NoSpacing"/>
        <w:spacing w:line="360" w:lineRule="auto"/>
        <w:rPr>
          <w:i/>
        </w:rPr>
      </w:pPr>
      <w:r w:rsidRPr="00A66A1B">
        <w:rPr>
          <w:noProof/>
          <w:lang w:val="nl-NL" w:eastAsia="nl-NL"/>
        </w:rPr>
        <w:drawing>
          <wp:inline distT="0" distB="0" distL="0" distR="0">
            <wp:extent cx="6286447" cy="4702628"/>
            <wp:effectExtent l="19050" t="0" r="5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289571" cy="4704965"/>
                    </a:xfrm>
                    <a:prstGeom prst="rect">
                      <a:avLst/>
                    </a:prstGeom>
                  </pic:spPr>
                </pic:pic>
              </a:graphicData>
            </a:graphic>
          </wp:inline>
        </w:drawing>
      </w:r>
    </w:p>
    <w:p w:rsidR="00EB0FCC" w:rsidRDefault="00EB0FCC" w:rsidP="00EB0FCC">
      <w:pPr>
        <w:pStyle w:val="NoSpacing"/>
        <w:spacing w:line="360" w:lineRule="auto"/>
        <w:rPr>
          <w:i/>
        </w:rPr>
      </w:pPr>
    </w:p>
    <w:p w:rsidR="00EB0FCC" w:rsidRDefault="00EB0FCC" w:rsidP="00EB0FCC">
      <w:pPr>
        <w:pStyle w:val="NoSpacing"/>
        <w:spacing w:line="360" w:lineRule="auto"/>
        <w:rPr>
          <w:i/>
        </w:rPr>
      </w:pPr>
    </w:p>
    <w:p w:rsidR="00EB0FCC" w:rsidRDefault="00EB0FCC" w:rsidP="00EB0FCC">
      <w:pPr>
        <w:pStyle w:val="NoSpacing"/>
        <w:spacing w:line="360" w:lineRule="auto"/>
        <w:rPr>
          <w:i/>
        </w:rPr>
      </w:pPr>
    </w:p>
    <w:p w:rsidR="00EB0FCC" w:rsidRPr="00A66A1B" w:rsidRDefault="00EB0FCC" w:rsidP="00286071">
      <w:pPr>
        <w:pStyle w:val="NoSpacing"/>
        <w:spacing w:line="360" w:lineRule="auto"/>
        <w:jc w:val="both"/>
      </w:pPr>
      <w:r>
        <w:rPr>
          <w:i/>
        </w:rPr>
        <w:t>I</w:t>
      </w:r>
      <w:r w:rsidRPr="00A66A1B">
        <w:rPr>
          <w:i/>
        </w:rPr>
        <w:t>ncome</w:t>
      </w:r>
    </w:p>
    <w:p w:rsidR="00EB0FCC" w:rsidRPr="00A66A1B" w:rsidRDefault="00EB0FCC" w:rsidP="00286071">
      <w:pPr>
        <w:pStyle w:val="NoSpacing"/>
        <w:spacing w:line="360" w:lineRule="auto"/>
        <w:jc w:val="both"/>
      </w:pPr>
      <w:r w:rsidRPr="00A66A1B">
        <w:t xml:space="preserve">The Dutch average </w:t>
      </w:r>
      <w:r>
        <w:t>M</w:t>
      </w:r>
      <w:r w:rsidRPr="00A66A1B">
        <w:t xml:space="preserve">onthly Net </w:t>
      </w:r>
      <w:r>
        <w:t>I</w:t>
      </w:r>
      <w:r w:rsidRPr="00A66A1B">
        <w:t>ncome in 2011 was € 1950</w:t>
      </w:r>
      <w:r w:rsidRPr="00A66A1B">
        <w:rPr>
          <w:rStyle w:val="FootnoteReference"/>
        </w:rPr>
        <w:footnoteReference w:id="15"/>
      </w:r>
      <w:r w:rsidRPr="00A66A1B">
        <w:t xml:space="preserve">. </w:t>
      </w:r>
      <w:r>
        <w:t>The diagram in Figure 3.4 gives an overview of the participants current Net Monthly Income. It is evident that more than half of the subjects earn more than the Dutch average</w:t>
      </w:r>
      <w:r w:rsidRPr="00A66A1B">
        <w:t xml:space="preserve">, with the single largest income category being the highest income quotient. </w:t>
      </w:r>
      <w:r>
        <w:t xml:space="preserve">The mean income category is the fifth category, of incomes between </w:t>
      </w:r>
      <w:r w:rsidRPr="00A66A1B">
        <w:t>€</w:t>
      </w:r>
      <w:r>
        <w:t xml:space="preserve">2150- </w:t>
      </w:r>
      <w:r w:rsidRPr="00A66A1B">
        <w:t>€</w:t>
      </w:r>
      <w:r>
        <w:t xml:space="preserve">2550. </w:t>
      </w:r>
      <w:r w:rsidRPr="00A66A1B">
        <w:t xml:space="preserve">Considering the overall distribution it is fair to say that the subject population is well diversified in terms of income. </w:t>
      </w:r>
      <w:r>
        <w:t>It is interesting to see that the peaks present in the younger age categories are not necessarily persisting in the income division</w:t>
      </w:r>
      <w:r w:rsidR="001B127A">
        <w:t>. As younger people are expected to generally earn less.</w:t>
      </w:r>
      <w:r>
        <w:t xml:space="preserve"> </w:t>
      </w:r>
    </w:p>
    <w:p w:rsidR="00EB0FCC" w:rsidRPr="00A6048E" w:rsidRDefault="00EB0FCC" w:rsidP="00286071">
      <w:pPr>
        <w:pStyle w:val="NoSpacing"/>
        <w:spacing w:line="360" w:lineRule="auto"/>
        <w:jc w:val="both"/>
        <w:rPr>
          <w:sz w:val="18"/>
          <w:szCs w:val="18"/>
        </w:rPr>
      </w:pPr>
      <w:r>
        <w:rPr>
          <w:sz w:val="18"/>
          <w:szCs w:val="18"/>
        </w:rPr>
        <w:t>Figure 3.3</w:t>
      </w:r>
    </w:p>
    <w:p w:rsidR="00EB0FCC" w:rsidRPr="00A66A1B" w:rsidRDefault="00EB0FCC" w:rsidP="00286071">
      <w:pPr>
        <w:autoSpaceDE w:val="0"/>
        <w:autoSpaceDN w:val="0"/>
        <w:adjustRightInd w:val="0"/>
        <w:spacing w:after="0" w:line="360" w:lineRule="auto"/>
        <w:jc w:val="center"/>
        <w:rPr>
          <w:rFonts w:ascii="Times New Roman" w:hAnsi="Times New Roman" w:cs="Times New Roman"/>
          <w:sz w:val="24"/>
          <w:szCs w:val="24"/>
        </w:rPr>
      </w:pPr>
      <w:r w:rsidRPr="00A66A1B">
        <w:rPr>
          <w:rFonts w:ascii="Times New Roman" w:hAnsi="Times New Roman" w:cs="Times New Roman"/>
          <w:noProof/>
          <w:sz w:val="24"/>
          <w:szCs w:val="24"/>
          <w:lang w:val="nl-NL" w:eastAsia="nl-NL"/>
        </w:rPr>
        <w:drawing>
          <wp:inline distT="0" distB="0" distL="0" distR="0">
            <wp:extent cx="5295900" cy="4238482"/>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95900" cy="4238482"/>
                    </a:xfrm>
                    <a:prstGeom prst="rect">
                      <a:avLst/>
                    </a:prstGeom>
                    <a:noFill/>
                    <a:ln w="9525">
                      <a:noFill/>
                      <a:miter lim="800000"/>
                      <a:headEnd/>
                      <a:tailEnd/>
                    </a:ln>
                  </pic:spPr>
                </pic:pic>
              </a:graphicData>
            </a:graphic>
          </wp:inline>
        </w:drawing>
      </w:r>
    </w:p>
    <w:p w:rsidR="00EB0FCC" w:rsidRDefault="00EB0FCC" w:rsidP="00286071">
      <w:pPr>
        <w:pStyle w:val="NoSpacing"/>
        <w:spacing w:line="360" w:lineRule="auto"/>
        <w:jc w:val="both"/>
        <w:rPr>
          <w:rFonts w:ascii="Times New Roman" w:hAnsi="Times New Roman" w:cs="Times New Roman"/>
          <w:sz w:val="24"/>
          <w:szCs w:val="24"/>
        </w:rPr>
      </w:pPr>
    </w:p>
    <w:p w:rsidR="00EB0FCC" w:rsidRPr="00A66A1B" w:rsidRDefault="00EB0FCC" w:rsidP="00286071">
      <w:pPr>
        <w:pStyle w:val="NoSpacing"/>
        <w:spacing w:line="360" w:lineRule="auto"/>
        <w:jc w:val="both"/>
        <w:rPr>
          <w:i/>
        </w:rPr>
      </w:pPr>
      <w:r w:rsidRPr="00A66A1B">
        <w:rPr>
          <w:i/>
        </w:rPr>
        <w:t>Financial knowledge</w:t>
      </w:r>
    </w:p>
    <w:p w:rsidR="00EB0FCC" w:rsidRDefault="00EB0FCC" w:rsidP="00286071">
      <w:pPr>
        <w:pStyle w:val="NoSpacing"/>
        <w:spacing w:line="360" w:lineRule="auto"/>
        <w:jc w:val="both"/>
      </w:pPr>
      <w:r w:rsidRPr="00A66A1B">
        <w:t>The financial knowledge of the population of the Netherlands was stipulated in chapter 2</w:t>
      </w:r>
      <w:r>
        <w:t>. The overall verdict wasn’t particularly positive</w:t>
      </w:r>
      <w:r w:rsidRPr="00A66A1B">
        <w:t>. The survey contained a small number of questions asking the subjects to judge their own financial knowledge. Interesting is the contrast between the two specific subject areas</w:t>
      </w:r>
      <w:r>
        <w:t>, within this category.</w:t>
      </w:r>
    </w:p>
    <w:p w:rsidR="00EB0FCC" w:rsidRPr="00A66A1B" w:rsidRDefault="00EB0FCC" w:rsidP="00286071">
      <w:pPr>
        <w:pStyle w:val="NoSpacing"/>
        <w:spacing w:line="360" w:lineRule="auto"/>
        <w:jc w:val="both"/>
      </w:pPr>
      <w:r>
        <w:t>In Figure 3.4, t</w:t>
      </w:r>
      <w:r w:rsidRPr="00A66A1B">
        <w:t>he bars labeled “</w:t>
      </w:r>
      <w:r>
        <w:t>F</w:t>
      </w:r>
      <w:r w:rsidRPr="00A66A1B">
        <w:t>inancial knowledge” display the results when subjects were asked to scale their knowledge and ability regarding financial decisions. The bars labeled “Pension</w:t>
      </w:r>
      <w:r>
        <w:t xml:space="preserve"> </w:t>
      </w:r>
      <w:r w:rsidRPr="00A66A1B">
        <w:t>fund knowledge” display the answers when subjects were asked to scale their understanding of the internal financial structure and activities of a pension fund.</w:t>
      </w:r>
    </w:p>
    <w:p w:rsidR="00EB0FCC" w:rsidRPr="00A66A1B" w:rsidRDefault="00EB0FCC" w:rsidP="00286071">
      <w:pPr>
        <w:pStyle w:val="NoSpacing"/>
        <w:spacing w:line="360" w:lineRule="auto"/>
        <w:jc w:val="both"/>
      </w:pPr>
      <w:r>
        <w:t>I</w:t>
      </w:r>
      <w:r w:rsidRPr="00A66A1B">
        <w:t xml:space="preserve">t is apparent that people ought themselves to be much more knowledgeable where it concerns general financial knowledge and paired decision making, than when it concerns their understanding of a pension fund. </w:t>
      </w:r>
      <w:r>
        <w:t xml:space="preserve">The mean for “Financial knowledge” is the fifth category (Moderately High), whereas for the “Pension fund Knowledge” the mean is </w:t>
      </w:r>
      <w:r w:rsidR="00181820">
        <w:t>the</w:t>
      </w:r>
      <w:r>
        <w:t xml:space="preserve"> fourth category (Average)</w:t>
      </w:r>
    </w:p>
    <w:p w:rsidR="00EB0FCC" w:rsidRPr="00A66A1B" w:rsidRDefault="00EB0FCC" w:rsidP="00286071">
      <w:pPr>
        <w:pStyle w:val="NoSpacing"/>
        <w:spacing w:line="360" w:lineRule="auto"/>
        <w:jc w:val="both"/>
      </w:pPr>
      <w:r w:rsidRPr="00A66A1B">
        <w:t>The subject population appears to affirm the common occurrence of overconfidence bias as is usually present when people are asked to judge their financial knowledge</w:t>
      </w:r>
      <w:r>
        <w:t>. In Chapter 2.5 amongst others a BNP report</w:t>
      </w:r>
      <w:r w:rsidR="009F4C49">
        <w:t xml:space="preserve"> (2010)</w:t>
      </w:r>
      <w:r>
        <w:t xml:space="preserve"> was quoted which concluded only a mere 13% of the Dutch households had good financial knowledge, whilst the survey results gauged 60% of the subjects having a moderately high to very high financial understanding. The AFM (2011</w:t>
      </w:r>
      <w:r w:rsidR="00A23D0D">
        <w:t>.</w:t>
      </w:r>
      <w:r w:rsidR="001B392F">
        <w:t>B</w:t>
      </w:r>
      <w:r>
        <w:t xml:space="preserve">) reported a similar trend where it concerned pension fund knowledge, with </w:t>
      </w:r>
      <w:r w:rsidR="00425DFA">
        <w:t xml:space="preserve">many </w:t>
      </w:r>
      <w:r>
        <w:t>people</w:t>
      </w:r>
      <w:r w:rsidR="00425DFA">
        <w:t xml:space="preserve"> deceptively</w:t>
      </w:r>
      <w:r>
        <w:t xml:space="preserve"> saying they understood their pension. In Figure 3.5 a possible betterment can be observed, as the majority of people rate their knowledge as average or less. Judgments, probably in closer relation to the truth than their scaling of personal financial knowledge.</w:t>
      </w:r>
    </w:p>
    <w:p w:rsidR="00EB0FCC" w:rsidRDefault="00EB0FCC" w:rsidP="00286071">
      <w:pPr>
        <w:pStyle w:val="NoSpacing"/>
        <w:spacing w:line="360" w:lineRule="auto"/>
        <w:jc w:val="both"/>
        <w:rPr>
          <w:sz w:val="18"/>
          <w:szCs w:val="18"/>
        </w:rPr>
      </w:pPr>
    </w:p>
    <w:p w:rsidR="00EB0FCC" w:rsidRPr="00A6048E" w:rsidRDefault="00EB0FCC" w:rsidP="00286071">
      <w:pPr>
        <w:pStyle w:val="NoSpacing"/>
        <w:spacing w:line="360" w:lineRule="auto"/>
        <w:jc w:val="both"/>
        <w:rPr>
          <w:sz w:val="18"/>
          <w:szCs w:val="18"/>
        </w:rPr>
      </w:pPr>
      <w:r>
        <w:rPr>
          <w:sz w:val="18"/>
          <w:szCs w:val="18"/>
        </w:rPr>
        <w:t>Figure 3.4</w:t>
      </w:r>
    </w:p>
    <w:p w:rsidR="00EB0FCC" w:rsidRPr="00A66A1B" w:rsidRDefault="00EB0FCC" w:rsidP="00286071">
      <w:pPr>
        <w:pStyle w:val="NoSpacing"/>
        <w:spacing w:line="360" w:lineRule="auto"/>
        <w:jc w:val="center"/>
      </w:pPr>
      <w:r>
        <w:rPr>
          <w:noProof/>
          <w:lang w:val="nl-NL" w:eastAsia="nl-NL"/>
        </w:rPr>
        <w:drawing>
          <wp:inline distT="0" distB="0" distL="0" distR="0">
            <wp:extent cx="6198919" cy="3574472"/>
            <wp:effectExtent l="19050" t="0" r="11381" b="6928"/>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0FCC" w:rsidRPr="009A6293" w:rsidRDefault="00F64C80" w:rsidP="00F64C80">
      <w:pPr>
        <w:pStyle w:val="Vin2"/>
        <w:numPr>
          <w:ilvl w:val="0"/>
          <w:numId w:val="0"/>
        </w:numPr>
      </w:pPr>
      <w:bookmarkStart w:id="48" w:name="_Toc340568928"/>
      <w:r>
        <w:t>3.5</w:t>
      </w:r>
      <w:r w:rsidR="00EB0FCC" w:rsidRPr="009A6293">
        <w:t xml:space="preserve"> Conclusion</w:t>
      </w:r>
      <w:bookmarkEnd w:id="48"/>
    </w:p>
    <w:p w:rsidR="00EB0FCC" w:rsidRDefault="00EB0FCC" w:rsidP="00286071">
      <w:pPr>
        <w:pStyle w:val="NoSpacing"/>
        <w:spacing w:line="360" w:lineRule="auto"/>
        <w:jc w:val="both"/>
      </w:pPr>
      <w:r>
        <w:t>The methodology used for research has a significant effect on the outcome of the research. Not merely in form and funct</w:t>
      </w:r>
      <w:r w:rsidR="00BC0916">
        <w:t>ioning but also in the outcome. Under the impression that how you ask a question is as important as what you ask, a survey was constructed. Consequently the survey contained self scaling questions and revealed preference questions, based on Holt &amp;Laury (2000).</w:t>
      </w:r>
      <w:r>
        <w:t xml:space="preserve"> In this line of economics surveys are not the most utilized form of research method, it is however the most compatible, practical and applicable method to elicit the necessary data for this study. Trust is difficult to distill and measure in laboratory settings</w:t>
      </w:r>
      <w:r w:rsidR="006A62E6">
        <w:t>, many trust experiments so far have failed to create the appropriate conditions to actually do so (Fehr, 2009; Karlan, 2005; Kosfeld et al 2005).</w:t>
      </w:r>
      <w:r>
        <w:t xml:space="preserve"> Besides, there is a</w:t>
      </w:r>
      <w:r w:rsidR="00BC0916">
        <w:t>lready a</w:t>
      </w:r>
      <w:r>
        <w:t>n abundance of research on risk experiments</w:t>
      </w:r>
      <w:r w:rsidR="00FA29A8">
        <w:t>, inspired by Berg et al (1996)</w:t>
      </w:r>
      <w:r>
        <w:t xml:space="preserve">. </w:t>
      </w:r>
    </w:p>
    <w:p w:rsidR="009C2064" w:rsidRDefault="00EB0FCC" w:rsidP="00286071">
      <w:pPr>
        <w:pStyle w:val="NoSpacing"/>
        <w:spacing w:line="360" w:lineRule="auto"/>
        <w:jc w:val="both"/>
      </w:pPr>
      <w:r>
        <w:t>The survey was completely anonymous for the participants. The questions where divided into sub-sections containing different questions. There were open questions and Likert scale set mult</w:t>
      </w:r>
      <w:r w:rsidR="001B3F39">
        <w:t>iple choice questions employed</w:t>
      </w:r>
      <w:r>
        <w:t>. The survey resulted in useful data from 122 individuals. The participant pool was male dominated at a ratio exceeding the Dutch workforce participation ratio.</w:t>
      </w:r>
      <w:r w:rsidR="00F86EBB">
        <w:t xml:space="preserve"> </w:t>
      </w:r>
      <w:r>
        <w:t xml:space="preserve">There is a good division </w:t>
      </w:r>
      <w:r w:rsidR="00D314E0">
        <w:t xml:space="preserve">of the subjects </w:t>
      </w:r>
      <w:r>
        <w:t>over</w:t>
      </w:r>
      <w:r w:rsidR="00D314E0">
        <w:t xml:space="preserve"> the</w:t>
      </w:r>
      <w:r>
        <w:t xml:space="preserve"> age categories, although the subject pool could be considered young with some age gaps in the female population. </w:t>
      </w:r>
    </w:p>
    <w:p w:rsidR="00C07218" w:rsidRDefault="009C2064" w:rsidP="00286071">
      <w:pPr>
        <w:pStyle w:val="NoSpacing"/>
        <w:spacing w:line="360" w:lineRule="auto"/>
        <w:jc w:val="both"/>
      </w:pPr>
      <w:r>
        <w:t>There is also a slight majority of</w:t>
      </w:r>
      <w:r w:rsidR="00EB0FCC">
        <w:t xml:space="preserve"> respondents</w:t>
      </w:r>
      <w:r>
        <w:t xml:space="preserve"> that</w:t>
      </w:r>
      <w:r w:rsidR="00EB0FCC">
        <w:t xml:space="preserve"> earn more than the average Dutch Net Monthly Income.</w:t>
      </w:r>
      <w:r w:rsidR="00933E88" w:rsidRPr="00933E88">
        <w:t xml:space="preserve"> </w:t>
      </w:r>
      <w:r w:rsidR="00933E88">
        <w:t>The relative effects of a slightly younger (</w:t>
      </w:r>
      <w:r w:rsidR="00933E88" w:rsidRPr="004A4D6F">
        <w:t>Charness and Gneezy, 2007; Hartog et al, 2002),</w:t>
      </w:r>
      <w:r w:rsidR="00933E88">
        <w:t xml:space="preserve"> more masculine </w:t>
      </w:r>
      <w:r w:rsidR="00933E88" w:rsidRPr="004A4D6F">
        <w:t>(Dohmen et al, 2005)</w:t>
      </w:r>
      <w:r w:rsidR="00933E88">
        <w:t xml:space="preserve"> and higher earning population (Bonin et al, 2007); suggest this population to be less risk averse.</w:t>
      </w:r>
      <w:r w:rsidR="00933E88" w:rsidRPr="00933E88">
        <w:t xml:space="preserve"> </w:t>
      </w:r>
      <w:r w:rsidR="00933E88">
        <w:t>Whether this is truly the case for this population subset is tested in the next chapter.</w:t>
      </w:r>
    </w:p>
    <w:p w:rsidR="00EB0FCC" w:rsidRPr="00A66A1B" w:rsidRDefault="00EB0FCC" w:rsidP="00286071">
      <w:pPr>
        <w:pStyle w:val="NoSpacing"/>
        <w:spacing w:line="360" w:lineRule="auto"/>
        <w:jc w:val="both"/>
      </w:pPr>
      <w:r>
        <w:t>The results regarding financial knowledge don’t show blatant deviations from known trends</w:t>
      </w:r>
      <w:r w:rsidR="00384244">
        <w:t>. The</w:t>
      </w:r>
      <w:r w:rsidR="00575E43">
        <w:t xml:space="preserve"> knowledge</w:t>
      </w:r>
      <w:r w:rsidR="00384244">
        <w:t xml:space="preserve"> questions were self-scaled and people </w:t>
      </w:r>
      <w:r w:rsidR="006A62E6">
        <w:t xml:space="preserve">tend to </w:t>
      </w:r>
      <w:r w:rsidR="00384244">
        <w:t>over-estimate their knowledge (</w:t>
      </w:r>
      <w:r w:rsidR="001A6472">
        <w:t>BNP, 2010)</w:t>
      </w:r>
      <w:r>
        <w:t xml:space="preserve">. Overall, there now is a </w:t>
      </w:r>
      <w:r w:rsidR="00A54B7F">
        <w:t>comprehensi</w:t>
      </w:r>
      <w:r w:rsidR="00AC6B1E">
        <w:t>ve</w:t>
      </w:r>
      <w:r>
        <w:t xml:space="preserve"> definition of the subject population’s makeup. Any patterns in the population have been noted and the awareness of these </w:t>
      </w:r>
      <w:r w:rsidR="00443F53">
        <w:t xml:space="preserve">aides with the interpretation of the regression results. </w:t>
      </w:r>
    </w:p>
    <w:p w:rsidR="00EB0FCC" w:rsidRDefault="00EB0FCC" w:rsidP="00286071">
      <w:pPr>
        <w:pStyle w:val="NoSpacing"/>
        <w:spacing w:line="360" w:lineRule="auto"/>
        <w:jc w:val="both"/>
      </w:pPr>
    </w:p>
    <w:p w:rsidR="00DE7C91" w:rsidRDefault="00DE7C91" w:rsidP="00286071">
      <w:pPr>
        <w:pStyle w:val="NoSpacing"/>
        <w:spacing w:line="360" w:lineRule="auto"/>
        <w:jc w:val="both"/>
      </w:pPr>
    </w:p>
    <w:p w:rsidR="00994099" w:rsidRDefault="00994099" w:rsidP="00286071">
      <w:pPr>
        <w:pStyle w:val="NoSpacing"/>
        <w:spacing w:line="360" w:lineRule="auto"/>
        <w:jc w:val="both"/>
      </w:pPr>
    </w:p>
    <w:p w:rsidR="00994099" w:rsidRDefault="00994099" w:rsidP="00286071">
      <w:pPr>
        <w:pStyle w:val="NoSpacing"/>
        <w:spacing w:line="360" w:lineRule="auto"/>
        <w:jc w:val="both"/>
      </w:pPr>
    </w:p>
    <w:p w:rsidR="00994099" w:rsidRDefault="00994099" w:rsidP="00286071">
      <w:pPr>
        <w:pStyle w:val="NoSpacing"/>
        <w:spacing w:line="360" w:lineRule="auto"/>
        <w:jc w:val="both"/>
      </w:pPr>
    </w:p>
    <w:p w:rsidR="00994099" w:rsidRDefault="00994099" w:rsidP="00286071">
      <w:pPr>
        <w:pStyle w:val="NoSpacing"/>
        <w:spacing w:line="360" w:lineRule="auto"/>
        <w:jc w:val="both"/>
      </w:pPr>
    </w:p>
    <w:p w:rsidR="003423CD" w:rsidRPr="008152AE" w:rsidRDefault="003423CD" w:rsidP="003F08FA">
      <w:pPr>
        <w:pStyle w:val="VIN1"/>
      </w:pPr>
      <w:bookmarkStart w:id="49" w:name="_Toc340568929"/>
      <w:r w:rsidRPr="008152AE">
        <w:t>Chapter 4 Data analysis</w:t>
      </w:r>
      <w:bookmarkEnd w:id="49"/>
    </w:p>
    <w:p w:rsidR="003423CD" w:rsidRPr="008152AE" w:rsidRDefault="003F08FA" w:rsidP="003F08FA">
      <w:pPr>
        <w:pStyle w:val="Vin2"/>
        <w:numPr>
          <w:ilvl w:val="0"/>
          <w:numId w:val="0"/>
        </w:numPr>
      </w:pPr>
      <w:bookmarkStart w:id="50" w:name="_Toc340568930"/>
      <w:r>
        <w:t>4.1</w:t>
      </w:r>
      <w:r w:rsidR="003423CD" w:rsidRPr="008152AE">
        <w:t xml:space="preserve"> Introduction</w:t>
      </w:r>
      <w:bookmarkEnd w:id="50"/>
    </w:p>
    <w:p w:rsidR="003423CD" w:rsidRPr="006D6E7D" w:rsidRDefault="003423CD" w:rsidP="00286071">
      <w:pPr>
        <w:pStyle w:val="NoSpacing"/>
        <w:spacing w:line="360" w:lineRule="auto"/>
        <w:jc w:val="both"/>
      </w:pPr>
      <w:r w:rsidRPr="006D6E7D">
        <w:t>The preliminary data analysis has give</w:t>
      </w:r>
      <w:r>
        <w:t>n</w:t>
      </w:r>
      <w:r w:rsidR="007629D5">
        <w:t xml:space="preserve"> a clear picture</w:t>
      </w:r>
      <w:r w:rsidRPr="006D6E7D">
        <w:t xml:space="preserve"> of the subject population and data build up. In this chapter further regression analysis is applied to provide the necessary information for the rejection or acceptation of the set Null-hypotheses and </w:t>
      </w:r>
      <w:r>
        <w:t xml:space="preserve">form an </w:t>
      </w:r>
      <w:r w:rsidRPr="006D6E7D">
        <w:t xml:space="preserve">answer </w:t>
      </w:r>
      <w:r>
        <w:t xml:space="preserve">to </w:t>
      </w:r>
      <w:r w:rsidRPr="006D6E7D">
        <w:t xml:space="preserve">the main and secondary research questions. The theoretical bases </w:t>
      </w:r>
      <w:r>
        <w:t xml:space="preserve">of </w:t>
      </w:r>
      <w:r w:rsidRPr="006D6E7D">
        <w:t xml:space="preserve">which </w:t>
      </w:r>
      <w:r>
        <w:t>a</w:t>
      </w:r>
      <w:r w:rsidRPr="006D6E7D">
        <w:t xml:space="preserve">re discussed in chapters 1 and 2. </w:t>
      </w:r>
    </w:p>
    <w:p w:rsidR="003423CD" w:rsidRPr="006D6E7D" w:rsidRDefault="003423CD" w:rsidP="00286071">
      <w:pPr>
        <w:pStyle w:val="NoSpacing"/>
        <w:spacing w:line="360" w:lineRule="auto"/>
        <w:jc w:val="both"/>
      </w:pPr>
      <w:r>
        <w:t xml:space="preserve">A presentation of the results is preceded by an introduction of the variables and a brief explanation of the testing methodology applied to the different hypotheses. </w:t>
      </w:r>
      <w:r w:rsidRPr="006D6E7D">
        <w:t>The use of regression analysis enables the verification of correlation between two and or multiple variables. Where applicable these outcomes will be illustrated with graphs and plots in which trends and other</w:t>
      </w:r>
      <w:r>
        <w:t xml:space="preserve"> events are illustrated. The tested</w:t>
      </w:r>
      <w:r w:rsidRPr="006D6E7D">
        <w:t xml:space="preserve"> correlation</w:t>
      </w:r>
      <w:r>
        <w:t>s</w:t>
      </w:r>
      <w:r w:rsidRPr="006D6E7D">
        <w:t>, w</w:t>
      </w:r>
      <w:r>
        <w:t>ith regards to hypothese</w:t>
      </w:r>
      <w:r w:rsidRPr="006D6E7D">
        <w:t>s and research questions, will be paired with the notification of whether the results are significant.</w:t>
      </w:r>
    </w:p>
    <w:p w:rsidR="003423CD" w:rsidRDefault="003423CD" w:rsidP="00286071">
      <w:pPr>
        <w:pStyle w:val="NoSpacing"/>
        <w:spacing w:line="360" w:lineRule="auto"/>
        <w:jc w:val="both"/>
      </w:pPr>
    </w:p>
    <w:p w:rsidR="003423CD" w:rsidRPr="008152AE" w:rsidRDefault="004878D1" w:rsidP="004878D1">
      <w:pPr>
        <w:pStyle w:val="Vin2"/>
        <w:numPr>
          <w:ilvl w:val="0"/>
          <w:numId w:val="0"/>
        </w:numPr>
      </w:pPr>
      <w:bookmarkStart w:id="51" w:name="_Toc340568931"/>
      <w:r>
        <w:t>4.2</w:t>
      </w:r>
      <w:r w:rsidR="003423CD" w:rsidRPr="008152AE">
        <w:t xml:space="preserve"> Principle variables</w:t>
      </w:r>
      <w:bookmarkEnd w:id="51"/>
    </w:p>
    <w:p w:rsidR="003423CD" w:rsidRDefault="003423CD" w:rsidP="00286071">
      <w:pPr>
        <w:pStyle w:val="NoSpacing"/>
        <w:spacing w:line="360" w:lineRule="auto"/>
        <w:jc w:val="both"/>
      </w:pPr>
      <w:r>
        <w:t>The survey rendered a large data set, consisting o</w:t>
      </w:r>
      <w:r w:rsidRPr="00851E0C">
        <w:t>f informa</w:t>
      </w:r>
      <w:r>
        <w:t>tion on the subject population. For the testing of the hypothese</w:t>
      </w:r>
      <w:r w:rsidRPr="00851E0C">
        <w:t>s</w:t>
      </w:r>
      <w:r>
        <w:t>,</w:t>
      </w:r>
      <w:r w:rsidRPr="00851E0C">
        <w:t xml:space="preserve"> the</w:t>
      </w:r>
      <w:r>
        <w:t xml:space="preserve"> survey results a</w:t>
      </w:r>
      <w:r w:rsidRPr="00851E0C">
        <w:t xml:space="preserve">re configured to variables. </w:t>
      </w:r>
    </w:p>
    <w:p w:rsidR="003423CD" w:rsidRDefault="003423CD" w:rsidP="00286071">
      <w:pPr>
        <w:pStyle w:val="NoSpacing"/>
        <w:spacing w:line="360" w:lineRule="auto"/>
        <w:jc w:val="both"/>
      </w:pPr>
      <w:r w:rsidRPr="00851E0C">
        <w:t>The majority of the variables directly represent a survey question.</w:t>
      </w:r>
      <w:r>
        <w:t xml:space="preserve"> In the section below the principal variables are explained and some of their basic characteristics set out. Most variables are self-explanatory; there are a</w:t>
      </w:r>
      <w:r w:rsidRPr="00851E0C">
        <w:t xml:space="preserve"> number of variables</w:t>
      </w:r>
      <w:r>
        <w:t xml:space="preserve"> that</w:t>
      </w:r>
      <w:r w:rsidRPr="00851E0C">
        <w:t xml:space="preserve"> are computed through the integration of several survey questions</w:t>
      </w:r>
      <w:r>
        <w:t>’</w:t>
      </w:r>
      <w:r w:rsidRPr="00851E0C">
        <w:t xml:space="preserve"> results</w:t>
      </w:r>
      <w:r>
        <w:t>.</w:t>
      </w:r>
      <w:r w:rsidRPr="00FD61A5">
        <w:t xml:space="preserve"> </w:t>
      </w:r>
      <w:r w:rsidRPr="00851E0C">
        <w:t xml:space="preserve">These constructed variables </w:t>
      </w:r>
      <w:r>
        <w:t>are broken down to clarify what they embody</w:t>
      </w:r>
      <w:r w:rsidRPr="00851E0C">
        <w:t>.</w:t>
      </w:r>
      <w:r>
        <w:t xml:space="preserve"> The variables used are explained per category. </w:t>
      </w:r>
    </w:p>
    <w:p w:rsidR="003423CD" w:rsidRDefault="003423CD" w:rsidP="00286071">
      <w:pPr>
        <w:pStyle w:val="NoSpacing"/>
        <w:spacing w:line="360" w:lineRule="auto"/>
        <w:jc w:val="both"/>
      </w:pPr>
    </w:p>
    <w:p w:rsidR="003423CD" w:rsidRPr="00F4360F" w:rsidRDefault="003423CD" w:rsidP="00286071">
      <w:pPr>
        <w:pStyle w:val="NoSpacing"/>
        <w:spacing w:line="360" w:lineRule="auto"/>
        <w:jc w:val="both"/>
      </w:pPr>
      <w:r w:rsidRPr="00F4360F">
        <w:t>Demographics</w:t>
      </w:r>
      <w:r>
        <w:t xml:space="preserve"> and descriptive </w:t>
      </w:r>
    </w:p>
    <w:p w:rsidR="003423CD" w:rsidRDefault="003423CD" w:rsidP="00286071">
      <w:pPr>
        <w:pStyle w:val="NoSpacing"/>
        <w:spacing w:line="360" w:lineRule="auto"/>
        <w:jc w:val="both"/>
      </w:pPr>
      <w:r>
        <w:t>The demographic variables AGE and GENDER are complemented by the constructed variable AGECAT. Which rebalances the entire population to 5-year categories, changing the nature of the variable from scale to ordinal.</w:t>
      </w:r>
      <w:r w:rsidR="00645A46">
        <w:t xml:space="preserve"> </w:t>
      </w:r>
      <w:r w:rsidR="00B0225A">
        <w:t>Enhancing any patterns and effects present in</w:t>
      </w:r>
      <w:r w:rsidR="00645A46">
        <w:t xml:space="preserve"> age categories</w:t>
      </w:r>
      <w:r w:rsidR="00B0225A">
        <w:t>.</w:t>
      </w:r>
    </w:p>
    <w:p w:rsidR="003423CD" w:rsidRDefault="003423CD" w:rsidP="00286071">
      <w:pPr>
        <w:pStyle w:val="NoSpacing"/>
        <w:spacing w:line="360" w:lineRule="auto"/>
        <w:jc w:val="both"/>
      </w:pPr>
      <w:r>
        <w:t xml:space="preserve">The knowledge and understanding of the population is represented by the variables FINKNOW and PFKNOW. The former represents </w:t>
      </w:r>
      <w:r w:rsidR="001B5144">
        <w:t xml:space="preserve">a </w:t>
      </w:r>
      <w:r>
        <w:t xml:space="preserve">subject’s </w:t>
      </w:r>
      <w:r w:rsidR="001B5144">
        <w:t xml:space="preserve">scaling of </w:t>
      </w:r>
      <w:r>
        <w:t xml:space="preserve">financial knowledge, with the latter specifically </w:t>
      </w:r>
      <w:r w:rsidR="001B5144">
        <w:t>showing subject’s knowledge of pension funds, and their</w:t>
      </w:r>
      <w:r>
        <w:t xml:space="preserve"> functioning. The values of these two variables are combined in t</w:t>
      </w:r>
      <w:r w:rsidR="001B5144">
        <w:t>he constructed variable ALLKNOW. This variable</w:t>
      </w:r>
      <w:r>
        <w:t xml:space="preserve"> represents the average of both a subject’s financial knowledge and pension fund knowledge</w:t>
      </w:r>
      <w:r w:rsidR="001B5144">
        <w:t>,</w:t>
      </w:r>
      <w:r>
        <w:t xml:space="preserve"> as professed in the survey. I also enquire about a subject’s investment experience, to see whether this has an effect, INVESTEXP.</w:t>
      </w:r>
      <w:r w:rsidR="001B5144">
        <w:t xml:space="preserve"> Although</w:t>
      </w:r>
      <w:r w:rsidR="007F035F">
        <w:t xml:space="preserve"> knowledge and experience are</w:t>
      </w:r>
      <w:r w:rsidR="001B5144">
        <w:t xml:space="preserve"> related they ar</w:t>
      </w:r>
      <w:r w:rsidR="007F035F">
        <w:t xml:space="preserve">e </w:t>
      </w:r>
      <w:r w:rsidR="001B5144">
        <w:t xml:space="preserve"> two</w:t>
      </w:r>
      <w:r w:rsidR="007F035F">
        <w:t xml:space="preserve"> very</w:t>
      </w:r>
      <w:r w:rsidR="001B5144">
        <w:t xml:space="preserve"> </w:t>
      </w:r>
      <w:r w:rsidR="007F035F">
        <w:t>separated</w:t>
      </w:r>
      <w:r w:rsidR="001B5144">
        <w:t xml:space="preserve"> concepts.</w:t>
      </w:r>
    </w:p>
    <w:p w:rsidR="003423CD" w:rsidRDefault="003423CD" w:rsidP="00286071">
      <w:pPr>
        <w:pStyle w:val="NoSpacing"/>
        <w:spacing w:line="360" w:lineRule="auto"/>
        <w:jc w:val="both"/>
      </w:pPr>
      <w:r>
        <w:t>Trust</w:t>
      </w:r>
    </w:p>
    <w:p w:rsidR="003423CD" w:rsidRPr="00851E0C" w:rsidRDefault="003423CD" w:rsidP="00286071">
      <w:pPr>
        <w:pStyle w:val="NoSpacing"/>
        <w:spacing w:line="360" w:lineRule="auto"/>
        <w:jc w:val="both"/>
      </w:pPr>
      <w:r>
        <w:t>There are three variables that represent the subject’s trust, TRUSTNOW and TRUSTBEFORE measure the trust-attitude of the subject towards the pension fund at the time of answering and in recent times prior to the survey. The constructed TRUSTDELTA is a</w:t>
      </w:r>
      <w:r w:rsidRPr="00851E0C">
        <w:t xml:space="preserve"> measure for the change of trust in </w:t>
      </w:r>
      <w:r>
        <w:t xml:space="preserve">the </w:t>
      </w:r>
      <w:r w:rsidRPr="00851E0C">
        <w:t xml:space="preserve">pension fund over time. It is derived from the TRUSTNOW and </w:t>
      </w:r>
      <w:r>
        <w:t>TRUSTBEFORE variables and approximates</w:t>
      </w:r>
      <w:r w:rsidRPr="00851E0C">
        <w:t xml:space="preserve"> a time-series variable. Strictly speaking it is not</w:t>
      </w:r>
      <w:r w:rsidR="005549BE">
        <w:t xml:space="preserve"> a time-series variable</w:t>
      </w:r>
      <w:r>
        <w:t>,</w:t>
      </w:r>
      <w:r w:rsidRPr="00851E0C">
        <w:t xml:space="preserve"> as the TRUSTNOW and TRUSTBEFORE were measured at the same moment, making the variable TRUSTBEFORE se</w:t>
      </w:r>
      <w:r>
        <w:t>lf-</w:t>
      </w:r>
      <w:r w:rsidR="005549BE">
        <w:t>gauged</w:t>
      </w:r>
      <w:r>
        <w:t>. The range of the constructed variable is from</w:t>
      </w:r>
      <w:r w:rsidRPr="00851E0C">
        <w:t xml:space="preserve"> -6 to +6, as the range where TRUST</w:t>
      </w:r>
      <w:r>
        <w:t>NOW</w:t>
      </w:r>
      <w:r w:rsidRPr="00851E0C">
        <w:t xml:space="preserve"> is subtracted from TRUST</w:t>
      </w:r>
      <w:r>
        <w:t>BEFORE</w:t>
      </w:r>
      <w:r w:rsidRPr="00851E0C">
        <w:t>. When the variable TRU</w:t>
      </w:r>
      <w:r>
        <w:t>STDELTA ha</w:t>
      </w:r>
      <w:r w:rsidRPr="00851E0C">
        <w:t xml:space="preserve">s a positive </w:t>
      </w:r>
      <w:r>
        <w:t>value, this</w:t>
      </w:r>
      <w:r w:rsidRPr="00851E0C">
        <w:t xml:space="preserve"> means that a subject’s trust level has decreased</w:t>
      </w:r>
      <w:r>
        <w:t>,</w:t>
      </w:r>
      <w:r w:rsidRPr="00851E0C">
        <w:t xml:space="preserve"> a negative number means trust increased and a </w:t>
      </w:r>
      <w:r>
        <w:t xml:space="preserve">value of </w:t>
      </w:r>
      <w:r w:rsidRPr="00851E0C">
        <w:t xml:space="preserve">zero means </w:t>
      </w:r>
      <w:r w:rsidR="002C6B74" w:rsidRPr="00851E0C">
        <w:t>no change</w:t>
      </w:r>
      <w:r w:rsidR="002C6B74">
        <w:t xml:space="preserve"> in trust occurred for </w:t>
      </w:r>
      <w:r>
        <w:t>th</w:t>
      </w:r>
      <w:r w:rsidR="002C6B74">
        <w:t>at</w:t>
      </w:r>
      <w:r>
        <w:t xml:space="preserve"> subject</w:t>
      </w:r>
      <w:r w:rsidRPr="00851E0C">
        <w:t>.</w:t>
      </w:r>
    </w:p>
    <w:p w:rsidR="003423CD" w:rsidRPr="00851E0C" w:rsidRDefault="003423CD" w:rsidP="00286071">
      <w:pPr>
        <w:pStyle w:val="NoSpacing"/>
        <w:spacing w:line="360" w:lineRule="auto"/>
        <w:jc w:val="both"/>
      </w:pPr>
    </w:p>
    <w:p w:rsidR="003423CD" w:rsidRPr="00851E0C" w:rsidRDefault="003423CD" w:rsidP="00286071">
      <w:pPr>
        <w:pStyle w:val="NoSpacing"/>
        <w:spacing w:line="360" w:lineRule="auto"/>
        <w:jc w:val="both"/>
      </w:pPr>
      <w:r w:rsidRPr="00851E0C">
        <w:t>Risk aversion</w:t>
      </w:r>
    </w:p>
    <w:p w:rsidR="003423CD" w:rsidRDefault="003423CD" w:rsidP="00286071">
      <w:pPr>
        <w:pStyle w:val="NoSpacing"/>
        <w:spacing w:line="360" w:lineRule="auto"/>
        <w:jc w:val="both"/>
      </w:pPr>
      <w:r>
        <w:t xml:space="preserve">As previously explained the subject’s risk aversion is measured using the Holt &amp; Laury set up. The survey contained ten questions asking which of two risky pension options they would prefer. The expected pension sums were identical for all questions. However the chance of how much they would receive </w:t>
      </w:r>
      <w:r w:rsidR="006215DD">
        <w:t xml:space="preserve">for either </w:t>
      </w:r>
      <w:r>
        <w:t xml:space="preserve">changed gradually. The survey provides a “switching point” for every subject, where the individual switches from one risky option to the other. The variable </w:t>
      </w:r>
      <w:r w:rsidRPr="00851E0C">
        <w:t>RA</w:t>
      </w:r>
      <w:r>
        <w:t>S</w:t>
      </w:r>
      <w:r w:rsidRPr="00851E0C">
        <w:t>WP</w:t>
      </w:r>
      <w:r>
        <w:t xml:space="preserve"> represents the subject’s risk aversion switching point. </w:t>
      </w:r>
      <w:r w:rsidR="006215DD">
        <w:t>No further calculation, transforming the data into a measure of relative risk aversion, is necessary as this doesn’t alter the patterns in the data or improve measurement ability.</w:t>
      </w:r>
    </w:p>
    <w:p w:rsidR="003423CD" w:rsidRPr="00851E0C" w:rsidRDefault="003423CD" w:rsidP="00286071">
      <w:pPr>
        <w:pStyle w:val="NoSpacing"/>
        <w:spacing w:line="360" w:lineRule="auto"/>
        <w:jc w:val="both"/>
      </w:pPr>
      <w:r>
        <w:t>This constructed variable</w:t>
      </w:r>
      <w:r w:rsidRPr="00851E0C">
        <w:t xml:space="preserve"> is the main measure of risk aversion in this thesis. The variable is constructed through adding </w:t>
      </w:r>
      <w:r w:rsidR="006215DD">
        <w:t xml:space="preserve">up </w:t>
      </w:r>
      <w:r w:rsidRPr="00851E0C">
        <w:t>the survey results</w:t>
      </w:r>
      <w:r w:rsidR="006215DD">
        <w:t>,</w:t>
      </w:r>
      <w:r w:rsidRPr="00851E0C">
        <w:t xml:space="preserve"> from the </w:t>
      </w:r>
      <w:r w:rsidR="006215DD">
        <w:t xml:space="preserve">ten </w:t>
      </w:r>
      <w:r w:rsidRPr="00851E0C">
        <w:t>questions on</w:t>
      </w:r>
      <w:r w:rsidR="006215DD">
        <w:t xml:space="preserve"> the</w:t>
      </w:r>
      <w:r w:rsidRPr="00851E0C">
        <w:t xml:space="preserve"> switching point between </w:t>
      </w:r>
      <w:r w:rsidR="006215DD">
        <w:t xml:space="preserve">the </w:t>
      </w:r>
      <w:r w:rsidRPr="00851E0C">
        <w:t xml:space="preserve">two options. This variable has a </w:t>
      </w:r>
      <w:r>
        <w:t xml:space="preserve">value </w:t>
      </w:r>
      <w:r w:rsidRPr="00851E0C">
        <w:t>range between 1 and 10. The lower the RA</w:t>
      </w:r>
      <w:r>
        <w:t>S</w:t>
      </w:r>
      <w:r w:rsidRPr="00851E0C">
        <w:t xml:space="preserve">WP variable, the later the switching point was achieved, the more risk averse the subject is. </w:t>
      </w:r>
    </w:p>
    <w:p w:rsidR="003423CD" w:rsidRPr="008152AE" w:rsidRDefault="00BC184B" w:rsidP="00BC184B">
      <w:pPr>
        <w:pStyle w:val="Vin2"/>
        <w:numPr>
          <w:ilvl w:val="0"/>
          <w:numId w:val="0"/>
        </w:numPr>
      </w:pPr>
      <w:bookmarkStart w:id="52" w:name="_Toc340568932"/>
      <w:r>
        <w:t>4.3</w:t>
      </w:r>
      <w:r w:rsidR="003423CD" w:rsidRPr="008152AE">
        <w:t xml:space="preserve"> Regression methods</w:t>
      </w:r>
      <w:bookmarkEnd w:id="52"/>
    </w:p>
    <w:p w:rsidR="003423CD" w:rsidRPr="008152AE" w:rsidRDefault="003423CD" w:rsidP="00BC184B">
      <w:pPr>
        <w:pStyle w:val="VIn33"/>
      </w:pPr>
      <w:bookmarkStart w:id="53" w:name="_Toc340568933"/>
      <w:r w:rsidRPr="008152AE">
        <w:t>4.3.1 Parametric &amp; Non-parametric methods</w:t>
      </w:r>
      <w:bookmarkEnd w:id="53"/>
    </w:p>
    <w:p w:rsidR="003423CD" w:rsidRDefault="003423CD" w:rsidP="00286071">
      <w:pPr>
        <w:pStyle w:val="NoSpacing"/>
        <w:spacing w:line="360" w:lineRule="auto"/>
        <w:jc w:val="both"/>
      </w:pPr>
      <w:r w:rsidRPr="00851E0C">
        <w:t xml:space="preserve">There is a </w:t>
      </w:r>
      <w:r w:rsidR="00A3534E">
        <w:t>selection</w:t>
      </w:r>
      <w:r w:rsidRPr="00851E0C">
        <w:t xml:space="preserve"> of statistical </w:t>
      </w:r>
      <w:r>
        <w:t xml:space="preserve">regression </w:t>
      </w:r>
      <w:r w:rsidRPr="00851E0C">
        <w:t xml:space="preserve">analysis methods available to analyze the data. A general distinction can be made between parametric and non-parametric testing. </w:t>
      </w:r>
    </w:p>
    <w:p w:rsidR="003423CD" w:rsidRDefault="003423CD" w:rsidP="00286071">
      <w:pPr>
        <w:pStyle w:val="NoSpacing"/>
        <w:spacing w:line="360" w:lineRule="auto"/>
        <w:jc w:val="both"/>
      </w:pPr>
      <w:r w:rsidRPr="00851E0C">
        <w:t>The former encapsulates the most well-known regression methods. Parametric testing operates from the a</w:t>
      </w:r>
      <w:r>
        <w:t>ssumptions that the data has a normal</w:t>
      </w:r>
      <w:r w:rsidRPr="00851E0C">
        <w:t xml:space="preserve"> distribution and that there are </w:t>
      </w:r>
      <w:r w:rsidR="00A31FAA">
        <w:t xml:space="preserve">certain </w:t>
      </w:r>
      <w:r w:rsidRPr="00851E0C">
        <w:t>suppositions regarding the parameters</w:t>
      </w:r>
      <w:r w:rsidR="009E19FE">
        <w:t xml:space="preserve"> and their relations</w:t>
      </w:r>
      <w:r w:rsidRPr="00851E0C">
        <w:t xml:space="preserve">. </w:t>
      </w:r>
    </w:p>
    <w:p w:rsidR="003423CD" w:rsidRDefault="003423CD" w:rsidP="00286071">
      <w:pPr>
        <w:pStyle w:val="NoSpacing"/>
        <w:spacing w:line="360" w:lineRule="auto"/>
        <w:jc w:val="both"/>
      </w:pPr>
    </w:p>
    <w:p w:rsidR="003423CD" w:rsidRDefault="003423CD" w:rsidP="00286071">
      <w:pPr>
        <w:pStyle w:val="NoSpacing"/>
        <w:spacing w:line="360" w:lineRule="auto"/>
        <w:jc w:val="both"/>
      </w:pPr>
      <w:r w:rsidRPr="00851E0C">
        <w:t xml:space="preserve">Non-parametric methods do not contain many assumptions about the distribution of the population </w:t>
      </w:r>
      <w:r w:rsidR="000830E2">
        <w:t xml:space="preserve">or parameter relations </w:t>
      </w:r>
      <w:r w:rsidRPr="00851E0C">
        <w:t>and offer a different a</w:t>
      </w:r>
      <w:r w:rsidR="00D260C5">
        <w:t>nalysis perspective. As such both</w:t>
      </w:r>
      <w:r w:rsidRPr="00851E0C">
        <w:t xml:space="preserve"> approach</w:t>
      </w:r>
      <w:r w:rsidR="00D260C5">
        <w:t>es</w:t>
      </w:r>
      <w:r w:rsidRPr="00851E0C">
        <w:t xml:space="preserve"> seemingly fit the </w:t>
      </w:r>
      <w:r w:rsidR="00D260C5">
        <w:t>range of</w:t>
      </w:r>
      <w:r w:rsidRPr="00851E0C">
        <w:t xml:space="preserve"> data that the survey has brought forth. </w:t>
      </w:r>
    </w:p>
    <w:p w:rsidR="003423CD" w:rsidRPr="00851E0C" w:rsidRDefault="003423CD" w:rsidP="00286071">
      <w:pPr>
        <w:pStyle w:val="NoSpacing"/>
        <w:spacing w:line="360" w:lineRule="auto"/>
        <w:jc w:val="both"/>
      </w:pPr>
      <w:r w:rsidRPr="00851E0C">
        <w:t>The sample of 122 is substantial enough to assume normality, according to the Central Limit Theorem. The Central Limit Theorem states that if the sample size (of a variable) is adequately large, the</w:t>
      </w:r>
      <w:r w:rsidR="006842F0">
        <w:t xml:space="preserve"> assumption of normality for the</w:t>
      </w:r>
      <w:r w:rsidRPr="00851E0C">
        <w:t xml:space="preserve"> sampl</w:t>
      </w:r>
      <w:r w:rsidR="006842F0">
        <w:t>e distribution of the mean is</w:t>
      </w:r>
      <w:r w:rsidRPr="00851E0C">
        <w:t xml:space="preserve"> valid. The commonly required sample size </w:t>
      </w:r>
      <w:r w:rsidR="00A46A50" w:rsidRPr="00851E0C">
        <w:t xml:space="preserve">for the assumption of normality </w:t>
      </w:r>
      <w:r w:rsidRPr="00851E0C">
        <w:t>is N&gt;=30 (</w:t>
      </w:r>
      <w:r>
        <w:t>Levine et al 1995; Weiers, 2002</w:t>
      </w:r>
      <w:r w:rsidRPr="00851E0C">
        <w:t xml:space="preserve">). However, the theorem is not </w:t>
      </w:r>
      <w:r w:rsidRPr="00167B05">
        <w:t>all-</w:t>
      </w:r>
      <w:r w:rsidRPr="00851E0C">
        <w:t>inclusive and there are a number of non-normal distributions that are possible, disregarding the sample exceeds 30. (Cheng et al, 2006)</w:t>
      </w:r>
      <w:r>
        <w:t xml:space="preserve">. </w:t>
      </w:r>
    </w:p>
    <w:p w:rsidR="003423CD" w:rsidRPr="00851E0C" w:rsidRDefault="003423CD" w:rsidP="00286071">
      <w:pPr>
        <w:pStyle w:val="NoSpacing"/>
        <w:spacing w:line="360" w:lineRule="auto"/>
        <w:jc w:val="both"/>
      </w:pPr>
      <w:r w:rsidRPr="00851E0C">
        <w:t>The normal distribution of a population for v</w:t>
      </w:r>
      <w:r>
        <w:t xml:space="preserve">ariables greatly simplifies </w:t>
      </w:r>
      <w:r w:rsidRPr="00851E0C">
        <w:t>research, as the applicable test methods are based on linear relations. Linear regression models allow for the testing of simple and multivariate linear relations between variables.  However, due to the large ordinal nature of some of the data, non-parametric and thus non-linear regression models are required for certainty. Normality tests reveal which variables are indeed normally distributed and for which variables th</w:t>
      </w:r>
      <w:r>
        <w:t>is</w:t>
      </w:r>
      <w:r w:rsidRPr="00851E0C">
        <w:t xml:space="preserve"> assumption is not applicable. However, there is no perfect substitute for </w:t>
      </w:r>
      <w:r>
        <w:t xml:space="preserve">linear </w:t>
      </w:r>
      <w:r w:rsidRPr="00851E0C">
        <w:t>regressions as there are substitutes for correlation</w:t>
      </w:r>
      <w:r>
        <w:t xml:space="preserve"> testing</w:t>
      </w:r>
      <w:r w:rsidR="006439DC">
        <w:t xml:space="preserve"> methods. Thus, </w:t>
      </w:r>
      <w:r>
        <w:t>f</w:t>
      </w:r>
      <w:r w:rsidRPr="00851E0C">
        <w:t>or the purpose of completeness</w:t>
      </w:r>
      <w:r>
        <w:t xml:space="preserve"> and accuracy;</w:t>
      </w:r>
      <w:r w:rsidRPr="00851E0C">
        <w:t xml:space="preserve"> the employment of the parametric tests is necessary for the comprehensive </w:t>
      </w:r>
      <w:r>
        <w:t xml:space="preserve">sample </w:t>
      </w:r>
      <w:r w:rsidRPr="00851E0C">
        <w:t>check of normally d</w:t>
      </w:r>
      <w:r>
        <w:t>istributed variables.</w:t>
      </w:r>
    </w:p>
    <w:p w:rsidR="003423CD" w:rsidRPr="00851E0C" w:rsidRDefault="003423CD" w:rsidP="00286071">
      <w:pPr>
        <w:pStyle w:val="NoSpacing"/>
        <w:spacing w:line="360" w:lineRule="auto"/>
        <w:jc w:val="both"/>
      </w:pPr>
      <w:r w:rsidRPr="00851E0C">
        <w:t>The employment of both approac</w:t>
      </w:r>
      <w:r w:rsidR="00F518F2">
        <w:t>hes is thus considered appropri</w:t>
      </w:r>
      <w:r w:rsidR="00F518F2" w:rsidRPr="00851E0C">
        <w:t>ate</w:t>
      </w:r>
      <w:r w:rsidR="00F518F2">
        <w:t>,</w:t>
      </w:r>
      <w:r w:rsidRPr="00851E0C">
        <w:t xml:space="preserve"> particularly for test</w:t>
      </w:r>
      <w:r>
        <w:t>ing</w:t>
      </w:r>
      <w:r w:rsidRPr="00851E0C">
        <w:t xml:space="preserve"> differently distributed </w:t>
      </w:r>
      <w:r>
        <w:t xml:space="preserve">and scaled </w:t>
      </w:r>
      <w:r w:rsidRPr="00851E0C">
        <w:t>variables.</w:t>
      </w:r>
      <w:r>
        <w:t xml:space="preserve"> This approach also provides an immediate measure of robustness, </w:t>
      </w:r>
      <w:r w:rsidR="00F518F2">
        <w:t>as</w:t>
      </w:r>
      <w:r>
        <w:t xml:space="preserve"> I regress the data under different assumptions.</w:t>
      </w:r>
      <w:r w:rsidR="00F518F2">
        <w:t xml:space="preserve"> Results are more robust when they appear under changed testing assumptions.</w:t>
      </w:r>
      <w:r>
        <w:t xml:space="preserve"> With regards to other checks, the representativeness of the sample has been discussed in Chapter 3.</w:t>
      </w:r>
    </w:p>
    <w:p w:rsidR="003423CD" w:rsidRPr="008152AE" w:rsidRDefault="003423CD" w:rsidP="00BC184B">
      <w:pPr>
        <w:pStyle w:val="VIn33"/>
      </w:pPr>
      <w:bookmarkStart w:id="54" w:name="_Toc340568934"/>
      <w:r w:rsidRPr="008152AE">
        <w:t>4.3.2 Hypothesis 1</w:t>
      </w:r>
      <w:bookmarkEnd w:id="54"/>
    </w:p>
    <w:p w:rsidR="003423CD" w:rsidRDefault="003423CD" w:rsidP="00286071">
      <w:pPr>
        <w:pStyle w:val="NoSpacing"/>
        <w:spacing w:line="360" w:lineRule="auto"/>
        <w:jc w:val="both"/>
      </w:pPr>
      <w:r>
        <w:t>In order to discover the nature of the relationship between trust and risk, as is suggested in Hypothesis 1. The various variables measuring trust are regressed against the variable of risk aversion. The linear testing of the hypothesis is done with a parametric test, known as the Pearson test. A standard 95% significance level is used to judge the significance of the outcomes. This test is complemented with non-parametric tests, Spearman. In these tests the dependent variable is RASPW, against which the three trust variables (TRUSTNOW,TRUSTBEFORE and TRUSTDELTA) are regressed. The entire sample is used to test these variables. A significant correlation, either positive or negative is necessary to reject the Null- hypothesis.</w:t>
      </w:r>
    </w:p>
    <w:p w:rsidR="003423CD" w:rsidRDefault="003423CD" w:rsidP="00286071">
      <w:pPr>
        <w:pStyle w:val="NoSpacing"/>
        <w:tabs>
          <w:tab w:val="left" w:pos="3759"/>
        </w:tabs>
        <w:spacing w:line="360" w:lineRule="auto"/>
        <w:jc w:val="both"/>
      </w:pPr>
    </w:p>
    <w:p w:rsidR="003423CD" w:rsidRDefault="003423CD" w:rsidP="00286071">
      <w:pPr>
        <w:pStyle w:val="NoSpacing"/>
        <w:tabs>
          <w:tab w:val="left" w:pos="3759"/>
        </w:tabs>
        <w:spacing w:line="360" w:lineRule="auto"/>
        <w:jc w:val="both"/>
      </w:pPr>
    </w:p>
    <w:p w:rsidR="003423CD" w:rsidRPr="008152AE" w:rsidRDefault="003423CD" w:rsidP="00BC184B">
      <w:pPr>
        <w:pStyle w:val="VIn33"/>
      </w:pPr>
      <w:bookmarkStart w:id="55" w:name="_Toc340568935"/>
      <w:r w:rsidRPr="008152AE">
        <w:t>4.3.3 Hypothesis 2</w:t>
      </w:r>
      <w:bookmarkEnd w:id="55"/>
    </w:p>
    <w:p w:rsidR="003423CD" w:rsidRDefault="003423CD" w:rsidP="00286071">
      <w:pPr>
        <w:pStyle w:val="NoSpacing"/>
        <w:spacing w:line="360" w:lineRule="auto"/>
        <w:jc w:val="both"/>
      </w:pPr>
      <w:r>
        <w:t xml:space="preserve">In hypothesis 2, the independence of the two variables is tested. To reject this hypothesis a significant relation between knowledge and trust is required. </w:t>
      </w:r>
    </w:p>
    <w:p w:rsidR="003423CD" w:rsidRDefault="003423CD" w:rsidP="00286071">
      <w:pPr>
        <w:pStyle w:val="NoSpacing"/>
        <w:spacing w:line="360" w:lineRule="auto"/>
        <w:jc w:val="both"/>
      </w:pPr>
      <w:r>
        <w:t>Testing the relationship is done via</w:t>
      </w:r>
      <w:r w:rsidR="00AF76FB">
        <w:t xml:space="preserve"> both the Pearson test and</w:t>
      </w:r>
      <w:r>
        <w:t xml:space="preserve"> the non-parametric Spearman test. The dependent variable, are the trust variables against which the various knowledge variables are tested. For robustness purposes and to illustrate and the outcome a T-test for the mean and median of the variable’s sample is performed, complementing the non-parametric findings. The entire sample is used.</w:t>
      </w:r>
    </w:p>
    <w:p w:rsidR="003423CD" w:rsidRPr="008152AE" w:rsidRDefault="003423CD" w:rsidP="00BC184B">
      <w:pPr>
        <w:pStyle w:val="VIn33"/>
      </w:pPr>
      <w:bookmarkStart w:id="56" w:name="_Toc340568936"/>
      <w:r w:rsidRPr="008152AE">
        <w:t>4.3.4 Hypothesis 3</w:t>
      </w:r>
      <w:bookmarkEnd w:id="56"/>
    </w:p>
    <w:p w:rsidR="003423CD" w:rsidRDefault="003423CD" w:rsidP="000D1C45">
      <w:pPr>
        <w:pStyle w:val="NoSpacing"/>
        <w:spacing w:line="360" w:lineRule="auto"/>
        <w:jc w:val="both"/>
      </w:pPr>
      <w:r>
        <w:t xml:space="preserve">To test hypothesis 3, the variables for trust and risk aversion are the dependent variables. Descriptive variables are regressed against them in both parametric and non-parametric tests. The hypothesis looks for relations and patterns in the population cohorts for both trust and risk aversion. The significance level is 95% and the whole sample is used. </w:t>
      </w:r>
      <w:r>
        <w:tab/>
      </w:r>
    </w:p>
    <w:p w:rsidR="003423CD" w:rsidRPr="008152AE" w:rsidRDefault="00BC184B" w:rsidP="00BC184B">
      <w:pPr>
        <w:pStyle w:val="Vin2"/>
        <w:numPr>
          <w:ilvl w:val="0"/>
          <w:numId w:val="0"/>
        </w:numPr>
      </w:pPr>
      <w:bookmarkStart w:id="57" w:name="_Toc340568937"/>
      <w:r>
        <w:t>4.4</w:t>
      </w:r>
      <w:r w:rsidR="003423CD" w:rsidRPr="008152AE">
        <w:t xml:space="preserve"> Normality tests</w:t>
      </w:r>
      <w:bookmarkEnd w:id="57"/>
    </w:p>
    <w:p w:rsidR="003423CD" w:rsidRDefault="003423CD" w:rsidP="00286071">
      <w:pPr>
        <w:pStyle w:val="NoSpacing"/>
        <w:spacing w:line="360" w:lineRule="auto"/>
        <w:jc w:val="both"/>
      </w:pPr>
      <w:r>
        <w:t xml:space="preserve">The </w:t>
      </w:r>
      <w:r w:rsidRPr="005E38CC">
        <w:t>introduction</w:t>
      </w:r>
      <w:r>
        <w:t xml:space="preserve"> of the principal </w:t>
      </w:r>
      <w:r w:rsidRPr="005E38CC">
        <w:t>variable</w:t>
      </w:r>
      <w:r>
        <w:t>s</w:t>
      </w:r>
      <w:r w:rsidRPr="005E38CC">
        <w:t xml:space="preserve"> </w:t>
      </w:r>
      <w:r>
        <w:t>indicate</w:t>
      </w:r>
      <w:r w:rsidR="004B5A27">
        <w:t>d</w:t>
      </w:r>
      <w:r w:rsidRPr="005E38CC">
        <w:t xml:space="preserve"> that the variables and the factors they present consist of different types of data</w:t>
      </w:r>
      <w:r>
        <w:t>. S</w:t>
      </w:r>
      <w:r w:rsidRPr="005E38CC">
        <w:t xml:space="preserve">ome variables </w:t>
      </w:r>
      <w:r>
        <w:t>are</w:t>
      </w:r>
      <w:r w:rsidRPr="005E38CC">
        <w:t xml:space="preserve"> of a nominal nature and others </w:t>
      </w:r>
      <w:r>
        <w:t xml:space="preserve">of </w:t>
      </w:r>
      <w:r w:rsidRPr="005E38CC">
        <w:t>different</w:t>
      </w:r>
      <w:r>
        <w:t xml:space="preserve"> scaling, i.e. Likert-scale results differ from age. Assumptions are very common</w:t>
      </w:r>
      <w:r w:rsidRPr="005E38CC">
        <w:t xml:space="preserve"> in statistics and yet a frequent cause of mistake and problem</w:t>
      </w:r>
      <w:r>
        <w:t>s</w:t>
      </w:r>
      <w:r w:rsidRPr="005E38CC">
        <w:t xml:space="preserve"> as they are only an approximation of reality (Hampel et al, 1986). To forego the chance of performing tests based on an incorrect statistical assumption, the variables are tested for normality. </w:t>
      </w:r>
      <w:r>
        <w:t xml:space="preserve">Appendix table 4.1 </w:t>
      </w:r>
      <w:r w:rsidRPr="005E38CC">
        <w:t>shows the division of variable</w:t>
      </w:r>
      <w:r w:rsidR="004B5A27">
        <w:t>’</w:t>
      </w:r>
      <w:r w:rsidRPr="005E38CC">
        <w:t xml:space="preserve">s sample distribution. Normality testing provides certainty on the sample distribution of the different variables. The knowledge of a variable’s distribution is rather useful, as the distribution is relevant in regards to further testing. As normally and non-normally distributed variables of various types </w:t>
      </w:r>
      <w:r w:rsidR="004B5A27">
        <w:t>are tested against one another</w:t>
      </w:r>
      <w:r w:rsidRPr="005E38CC">
        <w:t>, the knowledge of their dist</w:t>
      </w:r>
      <w:r>
        <w:t>ribution provides transparency. The normal distribution is measured by its Z-score for Skewness and Kurtosis. A normal distribution has Z-scores between -1.96 and 1.96 for a 95% significance level (Field, 2005).</w:t>
      </w:r>
      <w:r w:rsidRPr="000E3A8A">
        <w:t xml:space="preserve"> </w:t>
      </w:r>
      <w:r>
        <w:t xml:space="preserve">The variable </w:t>
      </w:r>
      <w:r w:rsidRPr="00970100">
        <w:t>GENDER</w:t>
      </w:r>
      <w:r>
        <w:t xml:space="preserve"> is excluded as the distribution is irrelevant for obvious reasons.</w:t>
      </w:r>
      <w:r w:rsidR="006A69C7">
        <w:t xml:space="preserve"> Same is done regarding the variable INVEXP, which was a yes or no question.</w:t>
      </w:r>
    </w:p>
    <w:p w:rsidR="008E27FB" w:rsidRDefault="003423CD" w:rsidP="00286071">
      <w:pPr>
        <w:pStyle w:val="NoSpacing"/>
        <w:spacing w:line="360" w:lineRule="auto"/>
        <w:jc w:val="both"/>
      </w:pPr>
      <w:r>
        <w:t>The table shows that only 4 of the tested variables are normally distributed. Amongst which is RASWP. Suggesting the sample population is predominantly risk neutral</w:t>
      </w:r>
      <w:r w:rsidR="003844A8">
        <w:t xml:space="preserve">, the ambiguity of this result impedes </w:t>
      </w:r>
      <w:r w:rsidR="004275A3">
        <w:t>contrasting</w:t>
      </w:r>
      <w:r w:rsidR="003844A8">
        <w:t xml:space="preserve"> </w:t>
      </w:r>
      <w:r w:rsidR="004275A3">
        <w:t xml:space="preserve">this </w:t>
      </w:r>
      <w:r w:rsidR="003844A8">
        <w:t>to literature</w:t>
      </w:r>
      <w:r w:rsidR="008E27FB">
        <w:t xml:space="preserve">. </w:t>
      </w:r>
    </w:p>
    <w:p w:rsidR="003423CD" w:rsidRDefault="008E27FB" w:rsidP="00286071">
      <w:pPr>
        <w:pStyle w:val="NoSpacing"/>
        <w:spacing w:line="360" w:lineRule="auto"/>
        <w:jc w:val="both"/>
      </w:pPr>
      <w:r>
        <w:t>In the conclusion of chapter 3, an appliance of literature suggested patterns to the population subset, suggested it is expected to have a lower level of risk aversion</w:t>
      </w:r>
      <w:r w:rsidR="003423CD">
        <w:t>. Interesting is that of the three trust variables TRUSTNOW is normally distributed. For knowledge both PFKNOW and ALLKNOW are normally distributed.</w:t>
      </w:r>
    </w:p>
    <w:p w:rsidR="003423CD" w:rsidRPr="008152AE" w:rsidRDefault="00DA3364" w:rsidP="00DA3364">
      <w:pPr>
        <w:pStyle w:val="Vin2"/>
        <w:numPr>
          <w:ilvl w:val="0"/>
          <w:numId w:val="0"/>
        </w:numPr>
      </w:pPr>
      <w:bookmarkStart w:id="58" w:name="_Toc340568938"/>
      <w:r>
        <w:t>4.5</w:t>
      </w:r>
      <w:r w:rsidR="003423CD" w:rsidRPr="008152AE">
        <w:t xml:space="preserve"> Hypotheses</w:t>
      </w:r>
      <w:bookmarkEnd w:id="58"/>
    </w:p>
    <w:p w:rsidR="003423CD" w:rsidRPr="008152AE" w:rsidRDefault="003423CD" w:rsidP="00DA3364">
      <w:pPr>
        <w:pStyle w:val="VIn33"/>
      </w:pPr>
      <w:bookmarkStart w:id="59" w:name="_Toc340568939"/>
      <w:r w:rsidRPr="008152AE">
        <w:t>4.5.1 Hypothesis 1</w:t>
      </w:r>
      <w:bookmarkEnd w:id="59"/>
    </w:p>
    <w:tbl>
      <w:tblPr>
        <w:tblStyle w:val="TableGrid"/>
        <w:tblW w:w="0" w:type="auto"/>
        <w:tblLook w:val="04A0"/>
      </w:tblPr>
      <w:tblGrid>
        <w:gridCol w:w="771"/>
        <w:gridCol w:w="8471"/>
      </w:tblGrid>
      <w:tr w:rsidR="003423CD" w:rsidRPr="00184992" w:rsidTr="00851485">
        <w:tc>
          <w:tcPr>
            <w:tcW w:w="771" w:type="dxa"/>
          </w:tcPr>
          <w:p w:rsidR="003423CD" w:rsidRPr="00184992" w:rsidRDefault="003423CD" w:rsidP="00286071">
            <w:pPr>
              <w:pStyle w:val="NoSpacing"/>
              <w:jc w:val="both"/>
            </w:pPr>
            <w:r w:rsidRPr="00184992">
              <w:t>H0:</w:t>
            </w:r>
          </w:p>
        </w:tc>
        <w:tc>
          <w:tcPr>
            <w:tcW w:w="8471" w:type="dxa"/>
          </w:tcPr>
          <w:p w:rsidR="003423CD" w:rsidRPr="00CC6767" w:rsidRDefault="003423CD" w:rsidP="00286071">
            <w:pPr>
              <w:pStyle w:val="NoSpacing"/>
              <w:spacing w:line="360" w:lineRule="auto"/>
              <w:jc w:val="both"/>
            </w:pPr>
            <w:r w:rsidRPr="00CC6767">
              <w:t xml:space="preserve">A negative change in the trust embedded in the agent by the principal, will not result in an increase in the risk aversion level of the principal’s risk appetite </w:t>
            </w:r>
          </w:p>
        </w:tc>
      </w:tr>
      <w:tr w:rsidR="003423CD" w:rsidRPr="00184992" w:rsidTr="00851485">
        <w:tc>
          <w:tcPr>
            <w:tcW w:w="771" w:type="dxa"/>
          </w:tcPr>
          <w:p w:rsidR="003423CD" w:rsidRPr="00184992" w:rsidRDefault="003423CD" w:rsidP="00286071">
            <w:pPr>
              <w:pStyle w:val="NoSpacing"/>
              <w:jc w:val="both"/>
            </w:pPr>
            <w:r>
              <w:t>Ha</w:t>
            </w:r>
            <w:r w:rsidRPr="00184992">
              <w:t>:</w:t>
            </w:r>
          </w:p>
        </w:tc>
        <w:tc>
          <w:tcPr>
            <w:tcW w:w="8471" w:type="dxa"/>
          </w:tcPr>
          <w:p w:rsidR="003423CD" w:rsidRPr="00CC6767" w:rsidRDefault="003423CD" w:rsidP="00286071">
            <w:pPr>
              <w:pStyle w:val="NoSpacing"/>
              <w:spacing w:line="360" w:lineRule="auto"/>
              <w:jc w:val="both"/>
            </w:pPr>
            <w:r w:rsidRPr="00CC6767">
              <w:t xml:space="preserve">A negative change in the trust embedded in the agent by the principal, will result in an increase in the risk aversion level of the principal’s risk appetite  </w:t>
            </w:r>
          </w:p>
        </w:tc>
      </w:tr>
      <w:tr w:rsidR="003423CD" w:rsidRPr="00184992" w:rsidTr="00851485">
        <w:trPr>
          <w:trHeight w:val="422"/>
        </w:trPr>
        <w:tc>
          <w:tcPr>
            <w:tcW w:w="771" w:type="dxa"/>
          </w:tcPr>
          <w:p w:rsidR="003423CD" w:rsidRDefault="003423CD" w:rsidP="00286071">
            <w:pPr>
              <w:pStyle w:val="NoSpacing"/>
              <w:jc w:val="both"/>
            </w:pPr>
            <w:r>
              <w:t>Result</w:t>
            </w:r>
          </w:p>
        </w:tc>
        <w:tc>
          <w:tcPr>
            <w:tcW w:w="8471" w:type="dxa"/>
          </w:tcPr>
          <w:p w:rsidR="003423CD" w:rsidRPr="00184992" w:rsidRDefault="003423CD" w:rsidP="00286071">
            <w:pPr>
              <w:pStyle w:val="NoSpacing"/>
              <w:spacing w:line="360" w:lineRule="auto"/>
              <w:jc w:val="both"/>
            </w:pPr>
            <w:r>
              <w:t>H0 cannot be rejected</w:t>
            </w:r>
          </w:p>
        </w:tc>
      </w:tr>
    </w:tbl>
    <w:p w:rsidR="003423CD" w:rsidRDefault="003423CD" w:rsidP="00286071">
      <w:pPr>
        <w:pStyle w:val="NoSpacing"/>
        <w:spacing w:line="360" w:lineRule="auto"/>
        <w:jc w:val="both"/>
      </w:pPr>
    </w:p>
    <w:p w:rsidR="003423CD" w:rsidRDefault="003423CD" w:rsidP="00286071">
      <w:pPr>
        <w:pStyle w:val="NoSpacing"/>
        <w:spacing w:line="360" w:lineRule="auto"/>
        <w:jc w:val="both"/>
      </w:pPr>
      <w:r>
        <w:t xml:space="preserve">This means that there is no evidence </w:t>
      </w:r>
      <w:r w:rsidR="007551BD">
        <w:t xml:space="preserve">to </w:t>
      </w:r>
      <w:r w:rsidRPr="000F1B95">
        <w:t xml:space="preserve">suggest </w:t>
      </w:r>
      <w:r w:rsidR="007551BD">
        <w:t>that</w:t>
      </w:r>
      <w:r w:rsidR="007551BD" w:rsidRPr="000F1B95">
        <w:t xml:space="preserve"> </w:t>
      </w:r>
      <w:r>
        <w:t>there is a significant relation</w:t>
      </w:r>
      <w:r w:rsidRPr="000F1B95">
        <w:t xml:space="preserve"> </w:t>
      </w:r>
      <w:r>
        <w:t>between trust and risk aversion</w:t>
      </w:r>
      <w:r w:rsidRPr="000F1B95">
        <w:t>.</w:t>
      </w:r>
      <w:r>
        <w:t xml:space="preserve"> In the parametric tests at a 5% significance level significant correlations were absent. Similarly, for the non-parametric tests ran there were no significant correlations found between the variables for trust and risk aversion. </w:t>
      </w:r>
    </w:p>
    <w:p w:rsidR="003423CD" w:rsidRDefault="003423CD" w:rsidP="00286071">
      <w:pPr>
        <w:pStyle w:val="NoSpacing"/>
        <w:spacing w:line="360" w:lineRule="auto"/>
        <w:jc w:val="both"/>
      </w:pPr>
      <w:r>
        <w:t xml:space="preserve">In this hypothesis the relation between the two central factors of this study are tested. The absence of a significant correlation denotes that there is no proof to assume that either variable influences the other. </w:t>
      </w:r>
      <w:r w:rsidR="007551BD">
        <w:t>A c</w:t>
      </w:r>
      <w:r>
        <w:t>ausal</w:t>
      </w:r>
      <w:r w:rsidR="007551BD">
        <w:t xml:space="preserve"> </w:t>
      </w:r>
      <w:r w:rsidR="00AD20DE">
        <w:t xml:space="preserve">effect or </w:t>
      </w:r>
      <w:r w:rsidR="007551BD">
        <w:t>relation</w:t>
      </w:r>
      <w:r>
        <w:t xml:space="preserve"> is a form of correlation, t</w:t>
      </w:r>
      <w:r w:rsidRPr="00CC6767">
        <w:t>he absence of correlation is a strong indicator t</w:t>
      </w:r>
      <w:r>
        <w:t xml:space="preserve">hat </w:t>
      </w:r>
      <w:r w:rsidR="00AD20DE">
        <w:t>an</w:t>
      </w:r>
      <w:r w:rsidR="007551BD">
        <w:t xml:space="preserve"> </w:t>
      </w:r>
      <w:r w:rsidR="00AD20DE">
        <w:t xml:space="preserve">implied </w:t>
      </w:r>
      <w:r>
        <w:t>causal</w:t>
      </w:r>
      <w:r w:rsidR="00AD20DE">
        <w:t xml:space="preserve"> effect</w:t>
      </w:r>
      <w:r>
        <w:t xml:space="preserve"> is also absent.</w:t>
      </w:r>
      <w:r w:rsidRPr="00CC6767">
        <w:t xml:space="preserve"> </w:t>
      </w:r>
      <w:r>
        <w:t xml:space="preserve"> </w:t>
      </w:r>
    </w:p>
    <w:p w:rsidR="003423CD" w:rsidRDefault="003423CD" w:rsidP="00286071">
      <w:pPr>
        <w:pStyle w:val="NoSpacing"/>
        <w:spacing w:line="360" w:lineRule="auto"/>
        <w:jc w:val="both"/>
      </w:pPr>
      <w:r>
        <w:t xml:space="preserve">Based on the findings, the Null-hypothesis cannot be rejected and no relation between the trust embedded by the principal in the agent and the principal’s risk appetite can be proven. This means that there is no significant evidence proving that </w:t>
      </w:r>
      <w:r w:rsidR="00104419">
        <w:t>the</w:t>
      </w:r>
      <w:r>
        <w:t xml:space="preserve"> plan member’s trust level influences their risk aversion level. The figures in table 4.1 show the exact numbers of the tested relati</w:t>
      </w:r>
      <w:r w:rsidR="00104419">
        <w:t>ons and the insignificant regressions outcomes</w:t>
      </w:r>
      <w:r>
        <w:t xml:space="preserve">. Inclusion of additional variables into the regressions, to test for bilateral </w:t>
      </w:r>
      <w:r w:rsidR="00104419">
        <w:t xml:space="preserve">latent </w:t>
      </w:r>
      <w:r>
        <w:t>effects, did not provide any significant results either. Neither did attempts to group the switching points into risk preference classes (e.g. Risk Averse, Risk Neutral and Risk Seeking).</w:t>
      </w:r>
    </w:p>
    <w:p w:rsidR="00FD1F95" w:rsidRPr="00FD1F95" w:rsidRDefault="00FD1F95" w:rsidP="00286071">
      <w:pPr>
        <w:pStyle w:val="NoSpacing"/>
        <w:spacing w:line="360" w:lineRule="auto"/>
        <w:jc w:val="both"/>
        <w:rPr>
          <w:sz w:val="14"/>
          <w:szCs w:val="14"/>
        </w:rPr>
      </w:pPr>
    </w:p>
    <w:p w:rsidR="00FD1F95" w:rsidRPr="00851485" w:rsidRDefault="003423CD" w:rsidP="003423CD">
      <w:pPr>
        <w:pStyle w:val="NoSpacing"/>
        <w:spacing w:line="360" w:lineRule="auto"/>
        <w:rPr>
          <w:sz w:val="8"/>
          <w:szCs w:val="8"/>
        </w:rPr>
      </w:pPr>
      <w:r w:rsidRPr="00FD1F95">
        <w:rPr>
          <w:sz w:val="20"/>
          <w:szCs w:val="20"/>
        </w:rPr>
        <w:t>Table 4.1 Hypothesis 1 regression results</w:t>
      </w:r>
    </w:p>
    <w:tbl>
      <w:tblPr>
        <w:tblStyle w:val="TableGrid"/>
        <w:tblW w:w="0" w:type="auto"/>
        <w:tblLook w:val="04A0"/>
      </w:tblPr>
      <w:tblGrid>
        <w:gridCol w:w="1956"/>
        <w:gridCol w:w="1920"/>
        <w:gridCol w:w="2279"/>
      </w:tblGrid>
      <w:tr w:rsidR="003423CD" w:rsidTr="00C41823">
        <w:trPr>
          <w:trHeight w:val="258"/>
        </w:trPr>
        <w:tc>
          <w:tcPr>
            <w:tcW w:w="1956" w:type="dxa"/>
            <w:vMerge w:val="restart"/>
            <w:tcBorders>
              <w:top w:val="nil"/>
              <w:left w:val="nil"/>
            </w:tcBorders>
          </w:tcPr>
          <w:p w:rsidR="003423CD" w:rsidRDefault="003423CD" w:rsidP="0021417F">
            <w:pPr>
              <w:pStyle w:val="NoSpacing"/>
            </w:pPr>
          </w:p>
        </w:tc>
        <w:tc>
          <w:tcPr>
            <w:tcW w:w="4199" w:type="dxa"/>
            <w:gridSpan w:val="2"/>
          </w:tcPr>
          <w:p w:rsidR="003423CD" w:rsidRDefault="003423CD" w:rsidP="0021417F">
            <w:pPr>
              <w:pStyle w:val="NoSpacing"/>
            </w:pPr>
            <w:r>
              <w:t>RASWP</w:t>
            </w:r>
          </w:p>
        </w:tc>
      </w:tr>
      <w:tr w:rsidR="003423CD" w:rsidTr="00C41823">
        <w:trPr>
          <w:trHeight w:val="258"/>
        </w:trPr>
        <w:tc>
          <w:tcPr>
            <w:tcW w:w="1956" w:type="dxa"/>
            <w:vMerge/>
            <w:tcBorders>
              <w:top w:val="nil"/>
              <w:left w:val="nil"/>
            </w:tcBorders>
          </w:tcPr>
          <w:p w:rsidR="003423CD" w:rsidRDefault="003423CD" w:rsidP="0021417F">
            <w:pPr>
              <w:pStyle w:val="NoSpacing"/>
            </w:pPr>
          </w:p>
        </w:tc>
        <w:tc>
          <w:tcPr>
            <w:tcW w:w="1920" w:type="dxa"/>
          </w:tcPr>
          <w:p w:rsidR="003423CD" w:rsidRDefault="003423CD" w:rsidP="0021417F">
            <w:pPr>
              <w:pStyle w:val="NoSpacing"/>
            </w:pPr>
            <w:r>
              <w:t>Parametric</w:t>
            </w:r>
          </w:p>
        </w:tc>
        <w:tc>
          <w:tcPr>
            <w:tcW w:w="2279" w:type="dxa"/>
          </w:tcPr>
          <w:p w:rsidR="003423CD" w:rsidRDefault="003423CD" w:rsidP="0021417F">
            <w:pPr>
              <w:pStyle w:val="NoSpacing"/>
            </w:pPr>
            <w:r>
              <w:t>Non-parametric</w:t>
            </w:r>
          </w:p>
        </w:tc>
      </w:tr>
      <w:tr w:rsidR="003423CD" w:rsidTr="00C41823">
        <w:trPr>
          <w:trHeight w:val="470"/>
        </w:trPr>
        <w:tc>
          <w:tcPr>
            <w:tcW w:w="1956" w:type="dxa"/>
          </w:tcPr>
          <w:p w:rsidR="003423CD" w:rsidRDefault="003423CD" w:rsidP="0021417F">
            <w:pPr>
              <w:pStyle w:val="NoSpacing"/>
            </w:pPr>
            <w:r>
              <w:t>TRUSTNOW</w:t>
            </w:r>
          </w:p>
        </w:tc>
        <w:tc>
          <w:tcPr>
            <w:tcW w:w="1920" w:type="dxa"/>
          </w:tcPr>
          <w:p w:rsidR="003423CD" w:rsidRDefault="003423CD" w:rsidP="0021417F">
            <w:pPr>
              <w:pStyle w:val="NoSpacing"/>
              <w:jc w:val="center"/>
            </w:pPr>
            <w:r>
              <w:t>0.012</w:t>
            </w:r>
          </w:p>
        </w:tc>
        <w:tc>
          <w:tcPr>
            <w:tcW w:w="2279" w:type="dxa"/>
          </w:tcPr>
          <w:p w:rsidR="003423CD" w:rsidRDefault="003423CD" w:rsidP="0021417F">
            <w:pPr>
              <w:pStyle w:val="NoSpacing"/>
              <w:jc w:val="center"/>
            </w:pPr>
            <w:r>
              <w:t>0.028</w:t>
            </w:r>
          </w:p>
        </w:tc>
      </w:tr>
      <w:tr w:rsidR="003423CD" w:rsidTr="00C41823">
        <w:trPr>
          <w:trHeight w:val="470"/>
        </w:trPr>
        <w:tc>
          <w:tcPr>
            <w:tcW w:w="1956" w:type="dxa"/>
          </w:tcPr>
          <w:p w:rsidR="003423CD" w:rsidRDefault="003423CD" w:rsidP="0021417F">
            <w:pPr>
              <w:pStyle w:val="NoSpacing"/>
            </w:pPr>
            <w:r>
              <w:t>TRUSTBEFORE</w:t>
            </w:r>
          </w:p>
        </w:tc>
        <w:tc>
          <w:tcPr>
            <w:tcW w:w="1920" w:type="dxa"/>
          </w:tcPr>
          <w:p w:rsidR="003423CD" w:rsidRDefault="003423CD" w:rsidP="0021417F">
            <w:pPr>
              <w:pStyle w:val="NoSpacing"/>
              <w:jc w:val="center"/>
            </w:pPr>
            <w:r>
              <w:t>-0.088</w:t>
            </w:r>
          </w:p>
        </w:tc>
        <w:tc>
          <w:tcPr>
            <w:tcW w:w="2279" w:type="dxa"/>
          </w:tcPr>
          <w:p w:rsidR="003423CD" w:rsidRDefault="003423CD" w:rsidP="0021417F">
            <w:pPr>
              <w:pStyle w:val="NoSpacing"/>
              <w:jc w:val="center"/>
            </w:pPr>
            <w:r>
              <w:t>-0.060</w:t>
            </w:r>
          </w:p>
        </w:tc>
      </w:tr>
      <w:tr w:rsidR="003423CD" w:rsidTr="00C41823">
        <w:trPr>
          <w:trHeight w:val="470"/>
        </w:trPr>
        <w:tc>
          <w:tcPr>
            <w:tcW w:w="1956" w:type="dxa"/>
          </w:tcPr>
          <w:p w:rsidR="003423CD" w:rsidRDefault="003423CD" w:rsidP="0021417F">
            <w:pPr>
              <w:pStyle w:val="NoSpacing"/>
            </w:pPr>
            <w:r>
              <w:t>TRUSTDELTA</w:t>
            </w:r>
          </w:p>
        </w:tc>
        <w:tc>
          <w:tcPr>
            <w:tcW w:w="1920" w:type="dxa"/>
          </w:tcPr>
          <w:p w:rsidR="003423CD" w:rsidRDefault="003423CD" w:rsidP="0021417F">
            <w:pPr>
              <w:pStyle w:val="NoSpacing"/>
              <w:jc w:val="center"/>
            </w:pPr>
            <w:r>
              <w:t>-0.098</w:t>
            </w:r>
          </w:p>
        </w:tc>
        <w:tc>
          <w:tcPr>
            <w:tcW w:w="2279" w:type="dxa"/>
          </w:tcPr>
          <w:p w:rsidR="003423CD" w:rsidRDefault="003423CD" w:rsidP="0021417F">
            <w:pPr>
              <w:pStyle w:val="NoSpacing"/>
              <w:jc w:val="center"/>
            </w:pPr>
            <w:r>
              <w:t>-0.044</w:t>
            </w:r>
          </w:p>
        </w:tc>
      </w:tr>
    </w:tbl>
    <w:p w:rsidR="003423CD" w:rsidRDefault="003423CD" w:rsidP="003423CD">
      <w:pPr>
        <w:pStyle w:val="NoSpacing"/>
      </w:pPr>
      <w:r>
        <w:rPr>
          <w:sz w:val="18"/>
          <w:szCs w:val="18"/>
        </w:rPr>
        <w:t>*= significant, at a 5% significance level</w:t>
      </w:r>
    </w:p>
    <w:p w:rsidR="00FD1F95" w:rsidRDefault="003423CD" w:rsidP="00FD1F95">
      <w:pPr>
        <w:pStyle w:val="NoSpacing"/>
        <w:spacing w:line="360" w:lineRule="auto"/>
        <w:jc w:val="both"/>
      </w:pPr>
      <w:r>
        <w:t xml:space="preserve">In figure 4.1A, a visual representation of the regression results is given. The scatterplot shows the division of subjects, based on their risk aversion switching point, over the different levels of trust. </w:t>
      </w:r>
      <w:r w:rsidR="00104419">
        <w:t xml:space="preserve">The shade of the circles indicates the number of observations for this spot. A clear concentration of darker point is observed around the centre of the figure. This cluster affirms the regression findings and absence of a distinct pattern. </w:t>
      </w:r>
      <w:r>
        <w:t>In the case of a significant relation the results could depict a diagonal upward or downward moving trend</w:t>
      </w:r>
      <w:r w:rsidR="006145DB">
        <w:t>, with higher concentrations at outlying values of the range</w:t>
      </w:r>
      <w:r>
        <w:t xml:space="preserve">. Showing that as risk aversion grew, trust levels increased or decreased. A horizontal line could suggest that there is no correlation and rather independence, as trust levels would be the same for all levels of risk aversion. The black line is </w:t>
      </w:r>
      <w:r w:rsidR="006145DB">
        <w:t xml:space="preserve">the </w:t>
      </w:r>
      <w:r>
        <w:t>line of fit and its horizontal course affirms the regression results</w:t>
      </w:r>
      <w:r w:rsidR="006145DB">
        <w:t xml:space="preserve"> and lack of a distinct pattern</w:t>
      </w:r>
      <w:r>
        <w:t>. The blue line is an interpolation line and neither delivers further insight. In Appendix figures 4.1B &amp; C, the scatterplots for the other two trust variables (TRUSTBEFORE, TRUST DELTA) is available. Neither of these show lines suggesting a significant relation.</w:t>
      </w:r>
    </w:p>
    <w:p w:rsidR="00851485" w:rsidRDefault="00851485" w:rsidP="00FD1F95">
      <w:pPr>
        <w:pStyle w:val="NoSpacing"/>
        <w:spacing w:line="360" w:lineRule="auto"/>
        <w:jc w:val="both"/>
        <w:rPr>
          <w:sz w:val="20"/>
          <w:szCs w:val="20"/>
        </w:rPr>
      </w:pPr>
    </w:p>
    <w:p w:rsidR="00104419" w:rsidRDefault="00104419" w:rsidP="00FD1F95">
      <w:pPr>
        <w:pStyle w:val="NoSpacing"/>
        <w:spacing w:line="360" w:lineRule="auto"/>
        <w:jc w:val="both"/>
        <w:rPr>
          <w:sz w:val="20"/>
          <w:szCs w:val="20"/>
        </w:rPr>
      </w:pPr>
    </w:p>
    <w:p w:rsidR="00851485" w:rsidRDefault="00104419" w:rsidP="00FD1F95">
      <w:pPr>
        <w:pStyle w:val="NoSpacing"/>
        <w:spacing w:line="360" w:lineRule="auto"/>
        <w:jc w:val="both"/>
        <w:rPr>
          <w:sz w:val="20"/>
          <w:szCs w:val="20"/>
        </w:rPr>
      </w:pPr>
      <w:r>
        <w:rPr>
          <w:noProof/>
          <w:sz w:val="20"/>
          <w:szCs w:val="20"/>
          <w:lang w:val="nl-NL" w:eastAsia="nl-NL"/>
        </w:rPr>
        <w:drawing>
          <wp:anchor distT="0" distB="0" distL="114300" distR="114300" simplePos="0" relativeHeight="251659264" behindDoc="0" locked="0" layoutInCell="1" allowOverlap="1">
            <wp:simplePos x="0" y="0"/>
            <wp:positionH relativeFrom="margin">
              <wp:posOffset>-704215</wp:posOffset>
            </wp:positionH>
            <wp:positionV relativeFrom="margin">
              <wp:posOffset>4124960</wp:posOffset>
            </wp:positionV>
            <wp:extent cx="6689725" cy="5156200"/>
            <wp:effectExtent l="1905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89725" cy="5156200"/>
                    </a:xfrm>
                    <a:prstGeom prst="rect">
                      <a:avLst/>
                    </a:prstGeom>
                  </pic:spPr>
                </pic:pic>
              </a:graphicData>
            </a:graphic>
          </wp:anchor>
        </w:drawing>
      </w:r>
      <w:r w:rsidRPr="008152AE">
        <w:rPr>
          <w:sz w:val="20"/>
          <w:szCs w:val="20"/>
        </w:rPr>
        <w:t>Figure 4.1A</w:t>
      </w:r>
      <w:r>
        <w:rPr>
          <w:sz w:val="20"/>
          <w:szCs w:val="20"/>
        </w:rPr>
        <w:t xml:space="preserve">. </w:t>
      </w:r>
      <w:r w:rsidRPr="008152AE">
        <w:rPr>
          <w:sz w:val="20"/>
          <w:szCs w:val="20"/>
        </w:rPr>
        <w:t xml:space="preserve"> Scatterplot TRUSTNOW and RASWP</w:t>
      </w:r>
    </w:p>
    <w:p w:rsidR="003423CD" w:rsidRPr="008152AE" w:rsidRDefault="003423CD" w:rsidP="00DA3364">
      <w:pPr>
        <w:pStyle w:val="VIn33"/>
      </w:pPr>
      <w:bookmarkStart w:id="60" w:name="_Toc340568940"/>
      <w:r w:rsidRPr="008152AE">
        <w:t>4.5.2 Hypothesis 2</w:t>
      </w:r>
      <w:bookmarkEnd w:id="60"/>
    </w:p>
    <w:tbl>
      <w:tblPr>
        <w:tblStyle w:val="TableGrid"/>
        <w:tblW w:w="0" w:type="auto"/>
        <w:tblLook w:val="04A0"/>
      </w:tblPr>
      <w:tblGrid>
        <w:gridCol w:w="771"/>
        <w:gridCol w:w="8471"/>
      </w:tblGrid>
      <w:tr w:rsidR="003423CD" w:rsidRPr="00B00308" w:rsidTr="00C91C79">
        <w:tc>
          <w:tcPr>
            <w:tcW w:w="771" w:type="dxa"/>
          </w:tcPr>
          <w:p w:rsidR="003423CD" w:rsidRPr="00217A49" w:rsidRDefault="003423CD" w:rsidP="00286071">
            <w:pPr>
              <w:spacing w:line="360" w:lineRule="auto"/>
              <w:jc w:val="both"/>
            </w:pPr>
            <w:r w:rsidRPr="00217A49">
              <w:t>H0:</w:t>
            </w:r>
          </w:p>
        </w:tc>
        <w:tc>
          <w:tcPr>
            <w:tcW w:w="8471" w:type="dxa"/>
          </w:tcPr>
          <w:p w:rsidR="003423CD" w:rsidRPr="00217A49" w:rsidRDefault="00C91C79" w:rsidP="00286071">
            <w:pPr>
              <w:spacing w:line="360" w:lineRule="auto"/>
              <w:jc w:val="both"/>
            </w:pPr>
            <w:r w:rsidRPr="00217A49">
              <w:t>Plan member trust in his/her relation to the  pension fund is independent of knowledge</w:t>
            </w:r>
          </w:p>
        </w:tc>
      </w:tr>
      <w:tr w:rsidR="00C91C79" w:rsidRPr="00B00308" w:rsidTr="00C91C79">
        <w:trPr>
          <w:trHeight w:val="391"/>
        </w:trPr>
        <w:tc>
          <w:tcPr>
            <w:tcW w:w="771" w:type="dxa"/>
          </w:tcPr>
          <w:p w:rsidR="00C91C79" w:rsidRPr="00217A49" w:rsidRDefault="00C91C79" w:rsidP="00286071">
            <w:pPr>
              <w:pStyle w:val="NoSpacing"/>
              <w:spacing w:line="360" w:lineRule="auto"/>
              <w:jc w:val="both"/>
            </w:pPr>
            <w:r w:rsidRPr="00217A49">
              <w:t>Ha:</w:t>
            </w:r>
          </w:p>
        </w:tc>
        <w:tc>
          <w:tcPr>
            <w:tcW w:w="8471" w:type="dxa"/>
          </w:tcPr>
          <w:p w:rsidR="00C91C79" w:rsidRPr="00217A49" w:rsidRDefault="00C91C79" w:rsidP="00FD1F95">
            <w:pPr>
              <w:spacing w:line="360" w:lineRule="auto"/>
              <w:jc w:val="both"/>
            </w:pPr>
            <w:r w:rsidRPr="00217A49">
              <w:t xml:space="preserve">Plan member trust in his/her relation to the pension fund is not independent of knowledge </w:t>
            </w:r>
          </w:p>
        </w:tc>
      </w:tr>
      <w:tr w:rsidR="00C91C79" w:rsidRPr="00B00308" w:rsidTr="00C91C79">
        <w:trPr>
          <w:trHeight w:val="557"/>
        </w:trPr>
        <w:tc>
          <w:tcPr>
            <w:tcW w:w="771" w:type="dxa"/>
          </w:tcPr>
          <w:p w:rsidR="00C91C79" w:rsidRPr="00217A49" w:rsidRDefault="00C91C79" w:rsidP="00286071">
            <w:pPr>
              <w:pStyle w:val="NoSpacing"/>
              <w:spacing w:line="360" w:lineRule="auto"/>
              <w:jc w:val="both"/>
            </w:pPr>
            <w:r w:rsidRPr="00217A49">
              <w:t>Result</w:t>
            </w:r>
          </w:p>
        </w:tc>
        <w:tc>
          <w:tcPr>
            <w:tcW w:w="8471" w:type="dxa"/>
          </w:tcPr>
          <w:p w:rsidR="00C91C79" w:rsidRPr="00217A49" w:rsidRDefault="001E08B7" w:rsidP="00286071">
            <w:pPr>
              <w:pStyle w:val="NoSpacing"/>
              <w:spacing w:line="360" w:lineRule="auto"/>
              <w:jc w:val="both"/>
            </w:pPr>
            <w:r>
              <w:t>H0 cannot be</w:t>
            </w:r>
            <w:r w:rsidR="00C91C79" w:rsidRPr="00217A49">
              <w:t xml:space="preserve"> rejected</w:t>
            </w:r>
          </w:p>
        </w:tc>
      </w:tr>
    </w:tbl>
    <w:p w:rsidR="003423CD" w:rsidRDefault="003423CD" w:rsidP="00286071">
      <w:pPr>
        <w:pStyle w:val="NoSpacing"/>
        <w:spacing w:line="360" w:lineRule="auto"/>
        <w:jc w:val="both"/>
      </w:pPr>
    </w:p>
    <w:p w:rsidR="003423CD" w:rsidRDefault="003423CD" w:rsidP="00286071">
      <w:pPr>
        <w:pStyle w:val="NoSpacing"/>
        <w:spacing w:line="360" w:lineRule="auto"/>
        <w:jc w:val="both"/>
      </w:pPr>
      <w:r>
        <w:t>T</w:t>
      </w:r>
      <w:r w:rsidRPr="000F1B95">
        <w:t>he regression</w:t>
      </w:r>
      <w:r>
        <w:t xml:space="preserve"> results</w:t>
      </w:r>
      <w:r w:rsidRPr="000F1B95">
        <w:t xml:space="preserve"> ha</w:t>
      </w:r>
      <w:r>
        <w:t>ve</w:t>
      </w:r>
      <w:r w:rsidRPr="000F1B95">
        <w:t xml:space="preserve"> not led to a significant </w:t>
      </w:r>
      <w:r>
        <w:t xml:space="preserve">correlation </w:t>
      </w:r>
      <w:r w:rsidRPr="000F1B95">
        <w:t xml:space="preserve">and as such </w:t>
      </w:r>
      <w:r>
        <w:t>there d</w:t>
      </w:r>
      <w:r w:rsidRPr="000F1B95">
        <w:t xml:space="preserve">oes not appear to </w:t>
      </w:r>
      <w:r>
        <w:t>be a significant relation between the variables for trust and knowledge. The absence of a significant relation between the variables shows that the two variables are independent of one another. This means with the lack of significant result</w:t>
      </w:r>
      <w:r w:rsidR="000F70A2">
        <w:t>,</w:t>
      </w:r>
      <w:r>
        <w:t xml:space="preserve"> that knowledge in the forms tested, is not a determining or more importantly a dominating factor for trust. In table 4.2 the regression results are shown</w:t>
      </w:r>
      <w:r w:rsidR="000F70A2">
        <w:t>, all of which are insignificant</w:t>
      </w:r>
      <w:r>
        <w:t>.</w:t>
      </w:r>
      <w:r w:rsidR="000F70A2">
        <w:t xml:space="preserve"> It is interesting to see that if the results were significant, they would rather small and mostly negative. </w:t>
      </w:r>
    </w:p>
    <w:p w:rsidR="003423CD" w:rsidRPr="001A1F39" w:rsidRDefault="003423CD" w:rsidP="000F70A2">
      <w:pPr>
        <w:pStyle w:val="NoSpacing"/>
        <w:jc w:val="both"/>
        <w:rPr>
          <w:sz w:val="8"/>
          <w:szCs w:val="8"/>
        </w:rPr>
      </w:pPr>
    </w:p>
    <w:p w:rsidR="003423CD" w:rsidRPr="008152AE" w:rsidRDefault="003423CD" w:rsidP="003423CD">
      <w:pPr>
        <w:pStyle w:val="NoSpacing"/>
        <w:rPr>
          <w:sz w:val="20"/>
          <w:szCs w:val="20"/>
        </w:rPr>
      </w:pPr>
      <w:r w:rsidRPr="008152AE">
        <w:rPr>
          <w:sz w:val="20"/>
          <w:szCs w:val="20"/>
        </w:rPr>
        <w:t>Table 4.2</w:t>
      </w:r>
      <w:r w:rsidRPr="008152AE">
        <w:rPr>
          <w:i/>
          <w:sz w:val="20"/>
          <w:szCs w:val="20"/>
        </w:rPr>
        <w:t xml:space="preserve"> </w:t>
      </w:r>
      <w:r w:rsidRPr="008152AE">
        <w:rPr>
          <w:sz w:val="20"/>
          <w:szCs w:val="20"/>
        </w:rPr>
        <w:t>Hypothesis 3 regression results</w:t>
      </w:r>
    </w:p>
    <w:p w:rsidR="003423CD" w:rsidRPr="001A1F39" w:rsidRDefault="003423CD" w:rsidP="003423CD">
      <w:pPr>
        <w:pStyle w:val="NoSpacing"/>
        <w:rPr>
          <w:sz w:val="16"/>
          <w:szCs w:val="16"/>
        </w:rPr>
      </w:pPr>
    </w:p>
    <w:tbl>
      <w:tblPr>
        <w:tblStyle w:val="TableGrid"/>
        <w:tblW w:w="0" w:type="auto"/>
        <w:tblLook w:val="04A0"/>
      </w:tblPr>
      <w:tblGrid>
        <w:gridCol w:w="1580"/>
        <w:gridCol w:w="1267"/>
        <w:gridCol w:w="1271"/>
        <w:gridCol w:w="1267"/>
        <w:gridCol w:w="1271"/>
        <w:gridCol w:w="1267"/>
        <w:gridCol w:w="1271"/>
      </w:tblGrid>
      <w:tr w:rsidR="003423CD" w:rsidTr="000F70A2">
        <w:trPr>
          <w:trHeight w:val="401"/>
        </w:trPr>
        <w:tc>
          <w:tcPr>
            <w:tcW w:w="1580" w:type="dxa"/>
            <w:tcBorders>
              <w:top w:val="nil"/>
              <w:left w:val="nil"/>
            </w:tcBorders>
          </w:tcPr>
          <w:p w:rsidR="003423CD" w:rsidRDefault="003423CD" w:rsidP="0021417F">
            <w:pPr>
              <w:pStyle w:val="NoSpacing"/>
            </w:pPr>
          </w:p>
        </w:tc>
        <w:tc>
          <w:tcPr>
            <w:tcW w:w="2537" w:type="dxa"/>
            <w:gridSpan w:val="2"/>
          </w:tcPr>
          <w:p w:rsidR="003423CD" w:rsidRDefault="003423CD" w:rsidP="0021417F">
            <w:pPr>
              <w:pStyle w:val="NoSpacing"/>
              <w:jc w:val="center"/>
            </w:pPr>
            <w:r>
              <w:t>FINKNOW</w:t>
            </w:r>
          </w:p>
        </w:tc>
        <w:tc>
          <w:tcPr>
            <w:tcW w:w="2537" w:type="dxa"/>
            <w:gridSpan w:val="2"/>
          </w:tcPr>
          <w:p w:rsidR="003423CD" w:rsidRDefault="003423CD" w:rsidP="0021417F">
            <w:pPr>
              <w:pStyle w:val="NoSpacing"/>
              <w:jc w:val="center"/>
            </w:pPr>
            <w:r>
              <w:t>PFKNOW</w:t>
            </w:r>
          </w:p>
        </w:tc>
        <w:tc>
          <w:tcPr>
            <w:tcW w:w="2537" w:type="dxa"/>
            <w:gridSpan w:val="2"/>
          </w:tcPr>
          <w:p w:rsidR="003423CD" w:rsidRDefault="003423CD" w:rsidP="0021417F">
            <w:pPr>
              <w:pStyle w:val="NoSpacing"/>
              <w:jc w:val="center"/>
            </w:pPr>
            <w:r>
              <w:t>ALLKNOW</w:t>
            </w:r>
          </w:p>
        </w:tc>
      </w:tr>
      <w:tr w:rsidR="003423CD" w:rsidTr="000F70A2">
        <w:trPr>
          <w:trHeight w:val="893"/>
        </w:trPr>
        <w:tc>
          <w:tcPr>
            <w:tcW w:w="1580" w:type="dxa"/>
          </w:tcPr>
          <w:p w:rsidR="003423CD" w:rsidRDefault="003423CD" w:rsidP="0021417F">
            <w:pPr>
              <w:pStyle w:val="NoSpacing"/>
            </w:pPr>
          </w:p>
        </w:tc>
        <w:tc>
          <w:tcPr>
            <w:tcW w:w="1267" w:type="dxa"/>
          </w:tcPr>
          <w:p w:rsidR="003423CD" w:rsidRDefault="003423CD" w:rsidP="0021417F">
            <w:pPr>
              <w:pStyle w:val="NoSpacing"/>
              <w:jc w:val="center"/>
            </w:pPr>
            <w:r>
              <w:t>Parametric</w:t>
            </w:r>
          </w:p>
        </w:tc>
        <w:tc>
          <w:tcPr>
            <w:tcW w:w="1271" w:type="dxa"/>
          </w:tcPr>
          <w:p w:rsidR="003423CD" w:rsidRDefault="003423CD" w:rsidP="0021417F">
            <w:pPr>
              <w:pStyle w:val="NoSpacing"/>
              <w:jc w:val="center"/>
            </w:pPr>
            <w:r>
              <w:t>Non-parametric</w:t>
            </w:r>
          </w:p>
        </w:tc>
        <w:tc>
          <w:tcPr>
            <w:tcW w:w="1267" w:type="dxa"/>
            <w:tcBorders>
              <w:top w:val="nil"/>
            </w:tcBorders>
          </w:tcPr>
          <w:p w:rsidR="003423CD" w:rsidRDefault="003423CD" w:rsidP="0021417F">
            <w:pPr>
              <w:pStyle w:val="NoSpacing"/>
              <w:jc w:val="center"/>
            </w:pPr>
            <w:r>
              <w:t>Parametric</w:t>
            </w:r>
          </w:p>
        </w:tc>
        <w:tc>
          <w:tcPr>
            <w:tcW w:w="1271" w:type="dxa"/>
            <w:tcBorders>
              <w:top w:val="nil"/>
            </w:tcBorders>
          </w:tcPr>
          <w:p w:rsidR="003423CD" w:rsidRDefault="003423CD" w:rsidP="0021417F">
            <w:pPr>
              <w:pStyle w:val="NoSpacing"/>
              <w:jc w:val="center"/>
            </w:pPr>
            <w:r>
              <w:t>Non-parametric</w:t>
            </w:r>
          </w:p>
        </w:tc>
        <w:tc>
          <w:tcPr>
            <w:tcW w:w="1267" w:type="dxa"/>
          </w:tcPr>
          <w:p w:rsidR="003423CD" w:rsidRDefault="003423CD" w:rsidP="0021417F">
            <w:pPr>
              <w:pStyle w:val="NoSpacing"/>
              <w:jc w:val="center"/>
            </w:pPr>
            <w:r>
              <w:t>Parametric</w:t>
            </w:r>
          </w:p>
        </w:tc>
        <w:tc>
          <w:tcPr>
            <w:tcW w:w="1271" w:type="dxa"/>
          </w:tcPr>
          <w:p w:rsidR="003423CD" w:rsidRDefault="003423CD" w:rsidP="0021417F">
            <w:pPr>
              <w:pStyle w:val="NoSpacing"/>
              <w:jc w:val="center"/>
            </w:pPr>
            <w:r>
              <w:t>Non-parametric</w:t>
            </w:r>
          </w:p>
        </w:tc>
      </w:tr>
      <w:tr w:rsidR="003423CD" w:rsidTr="000F70A2">
        <w:trPr>
          <w:trHeight w:val="432"/>
        </w:trPr>
        <w:tc>
          <w:tcPr>
            <w:tcW w:w="1580" w:type="dxa"/>
          </w:tcPr>
          <w:p w:rsidR="003423CD" w:rsidRDefault="003423CD" w:rsidP="0021417F">
            <w:pPr>
              <w:pStyle w:val="NoSpacing"/>
            </w:pPr>
            <w:r>
              <w:t>TRUSTNOW</w:t>
            </w:r>
          </w:p>
        </w:tc>
        <w:tc>
          <w:tcPr>
            <w:tcW w:w="1267" w:type="dxa"/>
          </w:tcPr>
          <w:p w:rsidR="003423CD" w:rsidRDefault="003423CD" w:rsidP="0021417F">
            <w:pPr>
              <w:pStyle w:val="NoSpacing"/>
            </w:pPr>
            <w:r>
              <w:t>-0.003</w:t>
            </w:r>
          </w:p>
        </w:tc>
        <w:tc>
          <w:tcPr>
            <w:tcW w:w="1271" w:type="dxa"/>
          </w:tcPr>
          <w:p w:rsidR="003423CD" w:rsidRDefault="000F70A2" w:rsidP="0021417F">
            <w:pPr>
              <w:pStyle w:val="NoSpacing"/>
            </w:pPr>
            <w:r>
              <w:t xml:space="preserve"> </w:t>
            </w:r>
            <w:r w:rsidR="003423CD">
              <w:t>0.037</w:t>
            </w:r>
          </w:p>
        </w:tc>
        <w:tc>
          <w:tcPr>
            <w:tcW w:w="1267" w:type="dxa"/>
          </w:tcPr>
          <w:p w:rsidR="003423CD" w:rsidRDefault="000F70A2" w:rsidP="0021417F">
            <w:pPr>
              <w:pStyle w:val="NoSpacing"/>
            </w:pPr>
            <w:r>
              <w:t xml:space="preserve"> </w:t>
            </w:r>
            <w:r w:rsidR="003423CD">
              <w:t>0.059</w:t>
            </w:r>
          </w:p>
        </w:tc>
        <w:tc>
          <w:tcPr>
            <w:tcW w:w="1271" w:type="dxa"/>
          </w:tcPr>
          <w:p w:rsidR="003423CD" w:rsidRDefault="000F70A2" w:rsidP="0021417F">
            <w:pPr>
              <w:pStyle w:val="NoSpacing"/>
            </w:pPr>
            <w:r>
              <w:t xml:space="preserve"> </w:t>
            </w:r>
            <w:r w:rsidR="003423CD">
              <w:t>0.133</w:t>
            </w:r>
          </w:p>
        </w:tc>
        <w:tc>
          <w:tcPr>
            <w:tcW w:w="1267" w:type="dxa"/>
          </w:tcPr>
          <w:p w:rsidR="003423CD" w:rsidRDefault="000F70A2" w:rsidP="0021417F">
            <w:pPr>
              <w:pStyle w:val="NoSpacing"/>
            </w:pPr>
            <w:r>
              <w:t xml:space="preserve"> </w:t>
            </w:r>
            <w:r w:rsidR="003423CD">
              <w:t>0.036</w:t>
            </w:r>
          </w:p>
        </w:tc>
        <w:tc>
          <w:tcPr>
            <w:tcW w:w="1271" w:type="dxa"/>
          </w:tcPr>
          <w:p w:rsidR="003423CD" w:rsidRDefault="000F70A2" w:rsidP="0021417F">
            <w:pPr>
              <w:pStyle w:val="NoSpacing"/>
            </w:pPr>
            <w:r>
              <w:t xml:space="preserve"> </w:t>
            </w:r>
            <w:r w:rsidR="003423CD">
              <w:t>0.124</w:t>
            </w:r>
          </w:p>
        </w:tc>
      </w:tr>
      <w:tr w:rsidR="003423CD" w:rsidTr="000F70A2">
        <w:trPr>
          <w:trHeight w:val="401"/>
        </w:trPr>
        <w:tc>
          <w:tcPr>
            <w:tcW w:w="1580" w:type="dxa"/>
          </w:tcPr>
          <w:p w:rsidR="003423CD" w:rsidRDefault="003423CD" w:rsidP="0021417F">
            <w:pPr>
              <w:pStyle w:val="NoSpacing"/>
            </w:pPr>
            <w:r>
              <w:t>TRUSTBEFORE</w:t>
            </w:r>
          </w:p>
        </w:tc>
        <w:tc>
          <w:tcPr>
            <w:tcW w:w="1267" w:type="dxa"/>
          </w:tcPr>
          <w:p w:rsidR="003423CD" w:rsidRDefault="003423CD" w:rsidP="0021417F">
            <w:pPr>
              <w:pStyle w:val="NoSpacing"/>
            </w:pPr>
            <w:r>
              <w:t>-0.055</w:t>
            </w:r>
          </w:p>
        </w:tc>
        <w:tc>
          <w:tcPr>
            <w:tcW w:w="1271" w:type="dxa"/>
          </w:tcPr>
          <w:p w:rsidR="003423CD" w:rsidRDefault="003423CD" w:rsidP="0021417F">
            <w:pPr>
              <w:pStyle w:val="NoSpacing"/>
            </w:pPr>
            <w:r>
              <w:t>-0.049</w:t>
            </w:r>
          </w:p>
        </w:tc>
        <w:tc>
          <w:tcPr>
            <w:tcW w:w="1267" w:type="dxa"/>
          </w:tcPr>
          <w:p w:rsidR="003423CD" w:rsidRDefault="003423CD" w:rsidP="0021417F">
            <w:pPr>
              <w:pStyle w:val="NoSpacing"/>
            </w:pPr>
            <w:r>
              <w:t>-0.095</w:t>
            </w:r>
          </w:p>
        </w:tc>
        <w:tc>
          <w:tcPr>
            <w:tcW w:w="1271" w:type="dxa"/>
          </w:tcPr>
          <w:p w:rsidR="003423CD" w:rsidRDefault="003423CD" w:rsidP="0021417F">
            <w:pPr>
              <w:pStyle w:val="NoSpacing"/>
            </w:pPr>
            <w:r>
              <w:t>-0.026</w:t>
            </w:r>
          </w:p>
        </w:tc>
        <w:tc>
          <w:tcPr>
            <w:tcW w:w="1267" w:type="dxa"/>
          </w:tcPr>
          <w:p w:rsidR="003423CD" w:rsidRDefault="003423CD" w:rsidP="0021417F">
            <w:pPr>
              <w:pStyle w:val="NoSpacing"/>
            </w:pPr>
            <w:r>
              <w:t>-0.088</w:t>
            </w:r>
          </w:p>
        </w:tc>
        <w:tc>
          <w:tcPr>
            <w:tcW w:w="1271" w:type="dxa"/>
          </w:tcPr>
          <w:p w:rsidR="003423CD" w:rsidRDefault="003423CD" w:rsidP="0021417F">
            <w:pPr>
              <w:pStyle w:val="NoSpacing"/>
            </w:pPr>
            <w:r>
              <w:t>-0.036</w:t>
            </w:r>
          </w:p>
        </w:tc>
      </w:tr>
      <w:tr w:rsidR="003423CD" w:rsidTr="000F70A2">
        <w:trPr>
          <w:trHeight w:val="464"/>
        </w:trPr>
        <w:tc>
          <w:tcPr>
            <w:tcW w:w="1580" w:type="dxa"/>
          </w:tcPr>
          <w:p w:rsidR="003423CD" w:rsidRDefault="003423CD" w:rsidP="0021417F">
            <w:pPr>
              <w:pStyle w:val="NoSpacing"/>
            </w:pPr>
            <w:r>
              <w:t>TRUSTDELTA</w:t>
            </w:r>
          </w:p>
        </w:tc>
        <w:tc>
          <w:tcPr>
            <w:tcW w:w="1267" w:type="dxa"/>
          </w:tcPr>
          <w:p w:rsidR="003423CD" w:rsidRDefault="003423CD" w:rsidP="0021417F">
            <w:pPr>
              <w:pStyle w:val="NoSpacing"/>
            </w:pPr>
            <w:r>
              <w:t>-0.051</w:t>
            </w:r>
          </w:p>
        </w:tc>
        <w:tc>
          <w:tcPr>
            <w:tcW w:w="1271" w:type="dxa"/>
          </w:tcPr>
          <w:p w:rsidR="003423CD" w:rsidRDefault="003423CD" w:rsidP="0021417F">
            <w:pPr>
              <w:pStyle w:val="NoSpacing"/>
            </w:pPr>
            <w:r>
              <w:t>-0.067</w:t>
            </w:r>
          </w:p>
        </w:tc>
        <w:tc>
          <w:tcPr>
            <w:tcW w:w="1267" w:type="dxa"/>
          </w:tcPr>
          <w:p w:rsidR="003423CD" w:rsidRDefault="003423CD" w:rsidP="0021417F">
            <w:pPr>
              <w:pStyle w:val="NoSpacing"/>
            </w:pPr>
            <w:r>
              <w:t>-0.149</w:t>
            </w:r>
          </w:p>
        </w:tc>
        <w:tc>
          <w:tcPr>
            <w:tcW w:w="1271" w:type="dxa"/>
          </w:tcPr>
          <w:p w:rsidR="003423CD" w:rsidRDefault="003423CD" w:rsidP="0021417F">
            <w:pPr>
              <w:pStyle w:val="NoSpacing"/>
            </w:pPr>
            <w:r>
              <w:t>-0.117</w:t>
            </w:r>
          </w:p>
        </w:tc>
        <w:tc>
          <w:tcPr>
            <w:tcW w:w="1267" w:type="dxa"/>
          </w:tcPr>
          <w:p w:rsidR="003423CD" w:rsidRDefault="003423CD" w:rsidP="0021417F">
            <w:pPr>
              <w:pStyle w:val="NoSpacing"/>
            </w:pPr>
            <w:r>
              <w:t>-0.120</w:t>
            </w:r>
          </w:p>
        </w:tc>
        <w:tc>
          <w:tcPr>
            <w:tcW w:w="1271" w:type="dxa"/>
          </w:tcPr>
          <w:p w:rsidR="003423CD" w:rsidRDefault="003423CD" w:rsidP="0021417F">
            <w:pPr>
              <w:pStyle w:val="NoSpacing"/>
            </w:pPr>
            <w:r>
              <w:t>-0.119</w:t>
            </w:r>
          </w:p>
        </w:tc>
      </w:tr>
    </w:tbl>
    <w:p w:rsidR="003423CD" w:rsidRPr="00F02182" w:rsidRDefault="003423CD" w:rsidP="003423CD">
      <w:pPr>
        <w:pStyle w:val="NoSpacing"/>
        <w:rPr>
          <w:sz w:val="18"/>
          <w:szCs w:val="18"/>
        </w:rPr>
      </w:pPr>
      <w:r>
        <w:rPr>
          <w:sz w:val="18"/>
          <w:szCs w:val="18"/>
        </w:rPr>
        <w:t>*A 5% significance level was used</w:t>
      </w:r>
    </w:p>
    <w:p w:rsidR="003423CD" w:rsidRPr="000F70A2" w:rsidRDefault="003423CD" w:rsidP="000F70A2">
      <w:pPr>
        <w:pStyle w:val="NoSpacing"/>
        <w:rPr>
          <w:sz w:val="10"/>
          <w:szCs w:val="10"/>
        </w:rPr>
      </w:pPr>
    </w:p>
    <w:p w:rsidR="003423CD" w:rsidRDefault="00E06E03" w:rsidP="00286071">
      <w:pPr>
        <w:pStyle w:val="NoSpacing"/>
        <w:spacing w:line="360" w:lineRule="auto"/>
        <w:jc w:val="both"/>
      </w:pPr>
      <w:r>
        <w:t xml:space="preserve">In figures 4.2 to 4.5, a graphical depiction of </w:t>
      </w:r>
      <w:r w:rsidR="00342857">
        <w:t>the T-test results is provided. With a</w:t>
      </w:r>
      <w:r w:rsidR="003423CD">
        <w:t xml:space="preserve"> </w:t>
      </w:r>
      <w:r w:rsidR="00342857">
        <w:t xml:space="preserve">seemingly </w:t>
      </w:r>
      <w:r w:rsidR="003423CD">
        <w:t xml:space="preserve">random distribution of trust over the different levels of knowledge. The distribution’s unsystematic character depict the independence of the </w:t>
      </w:r>
      <w:r w:rsidR="00342857">
        <w:t xml:space="preserve">two </w:t>
      </w:r>
      <w:r w:rsidR="003423CD">
        <w:t>variables.</w:t>
      </w:r>
    </w:p>
    <w:p w:rsidR="003423CD" w:rsidRDefault="003423CD" w:rsidP="00286071">
      <w:pPr>
        <w:pStyle w:val="NoSpacing"/>
        <w:spacing w:line="360" w:lineRule="auto"/>
        <w:jc w:val="both"/>
      </w:pPr>
      <w:r>
        <w:t xml:space="preserve">A perfect horizontal trend line for trust on all levels of knowledge would </w:t>
      </w:r>
      <w:r w:rsidR="00342857">
        <w:t>imply</w:t>
      </w:r>
      <w:r>
        <w:t xml:space="preserve"> </w:t>
      </w:r>
      <w:r w:rsidR="00342857">
        <w:t xml:space="preserve">absolute </w:t>
      </w:r>
      <w:r>
        <w:t>randomness, as no matter how knowledgeable the subjects, trust is equal and thus unaffected. A peak at the start or end of the knowledge range would indicate that there is a relation between the two variables i.e. the more knowledgeable a subject, the more trust they have or vice versa.</w:t>
      </w:r>
    </w:p>
    <w:p w:rsidR="003423CD" w:rsidRPr="000F70A2" w:rsidRDefault="003423CD" w:rsidP="00300D77">
      <w:pPr>
        <w:pStyle w:val="NoSpacing"/>
        <w:spacing w:line="360" w:lineRule="auto"/>
        <w:jc w:val="both"/>
      </w:pPr>
      <w:r>
        <w:t xml:space="preserve">The three figures show that it doesn’t appear to matter what level of knowledge an individual has for their risk attitude. The change in trust in figure 4.4, look </w:t>
      </w:r>
      <w:r w:rsidR="00342857">
        <w:t>rather</w:t>
      </w:r>
      <w:r>
        <w:t xml:space="preserve"> odd compared to the other two. This is due this variable</w:t>
      </w:r>
      <w:r w:rsidR="00342857">
        <w:t>’</w:t>
      </w:r>
      <w:r>
        <w:t>s data</w:t>
      </w:r>
      <w:r w:rsidR="00342857">
        <w:t>, which shows trust change over time. Therefore it</w:t>
      </w:r>
      <w:r>
        <w:t xml:space="preserve"> contains many zeroes and minus values, contrasting to the other trust variables that don’t.</w:t>
      </w:r>
      <w:r w:rsidR="00342857">
        <w:t xml:space="preserve"> </w:t>
      </w:r>
      <w:r w:rsidR="00CB360F">
        <w:t xml:space="preserve">As a result the means and medians from the T-test are also positive and negative. </w:t>
      </w:r>
      <w:r w:rsidR="00F9351D">
        <w:t>It n</w:t>
      </w:r>
      <w:r w:rsidR="0056268D">
        <w:t>either shows a correlation between a subjects financial knowledge and change in trust.</w:t>
      </w:r>
      <w:r w:rsidR="00CC4A53">
        <w:t xml:space="preserve"> Further examples are in the Appendix.</w:t>
      </w:r>
    </w:p>
    <w:p w:rsidR="003423CD" w:rsidRDefault="003423CD" w:rsidP="003423CD">
      <w:pPr>
        <w:pStyle w:val="NoSpacing"/>
        <w:spacing w:line="360" w:lineRule="auto"/>
        <w:jc w:val="center"/>
      </w:pPr>
      <w:r>
        <w:rPr>
          <w:noProof/>
          <w:lang w:val="nl-NL" w:eastAsia="nl-NL"/>
        </w:rPr>
        <w:drawing>
          <wp:inline distT="0" distB="0" distL="0" distR="0">
            <wp:extent cx="4488872" cy="2624446"/>
            <wp:effectExtent l="0" t="0" r="26035" b="2413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423CD" w:rsidRPr="008152AE" w:rsidRDefault="003423CD" w:rsidP="003423CD">
      <w:pPr>
        <w:pStyle w:val="NoSpacing"/>
        <w:spacing w:line="360" w:lineRule="auto"/>
        <w:jc w:val="center"/>
        <w:rPr>
          <w:sz w:val="20"/>
          <w:szCs w:val="20"/>
        </w:rPr>
      </w:pPr>
      <w:r w:rsidRPr="008152AE">
        <w:rPr>
          <w:sz w:val="20"/>
          <w:szCs w:val="20"/>
        </w:rPr>
        <w:t>Figure 4.2 TRUSTNOW divided over FINKNOW</w:t>
      </w:r>
    </w:p>
    <w:p w:rsidR="003423CD" w:rsidRDefault="003423CD" w:rsidP="003423CD">
      <w:pPr>
        <w:pStyle w:val="NoSpacing"/>
        <w:spacing w:line="360" w:lineRule="auto"/>
        <w:jc w:val="center"/>
      </w:pPr>
      <w:r>
        <w:rPr>
          <w:noProof/>
          <w:lang w:val="nl-NL" w:eastAsia="nl-NL"/>
        </w:rPr>
        <w:drawing>
          <wp:inline distT="0" distB="0" distL="0" distR="0">
            <wp:extent cx="4441371" cy="2600696"/>
            <wp:effectExtent l="0" t="0" r="16510" b="9525"/>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23CD" w:rsidRPr="00F32D0B" w:rsidRDefault="003423CD" w:rsidP="00F32D0B">
      <w:pPr>
        <w:pStyle w:val="NoSpacing"/>
        <w:spacing w:line="360" w:lineRule="auto"/>
        <w:jc w:val="center"/>
        <w:rPr>
          <w:sz w:val="20"/>
          <w:szCs w:val="20"/>
        </w:rPr>
      </w:pPr>
      <w:r w:rsidRPr="008152AE">
        <w:rPr>
          <w:sz w:val="20"/>
          <w:szCs w:val="20"/>
        </w:rPr>
        <w:t>Figure 4.4 TRUSTBEFORE divided over PFKNOW</w:t>
      </w:r>
      <w:r w:rsidR="00F32D0B" w:rsidRPr="00F32D0B">
        <w:rPr>
          <w:noProof/>
          <w:sz w:val="20"/>
          <w:szCs w:val="20"/>
          <w:lang w:val="nl-NL" w:eastAsia="nl-NL"/>
        </w:rPr>
        <w:drawing>
          <wp:inline distT="0" distB="0" distL="0" distR="0">
            <wp:extent cx="4390125" cy="2551179"/>
            <wp:effectExtent l="19050" t="0" r="10425" b="1521"/>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423CD" w:rsidRPr="003423CD" w:rsidRDefault="003423CD" w:rsidP="003423CD">
      <w:pPr>
        <w:pStyle w:val="NoSpacing"/>
        <w:spacing w:line="360" w:lineRule="auto"/>
        <w:jc w:val="center"/>
        <w:rPr>
          <w:sz w:val="20"/>
          <w:szCs w:val="20"/>
        </w:rPr>
      </w:pPr>
      <w:r w:rsidRPr="008152AE">
        <w:rPr>
          <w:sz w:val="20"/>
          <w:szCs w:val="20"/>
        </w:rPr>
        <w:t>Figure 4.5 TRUSTDELTA divided over PFKNOW</w:t>
      </w:r>
    </w:p>
    <w:p w:rsidR="003423CD" w:rsidRPr="008152AE" w:rsidRDefault="003423CD" w:rsidP="00DA3364">
      <w:pPr>
        <w:pStyle w:val="VIn33"/>
      </w:pPr>
      <w:bookmarkStart w:id="61" w:name="_Toc340568941"/>
      <w:r w:rsidRPr="008152AE">
        <w:t>4.5.3 Hypothesis 3</w:t>
      </w:r>
      <w:bookmarkEnd w:id="61"/>
    </w:p>
    <w:tbl>
      <w:tblPr>
        <w:tblStyle w:val="TableGrid1"/>
        <w:tblW w:w="9483" w:type="dxa"/>
        <w:tblLook w:val="04A0"/>
      </w:tblPr>
      <w:tblGrid>
        <w:gridCol w:w="771"/>
        <w:gridCol w:w="8712"/>
      </w:tblGrid>
      <w:tr w:rsidR="003423CD" w:rsidRPr="00FA68F9" w:rsidTr="000A6CC4">
        <w:trPr>
          <w:trHeight w:val="620"/>
        </w:trPr>
        <w:tc>
          <w:tcPr>
            <w:tcW w:w="771" w:type="dxa"/>
          </w:tcPr>
          <w:p w:rsidR="003423CD" w:rsidRPr="00FA68F9" w:rsidRDefault="003423CD" w:rsidP="00286071">
            <w:pPr>
              <w:spacing w:line="360" w:lineRule="auto"/>
              <w:jc w:val="both"/>
              <w:rPr>
                <w:b/>
              </w:rPr>
            </w:pPr>
            <w:r w:rsidRPr="00FA68F9">
              <w:t>H0:</w:t>
            </w:r>
          </w:p>
        </w:tc>
        <w:tc>
          <w:tcPr>
            <w:tcW w:w="8712" w:type="dxa"/>
          </w:tcPr>
          <w:p w:rsidR="003423CD" w:rsidRPr="00FA68F9" w:rsidRDefault="003423CD" w:rsidP="00286071">
            <w:pPr>
              <w:spacing w:line="360" w:lineRule="auto"/>
              <w:jc w:val="both"/>
            </w:pPr>
            <w:r w:rsidRPr="00FA68F9">
              <w:t xml:space="preserve">Different population cohorts do not differ in both their risk appetite and the amount of trust they bestow upon the pension fund </w:t>
            </w:r>
          </w:p>
        </w:tc>
      </w:tr>
      <w:tr w:rsidR="003423CD" w:rsidRPr="00FA68F9" w:rsidTr="000A6CC4">
        <w:trPr>
          <w:trHeight w:val="539"/>
        </w:trPr>
        <w:tc>
          <w:tcPr>
            <w:tcW w:w="771" w:type="dxa"/>
          </w:tcPr>
          <w:p w:rsidR="003423CD" w:rsidRPr="00FA68F9" w:rsidRDefault="003423CD" w:rsidP="00286071">
            <w:pPr>
              <w:spacing w:line="360" w:lineRule="auto"/>
              <w:jc w:val="both"/>
              <w:rPr>
                <w:b/>
              </w:rPr>
            </w:pPr>
            <w:r w:rsidRPr="00FA68F9">
              <w:t>Ha:</w:t>
            </w:r>
          </w:p>
        </w:tc>
        <w:tc>
          <w:tcPr>
            <w:tcW w:w="8712" w:type="dxa"/>
          </w:tcPr>
          <w:p w:rsidR="003423CD" w:rsidRPr="00FA68F9" w:rsidRDefault="003423CD" w:rsidP="00286071">
            <w:pPr>
              <w:spacing w:line="360" w:lineRule="auto"/>
              <w:jc w:val="both"/>
              <w:rPr>
                <w:b/>
              </w:rPr>
            </w:pPr>
            <w:r w:rsidRPr="00FA68F9">
              <w:t>Different population cohorts differ in both their risk appetite and the amount of trust they bestow upon the pension fund.</w:t>
            </w:r>
          </w:p>
        </w:tc>
      </w:tr>
      <w:tr w:rsidR="003423CD" w:rsidRPr="00FA68F9" w:rsidTr="000A6CC4">
        <w:trPr>
          <w:trHeight w:val="539"/>
        </w:trPr>
        <w:tc>
          <w:tcPr>
            <w:tcW w:w="771" w:type="dxa"/>
          </w:tcPr>
          <w:p w:rsidR="003423CD" w:rsidRPr="00FA68F9" w:rsidRDefault="003423CD" w:rsidP="00286071">
            <w:pPr>
              <w:spacing w:line="360" w:lineRule="auto"/>
              <w:jc w:val="both"/>
            </w:pPr>
            <w:r w:rsidRPr="00FA68F9">
              <w:t>Result</w:t>
            </w:r>
          </w:p>
        </w:tc>
        <w:tc>
          <w:tcPr>
            <w:tcW w:w="8712" w:type="dxa"/>
          </w:tcPr>
          <w:p w:rsidR="003423CD" w:rsidRPr="00FA68F9" w:rsidRDefault="003423CD" w:rsidP="00286071">
            <w:pPr>
              <w:spacing w:line="360" w:lineRule="auto"/>
              <w:jc w:val="both"/>
            </w:pPr>
            <w:r w:rsidRPr="00FA68F9">
              <w:t xml:space="preserve">H0 </w:t>
            </w:r>
            <w:r>
              <w:t xml:space="preserve">cannot be </w:t>
            </w:r>
            <w:r w:rsidRPr="00FA68F9">
              <w:t>rejected</w:t>
            </w:r>
          </w:p>
        </w:tc>
      </w:tr>
    </w:tbl>
    <w:p w:rsidR="003423CD" w:rsidRPr="00FA68F9" w:rsidRDefault="003423CD" w:rsidP="00286071">
      <w:pPr>
        <w:pStyle w:val="NoSpacing"/>
        <w:spacing w:line="360" w:lineRule="auto"/>
        <w:jc w:val="both"/>
      </w:pPr>
    </w:p>
    <w:p w:rsidR="003423CD" w:rsidRDefault="003423CD" w:rsidP="00286071">
      <w:pPr>
        <w:pStyle w:val="NoSpacing"/>
        <w:spacing w:line="360" w:lineRule="auto"/>
        <w:jc w:val="both"/>
      </w:pPr>
      <w:r w:rsidRPr="00FA68F9">
        <w:t>The regression</w:t>
      </w:r>
      <w:r>
        <w:t xml:space="preserve"> testing produce only a very small number</w:t>
      </w:r>
      <w:r w:rsidRPr="00FA68F9">
        <w:t xml:space="preserve"> of significant results</w:t>
      </w:r>
      <w:r>
        <w:t>. The number is too small to reject the full Null-hypothesis and because the results are only significant for trust variables and none for risk aversion, a partial rejection of the Null-hypothesis is also not feasible</w:t>
      </w:r>
      <w:r w:rsidRPr="00FA68F9">
        <w:t>.</w:t>
      </w:r>
      <w:r>
        <w:t xml:space="preserve"> </w:t>
      </w:r>
    </w:p>
    <w:p w:rsidR="003423CD" w:rsidRPr="00FA68F9" w:rsidRDefault="003423CD" w:rsidP="00286071">
      <w:pPr>
        <w:pStyle w:val="NoSpacing"/>
        <w:spacing w:line="360" w:lineRule="auto"/>
        <w:jc w:val="both"/>
      </w:pPr>
      <w:r>
        <w:t>For all but two independent</w:t>
      </w:r>
      <w:r w:rsidRPr="00FA68F9">
        <w:t xml:space="preserve"> variable</w:t>
      </w:r>
      <w:r>
        <w:t>s</w:t>
      </w:r>
      <w:r w:rsidRPr="00FA68F9">
        <w:t>, no significant</w:t>
      </w:r>
      <w:r>
        <w:t xml:space="preserve"> correlation are found. As such there is no evidence </w:t>
      </w:r>
      <w:r w:rsidR="00B24080">
        <w:t>to</w:t>
      </w:r>
      <w:r>
        <w:t xml:space="preserve"> suggest</w:t>
      </w:r>
      <w:r w:rsidR="00B24080">
        <w:t xml:space="preserve"> that</w:t>
      </w:r>
      <w:r>
        <w:t xml:space="preserve"> a</w:t>
      </w:r>
      <w:r w:rsidRPr="00FA68F9">
        <w:t xml:space="preserve"> distinction can be made between different population cohorts for both risk aversion and trust. The occurrence of patterns for a population cohort in both trust and risk aversion is required to justify the rejection of the Null hypothesis.</w:t>
      </w:r>
      <w:r>
        <w:t xml:space="preserve"> </w:t>
      </w:r>
    </w:p>
    <w:p w:rsidR="003423CD" w:rsidRDefault="003423CD" w:rsidP="00286071">
      <w:pPr>
        <w:pStyle w:val="NoSpacing"/>
        <w:spacing w:line="360" w:lineRule="auto"/>
        <w:jc w:val="both"/>
      </w:pPr>
      <w:r>
        <w:t xml:space="preserve">The parametric results in table 4.2A show </w:t>
      </w:r>
      <w:r w:rsidR="00B24080">
        <w:t xml:space="preserve">that </w:t>
      </w:r>
      <w:r>
        <w:t>o</w:t>
      </w:r>
      <w:r w:rsidRPr="00FA68F9">
        <w:t xml:space="preserve">nly </w:t>
      </w:r>
      <w:r>
        <w:t>for the</w:t>
      </w:r>
      <w:r w:rsidR="00B24080">
        <w:t xml:space="preserve"> variables</w:t>
      </w:r>
      <w:r>
        <w:t xml:space="preserve"> GENDER and INVESTEXP regressions </w:t>
      </w:r>
      <w:r w:rsidRPr="00FA68F9">
        <w:t xml:space="preserve">resulted in a significant relation for </w:t>
      </w:r>
      <w:r>
        <w:t>one or two</w:t>
      </w:r>
      <w:r w:rsidRPr="00FA68F9">
        <w:t xml:space="preserve"> measure</w:t>
      </w:r>
      <w:r>
        <w:t xml:space="preserve">s of trust. The other trust variables yielded no significant relations for any of the </w:t>
      </w:r>
      <w:r w:rsidR="000D338D">
        <w:t xml:space="preserve">independent </w:t>
      </w:r>
      <w:r>
        <w:t>variables.</w:t>
      </w:r>
    </w:p>
    <w:p w:rsidR="003423CD" w:rsidRPr="00FA68F9" w:rsidRDefault="003423CD" w:rsidP="003423CD">
      <w:pPr>
        <w:pStyle w:val="NoSpacing"/>
        <w:spacing w:line="360" w:lineRule="auto"/>
      </w:pPr>
    </w:p>
    <w:p w:rsidR="003423CD" w:rsidRPr="008152AE" w:rsidRDefault="003423CD" w:rsidP="003423CD">
      <w:pPr>
        <w:pStyle w:val="NoSpacing"/>
        <w:rPr>
          <w:sz w:val="20"/>
          <w:szCs w:val="20"/>
        </w:rPr>
      </w:pPr>
      <w:r w:rsidRPr="008152AE">
        <w:rPr>
          <w:sz w:val="20"/>
          <w:szCs w:val="20"/>
        </w:rPr>
        <w:t>Table 4.2A Hypothesis 3 Parametric regression results</w:t>
      </w:r>
    </w:p>
    <w:p w:rsidR="003423CD" w:rsidRDefault="003423CD" w:rsidP="003423CD">
      <w:pPr>
        <w:pStyle w:val="NoSpacing"/>
      </w:pPr>
    </w:p>
    <w:tbl>
      <w:tblPr>
        <w:tblStyle w:val="TableGrid"/>
        <w:tblpPr w:leftFromText="180" w:rightFromText="180" w:vertAnchor="text" w:horzAnchor="margin" w:tblpY="119"/>
        <w:tblW w:w="0" w:type="auto"/>
        <w:tblLook w:val="04A0"/>
      </w:tblPr>
      <w:tblGrid>
        <w:gridCol w:w="2625"/>
        <w:gridCol w:w="2625"/>
        <w:gridCol w:w="2627"/>
      </w:tblGrid>
      <w:tr w:rsidR="003423CD" w:rsidTr="0021417F">
        <w:trPr>
          <w:trHeight w:val="478"/>
        </w:trPr>
        <w:tc>
          <w:tcPr>
            <w:tcW w:w="2625" w:type="dxa"/>
            <w:tcBorders>
              <w:top w:val="nil"/>
              <w:left w:val="nil"/>
            </w:tcBorders>
          </w:tcPr>
          <w:p w:rsidR="003423CD" w:rsidRDefault="003423CD" w:rsidP="0021417F">
            <w:pPr>
              <w:pStyle w:val="NoSpacing"/>
            </w:pPr>
          </w:p>
        </w:tc>
        <w:tc>
          <w:tcPr>
            <w:tcW w:w="2625" w:type="dxa"/>
          </w:tcPr>
          <w:p w:rsidR="003423CD" w:rsidRDefault="003423CD" w:rsidP="0021417F">
            <w:pPr>
              <w:pStyle w:val="NoSpacing"/>
              <w:jc w:val="center"/>
            </w:pPr>
            <w:r>
              <w:t>TRUSTNOW</w:t>
            </w:r>
          </w:p>
        </w:tc>
        <w:tc>
          <w:tcPr>
            <w:tcW w:w="2627" w:type="dxa"/>
          </w:tcPr>
          <w:p w:rsidR="003423CD" w:rsidRDefault="003423CD" w:rsidP="0021417F">
            <w:pPr>
              <w:pStyle w:val="NoSpacing"/>
              <w:jc w:val="center"/>
            </w:pPr>
            <w:r>
              <w:t>TRUSTDELTA</w:t>
            </w:r>
          </w:p>
        </w:tc>
      </w:tr>
      <w:tr w:rsidR="003423CD" w:rsidTr="0021417F">
        <w:trPr>
          <w:trHeight w:val="478"/>
        </w:trPr>
        <w:tc>
          <w:tcPr>
            <w:tcW w:w="2625" w:type="dxa"/>
          </w:tcPr>
          <w:p w:rsidR="003423CD" w:rsidRPr="000C09CD" w:rsidRDefault="003423CD" w:rsidP="0021417F">
            <w:pPr>
              <w:pStyle w:val="NoSpacing"/>
            </w:pPr>
            <w:r w:rsidRPr="000C09CD">
              <w:t>AGE</w:t>
            </w:r>
          </w:p>
        </w:tc>
        <w:tc>
          <w:tcPr>
            <w:tcW w:w="2625" w:type="dxa"/>
          </w:tcPr>
          <w:p w:rsidR="003423CD" w:rsidRPr="000C09CD" w:rsidRDefault="003423CD" w:rsidP="0021417F">
            <w:pPr>
              <w:pStyle w:val="NoSpacing"/>
              <w:jc w:val="center"/>
            </w:pPr>
            <w:r w:rsidRPr="000C09CD">
              <w:t>-0.033</w:t>
            </w:r>
          </w:p>
        </w:tc>
        <w:tc>
          <w:tcPr>
            <w:tcW w:w="2627" w:type="dxa"/>
          </w:tcPr>
          <w:p w:rsidR="003423CD" w:rsidRPr="000C09CD" w:rsidRDefault="003423CD" w:rsidP="0021417F">
            <w:pPr>
              <w:pStyle w:val="NoSpacing"/>
              <w:jc w:val="center"/>
            </w:pPr>
            <w:r w:rsidRPr="000C09CD">
              <w:t xml:space="preserve"> 0.086</w:t>
            </w:r>
          </w:p>
        </w:tc>
      </w:tr>
      <w:tr w:rsidR="003423CD" w:rsidTr="0021417F">
        <w:trPr>
          <w:trHeight w:val="478"/>
        </w:trPr>
        <w:tc>
          <w:tcPr>
            <w:tcW w:w="2625" w:type="dxa"/>
          </w:tcPr>
          <w:p w:rsidR="003423CD" w:rsidRPr="000C09CD" w:rsidRDefault="003423CD" w:rsidP="0021417F">
            <w:pPr>
              <w:pStyle w:val="NoSpacing"/>
            </w:pPr>
            <w:r w:rsidRPr="000C09CD">
              <w:t>GENDER</w:t>
            </w:r>
          </w:p>
        </w:tc>
        <w:tc>
          <w:tcPr>
            <w:tcW w:w="2625" w:type="dxa"/>
          </w:tcPr>
          <w:p w:rsidR="003423CD" w:rsidRPr="000C09CD" w:rsidRDefault="003423CD" w:rsidP="0021417F">
            <w:pPr>
              <w:pStyle w:val="NoSpacing"/>
              <w:jc w:val="center"/>
            </w:pPr>
            <w:r w:rsidRPr="000C09CD">
              <w:t xml:space="preserve">  -0.235*</w:t>
            </w:r>
          </w:p>
        </w:tc>
        <w:tc>
          <w:tcPr>
            <w:tcW w:w="2627" w:type="dxa"/>
          </w:tcPr>
          <w:p w:rsidR="003423CD" w:rsidRPr="000C09CD" w:rsidRDefault="003423CD" w:rsidP="0021417F">
            <w:pPr>
              <w:pStyle w:val="NoSpacing"/>
              <w:jc w:val="center"/>
            </w:pPr>
            <w:r w:rsidRPr="000C09CD">
              <w:t xml:space="preserve">   0.211*</w:t>
            </w:r>
          </w:p>
        </w:tc>
      </w:tr>
      <w:tr w:rsidR="003423CD" w:rsidTr="0021417F">
        <w:trPr>
          <w:trHeight w:val="478"/>
        </w:trPr>
        <w:tc>
          <w:tcPr>
            <w:tcW w:w="2625" w:type="dxa"/>
          </w:tcPr>
          <w:p w:rsidR="003423CD" w:rsidRPr="000C09CD" w:rsidRDefault="003423CD" w:rsidP="0021417F">
            <w:pPr>
              <w:pStyle w:val="NoSpacing"/>
            </w:pPr>
            <w:r w:rsidRPr="000C09CD">
              <w:t>INCOME</w:t>
            </w:r>
          </w:p>
        </w:tc>
        <w:tc>
          <w:tcPr>
            <w:tcW w:w="2625" w:type="dxa"/>
          </w:tcPr>
          <w:p w:rsidR="003423CD" w:rsidRPr="000C09CD" w:rsidRDefault="003423CD" w:rsidP="0021417F">
            <w:pPr>
              <w:pStyle w:val="NoSpacing"/>
              <w:jc w:val="center"/>
            </w:pPr>
            <w:r w:rsidRPr="000C09CD">
              <w:t xml:space="preserve"> 0.120</w:t>
            </w:r>
          </w:p>
        </w:tc>
        <w:tc>
          <w:tcPr>
            <w:tcW w:w="2627" w:type="dxa"/>
          </w:tcPr>
          <w:p w:rsidR="003423CD" w:rsidRPr="000C09CD" w:rsidRDefault="003423CD" w:rsidP="0021417F">
            <w:pPr>
              <w:pStyle w:val="NoSpacing"/>
              <w:jc w:val="center"/>
            </w:pPr>
            <w:r w:rsidRPr="000C09CD">
              <w:t>-0.049</w:t>
            </w:r>
          </w:p>
        </w:tc>
      </w:tr>
      <w:tr w:rsidR="003423CD" w:rsidTr="0021417F">
        <w:trPr>
          <w:trHeight w:val="478"/>
        </w:trPr>
        <w:tc>
          <w:tcPr>
            <w:tcW w:w="2625" w:type="dxa"/>
          </w:tcPr>
          <w:p w:rsidR="003423CD" w:rsidRPr="000C09CD" w:rsidRDefault="003423CD" w:rsidP="0021417F">
            <w:pPr>
              <w:pStyle w:val="NoSpacing"/>
            </w:pPr>
            <w:r w:rsidRPr="000C09CD">
              <w:t>FINKNOW</w:t>
            </w:r>
          </w:p>
        </w:tc>
        <w:tc>
          <w:tcPr>
            <w:tcW w:w="2625" w:type="dxa"/>
          </w:tcPr>
          <w:p w:rsidR="003423CD" w:rsidRPr="000C09CD" w:rsidRDefault="003423CD" w:rsidP="0021417F">
            <w:pPr>
              <w:pStyle w:val="NoSpacing"/>
              <w:jc w:val="center"/>
            </w:pPr>
            <w:r w:rsidRPr="000C09CD">
              <w:t xml:space="preserve"> -0.003</w:t>
            </w:r>
          </w:p>
        </w:tc>
        <w:tc>
          <w:tcPr>
            <w:tcW w:w="2627" w:type="dxa"/>
          </w:tcPr>
          <w:p w:rsidR="003423CD" w:rsidRPr="000C09CD" w:rsidRDefault="003423CD" w:rsidP="0021417F">
            <w:pPr>
              <w:pStyle w:val="NoSpacing"/>
              <w:jc w:val="center"/>
            </w:pPr>
            <w:r w:rsidRPr="000C09CD">
              <w:t>-0.051</w:t>
            </w:r>
          </w:p>
        </w:tc>
      </w:tr>
      <w:tr w:rsidR="003423CD" w:rsidTr="0021417F">
        <w:trPr>
          <w:trHeight w:val="478"/>
        </w:trPr>
        <w:tc>
          <w:tcPr>
            <w:tcW w:w="2625" w:type="dxa"/>
          </w:tcPr>
          <w:p w:rsidR="003423CD" w:rsidRPr="000C09CD" w:rsidRDefault="003423CD" w:rsidP="0021417F">
            <w:pPr>
              <w:pStyle w:val="NoSpacing"/>
            </w:pPr>
            <w:r w:rsidRPr="000C09CD">
              <w:t>PFKNOW</w:t>
            </w:r>
          </w:p>
        </w:tc>
        <w:tc>
          <w:tcPr>
            <w:tcW w:w="2625" w:type="dxa"/>
          </w:tcPr>
          <w:p w:rsidR="003423CD" w:rsidRPr="000C09CD" w:rsidRDefault="003423CD" w:rsidP="0021417F">
            <w:pPr>
              <w:pStyle w:val="NoSpacing"/>
              <w:jc w:val="center"/>
            </w:pPr>
            <w:r w:rsidRPr="000C09CD">
              <w:t xml:space="preserve"> 0.059</w:t>
            </w:r>
          </w:p>
        </w:tc>
        <w:tc>
          <w:tcPr>
            <w:tcW w:w="2627" w:type="dxa"/>
          </w:tcPr>
          <w:p w:rsidR="003423CD" w:rsidRPr="000C09CD" w:rsidRDefault="003423CD" w:rsidP="0021417F">
            <w:pPr>
              <w:pStyle w:val="NoSpacing"/>
              <w:jc w:val="center"/>
            </w:pPr>
            <w:r w:rsidRPr="000C09CD">
              <w:t>-0.149</w:t>
            </w:r>
          </w:p>
        </w:tc>
      </w:tr>
      <w:tr w:rsidR="003423CD" w:rsidTr="0021417F">
        <w:trPr>
          <w:trHeight w:val="478"/>
        </w:trPr>
        <w:tc>
          <w:tcPr>
            <w:tcW w:w="2625" w:type="dxa"/>
          </w:tcPr>
          <w:p w:rsidR="003423CD" w:rsidRPr="000C09CD" w:rsidRDefault="003423CD" w:rsidP="0021417F">
            <w:pPr>
              <w:pStyle w:val="NoSpacing"/>
            </w:pPr>
            <w:r w:rsidRPr="000C09CD">
              <w:t>RASWP</w:t>
            </w:r>
          </w:p>
        </w:tc>
        <w:tc>
          <w:tcPr>
            <w:tcW w:w="2625" w:type="dxa"/>
          </w:tcPr>
          <w:p w:rsidR="003423CD" w:rsidRPr="000C09CD" w:rsidRDefault="003423CD" w:rsidP="0021417F">
            <w:pPr>
              <w:pStyle w:val="NoSpacing"/>
              <w:jc w:val="center"/>
            </w:pPr>
            <w:r w:rsidRPr="000C09CD">
              <w:t xml:space="preserve"> 0.012</w:t>
            </w:r>
          </w:p>
        </w:tc>
        <w:tc>
          <w:tcPr>
            <w:tcW w:w="2627" w:type="dxa"/>
          </w:tcPr>
          <w:p w:rsidR="003423CD" w:rsidRPr="000C09CD" w:rsidRDefault="003423CD" w:rsidP="0021417F">
            <w:pPr>
              <w:pStyle w:val="NoSpacing"/>
              <w:jc w:val="center"/>
            </w:pPr>
            <w:r w:rsidRPr="000C09CD">
              <w:t>-0.098</w:t>
            </w:r>
          </w:p>
        </w:tc>
      </w:tr>
      <w:tr w:rsidR="003423CD" w:rsidTr="0021417F">
        <w:trPr>
          <w:trHeight w:val="478"/>
        </w:trPr>
        <w:tc>
          <w:tcPr>
            <w:tcW w:w="2625" w:type="dxa"/>
          </w:tcPr>
          <w:p w:rsidR="003423CD" w:rsidRPr="000C09CD" w:rsidRDefault="003423CD" w:rsidP="0021417F">
            <w:pPr>
              <w:pStyle w:val="NoSpacing"/>
            </w:pPr>
            <w:r w:rsidRPr="000C09CD">
              <w:t>INVESTEXP</w:t>
            </w:r>
          </w:p>
        </w:tc>
        <w:tc>
          <w:tcPr>
            <w:tcW w:w="2625" w:type="dxa"/>
          </w:tcPr>
          <w:p w:rsidR="003423CD" w:rsidRPr="000C09CD" w:rsidRDefault="003423CD" w:rsidP="0021417F">
            <w:pPr>
              <w:pStyle w:val="NoSpacing"/>
              <w:jc w:val="center"/>
            </w:pPr>
            <w:r w:rsidRPr="000C09CD">
              <w:t xml:space="preserve">   0.197*</w:t>
            </w:r>
          </w:p>
        </w:tc>
        <w:tc>
          <w:tcPr>
            <w:tcW w:w="2627" w:type="dxa"/>
          </w:tcPr>
          <w:p w:rsidR="003423CD" w:rsidRPr="000C09CD" w:rsidRDefault="003423CD" w:rsidP="0021417F">
            <w:pPr>
              <w:pStyle w:val="NoSpacing"/>
              <w:jc w:val="center"/>
            </w:pPr>
            <w:r w:rsidRPr="000C09CD">
              <w:t>-0.110</w:t>
            </w:r>
          </w:p>
        </w:tc>
      </w:tr>
      <w:tr w:rsidR="003423CD" w:rsidTr="0021417F">
        <w:trPr>
          <w:trHeight w:val="478"/>
        </w:trPr>
        <w:tc>
          <w:tcPr>
            <w:tcW w:w="2625" w:type="dxa"/>
          </w:tcPr>
          <w:p w:rsidR="003423CD" w:rsidRPr="000C09CD" w:rsidRDefault="003423CD" w:rsidP="0021417F">
            <w:pPr>
              <w:pStyle w:val="NoSpacing"/>
            </w:pPr>
            <w:r w:rsidRPr="000C09CD">
              <w:t>AGECAT</w:t>
            </w:r>
          </w:p>
        </w:tc>
        <w:tc>
          <w:tcPr>
            <w:tcW w:w="2625" w:type="dxa"/>
          </w:tcPr>
          <w:p w:rsidR="003423CD" w:rsidRPr="000C09CD" w:rsidRDefault="003423CD" w:rsidP="0021417F">
            <w:pPr>
              <w:pStyle w:val="NoSpacing"/>
              <w:jc w:val="center"/>
            </w:pPr>
            <w:r w:rsidRPr="000C09CD">
              <w:t>-0.026</w:t>
            </w:r>
          </w:p>
        </w:tc>
        <w:tc>
          <w:tcPr>
            <w:tcW w:w="2627" w:type="dxa"/>
          </w:tcPr>
          <w:p w:rsidR="003423CD" w:rsidRPr="000C09CD" w:rsidRDefault="003423CD" w:rsidP="0021417F">
            <w:pPr>
              <w:pStyle w:val="NoSpacing"/>
              <w:jc w:val="center"/>
            </w:pPr>
            <w:r w:rsidRPr="000C09CD">
              <w:t xml:space="preserve"> 0.092</w:t>
            </w:r>
          </w:p>
        </w:tc>
      </w:tr>
      <w:tr w:rsidR="003423CD" w:rsidTr="0021417F">
        <w:trPr>
          <w:trHeight w:val="478"/>
        </w:trPr>
        <w:tc>
          <w:tcPr>
            <w:tcW w:w="2625" w:type="dxa"/>
          </w:tcPr>
          <w:p w:rsidR="003423CD" w:rsidRPr="000C09CD" w:rsidRDefault="003423CD" w:rsidP="0021417F">
            <w:pPr>
              <w:pStyle w:val="NoSpacing"/>
            </w:pPr>
            <w:r w:rsidRPr="000C09CD">
              <w:t>ALLKNOW</w:t>
            </w:r>
          </w:p>
        </w:tc>
        <w:tc>
          <w:tcPr>
            <w:tcW w:w="2625" w:type="dxa"/>
          </w:tcPr>
          <w:p w:rsidR="003423CD" w:rsidRPr="000C09CD" w:rsidRDefault="003423CD" w:rsidP="0021417F">
            <w:pPr>
              <w:pStyle w:val="NoSpacing"/>
              <w:jc w:val="center"/>
            </w:pPr>
            <w:r w:rsidRPr="000C09CD">
              <w:t xml:space="preserve"> 0.036</w:t>
            </w:r>
          </w:p>
        </w:tc>
        <w:tc>
          <w:tcPr>
            <w:tcW w:w="2627" w:type="dxa"/>
          </w:tcPr>
          <w:p w:rsidR="003423CD" w:rsidRPr="000C09CD" w:rsidRDefault="003423CD" w:rsidP="0021417F">
            <w:pPr>
              <w:pStyle w:val="NoSpacing"/>
              <w:jc w:val="center"/>
            </w:pPr>
            <w:r w:rsidRPr="000C09CD">
              <w:t>-0.120</w:t>
            </w:r>
          </w:p>
        </w:tc>
      </w:tr>
    </w:tbl>
    <w:p w:rsidR="003423CD" w:rsidRDefault="003423CD" w:rsidP="003423CD">
      <w:pPr>
        <w:pStyle w:val="NoSpacing"/>
      </w:pPr>
    </w:p>
    <w:p w:rsidR="003423CD" w:rsidRDefault="003423CD" w:rsidP="003423CD">
      <w:pPr>
        <w:pStyle w:val="NoSpacing"/>
      </w:pPr>
    </w:p>
    <w:p w:rsidR="003423CD" w:rsidRDefault="003423CD" w:rsidP="003423CD">
      <w:pPr>
        <w:pStyle w:val="NoSpacing"/>
      </w:pPr>
    </w:p>
    <w:p w:rsidR="003423CD" w:rsidRDefault="003423CD" w:rsidP="003423CD">
      <w:pPr>
        <w:pStyle w:val="NoSpacing"/>
      </w:pPr>
    </w:p>
    <w:p w:rsidR="003423CD" w:rsidRDefault="003423CD" w:rsidP="003423CD">
      <w:pPr>
        <w:pStyle w:val="NoSpacing"/>
      </w:pPr>
    </w:p>
    <w:p w:rsidR="003423CD" w:rsidRDefault="003423CD" w:rsidP="003423CD">
      <w:pPr>
        <w:pStyle w:val="NoSpacing"/>
      </w:pPr>
    </w:p>
    <w:p w:rsidR="003423CD" w:rsidRDefault="003423CD" w:rsidP="003423CD">
      <w:pPr>
        <w:pStyle w:val="NoSpacing"/>
      </w:pPr>
    </w:p>
    <w:p w:rsidR="003423CD" w:rsidRDefault="003423CD" w:rsidP="003423CD">
      <w:pPr>
        <w:pStyle w:val="NoSpacing"/>
      </w:pPr>
    </w:p>
    <w:p w:rsidR="003423CD" w:rsidRDefault="003423CD" w:rsidP="003423CD">
      <w:pPr>
        <w:pStyle w:val="NoSpacing"/>
        <w:ind w:left="720"/>
        <w:rPr>
          <w:sz w:val="18"/>
          <w:szCs w:val="18"/>
        </w:rPr>
      </w:pPr>
    </w:p>
    <w:p w:rsidR="003423CD" w:rsidRPr="004A3E22" w:rsidRDefault="003423CD" w:rsidP="003423CD">
      <w:pPr>
        <w:pStyle w:val="NoSpacing"/>
        <w:ind w:left="720"/>
      </w:pPr>
    </w:p>
    <w:p w:rsidR="003423CD" w:rsidRPr="004A3E22" w:rsidRDefault="003423CD" w:rsidP="003423CD">
      <w:pPr>
        <w:pStyle w:val="NoSpacing"/>
        <w:ind w:left="720"/>
      </w:pPr>
    </w:p>
    <w:p w:rsidR="003423CD" w:rsidRDefault="003423CD" w:rsidP="003423CD">
      <w:pPr>
        <w:pStyle w:val="NoSpacing"/>
        <w:jc w:val="both"/>
        <w:rPr>
          <w:sz w:val="20"/>
          <w:szCs w:val="20"/>
        </w:rPr>
      </w:pPr>
    </w:p>
    <w:p w:rsidR="003423CD" w:rsidRDefault="003423CD" w:rsidP="003423CD">
      <w:pPr>
        <w:pStyle w:val="NoSpacing"/>
        <w:jc w:val="both"/>
        <w:rPr>
          <w:sz w:val="20"/>
          <w:szCs w:val="20"/>
        </w:rPr>
      </w:pPr>
    </w:p>
    <w:p w:rsidR="003423CD" w:rsidRDefault="003423CD" w:rsidP="003423CD">
      <w:pPr>
        <w:pStyle w:val="NoSpacing"/>
        <w:jc w:val="both"/>
        <w:rPr>
          <w:sz w:val="20"/>
          <w:szCs w:val="20"/>
        </w:rPr>
      </w:pPr>
    </w:p>
    <w:p w:rsidR="003423CD" w:rsidRDefault="003423CD" w:rsidP="003423CD">
      <w:pPr>
        <w:pStyle w:val="NoSpacing"/>
        <w:jc w:val="both"/>
        <w:rPr>
          <w:sz w:val="20"/>
          <w:szCs w:val="20"/>
        </w:rPr>
      </w:pPr>
    </w:p>
    <w:p w:rsidR="003423CD" w:rsidRDefault="003423CD" w:rsidP="003423CD">
      <w:pPr>
        <w:pStyle w:val="NoSpacing"/>
        <w:jc w:val="both"/>
        <w:rPr>
          <w:sz w:val="20"/>
          <w:szCs w:val="20"/>
        </w:rPr>
      </w:pPr>
    </w:p>
    <w:p w:rsidR="003423CD" w:rsidRDefault="003423CD" w:rsidP="003423CD">
      <w:pPr>
        <w:pStyle w:val="NoSpacing"/>
        <w:jc w:val="both"/>
        <w:rPr>
          <w:sz w:val="20"/>
          <w:szCs w:val="20"/>
        </w:rPr>
      </w:pPr>
    </w:p>
    <w:p w:rsidR="003423CD" w:rsidRDefault="003423CD" w:rsidP="003423CD">
      <w:pPr>
        <w:pStyle w:val="NoSpacing"/>
        <w:jc w:val="both"/>
        <w:rPr>
          <w:sz w:val="20"/>
          <w:szCs w:val="20"/>
        </w:rPr>
      </w:pPr>
    </w:p>
    <w:p w:rsidR="003423CD" w:rsidRDefault="003423CD" w:rsidP="003423CD">
      <w:pPr>
        <w:pStyle w:val="NoSpacing"/>
        <w:jc w:val="both"/>
        <w:rPr>
          <w:sz w:val="20"/>
          <w:szCs w:val="20"/>
        </w:rPr>
      </w:pPr>
    </w:p>
    <w:p w:rsidR="003423CD" w:rsidRDefault="003423CD" w:rsidP="003423CD">
      <w:pPr>
        <w:pStyle w:val="NoSpacing"/>
        <w:jc w:val="both"/>
        <w:rPr>
          <w:sz w:val="20"/>
          <w:szCs w:val="20"/>
        </w:rPr>
      </w:pPr>
    </w:p>
    <w:p w:rsidR="003423CD" w:rsidRPr="003423CD" w:rsidRDefault="003423CD" w:rsidP="003423CD">
      <w:pPr>
        <w:pStyle w:val="NoSpacing"/>
        <w:rPr>
          <w:sz w:val="20"/>
          <w:szCs w:val="20"/>
        </w:rPr>
      </w:pPr>
      <w:r w:rsidRPr="00795DE9">
        <w:rPr>
          <w:sz w:val="20"/>
          <w:szCs w:val="20"/>
        </w:rPr>
        <w:t xml:space="preserve">*= significant, at a 5% significance level </w:t>
      </w:r>
    </w:p>
    <w:p w:rsidR="003423CD" w:rsidRDefault="003423CD" w:rsidP="00286071">
      <w:pPr>
        <w:pStyle w:val="NoSpacing"/>
        <w:spacing w:line="360" w:lineRule="auto"/>
        <w:jc w:val="both"/>
      </w:pPr>
      <w:r w:rsidRPr="00FA68F9">
        <w:t xml:space="preserve">Hypothesis 3 dismantles the relation between the two main variables of trust and risk aversion, </w:t>
      </w:r>
      <w:r w:rsidR="00622A9B">
        <w:t xml:space="preserve">in an attempt </w:t>
      </w:r>
      <w:r w:rsidRPr="00FA68F9">
        <w:t>to unveil significant patterns and trend</w:t>
      </w:r>
      <w:r>
        <w:t>s</w:t>
      </w:r>
      <w:r w:rsidRPr="00FA68F9">
        <w:t xml:space="preserve"> in the population. Literature has predicted certain patterns</w:t>
      </w:r>
      <w:r>
        <w:t xml:space="preserve"> that were discussed in chapter 2</w:t>
      </w:r>
      <w:r w:rsidRPr="00FA68F9">
        <w:t>. These test</w:t>
      </w:r>
      <w:r>
        <w:t>s</w:t>
      </w:r>
      <w:r w:rsidRPr="00FA68F9">
        <w:t xml:space="preserve"> reveal if and how certain characteristics differ per individual</w:t>
      </w:r>
      <w:r>
        <w:t>. Table 4.2B</w:t>
      </w:r>
      <w:r w:rsidRPr="00FA68F9">
        <w:t xml:space="preserve">, </w:t>
      </w:r>
      <w:r>
        <w:t xml:space="preserve">shows the </w:t>
      </w:r>
      <w:r w:rsidRPr="00FA68F9">
        <w:t>results of</w:t>
      </w:r>
      <w:r w:rsidR="00622A9B">
        <w:t xml:space="preserve"> the</w:t>
      </w:r>
      <w:r w:rsidRPr="00FA68F9">
        <w:t xml:space="preserve"> </w:t>
      </w:r>
      <w:r>
        <w:t xml:space="preserve">non-parametric </w:t>
      </w:r>
      <w:r w:rsidRPr="00FA68F9">
        <w:t>tests</w:t>
      </w:r>
      <w:r>
        <w:t>. Which are required</w:t>
      </w:r>
      <w:r w:rsidR="00622A9B">
        <w:t>,</w:t>
      </w:r>
      <w:r>
        <w:t xml:space="preserve"> seen the difference in normality distributions between variables. These tests yielded no additional significant results to the relati</w:t>
      </w:r>
      <w:r w:rsidR="00622A9B">
        <w:t xml:space="preserve">ons found in parametric results and </w:t>
      </w:r>
      <w:r w:rsidR="00BF0CF9">
        <w:t xml:space="preserve">did </w:t>
      </w:r>
      <w:r w:rsidR="00622A9B">
        <w:t>pro</w:t>
      </w:r>
      <w:r w:rsidR="00BF0CF9">
        <w:t>of</w:t>
      </w:r>
      <w:r w:rsidR="00622A9B">
        <w:t xml:space="preserve"> the significant results from the parametric testing to be robust.</w:t>
      </w:r>
    </w:p>
    <w:p w:rsidR="003423CD" w:rsidRDefault="003423CD" w:rsidP="00286071">
      <w:pPr>
        <w:pStyle w:val="NoSpacing"/>
        <w:spacing w:line="360" w:lineRule="auto"/>
        <w:jc w:val="both"/>
      </w:pPr>
      <w:r>
        <w:t>The significant results show there is a correlation between a subject’s investment experience and their current trust level. What it means is that when investment experience is present, this is paired with a higher level of current trust. A more explicit judgment can’t be made than correlation, as for causation</w:t>
      </w:r>
      <w:r w:rsidR="00F6068C">
        <w:t xml:space="preserve"> </w:t>
      </w:r>
      <w:r>
        <w:t xml:space="preserve">the third variable problem and a significant idea of the direction of causality is needed (Fields, 2005). </w:t>
      </w:r>
      <w:r w:rsidR="00F6068C">
        <w:t xml:space="preserve">It is interesting to see that indeed knowledge and experience exhibit different results. </w:t>
      </w:r>
      <w:r>
        <w:t>Gender is the second significant relation, and offers the conclusion that when the subject is female current trust is lower. The significant positive effect of change in trust for gender, entails that female subject’s change in trust levels is larger.</w:t>
      </w:r>
    </w:p>
    <w:p w:rsidR="003423CD" w:rsidRPr="00D51696" w:rsidRDefault="003423CD" w:rsidP="00D51696">
      <w:pPr>
        <w:pStyle w:val="NoSpacing"/>
        <w:jc w:val="both"/>
        <w:rPr>
          <w:sz w:val="14"/>
          <w:szCs w:val="14"/>
        </w:rPr>
      </w:pPr>
    </w:p>
    <w:p w:rsidR="003423CD" w:rsidRPr="00FA68F9" w:rsidRDefault="003423CD" w:rsidP="00286071">
      <w:pPr>
        <w:pStyle w:val="NoSpacing"/>
        <w:spacing w:line="360" w:lineRule="auto"/>
        <w:jc w:val="both"/>
      </w:pPr>
      <w:r w:rsidRPr="00FA68F9">
        <w:t>As there can also be an unobserved</w:t>
      </w:r>
      <w:r w:rsidR="00D51696">
        <w:t xml:space="preserve"> latent</w:t>
      </w:r>
      <w:r w:rsidRPr="00FA68F9">
        <w:t xml:space="preserve"> relation</w:t>
      </w:r>
      <w:r>
        <w:t>s</w:t>
      </w:r>
      <w:r w:rsidRPr="00FA68F9">
        <w:t xml:space="preserve"> between two descriptive variables, </w:t>
      </w:r>
      <w:r>
        <w:t>where on</w:t>
      </w:r>
      <w:r w:rsidR="00D51696">
        <w:t>e</w:t>
      </w:r>
      <w:r>
        <w:t xml:space="preserve"> variable influences or enlarges the </w:t>
      </w:r>
      <w:r w:rsidR="00D51696">
        <w:t xml:space="preserve">other’s </w:t>
      </w:r>
      <w:r>
        <w:t>correlation to the dependent.</w:t>
      </w:r>
      <w:r w:rsidRPr="00FA68F9">
        <w:t xml:space="preserve"> I tested the rel</w:t>
      </w:r>
      <w:r w:rsidR="00D51696">
        <w:t>ations of multiple descriptive</w:t>
      </w:r>
      <w:r w:rsidRPr="00FA68F9">
        <w:t xml:space="preserve"> variables together</w:t>
      </w:r>
      <w:r>
        <w:t xml:space="preserve"> against one </w:t>
      </w:r>
      <w:r w:rsidR="00D51696">
        <w:t xml:space="preserve">or more </w:t>
      </w:r>
      <w:r>
        <w:t>dependent</w:t>
      </w:r>
      <w:r w:rsidR="00D51696">
        <w:t xml:space="preserve"> variable</w:t>
      </w:r>
      <w:r w:rsidRPr="00FA68F9">
        <w:t xml:space="preserve">. </w:t>
      </w:r>
      <w:r>
        <w:t>These tests yielded no significant results</w:t>
      </w:r>
      <w:r w:rsidR="00D51696">
        <w:t xml:space="preserve"> and no latent relations were found</w:t>
      </w:r>
      <w:r>
        <w:t>.</w:t>
      </w:r>
    </w:p>
    <w:p w:rsidR="003423CD" w:rsidRDefault="003423CD" w:rsidP="003423CD">
      <w:pPr>
        <w:pStyle w:val="NoSpacing"/>
        <w:spacing w:line="360" w:lineRule="auto"/>
      </w:pPr>
    </w:p>
    <w:p w:rsidR="003423CD" w:rsidRPr="00622A9B" w:rsidRDefault="003423CD" w:rsidP="003423CD">
      <w:pPr>
        <w:pStyle w:val="NoSpacing"/>
        <w:spacing w:line="360" w:lineRule="auto"/>
        <w:rPr>
          <w:sz w:val="20"/>
          <w:szCs w:val="20"/>
        </w:rPr>
      </w:pPr>
      <w:r w:rsidRPr="008152AE">
        <w:rPr>
          <w:sz w:val="20"/>
          <w:szCs w:val="20"/>
        </w:rPr>
        <w:t>Table 4.2B</w:t>
      </w:r>
      <w:r w:rsidR="00081BD2">
        <w:rPr>
          <w:sz w:val="20"/>
          <w:szCs w:val="20"/>
        </w:rPr>
        <w:t>.</w:t>
      </w:r>
      <w:r w:rsidRPr="008152AE">
        <w:rPr>
          <w:sz w:val="20"/>
          <w:szCs w:val="20"/>
        </w:rPr>
        <w:t xml:space="preserve"> Hypothesis 3 Non-parametric regression results</w:t>
      </w:r>
    </w:p>
    <w:tbl>
      <w:tblPr>
        <w:tblStyle w:val="TableGrid"/>
        <w:tblpPr w:leftFromText="180" w:rightFromText="180" w:vertAnchor="text" w:horzAnchor="margin" w:tblpY="119"/>
        <w:tblW w:w="0" w:type="auto"/>
        <w:tblLook w:val="04A0"/>
      </w:tblPr>
      <w:tblGrid>
        <w:gridCol w:w="1784"/>
        <w:gridCol w:w="1784"/>
        <w:gridCol w:w="1785"/>
        <w:gridCol w:w="1785"/>
        <w:gridCol w:w="1785"/>
      </w:tblGrid>
      <w:tr w:rsidR="003423CD" w:rsidTr="0021417F">
        <w:trPr>
          <w:trHeight w:val="478"/>
        </w:trPr>
        <w:tc>
          <w:tcPr>
            <w:tcW w:w="1784" w:type="dxa"/>
            <w:tcBorders>
              <w:top w:val="nil"/>
              <w:left w:val="nil"/>
            </w:tcBorders>
          </w:tcPr>
          <w:p w:rsidR="003423CD" w:rsidRDefault="003423CD" w:rsidP="0021417F">
            <w:pPr>
              <w:pStyle w:val="NoSpacing"/>
            </w:pPr>
          </w:p>
        </w:tc>
        <w:tc>
          <w:tcPr>
            <w:tcW w:w="1784" w:type="dxa"/>
          </w:tcPr>
          <w:p w:rsidR="003423CD" w:rsidRDefault="003423CD" w:rsidP="0021417F">
            <w:pPr>
              <w:pStyle w:val="NoSpacing"/>
              <w:jc w:val="center"/>
            </w:pPr>
            <w:r>
              <w:t>TRUSTNOW</w:t>
            </w:r>
          </w:p>
        </w:tc>
        <w:tc>
          <w:tcPr>
            <w:tcW w:w="1785" w:type="dxa"/>
          </w:tcPr>
          <w:p w:rsidR="003423CD" w:rsidRDefault="003423CD" w:rsidP="0021417F">
            <w:pPr>
              <w:pStyle w:val="NoSpacing"/>
              <w:jc w:val="center"/>
            </w:pPr>
            <w:r>
              <w:t>TRUSTBEFORE</w:t>
            </w:r>
          </w:p>
        </w:tc>
        <w:tc>
          <w:tcPr>
            <w:tcW w:w="1785" w:type="dxa"/>
          </w:tcPr>
          <w:p w:rsidR="003423CD" w:rsidRDefault="003423CD" w:rsidP="0021417F">
            <w:pPr>
              <w:pStyle w:val="NoSpacing"/>
              <w:jc w:val="center"/>
            </w:pPr>
            <w:r>
              <w:t>TRUSTDELTA</w:t>
            </w:r>
          </w:p>
        </w:tc>
        <w:tc>
          <w:tcPr>
            <w:tcW w:w="1785" w:type="dxa"/>
          </w:tcPr>
          <w:p w:rsidR="003423CD" w:rsidRDefault="003423CD" w:rsidP="0021417F">
            <w:pPr>
              <w:pStyle w:val="NoSpacing"/>
              <w:jc w:val="center"/>
            </w:pPr>
            <w:r>
              <w:t>RASWP</w:t>
            </w:r>
          </w:p>
        </w:tc>
      </w:tr>
      <w:tr w:rsidR="003423CD" w:rsidTr="0021417F">
        <w:trPr>
          <w:trHeight w:val="478"/>
        </w:trPr>
        <w:tc>
          <w:tcPr>
            <w:tcW w:w="1784" w:type="dxa"/>
          </w:tcPr>
          <w:p w:rsidR="003423CD" w:rsidRPr="000C09CD" w:rsidRDefault="003423CD" w:rsidP="0021417F">
            <w:pPr>
              <w:pStyle w:val="NoSpacing"/>
            </w:pPr>
            <w:r w:rsidRPr="000C09CD">
              <w:t>AGE</w:t>
            </w:r>
          </w:p>
        </w:tc>
        <w:tc>
          <w:tcPr>
            <w:tcW w:w="1784" w:type="dxa"/>
          </w:tcPr>
          <w:p w:rsidR="003423CD" w:rsidRPr="000C09CD" w:rsidRDefault="003423CD" w:rsidP="0021417F">
            <w:pPr>
              <w:pStyle w:val="NoSpacing"/>
              <w:jc w:val="center"/>
            </w:pPr>
            <w:r w:rsidRPr="000C09CD">
              <w:t>-0.040</w:t>
            </w:r>
          </w:p>
        </w:tc>
        <w:tc>
          <w:tcPr>
            <w:tcW w:w="1785" w:type="dxa"/>
          </w:tcPr>
          <w:p w:rsidR="003423CD" w:rsidRPr="000C09CD" w:rsidRDefault="003423CD" w:rsidP="0021417F">
            <w:pPr>
              <w:pStyle w:val="NoSpacing"/>
              <w:jc w:val="center"/>
            </w:pPr>
            <w:r w:rsidRPr="000C09CD">
              <w:t xml:space="preserve"> 0.066</w:t>
            </w:r>
          </w:p>
        </w:tc>
        <w:tc>
          <w:tcPr>
            <w:tcW w:w="1785" w:type="dxa"/>
          </w:tcPr>
          <w:p w:rsidR="003423CD" w:rsidRPr="000C09CD" w:rsidRDefault="003423CD" w:rsidP="0021417F">
            <w:pPr>
              <w:pStyle w:val="NoSpacing"/>
              <w:jc w:val="center"/>
            </w:pPr>
            <w:r w:rsidRPr="000C09CD">
              <w:t>0.129</w:t>
            </w:r>
          </w:p>
        </w:tc>
        <w:tc>
          <w:tcPr>
            <w:tcW w:w="1785" w:type="dxa"/>
          </w:tcPr>
          <w:p w:rsidR="003423CD" w:rsidRPr="000C09CD" w:rsidRDefault="003423CD" w:rsidP="0021417F">
            <w:pPr>
              <w:pStyle w:val="NoSpacing"/>
              <w:jc w:val="center"/>
            </w:pPr>
            <w:r w:rsidRPr="000C09CD">
              <w:t>-0.018</w:t>
            </w:r>
          </w:p>
        </w:tc>
      </w:tr>
      <w:tr w:rsidR="003423CD" w:rsidTr="0021417F">
        <w:trPr>
          <w:trHeight w:val="443"/>
        </w:trPr>
        <w:tc>
          <w:tcPr>
            <w:tcW w:w="1784" w:type="dxa"/>
          </w:tcPr>
          <w:p w:rsidR="003423CD" w:rsidRPr="000C09CD" w:rsidRDefault="003423CD" w:rsidP="0021417F">
            <w:pPr>
              <w:pStyle w:val="NoSpacing"/>
            </w:pPr>
            <w:r w:rsidRPr="000C09CD">
              <w:t>GENDER</w:t>
            </w:r>
          </w:p>
        </w:tc>
        <w:tc>
          <w:tcPr>
            <w:tcW w:w="1784" w:type="dxa"/>
          </w:tcPr>
          <w:p w:rsidR="003423CD" w:rsidRPr="000C09CD" w:rsidRDefault="003423CD" w:rsidP="0021417F">
            <w:pPr>
              <w:pStyle w:val="NoSpacing"/>
              <w:jc w:val="center"/>
            </w:pPr>
            <w:r w:rsidRPr="000C09CD">
              <w:t xml:space="preserve">  -0.274*</w:t>
            </w:r>
          </w:p>
        </w:tc>
        <w:tc>
          <w:tcPr>
            <w:tcW w:w="1785" w:type="dxa"/>
          </w:tcPr>
          <w:p w:rsidR="003423CD" w:rsidRPr="000C09CD" w:rsidRDefault="003423CD" w:rsidP="0021417F">
            <w:pPr>
              <w:pStyle w:val="NoSpacing"/>
              <w:jc w:val="center"/>
            </w:pPr>
            <w:r w:rsidRPr="000C09CD">
              <w:t>-0.097</w:t>
            </w:r>
          </w:p>
        </w:tc>
        <w:tc>
          <w:tcPr>
            <w:tcW w:w="1785" w:type="dxa"/>
          </w:tcPr>
          <w:p w:rsidR="003423CD" w:rsidRPr="000C09CD" w:rsidRDefault="003423CD" w:rsidP="0021417F">
            <w:pPr>
              <w:pStyle w:val="NoSpacing"/>
              <w:jc w:val="center"/>
            </w:pPr>
            <w:r w:rsidRPr="000C09CD">
              <w:t>0.185*</w:t>
            </w:r>
          </w:p>
        </w:tc>
        <w:tc>
          <w:tcPr>
            <w:tcW w:w="1785" w:type="dxa"/>
          </w:tcPr>
          <w:p w:rsidR="003423CD" w:rsidRPr="000C09CD" w:rsidRDefault="003423CD" w:rsidP="0021417F">
            <w:pPr>
              <w:pStyle w:val="NoSpacing"/>
              <w:jc w:val="center"/>
            </w:pPr>
            <w:r w:rsidRPr="000C09CD">
              <w:t>-0.097</w:t>
            </w:r>
          </w:p>
        </w:tc>
      </w:tr>
      <w:tr w:rsidR="003423CD" w:rsidTr="0021417F">
        <w:trPr>
          <w:trHeight w:val="478"/>
        </w:trPr>
        <w:tc>
          <w:tcPr>
            <w:tcW w:w="1784" w:type="dxa"/>
          </w:tcPr>
          <w:p w:rsidR="003423CD" w:rsidRPr="000C09CD" w:rsidRDefault="003423CD" w:rsidP="0021417F">
            <w:pPr>
              <w:pStyle w:val="NoSpacing"/>
            </w:pPr>
            <w:r w:rsidRPr="000C09CD">
              <w:t>INCOME</w:t>
            </w:r>
          </w:p>
        </w:tc>
        <w:tc>
          <w:tcPr>
            <w:tcW w:w="1784" w:type="dxa"/>
          </w:tcPr>
          <w:p w:rsidR="003423CD" w:rsidRPr="000C09CD" w:rsidRDefault="003423CD" w:rsidP="0021417F">
            <w:pPr>
              <w:pStyle w:val="NoSpacing"/>
              <w:jc w:val="center"/>
            </w:pPr>
            <w:r w:rsidRPr="000C09CD">
              <w:t xml:space="preserve"> 0.112</w:t>
            </w:r>
          </w:p>
        </w:tc>
        <w:tc>
          <w:tcPr>
            <w:tcW w:w="1785" w:type="dxa"/>
          </w:tcPr>
          <w:p w:rsidR="003423CD" w:rsidRPr="000C09CD" w:rsidRDefault="003423CD" w:rsidP="0021417F">
            <w:pPr>
              <w:pStyle w:val="NoSpacing"/>
              <w:jc w:val="center"/>
            </w:pPr>
            <w:r w:rsidRPr="000C09CD">
              <w:t xml:space="preserve"> 0.067</w:t>
            </w:r>
          </w:p>
        </w:tc>
        <w:tc>
          <w:tcPr>
            <w:tcW w:w="1785" w:type="dxa"/>
          </w:tcPr>
          <w:p w:rsidR="003423CD" w:rsidRPr="000C09CD" w:rsidRDefault="003423CD" w:rsidP="0021417F">
            <w:pPr>
              <w:pStyle w:val="NoSpacing"/>
              <w:jc w:val="center"/>
            </w:pPr>
            <w:r w:rsidRPr="000C09CD">
              <w:t>-0.059</w:t>
            </w:r>
          </w:p>
        </w:tc>
        <w:tc>
          <w:tcPr>
            <w:tcW w:w="1785" w:type="dxa"/>
          </w:tcPr>
          <w:p w:rsidR="003423CD" w:rsidRPr="000C09CD" w:rsidRDefault="003423CD" w:rsidP="0021417F">
            <w:pPr>
              <w:pStyle w:val="NoSpacing"/>
              <w:jc w:val="center"/>
            </w:pPr>
            <w:r w:rsidRPr="000C09CD">
              <w:t>0.000</w:t>
            </w:r>
          </w:p>
        </w:tc>
      </w:tr>
      <w:tr w:rsidR="003423CD" w:rsidTr="0021417F">
        <w:trPr>
          <w:trHeight w:val="478"/>
        </w:trPr>
        <w:tc>
          <w:tcPr>
            <w:tcW w:w="1784" w:type="dxa"/>
          </w:tcPr>
          <w:p w:rsidR="003423CD" w:rsidRPr="000C09CD" w:rsidRDefault="003423CD" w:rsidP="0021417F">
            <w:pPr>
              <w:pStyle w:val="NoSpacing"/>
            </w:pPr>
            <w:r w:rsidRPr="000C09CD">
              <w:t>FINKNOW</w:t>
            </w:r>
          </w:p>
        </w:tc>
        <w:tc>
          <w:tcPr>
            <w:tcW w:w="1784" w:type="dxa"/>
          </w:tcPr>
          <w:p w:rsidR="003423CD" w:rsidRPr="000C09CD" w:rsidRDefault="003423CD" w:rsidP="0021417F">
            <w:pPr>
              <w:pStyle w:val="NoSpacing"/>
              <w:jc w:val="center"/>
            </w:pPr>
            <w:r w:rsidRPr="000C09CD">
              <w:t xml:space="preserve"> 0.037</w:t>
            </w:r>
          </w:p>
        </w:tc>
        <w:tc>
          <w:tcPr>
            <w:tcW w:w="1785" w:type="dxa"/>
          </w:tcPr>
          <w:p w:rsidR="003423CD" w:rsidRPr="000C09CD" w:rsidRDefault="003423CD" w:rsidP="0021417F">
            <w:pPr>
              <w:pStyle w:val="NoSpacing"/>
              <w:jc w:val="center"/>
            </w:pPr>
            <w:r w:rsidRPr="000C09CD">
              <w:t>-0.049</w:t>
            </w:r>
          </w:p>
        </w:tc>
        <w:tc>
          <w:tcPr>
            <w:tcW w:w="1785" w:type="dxa"/>
          </w:tcPr>
          <w:p w:rsidR="003423CD" w:rsidRPr="000C09CD" w:rsidRDefault="003423CD" w:rsidP="0021417F">
            <w:pPr>
              <w:pStyle w:val="NoSpacing"/>
              <w:jc w:val="center"/>
            </w:pPr>
            <w:r w:rsidRPr="000C09CD">
              <w:t>-0.067</w:t>
            </w:r>
          </w:p>
        </w:tc>
        <w:tc>
          <w:tcPr>
            <w:tcW w:w="1785" w:type="dxa"/>
          </w:tcPr>
          <w:p w:rsidR="003423CD" w:rsidRPr="000C09CD" w:rsidRDefault="003423CD" w:rsidP="0021417F">
            <w:pPr>
              <w:pStyle w:val="NoSpacing"/>
              <w:jc w:val="center"/>
            </w:pPr>
            <w:r w:rsidRPr="000C09CD">
              <w:t>-0.046</w:t>
            </w:r>
          </w:p>
        </w:tc>
      </w:tr>
      <w:tr w:rsidR="003423CD" w:rsidTr="0021417F">
        <w:trPr>
          <w:trHeight w:val="478"/>
        </w:trPr>
        <w:tc>
          <w:tcPr>
            <w:tcW w:w="1784" w:type="dxa"/>
          </w:tcPr>
          <w:p w:rsidR="003423CD" w:rsidRPr="000C09CD" w:rsidRDefault="003423CD" w:rsidP="0021417F">
            <w:pPr>
              <w:pStyle w:val="NoSpacing"/>
            </w:pPr>
            <w:r w:rsidRPr="000C09CD">
              <w:t>PFKNOW</w:t>
            </w:r>
          </w:p>
        </w:tc>
        <w:tc>
          <w:tcPr>
            <w:tcW w:w="1784" w:type="dxa"/>
          </w:tcPr>
          <w:p w:rsidR="003423CD" w:rsidRPr="000C09CD" w:rsidRDefault="003423CD" w:rsidP="0021417F">
            <w:pPr>
              <w:pStyle w:val="NoSpacing"/>
              <w:jc w:val="center"/>
            </w:pPr>
            <w:r w:rsidRPr="000C09CD">
              <w:t xml:space="preserve"> 0.133</w:t>
            </w:r>
          </w:p>
        </w:tc>
        <w:tc>
          <w:tcPr>
            <w:tcW w:w="1785" w:type="dxa"/>
          </w:tcPr>
          <w:p w:rsidR="003423CD" w:rsidRPr="000C09CD" w:rsidRDefault="003423CD" w:rsidP="0021417F">
            <w:pPr>
              <w:pStyle w:val="NoSpacing"/>
              <w:jc w:val="center"/>
            </w:pPr>
            <w:r w:rsidRPr="000C09CD">
              <w:t>-0.026</w:t>
            </w:r>
          </w:p>
        </w:tc>
        <w:tc>
          <w:tcPr>
            <w:tcW w:w="1785" w:type="dxa"/>
          </w:tcPr>
          <w:p w:rsidR="003423CD" w:rsidRPr="000C09CD" w:rsidRDefault="003423CD" w:rsidP="0021417F">
            <w:pPr>
              <w:pStyle w:val="NoSpacing"/>
              <w:jc w:val="center"/>
            </w:pPr>
            <w:r w:rsidRPr="000C09CD">
              <w:t>-0.117</w:t>
            </w:r>
          </w:p>
        </w:tc>
        <w:tc>
          <w:tcPr>
            <w:tcW w:w="1785" w:type="dxa"/>
          </w:tcPr>
          <w:p w:rsidR="003423CD" w:rsidRPr="000C09CD" w:rsidRDefault="003423CD" w:rsidP="0021417F">
            <w:pPr>
              <w:pStyle w:val="NoSpacing"/>
              <w:jc w:val="center"/>
            </w:pPr>
            <w:r w:rsidRPr="000C09CD">
              <w:t>0.030</w:t>
            </w:r>
          </w:p>
        </w:tc>
      </w:tr>
      <w:tr w:rsidR="003423CD" w:rsidTr="0021417F">
        <w:trPr>
          <w:trHeight w:val="478"/>
        </w:trPr>
        <w:tc>
          <w:tcPr>
            <w:tcW w:w="1784" w:type="dxa"/>
          </w:tcPr>
          <w:p w:rsidR="003423CD" w:rsidRPr="000C09CD" w:rsidRDefault="003423CD" w:rsidP="0021417F">
            <w:pPr>
              <w:pStyle w:val="NoSpacing"/>
            </w:pPr>
            <w:r w:rsidRPr="000C09CD">
              <w:t>RASWP</w:t>
            </w:r>
          </w:p>
        </w:tc>
        <w:tc>
          <w:tcPr>
            <w:tcW w:w="1784" w:type="dxa"/>
          </w:tcPr>
          <w:p w:rsidR="003423CD" w:rsidRPr="000C09CD" w:rsidRDefault="003423CD" w:rsidP="0021417F">
            <w:pPr>
              <w:pStyle w:val="NoSpacing"/>
              <w:jc w:val="center"/>
            </w:pPr>
            <w:r w:rsidRPr="000C09CD">
              <w:t xml:space="preserve"> 0.028</w:t>
            </w:r>
          </w:p>
        </w:tc>
        <w:tc>
          <w:tcPr>
            <w:tcW w:w="1785" w:type="dxa"/>
          </w:tcPr>
          <w:p w:rsidR="003423CD" w:rsidRPr="000C09CD" w:rsidRDefault="003423CD" w:rsidP="0021417F">
            <w:pPr>
              <w:pStyle w:val="NoSpacing"/>
              <w:jc w:val="center"/>
            </w:pPr>
            <w:r w:rsidRPr="000C09CD">
              <w:t>-0.060</w:t>
            </w:r>
          </w:p>
        </w:tc>
        <w:tc>
          <w:tcPr>
            <w:tcW w:w="1785" w:type="dxa"/>
          </w:tcPr>
          <w:p w:rsidR="003423CD" w:rsidRPr="000C09CD" w:rsidRDefault="003423CD" w:rsidP="0021417F">
            <w:pPr>
              <w:pStyle w:val="NoSpacing"/>
              <w:jc w:val="center"/>
            </w:pPr>
            <w:r w:rsidRPr="000C09CD">
              <w:t>-0.044</w:t>
            </w:r>
          </w:p>
        </w:tc>
        <w:tc>
          <w:tcPr>
            <w:tcW w:w="1785" w:type="dxa"/>
          </w:tcPr>
          <w:p w:rsidR="003423CD" w:rsidRPr="000C09CD" w:rsidRDefault="003423CD" w:rsidP="0021417F">
            <w:pPr>
              <w:pStyle w:val="NoSpacing"/>
              <w:jc w:val="center"/>
            </w:pPr>
            <w:r w:rsidRPr="000C09CD">
              <w:t>X</w:t>
            </w:r>
          </w:p>
        </w:tc>
      </w:tr>
      <w:tr w:rsidR="003423CD" w:rsidTr="0021417F">
        <w:trPr>
          <w:trHeight w:val="478"/>
        </w:trPr>
        <w:tc>
          <w:tcPr>
            <w:tcW w:w="1784" w:type="dxa"/>
          </w:tcPr>
          <w:p w:rsidR="003423CD" w:rsidRPr="000C09CD" w:rsidRDefault="003423CD" w:rsidP="0021417F">
            <w:pPr>
              <w:pStyle w:val="NoSpacing"/>
            </w:pPr>
            <w:r w:rsidRPr="000C09CD">
              <w:t>INVESTEXP</w:t>
            </w:r>
          </w:p>
        </w:tc>
        <w:tc>
          <w:tcPr>
            <w:tcW w:w="1784" w:type="dxa"/>
          </w:tcPr>
          <w:p w:rsidR="003423CD" w:rsidRPr="000C09CD" w:rsidRDefault="003423CD" w:rsidP="0021417F">
            <w:pPr>
              <w:pStyle w:val="NoSpacing"/>
              <w:jc w:val="center"/>
            </w:pPr>
            <w:r w:rsidRPr="000C09CD">
              <w:t xml:space="preserve">   0.252*</w:t>
            </w:r>
          </w:p>
        </w:tc>
        <w:tc>
          <w:tcPr>
            <w:tcW w:w="1785" w:type="dxa"/>
          </w:tcPr>
          <w:p w:rsidR="003423CD" w:rsidRPr="000C09CD" w:rsidRDefault="003423CD" w:rsidP="0021417F">
            <w:pPr>
              <w:pStyle w:val="NoSpacing"/>
              <w:jc w:val="center"/>
            </w:pPr>
            <w:r w:rsidRPr="000C09CD">
              <w:t xml:space="preserve"> 0.168</w:t>
            </w:r>
          </w:p>
        </w:tc>
        <w:tc>
          <w:tcPr>
            <w:tcW w:w="1785" w:type="dxa"/>
          </w:tcPr>
          <w:p w:rsidR="003423CD" w:rsidRPr="000C09CD" w:rsidRDefault="003423CD" w:rsidP="0021417F">
            <w:pPr>
              <w:pStyle w:val="NoSpacing"/>
              <w:jc w:val="center"/>
            </w:pPr>
            <w:r w:rsidRPr="000C09CD">
              <w:t>-0.081</w:t>
            </w:r>
          </w:p>
        </w:tc>
        <w:tc>
          <w:tcPr>
            <w:tcW w:w="1785" w:type="dxa"/>
          </w:tcPr>
          <w:p w:rsidR="003423CD" w:rsidRPr="000C09CD" w:rsidRDefault="003423CD" w:rsidP="0021417F">
            <w:pPr>
              <w:pStyle w:val="NoSpacing"/>
              <w:jc w:val="center"/>
            </w:pPr>
            <w:r w:rsidRPr="000C09CD">
              <w:t>0.056</w:t>
            </w:r>
          </w:p>
        </w:tc>
      </w:tr>
      <w:tr w:rsidR="003423CD" w:rsidTr="0021417F">
        <w:trPr>
          <w:trHeight w:val="478"/>
        </w:trPr>
        <w:tc>
          <w:tcPr>
            <w:tcW w:w="1784" w:type="dxa"/>
          </w:tcPr>
          <w:p w:rsidR="003423CD" w:rsidRPr="000C09CD" w:rsidRDefault="003423CD" w:rsidP="0021417F">
            <w:pPr>
              <w:pStyle w:val="NoSpacing"/>
            </w:pPr>
            <w:r w:rsidRPr="000C09CD">
              <w:t>AGECAT</w:t>
            </w:r>
          </w:p>
        </w:tc>
        <w:tc>
          <w:tcPr>
            <w:tcW w:w="1784" w:type="dxa"/>
          </w:tcPr>
          <w:p w:rsidR="003423CD" w:rsidRPr="000C09CD" w:rsidRDefault="003423CD" w:rsidP="0021417F">
            <w:pPr>
              <w:pStyle w:val="NoSpacing"/>
              <w:jc w:val="center"/>
            </w:pPr>
            <w:r w:rsidRPr="000C09CD">
              <w:t>-0.042</w:t>
            </w:r>
          </w:p>
        </w:tc>
        <w:tc>
          <w:tcPr>
            <w:tcW w:w="1785" w:type="dxa"/>
          </w:tcPr>
          <w:p w:rsidR="003423CD" w:rsidRPr="000C09CD" w:rsidRDefault="003423CD" w:rsidP="0021417F">
            <w:pPr>
              <w:pStyle w:val="NoSpacing"/>
              <w:jc w:val="center"/>
            </w:pPr>
            <w:r w:rsidRPr="000C09CD">
              <w:t xml:space="preserve"> 0.077</w:t>
            </w:r>
          </w:p>
        </w:tc>
        <w:tc>
          <w:tcPr>
            <w:tcW w:w="1785" w:type="dxa"/>
          </w:tcPr>
          <w:p w:rsidR="003423CD" w:rsidRPr="000C09CD" w:rsidRDefault="003423CD" w:rsidP="0021417F">
            <w:pPr>
              <w:pStyle w:val="NoSpacing"/>
              <w:jc w:val="center"/>
            </w:pPr>
            <w:r w:rsidRPr="000C09CD">
              <w:t>0.137</w:t>
            </w:r>
          </w:p>
        </w:tc>
        <w:tc>
          <w:tcPr>
            <w:tcW w:w="1785" w:type="dxa"/>
          </w:tcPr>
          <w:p w:rsidR="003423CD" w:rsidRPr="000C09CD" w:rsidRDefault="003423CD" w:rsidP="0021417F">
            <w:pPr>
              <w:pStyle w:val="NoSpacing"/>
              <w:jc w:val="center"/>
            </w:pPr>
            <w:r w:rsidRPr="000C09CD">
              <w:t>-0.019</w:t>
            </w:r>
          </w:p>
        </w:tc>
      </w:tr>
      <w:tr w:rsidR="003423CD" w:rsidTr="0021417F">
        <w:trPr>
          <w:trHeight w:val="478"/>
        </w:trPr>
        <w:tc>
          <w:tcPr>
            <w:tcW w:w="1784" w:type="dxa"/>
          </w:tcPr>
          <w:p w:rsidR="003423CD" w:rsidRPr="000C09CD" w:rsidRDefault="003423CD" w:rsidP="0021417F">
            <w:pPr>
              <w:pStyle w:val="NoSpacing"/>
            </w:pPr>
            <w:r w:rsidRPr="000C09CD">
              <w:t>ALLKNOW</w:t>
            </w:r>
          </w:p>
        </w:tc>
        <w:tc>
          <w:tcPr>
            <w:tcW w:w="1784" w:type="dxa"/>
          </w:tcPr>
          <w:p w:rsidR="003423CD" w:rsidRPr="000C09CD" w:rsidRDefault="003423CD" w:rsidP="0021417F">
            <w:pPr>
              <w:pStyle w:val="NoSpacing"/>
              <w:jc w:val="center"/>
            </w:pPr>
            <w:r w:rsidRPr="000C09CD">
              <w:t xml:space="preserve"> 0.124</w:t>
            </w:r>
          </w:p>
        </w:tc>
        <w:tc>
          <w:tcPr>
            <w:tcW w:w="1785" w:type="dxa"/>
          </w:tcPr>
          <w:p w:rsidR="003423CD" w:rsidRPr="000C09CD" w:rsidRDefault="003423CD" w:rsidP="0021417F">
            <w:pPr>
              <w:pStyle w:val="NoSpacing"/>
              <w:jc w:val="center"/>
            </w:pPr>
            <w:r w:rsidRPr="000C09CD">
              <w:t>-0.036</w:t>
            </w:r>
          </w:p>
        </w:tc>
        <w:tc>
          <w:tcPr>
            <w:tcW w:w="1785" w:type="dxa"/>
          </w:tcPr>
          <w:p w:rsidR="003423CD" w:rsidRPr="000C09CD" w:rsidRDefault="003423CD" w:rsidP="0021417F">
            <w:pPr>
              <w:pStyle w:val="NoSpacing"/>
              <w:jc w:val="center"/>
            </w:pPr>
            <w:r w:rsidRPr="000C09CD">
              <w:t>-0.119</w:t>
            </w:r>
          </w:p>
        </w:tc>
        <w:tc>
          <w:tcPr>
            <w:tcW w:w="1785" w:type="dxa"/>
          </w:tcPr>
          <w:p w:rsidR="003423CD" w:rsidRPr="000C09CD" w:rsidRDefault="003423CD" w:rsidP="0021417F">
            <w:pPr>
              <w:pStyle w:val="NoSpacing"/>
              <w:jc w:val="center"/>
            </w:pPr>
            <w:r w:rsidRPr="000C09CD">
              <w:t>0.013</w:t>
            </w:r>
          </w:p>
        </w:tc>
      </w:tr>
    </w:tbl>
    <w:p w:rsidR="003423CD" w:rsidRPr="00795DE9" w:rsidRDefault="003423CD" w:rsidP="003423CD">
      <w:pPr>
        <w:pStyle w:val="NoSpacing"/>
        <w:rPr>
          <w:sz w:val="20"/>
          <w:szCs w:val="20"/>
        </w:rPr>
      </w:pPr>
      <w:r w:rsidRPr="00795DE9">
        <w:rPr>
          <w:sz w:val="20"/>
          <w:szCs w:val="20"/>
        </w:rPr>
        <w:t xml:space="preserve">*= significant, at a 5% significance level </w:t>
      </w:r>
    </w:p>
    <w:p w:rsidR="006277D0" w:rsidRPr="00DA3364" w:rsidRDefault="006277D0" w:rsidP="00DA3364">
      <w:pPr>
        <w:pStyle w:val="VIN1"/>
        <w:spacing w:line="360" w:lineRule="auto"/>
      </w:pPr>
      <w:bookmarkStart w:id="62" w:name="_Toc340568942"/>
      <w:r w:rsidRPr="00DA3364">
        <w:t>Chapter 5 Discussion</w:t>
      </w:r>
      <w:bookmarkEnd w:id="62"/>
    </w:p>
    <w:p w:rsidR="006277D0" w:rsidRPr="00DF1695" w:rsidRDefault="00DA3364" w:rsidP="00DA3364">
      <w:pPr>
        <w:pStyle w:val="Vin2"/>
        <w:numPr>
          <w:ilvl w:val="0"/>
          <w:numId w:val="0"/>
        </w:numPr>
      </w:pPr>
      <w:bookmarkStart w:id="63" w:name="_Toc340568943"/>
      <w:r>
        <w:t>5.1</w:t>
      </w:r>
      <w:r w:rsidR="006277D0" w:rsidRPr="00DF1695">
        <w:t xml:space="preserve"> Introduction</w:t>
      </w:r>
      <w:bookmarkEnd w:id="63"/>
    </w:p>
    <w:p w:rsidR="006277D0" w:rsidRPr="00585C73" w:rsidRDefault="006277D0" w:rsidP="00286071">
      <w:pPr>
        <w:pStyle w:val="NoSpacing"/>
        <w:spacing w:line="360" w:lineRule="auto"/>
        <w:jc w:val="both"/>
      </w:pPr>
      <w:r>
        <w:t>The penultimate chapter of this thesis reflects on the different results that this study has produced and the limitations of this thesis’ research.</w:t>
      </w:r>
    </w:p>
    <w:p w:rsidR="006277D0" w:rsidRPr="00585C73" w:rsidRDefault="006277D0" w:rsidP="00286071">
      <w:pPr>
        <w:pStyle w:val="NoSpacing"/>
        <w:spacing w:line="360" w:lineRule="auto"/>
        <w:jc w:val="both"/>
      </w:pPr>
      <w:r w:rsidRPr="00585C73">
        <w:t>Firstly the focus will be on the results that were gathered. These</w:t>
      </w:r>
      <w:r>
        <w:t xml:space="preserve"> range</w:t>
      </w:r>
      <w:r w:rsidRPr="00585C73">
        <w:t xml:space="preserve"> from the raw survey results to a discussion of </w:t>
      </w:r>
      <w:r>
        <w:t xml:space="preserve">the </w:t>
      </w:r>
      <w:r w:rsidRPr="00585C73">
        <w:t>hypothesis</w:t>
      </w:r>
      <w:r w:rsidRPr="00811421">
        <w:t xml:space="preserve"> </w:t>
      </w:r>
      <w:r>
        <w:t>test</w:t>
      </w:r>
      <w:r w:rsidRPr="00585C73">
        <w:t xml:space="preserve"> results. Any anomalous findings</w:t>
      </w:r>
      <w:r>
        <w:t>, specific trends and patterns</w:t>
      </w:r>
      <w:r w:rsidRPr="00585C73">
        <w:t xml:space="preserve"> </w:t>
      </w:r>
      <w:r>
        <w:t xml:space="preserve">the research produced, </w:t>
      </w:r>
      <w:r w:rsidRPr="00585C73">
        <w:t>that are deem</w:t>
      </w:r>
      <w:r>
        <w:t>e</w:t>
      </w:r>
      <w:r w:rsidRPr="00585C73">
        <w:t>d relevant are sought to be explained.</w:t>
      </w:r>
    </w:p>
    <w:p w:rsidR="006277D0" w:rsidRDefault="006277D0" w:rsidP="00286071">
      <w:pPr>
        <w:pStyle w:val="NoSpacing"/>
        <w:spacing w:line="360" w:lineRule="auto"/>
        <w:jc w:val="both"/>
      </w:pPr>
      <w:r w:rsidRPr="00585C73">
        <w:t>In the section</w:t>
      </w:r>
      <w:r>
        <w:t xml:space="preserve"> Limitations and Amendments</w:t>
      </w:r>
      <w:r w:rsidRPr="00585C73">
        <w:t>, a variety of</w:t>
      </w:r>
      <w:r>
        <w:t xml:space="preserve"> the</w:t>
      </w:r>
      <w:r w:rsidRPr="00585C73">
        <w:t xml:space="preserve"> </w:t>
      </w:r>
      <w:r>
        <w:t xml:space="preserve">study’s </w:t>
      </w:r>
      <w:r w:rsidRPr="00585C73">
        <w:t>features are addressed</w:t>
      </w:r>
      <w:r>
        <w:t xml:space="preserve"> and explained. There is particular regard for the methodology and research process</w:t>
      </w:r>
      <w:r w:rsidRPr="00585C73">
        <w:t>.</w:t>
      </w:r>
      <w:r>
        <w:t xml:space="preserve"> </w:t>
      </w:r>
    </w:p>
    <w:p w:rsidR="006277D0" w:rsidRPr="00585C73" w:rsidRDefault="006277D0" w:rsidP="00286071">
      <w:pPr>
        <w:pStyle w:val="NoSpacing"/>
        <w:spacing w:line="360" w:lineRule="auto"/>
        <w:jc w:val="both"/>
      </w:pPr>
    </w:p>
    <w:p w:rsidR="006277D0" w:rsidRPr="00DF1695" w:rsidRDefault="00DA3364" w:rsidP="00DA3364">
      <w:pPr>
        <w:pStyle w:val="Vin2"/>
        <w:numPr>
          <w:ilvl w:val="0"/>
          <w:numId w:val="0"/>
        </w:numPr>
      </w:pPr>
      <w:bookmarkStart w:id="64" w:name="_Toc340568944"/>
      <w:r>
        <w:t>5.2</w:t>
      </w:r>
      <w:r w:rsidR="006277D0" w:rsidRPr="00DF1695">
        <w:t xml:space="preserve"> Results</w:t>
      </w:r>
      <w:bookmarkEnd w:id="64"/>
    </w:p>
    <w:p w:rsidR="006277D0" w:rsidRPr="00DF1695" w:rsidRDefault="006277D0" w:rsidP="00DA3364">
      <w:pPr>
        <w:pStyle w:val="VIn33"/>
      </w:pPr>
      <w:bookmarkStart w:id="65" w:name="_Toc340568945"/>
      <w:r w:rsidRPr="00DF1695">
        <w:t>5.2.1 Survey results</w:t>
      </w:r>
      <w:bookmarkEnd w:id="65"/>
    </w:p>
    <w:p w:rsidR="006277D0" w:rsidRDefault="006277D0" w:rsidP="00286071">
      <w:pPr>
        <w:pStyle w:val="NoSpacing"/>
        <w:spacing w:line="360" w:lineRule="auto"/>
        <w:jc w:val="both"/>
      </w:pPr>
      <w:r>
        <w:t>As explained in Chapter 3, the survey rendered 122 useful responses from 185 participants. The 63 cases that were excluded from the analysis were all due to incompleteness of answers or crucial information. In the absence of complete demographic information the usefulness of a participant’s answers drastically depreciates, an event that is an integral part of the survey method.</w:t>
      </w:r>
      <w:r>
        <w:tab/>
      </w:r>
      <w:r>
        <w:tab/>
        <w:t xml:space="preserve">           To be sure that the eventual data used for the testing of hypothesis was indeed complete in all aspects there was a careful selection of responses. The necessity for completeness is paramount to the analysis and dissection of answers, and provides the required information for the establishment of patterns and trends in the data. The survey was presented that a subject could not proceed to the next question before answering its current question. Consequently there were also a number of incomplete surveys for which only the demographic information was missing. There are a number of procedures suggested to be employed in the event of incomplete survey data or imputation. There is a range of methods that are proposed to complete missing values; the best-fit method can vary per data type. Some are rather elaborate constructions requiring the use of computer programs (i.e. maximum likelihood multiple imputation) two of the more general types of methods are named Mean substitution and Regression substitution. Mean substitution or mean imputation, as the name suggests are procedures based on the premise that the missing value can be effectively replaced by computation of the subject pool’s mean and applying this value for the missing value. There is a collection of methods, of which the Valid mean substitution (Dodeen, 2003) and Relative mean substitution (Raaijmakers, 1999) versions are proposed as the best-fit remedy for the problem where it concerns Likert-scale missing values. </w:t>
      </w:r>
    </w:p>
    <w:p w:rsidR="006277D0" w:rsidRDefault="006277D0" w:rsidP="00286071">
      <w:pPr>
        <w:pStyle w:val="NoSpacing"/>
        <w:spacing w:line="360" w:lineRule="auto"/>
        <w:jc w:val="both"/>
      </w:pPr>
      <w:r>
        <w:t>The Regression substitution approaches use linear regression to predict the correct value. Which means it looks at similar subjects, not the whole population, and substitutes the missing value with a value of comparable subjects. Meaning the substitute value is more likely to correspond than mean based methods. Nonetheless, like mean based approaches it also suffers from error variance.</w:t>
      </w:r>
    </w:p>
    <w:p w:rsidR="006277D0" w:rsidRDefault="006277D0" w:rsidP="00286071">
      <w:pPr>
        <w:pStyle w:val="NoSpacing"/>
        <w:spacing w:line="360" w:lineRule="auto"/>
        <w:jc w:val="both"/>
      </w:pPr>
      <w:r>
        <w:t xml:space="preserve">Even though, these methods may indeed be scientifically acceptable and applicable to the data of this thesis. The large number of the incomplete data spread over the different and sometimes multiple sections of the survey would require the use of multiple methods, often even so for a single respondent.  Considering there were 63 incomplete responses of the 185 total, in the case of actually applying substitutive methods for 34% of the respondents’ data would contain a substitute. Meaning that in certain sections, in excess of a third of data will be based on other respondents. A proportion that is improper with regards to the genuineness of the data. As the large quantity of unauthentic data would likely exaggerate the mean values and as such possibly dilute the true information encapsulated in the data. As I have no indication whatsoever to assume the data and subjects that were incomplete were non-random, I don’t fear that my decision has contributed to the non-representative of our sample, as some suggest (Helms 1999, Witta 2000). An additional objection is related to the huge quantity of added work with little proven extra value added, if any at all. On the basis of these motivations, I opted for deletion and thus no responses that were deemed incomplete are used for this data regression and analysis. </w:t>
      </w:r>
    </w:p>
    <w:p w:rsidR="006277D0" w:rsidRDefault="006277D0" w:rsidP="00286071">
      <w:pPr>
        <w:pStyle w:val="NoSpacing"/>
        <w:spacing w:line="360" w:lineRule="auto"/>
        <w:jc w:val="both"/>
      </w:pPr>
    </w:p>
    <w:p w:rsidR="006277D0" w:rsidRPr="00DF1695" w:rsidRDefault="006277D0" w:rsidP="00DA3364">
      <w:pPr>
        <w:pStyle w:val="VIn33"/>
      </w:pPr>
      <w:bookmarkStart w:id="66" w:name="_Toc340568946"/>
      <w:r w:rsidRPr="00DF1695">
        <w:t>5.2.2 Alternative survey questions</w:t>
      </w:r>
      <w:bookmarkEnd w:id="66"/>
      <w:r w:rsidRPr="00DF1695">
        <w:t xml:space="preserve"> </w:t>
      </w:r>
    </w:p>
    <w:p w:rsidR="006277D0" w:rsidRPr="00585C73" w:rsidRDefault="006277D0" w:rsidP="00286071">
      <w:pPr>
        <w:pStyle w:val="NoSpacing"/>
        <w:spacing w:line="360" w:lineRule="auto"/>
        <w:jc w:val="both"/>
      </w:pPr>
      <w:r>
        <w:t>I</w:t>
      </w:r>
      <w:r w:rsidRPr="00585C73">
        <w:t xml:space="preserve">n the </w:t>
      </w:r>
      <w:r>
        <w:t xml:space="preserve">same </w:t>
      </w:r>
      <w:r w:rsidRPr="00585C73">
        <w:t>period the survey was distributed, a</w:t>
      </w:r>
      <w:r>
        <w:t>n</w:t>
      </w:r>
      <w:r w:rsidRPr="00585C73">
        <w:t xml:space="preserve"> alternative version of the survey </w:t>
      </w:r>
      <w:r>
        <w:t xml:space="preserve">was </w:t>
      </w:r>
      <w:r w:rsidRPr="00585C73">
        <w:t xml:space="preserve">circulated under a different </w:t>
      </w:r>
      <w:r>
        <w:t>smaller sample</w:t>
      </w:r>
      <w:r w:rsidRPr="00585C73">
        <w:t>. The alternative survey has offered an opportunity to inquire about aspects for which there was no room in the original survey</w:t>
      </w:r>
      <w:r>
        <w:t xml:space="preserve">, </w:t>
      </w:r>
      <w:r w:rsidRPr="00585C73">
        <w:t>offer</w:t>
      </w:r>
      <w:r>
        <w:t>ing</w:t>
      </w:r>
      <w:r w:rsidRPr="00585C73">
        <w:t xml:space="preserve"> an alternative test group. Presenting an occasion to examine people’s opinion on the position of pension funds in the financial sector and the</w:t>
      </w:r>
      <w:r>
        <w:t xml:space="preserve"> accompanying</w:t>
      </w:r>
      <w:r w:rsidRPr="00585C73">
        <w:t xml:space="preserve"> trust they have in </w:t>
      </w:r>
      <w:r>
        <w:t>them</w:t>
      </w:r>
      <w:r w:rsidRPr="00585C73">
        <w:t xml:space="preserve">. The alternative </w:t>
      </w:r>
      <w:r>
        <w:t>survey</w:t>
      </w:r>
      <w:r w:rsidRPr="00585C73">
        <w:t xml:space="preserve"> differed from the original on a number of questions</w:t>
      </w:r>
      <w:r>
        <w:t xml:space="preserve"> and has provided us with some additional information. The first sections of the survey </w:t>
      </w:r>
      <w:r w:rsidRPr="00782930">
        <w:t>were identical to the original survey. In the third section, a different set of questions on trust and risk were asked.</w:t>
      </w:r>
    </w:p>
    <w:p w:rsidR="006277D0" w:rsidRDefault="006277D0" w:rsidP="00286071">
      <w:pPr>
        <w:pStyle w:val="NoSpacing"/>
        <w:spacing w:line="360" w:lineRule="auto"/>
        <w:jc w:val="both"/>
      </w:pPr>
      <w:r w:rsidRPr="00585C73">
        <w:t xml:space="preserve">The information extracted with these questions is non-crucial to this research’s goal. </w:t>
      </w:r>
      <w:r>
        <w:t>Yet, t</w:t>
      </w:r>
      <w:r w:rsidRPr="00585C73">
        <w:t>wo of these alternative questions</w:t>
      </w:r>
      <w:r>
        <w:t>,</w:t>
      </w:r>
      <w:r w:rsidRPr="00585C73">
        <w:t xml:space="preserve"> on the sector</w:t>
      </w:r>
      <w:r>
        <w:t xml:space="preserve">ial position of pension funds, </w:t>
      </w:r>
      <w:r w:rsidRPr="00585C73">
        <w:t xml:space="preserve">offer some </w:t>
      </w:r>
      <w:r w:rsidRPr="00DC034D">
        <w:t>unexpected and contrasting results.</w:t>
      </w:r>
      <w:r>
        <w:t xml:space="preserve"> </w:t>
      </w:r>
      <w:r w:rsidRPr="00DC034D">
        <w:t xml:space="preserve">The </w:t>
      </w:r>
      <w:r>
        <w:t>alternative survey asks the participants two</w:t>
      </w:r>
      <w:r w:rsidRPr="00DC034D">
        <w:t xml:space="preserve"> question</w:t>
      </w:r>
      <w:r>
        <w:t>s on their perception of what they consider safer. Here safety is a more tangible substitute for trust.</w:t>
      </w:r>
    </w:p>
    <w:p w:rsidR="006277D0" w:rsidRPr="00585C73" w:rsidRDefault="006277D0" w:rsidP="00286071">
      <w:pPr>
        <w:pStyle w:val="NoSpacing"/>
        <w:spacing w:line="360" w:lineRule="auto"/>
        <w:jc w:val="both"/>
      </w:pPr>
    </w:p>
    <w:p w:rsidR="006277D0" w:rsidRDefault="006277D0" w:rsidP="00286071">
      <w:pPr>
        <w:pStyle w:val="NoSpacing"/>
        <w:spacing w:line="360" w:lineRule="auto"/>
        <w:jc w:val="both"/>
      </w:pPr>
      <w:r w:rsidRPr="00FC5F55">
        <w:rPr>
          <w:i/>
        </w:rPr>
        <w:t>Question A1:</w:t>
      </w:r>
      <w:r>
        <w:t xml:space="preserve"> </w:t>
      </w:r>
      <w:r w:rsidRPr="00585C73">
        <w:rPr>
          <w:i/>
        </w:rPr>
        <w:t>Do you consider you pension savings, in general, to be safer or less safe than other capital?</w:t>
      </w:r>
      <w:r w:rsidRPr="00585C73">
        <w:t xml:space="preserve"> </w:t>
      </w:r>
    </w:p>
    <w:p w:rsidR="006277D0" w:rsidRPr="00585C73" w:rsidRDefault="006277D0" w:rsidP="00286071">
      <w:pPr>
        <w:pStyle w:val="NoSpacing"/>
        <w:spacing w:line="360" w:lineRule="auto"/>
        <w:jc w:val="both"/>
      </w:pPr>
    </w:p>
    <w:p w:rsidR="006277D0" w:rsidRDefault="006277D0" w:rsidP="00286071">
      <w:pPr>
        <w:pStyle w:val="NoSpacing"/>
        <w:spacing w:line="360" w:lineRule="auto"/>
        <w:jc w:val="both"/>
      </w:pPr>
      <w:r>
        <w:t xml:space="preserve">The answers were </w:t>
      </w:r>
      <w:r w:rsidRPr="00585C73">
        <w:rPr>
          <w:i/>
        </w:rPr>
        <w:t>safer</w:t>
      </w:r>
      <w:r w:rsidRPr="00585C73">
        <w:t xml:space="preserve"> and </w:t>
      </w:r>
      <w:r w:rsidRPr="00585C73">
        <w:rPr>
          <w:i/>
        </w:rPr>
        <w:t>less safe</w:t>
      </w:r>
      <w:r>
        <w:t xml:space="preserve">. </w:t>
      </w:r>
      <w:r w:rsidRPr="00585C73">
        <w:t>6</w:t>
      </w:r>
      <w:r>
        <w:t>8</w:t>
      </w:r>
      <w:r w:rsidRPr="00585C73">
        <w:t>% of the respondents consider their pension savings to be safer than other capital</w:t>
      </w:r>
      <w:r>
        <w:t>,</w:t>
      </w:r>
      <w:r w:rsidRPr="00585C73">
        <w:t xml:space="preserve"> </w:t>
      </w:r>
      <w:r>
        <w:t>whilst the remaining 32% don’t</w:t>
      </w:r>
      <w:r w:rsidRPr="00585C73">
        <w:t xml:space="preserve"> necessarily consider</w:t>
      </w:r>
      <w:r>
        <w:t xml:space="preserve"> </w:t>
      </w:r>
      <w:r w:rsidRPr="00585C73">
        <w:t xml:space="preserve">their pension savings </w:t>
      </w:r>
      <w:r>
        <w:t xml:space="preserve">as </w:t>
      </w:r>
      <w:r w:rsidRPr="00585C73">
        <w:t>safe</w:t>
      </w:r>
      <w:r>
        <w:t>r</w:t>
      </w:r>
      <w:r w:rsidRPr="00585C73">
        <w:t>. In a</w:t>
      </w:r>
      <w:r>
        <w:t xml:space="preserve"> following question, which remains hidden till the previous question has been answered, a rephrased version of a similar </w:t>
      </w:r>
      <w:r w:rsidRPr="00585C73">
        <w:t>statement was asked</w:t>
      </w:r>
      <w:r>
        <w:t>;</w:t>
      </w:r>
    </w:p>
    <w:p w:rsidR="006277D0" w:rsidRDefault="006277D0" w:rsidP="00286071">
      <w:pPr>
        <w:pStyle w:val="NoSpacing"/>
        <w:spacing w:line="360" w:lineRule="auto"/>
        <w:jc w:val="both"/>
      </w:pPr>
    </w:p>
    <w:p w:rsidR="006277D0" w:rsidRDefault="006277D0" w:rsidP="00286071">
      <w:pPr>
        <w:pStyle w:val="NoSpacing"/>
        <w:spacing w:line="360" w:lineRule="auto"/>
        <w:jc w:val="both"/>
        <w:rPr>
          <w:i/>
        </w:rPr>
      </w:pPr>
      <w:r>
        <w:rPr>
          <w:i/>
        </w:rPr>
        <w:t xml:space="preserve">Questions A2: </w:t>
      </w:r>
      <w:r w:rsidRPr="0021541E">
        <w:rPr>
          <w:i/>
        </w:rPr>
        <w:t>Which of the following two do you consider safer? Your savings money at commercial banks (</w:t>
      </w:r>
      <w:r>
        <w:rPr>
          <w:i/>
        </w:rPr>
        <w:t xml:space="preserve">i.e. </w:t>
      </w:r>
      <w:r w:rsidRPr="0021541E">
        <w:rPr>
          <w:i/>
        </w:rPr>
        <w:t>ING, ABN AMRO, Rabobank) or your pension savings?</w:t>
      </w:r>
    </w:p>
    <w:p w:rsidR="006277D0" w:rsidRPr="0021541E" w:rsidRDefault="006277D0" w:rsidP="00286071">
      <w:pPr>
        <w:pStyle w:val="NoSpacing"/>
        <w:spacing w:line="360" w:lineRule="auto"/>
        <w:jc w:val="both"/>
        <w:rPr>
          <w:i/>
        </w:rPr>
      </w:pPr>
    </w:p>
    <w:p w:rsidR="006277D0" w:rsidRPr="00585C73" w:rsidRDefault="006277D0" w:rsidP="00286071">
      <w:pPr>
        <w:pStyle w:val="NoSpacing"/>
        <w:spacing w:line="360" w:lineRule="auto"/>
        <w:jc w:val="both"/>
      </w:pPr>
      <w:r>
        <w:t xml:space="preserve">The answers this time around were simply </w:t>
      </w:r>
      <w:r w:rsidRPr="0021541E">
        <w:rPr>
          <w:i/>
        </w:rPr>
        <w:t>Banks</w:t>
      </w:r>
      <w:r>
        <w:t xml:space="preserve"> and </w:t>
      </w:r>
      <w:r w:rsidRPr="0021541E">
        <w:rPr>
          <w:i/>
        </w:rPr>
        <w:t>Pension</w:t>
      </w:r>
      <w:r>
        <w:t xml:space="preserve"> </w:t>
      </w:r>
      <w:r w:rsidRPr="0021541E">
        <w:rPr>
          <w:i/>
        </w:rPr>
        <w:t>savings</w:t>
      </w:r>
      <w:r>
        <w:t xml:space="preserve">. </w:t>
      </w:r>
      <w:r w:rsidRPr="00585C73">
        <w:t>It is important to consider that no distinction is made in the question</w:t>
      </w:r>
      <w:r>
        <w:t>s</w:t>
      </w:r>
      <w:r w:rsidRPr="00585C73">
        <w:t xml:space="preserve"> between 1</w:t>
      </w:r>
      <w:r w:rsidRPr="00585C73">
        <w:rPr>
          <w:vertAlign w:val="superscript"/>
        </w:rPr>
        <w:t>st</w:t>
      </w:r>
      <w:r w:rsidRPr="00585C73">
        <w:t>, 2</w:t>
      </w:r>
      <w:r w:rsidRPr="00585C73">
        <w:rPr>
          <w:vertAlign w:val="superscript"/>
        </w:rPr>
        <w:t>nd</w:t>
      </w:r>
      <w:r w:rsidRPr="00585C73">
        <w:t xml:space="preserve"> and 3</w:t>
      </w:r>
      <w:r w:rsidRPr="00585C73">
        <w:rPr>
          <w:vertAlign w:val="superscript"/>
        </w:rPr>
        <w:t>rd</w:t>
      </w:r>
      <w:r w:rsidRPr="00585C73">
        <w:t xml:space="preserve"> pillar pension savings. </w:t>
      </w:r>
      <w:r>
        <w:t xml:space="preserve">Nonetheless, logic expectation suggests that for the second question a similar trend in answers is to be observed as in the previous question. </w:t>
      </w:r>
      <w:r w:rsidRPr="00585C73">
        <w:t>Yet the answers appear inconsistent</w:t>
      </w:r>
      <w:r>
        <w:t xml:space="preserve">, as only 34% of the participants indicated to find their pension savings safer and 66% of the respondents indicate that they consider their money at commercial banks to be safer. Portraying a near mirror image of the answer given in the previous question.  </w:t>
      </w:r>
      <w:r w:rsidRPr="00585C73">
        <w:t xml:space="preserve"> </w:t>
      </w:r>
    </w:p>
    <w:p w:rsidR="006277D0" w:rsidRDefault="006277D0" w:rsidP="00286071">
      <w:pPr>
        <w:pStyle w:val="NoSpacing"/>
        <w:spacing w:line="360" w:lineRule="auto"/>
        <w:jc w:val="both"/>
      </w:pPr>
      <w:r>
        <w:t xml:space="preserve">A logical explanation for these answers remains absent, which makes these results even more confounding. As mentioned the phrasing of the question leaves some room for interpretation, which might have caused confusion or triggered reconsideration. Others might not have considered the safety of their funds in relation to the security of banks, until these were mentioned in the second question. At which point reputation and recent news coverage might have influenced the subjects, persuading them to switch. Others might simply consider the banks as more government controlled these days and safer as such. Or maybe the participants simply just ticked the same box as they did for the previous question. All are rather frail explanations and suggestions for this unusual observation. </w:t>
      </w:r>
    </w:p>
    <w:p w:rsidR="006277D0" w:rsidRDefault="006277D0" w:rsidP="00286071">
      <w:pPr>
        <w:pStyle w:val="NoSpacing"/>
        <w:spacing w:line="360" w:lineRule="auto"/>
        <w:jc w:val="both"/>
      </w:pPr>
    </w:p>
    <w:p w:rsidR="006277D0" w:rsidRPr="00DF1695" w:rsidRDefault="006277D0" w:rsidP="00DA3364">
      <w:pPr>
        <w:pStyle w:val="VIn33"/>
      </w:pPr>
      <w:bookmarkStart w:id="67" w:name="_Toc340568947"/>
      <w:r w:rsidRPr="00DF1695">
        <w:t xml:space="preserve">5.2.3 </w:t>
      </w:r>
      <w:r w:rsidRPr="00950037">
        <w:t>Regression</w:t>
      </w:r>
      <w:r w:rsidRPr="00DF1695">
        <w:t xml:space="preserve"> results</w:t>
      </w:r>
      <w:bookmarkEnd w:id="67"/>
      <w:r w:rsidRPr="00DF1695">
        <w:t xml:space="preserve"> </w:t>
      </w:r>
    </w:p>
    <w:p w:rsidR="006277D0" w:rsidRPr="00CB260B" w:rsidRDefault="006277D0" w:rsidP="00286071">
      <w:pPr>
        <w:pStyle w:val="NoSpacing"/>
        <w:spacing w:line="360" w:lineRule="auto"/>
        <w:jc w:val="both"/>
      </w:pPr>
      <w:r>
        <w:t>The regression results presented in Chapter 4 determine whether to the reject or non-reject the hypotheses. Beyond this verdict, no context for these results is expressed. In this section the results are put into the context of this study and the existing literature, articulating the effect of the hypothesis. Besides this, remarkable and strange results are highlighted and if possible explained.</w:t>
      </w:r>
    </w:p>
    <w:p w:rsidR="006277D0" w:rsidRDefault="006277D0" w:rsidP="00286071">
      <w:pPr>
        <w:pStyle w:val="NoSpacing"/>
        <w:spacing w:line="360" w:lineRule="auto"/>
        <w:jc w:val="both"/>
      </w:pPr>
    </w:p>
    <w:p w:rsidR="006277D0" w:rsidRPr="00DA3364" w:rsidRDefault="006277D0" w:rsidP="00DA3364">
      <w:pPr>
        <w:pStyle w:val="VIn33"/>
      </w:pPr>
      <w:bookmarkStart w:id="68" w:name="_Toc340568948"/>
      <w:r w:rsidRPr="00DA3364">
        <w:t>5.2.4 Hypothesis 1</w:t>
      </w:r>
      <w:bookmarkEnd w:id="68"/>
    </w:p>
    <w:p w:rsidR="006277D0" w:rsidRPr="00FD4014" w:rsidRDefault="006277D0" w:rsidP="00286071">
      <w:pPr>
        <w:pStyle w:val="NoSpacing"/>
        <w:spacing w:line="360" w:lineRule="auto"/>
        <w:jc w:val="both"/>
      </w:pPr>
      <w:r w:rsidRPr="00FD4014">
        <w:t>In hypothesis 1 the depth of the relation between trust and risk aversion is tested. In an attempt to find a directional</w:t>
      </w:r>
      <w:r>
        <w:t xml:space="preserve"> correlation, for</w:t>
      </w:r>
      <w:r w:rsidRPr="00FD4014">
        <w:t xml:space="preserve"> a change in the trust levels of the principal (towards the age</w:t>
      </w:r>
      <w:r w:rsidR="008A5721">
        <w:t>nt) and the principal’s risk att</w:t>
      </w:r>
      <w:r w:rsidRPr="00FD4014">
        <w:t>it</w:t>
      </w:r>
      <w:r w:rsidR="008A5721">
        <w:t>ud</w:t>
      </w:r>
      <w:r w:rsidRPr="00FD4014">
        <w:t xml:space="preserve">e. </w:t>
      </w:r>
    </w:p>
    <w:p w:rsidR="006277D0" w:rsidRPr="00FD4014" w:rsidRDefault="006277D0" w:rsidP="00286071">
      <w:pPr>
        <w:pStyle w:val="NoSpacing"/>
        <w:spacing w:line="360" w:lineRule="auto"/>
        <w:jc w:val="both"/>
      </w:pPr>
      <w:r w:rsidRPr="00FD4014">
        <w:t>The relation between a plan member’s trust in the pension fund and his risk attitude, is by large the most important hypothesis relation of this thesis. The fact that my results prove no such relation or effect</w:t>
      </w:r>
      <w:r>
        <w:t xml:space="preserve"> exist</w:t>
      </w:r>
      <w:r w:rsidRPr="00FD4014">
        <w:t xml:space="preserve">, is apparent. </w:t>
      </w:r>
      <w:r>
        <w:t>Find</w:t>
      </w:r>
      <w:r w:rsidRPr="00FD4014">
        <w:t>ing causa</w:t>
      </w:r>
      <w:r w:rsidR="008A5721">
        <w:t>l implying correlation</w:t>
      </w:r>
      <w:r w:rsidRPr="00FD4014">
        <w:t xml:space="preserve"> would have </w:t>
      </w:r>
      <w:r>
        <w:t>meant</w:t>
      </w:r>
      <w:r w:rsidRPr="00FD4014">
        <w:t xml:space="preserve"> an important advance in the understanding </w:t>
      </w:r>
      <w:r>
        <w:t xml:space="preserve">of risk aversion </w:t>
      </w:r>
      <w:r w:rsidRPr="00FD4014">
        <w:t xml:space="preserve">and </w:t>
      </w:r>
      <w:r w:rsidR="008A5721">
        <w:t xml:space="preserve">be </w:t>
      </w:r>
      <w:r w:rsidRPr="00FD4014">
        <w:t xml:space="preserve">valuable information </w:t>
      </w:r>
      <w:r>
        <w:t xml:space="preserve">in </w:t>
      </w:r>
      <w:r w:rsidRPr="00FD4014">
        <w:t>regard</w:t>
      </w:r>
      <w:r>
        <w:t xml:space="preserve"> to</w:t>
      </w:r>
      <w:r w:rsidRPr="00FD4014">
        <w:t xml:space="preserve"> the current </w:t>
      </w:r>
      <w:r w:rsidR="008A5721">
        <w:t>issue</w:t>
      </w:r>
      <w:r w:rsidRPr="00FD4014">
        <w:t xml:space="preserve"> in the second pillar market.</w:t>
      </w:r>
    </w:p>
    <w:p w:rsidR="006277D0" w:rsidRDefault="006277D0" w:rsidP="00286071">
      <w:pPr>
        <w:pStyle w:val="NoSpacing"/>
        <w:spacing w:line="360" w:lineRule="auto"/>
        <w:jc w:val="both"/>
      </w:pPr>
      <w:r w:rsidRPr="00C657C6">
        <w:t>Th</w:t>
      </w:r>
      <w:r>
        <w:t>is</w:t>
      </w:r>
      <w:r w:rsidRPr="00C657C6">
        <w:t xml:space="preserve"> study separated the measurement of trust and risk attitude, something that as explained in chapter 2 was neglected by many before</w:t>
      </w:r>
      <w:r w:rsidR="009938B7">
        <w:t xml:space="preserve"> (Fehr, 2009; Karlan, 2005; Kosfeld et al 2005)</w:t>
      </w:r>
      <w:r w:rsidRPr="00C657C6">
        <w:t xml:space="preserve">. The second pillar pension market offers no standard principal-agent scenario, with a distorted </w:t>
      </w:r>
      <w:r>
        <w:t>role for</w:t>
      </w:r>
      <w:r w:rsidRPr="00C657C6">
        <w:t xml:space="preserve"> trust </w:t>
      </w:r>
      <w:r>
        <w:t>i</w:t>
      </w:r>
      <w:r w:rsidRPr="00C657C6">
        <w:t xml:space="preserve">n the </w:t>
      </w:r>
      <w:r>
        <w:t>relationship</w:t>
      </w:r>
      <w:r w:rsidRPr="00C657C6">
        <w:t>. Yet it is confounding to see th</w:t>
      </w:r>
      <w:r>
        <w:t>ere i</w:t>
      </w:r>
      <w:r w:rsidRPr="00C657C6">
        <w:t>s no significant relation</w:t>
      </w:r>
      <w:r>
        <w:t xml:space="preserve"> at all between trust and risk attitude.</w:t>
      </w:r>
      <w:r w:rsidR="00EA4555">
        <w:t xml:space="preserve"> Academics are inconclusive of the relation and its direction. Some argue that </w:t>
      </w:r>
      <w:r w:rsidR="005E7764">
        <w:t>trust is a subset of risk (Williamson, 1993), whilst other</w:t>
      </w:r>
      <w:r w:rsidR="00C16F32">
        <w:t>s</w:t>
      </w:r>
      <w:r w:rsidR="005E7764">
        <w:t xml:space="preserve"> argue the </w:t>
      </w:r>
      <w:r w:rsidR="00C16F32">
        <w:t xml:space="preserve">suspected relation that trust is the willingness to take risk, </w:t>
      </w:r>
      <w:r w:rsidR="00C7031F">
        <w:t xml:space="preserve">as tested in this thesis </w:t>
      </w:r>
      <w:r w:rsidR="00C16F32">
        <w:t>(Schoorman et al; 2007; Johnston-George and Swap, 1982)</w:t>
      </w:r>
    </w:p>
    <w:p w:rsidR="006277D0" w:rsidRPr="00C657C6" w:rsidRDefault="006277D0" w:rsidP="00286071">
      <w:pPr>
        <w:pStyle w:val="NoSpacing"/>
        <w:spacing w:line="360" w:lineRule="auto"/>
        <w:jc w:val="both"/>
      </w:pPr>
      <w:r>
        <w:t>The rescaling of the risk aversion results into the risk preference classes (e.g. Risk Averse, Risk Neutral and Risk Seeking) did not change the results. The idea behind the grouping was to enhance any present correlations and forego the critique of some academics on the use of the Likert scale</w:t>
      </w:r>
      <w:r w:rsidR="000C40F2">
        <w:t xml:space="preserve"> </w:t>
      </w:r>
      <w:r>
        <w:t>. They often argue the interval between the given options are not equal</w:t>
      </w:r>
      <w:r w:rsidR="000C40F2">
        <w:t xml:space="preserve"> </w:t>
      </w:r>
      <w:r w:rsidR="000C40F2" w:rsidRPr="00A66A1B">
        <w:t>(Gob et al, 2007)</w:t>
      </w:r>
      <w:r>
        <w:t>, through the regrouping this critique is waived, and did not yield an significant results.</w:t>
      </w:r>
    </w:p>
    <w:p w:rsidR="006277D0" w:rsidRPr="00FD4014" w:rsidRDefault="006277D0" w:rsidP="00286071">
      <w:pPr>
        <w:pStyle w:val="NoSpacing"/>
        <w:spacing w:line="360" w:lineRule="auto"/>
        <w:jc w:val="both"/>
      </w:pPr>
      <w:r w:rsidRPr="00FD4014">
        <w:t xml:space="preserve">This outcome gives incentive </w:t>
      </w:r>
      <w:r>
        <w:t>to reconsider our current</w:t>
      </w:r>
      <w:r w:rsidRPr="00FD4014">
        <w:t xml:space="preserve"> tru</w:t>
      </w:r>
      <w:r>
        <w:t>st measurement and understanding, a</w:t>
      </w:r>
      <w:r w:rsidRPr="00FD4014">
        <w:t xml:space="preserve">s the limitations of </w:t>
      </w:r>
      <w:r>
        <w:t>both</w:t>
      </w:r>
      <w:r w:rsidRPr="00FD4014">
        <w:t xml:space="preserve"> could subvert the true relation</w:t>
      </w:r>
      <w:r>
        <w:t xml:space="preserve"> to risk attitude</w:t>
      </w:r>
      <w:r w:rsidRPr="00FD4014">
        <w:t xml:space="preserve">. </w:t>
      </w:r>
      <w:r w:rsidR="000C40F2">
        <w:t xml:space="preserve">A more concise scale and method to test trust is necessary to do this. </w:t>
      </w:r>
      <w:r w:rsidRPr="00FD4014">
        <w:t xml:space="preserve">Furthermore it means that it’s necessary to look for other dynamic factors that affect and modify risk aversion. </w:t>
      </w:r>
    </w:p>
    <w:p w:rsidR="006277D0" w:rsidRPr="00C35D8C" w:rsidRDefault="006277D0" w:rsidP="00286071">
      <w:pPr>
        <w:pStyle w:val="NoSpacing"/>
        <w:spacing w:line="360" w:lineRule="auto"/>
        <w:jc w:val="both"/>
        <w:rPr>
          <w:strike/>
        </w:rPr>
      </w:pPr>
    </w:p>
    <w:p w:rsidR="006277D0" w:rsidRPr="00DF1695" w:rsidRDefault="006277D0" w:rsidP="00DA3364">
      <w:pPr>
        <w:pStyle w:val="VIn33"/>
      </w:pPr>
      <w:bookmarkStart w:id="69" w:name="_Toc340568949"/>
      <w:r w:rsidRPr="00DF1695">
        <w:t>5.2.5 Hypothesis 2</w:t>
      </w:r>
      <w:bookmarkEnd w:id="69"/>
    </w:p>
    <w:p w:rsidR="006277D0" w:rsidRDefault="006277D0" w:rsidP="00286071">
      <w:pPr>
        <w:pStyle w:val="NoSpacing"/>
        <w:spacing w:line="360" w:lineRule="auto"/>
        <w:jc w:val="both"/>
      </w:pPr>
      <w:r>
        <w:t xml:space="preserve">Hypothesis 2 tests for the existence of a significant relation between trust and knowledge. To see </w:t>
      </w:r>
      <w:r w:rsidRPr="001B4313">
        <w:t>whether a plan member’s trust is independent</w:t>
      </w:r>
      <w:r>
        <w:t>,</w:t>
      </w:r>
      <w:r w:rsidRPr="001B4313">
        <w:t xml:space="preserve"> of </w:t>
      </w:r>
      <w:r>
        <w:t>financial and</w:t>
      </w:r>
      <w:r w:rsidRPr="001B4313">
        <w:t xml:space="preserve"> pension fund knowledge. </w:t>
      </w:r>
    </w:p>
    <w:p w:rsidR="00EE62AC" w:rsidRDefault="006277D0" w:rsidP="00286071">
      <w:pPr>
        <w:pStyle w:val="NoSpacing"/>
        <w:spacing w:line="360" w:lineRule="auto"/>
        <w:jc w:val="both"/>
      </w:pPr>
      <w:r w:rsidRPr="001B4313">
        <w:t>The absence of a significant correlation implies</w:t>
      </w:r>
      <w:r>
        <w:t xml:space="preserve"> that trust </w:t>
      </w:r>
      <w:r w:rsidRPr="001B4313">
        <w:t>operate</w:t>
      </w:r>
      <w:r>
        <w:t>s</w:t>
      </w:r>
      <w:r w:rsidRPr="001B4313">
        <w:t xml:space="preserve"> independently </w:t>
      </w:r>
      <w:r>
        <w:t xml:space="preserve">of </w:t>
      </w:r>
      <w:r w:rsidRPr="001B4313">
        <w:t xml:space="preserve">knowledge and trust </w:t>
      </w:r>
      <w:r>
        <w:t>thus is</w:t>
      </w:r>
      <w:r w:rsidRPr="001B4313">
        <w:t xml:space="preserve"> not dominated by knowledge.</w:t>
      </w:r>
    </w:p>
    <w:p w:rsidR="006277D0" w:rsidRDefault="006277D0" w:rsidP="00286071">
      <w:pPr>
        <w:pStyle w:val="NoSpacing"/>
        <w:spacing w:line="360" w:lineRule="auto"/>
        <w:jc w:val="both"/>
      </w:pPr>
      <w:r w:rsidRPr="001B4313">
        <w:t>The gauging of the influence of knowledge on trust levels is interesting as a significant relationship between the two would have great implications</w:t>
      </w:r>
      <w:r>
        <w:t xml:space="preserve"> as to the understanding of trust’s dynamics.</w:t>
      </w:r>
      <w:r w:rsidRPr="001B4313">
        <w:t xml:space="preserve"> </w:t>
      </w:r>
    </w:p>
    <w:p w:rsidR="006277D0" w:rsidRDefault="006277D0" w:rsidP="00286071">
      <w:pPr>
        <w:pStyle w:val="NoSpacing"/>
        <w:spacing w:line="360" w:lineRule="auto"/>
        <w:jc w:val="both"/>
      </w:pPr>
      <w:r w:rsidRPr="001B4313">
        <w:t>Hitherto literature</w:t>
      </w:r>
      <w:r>
        <w:t xml:space="preserve"> </w:t>
      </w:r>
      <w:r w:rsidRPr="001B4313">
        <w:t>ha</w:t>
      </w:r>
      <w:r>
        <w:t>s</w:t>
      </w:r>
      <w:r w:rsidRPr="001B4313">
        <w:t xml:space="preserve"> told us; that currently the financial literacy of the Dutch population is poor; their knowledge of pension</w:t>
      </w:r>
      <w:r>
        <w:t xml:space="preserve"> savings largely</w:t>
      </w:r>
      <w:r w:rsidRPr="001B4313">
        <w:t xml:space="preserve"> incorrect</w:t>
      </w:r>
      <w:r>
        <w:t xml:space="preserve"> (DNB</w:t>
      </w:r>
      <w:r w:rsidR="002D4552">
        <w:t xml:space="preserve">, </w:t>
      </w:r>
      <w:r w:rsidR="00CC48A8">
        <w:t>2005</w:t>
      </w:r>
      <w:r>
        <w:t>)</w:t>
      </w:r>
      <w:r w:rsidRPr="001B4313">
        <w:t xml:space="preserve"> and t</w:t>
      </w:r>
      <w:r>
        <w:t>hat t</w:t>
      </w:r>
      <w:r w:rsidRPr="001B4313">
        <w:t>he availability of transparent information can do little to change this</w:t>
      </w:r>
      <w:r>
        <w:t xml:space="preserve"> (AFM</w:t>
      </w:r>
      <w:r w:rsidR="002D4552">
        <w:t xml:space="preserve">, 2010; </w:t>
      </w:r>
      <w:r>
        <w:t>Hartsink</w:t>
      </w:r>
      <w:r w:rsidR="002D4552">
        <w:t>,</w:t>
      </w:r>
      <w:r>
        <w:t xml:space="preserve"> 2012)</w:t>
      </w:r>
      <w:r w:rsidRPr="001B4313">
        <w:t>.</w:t>
      </w:r>
      <w:r w:rsidR="00320A55">
        <w:t xml:space="preserve"> </w:t>
      </w:r>
    </w:p>
    <w:p w:rsidR="006277D0" w:rsidRDefault="006277D0" w:rsidP="00286071">
      <w:pPr>
        <w:pStyle w:val="NoSpacing"/>
        <w:spacing w:line="360" w:lineRule="auto"/>
        <w:jc w:val="both"/>
      </w:pPr>
      <w:r>
        <w:t>My results are relevant, as by elimination they have taught something about the</w:t>
      </w:r>
      <w:r w:rsidR="00C81F1C">
        <w:t xml:space="preserve"> subset’s</w:t>
      </w:r>
      <w:r>
        <w:t xml:space="preserve"> decision making process that is fundament to trust. Uncovering some of trust’s dynamics, as apparently </w:t>
      </w:r>
      <w:r w:rsidRPr="001B4313">
        <w:t xml:space="preserve">trust </w:t>
      </w:r>
      <w:r>
        <w:t xml:space="preserve">endowment </w:t>
      </w:r>
      <w:r w:rsidRPr="001B4313">
        <w:t xml:space="preserve">is not subject to knowledge. </w:t>
      </w:r>
      <w:r w:rsidR="00E44BB7">
        <w:t xml:space="preserve">Which raises the suggestion whether pension funds can better redirect their attention to i.e. reputational campaigns to improve trust figures.  </w:t>
      </w:r>
    </w:p>
    <w:p w:rsidR="00092672" w:rsidRDefault="00E44BB7" w:rsidP="00286071">
      <w:pPr>
        <w:pStyle w:val="NoSpacing"/>
        <w:spacing w:line="360" w:lineRule="auto"/>
        <w:jc w:val="both"/>
      </w:pPr>
      <w:r>
        <w:t>The independence of trust and knowledge is a</w:t>
      </w:r>
      <w:r w:rsidR="006277D0">
        <w:t xml:space="preserve"> feature that does not characterize itself, as much of a rational </w:t>
      </w:r>
      <w:r w:rsidR="006277D0" w:rsidRPr="009B1259">
        <w:t>decision</w:t>
      </w:r>
      <w:r w:rsidR="006277D0">
        <w:t>.</w:t>
      </w:r>
      <w:r w:rsidR="006277D0" w:rsidRPr="009B1259">
        <w:t xml:space="preserve"> </w:t>
      </w:r>
      <w:r w:rsidR="00092672">
        <w:t xml:space="preserve">This seemingly irrelevance of knowledge in the establishment of trust could hint trust formation to be a process which is possibly unrational or unconsciously performed. </w:t>
      </w:r>
      <w:r>
        <w:t>Although no such suggestion is raised by the results</w:t>
      </w:r>
      <w:r w:rsidR="00092672">
        <w:t>.</w:t>
      </w:r>
    </w:p>
    <w:p w:rsidR="00092672" w:rsidRDefault="00092672" w:rsidP="00286071">
      <w:pPr>
        <w:pStyle w:val="NoSpacing"/>
        <w:spacing w:line="360" w:lineRule="auto"/>
        <w:jc w:val="both"/>
      </w:pPr>
    </w:p>
    <w:p w:rsidR="006277D0" w:rsidRDefault="006277D0" w:rsidP="00286071">
      <w:pPr>
        <w:pStyle w:val="NoSpacing"/>
        <w:spacing w:line="360" w:lineRule="auto"/>
        <w:jc w:val="both"/>
      </w:pPr>
      <w:r w:rsidRPr="009B1259">
        <w:t xml:space="preserve">This hypothesis has furthered our understanding and, by method of elimination; contributed to the framework </w:t>
      </w:r>
      <w:r>
        <w:t>of trust. What other factors do affect trust endowment levels in the financial principal-agent relationship remains open.</w:t>
      </w:r>
    </w:p>
    <w:p w:rsidR="006277D0" w:rsidRDefault="006277D0" w:rsidP="00286071">
      <w:pPr>
        <w:pStyle w:val="NoSpacing"/>
        <w:spacing w:line="360" w:lineRule="auto"/>
        <w:jc w:val="both"/>
      </w:pPr>
    </w:p>
    <w:p w:rsidR="006277D0" w:rsidRPr="00DF1695" w:rsidRDefault="006277D0" w:rsidP="00DA3364">
      <w:pPr>
        <w:pStyle w:val="VIn33"/>
      </w:pPr>
      <w:bookmarkStart w:id="70" w:name="_Toc340568950"/>
      <w:r w:rsidRPr="00DF1695">
        <w:t>5.2.6 Hypothesis 3</w:t>
      </w:r>
      <w:bookmarkEnd w:id="70"/>
    </w:p>
    <w:p w:rsidR="006277D0" w:rsidRPr="00F362F8" w:rsidRDefault="006277D0" w:rsidP="00286071">
      <w:pPr>
        <w:pStyle w:val="NoSpacing"/>
        <w:spacing w:line="360" w:lineRule="auto"/>
        <w:jc w:val="both"/>
      </w:pPr>
      <w:r w:rsidRPr="00F362F8">
        <w:t>Hypothesis 3 tests for corresponding or contrasting relations and patterns amongst the population. It does so by testing demographic and descriptive variables against trust and risk aversion, to see whether the sample displays any patterns that can be ascribed to populatio</w:t>
      </w:r>
      <w:r>
        <w:t>n cohorts.</w:t>
      </w:r>
    </w:p>
    <w:p w:rsidR="006277D0" w:rsidRPr="00F362F8" w:rsidRDefault="006277D0" w:rsidP="00286071">
      <w:pPr>
        <w:pStyle w:val="NoSpacing"/>
        <w:spacing w:line="360" w:lineRule="auto"/>
        <w:jc w:val="both"/>
      </w:pPr>
      <w:r w:rsidRPr="00F362F8">
        <w:t>The test yielded only three significant results</w:t>
      </w:r>
      <w:r>
        <w:t>,</w:t>
      </w:r>
      <w:r w:rsidRPr="00F362F8">
        <w:t xml:space="preserve"> for investment experience and gender</w:t>
      </w:r>
      <w:r w:rsidR="00731CFA">
        <w:t xml:space="preserve"> in relation to trust variables</w:t>
      </w:r>
      <w:r w:rsidRPr="00F362F8">
        <w:t xml:space="preserve">. </w:t>
      </w:r>
    </w:p>
    <w:p w:rsidR="006277D0" w:rsidRPr="00F362F8" w:rsidRDefault="006277D0" w:rsidP="00286071">
      <w:pPr>
        <w:pStyle w:val="NoSpacing"/>
        <w:spacing w:line="360" w:lineRule="auto"/>
        <w:jc w:val="both"/>
      </w:pPr>
      <w:r w:rsidRPr="00F362F8">
        <w:t xml:space="preserve">The first significant effect, which shows that subjects with investment experience express higher levels of current trust, is hard to explain. There is clear distinction between knowledge and experience, which is supported by the absence of a significant relation between the knowledge and trust variables. I therefore argue that experience creates a certain familiarity with the (financial) topic and as such yields a positive significant relation. A subject with investment experience feels more at ease </w:t>
      </w:r>
      <w:r>
        <w:t xml:space="preserve">and familiar </w:t>
      </w:r>
      <w:r w:rsidRPr="00F362F8">
        <w:t>with the w</w:t>
      </w:r>
      <w:r>
        <w:t>orkings of the financial system,</w:t>
      </w:r>
      <w:r w:rsidRPr="00F362F8">
        <w:t xml:space="preserve"> thi</w:t>
      </w:r>
      <w:r w:rsidR="009371E0">
        <w:t>s affect</w:t>
      </w:r>
      <w:r w:rsidRPr="00F362F8">
        <w:t xml:space="preserve">s trust. </w:t>
      </w:r>
    </w:p>
    <w:p w:rsidR="0048520D" w:rsidRDefault="006277D0" w:rsidP="00286071">
      <w:pPr>
        <w:pStyle w:val="NoSpacing"/>
        <w:spacing w:line="360" w:lineRule="auto"/>
        <w:jc w:val="both"/>
      </w:pPr>
      <w:r w:rsidRPr="00F362F8">
        <w:t xml:space="preserve">The second result that current trust is lower in women than in men, is in accordance to literature and confirms Chaudhuri and Gangaharan (2003) and Buchan, Croson and Solnick (2008).  The </w:t>
      </w:r>
      <w:r>
        <w:t>other</w:t>
      </w:r>
      <w:r w:rsidRPr="00F362F8">
        <w:t xml:space="preserve"> significant result for gender says that women experience</w:t>
      </w:r>
      <w:r>
        <w:t>d</w:t>
      </w:r>
      <w:r w:rsidRPr="00F362F8">
        <w:t xml:space="preserve"> a larger change in their trust levels towards the pension fund. I have no certain explanation for this effect and can only guess as to why this occurred. Literature offers no explanation,</w:t>
      </w:r>
      <w:r>
        <w:t xml:space="preserve"> to motivate</w:t>
      </w:r>
      <w:r w:rsidRPr="00F362F8">
        <w:t xml:space="preserve"> the speed of trust adjustments </w:t>
      </w:r>
      <w:r>
        <w:t>in</w:t>
      </w:r>
      <w:r w:rsidRPr="00F362F8">
        <w:t xml:space="preserve"> individuals and gender. </w:t>
      </w:r>
    </w:p>
    <w:p w:rsidR="006277D0" w:rsidRPr="00F362F8" w:rsidRDefault="006277D0" w:rsidP="00286071">
      <w:pPr>
        <w:pStyle w:val="NoSpacing"/>
        <w:spacing w:line="360" w:lineRule="auto"/>
        <w:jc w:val="both"/>
      </w:pPr>
      <w:r w:rsidRPr="00F362F8">
        <w:t xml:space="preserve">A relevant outcome is also found in the absence of a significant relation between trust and income. The insignificant </w:t>
      </w:r>
      <w:r>
        <w:t>correlation</w:t>
      </w:r>
      <w:r w:rsidRPr="00F362F8">
        <w:t xml:space="preserve"> is in harmony to the literature and my results corroborate with Fehr et al (2003) and Bellamare and Kroger (2006). Similar</w:t>
      </w:r>
      <w:r>
        <w:t>ly</w:t>
      </w:r>
      <w:r w:rsidRPr="00F362F8">
        <w:t xml:space="preserve"> this is applicable to trust and knowledge, as in hypothesis 2.</w:t>
      </w:r>
    </w:p>
    <w:p w:rsidR="006277D0" w:rsidRPr="00F362F8" w:rsidRDefault="006277D0" w:rsidP="00286071">
      <w:pPr>
        <w:pStyle w:val="NoSpacing"/>
        <w:spacing w:line="360" w:lineRule="auto"/>
        <w:jc w:val="both"/>
      </w:pPr>
      <w:r w:rsidRPr="00F362F8">
        <w:t xml:space="preserve">However, it is interesting to see that not more known or expected significant relations have been found. Literature predicted to find cohort differences for age (Sutter and Kocher, 2006) and yet for both variables of age no significant relation was found. </w:t>
      </w:r>
    </w:p>
    <w:p w:rsidR="006277D0" w:rsidRPr="00F362F8" w:rsidRDefault="006277D0" w:rsidP="00286071">
      <w:pPr>
        <w:pStyle w:val="NoSpacing"/>
        <w:spacing w:line="360" w:lineRule="auto"/>
        <w:jc w:val="both"/>
      </w:pPr>
      <w:r w:rsidRPr="00F362F8">
        <w:t>The nonexistence of any signifi</w:t>
      </w:r>
      <w:r>
        <w:t>cant results for risk aversion wa</w:t>
      </w:r>
      <w:r w:rsidRPr="00F362F8">
        <w:t>s not anticipated. Patterns were expected for gender</w:t>
      </w:r>
      <w:r w:rsidR="00403C07">
        <w:t xml:space="preserve"> (Charness and Gneezy, 2007; Hartog et al, 2002)</w:t>
      </w:r>
      <w:r w:rsidRPr="00F362F8">
        <w:t>, age</w:t>
      </w:r>
      <w:r w:rsidR="00403C07">
        <w:t xml:space="preserve"> (Dohmen et al, 2005), income (Donkers et al, 2001) and knowledge (</w:t>
      </w:r>
      <w:r w:rsidR="00403C07" w:rsidRPr="00157503">
        <w:t>Cox et al, 2011</w:t>
      </w:r>
      <w:r w:rsidR="00403C07">
        <w:t xml:space="preserve">) </w:t>
      </w:r>
      <w:r w:rsidRPr="00F362F8">
        <w:t>. Yet none of known effects from existing literature occurred.</w:t>
      </w:r>
    </w:p>
    <w:p w:rsidR="006277D0" w:rsidRDefault="006277D0" w:rsidP="00286071">
      <w:pPr>
        <w:pStyle w:val="NoSpacing"/>
        <w:spacing w:line="360" w:lineRule="auto"/>
        <w:jc w:val="both"/>
      </w:pPr>
      <w:r w:rsidRPr="00F362F8">
        <w:t xml:space="preserve">Consequently, the non-occurrence of any corresponding correlations for both trust and risk aversion means that I can’t affirm that indeed there are corresponding differences in trust levels and risk aversion levels, for different population cohorts. </w:t>
      </w:r>
    </w:p>
    <w:p w:rsidR="0048520D" w:rsidRPr="004257AB" w:rsidRDefault="0048520D" w:rsidP="00286071">
      <w:pPr>
        <w:pStyle w:val="NoSpacing"/>
        <w:spacing w:line="360" w:lineRule="auto"/>
        <w:jc w:val="both"/>
      </w:pPr>
    </w:p>
    <w:p w:rsidR="006277D0" w:rsidRPr="00DF1695" w:rsidRDefault="00DA3364" w:rsidP="00DA3364">
      <w:pPr>
        <w:pStyle w:val="Vin2"/>
        <w:numPr>
          <w:ilvl w:val="0"/>
          <w:numId w:val="0"/>
        </w:numPr>
      </w:pPr>
      <w:bookmarkStart w:id="71" w:name="_Toc340568951"/>
      <w:r>
        <w:t>5.3</w:t>
      </w:r>
      <w:r w:rsidR="006277D0" w:rsidRPr="00DF1695">
        <w:t xml:space="preserve"> Limitations &amp; amendments</w:t>
      </w:r>
      <w:bookmarkEnd w:id="71"/>
    </w:p>
    <w:p w:rsidR="006277D0" w:rsidRDefault="006277D0" w:rsidP="00286071">
      <w:pPr>
        <w:pStyle w:val="NoSpacing"/>
        <w:spacing w:line="360" w:lineRule="auto"/>
        <w:jc w:val="both"/>
      </w:pPr>
      <w:r w:rsidRPr="00585C73">
        <w:t xml:space="preserve">The results of </w:t>
      </w:r>
      <w:r>
        <w:t xml:space="preserve">this </w:t>
      </w:r>
      <w:r w:rsidRPr="00585C73">
        <w:t>thesis</w:t>
      </w:r>
      <w:r>
        <w:t>’ research</w:t>
      </w:r>
      <w:r w:rsidRPr="00585C73">
        <w:t xml:space="preserve"> have been discussed in the </w:t>
      </w:r>
      <w:r>
        <w:t>chapter</w:t>
      </w:r>
      <w:r w:rsidRPr="00585C73">
        <w:t xml:space="preserve"> </w:t>
      </w:r>
      <w:r>
        <w:t xml:space="preserve">4 and section </w:t>
      </w:r>
      <w:r w:rsidRPr="00585C73">
        <w:t>5.</w:t>
      </w:r>
      <w:r>
        <w:t>2</w:t>
      </w:r>
      <w:r w:rsidRPr="00585C73">
        <w:t xml:space="preserve">. However, as yet </w:t>
      </w:r>
      <w:r>
        <w:t>I</w:t>
      </w:r>
      <w:r w:rsidRPr="00585C73">
        <w:t xml:space="preserve"> can’t explain the relation betw</w:t>
      </w:r>
      <w:r>
        <w:t>een trust and risk appetite to my full in</w:t>
      </w:r>
      <w:r w:rsidRPr="00585C73">
        <w:t>ten</w:t>
      </w:r>
      <w:r>
        <w:t>t</w:t>
      </w:r>
      <w:r w:rsidRPr="00585C73">
        <w:t xml:space="preserve">.  </w:t>
      </w:r>
      <w:r>
        <w:t>There are some methodological and applied limitations that might have contributed to</w:t>
      </w:r>
      <w:r w:rsidRPr="00585C73">
        <w:t xml:space="preserve"> this outcome</w:t>
      </w:r>
      <w:r>
        <w:t xml:space="preserve">. These limitations and potential solutions are reviewed. </w:t>
      </w:r>
    </w:p>
    <w:p w:rsidR="006277D0" w:rsidRPr="00041514" w:rsidRDefault="006277D0" w:rsidP="00286071">
      <w:pPr>
        <w:pStyle w:val="NoSpacing"/>
        <w:spacing w:line="360" w:lineRule="auto"/>
        <w:jc w:val="both"/>
        <w:rPr>
          <w:strike/>
        </w:rPr>
      </w:pPr>
    </w:p>
    <w:p w:rsidR="006277D0" w:rsidRDefault="006277D0" w:rsidP="0075434C">
      <w:pPr>
        <w:pStyle w:val="NoSpacing"/>
        <w:spacing w:line="360" w:lineRule="auto"/>
        <w:jc w:val="both"/>
      </w:pPr>
      <w:r w:rsidRPr="00CE5553">
        <w:t>S</w:t>
      </w:r>
      <w:r>
        <w:t>ample</w:t>
      </w:r>
    </w:p>
    <w:p w:rsidR="006277D0" w:rsidRDefault="006277D0" w:rsidP="0075434C">
      <w:pPr>
        <w:pStyle w:val="NoSpacing"/>
        <w:spacing w:line="360" w:lineRule="auto"/>
        <w:jc w:val="both"/>
      </w:pPr>
      <w:r>
        <w:t>For any survey based study the sample is of crucial importance and it was a big disappointment</w:t>
      </w:r>
      <w:r w:rsidRPr="00585C73">
        <w:t xml:space="preserve"> </w:t>
      </w:r>
      <w:r>
        <w:t xml:space="preserve">when </w:t>
      </w:r>
      <w:r w:rsidRPr="00585C73">
        <w:t>the participating pension funds</w:t>
      </w:r>
      <w:r>
        <w:t xml:space="preserve"> and the Hey Group couldn’t deliver on time</w:t>
      </w:r>
      <w:r w:rsidRPr="00585C73">
        <w:t>.</w:t>
      </w:r>
      <w:r>
        <w:t xml:space="preserve"> The initial research design was based on the participation of these parties. Due to unforeseen circumstances their contribution was so severely delayed, that their participation had to be excluded and an alternative subject pool was sought. T</w:t>
      </w:r>
      <w:r w:rsidRPr="00424536">
        <w:t xml:space="preserve">he intention of this thesis survey was to address a </w:t>
      </w:r>
      <w:r>
        <w:t>very</w:t>
      </w:r>
      <w:r w:rsidRPr="00424536">
        <w:t xml:space="preserve"> large and varied population</w:t>
      </w:r>
      <w:r>
        <w:t xml:space="preserve"> c</w:t>
      </w:r>
      <w:r w:rsidRPr="00424536">
        <w:t>ontaining subjects from a</w:t>
      </w:r>
      <w:r>
        <w:t>n</w:t>
      </w:r>
      <w:r w:rsidRPr="00424536">
        <w:t xml:space="preserve"> assortment of second pillar </w:t>
      </w:r>
      <w:r>
        <w:t xml:space="preserve">industry and employer </w:t>
      </w:r>
      <w:r w:rsidRPr="00424536">
        <w:t>pension funds</w:t>
      </w:r>
      <w:r>
        <w:t>,</w:t>
      </w:r>
      <w:r w:rsidRPr="00424536">
        <w:t xml:space="preserve"> providing a good and representative section of the Dutch working population. Although I can’t resolutely accept or deny the influence of my eventual sample on the outcome, the initially </w:t>
      </w:r>
      <w:r>
        <w:t>intended</w:t>
      </w:r>
      <w:r w:rsidRPr="00424536">
        <w:t xml:space="preserve"> sample would in any case be preferred. </w:t>
      </w:r>
      <w:r>
        <w:t>As that subject population approached</w:t>
      </w:r>
      <w:r w:rsidRPr="00585C73">
        <w:t xml:space="preserve"> the thousand</w:t>
      </w:r>
      <w:r>
        <w:t>s, and was thus</w:t>
      </w:r>
      <w:r w:rsidRPr="00585C73">
        <w:t xml:space="preserve"> </w:t>
      </w:r>
      <w:r>
        <w:t>likel</w:t>
      </w:r>
      <w:r w:rsidRPr="00585C73">
        <w:t>y be a</w:t>
      </w:r>
      <w:r>
        <w:t>n even</w:t>
      </w:r>
      <w:r w:rsidRPr="00585C73">
        <w:t xml:space="preserve"> more diversified an</w:t>
      </w:r>
      <w:r>
        <w:t>d</w:t>
      </w:r>
      <w:r w:rsidRPr="00585C73">
        <w:t xml:space="preserve"> proper representation of the Dutch population than the 122 participants used for this thesis.</w:t>
      </w:r>
    </w:p>
    <w:p w:rsidR="006277D0" w:rsidRDefault="006277D0" w:rsidP="0075434C">
      <w:pPr>
        <w:pStyle w:val="NoSpacing"/>
        <w:spacing w:line="360" w:lineRule="auto"/>
        <w:jc w:val="both"/>
      </w:pPr>
      <w:r>
        <w:t>A large population pool</w:t>
      </w:r>
      <w:r w:rsidRPr="00585C73">
        <w:t xml:space="preserve"> allow</w:t>
      </w:r>
      <w:r>
        <w:t>s for more certainty regarding the observation of anomalies and</w:t>
      </w:r>
      <w:r w:rsidRPr="00585C73">
        <w:t xml:space="preserve"> patterns, whereas in a small subject population such observations </w:t>
      </w:r>
      <w:r>
        <w:t>have less representative validity</w:t>
      </w:r>
      <w:r w:rsidRPr="00585C73">
        <w:t>.</w:t>
      </w:r>
      <w:r>
        <w:t xml:space="preserve"> </w:t>
      </w:r>
      <w:r w:rsidRPr="00585C73">
        <w:t xml:space="preserve">Although the current subject population was of a large enough number to be scientifically significant and quite well diversified, it </w:t>
      </w:r>
      <w:r>
        <w:t>was not the subject pool the author intended</w:t>
      </w:r>
      <w:r w:rsidRPr="00585C73">
        <w:t>.</w:t>
      </w:r>
    </w:p>
    <w:p w:rsidR="006277D0" w:rsidRDefault="006277D0" w:rsidP="0075434C">
      <w:pPr>
        <w:pStyle w:val="NoSpacing"/>
        <w:spacing w:line="360" w:lineRule="auto"/>
        <w:jc w:val="both"/>
      </w:pPr>
      <w:r>
        <w:t>The characteristics and build-up of the sample population have been discussed and contrasted in chapter 3.</w:t>
      </w:r>
    </w:p>
    <w:p w:rsidR="006277D0" w:rsidRDefault="006277D0" w:rsidP="0075434C">
      <w:pPr>
        <w:pStyle w:val="NoSpacing"/>
        <w:spacing w:line="360" w:lineRule="auto"/>
        <w:jc w:val="both"/>
      </w:pPr>
      <w:r>
        <w:t>Although I did not succeed in my initial intention I am certainly not discontent. Furthermore, I can’t resolutely accept or refute the influence of my eventual sample on the outcome; the initially eyed sample would have had any scientist preference but of course does not offer a guarantee for different outcomes.</w:t>
      </w:r>
    </w:p>
    <w:p w:rsidR="006277D0" w:rsidRDefault="006277D0" w:rsidP="004257AB">
      <w:pPr>
        <w:pStyle w:val="NoSpacing"/>
        <w:jc w:val="both"/>
      </w:pPr>
    </w:p>
    <w:p w:rsidR="006277D0" w:rsidRPr="00585C73" w:rsidRDefault="006277D0" w:rsidP="0075434C">
      <w:pPr>
        <w:pStyle w:val="NoSpacing"/>
        <w:spacing w:line="360" w:lineRule="auto"/>
        <w:jc w:val="both"/>
      </w:pPr>
      <w:r>
        <w:t>Method</w:t>
      </w:r>
    </w:p>
    <w:p w:rsidR="006277D0" w:rsidRDefault="006277D0" w:rsidP="0075434C">
      <w:pPr>
        <w:pStyle w:val="NoSpacing"/>
        <w:spacing w:line="360" w:lineRule="auto"/>
        <w:jc w:val="both"/>
      </w:pPr>
      <w:r>
        <w:t>The methods employed, both for gathering and analyzing the data were carefully selected. There is, however an interesting adjustment possible regarding the methodology used to gather the data. This adjustment relates</w:t>
      </w:r>
      <w:r w:rsidRPr="00585C73">
        <w:t xml:space="preserve"> to the </w:t>
      </w:r>
      <w:r>
        <w:t xml:space="preserve">survey’s </w:t>
      </w:r>
      <w:r w:rsidRPr="00585C73">
        <w:t>timeframe</w:t>
      </w:r>
      <w:r>
        <w:t>.</w:t>
      </w:r>
      <w:r w:rsidRPr="00585C73">
        <w:t xml:space="preserve"> The research in this thesis was done based on the data gathered from a single period</w:t>
      </w:r>
      <w:r>
        <w:t xml:space="preserve">, a </w:t>
      </w:r>
      <w:r w:rsidRPr="00585C73">
        <w:t>snapshot</w:t>
      </w:r>
      <w:r>
        <w:t xml:space="preserve"> so to say</w:t>
      </w:r>
      <w:r w:rsidRPr="00585C73">
        <w:t>. Th</w:t>
      </w:r>
      <w:r>
        <w:t>us th</w:t>
      </w:r>
      <w:r w:rsidRPr="00585C73">
        <w:t xml:space="preserve">e survey was only answered once by all participants. As a consequence the data and subsequent results are </w:t>
      </w:r>
      <w:r>
        <w:t xml:space="preserve">relatively </w:t>
      </w:r>
      <w:r w:rsidRPr="00585C73">
        <w:t xml:space="preserve">static. </w:t>
      </w:r>
    </w:p>
    <w:p w:rsidR="006277D0" w:rsidRDefault="006277D0" w:rsidP="0075434C">
      <w:pPr>
        <w:pStyle w:val="NoSpacing"/>
        <w:spacing w:line="360" w:lineRule="auto"/>
        <w:jc w:val="both"/>
      </w:pPr>
      <w:r>
        <w:t>I say relatively static as the survey does inquire about the subject’s attitude in previous periods and not solely their attitude at time of answering. Although the single time observation didn’t put any limitations on the gathering of results and the results</w:t>
      </w:r>
      <w:r w:rsidRPr="00585C73">
        <w:t xml:space="preserve"> remain very useful for this </w:t>
      </w:r>
      <w:r w:rsidRPr="00CA4ABA">
        <w:t>research (and many studies alike).</w:t>
      </w:r>
    </w:p>
    <w:p w:rsidR="006277D0" w:rsidRDefault="006277D0" w:rsidP="0075434C">
      <w:pPr>
        <w:pStyle w:val="NoSpacing"/>
        <w:spacing w:line="360" w:lineRule="auto"/>
        <w:jc w:val="both"/>
      </w:pPr>
      <w:r>
        <w:t>An</w:t>
      </w:r>
      <w:r w:rsidRPr="00424536">
        <w:t xml:space="preserve"> adjustment that change</w:t>
      </w:r>
      <w:r>
        <w:t>s</w:t>
      </w:r>
      <w:r w:rsidRPr="00424536">
        <w:t xml:space="preserve"> the prospect </w:t>
      </w:r>
      <w:r>
        <w:t xml:space="preserve">and potential outcome </w:t>
      </w:r>
      <w:r w:rsidRPr="00424536">
        <w:t xml:space="preserve">of this study would be to introduce a time-series recording. Using a time series recording of the same survey </w:t>
      </w:r>
      <w:r>
        <w:t>with</w:t>
      </w:r>
      <w:r w:rsidRPr="00424536">
        <w:t xml:space="preserve"> the same </w:t>
      </w:r>
      <w:r>
        <w:t xml:space="preserve">recorded </w:t>
      </w:r>
      <w:r w:rsidRPr="00424536">
        <w:t>subject population</w:t>
      </w:r>
      <w:r>
        <w:t>,</w:t>
      </w:r>
      <w:r w:rsidRPr="00424536">
        <w:t xml:space="preserve"> would provide insight into the development of their opinions, attitudes and feelings. </w:t>
      </w:r>
      <w:r>
        <w:t>E</w:t>
      </w:r>
      <w:r w:rsidRPr="00424536">
        <w:t>nabl</w:t>
      </w:r>
      <w:r>
        <w:t xml:space="preserve">ing </w:t>
      </w:r>
      <w:r w:rsidRPr="00424536">
        <w:t>the observation of patterns and note the evolv</w:t>
      </w:r>
      <w:r>
        <w:t>ement</w:t>
      </w:r>
      <w:r w:rsidRPr="00424536">
        <w:t xml:space="preserve"> over time</w:t>
      </w:r>
      <w:r>
        <w:t>,</w:t>
      </w:r>
      <w:r w:rsidRPr="00424536">
        <w:t xml:space="preserve"> within </w:t>
      </w:r>
      <w:r>
        <w:t>cohorts</w:t>
      </w:r>
      <w:r w:rsidRPr="00424536">
        <w:t xml:space="preserve">. </w:t>
      </w:r>
    </w:p>
    <w:p w:rsidR="006277D0" w:rsidRDefault="006277D0" w:rsidP="0075434C">
      <w:pPr>
        <w:pStyle w:val="NoSpacing"/>
        <w:spacing w:line="360" w:lineRule="auto"/>
        <w:jc w:val="both"/>
      </w:pPr>
      <w:r>
        <w:t>The s</w:t>
      </w:r>
      <w:r w:rsidRPr="00424536">
        <w:t xml:space="preserve">ubsequent observational changes in behavior and attitude can </w:t>
      </w:r>
      <w:r>
        <w:t>potentially</w:t>
      </w:r>
      <w:r w:rsidRPr="00424536">
        <w:t xml:space="preserve"> be explained by recent events, and aid in explaining the drivers behind these changes. </w:t>
      </w:r>
      <w:r>
        <w:t>T</w:t>
      </w:r>
      <w:r w:rsidRPr="00424536">
        <w:t xml:space="preserve">wo dimensions </w:t>
      </w:r>
      <w:r>
        <w:t>that would complement ones</w:t>
      </w:r>
      <w:r w:rsidRPr="00424536">
        <w:t xml:space="preserve"> study</w:t>
      </w:r>
      <w:r>
        <w:t>. Time-series</w:t>
      </w:r>
      <w:r w:rsidRPr="00424536">
        <w:t xml:space="preserve"> elaboration would </w:t>
      </w:r>
      <w:r>
        <w:t xml:space="preserve">reduce this </w:t>
      </w:r>
      <w:r w:rsidRPr="00424536">
        <w:t>thesis’ relative restriction of r</w:t>
      </w:r>
      <w:r>
        <w:t>isk and trust measurement staticity</w:t>
      </w:r>
      <w:r w:rsidRPr="00B528D4">
        <w:t>. Presenting</w:t>
      </w:r>
      <w:r>
        <w:t xml:space="preserve"> </w:t>
      </w:r>
      <w:r w:rsidRPr="00B528D4">
        <w:t>a timeline image on the development of the second pillar pension market population</w:t>
      </w:r>
      <w:r w:rsidRPr="00424536">
        <w:t xml:space="preserve">. </w:t>
      </w:r>
      <w:r w:rsidRPr="00831266">
        <w:t>It would be paramount for the success to of this adaption that the times series is performed by the same</w:t>
      </w:r>
      <w:r>
        <w:t xml:space="preserve"> identifiable</w:t>
      </w:r>
      <w:r w:rsidRPr="00831266">
        <w:t xml:space="preserve"> individuals, to observe the personal changes</w:t>
      </w:r>
      <w:r>
        <w:t>.</w:t>
      </w:r>
    </w:p>
    <w:p w:rsidR="0048520D" w:rsidRDefault="006277D0" w:rsidP="004257AB">
      <w:pPr>
        <w:pStyle w:val="NoSpacing"/>
        <w:spacing w:line="360" w:lineRule="auto"/>
        <w:jc w:val="both"/>
      </w:pPr>
      <w:r>
        <w:t xml:space="preserve">This could possibly yield </w:t>
      </w:r>
      <w:r w:rsidRPr="00424536">
        <w:t>different results compared to the self-professed answers that this study recorded.</w:t>
      </w:r>
      <w:r>
        <w:t xml:space="preserve"> </w:t>
      </w:r>
      <w:r w:rsidRPr="00424536">
        <w:t xml:space="preserve">This adjustment is </w:t>
      </w:r>
      <w:r>
        <w:t xml:space="preserve">deemed compatible with </w:t>
      </w:r>
      <w:r w:rsidRPr="00424536">
        <w:t xml:space="preserve">both risk and </w:t>
      </w:r>
      <w:r>
        <w:t xml:space="preserve">trust are dynamic concepts, </w:t>
      </w:r>
      <w:r w:rsidRPr="00424536">
        <w:t xml:space="preserve">known to change over time. </w:t>
      </w:r>
      <w:r>
        <w:t xml:space="preserve">The adjustment would also allow for sufficing tests of reliability. The time series information allows for easier and simpler distillation of patterns in the data, enabling easier and quicker causal research. </w:t>
      </w:r>
    </w:p>
    <w:p w:rsidR="006277D0" w:rsidRPr="000E21EC" w:rsidRDefault="006277D0" w:rsidP="004257AB">
      <w:pPr>
        <w:pStyle w:val="NoSpacing"/>
        <w:spacing w:line="360" w:lineRule="auto"/>
        <w:jc w:val="both"/>
      </w:pPr>
      <w:r>
        <w:t>This increase in simplicity is countered though; by the difficulty in finding a large enough representative subject pool willing and able to participate in a time-series survey. Chances of achieving this, even with a large budget and authority, I deem improbably small for a thesis student.</w:t>
      </w:r>
    </w:p>
    <w:p w:rsidR="0048520D" w:rsidRDefault="0048520D" w:rsidP="0075434C">
      <w:pPr>
        <w:pStyle w:val="NoSpacing"/>
        <w:spacing w:line="360" w:lineRule="auto"/>
        <w:jc w:val="both"/>
      </w:pPr>
    </w:p>
    <w:p w:rsidR="006277D0" w:rsidRPr="00585C73" w:rsidRDefault="006277D0" w:rsidP="0075434C">
      <w:pPr>
        <w:pStyle w:val="NoSpacing"/>
        <w:spacing w:line="360" w:lineRule="auto"/>
        <w:jc w:val="both"/>
      </w:pPr>
      <w:r>
        <w:t>Literature</w:t>
      </w:r>
    </w:p>
    <w:p w:rsidR="006277D0" w:rsidRDefault="006277D0" w:rsidP="0075434C">
      <w:pPr>
        <w:pStyle w:val="NoSpacing"/>
        <w:spacing w:line="360" w:lineRule="auto"/>
        <w:jc w:val="both"/>
      </w:pPr>
      <w:r>
        <w:t xml:space="preserve">One of the inspirations for this study, also represented one of the hurdles encountered in the course of this research. The gaps and indecisiveness in existing literature didn’t make things simple. Although trust is credited as a vital economic factor, the quantity of literature regarding its applied and intrinsic dynamics is limited. More literature on the detail of dimensions and measurement methods would have been helpful. </w:t>
      </w:r>
    </w:p>
    <w:p w:rsidR="006277D0" w:rsidRDefault="006277D0" w:rsidP="0075434C">
      <w:pPr>
        <w:pStyle w:val="NoSpacing"/>
        <w:spacing w:line="360" w:lineRule="auto"/>
        <w:jc w:val="both"/>
      </w:pPr>
      <w:r>
        <w:t>A similar note is appropriate for the practical determination and functional measurement of risk attitudes. As a thesis student I am majorly dependent on the existing literature. The method by Holt and Laury was chosen as it is deemed reliable and survey appropriate. Yet the absence of such a method for trust measurement is regrettable, and an immediate opportunity for future research.</w:t>
      </w:r>
    </w:p>
    <w:p w:rsidR="006277D0" w:rsidRDefault="006277D0" w:rsidP="006277D0">
      <w:pPr>
        <w:pStyle w:val="NoSpacing"/>
        <w:spacing w:line="360" w:lineRule="auto"/>
      </w:pPr>
    </w:p>
    <w:p w:rsidR="006277D0" w:rsidRPr="00DF1695" w:rsidRDefault="00EE004F" w:rsidP="00EE004F">
      <w:pPr>
        <w:pStyle w:val="Vin2"/>
        <w:numPr>
          <w:ilvl w:val="0"/>
          <w:numId w:val="0"/>
        </w:numPr>
      </w:pPr>
      <w:bookmarkStart w:id="72" w:name="_Toc340568952"/>
      <w:r>
        <w:t>5.4</w:t>
      </w:r>
      <w:r w:rsidR="006277D0" w:rsidRPr="00DF1695">
        <w:t xml:space="preserve"> Conclusion</w:t>
      </w:r>
      <w:bookmarkEnd w:id="72"/>
    </w:p>
    <w:p w:rsidR="006277D0" w:rsidRDefault="006277D0" w:rsidP="0075434C">
      <w:pPr>
        <w:pStyle w:val="NoSpacing"/>
        <w:spacing w:line="360" w:lineRule="auto"/>
        <w:jc w:val="both"/>
      </w:pPr>
      <w:r>
        <w:t>In this section the most important and notable aspects of this thesis were reflected upon. The effectiveness of the survey was discussed and the criteria for distillation of the respondents explained. Some particular confounding results from complementing questions in an alternative survey were presented. Followed by an discussion of the various results. Here the bare regression results are put into context, providing an explanation about their relevance and the theoretical framework.  To be followed by a review of limitations met along the way, extensions to transform expand the study.</w:t>
      </w:r>
    </w:p>
    <w:p w:rsidR="006277D0" w:rsidRDefault="006277D0"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Default="000831F3" w:rsidP="006277D0">
      <w:pPr>
        <w:pStyle w:val="NoSpacing"/>
      </w:pPr>
    </w:p>
    <w:p w:rsidR="000831F3" w:rsidRPr="00C91B79" w:rsidRDefault="000831F3" w:rsidP="008534A2">
      <w:pPr>
        <w:pStyle w:val="VIN1"/>
      </w:pPr>
      <w:bookmarkStart w:id="73" w:name="_Toc340568953"/>
      <w:r w:rsidRPr="00C91B79">
        <w:t>Chapter 6 Conclusion</w:t>
      </w:r>
      <w:r>
        <w:t xml:space="preserve"> &amp; r</w:t>
      </w:r>
      <w:r w:rsidRPr="00C91B79">
        <w:t>ecommendations</w:t>
      </w:r>
      <w:bookmarkEnd w:id="73"/>
    </w:p>
    <w:p w:rsidR="000831F3" w:rsidRPr="00C91B79" w:rsidRDefault="008534A2" w:rsidP="008534A2">
      <w:pPr>
        <w:pStyle w:val="Vin2"/>
        <w:numPr>
          <w:ilvl w:val="0"/>
          <w:numId w:val="0"/>
        </w:numPr>
      </w:pPr>
      <w:bookmarkStart w:id="74" w:name="_Toc340568954"/>
      <w:r>
        <w:t>6.1</w:t>
      </w:r>
      <w:r w:rsidR="000831F3" w:rsidRPr="00C91B79">
        <w:t xml:space="preserve"> Introduction</w:t>
      </w:r>
      <w:bookmarkEnd w:id="74"/>
    </w:p>
    <w:p w:rsidR="000831F3" w:rsidRDefault="00F05A9C" w:rsidP="0075434C">
      <w:pPr>
        <w:pStyle w:val="NoSpacing"/>
        <w:spacing w:line="360" w:lineRule="auto"/>
        <w:jc w:val="both"/>
      </w:pPr>
      <w:r>
        <w:t>T</w:t>
      </w:r>
      <w:r w:rsidR="000831F3">
        <w:t xml:space="preserve">he final chapter of this thesis </w:t>
      </w:r>
      <w:r w:rsidR="00FC137A">
        <w:t xml:space="preserve">presents </w:t>
      </w:r>
      <w:r w:rsidR="000831F3">
        <w:t>the conclusions</w:t>
      </w:r>
      <w:r w:rsidR="002A16FD">
        <w:t>.</w:t>
      </w:r>
      <w:r w:rsidR="002B5C1C">
        <w:t xml:space="preserve"> Comments are made</w:t>
      </w:r>
      <w:r w:rsidR="000831F3">
        <w:t xml:space="preserve"> on the outcome of this research, and a broad overview on the interpretation and the implication of this thesis’ outcome</w:t>
      </w:r>
      <w:r w:rsidR="00FC137A">
        <w:t xml:space="preserve"> is offered</w:t>
      </w:r>
      <w:r w:rsidR="000831F3">
        <w:t>. After which, completing this thesis with some of my personal recommendations on the scope for further research in both the field of “trust-economics” and the second pillar pension plan design.</w:t>
      </w:r>
    </w:p>
    <w:p w:rsidR="000831F3" w:rsidRDefault="000831F3" w:rsidP="000831F3">
      <w:pPr>
        <w:pStyle w:val="NoSpacing"/>
        <w:spacing w:line="360" w:lineRule="auto"/>
      </w:pPr>
    </w:p>
    <w:p w:rsidR="000831F3" w:rsidRPr="00C91B79" w:rsidRDefault="008534A2" w:rsidP="008534A2">
      <w:pPr>
        <w:pStyle w:val="Vin2"/>
        <w:numPr>
          <w:ilvl w:val="0"/>
          <w:numId w:val="0"/>
        </w:numPr>
      </w:pPr>
      <w:bookmarkStart w:id="75" w:name="_Toc340568955"/>
      <w:r>
        <w:t>6.2</w:t>
      </w:r>
      <w:r w:rsidR="000831F3" w:rsidRPr="00C91B79">
        <w:t xml:space="preserve"> Conclusion</w:t>
      </w:r>
      <w:bookmarkEnd w:id="75"/>
    </w:p>
    <w:p w:rsidR="000831F3" w:rsidRDefault="000831F3" w:rsidP="0075434C">
      <w:pPr>
        <w:pStyle w:val="NoSpacing"/>
        <w:spacing w:line="360" w:lineRule="auto"/>
        <w:jc w:val="both"/>
      </w:pPr>
      <w:r w:rsidRPr="008C181E">
        <w:t>The aim of this thesis was to identify the nature of the relation between trust and risk in second pill</w:t>
      </w:r>
      <w:r>
        <w:t xml:space="preserve">ar pension plan members. </w:t>
      </w:r>
      <w:r w:rsidR="004D7B2A">
        <w:t>The expectation was to find a</w:t>
      </w:r>
      <w:r>
        <w:t xml:space="preserve"> dominant role for trust and a correlational relationship for</w:t>
      </w:r>
      <w:r w:rsidRPr="008C181E">
        <w:t xml:space="preserve"> the</w:t>
      </w:r>
      <w:r>
        <w:t xml:space="preserve"> </w:t>
      </w:r>
      <w:r w:rsidRPr="008C181E">
        <w:t>influence of trust on the risk attitud</w:t>
      </w:r>
      <w:r>
        <w:t>e of second pillar plan members.</w:t>
      </w:r>
    </w:p>
    <w:p w:rsidR="000831F3" w:rsidRPr="008C181E" w:rsidRDefault="000831F3" w:rsidP="0075434C">
      <w:pPr>
        <w:pStyle w:val="NoSpacing"/>
        <w:spacing w:line="360" w:lineRule="auto"/>
        <w:jc w:val="both"/>
      </w:pPr>
    </w:p>
    <w:p w:rsidR="000831F3" w:rsidRDefault="000831F3" w:rsidP="0075434C">
      <w:pPr>
        <w:pStyle w:val="NoSpacing"/>
        <w:spacing w:line="360" w:lineRule="auto"/>
        <w:jc w:val="both"/>
      </w:pPr>
      <w:r>
        <w:t xml:space="preserve">This study has shown that second pillar plan member’s risk attitude is not significantly affected or subject to the plan member’s declared trust endowment in the pension fund. There is no significant direct proof and no suggestion of a significant relation via the other factors tested. </w:t>
      </w:r>
    </w:p>
    <w:p w:rsidR="000831F3" w:rsidRDefault="000831F3" w:rsidP="0075434C">
      <w:pPr>
        <w:pStyle w:val="NoSpacing"/>
        <w:spacing w:line="360" w:lineRule="auto"/>
        <w:jc w:val="both"/>
      </w:pPr>
      <w:r>
        <w:t xml:space="preserve">As such, the idea that trust is a determining factor for the risk appetite expressed by plan members, has to be abandoned. Consequently this thesis cannot affirm the notion that trust is the willingness to take risk. </w:t>
      </w:r>
    </w:p>
    <w:p w:rsidR="000831F3" w:rsidRDefault="000831F3" w:rsidP="0075434C">
      <w:pPr>
        <w:pStyle w:val="NoSpacing"/>
        <w:spacing w:line="360" w:lineRule="auto"/>
        <w:jc w:val="both"/>
      </w:pPr>
      <w:r>
        <w:t xml:space="preserve">The findings imply that </w:t>
      </w:r>
      <w:r w:rsidR="00067544">
        <w:t>in this population subset of second pillar plan members, t</w:t>
      </w:r>
      <w:r>
        <w:t xml:space="preserve">he trust level of a plan member is </w:t>
      </w:r>
      <w:r w:rsidR="00067544">
        <w:t>non-essential</w:t>
      </w:r>
      <w:r>
        <w:t xml:space="preserve"> for the second pillar pension fund to act in accordance to the member’s risk attitude. It also </w:t>
      </w:r>
      <w:r w:rsidR="00AB0BD6">
        <w:t>insinuates</w:t>
      </w:r>
      <w:r>
        <w:t xml:space="preserve"> that in the second pillar pension plan market the trust a pri</w:t>
      </w:r>
      <w:r w:rsidR="00AB0BD6">
        <w:t xml:space="preserve">ncipal endows in his agent </w:t>
      </w:r>
      <w:r w:rsidR="00360CB1">
        <w:t xml:space="preserve">is not </w:t>
      </w:r>
      <w:r w:rsidR="005B7760">
        <w:t xml:space="preserve">of </w:t>
      </w:r>
      <w:r w:rsidR="00360CB1">
        <w:t>vital</w:t>
      </w:r>
      <w:r w:rsidR="005B7760">
        <w:t xml:space="preserve"> importance</w:t>
      </w:r>
      <w:r>
        <w:t xml:space="preserve">. </w:t>
      </w:r>
      <w:r w:rsidR="00C91CF3">
        <w:t xml:space="preserve">As the presence or absence of trust should not alter the agent’s performance in accordance to the </w:t>
      </w:r>
      <w:r w:rsidR="00AE14E9">
        <w:t xml:space="preserve">principal’s </w:t>
      </w:r>
      <w:r w:rsidR="00C91CF3">
        <w:t xml:space="preserve">risk attitude and the relationship is </w:t>
      </w:r>
      <w:r w:rsidR="00AE14E9">
        <w:t>obligatory</w:t>
      </w:r>
      <w:r w:rsidR="00C91CF3">
        <w:t xml:space="preserve">. </w:t>
      </w:r>
      <w:r w:rsidR="00AB0BD6">
        <w:t>Th</w:t>
      </w:r>
      <w:r w:rsidR="003414E0">
        <w:t>e non-essential role of trust</w:t>
      </w:r>
      <w:r w:rsidR="00AB0BD6">
        <w:t xml:space="preserve"> </w:t>
      </w:r>
      <w:r w:rsidR="003414E0">
        <w:t>implies</w:t>
      </w:r>
      <w:r>
        <w:t xml:space="preserve"> the </w:t>
      </w:r>
      <w:r w:rsidR="003414E0">
        <w:t>unusual</w:t>
      </w:r>
      <w:r>
        <w:t xml:space="preserve"> principal agent relation is not primarily as distortive as thought. </w:t>
      </w:r>
      <w:r w:rsidR="002D1372">
        <w:t>This is because</w:t>
      </w:r>
      <w:r>
        <w:t xml:space="preserve"> the results suggest that if the second pillar market would allow for the full expression of trust’s influence, as in common principal agent markets, this will not necessarily alter the </w:t>
      </w:r>
      <w:r w:rsidR="007A7164">
        <w:t>r</w:t>
      </w:r>
      <w:r w:rsidR="00AE14E9">
        <w:t>i</w:t>
      </w:r>
      <w:r w:rsidR="007A7164">
        <w:t xml:space="preserve">sk attitude and thus investment risk. </w:t>
      </w:r>
      <w:r>
        <w:t>relation</w:t>
      </w:r>
      <w:r w:rsidR="002D1372">
        <w:t xml:space="preserve"> </w:t>
      </w:r>
      <w:r w:rsidR="007A7164">
        <w:t xml:space="preserve">between the two sides </w:t>
      </w:r>
      <w:r w:rsidR="002D1372">
        <w:t>or risk attitude</w:t>
      </w:r>
      <w:r>
        <w:t xml:space="preserve">. </w:t>
      </w:r>
    </w:p>
    <w:p w:rsidR="00911B77" w:rsidRDefault="000831F3" w:rsidP="0075434C">
      <w:pPr>
        <w:pStyle w:val="NoSpacing"/>
        <w:spacing w:line="360" w:lineRule="auto"/>
        <w:jc w:val="both"/>
      </w:pPr>
      <w:r>
        <w:t>Furthermore, t</w:t>
      </w:r>
      <w:r w:rsidRPr="008C181E">
        <w:t>h</w:t>
      </w:r>
      <w:r>
        <w:t>is thesis finds</w:t>
      </w:r>
      <w:r w:rsidRPr="008C181E">
        <w:t xml:space="preserve"> trust</w:t>
      </w:r>
      <w:r>
        <w:t xml:space="preserve"> is independent</w:t>
      </w:r>
      <w:r w:rsidRPr="008C181E">
        <w:t xml:space="preserve"> from financial and pension fund knowledge</w:t>
      </w:r>
      <w:r>
        <w:t xml:space="preserve">. The non-appearance of a significant relation </w:t>
      </w:r>
      <w:r w:rsidRPr="008C181E">
        <w:t xml:space="preserve">means </w:t>
      </w:r>
      <w:r>
        <w:t xml:space="preserve">that it doesn’t matter how </w:t>
      </w:r>
      <w:r w:rsidRPr="008C181E">
        <w:t>knowledg</w:t>
      </w:r>
      <w:r>
        <w:t>eable</w:t>
      </w:r>
      <w:r w:rsidRPr="008C181E">
        <w:t xml:space="preserve"> a </w:t>
      </w:r>
      <w:r w:rsidR="005852DF">
        <w:t>subject</w:t>
      </w:r>
      <w:r w:rsidRPr="008C181E">
        <w:t xml:space="preserve"> </w:t>
      </w:r>
      <w:r>
        <w:t>is, to</w:t>
      </w:r>
      <w:r w:rsidRPr="008C181E">
        <w:t xml:space="preserve"> </w:t>
      </w:r>
      <w:r>
        <w:t xml:space="preserve">how much </w:t>
      </w:r>
      <w:r w:rsidRPr="008C181E">
        <w:t>the</w:t>
      </w:r>
      <w:r>
        <w:t>y</w:t>
      </w:r>
      <w:r w:rsidRPr="008C181E">
        <w:t xml:space="preserve"> trust their pension fund.</w:t>
      </w:r>
    </w:p>
    <w:p w:rsidR="000831F3" w:rsidRDefault="000831F3" w:rsidP="0075434C">
      <w:pPr>
        <w:pStyle w:val="NoSpacing"/>
        <w:spacing w:line="360" w:lineRule="auto"/>
        <w:jc w:val="both"/>
      </w:pPr>
      <w:r>
        <w:t>A finding that is characterized as seemingly non rational.</w:t>
      </w:r>
      <w:r w:rsidRPr="008C181E">
        <w:t xml:space="preserve"> There</w:t>
      </w:r>
      <w:r>
        <w:t>fore, one</w:t>
      </w:r>
      <w:r w:rsidRPr="008C181E">
        <w:t xml:space="preserve"> might</w:t>
      </w:r>
      <w:r>
        <w:t xml:space="preserve"> assume there to</w:t>
      </w:r>
      <w:r w:rsidRPr="008C181E">
        <w:t xml:space="preserve"> be other factors that do have an influence and weren’t tested in this study. One of such </w:t>
      </w:r>
      <w:r w:rsidR="004C5A08">
        <w:t xml:space="preserve">factors </w:t>
      </w:r>
      <w:r w:rsidRPr="008C181E">
        <w:t xml:space="preserve">might </w:t>
      </w:r>
      <w:r>
        <w:t>relate to</w:t>
      </w:r>
      <w:r w:rsidRPr="008C181E">
        <w:t xml:space="preserve"> </w:t>
      </w:r>
      <w:r>
        <w:t>reputation</w:t>
      </w:r>
      <w:r w:rsidRPr="008C181E">
        <w:t xml:space="preserve"> and news coverage</w:t>
      </w:r>
      <w:r>
        <w:t>.</w:t>
      </w:r>
      <w:r w:rsidRPr="008C181E">
        <w:t xml:space="preserve"> </w:t>
      </w:r>
    </w:p>
    <w:p w:rsidR="000831F3" w:rsidRDefault="000831F3" w:rsidP="0075434C">
      <w:pPr>
        <w:pStyle w:val="NoSpacing"/>
        <w:spacing w:line="360" w:lineRule="auto"/>
        <w:jc w:val="both"/>
      </w:pPr>
      <w:r w:rsidRPr="008C181E">
        <w:t xml:space="preserve">The implication </w:t>
      </w:r>
      <w:r>
        <w:t xml:space="preserve">of knowledge being insignificant, to trust endowment in second pillar pension plan members, </w:t>
      </w:r>
      <w:r w:rsidRPr="008C181E">
        <w:t xml:space="preserve">can be that </w:t>
      </w:r>
      <w:r>
        <w:t>when</w:t>
      </w:r>
      <w:r w:rsidRPr="008C181E">
        <w:t xml:space="preserve"> pension funds want to increase plan member trust. It is not informational transpare</w:t>
      </w:r>
      <w:r>
        <w:t>ncy and plan member education at</w:t>
      </w:r>
      <w:r w:rsidRPr="008C181E">
        <w:t xml:space="preserve"> which they should </w:t>
      </w:r>
      <w:r>
        <w:t>direct</w:t>
      </w:r>
      <w:r w:rsidRPr="008C181E">
        <w:t xml:space="preserve"> their efforts</w:t>
      </w:r>
      <w:r w:rsidR="004F55F6">
        <w:t>. Instead</w:t>
      </w:r>
      <w:r>
        <w:t xml:space="preserve"> aim to create a positive</w:t>
      </w:r>
      <w:r w:rsidRPr="008C181E">
        <w:t xml:space="preserve"> reputa</w:t>
      </w:r>
      <w:r>
        <w:t xml:space="preserve">tion and public appearance, a development which is concerning but part </w:t>
      </w:r>
      <w:r w:rsidRPr="008C181E">
        <w:t xml:space="preserve">of </w:t>
      </w:r>
      <w:r>
        <w:t>an existing polarizing social phenomenon.</w:t>
      </w:r>
    </w:p>
    <w:p w:rsidR="000831F3" w:rsidRDefault="000831F3" w:rsidP="0075434C">
      <w:pPr>
        <w:pStyle w:val="NoSpacing"/>
        <w:spacing w:line="360" w:lineRule="auto"/>
        <w:jc w:val="both"/>
      </w:pPr>
      <w:r>
        <w:t>Additional results of this thesis only find</w:t>
      </w:r>
      <w:r w:rsidR="00F21FAC">
        <w:t xml:space="preserve"> a</w:t>
      </w:r>
      <w:r>
        <w:t xml:space="preserve"> few significant effects between plan member’s trust for gen</w:t>
      </w:r>
      <w:r w:rsidR="00F21FAC">
        <w:t>der and investment experience</w:t>
      </w:r>
      <w:r>
        <w:t>. Which implies h</w:t>
      </w:r>
      <w:r w:rsidR="00F21FAC">
        <w:t>ere I can conclude that trust</w:t>
      </w:r>
      <w:r>
        <w:t xml:space="preserve"> is greater for men, changed more in women and is higher for those with more investment experience.</w:t>
      </w:r>
      <w:r>
        <w:tab/>
      </w:r>
      <w:r>
        <w:tab/>
      </w:r>
    </w:p>
    <w:p w:rsidR="000831F3" w:rsidRPr="008C181E" w:rsidRDefault="000831F3" w:rsidP="0075434C">
      <w:pPr>
        <w:pStyle w:val="NoSpacing"/>
        <w:spacing w:line="360" w:lineRule="auto"/>
        <w:jc w:val="both"/>
      </w:pPr>
      <w:r>
        <w:t xml:space="preserve">No affirmation can be given on the significance of other factors. The insignificant correlations related to risk aversion imply that I have not broadened the range of known risk attitude influencing factors. </w:t>
      </w:r>
    </w:p>
    <w:p w:rsidR="000831F3" w:rsidRDefault="000831F3" w:rsidP="0075434C">
      <w:pPr>
        <w:pStyle w:val="NoSpacing"/>
        <w:spacing w:line="360" w:lineRule="auto"/>
        <w:jc w:val="both"/>
      </w:pPr>
      <w:r w:rsidRPr="008C181E">
        <w:t xml:space="preserve">The </w:t>
      </w:r>
      <w:r>
        <w:t xml:space="preserve">thesis </w:t>
      </w:r>
      <w:r w:rsidRPr="008C181E">
        <w:t>attempt</w:t>
      </w:r>
      <w:r>
        <w:t>ed</w:t>
      </w:r>
      <w:r w:rsidRPr="008C181E">
        <w:t xml:space="preserve"> </w:t>
      </w:r>
      <w:r>
        <w:t>to expand the</w:t>
      </w:r>
      <w:r w:rsidRPr="008C181E">
        <w:t xml:space="preserve"> understanding</w:t>
      </w:r>
      <w:r>
        <w:t xml:space="preserve"> on</w:t>
      </w:r>
      <w:r w:rsidRPr="008C181E">
        <w:t xml:space="preserve"> the possible un</w:t>
      </w:r>
      <w:r>
        <w:t>derlying factors to risk attitude and trust formation. It succeeded to a greater extend in the latter, with the rejection of the notion that trust influences risk attitudes for pension plan members and trust’s independence of knowledge.</w:t>
      </w:r>
    </w:p>
    <w:p w:rsidR="000831F3" w:rsidRPr="0075434C" w:rsidRDefault="008534A2" w:rsidP="008534A2">
      <w:pPr>
        <w:pStyle w:val="Vin2"/>
        <w:numPr>
          <w:ilvl w:val="0"/>
          <w:numId w:val="0"/>
        </w:numPr>
      </w:pPr>
      <w:bookmarkStart w:id="76" w:name="_Toc340568956"/>
      <w:r>
        <w:t>6.3</w:t>
      </w:r>
      <w:r w:rsidR="000831F3" w:rsidRPr="0075434C">
        <w:t xml:space="preserve"> Recommendations</w:t>
      </w:r>
      <w:bookmarkEnd w:id="76"/>
    </w:p>
    <w:p w:rsidR="000831F3" w:rsidRDefault="000831F3" w:rsidP="000831F3">
      <w:pPr>
        <w:pStyle w:val="NoSpacing"/>
        <w:spacing w:line="360" w:lineRule="auto"/>
      </w:pPr>
      <w:r>
        <w:t xml:space="preserve">Having concluded on the research questions of this thesis, I will resolve it by offering some recommendations. </w:t>
      </w:r>
    </w:p>
    <w:p w:rsidR="000831F3" w:rsidRPr="00D30774" w:rsidRDefault="000831F3" w:rsidP="000831F3">
      <w:pPr>
        <w:pStyle w:val="NoSpacing"/>
        <w:spacing w:line="360" w:lineRule="auto"/>
      </w:pPr>
      <w:r>
        <w:t>First,</w:t>
      </w:r>
      <w:r w:rsidRPr="00ED69DD">
        <w:t xml:space="preserve"> </w:t>
      </w:r>
      <w:r w:rsidR="00833842">
        <w:t>on the additional</w:t>
      </w:r>
      <w:r>
        <w:t xml:space="preserve"> research efforts into trust that are necessary, and secondly , my opinion on the second pillar pension structure as a whole.</w:t>
      </w:r>
      <w:r w:rsidR="00D311EA" w:rsidRPr="00D311EA">
        <w:t xml:space="preserve"> </w:t>
      </w:r>
      <w:r w:rsidR="00D311EA">
        <w:t>This second set of recommendations are not strictly based on the results of this study. They come forth from all the literature and figures to which I was exposed whilst writing this thesis and my gained understanding on the topic.</w:t>
      </w:r>
    </w:p>
    <w:p w:rsidR="000831F3" w:rsidRPr="00C91B79" w:rsidRDefault="000831F3" w:rsidP="008534A2">
      <w:pPr>
        <w:pStyle w:val="VIn33"/>
      </w:pPr>
      <w:bookmarkStart w:id="77" w:name="_Toc340568957"/>
      <w:r w:rsidRPr="00C91B79">
        <w:t>6.3.1 Further research</w:t>
      </w:r>
      <w:bookmarkEnd w:id="77"/>
      <w:r w:rsidRPr="00C91B79">
        <w:t xml:space="preserve">  </w:t>
      </w:r>
    </w:p>
    <w:p w:rsidR="000831F3" w:rsidRPr="00E15EAB" w:rsidRDefault="000831F3" w:rsidP="0075434C">
      <w:pPr>
        <w:pStyle w:val="NoSpacing"/>
        <w:spacing w:line="360" w:lineRule="auto"/>
        <w:jc w:val="both"/>
      </w:pPr>
      <w:r w:rsidRPr="00E15EAB">
        <w:t>My leading interest for further research concerns the application of a recorded time-series study for my research template. The use of this more elaborate method will give a time path for the change in trust and risk attitude. Regardless whether such research creates any other significant results on the relation between trust and risk, and other independent variables. It will provide valuable information on the dynamics of trust.</w:t>
      </w:r>
    </w:p>
    <w:p w:rsidR="000831F3" w:rsidRPr="00E15EAB" w:rsidRDefault="000831F3" w:rsidP="0075434C">
      <w:pPr>
        <w:pStyle w:val="NoSpacing"/>
        <w:spacing w:line="360" w:lineRule="auto"/>
        <w:jc w:val="both"/>
      </w:pPr>
      <w:r w:rsidRPr="00E15EAB">
        <w:t xml:space="preserve">This brings me to my second recommendation. In my opinion, there is a void and lack of order in the present understanding of trust in economics. I would encourage any research that attempts to unravel and explore the role of trust in economics, specifically its relation to risk attitude. </w:t>
      </w:r>
    </w:p>
    <w:p w:rsidR="000831F3" w:rsidRPr="00E15EAB" w:rsidRDefault="000831F3" w:rsidP="0075434C">
      <w:pPr>
        <w:pStyle w:val="NoSpacing"/>
        <w:spacing w:line="360" w:lineRule="auto"/>
        <w:jc w:val="both"/>
      </w:pPr>
      <w:r w:rsidRPr="00E15EAB">
        <w:t xml:space="preserve">As I am not wholeheartedly convinced that the conception of both trust and risk, that is currently held in both the academic community and the financial sector (or society as a whole for that part) is a complete one.  For the most part I deem this a result of the lack of universal understanding of trust. Furthering attempts to make trust more of a tangible concept making it more available for use in economic research, I encourage. </w:t>
      </w:r>
      <w:r w:rsidR="0029012D">
        <w:t>For such research i</w:t>
      </w:r>
      <w:r w:rsidR="00896639">
        <w:t>t might proof fruitful</w:t>
      </w:r>
      <w:r w:rsidR="0029012D">
        <w:t xml:space="preserve"> </w:t>
      </w:r>
      <w:r w:rsidRPr="00E15EAB">
        <w:t>research</w:t>
      </w:r>
      <w:r w:rsidR="00896639">
        <w:t xml:space="preserve"> to team up</w:t>
      </w:r>
      <w:r w:rsidRPr="00E15EAB">
        <w:t xml:space="preserve"> with the </w:t>
      </w:r>
      <w:r w:rsidR="00896639">
        <w:t>discipline of psychology</w:t>
      </w:r>
      <w:r w:rsidRPr="00E15EAB">
        <w:t>. As I suspect trust could well be an underappreciated economic variable. Present in so many aspects of economics, from decision making to market forecasts.</w:t>
      </w:r>
    </w:p>
    <w:p w:rsidR="000831F3" w:rsidRPr="00E15EAB" w:rsidRDefault="000831F3" w:rsidP="0075434C">
      <w:pPr>
        <w:pStyle w:val="NoSpacing"/>
        <w:spacing w:line="360" w:lineRule="auto"/>
        <w:jc w:val="both"/>
      </w:pPr>
      <w:r w:rsidRPr="00E15EAB">
        <w:t>Considering the attention and study risk attitudes received our understanding of their dynamics and drivers remains limited, for trust I believe this to be true even more so. This means for both factors there is more to be said about their characteristics.</w:t>
      </w:r>
    </w:p>
    <w:p w:rsidR="000831F3" w:rsidRPr="00E15EAB" w:rsidRDefault="000831F3" w:rsidP="0075434C">
      <w:pPr>
        <w:pStyle w:val="NoSpacing"/>
        <w:spacing w:line="360" w:lineRule="auto"/>
        <w:jc w:val="both"/>
      </w:pPr>
      <w:r w:rsidRPr="00E15EAB">
        <w:t>In more practical terms I would sincerely recommend research into the creation of a trust measurement scale. Similar to the methodology used by Holt &amp; Laury, so that trust is revealed rather than professed.</w:t>
      </w:r>
    </w:p>
    <w:p w:rsidR="000831F3" w:rsidRPr="00E15EAB" w:rsidRDefault="000831F3" w:rsidP="0075434C">
      <w:pPr>
        <w:pStyle w:val="NoSpacing"/>
        <w:spacing w:line="360" w:lineRule="auto"/>
        <w:jc w:val="both"/>
      </w:pPr>
      <w:r w:rsidRPr="00E15EAB">
        <w:t xml:space="preserve">Although this study never intended to solve the possible discrepancy of the second pillar pension market. </w:t>
      </w:r>
      <w:r w:rsidR="007C70EE">
        <w:t>Any r</w:t>
      </w:r>
      <w:r w:rsidRPr="00E15EAB">
        <w:t xml:space="preserve">esearch </w:t>
      </w:r>
      <w:r w:rsidR="007C70EE">
        <w:t xml:space="preserve">aiming </w:t>
      </w:r>
      <w:r w:rsidRPr="00E15EAB">
        <w:t>to clarify the actual degree of sector problems remain a relevant research subject.</w:t>
      </w:r>
    </w:p>
    <w:p w:rsidR="000831F3" w:rsidRPr="00E15EAB" w:rsidRDefault="000831F3" w:rsidP="000831F3">
      <w:pPr>
        <w:pStyle w:val="NoSpacing"/>
        <w:spacing w:line="360" w:lineRule="auto"/>
      </w:pPr>
    </w:p>
    <w:p w:rsidR="000831F3" w:rsidRPr="00C91B79" w:rsidRDefault="000831F3" w:rsidP="008534A2">
      <w:pPr>
        <w:pStyle w:val="VIn33"/>
      </w:pPr>
      <w:bookmarkStart w:id="78" w:name="_Toc340568958"/>
      <w:r w:rsidRPr="00C91B79">
        <w:t>6.3.2 Second pillar pension market structure</w:t>
      </w:r>
      <w:bookmarkEnd w:id="78"/>
    </w:p>
    <w:p w:rsidR="000831F3" w:rsidRPr="008F677F" w:rsidRDefault="000831F3" w:rsidP="0075434C">
      <w:pPr>
        <w:pStyle w:val="NoSpacing"/>
        <w:spacing w:line="360" w:lineRule="auto"/>
        <w:jc w:val="both"/>
      </w:pPr>
      <w:r w:rsidRPr="008F677F">
        <w:t>In a broader view, during the course of writing this thesis I came across inter</w:t>
      </w:r>
      <w:r w:rsidR="00C04296">
        <w:t>esting studies and statistics. That information</w:t>
      </w:r>
      <w:r w:rsidRPr="008F677F">
        <w:t xml:space="preserve"> ignite</w:t>
      </w:r>
      <w:r w:rsidR="00C04296">
        <w:t>d</w:t>
      </w:r>
      <w:r w:rsidRPr="008F677F">
        <w:t xml:space="preserve"> </w:t>
      </w:r>
      <w:r w:rsidR="00C04296">
        <w:t xml:space="preserve">the </w:t>
      </w:r>
      <w:r w:rsidRPr="008F677F">
        <w:t xml:space="preserve">reconsideration of the Dutch second pillar pension sector design. Although it is one of the best systems operated in the world, it can always improve. </w:t>
      </w:r>
    </w:p>
    <w:p w:rsidR="000831F3" w:rsidRPr="008F677F" w:rsidRDefault="000831F3" w:rsidP="0075434C">
      <w:pPr>
        <w:pStyle w:val="NoSpacing"/>
        <w:spacing w:line="360" w:lineRule="auto"/>
        <w:jc w:val="both"/>
      </w:pPr>
      <w:r w:rsidRPr="008F677F">
        <w:t xml:space="preserve">With the changing of the times, it has to adept and improve. There is an intrinsic obligation for the system to adapt and change; to stay relevant, keep improving and best serve the working population. Over the last several decades the Dutch work floor, career path and labor market have evolved considerably. The era that an employee remained working for the same employer till retirement is long gone, replaced by job-hopping and free-lance. </w:t>
      </w:r>
    </w:p>
    <w:p w:rsidR="000831F3" w:rsidRPr="008F677F" w:rsidRDefault="000831F3" w:rsidP="0075434C">
      <w:pPr>
        <w:pStyle w:val="NoSpacing"/>
        <w:spacing w:line="360" w:lineRule="auto"/>
        <w:jc w:val="both"/>
      </w:pPr>
      <w:r w:rsidRPr="008F677F">
        <w:t xml:space="preserve">Besides the obvious transformation of the working environment, there is another evolvement that is vastly more important. Over latest generations there has been an significant mentality shift. Society as a whole and the employee as part of it, have become more individualized. Thus far, the second pillar pension system has only slightly adapted to these developments. </w:t>
      </w:r>
    </w:p>
    <w:p w:rsidR="000831F3" w:rsidRPr="008F677F" w:rsidRDefault="000831F3" w:rsidP="000831F3">
      <w:pPr>
        <w:pStyle w:val="NoSpacing"/>
        <w:spacing w:line="360" w:lineRule="auto"/>
      </w:pPr>
    </w:p>
    <w:p w:rsidR="000831F3" w:rsidRPr="008F677F" w:rsidRDefault="000831F3" w:rsidP="0075434C">
      <w:pPr>
        <w:pStyle w:val="NoSpacing"/>
        <w:spacing w:line="360" w:lineRule="auto"/>
        <w:jc w:val="both"/>
      </w:pPr>
      <w:r w:rsidRPr="008F677F">
        <w:t xml:space="preserve">However, with an ever aging population and a generational mentality rift the idea of reform deserves consideration. It is interesting to contemplate the reformations in the health insurance industry in relation to the current design and construction of second pillar pension market. </w:t>
      </w:r>
    </w:p>
    <w:p w:rsidR="000831F3" w:rsidRPr="008F677F" w:rsidRDefault="000831F3" w:rsidP="0075434C">
      <w:pPr>
        <w:pStyle w:val="NoSpacing"/>
        <w:spacing w:line="360" w:lineRule="auto"/>
        <w:jc w:val="both"/>
      </w:pPr>
      <w:r w:rsidRPr="008F677F">
        <w:t>In the current (reformed) health insurance system, people are free to choose their provider and insurance is guaranteed by the insurance and acceptance duty. This system design shows potential application for the second pillar pension system.</w:t>
      </w:r>
    </w:p>
    <w:p w:rsidR="000831F3" w:rsidRDefault="000831F3" w:rsidP="0075434C">
      <w:pPr>
        <w:pStyle w:val="NoSpacing"/>
        <w:spacing w:line="360" w:lineRule="auto"/>
        <w:jc w:val="both"/>
      </w:pPr>
      <w:r w:rsidRPr="008F677F">
        <w:t xml:space="preserve">Particularly, as a recent poll done by a Dutch television program (Debat op 2) under young employees, ranging from age 21 to 40, revealed that two thirds would like the ability to choose their own pension fund. 48% of those indicated that they would then also use this ability to switch pension fund.  Although some of our system’s strength is encapsulated in its collectiveness. Considering a more open approach might not be such a bad idea. </w:t>
      </w:r>
    </w:p>
    <w:p w:rsidR="000831F3" w:rsidRDefault="000831F3" w:rsidP="0075434C">
      <w:pPr>
        <w:pStyle w:val="NoSpacing"/>
        <w:spacing w:line="360" w:lineRule="auto"/>
        <w:jc w:val="both"/>
      </w:pPr>
      <w:r w:rsidRPr="008F677F">
        <w:t>It would be more compatible with the younger generations and those to come, I would rebalance the principal-agent relationship and make it much easier to hold pension funds accountable, stimulate the creation of custom-fit arrangements for free-lancers, encourage transparency and it would promote efficiency in the industry. Thus I strongly recommend that the possibilities for such a reform are explored.</w:t>
      </w:r>
    </w:p>
    <w:p w:rsidR="000831F3" w:rsidRPr="008F677F" w:rsidRDefault="000831F3" w:rsidP="000831F3">
      <w:pPr>
        <w:pStyle w:val="NoSpacing"/>
        <w:spacing w:line="360" w:lineRule="auto"/>
      </w:pPr>
    </w:p>
    <w:p w:rsidR="000831F3" w:rsidRPr="008F677F" w:rsidRDefault="000831F3" w:rsidP="0075434C">
      <w:pPr>
        <w:pStyle w:val="NoSpacing"/>
        <w:spacing w:line="360" w:lineRule="auto"/>
        <w:jc w:val="both"/>
      </w:pPr>
      <w:r w:rsidRPr="008F677F">
        <w:t xml:space="preserve">In the week before completion of this thesis a new government coalition was inaugurated. Soon after, a news story aired on the reform of the pension system. </w:t>
      </w:r>
      <w:r w:rsidRPr="00ED39F8">
        <w:rPr>
          <w:lang w:val="nl-NL"/>
        </w:rPr>
        <w:t>De Telderstichting, a think-tank associated with the political party VVD (recent election victors) published a rapport titled Eigen Keuze, Samen Sterk: duidelijkheid geeft zekerheid voor arbeidsmarkt</w:t>
      </w:r>
      <w:r w:rsidRPr="00ED39F8">
        <w:rPr>
          <w:rStyle w:val="Emphasis"/>
          <w:lang w:val="nl-NL"/>
        </w:rPr>
        <w:t xml:space="preserve"> </w:t>
      </w:r>
      <w:r w:rsidRPr="00ED39F8">
        <w:rPr>
          <w:lang w:val="nl-NL"/>
        </w:rPr>
        <w:t xml:space="preserve">en pensioenen </w:t>
      </w:r>
      <w:r w:rsidRPr="008F677F">
        <w:rPr>
          <w:rStyle w:val="FootnoteReference"/>
        </w:rPr>
        <w:footnoteReference w:id="16"/>
      </w:r>
      <w:r w:rsidRPr="00ED39F8">
        <w:rPr>
          <w:lang w:val="nl-NL"/>
        </w:rPr>
        <w:t xml:space="preserve">. </w:t>
      </w:r>
      <w:r w:rsidRPr="008F677F">
        <w:t>In this rapport it recommends reformation of the Dutch pensions system.</w:t>
      </w:r>
    </w:p>
    <w:p w:rsidR="000831F3" w:rsidRPr="008F677F" w:rsidRDefault="000831F3" w:rsidP="0075434C">
      <w:pPr>
        <w:pStyle w:val="NoSpacing"/>
        <w:spacing w:line="360" w:lineRule="auto"/>
        <w:jc w:val="both"/>
      </w:pPr>
      <w:r w:rsidRPr="008F677F">
        <w:t xml:space="preserve">The recent uncertainty for people between what they expect to receive in pension and what they are likely to actually receive is the declared motivation for the publication. They propose radical restructuring, abolishment of the enforced participation in second pillar pension plans and allowing people to decide for themselves how they compile their pensions. In their plans the AOW remains in existence as a basic pension for all, but the second pillar arrangements are left to the discretion of the individual. They are then free to choose whether to safe for a pension and who to adopt as their provider, as pension are now exclusively related to the individuals job. This would improve the position of freelancers and the independently employed. The pension savings remain tax deductible. Providers can be pension funds but also insurance companies. Effectively liberalizing the second pillar and replacing it with a third pillar set up. </w:t>
      </w:r>
    </w:p>
    <w:p w:rsidR="00E033AB" w:rsidRDefault="000831F3" w:rsidP="0075434C">
      <w:pPr>
        <w:pStyle w:val="NoSpacing"/>
        <w:spacing w:line="360" w:lineRule="auto"/>
        <w:jc w:val="both"/>
      </w:pPr>
      <w:r w:rsidRPr="008F677F">
        <w:t>These recommendations are in accordance to the liberal principals of the VVD. However, I have serious concerns regarding the effects of such drastic measures. There is a significant difference between allowing free transfer and free choice of pension provider, and abolishing pension requirements. People are known to be especially incapable of planning and looking ahead, and the enforced pension participation is an adequate measure to safeguard people from making costly mistakes. Mistakes paid for by society. As I said I do agree on the idea of “pension provider liberalization” in the rapport, but feel an urging apprehension towards the virtual abolishment of the second pillar as proposed. I think the rapport’s preformed idea is abolishing the second pillar, not reforming it.</w:t>
      </w:r>
      <w:r>
        <w:t xml:space="preserve"> </w:t>
      </w:r>
      <w:r w:rsidRPr="008F677F">
        <w:t xml:space="preserve">Furthermore, I consider it irrelevant what political ideology one adheres to. Decisions with a magnitude and impact as these, should be based on facts and figures; if these oppose to your ideas, than it is worth reconsidering your </w:t>
      </w:r>
      <w:r>
        <w:t>views</w:t>
      </w:r>
      <w:r w:rsidRPr="008F677F">
        <w:t xml:space="preserve">. Thus the </w:t>
      </w:r>
      <w:r>
        <w:t xml:space="preserve">primary </w:t>
      </w:r>
      <w:r w:rsidRPr="008F677F">
        <w:t>motivation for reform should cohere to the changing population, workforce and workplace, not political prejudice</w:t>
      </w:r>
      <w:r>
        <w:t>.</w:t>
      </w: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E033AB" w:rsidRDefault="00E033AB" w:rsidP="0075434C">
      <w:pPr>
        <w:pStyle w:val="NoSpacing"/>
        <w:spacing w:line="360" w:lineRule="auto"/>
        <w:jc w:val="both"/>
      </w:pPr>
    </w:p>
    <w:p w:rsidR="00AE7BE5" w:rsidRDefault="00AE7BE5" w:rsidP="00AE7BE5">
      <w:pPr>
        <w:pStyle w:val="VIN1"/>
        <w:jc w:val="center"/>
      </w:pPr>
      <w:bookmarkStart w:id="79" w:name="_Toc340568959"/>
      <w:r w:rsidRPr="00AE7BE5">
        <w:t>References</w:t>
      </w:r>
      <w:bookmarkEnd w:id="79"/>
    </w:p>
    <w:p w:rsidR="00893895" w:rsidRPr="00893895" w:rsidRDefault="00CC17A1" w:rsidP="00893895">
      <w:pPr>
        <w:pStyle w:val="NoSpacing"/>
        <w:rPr>
          <w:rFonts w:cstheme="minorHAnsi"/>
        </w:rPr>
      </w:pPr>
      <w:hyperlink r:id="rId16" w:history="1">
        <w:r w:rsidR="00893895" w:rsidRPr="00893895">
          <w:rPr>
            <w:rFonts w:cstheme="minorHAnsi"/>
            <w:bCs/>
          </w:rPr>
          <w:t>Aberer</w:t>
        </w:r>
      </w:hyperlink>
      <w:r w:rsidR="00893895" w:rsidRPr="00893895">
        <w:rPr>
          <w:rFonts w:cstheme="minorHAnsi"/>
        </w:rPr>
        <w:t xml:space="preserve">, K., </w:t>
      </w:r>
      <w:hyperlink r:id="rId17" w:history="1">
        <w:r w:rsidR="00893895" w:rsidRPr="00893895">
          <w:rPr>
            <w:rFonts w:cstheme="minorHAnsi"/>
            <w:bCs/>
          </w:rPr>
          <w:t>Z. Despotovic</w:t>
        </w:r>
      </w:hyperlink>
      <w:r w:rsidR="00893895" w:rsidRPr="00893895">
        <w:rPr>
          <w:rFonts w:cstheme="minorHAnsi"/>
        </w:rPr>
        <w:t xml:space="preserve">, </w:t>
      </w:r>
      <w:hyperlink r:id="rId18" w:history="1">
        <w:r w:rsidR="00893895" w:rsidRPr="00893895">
          <w:rPr>
            <w:rFonts w:cstheme="minorHAnsi"/>
            <w:bCs/>
          </w:rPr>
          <w:t>W. Galuba</w:t>
        </w:r>
      </w:hyperlink>
      <w:r w:rsidR="00893895" w:rsidRPr="00893895">
        <w:rPr>
          <w:rFonts w:cstheme="minorHAnsi"/>
        </w:rPr>
        <w:t xml:space="preserve">, </w:t>
      </w:r>
      <w:hyperlink r:id="rId19" w:history="1">
        <w:r w:rsidR="00893895" w:rsidRPr="00893895">
          <w:rPr>
            <w:rFonts w:cstheme="minorHAnsi"/>
            <w:bCs/>
          </w:rPr>
          <w:t>W. Kellerer</w:t>
        </w:r>
      </w:hyperlink>
      <w:r w:rsidR="00893895" w:rsidRPr="00893895">
        <w:rPr>
          <w:rFonts w:cstheme="minorHAnsi"/>
        </w:rPr>
        <w:t xml:space="preserve">, 2006.  The Complex Facets of Reputation and Trust. </w:t>
      </w:r>
      <w:hyperlink r:id="rId20" w:history="1">
        <w:r w:rsidR="00893895" w:rsidRPr="00893895">
          <w:rPr>
            <w:rFonts w:cstheme="minorHAnsi"/>
            <w:bCs/>
          </w:rPr>
          <w:t>Computational Intelligence, Theory and Applications</w:t>
        </w:r>
      </w:hyperlink>
      <w:r w:rsidR="00893895" w:rsidRPr="00893895">
        <w:rPr>
          <w:rFonts w:cstheme="minorHAnsi"/>
        </w:rPr>
        <w:t xml:space="preserve">  38, p281-294  2006</w:t>
      </w:r>
    </w:p>
    <w:p w:rsidR="00893895" w:rsidRPr="008A5721" w:rsidRDefault="00893895" w:rsidP="00893895">
      <w:pPr>
        <w:pStyle w:val="NoSpacing"/>
        <w:rPr>
          <w:rFonts w:cstheme="minorHAnsi"/>
        </w:rPr>
      </w:pPr>
    </w:p>
    <w:p w:rsidR="00893895" w:rsidRPr="008B7611" w:rsidRDefault="00893895" w:rsidP="00893895">
      <w:pPr>
        <w:pStyle w:val="NoSpacing"/>
        <w:rPr>
          <w:rFonts w:cstheme="minorHAnsi"/>
          <w:lang w:val="nl-NL"/>
        </w:rPr>
      </w:pPr>
      <w:r w:rsidRPr="008B7611">
        <w:rPr>
          <w:rFonts w:cstheme="minorHAnsi"/>
          <w:lang w:val="nl-NL"/>
        </w:rPr>
        <w:t>AFM, 2012: Pensioenrisicoanalyse: onderzoek naar de verwachte hoo</w:t>
      </w:r>
      <w:r w:rsidR="001E78DC">
        <w:rPr>
          <w:rFonts w:cstheme="minorHAnsi"/>
          <w:lang w:val="nl-NL"/>
        </w:rPr>
        <w:t>gte van toekomstige pensioen in</w:t>
      </w:r>
      <w:r w:rsidRPr="008B7611">
        <w:rPr>
          <w:rFonts w:cstheme="minorHAnsi"/>
          <w:lang w:val="nl-NL"/>
        </w:rPr>
        <w:t>komens</w:t>
      </w:r>
    </w:p>
    <w:p w:rsidR="00893895" w:rsidRPr="00893895" w:rsidRDefault="00893895" w:rsidP="00893895">
      <w:pPr>
        <w:pStyle w:val="NoSpacing"/>
        <w:rPr>
          <w:rFonts w:cstheme="minorHAnsi"/>
        </w:rPr>
      </w:pPr>
      <w:r w:rsidRPr="00893895">
        <w:rPr>
          <w:rFonts w:cstheme="minorHAnsi"/>
        </w:rPr>
        <w:t>Press release: 1 July 2012</w:t>
      </w:r>
    </w:p>
    <w:p w:rsidR="00893895" w:rsidRPr="00893895" w:rsidRDefault="00893895" w:rsidP="00893895">
      <w:pPr>
        <w:pStyle w:val="NoSpacing"/>
        <w:rPr>
          <w:rFonts w:cstheme="minorHAnsi"/>
        </w:rPr>
      </w:pPr>
      <w:r w:rsidRPr="00893895">
        <w:rPr>
          <w:rFonts w:cstheme="minorHAnsi"/>
        </w:rPr>
        <w:t>URL: http://www.afm.nl/~/media/files/rapport/2012/rapport-pensioenrisicoanalyse.ashx</w:t>
      </w:r>
    </w:p>
    <w:p w:rsidR="00893895" w:rsidRPr="00893895" w:rsidRDefault="00893895" w:rsidP="00893895">
      <w:pPr>
        <w:pStyle w:val="NoSpacing"/>
        <w:rPr>
          <w:rFonts w:cstheme="minorHAnsi"/>
        </w:rPr>
      </w:pPr>
      <w:r w:rsidRPr="00893895">
        <w:rPr>
          <w:rFonts w:cstheme="minorHAnsi"/>
        </w:rPr>
        <w:t>Last accessed: August 2012</w:t>
      </w:r>
    </w:p>
    <w:p w:rsidR="00893895" w:rsidRPr="00893895" w:rsidRDefault="00893895" w:rsidP="00893895">
      <w:pPr>
        <w:pStyle w:val="NoSpacing"/>
        <w:rPr>
          <w:rFonts w:cstheme="minorHAnsi"/>
        </w:rPr>
      </w:pPr>
      <w:r w:rsidRPr="00893895">
        <w:rPr>
          <w:rFonts w:cstheme="minorHAnsi"/>
        </w:rPr>
        <w:tab/>
      </w:r>
    </w:p>
    <w:p w:rsidR="00893895" w:rsidRPr="00893895" w:rsidRDefault="00893895" w:rsidP="00893895">
      <w:pPr>
        <w:pStyle w:val="NoSpacing"/>
        <w:rPr>
          <w:rFonts w:cstheme="minorHAnsi"/>
        </w:rPr>
      </w:pPr>
      <w:r w:rsidRPr="00893895">
        <w:rPr>
          <w:rFonts w:cstheme="minorHAnsi"/>
        </w:rPr>
        <w:t>AFM, 2011A: AFM Consumentenmonitor Najaar 2010 Pensioen</w:t>
      </w:r>
    </w:p>
    <w:p w:rsidR="00893895" w:rsidRPr="00893895" w:rsidRDefault="001E78DC" w:rsidP="00893895">
      <w:pPr>
        <w:pStyle w:val="NoSpacing"/>
        <w:rPr>
          <w:rFonts w:cstheme="minorHAnsi"/>
        </w:rPr>
      </w:pPr>
      <w:r>
        <w:rPr>
          <w:rFonts w:cstheme="minorHAnsi"/>
        </w:rPr>
        <w:t>News report publ</w:t>
      </w:r>
      <w:r w:rsidR="00893895" w:rsidRPr="00893895">
        <w:rPr>
          <w:rFonts w:cstheme="minorHAnsi"/>
        </w:rPr>
        <w:t>i</w:t>
      </w:r>
      <w:r>
        <w:rPr>
          <w:rFonts w:cstheme="minorHAnsi"/>
        </w:rPr>
        <w:t>s</w:t>
      </w:r>
      <w:r w:rsidR="00893895" w:rsidRPr="00893895">
        <w:rPr>
          <w:rFonts w:cstheme="minorHAnsi"/>
        </w:rPr>
        <w:t>hed: 14th January 2011</w:t>
      </w:r>
    </w:p>
    <w:p w:rsidR="00893895" w:rsidRPr="00893895" w:rsidRDefault="00893895" w:rsidP="00893895">
      <w:pPr>
        <w:pStyle w:val="NoSpacing"/>
        <w:rPr>
          <w:rFonts w:cstheme="minorHAnsi"/>
        </w:rPr>
      </w:pPr>
      <w:r w:rsidRPr="00893895">
        <w:rPr>
          <w:rFonts w:cstheme="minorHAnsi"/>
        </w:rPr>
        <w:t>URL: http://www.afm.nl/nl/professionals/afm-actueel/rapporten/2011/consumentenmonitor-pensioenen-q3-2010.aspx</w:t>
      </w:r>
    </w:p>
    <w:p w:rsidR="00893895" w:rsidRPr="00893895" w:rsidRDefault="00893895" w:rsidP="00893895">
      <w:pPr>
        <w:pStyle w:val="NoSpacing"/>
        <w:rPr>
          <w:rFonts w:cstheme="minorHAnsi"/>
        </w:rPr>
      </w:pPr>
      <w:r w:rsidRPr="00893895">
        <w:rPr>
          <w:rFonts w:cstheme="minorHAnsi"/>
        </w:rPr>
        <w:t>Last accessed: August 2012</w:t>
      </w:r>
    </w:p>
    <w:p w:rsidR="00893895" w:rsidRPr="00893895" w:rsidRDefault="00893895" w:rsidP="00893895">
      <w:pPr>
        <w:pStyle w:val="NoSpacing"/>
        <w:rPr>
          <w:rFonts w:cstheme="minorHAnsi"/>
        </w:rPr>
      </w:pPr>
    </w:p>
    <w:p w:rsidR="00893895" w:rsidRPr="008B7611" w:rsidRDefault="00893895" w:rsidP="00893895">
      <w:pPr>
        <w:pStyle w:val="NoSpacing"/>
        <w:rPr>
          <w:rFonts w:cstheme="minorHAnsi"/>
          <w:lang w:val="nl-NL"/>
        </w:rPr>
      </w:pPr>
      <w:r w:rsidRPr="008B7611">
        <w:rPr>
          <w:rFonts w:cstheme="minorHAnsi"/>
          <w:lang w:val="nl-NL"/>
        </w:rPr>
        <w:t>AFM 2011B: AFM Consumentenmonitor ondersteunt belang Pensioen3daagse</w:t>
      </w:r>
    </w:p>
    <w:p w:rsidR="00893895" w:rsidRPr="00893895" w:rsidRDefault="00893895" w:rsidP="00893895">
      <w:pPr>
        <w:pStyle w:val="NoSpacing"/>
        <w:rPr>
          <w:rFonts w:cstheme="minorHAnsi"/>
        </w:rPr>
      </w:pPr>
      <w:r w:rsidRPr="00893895">
        <w:rPr>
          <w:rFonts w:cstheme="minorHAnsi"/>
        </w:rPr>
        <w:t>News report published: 4th October 2011</w:t>
      </w:r>
    </w:p>
    <w:p w:rsidR="00893895" w:rsidRPr="00893895" w:rsidRDefault="00893895" w:rsidP="00893895">
      <w:pPr>
        <w:pStyle w:val="NoSpacing"/>
        <w:rPr>
          <w:rFonts w:cstheme="minorHAnsi"/>
        </w:rPr>
      </w:pPr>
      <w:r w:rsidRPr="00893895">
        <w:rPr>
          <w:rFonts w:cstheme="minorHAnsi"/>
        </w:rPr>
        <w:t>URL:http://www.afm.nl/nl/nieuws/2011/okt/consumentenmonitor-pensioendriedaagse.aspx</w:t>
      </w:r>
    </w:p>
    <w:p w:rsidR="00893895" w:rsidRPr="008B7611" w:rsidRDefault="00893895" w:rsidP="00893895">
      <w:pPr>
        <w:pStyle w:val="NoSpacing"/>
        <w:rPr>
          <w:rFonts w:cstheme="minorHAnsi"/>
          <w:lang w:val="nl-NL"/>
        </w:rPr>
      </w:pPr>
      <w:r w:rsidRPr="008B7611">
        <w:rPr>
          <w:rFonts w:cstheme="minorHAnsi"/>
          <w:lang w:val="nl-NL"/>
        </w:rPr>
        <w:t>Last accessed: August 2012</w:t>
      </w:r>
    </w:p>
    <w:p w:rsidR="00893895" w:rsidRPr="008B7611" w:rsidRDefault="00893895" w:rsidP="00893895">
      <w:pPr>
        <w:pStyle w:val="NoSpacing"/>
        <w:rPr>
          <w:rFonts w:cstheme="minorHAnsi"/>
          <w:lang w:val="nl-NL"/>
        </w:rPr>
      </w:pPr>
    </w:p>
    <w:p w:rsidR="00893895" w:rsidRPr="008B7611" w:rsidRDefault="00893895" w:rsidP="00893895">
      <w:pPr>
        <w:pStyle w:val="NoSpacing"/>
        <w:rPr>
          <w:rFonts w:cstheme="minorHAnsi"/>
          <w:lang w:val="nl-NL"/>
        </w:rPr>
      </w:pPr>
      <w:r w:rsidRPr="008B7611">
        <w:rPr>
          <w:rFonts w:cstheme="minorHAnsi"/>
          <w:lang w:val="nl-NL"/>
        </w:rPr>
        <w:t>AFM, 2010:  Geef Nederlanders pensioeninzicht: Werken aan vertrouwen door dichten van de verwachtingskloof</w:t>
      </w:r>
    </w:p>
    <w:p w:rsidR="00893895" w:rsidRPr="00893895" w:rsidRDefault="00893895" w:rsidP="00893895">
      <w:pPr>
        <w:pStyle w:val="NoSpacing"/>
        <w:rPr>
          <w:rFonts w:cstheme="minorHAnsi"/>
        </w:rPr>
      </w:pPr>
      <w:r w:rsidRPr="00893895">
        <w:rPr>
          <w:rFonts w:cstheme="minorHAnsi"/>
        </w:rPr>
        <w:t>Newsreport published: 20th Januari 2010</w:t>
      </w:r>
    </w:p>
    <w:p w:rsidR="00893895" w:rsidRPr="00893895" w:rsidRDefault="00893895" w:rsidP="00893895">
      <w:pPr>
        <w:pStyle w:val="NoSpacing"/>
        <w:rPr>
          <w:rFonts w:cstheme="minorHAnsi"/>
        </w:rPr>
      </w:pPr>
      <w:r w:rsidRPr="00893895">
        <w:rPr>
          <w:rFonts w:cstheme="minorHAnsi"/>
        </w:rPr>
        <w:t>URL:http://www.afm.nl/~/media/files/rapport/2010/rapport_geef_nederlanders_pensioeninzicht.ashx</w:t>
      </w:r>
    </w:p>
    <w:p w:rsidR="00893895" w:rsidRDefault="00893895" w:rsidP="00893895">
      <w:pPr>
        <w:pStyle w:val="NoSpacing"/>
        <w:rPr>
          <w:rFonts w:cstheme="minorHAnsi"/>
        </w:rPr>
      </w:pPr>
      <w:r w:rsidRPr="00893895">
        <w:rPr>
          <w:rFonts w:cstheme="minorHAnsi"/>
        </w:rPr>
        <w:t>Last accessed: August 2012</w:t>
      </w:r>
    </w:p>
    <w:p w:rsidR="001E78DC" w:rsidRPr="00893895" w:rsidRDefault="001E78DC" w:rsidP="00893895">
      <w:pPr>
        <w:pStyle w:val="NoSpacing"/>
        <w:rPr>
          <w:rFonts w:cstheme="minorHAnsi"/>
        </w:rPr>
      </w:pPr>
    </w:p>
    <w:p w:rsidR="001E78DC" w:rsidRPr="00893895" w:rsidRDefault="001E78DC" w:rsidP="001E78DC">
      <w:pPr>
        <w:pStyle w:val="NoSpacing"/>
        <w:rPr>
          <w:rFonts w:cstheme="minorHAnsi"/>
        </w:rPr>
      </w:pPr>
      <w:r w:rsidRPr="00893895">
        <w:rPr>
          <w:rFonts w:cstheme="minorHAnsi"/>
        </w:rPr>
        <w:t>Agnew, J., L. Anderson, J. Gerla</w:t>
      </w:r>
      <w:bookmarkStart w:id="80" w:name="_GoBack"/>
      <w:bookmarkEnd w:id="80"/>
      <w:r w:rsidRPr="00893895">
        <w:rPr>
          <w:rFonts w:cstheme="minorHAnsi"/>
        </w:rPr>
        <w:t>ch, and L. Szykman, 2007. Who Chooses Annuities? An Experimental Investigation of the Role of Gender, Framing, and Defaults. American Economic Review 98,  p418–442  2007</w:t>
      </w:r>
    </w:p>
    <w:p w:rsidR="001E78DC" w:rsidRPr="00893895" w:rsidRDefault="001E78DC" w:rsidP="001E78DC">
      <w:pPr>
        <w:pStyle w:val="NoSpacing"/>
        <w:rPr>
          <w:rFonts w:cstheme="minorHAnsi"/>
        </w:rPr>
      </w:pPr>
    </w:p>
    <w:p w:rsidR="001E78DC" w:rsidRPr="00893895" w:rsidRDefault="001E78DC" w:rsidP="001E78DC">
      <w:pPr>
        <w:pStyle w:val="NoSpacing"/>
        <w:rPr>
          <w:rFonts w:cstheme="minorHAnsi"/>
        </w:rPr>
      </w:pPr>
      <w:r w:rsidRPr="00893895">
        <w:rPr>
          <w:rFonts w:cstheme="minorHAnsi"/>
        </w:rPr>
        <w:t>Alessie, R., M. van Rooij, and A. Lusardi, 2011. Financial literacy ad retirement preparation</w:t>
      </w:r>
    </w:p>
    <w:p w:rsidR="001E78DC" w:rsidRPr="008A5721" w:rsidRDefault="001E78DC" w:rsidP="001E78DC">
      <w:pPr>
        <w:pStyle w:val="NoSpacing"/>
        <w:rPr>
          <w:rFonts w:cstheme="minorHAnsi"/>
        </w:rPr>
      </w:pPr>
      <w:r w:rsidRPr="00893895">
        <w:rPr>
          <w:rFonts w:cstheme="minorHAnsi"/>
        </w:rPr>
        <w:t xml:space="preserve">in the Netherlands. </w:t>
      </w:r>
      <w:hyperlink r:id="rId21" w:tooltip="Journal of Pension Economics and Finance" w:history="1">
        <w:r w:rsidRPr="008A5721">
          <w:rPr>
            <w:rFonts w:cstheme="minorHAnsi"/>
          </w:rPr>
          <w:t>Journal of Pension Economics and Finance</w:t>
        </w:r>
      </w:hyperlink>
      <w:r w:rsidRPr="008A5721">
        <w:rPr>
          <w:rFonts w:cstheme="minorHAnsi"/>
        </w:rPr>
        <w:t> 10 (04), p527-545, 10/2011</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Arrow, K.J., 1974. The Limits of Organization, New York: W.W.Norton &amp;Co</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Arrow,K.J. and F.H.Hahn, 1971. General competitive analysis. San Francisco: Holden-Day</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Bellemare, C., and S. Kroger, 2006.  On Representative Social Capital, European Economic Review, 51 (1), p183–202 2006</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Belot, M., R. Duch, and L. Miller, 2010. Who Should be Called to the Lab? A Comprehensive Comparison of Students and Non-students in Classic Experimental Games. Nuffield centre for experimental social sciences, University of Oxford, Discussion paper series.</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Berg, J., Dickhaut, J., McCabe, K., 1995. Trust, reciprocity, and social norms. Games and Economic Behavior 10, p122-142</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Beugelsdijk, S., &amp; van Schaik, T., 2005. Social capital and growth in European regions, an empirical test. European Journal of Political Economy 21, p301–324. </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BNP (2010)-BNP Paribus Cardiff 2010 report: Nederlander overschat eigen financiële kennis </w:t>
      </w:r>
    </w:p>
    <w:p w:rsidR="00893895" w:rsidRPr="00893895" w:rsidRDefault="00893895" w:rsidP="00893895">
      <w:pPr>
        <w:pStyle w:val="NoSpacing"/>
        <w:rPr>
          <w:rFonts w:cstheme="minorHAnsi"/>
        </w:rPr>
      </w:pPr>
      <w:r w:rsidRPr="00893895">
        <w:rPr>
          <w:rFonts w:cstheme="minorHAnsi"/>
        </w:rPr>
        <w:t>Press release: 5th of August 2010</w:t>
      </w:r>
    </w:p>
    <w:p w:rsidR="00893895" w:rsidRPr="00893895" w:rsidRDefault="00893895" w:rsidP="00893895">
      <w:pPr>
        <w:pStyle w:val="NoSpacing"/>
        <w:rPr>
          <w:rFonts w:cstheme="minorHAnsi"/>
        </w:rPr>
      </w:pPr>
      <w:r w:rsidRPr="00893895">
        <w:rPr>
          <w:rFonts w:cstheme="minorHAnsi"/>
        </w:rPr>
        <w:t>URL:http://www.bnpparibascardif.nu/persberichten/persbericht/nederlander_overschat_eigen_financiele_kennis</w:t>
      </w:r>
    </w:p>
    <w:p w:rsidR="00893895" w:rsidRPr="00893895" w:rsidRDefault="00893895" w:rsidP="00893895">
      <w:pPr>
        <w:pStyle w:val="NoSpacing"/>
        <w:rPr>
          <w:rFonts w:cstheme="minorHAnsi"/>
        </w:rPr>
      </w:pPr>
      <w:r w:rsidRPr="00893895">
        <w:rPr>
          <w:rFonts w:cstheme="minorHAnsi"/>
        </w:rPr>
        <w:t>Last accessed: July 2012</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Bolton, G. E., &amp; Ockenfels, A., 2000. A theory of equity, reciprocity, and competition. American Economic Review  90(1), p166–193 2000</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Bonin, H., T. Dohmen, A. Falk, D. Huffman and U. Sunde, 2007. Cross-sectional Earnings</w:t>
      </w:r>
    </w:p>
    <w:p w:rsidR="00893895" w:rsidRPr="00893895" w:rsidRDefault="00893895" w:rsidP="00893895">
      <w:pPr>
        <w:pStyle w:val="NoSpacing"/>
        <w:rPr>
          <w:rFonts w:cstheme="minorHAnsi"/>
        </w:rPr>
      </w:pPr>
      <w:r w:rsidRPr="00893895">
        <w:rPr>
          <w:rFonts w:cstheme="minorHAnsi"/>
        </w:rPr>
        <w:t>Risk and Occupational Sorting: The Role of Risk Attitudes. Labour Economics 14 (6),</w:t>
      </w:r>
    </w:p>
    <w:p w:rsidR="00893895" w:rsidRPr="00893895" w:rsidRDefault="00893895" w:rsidP="00893895">
      <w:pPr>
        <w:pStyle w:val="NoSpacing"/>
        <w:rPr>
          <w:rFonts w:cstheme="minorHAnsi"/>
        </w:rPr>
      </w:pPr>
      <w:r w:rsidRPr="00893895">
        <w:rPr>
          <w:rFonts w:cstheme="minorHAnsi"/>
        </w:rPr>
        <w:t>p926‐937</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Buchan, N., Croson, R &amp; Solnick, S., 2008.  </w:t>
      </w:r>
      <w:hyperlink r:id="rId22" w:history="1">
        <w:r w:rsidRPr="00893895">
          <w:rPr>
            <w:rFonts w:cstheme="minorHAnsi"/>
            <w:bCs/>
          </w:rPr>
          <w:t>Trust and gender: An examination of behavior and beliefs  in the Investment Game</w:t>
        </w:r>
      </w:hyperlink>
      <w:r w:rsidRPr="00893895">
        <w:rPr>
          <w:rFonts w:cstheme="minorHAnsi"/>
          <w:bCs/>
        </w:rPr>
        <w:t>.</w:t>
      </w:r>
      <w:r w:rsidRPr="00893895">
        <w:rPr>
          <w:rFonts w:cstheme="minorHAnsi"/>
        </w:rPr>
        <w:t xml:space="preserve"> </w:t>
      </w:r>
      <w:hyperlink r:id="rId23" w:history="1">
        <w:r w:rsidRPr="00893895">
          <w:rPr>
            <w:rFonts w:cstheme="minorHAnsi"/>
            <w:bCs/>
          </w:rPr>
          <w:t>Journal of Economic Behavior &amp; Organization</w:t>
        </w:r>
      </w:hyperlink>
      <w:r w:rsidRPr="00893895">
        <w:rPr>
          <w:rFonts w:cstheme="minorHAnsi"/>
        </w:rPr>
        <w:t xml:space="preserve"> 68 (3-4), p 466-476, 12/2008</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CBS Statline Age;</w:t>
      </w:r>
    </w:p>
    <w:p w:rsidR="00893895" w:rsidRPr="00893895" w:rsidRDefault="00893895" w:rsidP="00893895">
      <w:pPr>
        <w:pStyle w:val="NoSpacing"/>
        <w:rPr>
          <w:rFonts w:cstheme="minorHAnsi"/>
        </w:rPr>
      </w:pPr>
      <w:r w:rsidRPr="00893895">
        <w:rPr>
          <w:rFonts w:cstheme="minorHAnsi"/>
        </w:rPr>
        <w:t>http://statline.cbs.nl/StatWeb/publication/default.aspx?DM=</w:t>
      </w:r>
    </w:p>
    <w:p w:rsidR="00893895" w:rsidRPr="00893895" w:rsidRDefault="00893895" w:rsidP="00893895">
      <w:pPr>
        <w:pStyle w:val="NoSpacing"/>
        <w:rPr>
          <w:rFonts w:cstheme="minorHAnsi"/>
        </w:rPr>
      </w:pPr>
      <w:r w:rsidRPr="00893895">
        <w:rPr>
          <w:rFonts w:cstheme="minorHAnsi"/>
        </w:rPr>
        <w:t>SLNL&amp;PA=80832NED&amp;D1=0-1&amp;D2=a&amp;D3=0&amp;D4=0&amp;D5=0&amp;D6=0-1%2c5-22&amp;D7=0&amp;D8=a&amp;HDR=T%2cG1%2cG3%2cG4%2cG6%2cG7&amp;STB=G5%2cG2&amp;VW=T</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CBS Statline Gender; </w:t>
      </w:r>
    </w:p>
    <w:p w:rsidR="00893895" w:rsidRPr="00893895" w:rsidRDefault="00893895" w:rsidP="00893895">
      <w:pPr>
        <w:pStyle w:val="NoSpacing"/>
        <w:rPr>
          <w:rFonts w:cstheme="minorHAnsi"/>
        </w:rPr>
      </w:pPr>
      <w:r w:rsidRPr="00893895">
        <w:rPr>
          <w:rFonts w:cstheme="minorHAnsi"/>
        </w:rPr>
        <w:t xml:space="preserve">http://statline.cbs.nl/StatWeb/publication/?DM=SLNL&amp;PA=71958NED&amp;D1=0,5-6,10&amp;D2=a&amp;D3=0,23-24&amp;D4=0,41,46,51,56&amp;HDR=T&amp;STB=G1,G2,G3&amp;VW=T </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CBS statline Income;</w:t>
      </w:r>
    </w:p>
    <w:p w:rsidR="00893895" w:rsidRPr="00893895" w:rsidRDefault="00893895" w:rsidP="00893895">
      <w:pPr>
        <w:pStyle w:val="NoSpacing"/>
        <w:rPr>
          <w:rFonts w:cstheme="minorHAnsi"/>
        </w:rPr>
      </w:pPr>
      <w:r w:rsidRPr="00893895">
        <w:rPr>
          <w:rFonts w:cstheme="minorHAnsi"/>
        </w:rPr>
        <w:t>http://statline.cbs.nl/StatWeb/publication/?VW=T&amp;DM=SLNL&amp;PA=70843ned&amp;LA=NL</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B7611">
        <w:rPr>
          <w:rFonts w:cstheme="minorHAnsi"/>
          <w:lang w:val="nl-NL"/>
        </w:rPr>
        <w:t xml:space="preserve">Chang, H., Huang, K., Wu, C., 2006. </w:t>
      </w:r>
      <w:r w:rsidRPr="00893895">
        <w:rPr>
          <w:rFonts w:cstheme="minorHAnsi"/>
        </w:rPr>
        <w:t>Determination of Sample Size in Using Central Limit Theorem for Weibull Distribution.  Information and Management Sciences Volume 17 (3), p. 31-46  2006</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Charness, G., Gneezy, U., 2007. Strong Gender Differences in Investment, Departmental Working Papers, Department of Economics, UCSB, UC Santa Barbara</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Chaudhuri, A. and L. Gagadharan, 2003. Gender Differences in Trust and Reciprocity.</w:t>
      </w:r>
    </w:p>
    <w:p w:rsidR="00893895" w:rsidRPr="00893895" w:rsidRDefault="00893895" w:rsidP="00893895">
      <w:pPr>
        <w:pStyle w:val="NoSpacing"/>
        <w:rPr>
          <w:rFonts w:cstheme="minorHAnsi"/>
        </w:rPr>
      </w:pPr>
      <w:r w:rsidRPr="00893895">
        <w:rPr>
          <w:rFonts w:cstheme="minorHAnsi"/>
        </w:rPr>
        <w:t>Working Paper, University of Auckland mimeo.</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Coleman, J.C., 1990. Foundations of Social Theory. Cambridge, Mass USA: Harvard University Press</w:t>
      </w:r>
    </w:p>
    <w:p w:rsidR="00893895" w:rsidRPr="00893895" w:rsidRDefault="00893895" w:rsidP="00893895">
      <w:pPr>
        <w:pStyle w:val="NoSpacing"/>
        <w:rPr>
          <w:rFonts w:cstheme="minorHAnsi"/>
        </w:rPr>
      </w:pPr>
    </w:p>
    <w:p w:rsidR="00893895" w:rsidRDefault="00893895" w:rsidP="00893895">
      <w:pPr>
        <w:pStyle w:val="NoSpacing"/>
        <w:rPr>
          <w:rFonts w:cstheme="minorHAnsi"/>
        </w:rPr>
      </w:pPr>
      <w:r w:rsidRPr="00893895">
        <w:rPr>
          <w:rFonts w:cstheme="minorHAnsi"/>
        </w:rPr>
        <w:t>Cox, J. C. &amp; Deck, C. A., 2006. When are women more generous than men? Economic Inquiry 44(4), p587-598</w:t>
      </w:r>
    </w:p>
    <w:p w:rsidR="001E78DC" w:rsidRPr="00893895" w:rsidRDefault="001E78DC" w:rsidP="00893895">
      <w:pPr>
        <w:pStyle w:val="NoSpacing"/>
        <w:rPr>
          <w:rFonts w:cstheme="minorHAnsi"/>
        </w:rPr>
      </w:pPr>
    </w:p>
    <w:p w:rsidR="001E78DC" w:rsidRPr="00893895" w:rsidRDefault="001E78DC" w:rsidP="001E78DC">
      <w:pPr>
        <w:pStyle w:val="NoSpacing"/>
        <w:rPr>
          <w:rFonts w:cstheme="minorHAnsi"/>
        </w:rPr>
      </w:pPr>
      <w:r w:rsidRPr="00893895">
        <w:rPr>
          <w:rFonts w:cstheme="minorHAnsi"/>
        </w:rPr>
        <w:t>Cox, L. H., Karr, A. F., and Kinney, S. K., 2011. Risk-utility paradigms for statistical disclosure limitation: how to think, but not how to act. International Statistical Review  79 (2), p160-183 08/2011.</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Craswell, R. 1993. On the uses of trust: Comment on Williamson, ‘‘Calculativeness, trust, and economic organization’’. Journal of Law and Economics 36, p487-500.</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Croson, R. and Gneezy, U., 2004, Gender differences in preferences, Journal of Economic Literature  47 (2), p1-27</w:t>
      </w:r>
    </w:p>
    <w:p w:rsidR="00893895" w:rsidRPr="00893895" w:rsidRDefault="00893895" w:rsidP="00893895">
      <w:pPr>
        <w:pStyle w:val="NoSpacing"/>
        <w:rPr>
          <w:rFonts w:cstheme="minorHAnsi"/>
        </w:rPr>
      </w:pPr>
      <w:r w:rsidRPr="00893895">
        <w:rPr>
          <w:rFonts w:cstheme="minorHAnsi"/>
        </w:rPr>
        <w:t xml:space="preserve"> </w:t>
      </w:r>
    </w:p>
    <w:p w:rsidR="00893895" w:rsidRPr="00893895" w:rsidRDefault="00893895" w:rsidP="00893895">
      <w:pPr>
        <w:pStyle w:val="NoSpacing"/>
        <w:rPr>
          <w:rFonts w:cstheme="minorHAnsi"/>
        </w:rPr>
      </w:pPr>
      <w:r w:rsidRPr="00893895">
        <w:rPr>
          <w:rFonts w:cstheme="minorHAnsi"/>
        </w:rPr>
        <w:t>Danielsson, J., H Shin, J. Zigrand, 2009. Risk Appetite and Endogenous Risk</w:t>
      </w:r>
    </w:p>
    <w:p w:rsidR="00893895" w:rsidRPr="00893895" w:rsidRDefault="00893895" w:rsidP="00893895">
      <w:pPr>
        <w:pStyle w:val="NoSpacing"/>
        <w:rPr>
          <w:rFonts w:cstheme="minorHAnsi"/>
        </w:rPr>
      </w:pPr>
      <w:r w:rsidRPr="00893895">
        <w:rPr>
          <w:rFonts w:cstheme="minorHAnsi"/>
        </w:rPr>
        <w:t xml:space="preserve">AXA working paper series no.2 Discussion paper no.647 </w:t>
      </w:r>
    </w:p>
    <w:p w:rsidR="00893895" w:rsidRPr="00893895" w:rsidRDefault="00893895" w:rsidP="00893895">
      <w:pPr>
        <w:pStyle w:val="NoSpacing"/>
        <w:rPr>
          <w:rFonts w:cstheme="minorHAnsi"/>
        </w:rPr>
      </w:pPr>
    </w:p>
    <w:p w:rsidR="00893895" w:rsidRPr="008B7611" w:rsidRDefault="00893895" w:rsidP="00893895">
      <w:pPr>
        <w:pStyle w:val="NoSpacing"/>
        <w:rPr>
          <w:rFonts w:cstheme="minorHAnsi"/>
          <w:lang w:val="nl-NL"/>
        </w:rPr>
      </w:pPr>
      <w:r w:rsidRPr="008B7611">
        <w:rPr>
          <w:rFonts w:cstheme="minorHAnsi"/>
          <w:lang w:val="nl-NL"/>
        </w:rPr>
        <w:t>Debat op 2 (KRO/NCRV): Onderzoek Jonge werknemers &amp; Pensioenen</w:t>
      </w:r>
    </w:p>
    <w:p w:rsidR="00893895" w:rsidRPr="008B7611" w:rsidRDefault="00893895" w:rsidP="00893895">
      <w:pPr>
        <w:pStyle w:val="NoSpacing"/>
        <w:rPr>
          <w:rFonts w:cstheme="minorHAnsi"/>
          <w:lang w:val="nl-NL"/>
        </w:rPr>
      </w:pPr>
      <w:r w:rsidRPr="008B7611">
        <w:rPr>
          <w:rFonts w:cstheme="minorHAnsi"/>
          <w:lang w:val="nl-NL"/>
        </w:rPr>
        <w:t>Broadcasting:‘Hier met die pensioenpot’, Saterday 28th  January 2012, Nederland 2, 21:05h</w:t>
      </w:r>
    </w:p>
    <w:p w:rsidR="00893895" w:rsidRPr="008B7611" w:rsidRDefault="00893895" w:rsidP="00893895">
      <w:pPr>
        <w:pStyle w:val="NoSpacing"/>
        <w:rPr>
          <w:rFonts w:cstheme="minorHAnsi"/>
          <w:lang w:val="nl-NL"/>
        </w:rPr>
      </w:pPr>
      <w:r w:rsidRPr="008B7611">
        <w:rPr>
          <w:rFonts w:cstheme="minorHAnsi"/>
          <w:lang w:val="nl-NL"/>
        </w:rPr>
        <w:t>URL:http://content1b.omroep.nl/1ef1cac45c22d5c6ec3867b78a417b22/50a2537f/ncrv/debatop2/onderzoekpensioenendef.pdf</w:t>
      </w:r>
    </w:p>
    <w:p w:rsidR="00893895" w:rsidRPr="00893895" w:rsidRDefault="00893895" w:rsidP="00893895">
      <w:pPr>
        <w:pStyle w:val="NoSpacing"/>
        <w:rPr>
          <w:rFonts w:cstheme="minorHAnsi"/>
        </w:rPr>
      </w:pPr>
      <w:r w:rsidRPr="00893895">
        <w:rPr>
          <w:rFonts w:cstheme="minorHAnsi"/>
        </w:rPr>
        <w:t>Last accessed: August 2012</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Deck, C., J. Lee and J. Reyes,  2010. Personality and the Consistency of Risk Taking Behavior: Experimental Evidence. Unpublished manuscript</w:t>
      </w:r>
    </w:p>
    <w:p w:rsidR="00893895" w:rsidRPr="00893895" w:rsidRDefault="00893895" w:rsidP="00893895">
      <w:pPr>
        <w:pStyle w:val="NoSpacing"/>
        <w:rPr>
          <w:rFonts w:cstheme="minorHAnsi"/>
        </w:rPr>
      </w:pPr>
      <w:r w:rsidRPr="00893895">
        <w:rPr>
          <w:rFonts w:cstheme="minorHAnsi"/>
        </w:rPr>
        <w:t xml:space="preserve">URL: </w:t>
      </w:r>
      <w:r w:rsidRPr="00833842">
        <w:rPr>
          <w:rFonts w:cstheme="minorHAnsi"/>
        </w:rPr>
        <w:t>http://www.chapman.edu/ESI/wp/Deck_PersonalityConsistencyRiskTaking.pdf</w:t>
      </w:r>
    </w:p>
    <w:p w:rsidR="00893895" w:rsidRDefault="00893895" w:rsidP="00893895">
      <w:pPr>
        <w:pStyle w:val="NoSpacing"/>
        <w:rPr>
          <w:rFonts w:cstheme="minorHAnsi"/>
        </w:rPr>
      </w:pPr>
      <w:r w:rsidRPr="00893895">
        <w:rPr>
          <w:rFonts w:cstheme="minorHAnsi"/>
        </w:rPr>
        <w:t>Last accessed: August 2012</w:t>
      </w:r>
    </w:p>
    <w:p w:rsidR="001E78DC" w:rsidRPr="00893895" w:rsidRDefault="001E78DC" w:rsidP="00893895">
      <w:pPr>
        <w:pStyle w:val="NoSpacing"/>
        <w:rPr>
          <w:rFonts w:cstheme="minorHAnsi"/>
        </w:rPr>
      </w:pPr>
    </w:p>
    <w:p w:rsidR="001E78DC" w:rsidRPr="00893895" w:rsidRDefault="001E78DC" w:rsidP="001E78DC">
      <w:pPr>
        <w:pStyle w:val="NoSpacing"/>
        <w:rPr>
          <w:rFonts w:cstheme="minorHAnsi"/>
        </w:rPr>
      </w:pPr>
      <w:r w:rsidRPr="00893895">
        <w:rPr>
          <w:rFonts w:cstheme="minorHAnsi"/>
        </w:rPr>
        <w:t xml:space="preserve">Dincer, O. &amp; Uslaner, E., 2010. </w:t>
      </w:r>
      <w:hyperlink r:id="rId24" w:history="1">
        <w:r w:rsidRPr="00893895">
          <w:rPr>
            <w:rFonts w:cstheme="minorHAnsi"/>
          </w:rPr>
          <w:t>Trust and growth</w:t>
        </w:r>
      </w:hyperlink>
      <w:r w:rsidRPr="00893895">
        <w:rPr>
          <w:rFonts w:cstheme="minorHAnsi"/>
        </w:rPr>
        <w:t xml:space="preserve">. </w:t>
      </w:r>
      <w:hyperlink r:id="rId25" w:history="1">
        <w:r w:rsidRPr="00893895">
          <w:rPr>
            <w:rFonts w:cstheme="minorHAnsi"/>
          </w:rPr>
          <w:t>Working Papers</w:t>
        </w:r>
      </w:hyperlink>
      <w:r w:rsidRPr="00893895">
        <w:rPr>
          <w:rFonts w:cstheme="minorHAnsi"/>
        </w:rPr>
        <w:t xml:space="preserve"> 2007.73, Fondazione Eni Enrico Mattei. </w:t>
      </w:r>
      <w:hyperlink r:id="rId26" w:history="1">
        <w:r w:rsidRPr="00893895">
          <w:rPr>
            <w:rFonts w:cstheme="minorHAnsi"/>
          </w:rPr>
          <w:t>Public Choice</w:t>
        </w:r>
      </w:hyperlink>
      <w:r w:rsidRPr="00893895">
        <w:rPr>
          <w:rFonts w:cstheme="minorHAnsi"/>
        </w:rPr>
        <w:t xml:space="preserve"> 142(1), p59-67  January 2010</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Ding, X., Hartog, J., Sun, Y., 2010. Can We Measure Individual Risk Attitudes in a Survey?</w:t>
      </w:r>
    </w:p>
    <w:p w:rsidR="00893895" w:rsidRPr="00893895" w:rsidRDefault="00893895" w:rsidP="00893895">
      <w:pPr>
        <w:pStyle w:val="NoSpacing"/>
        <w:rPr>
          <w:rFonts w:cstheme="minorHAnsi"/>
        </w:rPr>
      </w:pPr>
      <w:r w:rsidRPr="00893895">
        <w:rPr>
          <w:rFonts w:cstheme="minorHAnsi"/>
        </w:rPr>
        <w:t>IZA Discussion Paper No. 4807, March 2010</w:t>
      </w:r>
    </w:p>
    <w:p w:rsidR="00893895" w:rsidRPr="00893895" w:rsidRDefault="00893895" w:rsidP="00893895">
      <w:pPr>
        <w:pStyle w:val="NoSpacing"/>
        <w:rPr>
          <w:rFonts w:cstheme="minorHAnsi"/>
        </w:rPr>
      </w:pPr>
    </w:p>
    <w:p w:rsidR="00893895" w:rsidRPr="008B7611" w:rsidRDefault="00893895" w:rsidP="00893895">
      <w:pPr>
        <w:pStyle w:val="NoSpacing"/>
        <w:rPr>
          <w:rFonts w:cstheme="minorHAnsi"/>
          <w:lang w:val="nl-NL"/>
        </w:rPr>
      </w:pPr>
      <w:r w:rsidRPr="008B7611">
        <w:rPr>
          <w:rFonts w:cstheme="minorHAnsi"/>
          <w:lang w:val="nl-NL"/>
        </w:rPr>
        <w:t>DNB 2005: 2005.Financiële kennis Nederlandse huishoudens is beperkt</w:t>
      </w:r>
    </w:p>
    <w:p w:rsidR="00893895" w:rsidRPr="008B7611" w:rsidRDefault="00893895" w:rsidP="00893895">
      <w:pPr>
        <w:pStyle w:val="NoSpacing"/>
        <w:rPr>
          <w:rFonts w:cstheme="minorHAnsi"/>
          <w:lang w:val="nl-NL"/>
        </w:rPr>
      </w:pPr>
      <w:r w:rsidRPr="008B7611">
        <w:rPr>
          <w:rFonts w:cstheme="minorHAnsi"/>
          <w:lang w:val="nl-NL"/>
        </w:rPr>
        <w:t>DNB / Kwartaalbericht juni 2006</w:t>
      </w:r>
    </w:p>
    <w:p w:rsidR="00893895" w:rsidRPr="008B7611" w:rsidRDefault="00893895" w:rsidP="00893895">
      <w:pPr>
        <w:pStyle w:val="NoSpacing"/>
        <w:rPr>
          <w:rFonts w:cstheme="minorHAnsi"/>
          <w:lang w:val="nl-NL"/>
        </w:rPr>
      </w:pPr>
      <w:r w:rsidRPr="008B7611">
        <w:rPr>
          <w:rFonts w:cstheme="minorHAnsi"/>
          <w:lang w:val="nl-NL"/>
        </w:rPr>
        <w:t>URL: http://www.dnb.nl/binaries/financiele%20kennis_tcm46-147222.pdf</w:t>
      </w:r>
    </w:p>
    <w:p w:rsidR="00893895" w:rsidRPr="008B7611" w:rsidRDefault="00893895" w:rsidP="00893895">
      <w:pPr>
        <w:pStyle w:val="NoSpacing"/>
        <w:rPr>
          <w:rFonts w:cstheme="minorHAnsi"/>
          <w:lang w:val="nl-NL"/>
        </w:rPr>
      </w:pPr>
      <w:r w:rsidRPr="008B7611">
        <w:rPr>
          <w:rFonts w:cstheme="minorHAnsi"/>
          <w:lang w:val="nl-NL"/>
        </w:rPr>
        <w:t>Last Accessed: August 2012</w:t>
      </w:r>
    </w:p>
    <w:p w:rsidR="00893895" w:rsidRPr="008B7611" w:rsidRDefault="00893895" w:rsidP="00893895">
      <w:pPr>
        <w:pStyle w:val="NoSpacing"/>
        <w:rPr>
          <w:rFonts w:cstheme="minorHAnsi"/>
          <w:lang w:val="nl-NL"/>
        </w:rPr>
      </w:pPr>
    </w:p>
    <w:p w:rsidR="00893895" w:rsidRPr="008B7611" w:rsidRDefault="00893895" w:rsidP="00893895">
      <w:pPr>
        <w:pStyle w:val="NoSpacing"/>
        <w:rPr>
          <w:rFonts w:cstheme="minorHAnsi"/>
          <w:lang w:val="nl-NL"/>
        </w:rPr>
      </w:pPr>
      <w:r w:rsidRPr="008B7611">
        <w:rPr>
          <w:rFonts w:cstheme="minorHAnsi"/>
          <w:lang w:val="nl-NL"/>
        </w:rPr>
        <w:t xml:space="preserve">DNB 2012: Herstel van vertrouwen van huishoudens in de finanicele sector blijft uit. </w:t>
      </w:r>
    </w:p>
    <w:p w:rsidR="00893895" w:rsidRPr="00893895" w:rsidRDefault="00893895" w:rsidP="00893895">
      <w:pPr>
        <w:pStyle w:val="NoSpacing"/>
        <w:rPr>
          <w:rFonts w:cstheme="minorHAnsi"/>
        </w:rPr>
      </w:pPr>
      <w:r w:rsidRPr="00893895">
        <w:rPr>
          <w:rFonts w:cstheme="minorHAnsi"/>
        </w:rPr>
        <w:t>DNBullitin 20/05/2012</w:t>
      </w:r>
    </w:p>
    <w:p w:rsidR="00893895" w:rsidRPr="00893895" w:rsidRDefault="00893895" w:rsidP="00893895">
      <w:pPr>
        <w:pStyle w:val="NoSpacing"/>
        <w:rPr>
          <w:rFonts w:cstheme="minorHAnsi"/>
        </w:rPr>
      </w:pPr>
      <w:r w:rsidRPr="00893895">
        <w:rPr>
          <w:rFonts w:cstheme="minorHAnsi"/>
        </w:rPr>
        <w:t>URL: http://www.dnb.nl/nieuws/nieuwsoverzicht-en-archief/dnbulletin-2012/dnb274509.jsp</w:t>
      </w:r>
    </w:p>
    <w:p w:rsidR="00893895" w:rsidRDefault="00893895" w:rsidP="00893895">
      <w:pPr>
        <w:pStyle w:val="NoSpacing"/>
        <w:rPr>
          <w:rFonts w:cstheme="minorHAnsi"/>
        </w:rPr>
      </w:pPr>
      <w:r w:rsidRPr="00893895">
        <w:rPr>
          <w:rFonts w:cstheme="minorHAnsi"/>
        </w:rPr>
        <w:t>Last accessed: August 2012</w:t>
      </w:r>
    </w:p>
    <w:p w:rsidR="001E78DC" w:rsidRPr="00893895" w:rsidRDefault="001E78DC" w:rsidP="00893895">
      <w:pPr>
        <w:pStyle w:val="NoSpacing"/>
        <w:rPr>
          <w:rFonts w:cstheme="minorHAnsi"/>
        </w:rPr>
      </w:pPr>
    </w:p>
    <w:p w:rsidR="001E78DC" w:rsidRPr="00893895" w:rsidRDefault="001E78DC" w:rsidP="001E78DC">
      <w:pPr>
        <w:pStyle w:val="NoSpacing"/>
        <w:rPr>
          <w:rFonts w:cstheme="minorHAnsi"/>
        </w:rPr>
      </w:pPr>
      <w:r w:rsidRPr="00893895">
        <w:rPr>
          <w:rFonts w:cstheme="minorHAnsi"/>
        </w:rPr>
        <w:t>Dodeen, H., 2003. Effectiveness of Valid Mean Substitution in Treating Missing Data in Attitude Assessment. Assessment &amp; Evaluation in Higher Education 28 (5), p505-513</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Dohmen, T., A. Falk, D. Huffman, U. Sunde, J. Schupp, G.G. Wagner, 2009. Individual Risk Attitudes: Measurement, Determinants and Behavioral Consequences. ROA Research Memorandum Series, Research Centre for Education and the Labour Market, Maastricht University. ROA-RM-2009/6</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Dohmen, T., A. Falk, D. Huffman, U. Sunde, J. Schupp and G. Wagner, 2005. Individual Risk Attitudes: New Evidence from a Large, Representative, Experimentally‐Validated Survey. Institute for the Study of Labor, </w:t>
      </w:r>
      <w:r w:rsidRPr="00833842">
        <w:rPr>
          <w:rFonts w:cstheme="minorHAnsi"/>
        </w:rPr>
        <w:t>IZA Discussion Papers</w:t>
      </w:r>
      <w:r w:rsidRPr="00893895">
        <w:rPr>
          <w:rFonts w:cstheme="minorHAnsi"/>
        </w:rPr>
        <w:t xml:space="preserve"> 1730. </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Donkers, B. , C. Lourenço and B. Dellaert, 2012. </w:t>
      </w:r>
      <w:r w:rsidRPr="00833842">
        <w:rPr>
          <w:rFonts w:cstheme="minorHAnsi"/>
        </w:rPr>
        <w:t>Measuring and debiasing consumer pension risk attitudes</w:t>
      </w:r>
      <w:r w:rsidRPr="00893895">
        <w:rPr>
          <w:rFonts w:cstheme="minorHAnsi"/>
        </w:rPr>
        <w:t>. Netspar Panel Paper 28  May 2012</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6A62E6">
        <w:rPr>
          <w:rFonts w:cstheme="minorHAnsi"/>
        </w:rPr>
        <w:t xml:space="preserve">Donkers, B., B. Melenberg, and A. Van Soest, 2001. </w:t>
      </w:r>
      <w:r w:rsidRPr="00893895">
        <w:rPr>
          <w:rFonts w:cstheme="minorHAnsi"/>
        </w:rPr>
        <w:t>Estimating Risk Attitudes Using Lotteries: A Large Sample Approach. Journal of Risk and Uncertainty 22 (2), p165–195.</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Epstein, J. M., 1999. Agent-based computational models and generative social science. Complexity  4, p41–60.</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Fehr, E., 2009. On the economics and biology of trust. Journal of the European Economic Association 7, p235–266.</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Fehr, E., U. Fischbacher, B. von Rosenbladt, J. Schupp, G. Wagner, 2003. A Nation-Wide Laboratory. Examining Trust and Trustworthiness by Integrating Behavioral Experiments into Representative Surveys.  CESifo working paper 866</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Field, A., 2005. Discovering statistics using SPSS (2nd ed.). London: Sage</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Fukuyama, F., 1995. Trust: The social virtues and the creation of prosperity. The Free press, New York, USA.</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Gai, P. and Vause N. , 2005. Measuring investors' risk appetite. Bank of England Working Paper, No. 283</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Gob, R., McCollin, C., Ramalhoto, M.F., 2007. Ordinal Methodology in the Analysis of Likert Scale, Quality &amp; Quantity 41 (5), p601-626 October 2007</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lang w:val="nl-NL"/>
        </w:rPr>
        <w:t xml:space="preserve">Gravelande, W.J. ,2011. Aansprakelijkheid van DNB als Nederlandse pensioentoezichthouder. </w:t>
      </w:r>
      <w:r w:rsidRPr="008B7611">
        <w:rPr>
          <w:rFonts w:cstheme="minorHAnsi"/>
        </w:rPr>
        <w:t xml:space="preserve">M.Sc </w:t>
      </w:r>
      <w:r w:rsidRPr="00893895">
        <w:rPr>
          <w:rFonts w:cstheme="minorHAnsi"/>
        </w:rPr>
        <w:t>Open University Netherlands and Kempen Capital Management</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Guala, F., 1999. The problem of external validity (or ‘parallelism’) in experimental economics.  Social Science Information 38: 555–73.</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Gulati, R., and H. Singh. 1998. The Architecture of Cooperation: Managing Coordination Uncertainty and Interdependence in Strategic Alliances. Administrative Science Quarterly, 43:781–814</w:t>
      </w:r>
    </w:p>
    <w:p w:rsidR="00CF5C9E" w:rsidRDefault="00CF5C9E" w:rsidP="00CF5C9E">
      <w:pPr>
        <w:pStyle w:val="NoSpacing"/>
        <w:rPr>
          <w:rFonts w:cstheme="minorHAnsi"/>
        </w:rPr>
      </w:pPr>
    </w:p>
    <w:p w:rsidR="00CF5C9E" w:rsidRPr="00893895" w:rsidRDefault="00CF5C9E" w:rsidP="00CF5C9E">
      <w:pPr>
        <w:pStyle w:val="NoSpacing"/>
        <w:rPr>
          <w:rFonts w:cstheme="minorHAnsi"/>
        </w:rPr>
      </w:pPr>
      <w:r w:rsidRPr="00893895">
        <w:rPr>
          <w:rFonts w:cstheme="minorHAnsi"/>
        </w:rPr>
        <w:t>Guiso, L., and M. Paiella, 2006. The Role of Risk Aversion in Predicting Individual Behavior. Bank of Italy Economic Working Paper No. 546.</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Guiso, L., Sapienza, P. and Zingales, L., 2011. Time varying Risk aversion. Working paper</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Guiso, L., Sapienza, P. and Zingales, L., 2006. Does Culture Affect Economic Outcomes?</w:t>
      </w:r>
    </w:p>
    <w:p w:rsidR="00893895" w:rsidRPr="00893895" w:rsidRDefault="00893895" w:rsidP="00893895">
      <w:pPr>
        <w:pStyle w:val="NoSpacing"/>
        <w:rPr>
          <w:rFonts w:cstheme="minorHAnsi"/>
        </w:rPr>
      </w:pPr>
      <w:r w:rsidRPr="00893895">
        <w:rPr>
          <w:rFonts w:cstheme="minorHAnsi"/>
        </w:rPr>
        <w:t xml:space="preserve"> Journal of Economic Perspectives 20(2), p23-48.</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Hampel, F. R., Ronchetti, E. M., Rousseeuw, P. J. and Stahel, W. A., 1986. Robust Statistics: The</w:t>
      </w:r>
    </w:p>
    <w:p w:rsidR="00893895" w:rsidRPr="00893895" w:rsidRDefault="00893895" w:rsidP="00893895">
      <w:pPr>
        <w:pStyle w:val="NoSpacing"/>
        <w:rPr>
          <w:rFonts w:cstheme="minorHAnsi"/>
        </w:rPr>
      </w:pPr>
      <w:r w:rsidRPr="00893895">
        <w:rPr>
          <w:rFonts w:cstheme="minorHAnsi"/>
        </w:rPr>
        <w:t>Approach Based on Influence Functions, Wiley, N. Y., USA</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Hardin, R., 2002. Trust and Trustworthiness. Russell Sage Foundation N.Y., USA</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Harris, M. and A. Raviv, 1979. Optimal Incentive Contracts with Imperfect Information. </w:t>
      </w:r>
    </w:p>
    <w:p w:rsidR="00893895" w:rsidRPr="00893895" w:rsidRDefault="00893895" w:rsidP="00893895">
      <w:pPr>
        <w:pStyle w:val="NoSpacing"/>
        <w:rPr>
          <w:rFonts w:cstheme="minorHAnsi"/>
        </w:rPr>
      </w:pPr>
      <w:r w:rsidRPr="00893895">
        <w:rPr>
          <w:rFonts w:cstheme="minorHAnsi"/>
        </w:rPr>
        <w:t>Journal of Economic Theory 20, p231-259.</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Harrison. G.W., M. Lau , E.E. Rutstrom, 2004. Estimating Risk Attitudes in Denmark: A Field Experiment . </w:t>
      </w:r>
      <w:r w:rsidRPr="00833842">
        <w:rPr>
          <w:rFonts w:cstheme="minorHAnsi"/>
        </w:rPr>
        <w:t>Scandinavian Journal of Economics</w:t>
      </w:r>
      <w:r w:rsidRPr="00893895">
        <w:rPr>
          <w:rFonts w:cstheme="minorHAnsi"/>
        </w:rPr>
        <w:t xml:space="preserve"> 109( 2)  p341-368 </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Hartog, J., A. Ferrer‐i‐Carbonell and N. Jonker, 2002. Linking measured risk aversion to individual characteristics, Kyklos 55 (1), p3‐26</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Hartsink, J. , 2012. Principal agent relations within the Dutch pension market: How effective is monitoring? Msc, Erasmus School of Economics, Erasmus University Rotterdam. 2012</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Helms, L. , 1999. Dealing with missing data: how to write an SPSS syntax file, paper presented to the Annual Meeting of the Southwest Educational Research Association, San Antonio, TX</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Hillson, D. A., R. Murray-Webster, 2006. Understanding risk attitude. Association for Project Management (APM) Yearbook 2006/2007, p25-27.</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Holt, Charles A., and Laury, Susan K., 2002. Risk Aversion and Incentive Effects. American Economic. Review 92 (5), p1644-1655</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Houser, D., D. Schunk, J. Winter,  2006. Trust Games Measure Trust. Munich Discussion Paper No.2006 (38) Department of Economics, University of Munich </w:t>
      </w:r>
    </w:p>
    <w:p w:rsidR="00893895" w:rsidRPr="00893895" w:rsidRDefault="00893895" w:rsidP="00893895">
      <w:pPr>
        <w:pStyle w:val="NoSpacing"/>
        <w:rPr>
          <w:rFonts w:cstheme="minorHAnsi"/>
        </w:rPr>
      </w:pPr>
    </w:p>
    <w:p w:rsidR="00893895" w:rsidRPr="008B7611" w:rsidRDefault="00893895" w:rsidP="00893895">
      <w:pPr>
        <w:pStyle w:val="NoSpacing"/>
        <w:rPr>
          <w:rFonts w:cstheme="minorHAnsi"/>
          <w:lang w:val="nl-NL"/>
        </w:rPr>
      </w:pPr>
      <w:r w:rsidRPr="00893895">
        <w:rPr>
          <w:rFonts w:cstheme="minorHAnsi"/>
        </w:rPr>
        <w:t xml:space="preserve">Houser, D. and J. Wooders (2000). Reputation in auctions: Theory and evidence from eBay. </w:t>
      </w:r>
      <w:r w:rsidRPr="008B7611">
        <w:rPr>
          <w:rFonts w:cstheme="minorHAnsi"/>
          <w:lang w:val="nl-NL"/>
        </w:rPr>
        <w:t>University of Arizona Working Paper.</w:t>
      </w:r>
    </w:p>
    <w:p w:rsidR="00893895" w:rsidRPr="008B7611" w:rsidRDefault="00893895" w:rsidP="00893895">
      <w:pPr>
        <w:pStyle w:val="NoSpacing"/>
        <w:rPr>
          <w:rFonts w:cstheme="minorHAnsi"/>
          <w:lang w:val="nl-NL"/>
        </w:rPr>
      </w:pPr>
    </w:p>
    <w:p w:rsidR="00893895" w:rsidRPr="008B7611" w:rsidRDefault="00893895" w:rsidP="00893895">
      <w:pPr>
        <w:pStyle w:val="NoSpacing"/>
        <w:rPr>
          <w:rFonts w:cstheme="minorHAnsi"/>
          <w:lang w:val="nl-NL"/>
        </w:rPr>
      </w:pPr>
      <w:r w:rsidRPr="008B7611">
        <w:rPr>
          <w:rFonts w:cstheme="minorHAnsi"/>
          <w:lang w:val="nl-NL"/>
        </w:rPr>
        <w:t>Interpolis 2011: Nieuwsbrief Pensioenen nieuws voor de werkgevers  05/2011</w:t>
      </w:r>
    </w:p>
    <w:p w:rsidR="00893895" w:rsidRPr="00893895" w:rsidRDefault="00893895" w:rsidP="00893895">
      <w:pPr>
        <w:pStyle w:val="NoSpacing"/>
        <w:rPr>
          <w:rFonts w:cstheme="minorHAnsi"/>
        </w:rPr>
      </w:pPr>
      <w:r w:rsidRPr="00893895">
        <w:rPr>
          <w:rFonts w:cstheme="minorHAnsi"/>
        </w:rPr>
        <w:t>URL: www.interpolis.nl/images/nieuwsbrief_tcm163-160842.pdf</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Johnston-George, C., W.C. Swap, 1982. Measurement of specific interpersonal trust: Construction and validation of a scale to assess trust in a specific other. Journal of Personality and Social Psychology 43, p1306-1317.</w:t>
      </w:r>
    </w:p>
    <w:p w:rsidR="00893895" w:rsidRPr="00893895" w:rsidRDefault="00893895" w:rsidP="00893895">
      <w:pPr>
        <w:pStyle w:val="NoSpacing"/>
        <w:rPr>
          <w:rFonts w:cstheme="minorHAnsi"/>
        </w:rPr>
      </w:pPr>
    </w:p>
    <w:p w:rsidR="00893895" w:rsidRPr="00893895" w:rsidRDefault="00893895" w:rsidP="00893895">
      <w:pPr>
        <w:pStyle w:val="NoSpacing"/>
        <w:rPr>
          <w:rStyle w:val="citation"/>
          <w:rFonts w:cstheme="minorHAnsi"/>
        </w:rPr>
      </w:pPr>
      <w:r w:rsidRPr="00893895">
        <w:rPr>
          <w:rStyle w:val="personname"/>
          <w:rFonts w:cstheme="minorHAnsi"/>
        </w:rPr>
        <w:t>Josang, A.</w:t>
      </w:r>
      <w:r w:rsidRPr="00893895">
        <w:rPr>
          <w:rStyle w:val="creators"/>
          <w:rFonts w:cstheme="minorHAnsi"/>
        </w:rPr>
        <w:t xml:space="preserve"> and S. </w:t>
      </w:r>
      <w:r w:rsidRPr="00893895">
        <w:rPr>
          <w:rStyle w:val="personname"/>
          <w:rFonts w:cstheme="minorHAnsi"/>
        </w:rPr>
        <w:t xml:space="preserve">Lo Presti, </w:t>
      </w:r>
      <w:r w:rsidRPr="00893895">
        <w:rPr>
          <w:rStyle w:val="date"/>
          <w:rFonts w:cstheme="minorHAnsi"/>
        </w:rPr>
        <w:t>2004.</w:t>
      </w:r>
      <w:r w:rsidRPr="00893895">
        <w:rPr>
          <w:rStyle w:val="citation"/>
          <w:rFonts w:cstheme="minorHAnsi"/>
        </w:rPr>
        <w:t xml:space="preserve"> </w:t>
      </w:r>
      <w:r w:rsidRPr="00893895">
        <w:rPr>
          <w:rStyle w:val="title0"/>
          <w:rFonts w:cstheme="minorHAnsi"/>
        </w:rPr>
        <w:t>Analysing the Relationship Between Risk and Trust.</w:t>
      </w:r>
      <w:r w:rsidRPr="00893895">
        <w:rPr>
          <w:rStyle w:val="citation"/>
          <w:rFonts w:cstheme="minorHAnsi"/>
        </w:rPr>
        <w:t xml:space="preserve"> </w:t>
      </w:r>
    </w:p>
    <w:p w:rsidR="00893895" w:rsidRPr="00893895" w:rsidRDefault="00893895" w:rsidP="00893895">
      <w:pPr>
        <w:pStyle w:val="NoSpacing"/>
        <w:rPr>
          <w:rFonts w:cstheme="minorHAnsi"/>
        </w:rPr>
      </w:pPr>
      <w:r w:rsidRPr="00893895">
        <w:rPr>
          <w:rStyle w:val="Emphasis"/>
          <w:rFonts w:cstheme="minorHAnsi"/>
          <w:i w:val="0"/>
          <w:iCs w:val="0"/>
        </w:rPr>
        <w:t xml:space="preserve">Second International Conference on Trust Management (iTrust 2004), </w:t>
      </w:r>
      <w:r w:rsidRPr="00893895">
        <w:rPr>
          <w:rStyle w:val="eventlocation"/>
          <w:rFonts w:cstheme="minorHAnsi"/>
        </w:rPr>
        <w:t>Oxford, UK</w:t>
      </w:r>
      <w:r w:rsidRPr="00893895">
        <w:rPr>
          <w:rStyle w:val="Emphasis"/>
          <w:rFonts w:cstheme="minorHAnsi"/>
          <w:i w:val="0"/>
          <w:iCs w:val="0"/>
        </w:rPr>
        <w:t>,</w:t>
      </w:r>
      <w:r w:rsidRPr="00893895">
        <w:rPr>
          <w:rStyle w:val="citation"/>
          <w:rFonts w:cstheme="minorHAnsi"/>
        </w:rPr>
        <w:t xml:space="preserve"> </w:t>
      </w:r>
      <w:r w:rsidRPr="00893895">
        <w:rPr>
          <w:rStyle w:val="daterange"/>
          <w:rFonts w:cstheme="minorHAnsi"/>
        </w:rPr>
        <w:t>March-April 2004.</w:t>
      </w:r>
      <w:r w:rsidRPr="00893895">
        <w:rPr>
          <w:rStyle w:val="citation"/>
          <w:rFonts w:cstheme="minorHAnsi"/>
        </w:rPr>
        <w:t xml:space="preserve"> </w:t>
      </w:r>
      <w:r w:rsidRPr="00893895">
        <w:rPr>
          <w:rStyle w:val="publisher"/>
          <w:rFonts w:cstheme="minorHAnsi"/>
        </w:rPr>
        <w:t>Springer</w:t>
      </w:r>
      <w:r w:rsidRPr="00893895">
        <w:rPr>
          <w:rStyle w:val="citation"/>
          <w:rFonts w:cstheme="minorHAnsi"/>
        </w:rPr>
        <w:t>, p</w:t>
      </w:r>
      <w:r w:rsidRPr="00893895">
        <w:rPr>
          <w:rStyle w:val="pagerange"/>
          <w:rFonts w:cstheme="minorHAnsi"/>
        </w:rPr>
        <w:t>135-145</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Karlan, D. S., 2005. Using Experimental Economics to Measure Social Capital and Predict</w:t>
      </w:r>
    </w:p>
    <w:p w:rsidR="00893895" w:rsidRPr="00893895" w:rsidRDefault="00893895" w:rsidP="00893895">
      <w:pPr>
        <w:pStyle w:val="NoSpacing"/>
        <w:rPr>
          <w:rFonts w:cstheme="minorHAnsi"/>
        </w:rPr>
      </w:pPr>
      <w:r w:rsidRPr="00893895">
        <w:rPr>
          <w:rFonts w:cstheme="minorHAnsi"/>
        </w:rPr>
        <w:t>Financial Decisions. American Economic Review 95 (5), p1688-1699.</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Kosfeld, M., M.Heinrichs, P.J. Zak, U. Fischbacher, E. Fehr, 2005. Oxytocin increases trust in humans. Nature 435, p673-676</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Kreps, D.M., R. Wilson, 1982. Sequential Equilibria. Econometrica pp. 863- 894,</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Laffont, J. and D. Martimort, 2001. The theory of incentives: The principal-agent model. </w:t>
      </w:r>
    </w:p>
    <w:p w:rsidR="00893895" w:rsidRPr="00893895" w:rsidRDefault="00893895" w:rsidP="00893895">
      <w:pPr>
        <w:pStyle w:val="NoSpacing"/>
        <w:rPr>
          <w:rFonts w:cstheme="minorHAnsi"/>
        </w:rPr>
      </w:pPr>
      <w:r w:rsidRPr="00893895">
        <w:rPr>
          <w:rFonts w:cstheme="minorHAnsi"/>
        </w:rPr>
        <w:t>Princeton, NJ: Princeton Univ. Press, USA.</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Levine, D. M., P.P. Ramsey, M.L. Berenson, 1995. Business statistics for quality and productivity.</w:t>
      </w:r>
    </w:p>
    <w:p w:rsidR="00893895" w:rsidRPr="00893895" w:rsidRDefault="00893895" w:rsidP="00893895">
      <w:pPr>
        <w:pStyle w:val="NoSpacing"/>
        <w:rPr>
          <w:rFonts w:cstheme="minorHAnsi"/>
        </w:rPr>
      </w:pPr>
      <w:r w:rsidRPr="00893895">
        <w:rPr>
          <w:rFonts w:cstheme="minorHAnsi"/>
        </w:rPr>
        <w:t>Prentice-Hall, New Jersey,  pp.259-264  1995</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Levitt, S. and J. A. List. 2007. What do Laboratory Experiments Measuring Social</w:t>
      </w:r>
      <w:r w:rsidRPr="00893895">
        <w:rPr>
          <w:rFonts w:cstheme="minorHAnsi"/>
        </w:rPr>
        <w:tab/>
      </w:r>
    </w:p>
    <w:p w:rsidR="00893895" w:rsidRPr="00893895" w:rsidRDefault="00893895" w:rsidP="00893895">
      <w:pPr>
        <w:pStyle w:val="NoSpacing"/>
        <w:rPr>
          <w:rFonts w:cstheme="minorHAnsi"/>
        </w:rPr>
      </w:pPr>
      <w:r w:rsidRPr="00893895">
        <w:rPr>
          <w:rFonts w:cstheme="minorHAnsi"/>
        </w:rPr>
        <w:t>Preferences Reveal about the Real World. Journal of Economic Perspectives 21 (2), p153-174.</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Llewellyn, D., 1999. The Economic Rationale for Financial Regulation. Occasional Paper Series 1, Financial Service Authority</w:t>
      </w:r>
    </w:p>
    <w:p w:rsidR="00893895" w:rsidRPr="008B7611" w:rsidRDefault="00893895" w:rsidP="00893895">
      <w:pPr>
        <w:pStyle w:val="NoSpacing"/>
        <w:rPr>
          <w:rFonts w:cstheme="minorHAnsi"/>
          <w:lang w:val="nl-NL"/>
        </w:rPr>
      </w:pPr>
      <w:r w:rsidRPr="00893895">
        <w:rPr>
          <w:rFonts w:cstheme="minorHAnsi"/>
        </w:rPr>
        <w:t xml:space="preserve">Likert, R, 1932.  A Technique for the Measurement of Attitudes. </w:t>
      </w:r>
      <w:r w:rsidRPr="008B7611">
        <w:rPr>
          <w:rFonts w:cstheme="minorHAnsi"/>
          <w:lang w:val="nl-NL"/>
        </w:rPr>
        <w:t>Archives of Psychology 140 June 1932</w:t>
      </w:r>
    </w:p>
    <w:p w:rsidR="00893895" w:rsidRPr="008B7611" w:rsidRDefault="00893895" w:rsidP="00893895">
      <w:pPr>
        <w:pStyle w:val="NoSpacing"/>
        <w:rPr>
          <w:rFonts w:cstheme="minorHAnsi"/>
          <w:lang w:val="nl-NL"/>
        </w:rPr>
      </w:pPr>
    </w:p>
    <w:p w:rsidR="00893895" w:rsidRPr="00893895" w:rsidRDefault="00893895" w:rsidP="00893895">
      <w:pPr>
        <w:pStyle w:val="NoSpacing"/>
        <w:rPr>
          <w:rFonts w:cstheme="minorHAnsi"/>
        </w:rPr>
      </w:pPr>
      <w:r w:rsidRPr="008B7611">
        <w:rPr>
          <w:rFonts w:cstheme="minorHAnsi"/>
          <w:lang w:val="nl-NL"/>
        </w:rPr>
        <w:t xml:space="preserve">Loewenstein, G., 1999. </w:t>
      </w:r>
      <w:r w:rsidRPr="00893895">
        <w:rPr>
          <w:rFonts w:cstheme="minorHAnsi"/>
        </w:rPr>
        <w:t>Experimental Economics from the Vantage-point of Behavioural Economics. The Economic Journal 109, p25-34.</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Lusardi, A., 2008. Household saving behavior: The role of financial literacy, information, and financial education programs. NBER Working paper series Working Paper 13824</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McCabe, K., M. Rigdon, S. Vernon, 2003. Positive Reciprocity and Intentions in Trust Games. Journal of Economic Behavior and Organization 52, p267–275.</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color w:val="000000" w:themeColor="text1"/>
        </w:rPr>
      </w:pPr>
      <w:r w:rsidRPr="00893895">
        <w:rPr>
          <w:rFonts w:cstheme="minorHAnsi"/>
          <w:color w:val="000000" w:themeColor="text1"/>
        </w:rPr>
        <w:t>Mcknight, D.H., N.L. Chervany, 1996.  The Meanings of Trust .</w:t>
      </w:r>
      <w:r w:rsidRPr="00893895">
        <w:rPr>
          <w:rFonts w:cstheme="minorHAnsi"/>
        </w:rPr>
        <w:t xml:space="preserve"> Carlson School of Management, </w:t>
      </w:r>
    </w:p>
    <w:p w:rsidR="00893895" w:rsidRPr="00893895" w:rsidRDefault="00893895" w:rsidP="00893895">
      <w:pPr>
        <w:pStyle w:val="NoSpacing"/>
        <w:rPr>
          <w:rFonts w:cstheme="minorHAnsi"/>
        </w:rPr>
      </w:pPr>
      <w:r w:rsidRPr="00893895">
        <w:rPr>
          <w:rFonts w:cstheme="minorHAnsi"/>
        </w:rPr>
        <w:t>University of Minnesota</w:t>
      </w:r>
    </w:p>
    <w:p w:rsidR="00893895" w:rsidRPr="00893895" w:rsidRDefault="00893895" w:rsidP="00893895">
      <w:pPr>
        <w:pStyle w:val="NoSpacing"/>
        <w:rPr>
          <w:rFonts w:cstheme="minorHAnsi"/>
          <w:color w:val="000000" w:themeColor="text1"/>
        </w:rPr>
      </w:pPr>
    </w:p>
    <w:p w:rsidR="00893895" w:rsidRPr="00893895" w:rsidRDefault="00893895" w:rsidP="00893895">
      <w:pPr>
        <w:pStyle w:val="NoSpacing"/>
        <w:rPr>
          <w:rFonts w:cstheme="minorHAnsi"/>
        </w:rPr>
      </w:pPr>
      <w:r w:rsidRPr="00893895">
        <w:rPr>
          <w:rFonts w:cstheme="minorHAnsi"/>
        </w:rPr>
        <w:t>Melnik, M. I., J. Alm, 2002. Does a seller’s reputation matter? Evidence from eBay auctions. Journal of Industrial Economics, 50 (3), p337-349.</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Milgrom, Paul &amp; Roberts, John, 1982. </w:t>
      </w:r>
      <w:hyperlink r:id="rId27" w:history="1">
        <w:r w:rsidRPr="00893895">
          <w:rPr>
            <w:rFonts w:cstheme="minorHAnsi"/>
          </w:rPr>
          <w:t>Predation, reputation, and entry deterrence</w:t>
        </w:r>
      </w:hyperlink>
      <w:r w:rsidRPr="00893895">
        <w:rPr>
          <w:rFonts w:cstheme="minorHAnsi"/>
        </w:rPr>
        <w:t xml:space="preserve">. </w:t>
      </w:r>
      <w:hyperlink r:id="rId28" w:history="1">
        <w:r w:rsidRPr="00893895">
          <w:rPr>
            <w:rFonts w:cstheme="minorHAnsi"/>
          </w:rPr>
          <w:t>Journal of Economic Theory</w:t>
        </w:r>
      </w:hyperlink>
      <w:r w:rsidRPr="00893895">
        <w:rPr>
          <w:rFonts w:cstheme="minorHAnsi"/>
        </w:rPr>
        <w:t xml:space="preserve"> 27 (2), p280-312  August</w:t>
      </w:r>
      <w:r w:rsidRPr="00893895">
        <w:rPr>
          <w:rFonts w:cstheme="minorHAnsi"/>
          <w:color w:val="333333"/>
        </w:rPr>
        <w:t xml:space="preserve"> 1982</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Raaijmakers, Q. A. W., 1999. Effectiveness of different missing data treatments in surveys with Likert-type data: Introducing the relative mean substitution approach. Educational and Psychological Measurement 59, p725 -748.</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Ring, J.R., 2004. Trust in UK pension policy: a different approach? Policy &amp; Politics 33 (1), p55-74 2005</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Roe, B., D. Just, 2009. Internal and External Validity in Economics Research: Tradeoffs between Experiments, Field Experiments, Natural Experiments and Field Data. </w:t>
      </w:r>
      <w:r w:rsidRPr="00893895">
        <w:rPr>
          <w:rStyle w:val="Emphasis"/>
          <w:rFonts w:cstheme="minorHAnsi"/>
          <w:i w:val="0"/>
          <w:iCs w:val="0"/>
        </w:rPr>
        <w:t>American Journal of Agricultural Economics</w:t>
      </w:r>
      <w:r w:rsidRPr="00893895">
        <w:rPr>
          <w:rFonts w:cstheme="minorHAnsi"/>
        </w:rPr>
        <w:t xml:space="preserve"> 91 (5) 2009</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Sapienza, P. A. Toldra, L. Zingales, 2007. Understanding trust. NBER Working Paper series, Working Paper 13387</w:t>
      </w:r>
    </w:p>
    <w:p w:rsidR="00893895" w:rsidRPr="00893895" w:rsidRDefault="00893895" w:rsidP="00893895">
      <w:pPr>
        <w:pStyle w:val="NoSpacing"/>
        <w:rPr>
          <w:rFonts w:cstheme="minorHAnsi"/>
        </w:rPr>
      </w:pPr>
    </w:p>
    <w:p w:rsidR="00893895" w:rsidRPr="008B7611" w:rsidRDefault="00893895" w:rsidP="00893895">
      <w:pPr>
        <w:pStyle w:val="NoSpacing"/>
        <w:rPr>
          <w:rFonts w:cstheme="minorHAnsi"/>
        </w:rPr>
      </w:pPr>
      <w:r w:rsidRPr="00893895">
        <w:rPr>
          <w:rFonts w:cstheme="minorHAnsi"/>
        </w:rPr>
        <w:t xml:space="preserve">Schoorman, F. D., R.C. Mayer, J.H. Davis, 2007. An integrative model of organizational trust: past, present and future. </w:t>
      </w:r>
      <w:r w:rsidRPr="008B7611">
        <w:rPr>
          <w:rFonts w:cstheme="minorHAnsi"/>
        </w:rPr>
        <w:t>Academy of Management Review 2007 32 (2), p344–354.</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Shavell, S., 1979. Risk Sharing and Incentives in the Principal and Agent Relationship. Bell Journal of Economics p55-73  Spring 1979</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Sowell,T., 1980. Knowledge and Decision. Basic books Inc, NY, USA.</w:t>
      </w:r>
    </w:p>
    <w:p w:rsidR="00893895" w:rsidRPr="008B7611" w:rsidRDefault="00893895" w:rsidP="00893895">
      <w:pPr>
        <w:pStyle w:val="NoSpacing"/>
        <w:rPr>
          <w:rFonts w:cstheme="minorHAnsi"/>
        </w:rPr>
      </w:pPr>
    </w:p>
    <w:p w:rsidR="00893895" w:rsidRPr="00893895" w:rsidRDefault="00893895" w:rsidP="00893895">
      <w:pPr>
        <w:pStyle w:val="NoSpacing"/>
        <w:rPr>
          <w:rFonts w:cstheme="minorHAnsi"/>
        </w:rPr>
      </w:pPr>
      <w:r w:rsidRPr="008B7611">
        <w:rPr>
          <w:rFonts w:cstheme="minorHAnsi"/>
          <w:lang w:val="nl-NL"/>
        </w:rPr>
        <w:t xml:space="preserve">Steijn, S. R., B. Lancee, 2011. </w:t>
      </w:r>
      <w:r w:rsidRPr="00893895">
        <w:rPr>
          <w:rFonts w:cstheme="minorHAnsi"/>
        </w:rPr>
        <w:t>Does Income Inequality Negatively Affect General Trust? Examining three potential problems with the inequality-trust hypothesis. GINI Discussion paper  November 2011 .</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Sutter, M, M. Kocher, 2007. </w:t>
      </w:r>
      <w:r w:rsidRPr="00833842">
        <w:rPr>
          <w:rFonts w:cstheme="minorHAnsi"/>
        </w:rPr>
        <w:t>Trust and trustworthiness across different age groups</w:t>
      </w:r>
      <w:r w:rsidRPr="00893895">
        <w:rPr>
          <w:rFonts w:cstheme="minorHAnsi"/>
        </w:rPr>
        <w:t xml:space="preserve">. </w:t>
      </w:r>
      <w:r w:rsidRPr="00833842">
        <w:rPr>
          <w:rFonts w:cstheme="minorHAnsi"/>
        </w:rPr>
        <w:t>Games and Economic Behavior</w:t>
      </w:r>
      <w:r w:rsidRPr="00893895">
        <w:rPr>
          <w:rFonts w:cstheme="minorHAnsi"/>
        </w:rPr>
        <w:t xml:space="preserve">, Elsevier 59 (2), p364-382   May 2007. </w:t>
      </w:r>
    </w:p>
    <w:p w:rsidR="00893895" w:rsidRPr="00893895" w:rsidRDefault="00893895" w:rsidP="00893895">
      <w:pPr>
        <w:pStyle w:val="NoSpacing"/>
        <w:rPr>
          <w:rFonts w:cstheme="minorHAnsi"/>
        </w:rPr>
      </w:pPr>
    </w:p>
    <w:p w:rsidR="00893895" w:rsidRPr="008B7611" w:rsidRDefault="00893895" w:rsidP="00893895">
      <w:pPr>
        <w:pStyle w:val="NoSpacing"/>
        <w:rPr>
          <w:rFonts w:cstheme="minorHAnsi"/>
          <w:lang w:val="nl-NL"/>
        </w:rPr>
      </w:pPr>
      <w:r w:rsidRPr="00893895">
        <w:rPr>
          <w:rFonts w:cstheme="minorHAnsi"/>
        </w:rPr>
        <w:t xml:space="preserve">Thaler, R.H., S. Benartzi, 2004. Save more tomorrow:using behavioural economics to increase employee savings. </w:t>
      </w:r>
      <w:r w:rsidRPr="008B7611">
        <w:rPr>
          <w:rFonts w:cstheme="minorHAnsi"/>
          <w:lang w:val="nl-NL"/>
        </w:rPr>
        <w:t>Journal of political economy 112 (1), p164-187</w:t>
      </w:r>
    </w:p>
    <w:p w:rsidR="00893895" w:rsidRPr="008B7611" w:rsidRDefault="00893895" w:rsidP="00893895">
      <w:pPr>
        <w:pStyle w:val="NoSpacing"/>
        <w:rPr>
          <w:rFonts w:cstheme="minorHAnsi"/>
          <w:color w:val="000000"/>
          <w:lang w:val="nl-NL"/>
        </w:rPr>
      </w:pPr>
    </w:p>
    <w:p w:rsidR="00893895" w:rsidRPr="008B7611" w:rsidRDefault="00893895" w:rsidP="00893895">
      <w:pPr>
        <w:pStyle w:val="NoSpacing"/>
        <w:rPr>
          <w:rFonts w:cstheme="minorHAnsi"/>
          <w:lang w:val="nl-NL"/>
        </w:rPr>
      </w:pPr>
      <w:r w:rsidRPr="008B7611">
        <w:rPr>
          <w:rFonts w:cstheme="minorHAnsi"/>
          <w:lang w:val="nl-NL"/>
        </w:rPr>
        <w:t xml:space="preserve">Van Alphen,F. “Wie verstand heeft van geld, is vaak veel rijker”. </w:t>
      </w:r>
    </w:p>
    <w:p w:rsidR="00893895" w:rsidRPr="008B7611" w:rsidRDefault="00893895" w:rsidP="00893895">
      <w:pPr>
        <w:pStyle w:val="NoSpacing"/>
        <w:rPr>
          <w:rFonts w:cstheme="minorHAnsi"/>
          <w:lang w:val="nl-NL"/>
        </w:rPr>
      </w:pPr>
      <w:r w:rsidRPr="008B7611">
        <w:rPr>
          <w:rFonts w:cstheme="minorHAnsi"/>
          <w:lang w:val="nl-NL"/>
        </w:rPr>
        <w:t>Newspaper: Volkskrant 09/01/2009</w:t>
      </w:r>
    </w:p>
    <w:p w:rsidR="00893895" w:rsidRPr="008B7611" w:rsidRDefault="00893895" w:rsidP="00893895">
      <w:pPr>
        <w:pStyle w:val="NoSpacing"/>
        <w:rPr>
          <w:rFonts w:cstheme="minorHAnsi"/>
          <w:lang w:val="nl-NL"/>
        </w:rPr>
      </w:pPr>
      <w:r w:rsidRPr="008B7611">
        <w:rPr>
          <w:rFonts w:cstheme="minorHAnsi"/>
          <w:lang w:val="nl-NL"/>
        </w:rPr>
        <w:t>URL:</w:t>
      </w:r>
      <w:r w:rsidRPr="00833842">
        <w:rPr>
          <w:rFonts w:cstheme="minorHAnsi"/>
          <w:lang w:val="nl-NL"/>
        </w:rPr>
        <w:t>http://www.volkskrant.nl/vk/nl/2680/Economie/article/detail/308454/2009/01/09/lsquo-Wie-verstand-heeft-van-geld-is-vaak-veel-rijker-rsquo.dhtml</w:t>
      </w:r>
    </w:p>
    <w:p w:rsidR="00893895" w:rsidRPr="00893895" w:rsidRDefault="00893895" w:rsidP="00893895">
      <w:pPr>
        <w:pStyle w:val="NoSpacing"/>
        <w:rPr>
          <w:rFonts w:cstheme="minorHAnsi"/>
        </w:rPr>
      </w:pPr>
      <w:r w:rsidRPr="00893895">
        <w:rPr>
          <w:rFonts w:cstheme="minorHAnsi"/>
        </w:rPr>
        <w:t>Last accessed: July 2012</w:t>
      </w:r>
    </w:p>
    <w:p w:rsidR="00893895" w:rsidRPr="00893895" w:rsidRDefault="00893895" w:rsidP="00893895">
      <w:pPr>
        <w:pStyle w:val="NoSpacing"/>
        <w:rPr>
          <w:rFonts w:cstheme="minorHAnsi"/>
        </w:rPr>
      </w:pPr>
    </w:p>
    <w:p w:rsidR="00893895" w:rsidRDefault="00C73663" w:rsidP="00893895">
      <w:pPr>
        <w:pStyle w:val="NoSpacing"/>
        <w:rPr>
          <w:rFonts w:cstheme="minorHAnsi"/>
        </w:rPr>
      </w:pPr>
      <w:r>
        <w:rPr>
          <w:rFonts w:cstheme="minorHAnsi"/>
        </w:rPr>
        <w:t>V</w:t>
      </w:r>
      <w:r w:rsidR="00893895" w:rsidRPr="00893895">
        <w:rPr>
          <w:rFonts w:cstheme="minorHAnsi"/>
        </w:rPr>
        <w:t>an Els, P.J.A, W.A. van den End, M.C.J. van Rooij, 2005, Financial behaviour of Dutch households: analysis of the DNB Household Survey. In: 'Investigating the relationship between the financial and real economy', BIS Papers 22, p1-40.</w:t>
      </w:r>
    </w:p>
    <w:p w:rsidR="00432EAC" w:rsidRPr="00893895" w:rsidRDefault="00432EAC" w:rsidP="00893895">
      <w:pPr>
        <w:pStyle w:val="NoSpacing"/>
        <w:rPr>
          <w:rFonts w:cstheme="minorHAnsi"/>
        </w:rPr>
      </w:pPr>
    </w:p>
    <w:p w:rsidR="00432EAC" w:rsidRPr="008A5721" w:rsidRDefault="00432EAC" w:rsidP="00432EAC">
      <w:pPr>
        <w:pStyle w:val="NoSpacing"/>
        <w:rPr>
          <w:rFonts w:cstheme="minorHAnsi"/>
        </w:rPr>
      </w:pPr>
      <w:r w:rsidRPr="00893895">
        <w:rPr>
          <w:rFonts w:cstheme="minorHAnsi"/>
        </w:rPr>
        <w:t xml:space="preserve">Van Rooij, M., 2009. Financial Literacy, Retirement Provisions, and Household Portfolio Behavior: Four Empirical Contributions. </w:t>
      </w:r>
      <w:r w:rsidRPr="008A5721">
        <w:rPr>
          <w:rFonts w:cstheme="minorHAnsi"/>
        </w:rPr>
        <w:t>Phd. University of Utrecht 2009</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A5721">
        <w:rPr>
          <w:rFonts w:cstheme="minorHAnsi"/>
        </w:rPr>
        <w:t xml:space="preserve">Van der Lecq, S.G., 1998. </w:t>
      </w:r>
      <w:r w:rsidRPr="00893895">
        <w:rPr>
          <w:rFonts w:cstheme="minorHAnsi"/>
        </w:rPr>
        <w:t>Money, Coordination and Prices, Research Institute Systems, Organisations and Management, Rijksuniversiteit Groningen, Labyrint Publication Capelle a/d IJssel</w:t>
      </w:r>
    </w:p>
    <w:p w:rsidR="00893895" w:rsidRPr="008B7611"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lang w:val="nl-NL"/>
        </w:rPr>
        <w:t xml:space="preserve">Van Rooij, M., A. Lusardi, R. Alessie, 2012. </w:t>
      </w:r>
      <w:r w:rsidRPr="00893895">
        <w:rPr>
          <w:rFonts w:cstheme="minorHAnsi"/>
        </w:rPr>
        <w:t>Financial literacy, retirement planning, and household wealth. The Economic Journal 122 (5), p449–478  May 2012</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B7611">
        <w:rPr>
          <w:rFonts w:cstheme="minorHAnsi"/>
        </w:rPr>
        <w:t xml:space="preserve">Van Rooij, A. Lusardi, R.J. Alessie, 2011.1. </w:t>
      </w:r>
      <w:r w:rsidRPr="00893895">
        <w:rPr>
          <w:rFonts w:cstheme="minorHAnsi"/>
        </w:rPr>
        <w:t>Financial Literacy, retirement planning, and household wealth. NBER Working Paper 17339</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Van Rooij, M.C.J., A. Lusardi, and R.J.M. Alessie, 2011. Financial literacy and retirement planning in the Netherlands. Journal of Economic Psychology 32,  p593-608</w:t>
      </w:r>
      <w:r w:rsidRPr="00893895">
        <w:rPr>
          <w:rFonts w:cstheme="minorHAnsi"/>
        </w:rPr>
        <w:tab/>
      </w:r>
    </w:p>
    <w:p w:rsidR="00893895" w:rsidRPr="008A5721" w:rsidRDefault="00893895" w:rsidP="00893895">
      <w:pPr>
        <w:pStyle w:val="NoSpacing"/>
        <w:rPr>
          <w:rFonts w:cstheme="minorHAnsi"/>
        </w:rPr>
      </w:pPr>
    </w:p>
    <w:p w:rsidR="00893895" w:rsidRPr="00893895" w:rsidRDefault="00893895" w:rsidP="00893895">
      <w:pPr>
        <w:pStyle w:val="NoSpacing"/>
        <w:rPr>
          <w:rFonts w:cstheme="minorHAnsi"/>
        </w:rPr>
      </w:pPr>
      <w:r w:rsidRPr="008A5721">
        <w:rPr>
          <w:rFonts w:cstheme="minorHAnsi"/>
        </w:rPr>
        <w:t xml:space="preserve">Van Rooij, M., A. Lusardi &amp; R. Alessie, 2009. </w:t>
      </w:r>
      <w:r w:rsidRPr="00833842">
        <w:rPr>
          <w:rFonts w:cstheme="minorHAnsi"/>
        </w:rPr>
        <w:t>Financial Literacy and Retirement Planning in the Netherlands</w:t>
      </w:r>
      <w:r w:rsidRPr="00893895">
        <w:rPr>
          <w:rFonts w:cstheme="minorHAnsi"/>
        </w:rPr>
        <w:t xml:space="preserve">. </w:t>
      </w:r>
      <w:r w:rsidRPr="00833842">
        <w:rPr>
          <w:rFonts w:cstheme="minorHAnsi"/>
        </w:rPr>
        <w:t>DNB Working Papers</w:t>
      </w:r>
      <w:r w:rsidRPr="00893895">
        <w:rPr>
          <w:rFonts w:cstheme="minorHAnsi"/>
        </w:rPr>
        <w:t xml:space="preserve"> 231, Netherlands Central Bank, Research Department.</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6A62E6">
        <w:rPr>
          <w:rFonts w:cstheme="minorHAnsi"/>
        </w:rPr>
        <w:t xml:space="preserve">Van Rooij, M., A. Lusardi, R. Alessie, 2007. </w:t>
      </w:r>
      <w:r w:rsidRPr="00893895">
        <w:rPr>
          <w:rFonts w:cstheme="minorHAnsi"/>
        </w:rPr>
        <w:t xml:space="preserve">Financial Literacy and Stock Market Participation. </w:t>
      </w:r>
    </w:p>
    <w:p w:rsidR="00893895" w:rsidRPr="00893895" w:rsidRDefault="00893895" w:rsidP="00893895">
      <w:pPr>
        <w:pStyle w:val="NoSpacing"/>
        <w:rPr>
          <w:rFonts w:cstheme="minorHAnsi"/>
        </w:rPr>
      </w:pPr>
      <w:r w:rsidRPr="00893895">
        <w:rPr>
          <w:rFonts w:cstheme="minorHAnsi"/>
        </w:rPr>
        <w:t>NBER Working Paper nr.13565.</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color w:val="FF0000"/>
        </w:rPr>
      </w:pPr>
      <w:r w:rsidRPr="00893895">
        <w:rPr>
          <w:rFonts w:cstheme="minorHAnsi"/>
        </w:rPr>
        <w:t>Villeval, M.C., 2007. Experimental Economics: Contributions, Recent Developments, and New Challenges. French Politics Palgrave 2007 (5), p178–186  May 2007.</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 xml:space="preserve">Weber, E. U., A. Blais, N.E. Betz, 2002. A domain-specific risk-attitude scale: Measuring risk perceptions and risk behaviors. </w:t>
      </w:r>
      <w:r w:rsidRPr="00893895">
        <w:rPr>
          <w:rStyle w:val="Emphasis"/>
          <w:rFonts w:cstheme="minorHAnsi"/>
          <w:i w:val="0"/>
          <w:iCs w:val="0"/>
        </w:rPr>
        <w:t>Journal of Behavioral Decision Making</w:t>
      </w:r>
      <w:r w:rsidRPr="00893895">
        <w:rPr>
          <w:rFonts w:cstheme="minorHAnsi"/>
        </w:rPr>
        <w:t xml:space="preserve"> 15 (4), p263-290</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Weiers, R. M., 2002. Introduction to Business Statistics, 4th ed., Duxbury, p.288-290</w:t>
      </w:r>
    </w:p>
    <w:p w:rsidR="00893895" w:rsidRPr="00893895" w:rsidRDefault="00893895" w:rsidP="00893895">
      <w:pPr>
        <w:pStyle w:val="NoSpacing"/>
        <w:rPr>
          <w:rFonts w:cstheme="minorHAnsi"/>
        </w:rPr>
      </w:pPr>
      <w:r w:rsidRPr="008B7611">
        <w:rPr>
          <w:rFonts w:cstheme="minorHAnsi"/>
        </w:rPr>
        <w:t>2002</w:t>
      </w:r>
    </w:p>
    <w:p w:rsidR="00893895" w:rsidRPr="00893895" w:rsidRDefault="00893895" w:rsidP="00893895">
      <w:pPr>
        <w:pStyle w:val="NoSpacing"/>
        <w:rPr>
          <w:rFonts w:cstheme="minorHAnsi"/>
        </w:rPr>
      </w:pPr>
    </w:p>
    <w:p w:rsidR="00893895" w:rsidRPr="00893895" w:rsidRDefault="00A12F33" w:rsidP="00893895">
      <w:pPr>
        <w:pStyle w:val="NoSpacing"/>
        <w:rPr>
          <w:rFonts w:cstheme="minorHAnsi"/>
        </w:rPr>
      </w:pPr>
      <w:r>
        <w:rPr>
          <w:rFonts w:cstheme="minorHAnsi"/>
        </w:rPr>
        <w:t xml:space="preserve">Williamson, O., 1993, </w:t>
      </w:r>
      <w:r w:rsidR="00893895" w:rsidRPr="00893895">
        <w:rPr>
          <w:rFonts w:cstheme="minorHAnsi"/>
        </w:rPr>
        <w:t>Calculativeness, t</w:t>
      </w:r>
      <w:r>
        <w:rPr>
          <w:rFonts w:cstheme="minorHAnsi"/>
        </w:rPr>
        <w:t xml:space="preserve">rust, and economic organization. </w:t>
      </w:r>
      <w:r w:rsidR="00893895" w:rsidRPr="00893895">
        <w:rPr>
          <w:rFonts w:cstheme="minorHAnsi"/>
        </w:rPr>
        <w:t xml:space="preserve"> Journal of Law and Economics 36 (2), p453-486</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Witta, E. L., 2000. Effectiveness of four methods of handling missing data using samples from a</w:t>
      </w:r>
    </w:p>
    <w:p w:rsidR="00893895" w:rsidRPr="00893895" w:rsidRDefault="00893895" w:rsidP="00893895">
      <w:pPr>
        <w:pStyle w:val="NoSpacing"/>
        <w:rPr>
          <w:rFonts w:cstheme="minorHAnsi"/>
        </w:rPr>
      </w:pPr>
      <w:r w:rsidRPr="00893895">
        <w:rPr>
          <w:rFonts w:cstheme="minorHAnsi"/>
        </w:rPr>
        <w:t>national database, paper presented to the Annual Meeting of the American Educational Research</w:t>
      </w:r>
    </w:p>
    <w:p w:rsidR="00893895" w:rsidRPr="00893895" w:rsidRDefault="00893895" w:rsidP="00893895">
      <w:pPr>
        <w:pStyle w:val="NoSpacing"/>
        <w:rPr>
          <w:rFonts w:cstheme="minorHAnsi"/>
        </w:rPr>
      </w:pPr>
      <w:r w:rsidRPr="00893895">
        <w:rPr>
          <w:rFonts w:cstheme="minorHAnsi"/>
        </w:rPr>
        <w:t>Association, New Orleans, USA.</w:t>
      </w:r>
    </w:p>
    <w:p w:rsidR="00893895" w:rsidRPr="00893895" w:rsidRDefault="00893895" w:rsidP="00893895">
      <w:pPr>
        <w:pStyle w:val="NoSpacing"/>
        <w:rPr>
          <w:rFonts w:cstheme="minorHAnsi"/>
        </w:rPr>
      </w:pPr>
    </w:p>
    <w:p w:rsidR="00893895" w:rsidRPr="00893895" w:rsidRDefault="00893895" w:rsidP="00893895">
      <w:pPr>
        <w:pStyle w:val="NoSpacing"/>
        <w:rPr>
          <w:rFonts w:cstheme="minorHAnsi"/>
        </w:rPr>
      </w:pPr>
      <w:r w:rsidRPr="00893895">
        <w:rPr>
          <w:rFonts w:cstheme="minorHAnsi"/>
        </w:rPr>
        <w:t>Zak, P.J., 2008. The Neurobiology of Trust. Scientific American 298</w:t>
      </w:r>
      <w:r w:rsidR="008625EE">
        <w:rPr>
          <w:rFonts w:cstheme="minorHAnsi"/>
        </w:rPr>
        <w:t xml:space="preserve"> (6)</w:t>
      </w:r>
      <w:r w:rsidRPr="00893895">
        <w:rPr>
          <w:rFonts w:cstheme="minorHAnsi"/>
        </w:rPr>
        <w:t>, p88-95</w:t>
      </w:r>
      <w:r w:rsidR="008625EE">
        <w:rPr>
          <w:rFonts w:cstheme="minorHAnsi"/>
        </w:rPr>
        <w:t xml:space="preserve">  June 2008</w:t>
      </w:r>
    </w:p>
    <w:p w:rsidR="00893895" w:rsidRPr="00893895" w:rsidRDefault="00893895" w:rsidP="00893895">
      <w:pPr>
        <w:pStyle w:val="NoSpacing"/>
        <w:rPr>
          <w:rFonts w:cstheme="minorHAnsi"/>
        </w:rPr>
      </w:pPr>
      <w:r w:rsidRPr="00893895">
        <w:rPr>
          <w:rFonts w:cstheme="minorHAnsi"/>
        </w:rPr>
        <w:t>Zak, P. and S. Knack, 2001. Trust and growth</w:t>
      </w:r>
      <w:r w:rsidR="008625EE">
        <w:rPr>
          <w:rFonts w:cstheme="minorHAnsi"/>
        </w:rPr>
        <w:t>.</w:t>
      </w:r>
      <w:r w:rsidRPr="00893895">
        <w:rPr>
          <w:rFonts w:cstheme="minorHAnsi"/>
        </w:rPr>
        <w:t xml:space="preserve"> The Economic Journal 111</w:t>
      </w:r>
      <w:r w:rsidR="008625EE">
        <w:rPr>
          <w:rFonts w:cstheme="minorHAnsi"/>
        </w:rPr>
        <w:t>, p</w:t>
      </w:r>
      <w:r w:rsidRPr="00893895">
        <w:rPr>
          <w:rFonts w:cstheme="minorHAnsi"/>
        </w:rPr>
        <w:t>295—321</w:t>
      </w:r>
    </w:p>
    <w:p w:rsidR="00893895" w:rsidRPr="00893895" w:rsidRDefault="00893895" w:rsidP="00893895">
      <w:pPr>
        <w:pStyle w:val="NoSpacing"/>
        <w:rPr>
          <w:rFonts w:cstheme="minorHAnsi"/>
          <w:color w:val="FF0000"/>
        </w:rPr>
      </w:pPr>
    </w:p>
    <w:p w:rsidR="00893895" w:rsidRPr="00893895" w:rsidRDefault="00893895" w:rsidP="00893895">
      <w:pPr>
        <w:pStyle w:val="NoSpacing"/>
        <w:rPr>
          <w:rFonts w:cstheme="minorHAnsi"/>
          <w:color w:val="FF0000"/>
        </w:rPr>
      </w:pPr>
    </w:p>
    <w:p w:rsidR="00AE7BE5" w:rsidRPr="00E919A6" w:rsidRDefault="00AE7BE5" w:rsidP="00AE7BE5">
      <w:pPr>
        <w:pStyle w:val="VIN1"/>
        <w:jc w:val="center"/>
        <w:rPr>
          <w:lang w:val="nl-NL"/>
        </w:rPr>
      </w:pPr>
      <w:bookmarkStart w:id="81" w:name="_Toc340568960"/>
      <w:r w:rsidRPr="00E919A6">
        <w:rPr>
          <w:lang w:val="nl-NL"/>
        </w:rPr>
        <w:t>Appendix</w:t>
      </w:r>
      <w:bookmarkEnd w:id="81"/>
    </w:p>
    <w:p w:rsidR="00F533CD" w:rsidRPr="00862816" w:rsidRDefault="00F533CD" w:rsidP="00F533CD">
      <w:pPr>
        <w:pStyle w:val="NoSpacing"/>
        <w:rPr>
          <w:b/>
          <w:lang w:val="nl-NL"/>
        </w:rPr>
      </w:pPr>
      <w:r w:rsidRPr="00862816">
        <w:rPr>
          <w:b/>
          <w:lang w:val="nl-NL"/>
        </w:rPr>
        <w:t>Appendix Chapter 1:</w:t>
      </w:r>
    </w:p>
    <w:p w:rsidR="00F533CD" w:rsidRPr="00F533CD" w:rsidRDefault="00F533CD" w:rsidP="00F533CD">
      <w:pPr>
        <w:pStyle w:val="NoSpacing"/>
        <w:rPr>
          <w:lang w:val="nl-NL"/>
        </w:rPr>
      </w:pPr>
    </w:p>
    <w:p w:rsidR="00F533CD" w:rsidRPr="00F533CD" w:rsidRDefault="00F533CD" w:rsidP="00F533CD">
      <w:pPr>
        <w:pStyle w:val="NoSpacing"/>
        <w:rPr>
          <w:lang w:val="nl-NL"/>
        </w:rPr>
      </w:pPr>
      <w:r w:rsidRPr="00F533CD">
        <w:rPr>
          <w:i/>
          <w:lang w:val="nl-NL"/>
        </w:rPr>
        <w:t>“Het fundament waarop ons pensioenstelsel is gebouwd heet vertrouwen. Vertrouwen gestoeld op de zekerheid dat de pensioenfondsen onder alle omstandigheden kunnen nakomen wat zij aan deelnemers beloven”</w:t>
      </w:r>
    </w:p>
    <w:p w:rsidR="00F533CD" w:rsidRPr="00F533CD" w:rsidRDefault="00F533CD" w:rsidP="00F533CD">
      <w:pPr>
        <w:pStyle w:val="NoSpacing"/>
        <w:rPr>
          <w:lang w:val="nl-NL"/>
        </w:rPr>
      </w:pPr>
    </w:p>
    <w:p w:rsidR="00F533CD" w:rsidRPr="009148A5" w:rsidRDefault="00F533CD" w:rsidP="00F533CD">
      <w:pPr>
        <w:pStyle w:val="NoSpacing"/>
      </w:pPr>
      <w:r w:rsidRPr="009148A5">
        <w:t>Author’s translation; quote from speech by State secretary M. Rutte at the annual Stichting Ondernemingspensioenfondsen congres; November 14th, 2002</w:t>
      </w:r>
    </w:p>
    <w:p w:rsidR="00F533CD" w:rsidRPr="009148A5" w:rsidRDefault="00F533CD" w:rsidP="00F533CD">
      <w:pPr>
        <w:pStyle w:val="NoSpacing"/>
      </w:pPr>
    </w:p>
    <w:p w:rsidR="00F533CD" w:rsidRPr="009148A5" w:rsidRDefault="00F533CD" w:rsidP="00F533CD">
      <w:pPr>
        <w:pStyle w:val="NoSpacing"/>
      </w:pPr>
    </w:p>
    <w:p w:rsidR="00F533CD" w:rsidRPr="009148A5" w:rsidRDefault="00F533CD" w:rsidP="00F533CD">
      <w:pPr>
        <w:pStyle w:val="NoSpacing"/>
      </w:pPr>
    </w:p>
    <w:p w:rsidR="00F533CD" w:rsidRPr="00E21B7F" w:rsidRDefault="00E21B7F" w:rsidP="00F533CD">
      <w:pPr>
        <w:pStyle w:val="NoSpacing"/>
        <w:rPr>
          <w:b/>
          <w:lang w:val="nl-NL"/>
        </w:rPr>
      </w:pPr>
      <w:r w:rsidRPr="00E21B7F">
        <w:rPr>
          <w:b/>
          <w:lang w:val="nl-NL"/>
        </w:rPr>
        <w:t xml:space="preserve">Appendix </w:t>
      </w:r>
      <w:r w:rsidR="00F533CD" w:rsidRPr="00E21B7F">
        <w:rPr>
          <w:b/>
          <w:lang w:val="nl-NL"/>
        </w:rPr>
        <w:t>Chapter 3 survey</w:t>
      </w:r>
    </w:p>
    <w:p w:rsidR="00F533CD" w:rsidRPr="00E21B7F" w:rsidRDefault="00F533CD" w:rsidP="00F533CD">
      <w:pPr>
        <w:pStyle w:val="NoSpacing"/>
        <w:rPr>
          <w:lang w:val="nl-NL"/>
        </w:rPr>
      </w:pPr>
    </w:p>
    <w:p w:rsidR="00E21B7F" w:rsidRPr="00E21B7F" w:rsidRDefault="00E21B7F" w:rsidP="00E21B7F">
      <w:pPr>
        <w:spacing w:line="240" w:lineRule="auto"/>
        <w:rPr>
          <w:rFonts w:cstheme="minorHAnsi"/>
          <w:sz w:val="20"/>
          <w:szCs w:val="20"/>
          <w:lang w:val="nl-NL"/>
        </w:rPr>
      </w:pPr>
      <w:r w:rsidRPr="00E21B7F">
        <w:rPr>
          <w:rFonts w:cstheme="minorHAnsi"/>
          <w:sz w:val="20"/>
          <w:szCs w:val="20"/>
          <w:lang w:val="nl-NL"/>
        </w:rPr>
        <w:t>Vragenlijst.</w:t>
      </w:r>
    </w:p>
    <w:p w:rsidR="00E21B7F" w:rsidRPr="00E21B7F" w:rsidRDefault="00E21B7F" w:rsidP="00E21B7F">
      <w:pPr>
        <w:pStyle w:val="NoSpacing"/>
        <w:rPr>
          <w:rFonts w:cstheme="minorHAnsi"/>
          <w:sz w:val="20"/>
          <w:szCs w:val="20"/>
          <w:lang w:val="nl-NL"/>
        </w:rPr>
      </w:pPr>
      <w:r w:rsidRPr="00E21B7F">
        <w:rPr>
          <w:rFonts w:cstheme="minorHAnsi"/>
          <w:sz w:val="20"/>
          <w:szCs w:val="20"/>
          <w:lang w:val="nl-NL"/>
        </w:rPr>
        <w:t>Dank u wel voor uw bereidheid om deze vragenlijst in t e vullen. Daarmee draagt u bij aan wetenschappelijk onderzoek en aan inzicht van uw pensioenuitvoerder in uw voorkeuren.</w:t>
      </w:r>
    </w:p>
    <w:p w:rsidR="00E21B7F" w:rsidRPr="00E21B7F" w:rsidRDefault="00E21B7F" w:rsidP="00E21B7F">
      <w:pPr>
        <w:pStyle w:val="NoSpacing"/>
        <w:rPr>
          <w:rFonts w:cstheme="minorHAnsi"/>
          <w:sz w:val="20"/>
          <w:szCs w:val="20"/>
          <w:lang w:val="nl-NL"/>
        </w:rPr>
      </w:pPr>
      <w:r w:rsidRPr="00E21B7F">
        <w:rPr>
          <w:rFonts w:cstheme="minorHAnsi"/>
          <w:sz w:val="20"/>
          <w:szCs w:val="20"/>
          <w:lang w:val="nl-NL"/>
        </w:rPr>
        <w:t xml:space="preserve">Dit onderzoek gaat over risico’s en hoe het pensioenfonds van uw werkgever daarmee omgaat. </w:t>
      </w:r>
    </w:p>
    <w:p w:rsidR="00E21B7F" w:rsidRPr="00E21B7F" w:rsidRDefault="00E21B7F" w:rsidP="00E21B7F">
      <w:pPr>
        <w:pStyle w:val="NoSpacing"/>
        <w:rPr>
          <w:rFonts w:cstheme="minorHAnsi"/>
          <w:sz w:val="20"/>
          <w:szCs w:val="20"/>
          <w:lang w:val="nl-NL"/>
        </w:rPr>
      </w:pPr>
      <w:r w:rsidRPr="00E21B7F">
        <w:rPr>
          <w:rFonts w:cstheme="minorHAnsi"/>
          <w:sz w:val="20"/>
          <w:szCs w:val="20"/>
          <w:lang w:val="nl-NL"/>
        </w:rPr>
        <w:t>Wie meer risico loopt , kan meer verdienen, maar ook meer verliezen. Wie minder risico loopt, weet zekerder wat het resultaat zal zijn, maar dat is dan waarschijnlijk wel een lager bedrag. Daarom zijn het belangrijke keuzes waar deze enquête over gaat. We zijn benieuwd naar uw mening!</w:t>
      </w:r>
    </w:p>
    <w:p w:rsidR="00E21B7F" w:rsidRPr="00E21B7F" w:rsidRDefault="00E21B7F" w:rsidP="00E21B7F">
      <w:pPr>
        <w:pStyle w:val="NoSpacing"/>
        <w:rPr>
          <w:rFonts w:cstheme="minorHAnsi"/>
          <w:sz w:val="20"/>
          <w:szCs w:val="20"/>
          <w:lang w:val="nl-NL"/>
        </w:rPr>
      </w:pPr>
      <w:r w:rsidRPr="00E21B7F">
        <w:rPr>
          <w:rFonts w:cstheme="minorHAnsi"/>
          <w:sz w:val="20"/>
          <w:szCs w:val="20"/>
          <w:lang w:val="nl-NL"/>
        </w:rPr>
        <w:t>De antwoorden die u geeft in deze vragenlijst zijn volledig anoniem.</w:t>
      </w:r>
    </w:p>
    <w:p w:rsidR="00E21B7F" w:rsidRPr="00E21B7F" w:rsidRDefault="00E21B7F" w:rsidP="00E21B7F">
      <w:pPr>
        <w:pStyle w:val="NoSpacing"/>
        <w:rPr>
          <w:rFonts w:cstheme="minorHAnsi"/>
          <w:sz w:val="20"/>
          <w:szCs w:val="20"/>
          <w:lang w:val="nl-NL"/>
        </w:rPr>
      </w:pP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Vraag 1</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Hoe beoordeelt u uw eigen kennis en kunde met betrekking tot financiële beslissingen?</w:t>
      </w:r>
      <w:r w:rsidRPr="00E21B7F">
        <w:rPr>
          <w:rFonts w:cstheme="minorHAnsi"/>
          <w:color w:val="FF0000"/>
          <w:sz w:val="20"/>
          <w:szCs w:val="20"/>
          <w:lang w:val="nl-NL"/>
        </w:rPr>
        <w:t>*</w:t>
      </w:r>
    </w:p>
    <w:p w:rsidR="00E21B7F" w:rsidRPr="00E21B7F" w:rsidRDefault="00E21B7F" w:rsidP="00E21B7F">
      <w:pPr>
        <w:pStyle w:val="ListParagraph"/>
        <w:numPr>
          <w:ilvl w:val="0"/>
          <w:numId w:val="6"/>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(1) Zeer laag</w:t>
      </w:r>
    </w:p>
    <w:p w:rsidR="00E21B7F" w:rsidRPr="00E21B7F" w:rsidRDefault="00E21B7F" w:rsidP="00E21B7F">
      <w:pPr>
        <w:pStyle w:val="ListParagraph"/>
        <w:numPr>
          <w:ilvl w:val="0"/>
          <w:numId w:val="6"/>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(2) Laag</w:t>
      </w:r>
    </w:p>
    <w:p w:rsidR="00E21B7F" w:rsidRPr="00E21B7F" w:rsidRDefault="00E21B7F" w:rsidP="00E21B7F">
      <w:pPr>
        <w:pStyle w:val="ListParagraph"/>
        <w:numPr>
          <w:ilvl w:val="0"/>
          <w:numId w:val="6"/>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(3) Redelijk laag</w:t>
      </w:r>
    </w:p>
    <w:p w:rsidR="00E21B7F" w:rsidRPr="00E21B7F" w:rsidRDefault="00E21B7F" w:rsidP="00E21B7F">
      <w:pPr>
        <w:pStyle w:val="ListParagraph"/>
        <w:numPr>
          <w:ilvl w:val="0"/>
          <w:numId w:val="6"/>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(4) Neutraal</w:t>
      </w:r>
    </w:p>
    <w:p w:rsidR="00E21B7F" w:rsidRPr="00E21B7F" w:rsidRDefault="00E21B7F" w:rsidP="00E21B7F">
      <w:pPr>
        <w:pStyle w:val="ListParagraph"/>
        <w:numPr>
          <w:ilvl w:val="0"/>
          <w:numId w:val="6"/>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(5) Redelijk hoog</w:t>
      </w:r>
    </w:p>
    <w:p w:rsidR="00E21B7F" w:rsidRPr="00E21B7F" w:rsidRDefault="00E21B7F" w:rsidP="00E21B7F">
      <w:pPr>
        <w:pStyle w:val="ListParagraph"/>
        <w:numPr>
          <w:ilvl w:val="0"/>
          <w:numId w:val="6"/>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(6) Hoog</w:t>
      </w:r>
    </w:p>
    <w:p w:rsidR="00E21B7F" w:rsidRPr="00E21B7F" w:rsidRDefault="00E21B7F" w:rsidP="00E21B7F">
      <w:pPr>
        <w:pStyle w:val="NoSpacing"/>
        <w:numPr>
          <w:ilvl w:val="0"/>
          <w:numId w:val="6"/>
        </w:numPr>
        <w:rPr>
          <w:rFonts w:cstheme="minorHAnsi"/>
          <w:color w:val="000000"/>
          <w:sz w:val="20"/>
          <w:szCs w:val="20"/>
        </w:rPr>
      </w:pPr>
      <w:r w:rsidRPr="00E21B7F">
        <w:rPr>
          <w:rFonts w:cstheme="minorHAnsi"/>
          <w:color w:val="000000"/>
          <w:sz w:val="20"/>
          <w:szCs w:val="20"/>
        </w:rPr>
        <w:t>(7) Zeer hoog</w:t>
      </w:r>
    </w:p>
    <w:p w:rsidR="00E21B7F" w:rsidRPr="00E21B7F" w:rsidRDefault="00E21B7F" w:rsidP="00E21B7F">
      <w:pPr>
        <w:pStyle w:val="NoSpacing"/>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2</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Heeft u ervaring met beleggen?</w:t>
      </w:r>
    </w:p>
    <w:p w:rsidR="00E21B7F" w:rsidRPr="00E21B7F" w:rsidRDefault="00E21B7F" w:rsidP="00E21B7F">
      <w:pPr>
        <w:pStyle w:val="ListParagraph"/>
        <w:numPr>
          <w:ilvl w:val="0"/>
          <w:numId w:val="5"/>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Nee</w:t>
      </w:r>
    </w:p>
    <w:p w:rsidR="00E21B7F" w:rsidRPr="00E21B7F" w:rsidRDefault="00E21B7F" w:rsidP="00E21B7F">
      <w:pPr>
        <w:pStyle w:val="NoSpacing"/>
        <w:numPr>
          <w:ilvl w:val="0"/>
          <w:numId w:val="5"/>
        </w:numPr>
        <w:rPr>
          <w:rFonts w:cstheme="minorHAnsi"/>
          <w:color w:val="000000"/>
          <w:sz w:val="20"/>
          <w:szCs w:val="20"/>
        </w:rPr>
      </w:pPr>
      <w:r w:rsidRPr="00E21B7F">
        <w:rPr>
          <w:rFonts w:cstheme="minorHAnsi"/>
          <w:color w:val="000000"/>
          <w:sz w:val="20"/>
          <w:szCs w:val="20"/>
        </w:rPr>
        <w:t>Ja</w:t>
      </w:r>
    </w:p>
    <w:p w:rsidR="00E21B7F" w:rsidRPr="00E21B7F" w:rsidRDefault="00E21B7F" w:rsidP="00E21B7F">
      <w:pPr>
        <w:pStyle w:val="NoSpacing"/>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Vraag 3</w:t>
      </w:r>
    </w:p>
    <w:p w:rsidR="00E21B7F" w:rsidRPr="00E21B7F" w:rsidRDefault="00E21B7F" w:rsidP="00E21B7F">
      <w:pPr>
        <w:autoSpaceDE w:val="0"/>
        <w:autoSpaceDN w:val="0"/>
        <w:adjustRightInd w:val="0"/>
        <w:spacing w:after="0" w:line="240" w:lineRule="auto"/>
        <w:rPr>
          <w:rFonts w:cstheme="minorHAnsi"/>
          <w:sz w:val="20"/>
          <w:szCs w:val="20"/>
        </w:rPr>
      </w:pPr>
      <w:r w:rsidRPr="00E21B7F">
        <w:rPr>
          <w:rFonts w:cstheme="minorHAnsi"/>
          <w:sz w:val="20"/>
          <w:szCs w:val="20"/>
          <w:lang w:val="nl-NL"/>
        </w:rPr>
        <w:t xml:space="preserve">Hieronder staan een aantal beleggingsvormen. Kunt u aangeven of u daarin momenteel belegt? </w:t>
      </w:r>
      <w:r w:rsidRPr="00E21B7F">
        <w:rPr>
          <w:rFonts w:cstheme="minorHAnsi"/>
          <w:sz w:val="20"/>
          <w:szCs w:val="20"/>
        </w:rPr>
        <w:t>(meerdere antwoorden mogelijk)</w:t>
      </w:r>
    </w:p>
    <w:p w:rsidR="00E21B7F" w:rsidRPr="00E21B7F" w:rsidRDefault="00E21B7F" w:rsidP="00E21B7F">
      <w:pPr>
        <w:pStyle w:val="ListParagraph"/>
        <w:numPr>
          <w:ilvl w:val="0"/>
          <w:numId w:val="7"/>
        </w:numPr>
        <w:autoSpaceDE w:val="0"/>
        <w:autoSpaceDN w:val="0"/>
        <w:adjustRightInd w:val="0"/>
        <w:spacing w:after="0" w:line="240" w:lineRule="auto"/>
        <w:rPr>
          <w:rFonts w:cstheme="minorHAnsi"/>
          <w:sz w:val="20"/>
          <w:szCs w:val="20"/>
        </w:rPr>
      </w:pPr>
      <w:r w:rsidRPr="00E21B7F">
        <w:rPr>
          <w:rFonts w:cstheme="minorHAnsi"/>
          <w:sz w:val="20"/>
          <w:szCs w:val="20"/>
        </w:rPr>
        <w:t>aandelen en/of obligaties</w:t>
      </w:r>
    </w:p>
    <w:p w:rsidR="00E21B7F" w:rsidRPr="00E21B7F" w:rsidRDefault="00E21B7F" w:rsidP="00E21B7F">
      <w:pPr>
        <w:pStyle w:val="ListParagraph"/>
        <w:numPr>
          <w:ilvl w:val="0"/>
          <w:numId w:val="7"/>
        </w:numPr>
        <w:autoSpaceDE w:val="0"/>
        <w:autoSpaceDN w:val="0"/>
        <w:adjustRightInd w:val="0"/>
        <w:spacing w:after="0" w:line="240" w:lineRule="auto"/>
        <w:rPr>
          <w:rFonts w:cstheme="minorHAnsi"/>
          <w:sz w:val="20"/>
          <w:szCs w:val="20"/>
        </w:rPr>
      </w:pPr>
      <w:r w:rsidRPr="00E21B7F">
        <w:rPr>
          <w:rFonts w:cstheme="minorHAnsi"/>
          <w:sz w:val="20"/>
          <w:szCs w:val="20"/>
        </w:rPr>
        <w:t>opties, futures en/of turbo’s, speeders of sprinters</w:t>
      </w:r>
    </w:p>
    <w:p w:rsidR="00E21B7F" w:rsidRPr="00E21B7F" w:rsidRDefault="00E21B7F" w:rsidP="00E21B7F">
      <w:pPr>
        <w:pStyle w:val="ListParagraph"/>
        <w:numPr>
          <w:ilvl w:val="0"/>
          <w:numId w:val="7"/>
        </w:numPr>
        <w:autoSpaceDE w:val="0"/>
        <w:autoSpaceDN w:val="0"/>
        <w:adjustRightInd w:val="0"/>
        <w:spacing w:after="0" w:line="240" w:lineRule="auto"/>
        <w:rPr>
          <w:rFonts w:cstheme="minorHAnsi"/>
          <w:sz w:val="20"/>
          <w:szCs w:val="20"/>
        </w:rPr>
      </w:pPr>
      <w:r w:rsidRPr="00E21B7F">
        <w:rPr>
          <w:rFonts w:cstheme="minorHAnsi"/>
          <w:sz w:val="20"/>
          <w:szCs w:val="20"/>
        </w:rPr>
        <w:t>beleggingsfondsen</w:t>
      </w:r>
    </w:p>
    <w:p w:rsidR="00E21B7F" w:rsidRPr="00E21B7F" w:rsidRDefault="00E21B7F" w:rsidP="00E21B7F">
      <w:pPr>
        <w:pStyle w:val="ListParagraph"/>
        <w:numPr>
          <w:ilvl w:val="0"/>
          <w:numId w:val="7"/>
        </w:num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ik beleg niet in bovenstaande beleggingsvormen</w:t>
      </w:r>
    </w:p>
    <w:p w:rsidR="00E21B7F" w:rsidRPr="00E21B7F" w:rsidRDefault="00E21B7F" w:rsidP="00E21B7F">
      <w:pPr>
        <w:pStyle w:val="NoSpacing"/>
        <w:numPr>
          <w:ilvl w:val="0"/>
          <w:numId w:val="7"/>
        </w:numPr>
        <w:rPr>
          <w:rFonts w:cstheme="minorHAnsi"/>
          <w:sz w:val="20"/>
          <w:szCs w:val="20"/>
        </w:rPr>
      </w:pPr>
      <w:r w:rsidRPr="00E21B7F">
        <w:rPr>
          <w:rFonts w:cstheme="minorHAnsi"/>
          <w:sz w:val="20"/>
          <w:szCs w:val="20"/>
        </w:rPr>
        <w:t>niet van toepassing</w:t>
      </w:r>
    </w:p>
    <w:p w:rsidR="00E21B7F" w:rsidRPr="00E21B7F" w:rsidRDefault="00E21B7F" w:rsidP="00E21B7F">
      <w:pPr>
        <w:pStyle w:val="NoSpacing"/>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4</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Uw vrienden omschrijven u als een voorzichtige persoon.</w:t>
      </w:r>
    </w:p>
    <w:p w:rsidR="00E21B7F" w:rsidRPr="00E21B7F" w:rsidRDefault="00E21B7F" w:rsidP="00E21B7F">
      <w:pPr>
        <w:pStyle w:val="ListParagraph"/>
        <w:numPr>
          <w:ilvl w:val="0"/>
          <w:numId w:val="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(1)Helemaal mee oneens</w:t>
      </w:r>
    </w:p>
    <w:p w:rsidR="00E21B7F" w:rsidRPr="00E21B7F" w:rsidRDefault="00E21B7F" w:rsidP="00E21B7F">
      <w:pPr>
        <w:pStyle w:val="ListParagraph"/>
        <w:numPr>
          <w:ilvl w:val="0"/>
          <w:numId w:val="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(2)Oneens</w:t>
      </w:r>
    </w:p>
    <w:p w:rsidR="00E21B7F" w:rsidRPr="00E21B7F" w:rsidRDefault="00E21B7F" w:rsidP="00E21B7F">
      <w:pPr>
        <w:pStyle w:val="ListParagraph"/>
        <w:numPr>
          <w:ilvl w:val="0"/>
          <w:numId w:val="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(3)Beetje oneens</w:t>
      </w:r>
    </w:p>
    <w:p w:rsidR="00E21B7F" w:rsidRPr="00E21B7F" w:rsidRDefault="00E21B7F" w:rsidP="00E21B7F">
      <w:pPr>
        <w:pStyle w:val="ListParagraph"/>
        <w:numPr>
          <w:ilvl w:val="0"/>
          <w:numId w:val="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(4)Neutraal</w:t>
      </w:r>
    </w:p>
    <w:p w:rsidR="00E21B7F" w:rsidRPr="00E21B7F" w:rsidRDefault="00E21B7F" w:rsidP="00E21B7F">
      <w:pPr>
        <w:pStyle w:val="ListParagraph"/>
        <w:numPr>
          <w:ilvl w:val="0"/>
          <w:numId w:val="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(5)Beetje eens</w:t>
      </w:r>
    </w:p>
    <w:p w:rsidR="00E21B7F" w:rsidRPr="00E21B7F" w:rsidRDefault="00E21B7F" w:rsidP="00E21B7F">
      <w:pPr>
        <w:pStyle w:val="ListParagraph"/>
        <w:numPr>
          <w:ilvl w:val="0"/>
          <w:numId w:val="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(6)Eens</w:t>
      </w:r>
    </w:p>
    <w:p w:rsidR="00E21B7F" w:rsidRPr="00E21B7F" w:rsidRDefault="00E21B7F" w:rsidP="00E21B7F">
      <w:pPr>
        <w:pStyle w:val="NoSpacing"/>
        <w:numPr>
          <w:ilvl w:val="0"/>
          <w:numId w:val="8"/>
        </w:numPr>
        <w:rPr>
          <w:rFonts w:cstheme="minorHAnsi"/>
          <w:color w:val="000000"/>
          <w:sz w:val="20"/>
          <w:szCs w:val="20"/>
        </w:rPr>
      </w:pPr>
      <w:r w:rsidRPr="00E21B7F">
        <w:rPr>
          <w:rFonts w:cstheme="minorHAnsi"/>
          <w:color w:val="000000"/>
          <w:sz w:val="20"/>
          <w:szCs w:val="20"/>
        </w:rPr>
        <w:t>(7)Helemaal mee eens</w:t>
      </w:r>
    </w:p>
    <w:p w:rsidR="00E21B7F" w:rsidRPr="00E21B7F" w:rsidRDefault="00E21B7F" w:rsidP="00E21B7F">
      <w:pPr>
        <w:pStyle w:val="NoSpacing"/>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Vraag 5</w:t>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Stelt u zich voor dat u 1.670 euro per maand verdient. Uw pensioenfonds vernieuwt. Pensioenopbrengsten worden minder zeker en u wordt gevraagd een nieuwe regeling te kiezen. Hieronder ziet u steeds twee mogelijke regelingen die verschillen in hoeveel pensioen u krijgt met welke waarschijnlijkheid. U krijgt een aantal keuzes voorgelegd waarbij steeds de kans op de verschillende pensioenuitkomsten anders zijn. Kiest u per vraag welke pensioenregeling voor u het meest aantrekkelijk is (alle bedragen zijn netto).</w:t>
      </w:r>
    </w:p>
    <w:p w:rsidR="00E21B7F" w:rsidRPr="00E21B7F" w:rsidRDefault="00E21B7F" w:rsidP="00E21B7F">
      <w:pPr>
        <w:pStyle w:val="NoSpacing"/>
        <w:rPr>
          <w:rFonts w:cstheme="minorHAnsi"/>
          <w:sz w:val="20"/>
          <w:szCs w:val="20"/>
          <w:lang w:val="nl-NL"/>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 xml:space="preserve">5. </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KEUZE 1</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 xml:space="preserve">Bij pensioenregeling A krijgt u 1002 euro per maand of 1169 euro per maand als totaal pensioen (inclusief AOW). De kans dat u 1002 euro per maand krijgt is 9/10 en de kans dat u 1169 euro per maand krijgt is 1/10. </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B krijgt u 668 euro per maand of 1503 euro per maand als totaal pensioen (inclusief AOW). De kans dat u 668 euro per maand krijgt is 9/10 en de kans dat u 1503 euro per maand krijgt is 1/10.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869815" cy="2849245"/>
            <wp:effectExtent l="19050" t="0" r="6985" b="0"/>
            <wp:docPr id="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4869815" cy="2849245"/>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p>
    <w:p w:rsidR="00E21B7F" w:rsidRPr="00E21B7F" w:rsidRDefault="00E21B7F" w:rsidP="00E21B7F">
      <w:pPr>
        <w:pStyle w:val="ListParagraph"/>
        <w:numPr>
          <w:ilvl w:val="0"/>
          <w:numId w:val="1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6.</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KEUZE 2</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A krijgt u 1002 euro per maand of 1169 euro per maand als totaal pensioen (inclusief AOW). De kans dat u 1002 euro per maand krijgt is 8/10 en de kans dat u 1169 euro per maand krijgt is 2/10.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B krijgt u 668 euro per maand of 1503 euro per maand als totaal pensioen (inclusief AOW). De kans dat u 668 euro per maand krijgt is 8/10 en de kans dat u 1503 euro per maand krijgt is 2/10.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678045" cy="2849245"/>
            <wp:effectExtent l="19050" t="0" r="8255" b="0"/>
            <wp:docPr id="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4678045" cy="2849245"/>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p>
    <w:p w:rsidR="00E21B7F" w:rsidRPr="00E21B7F" w:rsidRDefault="00E21B7F" w:rsidP="00E21B7F">
      <w:pPr>
        <w:pStyle w:val="ListParagraph"/>
        <w:numPr>
          <w:ilvl w:val="0"/>
          <w:numId w:val="1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7.</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KEUZE 3</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A krijgt u 1002 euro per maand of 1169 euro per maand als totaal pensioen (inclusief AOW). De kans dat u 1002 euro per maand krijgt is 7/10 en de kans dat u 1169 euro per maand krijgt is 3/10.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B krijgt u 668 euro per maand of 1503 euro per maand als totaal pensioen (inclusief AOW). De kans dat u 668 euro per maand krijgt is 7/10 en de kans dat u 1503 euro per maand krijgt is 3/10.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678045" cy="2817495"/>
            <wp:effectExtent l="19050" t="0" r="8255" b="0"/>
            <wp:docPr id="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4678045" cy="2817495"/>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r w:rsidRPr="00E21B7F">
        <w:rPr>
          <w:rFonts w:cstheme="minorHAnsi"/>
          <w:color w:val="FF0000"/>
          <w:sz w:val="20"/>
          <w:szCs w:val="20"/>
        </w:rPr>
        <w:t>*</w:t>
      </w:r>
    </w:p>
    <w:p w:rsidR="00E21B7F" w:rsidRPr="00E21B7F" w:rsidRDefault="00E21B7F" w:rsidP="00E21B7F">
      <w:pPr>
        <w:pStyle w:val="ListParagraph"/>
        <w:numPr>
          <w:ilvl w:val="0"/>
          <w:numId w:val="1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8.</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KEUZE 4</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A krijgt u 1002 euro per maand of 1169 euro per maand als totaal pensioen (inclusief AOW). De kans dat u 1002 euro per maand krijgt is 6/10 en de kans dat u 1169 euro per maand krijgt is 4/10.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B krijgt u 668 euro per maand of 1503 euro per maand als totaal pensioen (inclusief AOW). De kans dat u 668 euro per maand krijgt is 6/10 en de kans dat u 1503 euro per maand krijgt is 4/10.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752975" cy="2828290"/>
            <wp:effectExtent l="19050" t="0" r="9525" b="0"/>
            <wp:docPr id="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4752975" cy="282829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p>
    <w:p w:rsidR="00E21B7F" w:rsidRPr="00E21B7F" w:rsidRDefault="00E21B7F" w:rsidP="00E21B7F">
      <w:pPr>
        <w:pStyle w:val="ListParagraph"/>
        <w:numPr>
          <w:ilvl w:val="0"/>
          <w:numId w:val="1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FF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9.</w:t>
      </w: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KEUZE 5</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Bij pensioenregeling A krijgt u 1002 euro per maand of 1169 euro per maand als totaal pensioen (inclusief AOW). De kans dat u 1002 euro per maand krijgt is 5/10 en de kans dat u 1169 euro per maand krijgt is 5/10.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Bij pensioenregeling B krijgt u 668 euro per maand of 1503 euro per maand als totaal pensioen (inclusief AOW). De kans dat u 668 euro per maand krijgt is 5/10 en de kans dat u 1503 euro per maand krijgt is 5/10.</w:t>
      </w:r>
    </w:p>
    <w:p w:rsidR="00E21B7F" w:rsidRPr="00E21B7F" w:rsidRDefault="00E21B7F" w:rsidP="00E21B7F">
      <w:pPr>
        <w:autoSpaceDE w:val="0"/>
        <w:autoSpaceDN w:val="0"/>
        <w:adjustRightInd w:val="0"/>
        <w:spacing w:after="0" w:line="240" w:lineRule="auto"/>
        <w:rPr>
          <w:rFonts w:cstheme="minorHAnsi"/>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561205" cy="2785745"/>
            <wp:effectExtent l="19050" t="0" r="0" b="0"/>
            <wp:docPr id="2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srcRect/>
                    <a:stretch>
                      <a:fillRect/>
                    </a:stretch>
                  </pic:blipFill>
                  <pic:spPr bwMode="auto">
                    <a:xfrm>
                      <a:off x="0" y="0"/>
                      <a:ext cx="4561205" cy="2785745"/>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p>
    <w:p w:rsidR="00E21B7F" w:rsidRPr="00E21B7F" w:rsidRDefault="00E21B7F" w:rsidP="00E21B7F">
      <w:pPr>
        <w:pStyle w:val="ListParagraph"/>
        <w:numPr>
          <w:ilvl w:val="0"/>
          <w:numId w:val="1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10.</w:t>
      </w: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KEUZE 6</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Bij pensioenregeling A krijgt u 1002 euro per maand of 1169 euro per maand als totaal pensioen (inclusief AOW). De kans dat u 1002 euro per maand krijgt is 4/10 en de kans dat u 1169 euro per maand krijgt is 6/10.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B krijgt u 668 euro per maand of 1503 euro per maand als totaal pensioen (inclusief AOW). De kans dat u 668 euro per maand krijgt is 4/10 en de kans dat u 1503 euro per maand krijgt is 6/10.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635500" cy="2881630"/>
            <wp:effectExtent l="19050" t="0" r="0" b="0"/>
            <wp:docPr id="2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srcRect/>
                    <a:stretch>
                      <a:fillRect/>
                    </a:stretch>
                  </pic:blipFill>
                  <pic:spPr bwMode="auto">
                    <a:xfrm>
                      <a:off x="0" y="0"/>
                      <a:ext cx="4635500" cy="288163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r w:rsidRPr="00E21B7F">
        <w:rPr>
          <w:rFonts w:cstheme="minorHAnsi"/>
          <w:color w:val="FF0000"/>
          <w:sz w:val="20"/>
          <w:szCs w:val="20"/>
        </w:rPr>
        <w:t>*</w:t>
      </w:r>
    </w:p>
    <w:p w:rsidR="00E21B7F" w:rsidRPr="00E21B7F" w:rsidRDefault="00E21B7F" w:rsidP="00E21B7F">
      <w:pPr>
        <w:pStyle w:val="ListParagraph"/>
        <w:numPr>
          <w:ilvl w:val="0"/>
          <w:numId w:val="1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11.</w:t>
      </w: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KEUZE 7</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A krijgt u 1002 euro per maand of 1169 euro per maand als totaal pensioen (inclusief AOW). De kans dat u 1002 euro per maand krijgt is 3/10 en de kans dat u 1169 euro per maand krijgt is 7/10.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B krijgt u 668 euro per maand of 1503 euro per maand als totaal pensioen (inclusief AOW). De kans dat u 668 euro per maand krijgt is 3/10 en de kans dat u 1503 euro per maand krijgt is 7/10.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710430" cy="2828290"/>
            <wp:effectExtent l="19050" t="0" r="0" b="0"/>
            <wp:docPr id="2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srcRect/>
                    <a:stretch>
                      <a:fillRect/>
                    </a:stretch>
                  </pic:blipFill>
                  <pic:spPr bwMode="auto">
                    <a:xfrm>
                      <a:off x="0" y="0"/>
                      <a:ext cx="4710430" cy="282829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p>
    <w:p w:rsidR="00E21B7F" w:rsidRPr="00E21B7F" w:rsidRDefault="00E21B7F" w:rsidP="00E21B7F">
      <w:pPr>
        <w:pStyle w:val="ListParagraph"/>
        <w:numPr>
          <w:ilvl w:val="0"/>
          <w:numId w:val="15"/>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5"/>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12.</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KEUZE 8</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A krijgt u 1002 euro per maand of 1169 euro per maand als totaal pensioen (inclusief AOW). De kans dat u 1002 euro per maand krijgt is 2/10 en de kans dat u 1169 euro per maand krijgt is 8/10.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B krijgt u 668 euro per maand of 1503 euro per maand als totaal pensioen (inclusief AOW). De kans dat u 668 euro per maand krijgt is 2/10 en de kans dat u 1503 euro per maand krijgt is 8/10.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678045" cy="2881630"/>
            <wp:effectExtent l="19050" t="0" r="8255" b="0"/>
            <wp:docPr id="2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srcRect/>
                    <a:stretch>
                      <a:fillRect/>
                    </a:stretch>
                  </pic:blipFill>
                  <pic:spPr bwMode="auto">
                    <a:xfrm>
                      <a:off x="0" y="0"/>
                      <a:ext cx="4678045" cy="288163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p>
    <w:p w:rsidR="00E21B7F" w:rsidRPr="00E21B7F" w:rsidRDefault="00E21B7F" w:rsidP="00E21B7F">
      <w:pPr>
        <w:pStyle w:val="ListParagraph"/>
        <w:numPr>
          <w:ilvl w:val="0"/>
          <w:numId w:val="16"/>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6"/>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13.</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KEUZE 9</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A krijgt u 1002 euro per maand of 1169 euro per maand als totaal pensioen (inclusief AOW). De kans dat u 1002 euro per maand krijgt is 1/10 en de kans dat u 1169 euro per maand krijgt is 9/10.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B krijgt u 668 euro per maand of 1503 euro per maand als totaal pensioen (inclusief AOW). De kans dat u 668 euro per maand krijgt is 1/10 en de kans dat u 1503 euro per maand krijgt is 9/10.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635500" cy="2870835"/>
            <wp:effectExtent l="19050" t="0" r="0" b="0"/>
            <wp:docPr id="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4635500" cy="2870835"/>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r w:rsidRPr="00E21B7F">
        <w:rPr>
          <w:rFonts w:cstheme="minorHAnsi"/>
          <w:color w:val="FF0000"/>
          <w:sz w:val="20"/>
          <w:szCs w:val="20"/>
        </w:rPr>
        <w:t>*</w:t>
      </w:r>
    </w:p>
    <w:p w:rsidR="00E21B7F" w:rsidRPr="00E21B7F" w:rsidRDefault="00E21B7F" w:rsidP="00E21B7F">
      <w:pPr>
        <w:pStyle w:val="ListParagraph"/>
        <w:numPr>
          <w:ilvl w:val="0"/>
          <w:numId w:val="17"/>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7"/>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14</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KEUZE 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A krijgt u 1002 euro per maand of 1169 euro per maand als totaal pensioen (inclusief AOW). De kans dat u 1002 euro per maand krijgt is 0/10 en de kans dat u 1169 euro per maand krijgt is 10/10.</w:t>
      </w:r>
    </w:p>
    <w:p w:rsidR="00E21B7F" w:rsidRPr="00E21B7F" w:rsidRDefault="00E21B7F" w:rsidP="00E21B7F">
      <w:pPr>
        <w:pStyle w:val="ListParagraph"/>
        <w:numPr>
          <w:ilvl w:val="0"/>
          <w:numId w:val="9"/>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Bij pensioenregeling B krijgt u 668 euro per maand of 1503 euro per maand als totaal pensioen (inclusief AOW). De kans dat u 668 euro per maand krijgt is 0/10 en de kans dat u 1503 euro per maand krijgt is 10/10.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Onderstaand ziet u beide regelingen in een grafiek.</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rPr>
      </w:pPr>
      <w:r w:rsidRPr="00E21B7F">
        <w:rPr>
          <w:rFonts w:cstheme="minorHAnsi"/>
          <w:noProof/>
          <w:color w:val="000000"/>
          <w:sz w:val="20"/>
          <w:szCs w:val="20"/>
          <w:lang w:val="nl-NL" w:eastAsia="nl-NL"/>
        </w:rPr>
        <w:drawing>
          <wp:inline distT="0" distB="0" distL="0" distR="0">
            <wp:extent cx="4635500" cy="2732405"/>
            <wp:effectExtent l="19050" t="0" r="0" b="0"/>
            <wp:docPr id="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srcRect/>
                    <a:stretch>
                      <a:fillRect/>
                    </a:stretch>
                  </pic:blipFill>
                  <pic:spPr bwMode="auto">
                    <a:xfrm>
                      <a:off x="0" y="0"/>
                      <a:ext cx="4635500" cy="2732405"/>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Welke pensioenregeling kiest u?</w:t>
      </w:r>
    </w:p>
    <w:p w:rsidR="00E21B7F" w:rsidRPr="00E21B7F" w:rsidRDefault="00E21B7F" w:rsidP="00E21B7F">
      <w:pPr>
        <w:pStyle w:val="ListParagraph"/>
        <w:numPr>
          <w:ilvl w:val="0"/>
          <w:numId w:val="1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A</w:t>
      </w:r>
    </w:p>
    <w:p w:rsidR="00E21B7F" w:rsidRPr="00E21B7F" w:rsidRDefault="00E21B7F" w:rsidP="00E21B7F">
      <w:pPr>
        <w:pStyle w:val="ListParagraph"/>
        <w:numPr>
          <w:ilvl w:val="0"/>
          <w:numId w:val="1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Pensioenregeling B</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15.</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 xml:space="preserve"> Vraag 6</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Hoe groot is uw bereidheid om risico te lopen met uw pensioenuitkering?</w:t>
      </w:r>
      <w:r w:rsidRPr="00E21B7F">
        <w:rPr>
          <w:rFonts w:cstheme="minorHAnsi"/>
          <w:color w:val="FF0000"/>
          <w:sz w:val="20"/>
          <w:szCs w:val="20"/>
          <w:lang w:val="nl-NL"/>
        </w:rPr>
        <w:t>*</w:t>
      </w:r>
    </w:p>
    <w:p w:rsidR="00E21B7F" w:rsidRPr="00E21B7F" w:rsidRDefault="00E21B7F" w:rsidP="00E21B7F">
      <w:pPr>
        <w:pStyle w:val="ListParagraph"/>
        <w:numPr>
          <w:ilvl w:val="0"/>
          <w:numId w:val="1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(1)Zeer laag</w:t>
      </w:r>
    </w:p>
    <w:p w:rsidR="00E21B7F" w:rsidRPr="00E21B7F" w:rsidRDefault="00E21B7F" w:rsidP="00E21B7F">
      <w:pPr>
        <w:pStyle w:val="ListParagraph"/>
        <w:numPr>
          <w:ilvl w:val="0"/>
          <w:numId w:val="19"/>
        </w:numPr>
        <w:autoSpaceDE w:val="0"/>
        <w:autoSpaceDN w:val="0"/>
        <w:adjustRightInd w:val="0"/>
        <w:spacing w:after="0" w:line="240" w:lineRule="auto"/>
        <w:rPr>
          <w:rFonts w:cstheme="minorHAnsi"/>
          <w:sz w:val="20"/>
          <w:szCs w:val="20"/>
        </w:rPr>
      </w:pPr>
      <w:r w:rsidRPr="00E21B7F">
        <w:rPr>
          <w:rFonts w:cstheme="minorHAnsi"/>
          <w:sz w:val="20"/>
          <w:szCs w:val="20"/>
        </w:rPr>
        <w:t>(2)Laag</w:t>
      </w:r>
    </w:p>
    <w:p w:rsidR="00E21B7F" w:rsidRPr="00E21B7F" w:rsidRDefault="00E21B7F" w:rsidP="00E21B7F">
      <w:pPr>
        <w:pStyle w:val="ListParagraph"/>
        <w:numPr>
          <w:ilvl w:val="0"/>
          <w:numId w:val="19"/>
        </w:numPr>
        <w:autoSpaceDE w:val="0"/>
        <w:autoSpaceDN w:val="0"/>
        <w:adjustRightInd w:val="0"/>
        <w:spacing w:after="0" w:line="240" w:lineRule="auto"/>
        <w:rPr>
          <w:rFonts w:cstheme="minorHAnsi"/>
          <w:sz w:val="20"/>
          <w:szCs w:val="20"/>
        </w:rPr>
      </w:pPr>
      <w:r w:rsidRPr="00E21B7F">
        <w:rPr>
          <w:rFonts w:cstheme="minorHAnsi"/>
          <w:sz w:val="20"/>
          <w:szCs w:val="20"/>
        </w:rPr>
        <w:t>(3)Redelijk laag</w:t>
      </w:r>
    </w:p>
    <w:p w:rsidR="00E21B7F" w:rsidRPr="00E21B7F" w:rsidRDefault="00E21B7F" w:rsidP="00E21B7F">
      <w:pPr>
        <w:pStyle w:val="ListParagraph"/>
        <w:numPr>
          <w:ilvl w:val="0"/>
          <w:numId w:val="19"/>
        </w:numPr>
        <w:autoSpaceDE w:val="0"/>
        <w:autoSpaceDN w:val="0"/>
        <w:adjustRightInd w:val="0"/>
        <w:spacing w:after="0" w:line="240" w:lineRule="auto"/>
        <w:rPr>
          <w:rFonts w:cstheme="minorHAnsi"/>
          <w:sz w:val="20"/>
          <w:szCs w:val="20"/>
        </w:rPr>
      </w:pPr>
      <w:r w:rsidRPr="00E21B7F">
        <w:rPr>
          <w:rFonts w:cstheme="minorHAnsi"/>
          <w:sz w:val="20"/>
          <w:szCs w:val="20"/>
        </w:rPr>
        <w:t>(4)Neutraal</w:t>
      </w:r>
    </w:p>
    <w:p w:rsidR="00E21B7F" w:rsidRPr="00E21B7F" w:rsidRDefault="00E21B7F" w:rsidP="00E21B7F">
      <w:pPr>
        <w:pStyle w:val="ListParagraph"/>
        <w:numPr>
          <w:ilvl w:val="0"/>
          <w:numId w:val="19"/>
        </w:numPr>
        <w:autoSpaceDE w:val="0"/>
        <w:autoSpaceDN w:val="0"/>
        <w:adjustRightInd w:val="0"/>
        <w:spacing w:after="0" w:line="240" w:lineRule="auto"/>
        <w:rPr>
          <w:rFonts w:cstheme="minorHAnsi"/>
          <w:sz w:val="20"/>
          <w:szCs w:val="20"/>
        </w:rPr>
      </w:pPr>
      <w:r w:rsidRPr="00E21B7F">
        <w:rPr>
          <w:rFonts w:cstheme="minorHAnsi"/>
          <w:sz w:val="20"/>
          <w:szCs w:val="20"/>
        </w:rPr>
        <w:t>(5)Redelijk hoog</w:t>
      </w:r>
    </w:p>
    <w:p w:rsidR="00E21B7F" w:rsidRPr="00E21B7F" w:rsidRDefault="00E21B7F" w:rsidP="00E21B7F">
      <w:pPr>
        <w:pStyle w:val="ListParagraph"/>
        <w:numPr>
          <w:ilvl w:val="0"/>
          <w:numId w:val="19"/>
        </w:numPr>
        <w:autoSpaceDE w:val="0"/>
        <w:autoSpaceDN w:val="0"/>
        <w:adjustRightInd w:val="0"/>
        <w:spacing w:after="0" w:line="240" w:lineRule="auto"/>
        <w:rPr>
          <w:rFonts w:cstheme="minorHAnsi"/>
          <w:sz w:val="20"/>
          <w:szCs w:val="20"/>
        </w:rPr>
      </w:pPr>
      <w:r w:rsidRPr="00E21B7F">
        <w:rPr>
          <w:rFonts w:cstheme="minorHAnsi"/>
          <w:sz w:val="20"/>
          <w:szCs w:val="20"/>
        </w:rPr>
        <w:t>(6)Hoog</w:t>
      </w:r>
    </w:p>
    <w:p w:rsidR="00E21B7F" w:rsidRPr="00E21B7F" w:rsidRDefault="00E21B7F" w:rsidP="00E21B7F">
      <w:pPr>
        <w:pStyle w:val="ListParagraph"/>
        <w:numPr>
          <w:ilvl w:val="0"/>
          <w:numId w:val="19"/>
        </w:numPr>
        <w:autoSpaceDE w:val="0"/>
        <w:autoSpaceDN w:val="0"/>
        <w:adjustRightInd w:val="0"/>
        <w:spacing w:after="0" w:line="240" w:lineRule="auto"/>
        <w:rPr>
          <w:rFonts w:cstheme="minorHAnsi"/>
          <w:sz w:val="20"/>
          <w:szCs w:val="20"/>
        </w:rPr>
      </w:pPr>
      <w:r w:rsidRPr="00E21B7F">
        <w:rPr>
          <w:rFonts w:cstheme="minorHAnsi"/>
          <w:sz w:val="20"/>
          <w:szCs w:val="20"/>
        </w:rPr>
        <w:t>(7)Zeer hoog</w:t>
      </w: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16.</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7a</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Hoe denkt u dat u zich voelt als u tijdens uw pensionering een bijbaantje heeft omdat uw pensioen niet toereikend is</w:t>
      </w: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voor uw uitgavenpatroon?</w:t>
      </w:r>
    </w:p>
    <w:p w:rsidR="00E21B7F" w:rsidRPr="00E21B7F" w:rsidRDefault="00E21B7F" w:rsidP="00E21B7F">
      <w:pPr>
        <w:pStyle w:val="ListParagraph"/>
        <w:numPr>
          <w:ilvl w:val="0"/>
          <w:numId w:val="2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(1)Zeer slecht</w:t>
      </w:r>
    </w:p>
    <w:p w:rsidR="00E21B7F" w:rsidRPr="00E21B7F" w:rsidRDefault="00E21B7F" w:rsidP="00E21B7F">
      <w:pPr>
        <w:pStyle w:val="ListParagraph"/>
        <w:numPr>
          <w:ilvl w:val="0"/>
          <w:numId w:val="2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(2)Slecht</w:t>
      </w:r>
    </w:p>
    <w:p w:rsidR="00E21B7F" w:rsidRPr="00E21B7F" w:rsidRDefault="00E21B7F" w:rsidP="00E21B7F">
      <w:pPr>
        <w:pStyle w:val="ListParagraph"/>
        <w:numPr>
          <w:ilvl w:val="0"/>
          <w:numId w:val="2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(3)Redelijk slecht</w:t>
      </w:r>
    </w:p>
    <w:p w:rsidR="00E21B7F" w:rsidRPr="00E21B7F" w:rsidRDefault="00E21B7F" w:rsidP="00E21B7F">
      <w:pPr>
        <w:pStyle w:val="ListParagraph"/>
        <w:numPr>
          <w:ilvl w:val="0"/>
          <w:numId w:val="2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(4)Neutraal</w:t>
      </w:r>
    </w:p>
    <w:p w:rsidR="00E21B7F" w:rsidRPr="00E21B7F" w:rsidRDefault="00E21B7F" w:rsidP="00E21B7F">
      <w:pPr>
        <w:pStyle w:val="ListParagraph"/>
        <w:numPr>
          <w:ilvl w:val="0"/>
          <w:numId w:val="2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(5)Redelijk goed</w:t>
      </w:r>
    </w:p>
    <w:p w:rsidR="00E21B7F" w:rsidRPr="00E21B7F" w:rsidRDefault="00E21B7F" w:rsidP="00E21B7F">
      <w:pPr>
        <w:pStyle w:val="ListParagraph"/>
        <w:numPr>
          <w:ilvl w:val="0"/>
          <w:numId w:val="2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(6)Goed</w:t>
      </w:r>
    </w:p>
    <w:p w:rsidR="00E21B7F" w:rsidRPr="00E21B7F" w:rsidRDefault="00E21B7F" w:rsidP="00E21B7F">
      <w:pPr>
        <w:pStyle w:val="ListParagraph"/>
        <w:numPr>
          <w:ilvl w:val="0"/>
          <w:numId w:val="2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(7)Zeer goed</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17.</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7b</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Hoe denkt u dat u zich voelt als u op uw geplande pensioenleeftijd 50% van uw laatste nettoloon ontvangt als pensioen</w:t>
      </w: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(inclusief AOW)?</w:t>
      </w:r>
    </w:p>
    <w:p w:rsidR="00E21B7F" w:rsidRPr="00E21B7F" w:rsidRDefault="00E21B7F" w:rsidP="00E21B7F">
      <w:pPr>
        <w:pStyle w:val="ListParagraph"/>
        <w:numPr>
          <w:ilvl w:val="0"/>
          <w:numId w:val="2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(1)Zeer slecht</w:t>
      </w:r>
    </w:p>
    <w:p w:rsidR="00E21B7F" w:rsidRPr="00E21B7F" w:rsidRDefault="00E21B7F" w:rsidP="00E21B7F">
      <w:pPr>
        <w:pStyle w:val="ListParagraph"/>
        <w:numPr>
          <w:ilvl w:val="0"/>
          <w:numId w:val="2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(2)Slecht</w:t>
      </w:r>
    </w:p>
    <w:p w:rsidR="00E21B7F" w:rsidRPr="00E21B7F" w:rsidRDefault="00E21B7F" w:rsidP="00E21B7F">
      <w:pPr>
        <w:pStyle w:val="ListParagraph"/>
        <w:numPr>
          <w:ilvl w:val="0"/>
          <w:numId w:val="2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(3)Redelijk slecht</w:t>
      </w:r>
    </w:p>
    <w:p w:rsidR="00E21B7F" w:rsidRPr="00E21B7F" w:rsidRDefault="00E21B7F" w:rsidP="00E21B7F">
      <w:pPr>
        <w:pStyle w:val="ListParagraph"/>
        <w:numPr>
          <w:ilvl w:val="0"/>
          <w:numId w:val="2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(4)Neutraal</w:t>
      </w:r>
    </w:p>
    <w:p w:rsidR="00E21B7F" w:rsidRPr="00E21B7F" w:rsidRDefault="00E21B7F" w:rsidP="00E21B7F">
      <w:pPr>
        <w:pStyle w:val="ListParagraph"/>
        <w:numPr>
          <w:ilvl w:val="0"/>
          <w:numId w:val="2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(5)Redelijk goed</w:t>
      </w:r>
    </w:p>
    <w:p w:rsidR="00E21B7F" w:rsidRPr="00E21B7F" w:rsidRDefault="00E21B7F" w:rsidP="00E21B7F">
      <w:pPr>
        <w:pStyle w:val="ListParagraph"/>
        <w:numPr>
          <w:ilvl w:val="0"/>
          <w:numId w:val="2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(6)Goed</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18.</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7c</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Hoe karakteriseert u zichzelf als het gaat om beleggen voor uw pensioen?</w:t>
      </w:r>
    </w:p>
    <w:p w:rsidR="00E21B7F" w:rsidRPr="00E21B7F" w:rsidRDefault="00E21B7F" w:rsidP="00E21B7F">
      <w:pPr>
        <w:pStyle w:val="ListParagraph"/>
        <w:numPr>
          <w:ilvl w:val="0"/>
          <w:numId w:val="2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(1)Ik vermijd elk risico</w:t>
      </w:r>
    </w:p>
    <w:p w:rsidR="00E21B7F" w:rsidRPr="00E21B7F" w:rsidRDefault="00E21B7F" w:rsidP="00E21B7F">
      <w:pPr>
        <w:pStyle w:val="ListParagraph"/>
        <w:numPr>
          <w:ilvl w:val="0"/>
          <w:numId w:val="2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(2)Ik vermijd de meeste risico’s</w:t>
      </w:r>
    </w:p>
    <w:p w:rsidR="00E21B7F" w:rsidRPr="00E21B7F" w:rsidRDefault="00E21B7F" w:rsidP="00E21B7F">
      <w:pPr>
        <w:pStyle w:val="ListParagraph"/>
        <w:numPr>
          <w:ilvl w:val="0"/>
          <w:numId w:val="2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(3)Ik vermijd sommige risico’s</w:t>
      </w:r>
    </w:p>
    <w:p w:rsidR="00E21B7F" w:rsidRPr="00E21B7F" w:rsidRDefault="00E21B7F" w:rsidP="00E21B7F">
      <w:pPr>
        <w:pStyle w:val="ListParagraph"/>
        <w:numPr>
          <w:ilvl w:val="0"/>
          <w:numId w:val="2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(4)Neutraal</w:t>
      </w:r>
    </w:p>
    <w:p w:rsidR="00E21B7F" w:rsidRPr="00E21B7F" w:rsidRDefault="00E21B7F" w:rsidP="00E21B7F">
      <w:pPr>
        <w:pStyle w:val="ListParagraph"/>
        <w:numPr>
          <w:ilvl w:val="0"/>
          <w:numId w:val="2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(5)Ik neem een beetje risico</w:t>
      </w:r>
    </w:p>
    <w:p w:rsidR="00E21B7F" w:rsidRPr="00E21B7F" w:rsidRDefault="00E21B7F" w:rsidP="00E21B7F">
      <w:pPr>
        <w:pStyle w:val="ListParagraph"/>
        <w:numPr>
          <w:ilvl w:val="0"/>
          <w:numId w:val="2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(6)Ik accepteer diverse risico’s</w:t>
      </w:r>
    </w:p>
    <w:p w:rsidR="00E21B7F" w:rsidRPr="00E21B7F" w:rsidRDefault="00E21B7F" w:rsidP="00E21B7F">
      <w:pPr>
        <w:pStyle w:val="ListParagraph"/>
        <w:numPr>
          <w:ilvl w:val="0"/>
          <w:numId w:val="2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(7)Ik neem veel risico</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19.</w:t>
      </w: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Vraag 8</w:t>
      </w:r>
    </w:p>
    <w:p w:rsidR="00E21B7F" w:rsidRPr="00E21B7F" w:rsidRDefault="00E21B7F" w:rsidP="00E21B7F">
      <w:pPr>
        <w:autoSpaceDE w:val="0"/>
        <w:autoSpaceDN w:val="0"/>
        <w:adjustRightInd w:val="0"/>
        <w:spacing w:after="0" w:line="240" w:lineRule="auto"/>
        <w:rPr>
          <w:rFonts w:cstheme="minorHAnsi"/>
          <w:bCs/>
          <w:sz w:val="20"/>
          <w:szCs w:val="20"/>
          <w:lang w:val="nl-NL"/>
        </w:rPr>
      </w:pPr>
      <w:r w:rsidRPr="00E21B7F">
        <w:rPr>
          <w:rFonts w:cstheme="minorHAnsi"/>
          <w:bCs/>
          <w:sz w:val="20"/>
          <w:szCs w:val="20"/>
          <w:lang w:val="nl-NL"/>
        </w:rPr>
        <w:t xml:space="preserve">Pensioenregelingen worden in de toekomst misschien flexibeler. In sommige nieuwe pensioenregelingen krijgt u zelf meer t e zeggen over de hoeveelheid risico die u met uw pensioengeld loopt . </w:t>
      </w:r>
    </w:p>
    <w:p w:rsidR="00E21B7F" w:rsidRPr="00E21B7F" w:rsidRDefault="00E21B7F" w:rsidP="00E21B7F">
      <w:pPr>
        <w:autoSpaceDE w:val="0"/>
        <w:autoSpaceDN w:val="0"/>
        <w:adjustRightInd w:val="0"/>
        <w:spacing w:after="0" w:line="240" w:lineRule="auto"/>
        <w:rPr>
          <w:rFonts w:cstheme="minorHAnsi"/>
          <w:bCs/>
          <w:sz w:val="20"/>
          <w:szCs w:val="20"/>
          <w:lang w:val="nl-NL"/>
        </w:rPr>
      </w:pPr>
    </w:p>
    <w:p w:rsidR="00E21B7F" w:rsidRPr="00E21B7F" w:rsidRDefault="00E21B7F" w:rsidP="00E21B7F">
      <w:pPr>
        <w:autoSpaceDE w:val="0"/>
        <w:autoSpaceDN w:val="0"/>
        <w:adjustRightInd w:val="0"/>
        <w:spacing w:after="0" w:line="240" w:lineRule="auto"/>
        <w:rPr>
          <w:rFonts w:cstheme="minorHAnsi"/>
          <w:bCs/>
          <w:sz w:val="20"/>
          <w:szCs w:val="20"/>
          <w:lang w:val="nl-NL"/>
        </w:rPr>
      </w:pPr>
      <w:r w:rsidRPr="00E21B7F">
        <w:rPr>
          <w:rFonts w:cstheme="minorHAnsi"/>
          <w:bCs/>
          <w:sz w:val="20"/>
          <w:szCs w:val="20"/>
          <w:lang w:val="nl-NL"/>
        </w:rPr>
        <w:t xml:space="preserve">Stelt u zich voor dat u een keuze kunt maken over hoe uw ingelegde pensioenpremies worden belegd. </w:t>
      </w:r>
    </w:p>
    <w:p w:rsidR="00E21B7F" w:rsidRPr="00E21B7F" w:rsidRDefault="00E21B7F" w:rsidP="00E21B7F">
      <w:pPr>
        <w:autoSpaceDE w:val="0"/>
        <w:autoSpaceDN w:val="0"/>
        <w:adjustRightInd w:val="0"/>
        <w:spacing w:after="0" w:line="240" w:lineRule="auto"/>
        <w:rPr>
          <w:rFonts w:cstheme="minorHAnsi"/>
          <w:bCs/>
          <w:sz w:val="20"/>
          <w:szCs w:val="20"/>
          <w:lang w:val="nl-NL"/>
        </w:rPr>
      </w:pPr>
    </w:p>
    <w:p w:rsidR="00E21B7F" w:rsidRPr="00E21B7F" w:rsidRDefault="00E21B7F" w:rsidP="00E21B7F">
      <w:pPr>
        <w:autoSpaceDE w:val="0"/>
        <w:autoSpaceDN w:val="0"/>
        <w:adjustRightInd w:val="0"/>
        <w:spacing w:after="0" w:line="240" w:lineRule="auto"/>
        <w:rPr>
          <w:rFonts w:cstheme="minorHAnsi"/>
          <w:bCs/>
          <w:sz w:val="20"/>
          <w:szCs w:val="20"/>
          <w:lang w:val="nl-NL"/>
        </w:rPr>
      </w:pPr>
      <w:r w:rsidRPr="00E21B7F">
        <w:rPr>
          <w:rFonts w:cstheme="minorHAnsi"/>
          <w:bCs/>
          <w:sz w:val="20"/>
          <w:szCs w:val="20"/>
          <w:lang w:val="nl-NL"/>
        </w:rPr>
        <w:t>U moet kiezen hoeveel van uw pensioenpremie zonder risico worden belegd (sparen) en hoeveel van de beleggingen met risico worden belegd (bijvoorbeeld in aandelen). De verwacht e opbrengst van beleggingen zonder risico is 3% en van beleggingen in een pakket van wereldwijde aandelen met risico is 7% per jaar.</w:t>
      </w:r>
    </w:p>
    <w:p w:rsidR="00E21B7F" w:rsidRPr="00E21B7F" w:rsidRDefault="00E21B7F" w:rsidP="00E21B7F">
      <w:pPr>
        <w:autoSpaceDE w:val="0"/>
        <w:autoSpaceDN w:val="0"/>
        <w:adjustRightInd w:val="0"/>
        <w:spacing w:after="0" w:line="240" w:lineRule="auto"/>
        <w:rPr>
          <w:rFonts w:cstheme="minorHAnsi"/>
          <w:bCs/>
          <w:sz w:val="20"/>
          <w:szCs w:val="20"/>
          <w:lang w:val="nl-NL"/>
        </w:rPr>
      </w:pPr>
    </w:p>
    <w:p w:rsidR="00E21B7F" w:rsidRPr="00E21B7F" w:rsidRDefault="00E21B7F" w:rsidP="00E21B7F">
      <w:pPr>
        <w:autoSpaceDE w:val="0"/>
        <w:autoSpaceDN w:val="0"/>
        <w:adjustRightInd w:val="0"/>
        <w:spacing w:after="0" w:line="240" w:lineRule="auto"/>
        <w:rPr>
          <w:rFonts w:cstheme="minorHAnsi"/>
          <w:bCs/>
          <w:sz w:val="20"/>
          <w:szCs w:val="20"/>
          <w:lang w:val="nl-NL"/>
        </w:rPr>
      </w:pPr>
      <w:r w:rsidRPr="00E21B7F">
        <w:rPr>
          <w:rFonts w:cstheme="minorHAnsi"/>
          <w:bCs/>
          <w:sz w:val="20"/>
          <w:szCs w:val="20"/>
          <w:lang w:val="nl-NL"/>
        </w:rPr>
        <w:t xml:space="preserve">Geeft u op de onderst aan  de schaal aan van 0 tot 100 procent hoeveel van uw pensioenpremie u met risico zou willen beleggen (met een verwacht e –maar niet zekere- opbrengst van 7%) en hoeveel zonder risico (met een gegarandeerde opbrengst van 3%). </w:t>
      </w:r>
    </w:p>
    <w:p w:rsidR="00E21B7F" w:rsidRPr="00E21B7F" w:rsidRDefault="00E21B7F" w:rsidP="00E21B7F">
      <w:pPr>
        <w:autoSpaceDE w:val="0"/>
        <w:autoSpaceDN w:val="0"/>
        <w:adjustRightInd w:val="0"/>
        <w:spacing w:after="0" w:line="240" w:lineRule="auto"/>
        <w:rPr>
          <w:rFonts w:cstheme="minorHAnsi"/>
          <w:bCs/>
          <w:sz w:val="20"/>
          <w:szCs w:val="20"/>
          <w:lang w:val="nl-NL"/>
        </w:rPr>
      </w:pPr>
    </w:p>
    <w:p w:rsidR="00E21B7F" w:rsidRPr="00E21B7F" w:rsidRDefault="00E21B7F" w:rsidP="00E21B7F">
      <w:pPr>
        <w:autoSpaceDE w:val="0"/>
        <w:autoSpaceDN w:val="0"/>
        <w:adjustRightInd w:val="0"/>
        <w:spacing w:after="0" w:line="240" w:lineRule="auto"/>
        <w:rPr>
          <w:rFonts w:cstheme="minorHAnsi"/>
          <w:bCs/>
          <w:sz w:val="20"/>
          <w:szCs w:val="20"/>
          <w:lang w:val="nl-NL"/>
        </w:rPr>
      </w:pPr>
      <w:r w:rsidRPr="00E21B7F">
        <w:rPr>
          <w:rFonts w:cstheme="minorHAnsi"/>
          <w:bCs/>
          <w:sz w:val="20"/>
          <w:szCs w:val="20"/>
          <w:lang w:val="nl-NL"/>
        </w:rPr>
        <w:t>Een waarde van 0 geeft aan dat u wilt dat uw hele pensioenpremie zonder risico zal worden belegd en een waarde van 100 geeft aan dat u wilt dat uw hele pensioenpremie met risico zal worden belegd.</w:t>
      </w:r>
    </w:p>
    <w:p w:rsidR="00E21B7F" w:rsidRPr="00E21B7F" w:rsidRDefault="00E21B7F" w:rsidP="00E21B7F">
      <w:pPr>
        <w:autoSpaceDE w:val="0"/>
        <w:autoSpaceDN w:val="0"/>
        <w:adjustRightInd w:val="0"/>
        <w:spacing w:after="0" w:line="240" w:lineRule="auto"/>
        <w:rPr>
          <w:rFonts w:cstheme="minorHAnsi"/>
          <w:bCs/>
          <w:sz w:val="20"/>
          <w:szCs w:val="20"/>
          <w:lang w:val="nl-NL"/>
        </w:rPr>
      </w:pP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bCs/>
          <w:color w:val="000000"/>
          <w:sz w:val="20"/>
          <w:szCs w:val="20"/>
          <w:lang w:val="nl-NL"/>
        </w:rPr>
        <w:t>Waardes daar tussenin geven aan welk deel u van uw pensioenpremie u wilt beleggen met risico.</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noProof/>
          <w:color w:val="FF0000"/>
          <w:sz w:val="20"/>
          <w:szCs w:val="20"/>
          <w:lang w:val="nl-NL" w:eastAsia="nl-NL"/>
        </w:rPr>
        <w:drawing>
          <wp:inline distT="0" distB="0" distL="0" distR="0">
            <wp:extent cx="563245" cy="308610"/>
            <wp:effectExtent l="19050" t="0" r="8255" b="0"/>
            <wp:docPr id="2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srcRect/>
                    <a:stretch>
                      <a:fillRect/>
                    </a:stretch>
                  </pic:blipFill>
                  <pic:spPr bwMode="auto">
                    <a:xfrm>
                      <a:off x="0" y="0"/>
                      <a:ext cx="563245" cy="30861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FF0000"/>
          <w:sz w:val="20"/>
          <w:szCs w:val="20"/>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noProof/>
          <w:color w:val="FF0000"/>
          <w:sz w:val="20"/>
          <w:szCs w:val="20"/>
          <w:lang w:val="nl-NL" w:eastAsia="nl-NL"/>
        </w:rPr>
        <w:drawing>
          <wp:inline distT="0" distB="0" distL="0" distR="0">
            <wp:extent cx="3232150" cy="488950"/>
            <wp:effectExtent l="19050" t="0" r="6350" b="0"/>
            <wp:docPr id="2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srcRect/>
                    <a:stretch>
                      <a:fillRect/>
                    </a:stretch>
                  </pic:blipFill>
                  <pic:spPr bwMode="auto">
                    <a:xfrm>
                      <a:off x="0" y="0"/>
                      <a:ext cx="3232150" cy="48895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FF0000"/>
          <w:sz w:val="20"/>
          <w:szCs w:val="20"/>
        </w:rPr>
      </w:pPr>
    </w:p>
    <w:p w:rsidR="00E21B7F" w:rsidRPr="00E21B7F" w:rsidRDefault="00E21B7F" w:rsidP="00E21B7F">
      <w:pPr>
        <w:autoSpaceDE w:val="0"/>
        <w:autoSpaceDN w:val="0"/>
        <w:adjustRightInd w:val="0"/>
        <w:spacing w:after="0" w:line="240" w:lineRule="auto"/>
        <w:rPr>
          <w:rFonts w:cstheme="minorHAnsi"/>
          <w:b/>
          <w:bCs/>
          <w:sz w:val="20"/>
          <w:szCs w:val="20"/>
          <w:lang w:val="nl-NL"/>
        </w:rPr>
      </w:pPr>
      <w:r w:rsidRPr="00E21B7F">
        <w:rPr>
          <w:rFonts w:cstheme="minorHAnsi"/>
          <w:b/>
          <w:bCs/>
          <w:sz w:val="20"/>
          <w:szCs w:val="20"/>
          <w:lang w:val="nl-NL"/>
        </w:rPr>
        <w:t>20.</w:t>
      </w:r>
    </w:p>
    <w:p w:rsidR="00E21B7F" w:rsidRPr="00E21B7F" w:rsidRDefault="00E21B7F" w:rsidP="00E21B7F">
      <w:pPr>
        <w:autoSpaceDE w:val="0"/>
        <w:autoSpaceDN w:val="0"/>
        <w:adjustRightInd w:val="0"/>
        <w:spacing w:after="0" w:line="240" w:lineRule="auto"/>
        <w:rPr>
          <w:rFonts w:cstheme="minorHAnsi"/>
          <w:b/>
          <w:bCs/>
          <w:sz w:val="20"/>
          <w:szCs w:val="20"/>
          <w:lang w:val="nl-NL"/>
        </w:rPr>
      </w:pPr>
      <w:r w:rsidRPr="00E21B7F">
        <w:rPr>
          <w:rFonts w:cstheme="minorHAnsi"/>
          <w:b/>
          <w:bCs/>
          <w:sz w:val="20"/>
          <w:szCs w:val="20"/>
          <w:lang w:val="nl-NL"/>
        </w:rPr>
        <w:t>Vraag 9</w:t>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 xml:space="preserve">In deze vraag willen we graag weten wat u verwachtingen zijn voor beleggingen met risico. We laten u daarom eerst hieronder de gemiddelde opbrengst zien van alle wereldwijde aandelen voor de afgelopen 16 jaar. </w:t>
      </w:r>
    </w:p>
    <w:p w:rsidR="00E21B7F" w:rsidRPr="00E21B7F" w:rsidRDefault="00E21B7F" w:rsidP="00E21B7F">
      <w:pPr>
        <w:autoSpaceDE w:val="0"/>
        <w:autoSpaceDN w:val="0"/>
        <w:adjustRightInd w:val="0"/>
        <w:spacing w:after="0" w:line="240" w:lineRule="auto"/>
        <w:rPr>
          <w:rFonts w:cstheme="minorHAnsi"/>
          <w:sz w:val="20"/>
          <w:szCs w:val="20"/>
          <w:lang w:val="nl-NL"/>
        </w:rPr>
      </w:pPr>
    </w:p>
    <w:p w:rsidR="00E21B7F" w:rsidRPr="00E21B7F" w:rsidRDefault="00E21B7F" w:rsidP="00E21B7F">
      <w:pPr>
        <w:autoSpaceDE w:val="0"/>
        <w:autoSpaceDN w:val="0"/>
        <w:adjustRightInd w:val="0"/>
        <w:spacing w:after="0" w:line="240" w:lineRule="auto"/>
        <w:rPr>
          <w:rFonts w:cstheme="minorHAnsi"/>
          <w:sz w:val="20"/>
          <w:szCs w:val="20"/>
        </w:rPr>
      </w:pPr>
      <w:r w:rsidRPr="00E21B7F">
        <w:rPr>
          <w:rFonts w:cstheme="minorHAnsi"/>
          <w:noProof/>
          <w:sz w:val="20"/>
          <w:szCs w:val="20"/>
          <w:lang w:val="nl-NL" w:eastAsia="nl-NL"/>
        </w:rPr>
        <w:drawing>
          <wp:inline distT="0" distB="0" distL="0" distR="0">
            <wp:extent cx="4795520" cy="3147060"/>
            <wp:effectExtent l="19050" t="0" r="5080" b="0"/>
            <wp:docPr id="2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srcRect/>
                    <a:stretch>
                      <a:fillRect/>
                    </a:stretch>
                  </pic:blipFill>
                  <pic:spPr bwMode="auto">
                    <a:xfrm>
                      <a:off x="0" y="0"/>
                      <a:ext cx="4795520" cy="314706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21.</w:t>
      </w: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Vraag 9a</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Hoe schat u het risico van deze belegging in?</w:t>
      </w:r>
    </w:p>
    <w:p w:rsidR="00E21B7F" w:rsidRPr="00E21B7F" w:rsidRDefault="00E21B7F" w:rsidP="00E21B7F">
      <w:pPr>
        <w:pStyle w:val="ListParagraph"/>
        <w:numPr>
          <w:ilvl w:val="0"/>
          <w:numId w:val="2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(1)Zeer laag</w:t>
      </w:r>
    </w:p>
    <w:p w:rsidR="00E21B7F" w:rsidRPr="00E21B7F" w:rsidRDefault="00E21B7F" w:rsidP="00E21B7F">
      <w:pPr>
        <w:pStyle w:val="ListParagraph"/>
        <w:numPr>
          <w:ilvl w:val="0"/>
          <w:numId w:val="2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(2)Laag</w:t>
      </w:r>
    </w:p>
    <w:p w:rsidR="00E21B7F" w:rsidRPr="00E21B7F" w:rsidRDefault="00E21B7F" w:rsidP="00E21B7F">
      <w:pPr>
        <w:pStyle w:val="ListParagraph"/>
        <w:numPr>
          <w:ilvl w:val="0"/>
          <w:numId w:val="2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(3)Redelijk laag</w:t>
      </w:r>
    </w:p>
    <w:p w:rsidR="00E21B7F" w:rsidRPr="00E21B7F" w:rsidRDefault="00E21B7F" w:rsidP="00E21B7F">
      <w:pPr>
        <w:pStyle w:val="ListParagraph"/>
        <w:numPr>
          <w:ilvl w:val="0"/>
          <w:numId w:val="2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(4)Neutraal</w:t>
      </w:r>
    </w:p>
    <w:p w:rsidR="00E21B7F" w:rsidRPr="00E21B7F" w:rsidRDefault="00E21B7F" w:rsidP="00E21B7F">
      <w:pPr>
        <w:pStyle w:val="ListParagraph"/>
        <w:numPr>
          <w:ilvl w:val="0"/>
          <w:numId w:val="2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(5)Redelijk hoog</w:t>
      </w:r>
    </w:p>
    <w:p w:rsidR="00E21B7F" w:rsidRPr="00E21B7F" w:rsidRDefault="00E21B7F" w:rsidP="00E21B7F">
      <w:pPr>
        <w:pStyle w:val="ListParagraph"/>
        <w:numPr>
          <w:ilvl w:val="0"/>
          <w:numId w:val="2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(6)Hoog</w:t>
      </w:r>
    </w:p>
    <w:p w:rsidR="00E21B7F" w:rsidRPr="00E21B7F" w:rsidRDefault="00E21B7F" w:rsidP="00E21B7F">
      <w:pPr>
        <w:pStyle w:val="ListParagraph"/>
        <w:numPr>
          <w:ilvl w:val="0"/>
          <w:numId w:val="2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(7)Zeer hoog</w:t>
      </w:r>
    </w:p>
    <w:p w:rsidR="00E21B7F" w:rsidRPr="00E21B7F" w:rsidRDefault="00E21B7F" w:rsidP="00E21B7F">
      <w:pPr>
        <w:autoSpaceDE w:val="0"/>
        <w:autoSpaceDN w:val="0"/>
        <w:adjustRightInd w:val="0"/>
        <w:spacing w:after="0" w:line="240" w:lineRule="auto"/>
        <w:rPr>
          <w:rFonts w:cstheme="minorHAnsi"/>
          <w:color w:val="9A66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21.</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9b</w:t>
      </w:r>
    </w:p>
    <w:p w:rsidR="00E21B7F" w:rsidRPr="00E21B7F" w:rsidRDefault="00E21B7F" w:rsidP="00E21B7F">
      <w:pPr>
        <w:autoSpaceDE w:val="0"/>
        <w:autoSpaceDN w:val="0"/>
        <w:adjustRightInd w:val="0"/>
        <w:spacing w:after="0" w:line="240" w:lineRule="auto"/>
        <w:rPr>
          <w:rFonts w:cstheme="minorHAnsi"/>
          <w:bCs/>
          <w:color w:val="000000"/>
          <w:sz w:val="20"/>
          <w:szCs w:val="20"/>
          <w:lang w:val="nl-NL"/>
        </w:rPr>
      </w:pPr>
      <w:r w:rsidRPr="00E21B7F">
        <w:rPr>
          <w:rFonts w:cstheme="minorHAnsi"/>
          <w:bCs/>
          <w:color w:val="000000"/>
          <w:sz w:val="20"/>
          <w:szCs w:val="20"/>
          <w:lang w:val="nl-NL"/>
        </w:rPr>
        <w:t>Stel dat u 100 euro in dit fonds kunt beleggen.</w:t>
      </w:r>
    </w:p>
    <w:p w:rsidR="00E21B7F" w:rsidRPr="00E21B7F" w:rsidRDefault="00E21B7F" w:rsidP="00E21B7F">
      <w:pPr>
        <w:autoSpaceDE w:val="0"/>
        <w:autoSpaceDN w:val="0"/>
        <w:adjustRightInd w:val="0"/>
        <w:spacing w:after="0" w:line="240" w:lineRule="auto"/>
        <w:rPr>
          <w:rFonts w:cstheme="minorHAnsi"/>
          <w:bCs/>
          <w:color w:val="000000"/>
          <w:sz w:val="20"/>
          <w:szCs w:val="20"/>
          <w:lang w:val="nl-NL"/>
        </w:rPr>
      </w:pPr>
      <w:r w:rsidRPr="00E21B7F">
        <w:rPr>
          <w:rFonts w:cstheme="minorHAnsi"/>
          <w:bCs/>
          <w:color w:val="000000"/>
          <w:sz w:val="20"/>
          <w:szCs w:val="20"/>
          <w:lang w:val="nl-NL"/>
        </w:rPr>
        <w:t>Wat verwacht u dat de waarde van dit fonds volgend jaar gemiddeld zal zijn?</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bCs/>
          <w:color w:val="000000"/>
          <w:sz w:val="20"/>
          <w:szCs w:val="20"/>
          <w:lang w:val="nl-NL"/>
        </w:rPr>
        <w:t>Mijn verwachting voor de waarde van volgend jaar = ……… euro</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noProof/>
          <w:color w:val="FF0000"/>
          <w:sz w:val="20"/>
          <w:szCs w:val="20"/>
          <w:lang w:val="nl-NL" w:eastAsia="nl-NL"/>
        </w:rPr>
        <w:drawing>
          <wp:inline distT="0" distB="0" distL="0" distR="0">
            <wp:extent cx="3381375" cy="329565"/>
            <wp:effectExtent l="19050" t="0" r="9525" b="0"/>
            <wp:docPr id="3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srcRect/>
                    <a:stretch>
                      <a:fillRect/>
                    </a:stretch>
                  </pic:blipFill>
                  <pic:spPr bwMode="auto">
                    <a:xfrm>
                      <a:off x="0" y="0"/>
                      <a:ext cx="3381375" cy="329565"/>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FF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22.</w:t>
      </w: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Vraag 9c</w:t>
      </w:r>
    </w:p>
    <w:p w:rsidR="00E21B7F" w:rsidRPr="00E21B7F" w:rsidRDefault="00E21B7F" w:rsidP="00E21B7F">
      <w:pPr>
        <w:autoSpaceDE w:val="0"/>
        <w:autoSpaceDN w:val="0"/>
        <w:adjustRightInd w:val="0"/>
        <w:spacing w:after="0" w:line="240" w:lineRule="auto"/>
        <w:rPr>
          <w:rFonts w:cstheme="minorHAnsi"/>
          <w:bCs/>
          <w:color w:val="000000"/>
          <w:sz w:val="20"/>
          <w:szCs w:val="20"/>
          <w:lang w:val="nl-NL"/>
        </w:rPr>
      </w:pPr>
      <w:r w:rsidRPr="00E21B7F">
        <w:rPr>
          <w:rFonts w:cstheme="minorHAnsi"/>
          <w:bCs/>
          <w:color w:val="000000"/>
          <w:sz w:val="20"/>
          <w:szCs w:val="20"/>
          <w:lang w:val="nl-NL"/>
        </w:rPr>
        <w:t>Wat denkt u dat de minimale waarde volgend jaar zal zijn (waarvoor er maar een heel kleine kans dat de werkelijke opbrengst lager is)?</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bCs/>
          <w:color w:val="000000"/>
          <w:sz w:val="20"/>
          <w:szCs w:val="20"/>
          <w:lang w:val="nl-NL"/>
        </w:rPr>
        <w:t>De minimale waarde van volgend jaar = ……euro</w:t>
      </w: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noProof/>
          <w:color w:val="000000"/>
          <w:sz w:val="20"/>
          <w:szCs w:val="20"/>
          <w:lang w:val="nl-NL" w:eastAsia="nl-NL"/>
        </w:rPr>
        <w:drawing>
          <wp:inline distT="0" distB="0" distL="0" distR="0">
            <wp:extent cx="3381375" cy="329565"/>
            <wp:effectExtent l="19050" t="0" r="9525" b="0"/>
            <wp:docPr id="3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srcRect/>
                    <a:stretch>
                      <a:fillRect/>
                    </a:stretch>
                  </pic:blipFill>
                  <pic:spPr bwMode="auto">
                    <a:xfrm>
                      <a:off x="0" y="0"/>
                      <a:ext cx="3381375" cy="329565"/>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b/>
          <w:bCs/>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23.</w:t>
      </w: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Vraag 9d</w:t>
      </w:r>
    </w:p>
    <w:p w:rsidR="00E21B7F" w:rsidRPr="00E21B7F" w:rsidRDefault="00E21B7F" w:rsidP="00E21B7F">
      <w:pPr>
        <w:autoSpaceDE w:val="0"/>
        <w:autoSpaceDN w:val="0"/>
        <w:adjustRightInd w:val="0"/>
        <w:spacing w:after="0" w:line="240" w:lineRule="auto"/>
        <w:rPr>
          <w:rFonts w:cstheme="minorHAnsi"/>
          <w:bCs/>
          <w:color w:val="000000"/>
          <w:sz w:val="20"/>
          <w:szCs w:val="20"/>
          <w:lang w:val="nl-NL"/>
        </w:rPr>
      </w:pPr>
      <w:r w:rsidRPr="00E21B7F">
        <w:rPr>
          <w:rFonts w:cstheme="minorHAnsi"/>
          <w:bCs/>
          <w:color w:val="000000"/>
          <w:sz w:val="20"/>
          <w:szCs w:val="20"/>
          <w:lang w:val="nl-NL"/>
        </w:rPr>
        <w:t>Wat denkt u dat de maximale waarde volgend jaar zal zijn (waarvoor er is maar een heel kleine kans dat de werkelijke opbrengst hoger is)?</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bCs/>
          <w:color w:val="000000"/>
          <w:sz w:val="20"/>
          <w:szCs w:val="20"/>
          <w:lang w:val="nl-NL"/>
        </w:rPr>
        <w:t>De maximale waarde van volgend jaar = …… euro</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noProof/>
          <w:color w:val="FF0000"/>
          <w:sz w:val="20"/>
          <w:szCs w:val="20"/>
          <w:lang w:val="nl-NL" w:eastAsia="nl-NL"/>
        </w:rPr>
        <w:drawing>
          <wp:inline distT="0" distB="0" distL="0" distR="0">
            <wp:extent cx="3381375" cy="329565"/>
            <wp:effectExtent l="19050" t="0" r="9525" b="0"/>
            <wp:docPr id="3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3381375" cy="329565"/>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FF0000"/>
          <w:sz w:val="20"/>
          <w:szCs w:val="20"/>
        </w:rPr>
      </w:pPr>
    </w:p>
    <w:p w:rsidR="00E21B7F" w:rsidRPr="00E21B7F" w:rsidRDefault="00E21B7F" w:rsidP="00E21B7F">
      <w:pPr>
        <w:autoSpaceDE w:val="0"/>
        <w:autoSpaceDN w:val="0"/>
        <w:adjustRightInd w:val="0"/>
        <w:spacing w:after="0" w:line="240" w:lineRule="auto"/>
        <w:rPr>
          <w:rFonts w:cstheme="minorHAnsi"/>
          <w:b/>
          <w:bCs/>
          <w:sz w:val="20"/>
          <w:szCs w:val="20"/>
          <w:lang w:val="nl-NL"/>
        </w:rPr>
      </w:pPr>
      <w:r w:rsidRPr="00E21B7F">
        <w:rPr>
          <w:rFonts w:cstheme="minorHAnsi"/>
          <w:b/>
          <w:bCs/>
          <w:sz w:val="20"/>
          <w:szCs w:val="20"/>
          <w:lang w:val="nl-NL"/>
        </w:rPr>
        <w:t>24.</w:t>
      </w:r>
    </w:p>
    <w:p w:rsidR="00E21B7F" w:rsidRPr="00E21B7F" w:rsidRDefault="00E21B7F" w:rsidP="00E21B7F">
      <w:pPr>
        <w:autoSpaceDE w:val="0"/>
        <w:autoSpaceDN w:val="0"/>
        <w:adjustRightInd w:val="0"/>
        <w:spacing w:after="0" w:line="240" w:lineRule="auto"/>
        <w:rPr>
          <w:rFonts w:cstheme="minorHAnsi"/>
          <w:b/>
          <w:bCs/>
          <w:sz w:val="20"/>
          <w:szCs w:val="20"/>
          <w:lang w:val="nl-NL"/>
        </w:rPr>
      </w:pPr>
      <w:r w:rsidRPr="00E21B7F">
        <w:rPr>
          <w:rFonts w:cstheme="minorHAnsi"/>
          <w:b/>
          <w:bCs/>
          <w:sz w:val="20"/>
          <w:szCs w:val="20"/>
          <w:lang w:val="nl-NL"/>
        </w:rPr>
        <w:t>Vraag 10</w:t>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Stelt u zich voor dat u morgen al met pensioen zou gaan.</w:t>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Bij welk bedrag vindt u uw pensioen dan hoog en bij welk bedrag vindt u het laag?</w:t>
      </w:r>
    </w:p>
    <w:p w:rsidR="00E21B7F" w:rsidRPr="00E21B7F" w:rsidRDefault="00E21B7F" w:rsidP="00E21B7F">
      <w:pPr>
        <w:autoSpaceDE w:val="0"/>
        <w:autoSpaceDN w:val="0"/>
        <w:adjustRightInd w:val="0"/>
        <w:spacing w:after="0" w:line="240" w:lineRule="auto"/>
        <w:rPr>
          <w:rFonts w:cstheme="minorHAnsi"/>
          <w:sz w:val="20"/>
          <w:szCs w:val="20"/>
          <w:lang w:val="nl-NL"/>
        </w:rPr>
      </w:pP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heel hoog ----------------&gt; als het tenminste .....</w:t>
      </w:r>
      <w:r w:rsidRPr="00E21B7F">
        <w:rPr>
          <w:rFonts w:cstheme="minorHAnsi"/>
          <w:sz w:val="20"/>
          <w:szCs w:val="20"/>
          <w:lang w:val="nl-NL"/>
        </w:rPr>
        <w:tab/>
        <w:t>% van mijn netto loon is</w:t>
      </w:r>
      <w:r w:rsidRPr="00E21B7F">
        <w:rPr>
          <w:rFonts w:cstheme="minorHAnsi"/>
          <w:sz w:val="20"/>
          <w:szCs w:val="20"/>
          <w:lang w:val="nl-NL"/>
        </w:rPr>
        <w:tab/>
      </w:r>
      <w:r w:rsidRPr="00E21B7F">
        <w:rPr>
          <w:rFonts w:cstheme="minorHAnsi"/>
          <w:sz w:val="20"/>
          <w:szCs w:val="20"/>
          <w:lang w:val="nl-NL"/>
        </w:rPr>
        <w:tab/>
      </w:r>
      <w:r w:rsidRPr="00E21B7F">
        <w:rPr>
          <w:rFonts w:cstheme="minorHAnsi"/>
          <w:noProof/>
          <w:sz w:val="20"/>
          <w:szCs w:val="20"/>
          <w:lang w:val="nl-NL" w:eastAsia="nl-NL"/>
        </w:rPr>
        <w:drawing>
          <wp:inline distT="0" distB="0" distL="0" distR="0">
            <wp:extent cx="786765" cy="255270"/>
            <wp:effectExtent l="19050" t="0" r="0" b="0"/>
            <wp:docPr id="3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srcRect/>
                    <a:stretch>
                      <a:fillRect/>
                    </a:stretch>
                  </pic:blipFill>
                  <pic:spPr bwMode="auto">
                    <a:xfrm>
                      <a:off x="0" y="0"/>
                      <a:ext cx="786765" cy="25527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hoog ----------------------&gt; als het tenminste .....</w:t>
      </w:r>
      <w:r w:rsidRPr="00E21B7F">
        <w:rPr>
          <w:rFonts w:cstheme="minorHAnsi"/>
          <w:sz w:val="20"/>
          <w:szCs w:val="20"/>
          <w:lang w:val="nl-NL"/>
        </w:rPr>
        <w:tab/>
        <w:t>% van mijn netto loon is</w:t>
      </w:r>
      <w:r w:rsidRPr="00E21B7F">
        <w:rPr>
          <w:rFonts w:cstheme="minorHAnsi"/>
          <w:sz w:val="20"/>
          <w:szCs w:val="20"/>
          <w:lang w:val="nl-NL"/>
        </w:rPr>
        <w:tab/>
      </w:r>
      <w:r w:rsidRPr="00E21B7F">
        <w:rPr>
          <w:rFonts w:cstheme="minorHAnsi"/>
          <w:sz w:val="20"/>
          <w:szCs w:val="20"/>
          <w:lang w:val="nl-NL"/>
        </w:rPr>
        <w:tab/>
      </w:r>
      <w:r w:rsidRPr="00E21B7F">
        <w:rPr>
          <w:rFonts w:cstheme="minorHAnsi"/>
          <w:noProof/>
          <w:sz w:val="20"/>
          <w:szCs w:val="20"/>
          <w:lang w:val="nl-NL" w:eastAsia="nl-NL"/>
        </w:rPr>
        <w:drawing>
          <wp:inline distT="0" distB="0" distL="0" distR="0">
            <wp:extent cx="786765" cy="255270"/>
            <wp:effectExtent l="19050" t="0" r="0" b="0"/>
            <wp:docPr id="3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srcRect/>
                    <a:stretch>
                      <a:fillRect/>
                    </a:stretch>
                  </pic:blipFill>
                  <pic:spPr bwMode="auto">
                    <a:xfrm>
                      <a:off x="0" y="0"/>
                      <a:ext cx="786765" cy="25527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niet hoog/niet laag ----</w:t>
      </w:r>
      <w:r w:rsidRPr="00E21B7F">
        <w:rPr>
          <w:rFonts w:cstheme="minorHAnsi"/>
          <w:sz w:val="20"/>
          <w:szCs w:val="20"/>
          <w:lang w:val="nl-NL"/>
        </w:rPr>
        <w:tab/>
        <w:t xml:space="preserve"> --&gt; als het ...................</w:t>
      </w:r>
      <w:r w:rsidRPr="00E21B7F">
        <w:rPr>
          <w:rFonts w:cstheme="minorHAnsi"/>
          <w:sz w:val="20"/>
          <w:szCs w:val="20"/>
          <w:lang w:val="nl-NL"/>
        </w:rPr>
        <w:tab/>
        <w:t>% van mijn netto loon is</w:t>
      </w:r>
      <w:r w:rsidRPr="00E21B7F">
        <w:rPr>
          <w:rFonts w:cstheme="minorHAnsi"/>
          <w:sz w:val="20"/>
          <w:szCs w:val="20"/>
          <w:lang w:val="nl-NL"/>
        </w:rPr>
        <w:tab/>
      </w:r>
      <w:r w:rsidRPr="00E21B7F">
        <w:rPr>
          <w:rFonts w:cstheme="minorHAnsi"/>
          <w:sz w:val="20"/>
          <w:szCs w:val="20"/>
          <w:lang w:val="nl-NL"/>
        </w:rPr>
        <w:tab/>
      </w:r>
      <w:r w:rsidRPr="00E21B7F">
        <w:rPr>
          <w:rFonts w:cstheme="minorHAnsi"/>
          <w:noProof/>
          <w:sz w:val="20"/>
          <w:szCs w:val="20"/>
          <w:lang w:val="nl-NL" w:eastAsia="nl-NL"/>
        </w:rPr>
        <w:drawing>
          <wp:inline distT="0" distB="0" distL="0" distR="0">
            <wp:extent cx="786765" cy="255270"/>
            <wp:effectExtent l="19050" t="0" r="0" b="0"/>
            <wp:docPr id="35"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srcRect/>
                    <a:stretch>
                      <a:fillRect/>
                    </a:stretch>
                  </pic:blipFill>
                  <pic:spPr bwMode="auto">
                    <a:xfrm>
                      <a:off x="0" y="0"/>
                      <a:ext cx="786765" cy="25527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laag -----------------------&gt; als het ten hoogste .....</w:t>
      </w:r>
      <w:r w:rsidRPr="00E21B7F">
        <w:rPr>
          <w:rFonts w:cstheme="minorHAnsi"/>
          <w:sz w:val="20"/>
          <w:szCs w:val="20"/>
          <w:lang w:val="nl-NL"/>
        </w:rPr>
        <w:tab/>
        <w:t>% van mijn netto loon is</w:t>
      </w:r>
      <w:r w:rsidRPr="00E21B7F">
        <w:rPr>
          <w:rFonts w:cstheme="minorHAnsi"/>
          <w:sz w:val="20"/>
          <w:szCs w:val="20"/>
          <w:lang w:val="nl-NL"/>
        </w:rPr>
        <w:tab/>
      </w:r>
      <w:r w:rsidRPr="00E21B7F">
        <w:rPr>
          <w:rFonts w:cstheme="minorHAnsi"/>
          <w:sz w:val="20"/>
          <w:szCs w:val="20"/>
          <w:lang w:val="nl-NL"/>
        </w:rPr>
        <w:tab/>
      </w:r>
      <w:r w:rsidRPr="00E21B7F">
        <w:rPr>
          <w:rFonts w:cstheme="minorHAnsi"/>
          <w:noProof/>
          <w:sz w:val="20"/>
          <w:szCs w:val="20"/>
          <w:lang w:val="nl-NL" w:eastAsia="nl-NL"/>
        </w:rPr>
        <w:drawing>
          <wp:inline distT="0" distB="0" distL="0" distR="0">
            <wp:extent cx="786765" cy="255270"/>
            <wp:effectExtent l="19050" t="0" r="0" b="0"/>
            <wp:docPr id="3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srcRect/>
                    <a:stretch>
                      <a:fillRect/>
                    </a:stretch>
                  </pic:blipFill>
                  <pic:spPr bwMode="auto">
                    <a:xfrm>
                      <a:off x="0" y="0"/>
                      <a:ext cx="786765" cy="25527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heel laag -----------------&gt; als het ten hoogste .....</w:t>
      </w:r>
      <w:r w:rsidRPr="00E21B7F">
        <w:rPr>
          <w:rFonts w:cstheme="minorHAnsi"/>
          <w:sz w:val="20"/>
          <w:szCs w:val="20"/>
          <w:lang w:val="nl-NL"/>
        </w:rPr>
        <w:tab/>
        <w:t>% van mijn netto loon is</w:t>
      </w:r>
      <w:r w:rsidRPr="00E21B7F">
        <w:rPr>
          <w:rFonts w:cstheme="minorHAnsi"/>
          <w:sz w:val="20"/>
          <w:szCs w:val="20"/>
          <w:lang w:val="nl-NL"/>
        </w:rPr>
        <w:tab/>
      </w:r>
      <w:r w:rsidRPr="00E21B7F">
        <w:rPr>
          <w:rFonts w:cstheme="minorHAnsi"/>
          <w:sz w:val="20"/>
          <w:szCs w:val="20"/>
          <w:lang w:val="nl-NL"/>
        </w:rPr>
        <w:tab/>
      </w:r>
      <w:r w:rsidRPr="00E21B7F">
        <w:rPr>
          <w:rFonts w:cstheme="minorHAnsi"/>
          <w:noProof/>
          <w:sz w:val="20"/>
          <w:szCs w:val="20"/>
          <w:lang w:val="nl-NL" w:eastAsia="nl-NL"/>
        </w:rPr>
        <w:drawing>
          <wp:inline distT="0" distB="0" distL="0" distR="0">
            <wp:extent cx="786765" cy="255270"/>
            <wp:effectExtent l="19050" t="0" r="0" b="0"/>
            <wp:docPr id="37"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srcRect/>
                    <a:stretch>
                      <a:fillRect/>
                    </a:stretch>
                  </pic:blipFill>
                  <pic:spPr bwMode="auto">
                    <a:xfrm>
                      <a:off x="0" y="0"/>
                      <a:ext cx="786765" cy="25527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sz w:val="20"/>
          <w:szCs w:val="20"/>
          <w:lang w:val="nl-NL"/>
        </w:rPr>
      </w:pP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25.</w:t>
      </w: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Vraag 11</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Wat is uw huidige woonsituatie? (Welke woonsituatie is het meest op u van toepassing?)</w:t>
      </w:r>
    </w:p>
    <w:p w:rsidR="00E21B7F" w:rsidRPr="00E21B7F" w:rsidRDefault="00E21B7F" w:rsidP="00E21B7F">
      <w:pPr>
        <w:pStyle w:val="ListParagraph"/>
        <w:numPr>
          <w:ilvl w:val="0"/>
          <w:numId w:val="24"/>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Ik woon in een eigen koophuis</w:t>
      </w:r>
    </w:p>
    <w:p w:rsidR="00E21B7F" w:rsidRPr="00E21B7F" w:rsidRDefault="00E21B7F" w:rsidP="00E21B7F">
      <w:pPr>
        <w:pStyle w:val="ListParagraph"/>
        <w:numPr>
          <w:ilvl w:val="0"/>
          <w:numId w:val="24"/>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Ik woon in een eigen huurhuis</w:t>
      </w:r>
    </w:p>
    <w:p w:rsidR="00E21B7F" w:rsidRPr="00E21B7F" w:rsidRDefault="00E21B7F" w:rsidP="00E21B7F">
      <w:pPr>
        <w:pStyle w:val="ListParagraph"/>
        <w:numPr>
          <w:ilvl w:val="0"/>
          <w:numId w:val="24"/>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Ik woon bij iemand in huis</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26.</w:t>
      </w: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Vraag 12</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 xml:space="preserve">Bij het afsluiten van een nieuwe hypotheek heeft u vaak de keuze om de rente voor een bepaalde keuze vast te zetten of om een variabele rente te betalen. In de rentevaste periode blijft de hypotheekrente die u moet betalen hetzelfde. U bent dan in deze periode beschermd tegen een rentestijging, maar u profiteert ook niet van een rentedaling. Na afloop van de rentevaste periode kunt u opnieuw kiezen voor een rentevaste periode of voor een variabele rente, maar dan met de rentestanden van dat moment. </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Als u op dit moment een nieuwe hypotheek zou afsluiten, voor welke periode zou u dan kiezen?</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25"/>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variabele rente</w:t>
      </w:r>
    </w:p>
    <w:p w:rsidR="00E21B7F" w:rsidRPr="00E21B7F" w:rsidRDefault="00E21B7F" w:rsidP="00E21B7F">
      <w:pPr>
        <w:pStyle w:val="ListParagraph"/>
        <w:numPr>
          <w:ilvl w:val="0"/>
          <w:numId w:val="25"/>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rentevaste periode van &lt;5 jaar</w:t>
      </w:r>
    </w:p>
    <w:p w:rsidR="00E21B7F" w:rsidRPr="00E21B7F" w:rsidRDefault="00E21B7F" w:rsidP="00E21B7F">
      <w:pPr>
        <w:pStyle w:val="ListParagraph"/>
        <w:numPr>
          <w:ilvl w:val="0"/>
          <w:numId w:val="25"/>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rentevaste periode van 5-10 jaar</w:t>
      </w:r>
    </w:p>
    <w:p w:rsidR="00E21B7F" w:rsidRPr="00E21B7F" w:rsidRDefault="00E21B7F" w:rsidP="00E21B7F">
      <w:pPr>
        <w:pStyle w:val="ListParagraph"/>
        <w:numPr>
          <w:ilvl w:val="0"/>
          <w:numId w:val="25"/>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rentevaste periode van 10-20 jaar</w:t>
      </w:r>
    </w:p>
    <w:p w:rsidR="00E21B7F" w:rsidRPr="00E21B7F" w:rsidRDefault="00E21B7F" w:rsidP="00E21B7F">
      <w:pPr>
        <w:pStyle w:val="ListParagraph"/>
        <w:numPr>
          <w:ilvl w:val="0"/>
          <w:numId w:val="25"/>
        </w:numPr>
        <w:autoSpaceDE w:val="0"/>
        <w:autoSpaceDN w:val="0"/>
        <w:adjustRightInd w:val="0"/>
        <w:spacing w:after="0" w:line="240" w:lineRule="auto"/>
        <w:rPr>
          <w:rFonts w:cstheme="minorHAnsi"/>
          <w:sz w:val="20"/>
          <w:szCs w:val="20"/>
        </w:rPr>
      </w:pPr>
      <w:r w:rsidRPr="00E21B7F">
        <w:rPr>
          <w:rFonts w:cstheme="minorHAnsi"/>
          <w:sz w:val="20"/>
          <w:szCs w:val="20"/>
        </w:rPr>
        <w:t>Een rentevaste periode van &gt;20 jaar</w:t>
      </w: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27.</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13</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Bij het afsluiten van een nieuwe hypotheek kunt u kiezen uit veel verschillende hypotheekvormen . Stel dat u een hypotheekvorm zou moeten kiezen, welke van de vier onderstaande vormen zou het liefste kiezen?</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26"/>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Een spaarhypotheek: Bij een spaarhypotheek lost u tijdens de looptijd niet af. U betaalt rente en legt maandelijks een bedrag in. Met deze inleg bouwt u een spaartegoed op. Dit spaartegoed gebruikt u aan het einde van de looptijd om de lening af te lossen.</w:t>
      </w:r>
    </w:p>
    <w:p w:rsidR="00E21B7F" w:rsidRPr="00E21B7F" w:rsidRDefault="00E21B7F" w:rsidP="00E21B7F">
      <w:pPr>
        <w:pStyle w:val="ListParagraph"/>
        <w:numPr>
          <w:ilvl w:val="0"/>
          <w:numId w:val="26"/>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lang w:val="nl-NL"/>
        </w:rPr>
        <w:t xml:space="preserve">Een beleggingshypotheek: Met de beleggingshypotheek lost u tijdens de looptijd niet af. </w:t>
      </w:r>
      <w:r w:rsidRPr="00E21B7F">
        <w:rPr>
          <w:rFonts w:cstheme="minorHAnsi"/>
          <w:color w:val="000000"/>
          <w:sz w:val="20"/>
          <w:szCs w:val="20"/>
        </w:rPr>
        <w:t>U bouwt</w:t>
      </w:r>
    </w:p>
    <w:p w:rsidR="00E21B7F" w:rsidRPr="00E21B7F" w:rsidRDefault="00E21B7F" w:rsidP="00E21B7F">
      <w:pPr>
        <w:pStyle w:val="ListParagraph"/>
        <w:numPr>
          <w:ilvl w:val="0"/>
          <w:numId w:val="26"/>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 xml:space="preserve">vermogen op via beleggingen. Met dit vermogen lost u aan het einde van de looptijd uw hypotheekschuld helemaal of voor een deel af. Met een beleggingshypotheek is het mogelijk dat u met een restschuld blijft zitten. Beleggingen kunnen namelijk minder rendement opleveren dan verwacht. Ook de maandelijkse inleg kunt u (deels) verliezen. Omdat u niet tussendoor aflost, blijft uw rente gelijk zo lang uw rente vast staat. </w:t>
      </w:r>
    </w:p>
    <w:p w:rsidR="00E21B7F" w:rsidRPr="00E21B7F" w:rsidRDefault="00E21B7F" w:rsidP="00E21B7F">
      <w:pPr>
        <w:pStyle w:val="ListParagraph"/>
        <w:numPr>
          <w:ilvl w:val="0"/>
          <w:numId w:val="26"/>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Een spaar- en beleggingshypotheek: Met een spaar- en beleggingshypotheek bouwt u vermogen op</w:t>
      </w:r>
    </w:p>
    <w:p w:rsidR="00E21B7F" w:rsidRPr="00E21B7F" w:rsidRDefault="00E21B7F" w:rsidP="00E21B7F">
      <w:pPr>
        <w:pStyle w:val="ListParagraph"/>
        <w:numPr>
          <w:ilvl w:val="0"/>
          <w:numId w:val="26"/>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door te sparen en te beleggen. De keuze is aan u. En wilt u uw keuze na verloop van tijd veranderen? Dan is dat mogelijk. Hieraan zijn kosten verbonden. Om uw tegoed op te bouwen legt u maandelijks een bedrag in. Met dit spaar- en beleggingstegoed lost u aan het einde van de looptijd uw hypotheekschuld helemaal of voor een deel af. Het is mogelijk dat u een restschuld overhoudt, omdat beleggingen minder rendement kunnen opleveren dan verwacht. Ook de maandelijkse inleg kunt u (deels) verliezen. Uw spaartegoed houdt u wel zeker.</w:t>
      </w:r>
    </w:p>
    <w:p w:rsidR="00E21B7F" w:rsidRPr="00E21B7F" w:rsidRDefault="00E21B7F" w:rsidP="00E21B7F">
      <w:pPr>
        <w:pStyle w:val="ListParagraph"/>
        <w:numPr>
          <w:ilvl w:val="0"/>
          <w:numId w:val="26"/>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Een aflossingsvrije hypotheek: De naam zegt het al: op deze hypotheek lost u niet af. U betaalt alleen rente. Deze kunt u vaak van uw inkomen aftrekken voor de inkomstenbelasting. Gedurende de looptijd lost u niet af op deze hypotheek. Hierdoor blijft het bedrag dat u elke maand aan rente betaalt gelijk. Dit geldt uiteraard alleen als u de rente heeft vastgezet voor een bepaalde periode en niet als u voor een variabele rente heeft gekozen. Omdat u gedurende de looptijd niet aflost, heeft u na afloop een hypotheekschuld. Deze schuld moet u terugbetalen. U kunt bijvoorbeeld terugbetalen met spaargeld of met de opbrengst uit de verkoop van uw woning. In de Gedragscode Hypothecaire Financieringen staat dat u maximaal 50% van de waarde van de woning met een aflossingsvrije hypotheek mag financieren.</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b/>
          <w:bCs/>
          <w:sz w:val="20"/>
          <w:szCs w:val="20"/>
          <w:lang w:val="nl-NL"/>
        </w:rPr>
      </w:pPr>
      <w:r w:rsidRPr="00E21B7F">
        <w:rPr>
          <w:rFonts w:cstheme="minorHAnsi"/>
          <w:b/>
          <w:bCs/>
          <w:sz w:val="20"/>
          <w:szCs w:val="20"/>
          <w:lang w:val="nl-NL"/>
        </w:rPr>
        <w:t>28.</w:t>
      </w:r>
    </w:p>
    <w:p w:rsidR="00E21B7F" w:rsidRPr="00E21B7F" w:rsidRDefault="00E21B7F" w:rsidP="00E21B7F">
      <w:pPr>
        <w:autoSpaceDE w:val="0"/>
        <w:autoSpaceDN w:val="0"/>
        <w:adjustRightInd w:val="0"/>
        <w:spacing w:after="0" w:line="240" w:lineRule="auto"/>
        <w:rPr>
          <w:rFonts w:cstheme="minorHAnsi"/>
          <w:b/>
          <w:bCs/>
          <w:sz w:val="20"/>
          <w:szCs w:val="20"/>
          <w:lang w:val="nl-NL"/>
        </w:rPr>
      </w:pPr>
      <w:r w:rsidRPr="00E21B7F">
        <w:rPr>
          <w:rFonts w:cstheme="minorHAnsi"/>
          <w:b/>
          <w:bCs/>
          <w:sz w:val="20"/>
          <w:szCs w:val="20"/>
          <w:lang w:val="nl-NL"/>
        </w:rPr>
        <w:t>Vraag 14</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Stel dat u op het punt staat om een deposito af te sluiten waarbij u uw geld voor langere tijd vastzet. De rente die u krijgt op dit deposito staat vast voor de looptijd van het deposito. U bent in deze periode beschermd tegen een rentedaling, maar u profiteert ook niet van een rentestijging. U kunt er ook voor kiezen om uw geld niet vast te zetten, u krijgt dan een variabele rente. Als u op dit moment een nieuw deposito zou afsluiten, voor welke periode zou u dan kiezen?</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27"/>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variabele rente</w:t>
      </w:r>
    </w:p>
    <w:p w:rsidR="00E21B7F" w:rsidRPr="00E21B7F" w:rsidRDefault="00E21B7F" w:rsidP="00E21B7F">
      <w:pPr>
        <w:pStyle w:val="ListParagraph"/>
        <w:numPr>
          <w:ilvl w:val="0"/>
          <w:numId w:val="27"/>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periode van 1 jaar</w:t>
      </w:r>
    </w:p>
    <w:p w:rsidR="00E21B7F" w:rsidRPr="00E21B7F" w:rsidRDefault="00E21B7F" w:rsidP="00E21B7F">
      <w:pPr>
        <w:pStyle w:val="ListParagraph"/>
        <w:numPr>
          <w:ilvl w:val="0"/>
          <w:numId w:val="27"/>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periode van 2 jaar</w:t>
      </w:r>
    </w:p>
    <w:p w:rsidR="00E21B7F" w:rsidRPr="00E21B7F" w:rsidRDefault="00E21B7F" w:rsidP="00E21B7F">
      <w:pPr>
        <w:pStyle w:val="ListParagraph"/>
        <w:numPr>
          <w:ilvl w:val="0"/>
          <w:numId w:val="27"/>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periode van 2 tot 5 jaar</w:t>
      </w:r>
    </w:p>
    <w:p w:rsidR="00E21B7F" w:rsidRPr="00E21B7F" w:rsidRDefault="00E21B7F" w:rsidP="00E21B7F">
      <w:pPr>
        <w:pStyle w:val="ListParagraph"/>
        <w:numPr>
          <w:ilvl w:val="0"/>
          <w:numId w:val="27"/>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periode van &gt; 5 jaar</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29.</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15</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Hoeveel vertrouwen heeft u in uw pensioeninstantie?</w:t>
      </w:r>
    </w:p>
    <w:p w:rsidR="00E21B7F" w:rsidRPr="00E21B7F" w:rsidRDefault="00E21B7F" w:rsidP="00E21B7F">
      <w:pPr>
        <w:pStyle w:val="ListParagraph"/>
        <w:numPr>
          <w:ilvl w:val="0"/>
          <w:numId w:val="2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weinig</w:t>
      </w:r>
    </w:p>
    <w:p w:rsidR="00E21B7F" w:rsidRPr="00E21B7F" w:rsidRDefault="00E21B7F" w:rsidP="00E21B7F">
      <w:pPr>
        <w:pStyle w:val="ListParagraph"/>
        <w:numPr>
          <w:ilvl w:val="0"/>
          <w:numId w:val="2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Weinig</w:t>
      </w:r>
    </w:p>
    <w:p w:rsidR="00E21B7F" w:rsidRPr="00E21B7F" w:rsidRDefault="00E21B7F" w:rsidP="00E21B7F">
      <w:pPr>
        <w:pStyle w:val="ListParagraph"/>
        <w:numPr>
          <w:ilvl w:val="0"/>
          <w:numId w:val="2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Redelijk weinig</w:t>
      </w:r>
    </w:p>
    <w:p w:rsidR="00E21B7F" w:rsidRPr="00E21B7F" w:rsidRDefault="00E21B7F" w:rsidP="00E21B7F">
      <w:pPr>
        <w:pStyle w:val="ListParagraph"/>
        <w:numPr>
          <w:ilvl w:val="0"/>
          <w:numId w:val="2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Gemiddeld</w:t>
      </w:r>
    </w:p>
    <w:p w:rsidR="00E21B7F" w:rsidRPr="00E21B7F" w:rsidRDefault="00E21B7F" w:rsidP="00E21B7F">
      <w:pPr>
        <w:pStyle w:val="ListParagraph"/>
        <w:numPr>
          <w:ilvl w:val="0"/>
          <w:numId w:val="2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Redelijk veel</w:t>
      </w:r>
    </w:p>
    <w:p w:rsidR="00E21B7F" w:rsidRPr="00E21B7F" w:rsidRDefault="00E21B7F" w:rsidP="00E21B7F">
      <w:pPr>
        <w:pStyle w:val="ListParagraph"/>
        <w:numPr>
          <w:ilvl w:val="0"/>
          <w:numId w:val="2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Veel</w:t>
      </w:r>
    </w:p>
    <w:p w:rsidR="00E21B7F" w:rsidRPr="00E21B7F" w:rsidRDefault="00E21B7F" w:rsidP="00E21B7F">
      <w:pPr>
        <w:pStyle w:val="ListParagraph"/>
        <w:numPr>
          <w:ilvl w:val="0"/>
          <w:numId w:val="28"/>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veel</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 xml:space="preserve">30. </w:t>
      </w: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Vraag 16</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Is dit vertrouwen recentelijk veranderd? Wat was het niveau hiervoor?</w:t>
      </w:r>
    </w:p>
    <w:p w:rsidR="00E21B7F" w:rsidRPr="00E21B7F" w:rsidRDefault="00E21B7F" w:rsidP="00E21B7F">
      <w:pPr>
        <w:pStyle w:val="ListParagraph"/>
        <w:numPr>
          <w:ilvl w:val="0"/>
          <w:numId w:val="2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weinig</w:t>
      </w:r>
    </w:p>
    <w:p w:rsidR="00E21B7F" w:rsidRPr="00E21B7F" w:rsidRDefault="00E21B7F" w:rsidP="00E21B7F">
      <w:pPr>
        <w:pStyle w:val="ListParagraph"/>
        <w:numPr>
          <w:ilvl w:val="0"/>
          <w:numId w:val="2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Weinig</w:t>
      </w:r>
    </w:p>
    <w:p w:rsidR="00E21B7F" w:rsidRPr="00E21B7F" w:rsidRDefault="00E21B7F" w:rsidP="00E21B7F">
      <w:pPr>
        <w:pStyle w:val="ListParagraph"/>
        <w:numPr>
          <w:ilvl w:val="0"/>
          <w:numId w:val="2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Redelijk weinig</w:t>
      </w:r>
    </w:p>
    <w:p w:rsidR="00E21B7F" w:rsidRPr="00E21B7F" w:rsidRDefault="00E21B7F" w:rsidP="00E21B7F">
      <w:pPr>
        <w:pStyle w:val="ListParagraph"/>
        <w:numPr>
          <w:ilvl w:val="0"/>
          <w:numId w:val="2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Gemiddeld</w:t>
      </w:r>
    </w:p>
    <w:p w:rsidR="00E21B7F" w:rsidRPr="00E21B7F" w:rsidRDefault="00E21B7F" w:rsidP="00E21B7F">
      <w:pPr>
        <w:pStyle w:val="ListParagraph"/>
        <w:numPr>
          <w:ilvl w:val="0"/>
          <w:numId w:val="2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Redelijk veel</w:t>
      </w:r>
    </w:p>
    <w:p w:rsidR="00E21B7F" w:rsidRPr="00E21B7F" w:rsidRDefault="00E21B7F" w:rsidP="00E21B7F">
      <w:pPr>
        <w:pStyle w:val="ListParagraph"/>
        <w:numPr>
          <w:ilvl w:val="0"/>
          <w:numId w:val="2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Veel</w:t>
      </w:r>
    </w:p>
    <w:p w:rsidR="00E21B7F" w:rsidRPr="00E21B7F" w:rsidRDefault="00E21B7F" w:rsidP="00E21B7F">
      <w:pPr>
        <w:pStyle w:val="ListParagraph"/>
        <w:numPr>
          <w:ilvl w:val="0"/>
          <w:numId w:val="2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veel</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31.</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17</w:t>
      </w: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lang w:val="nl-NL"/>
        </w:rPr>
        <w:t xml:space="preserve">Zou een toename in vertrouwen in uw pensioenfonds, effect hebben op uw risico houding? Anders gezegd; Als u uw pensioenfonds meer vertrouwd. Zou dit voor een verandering zorgen in het risico dat u bereid bent te (laten) nemen met u pensioen gelden. </w:t>
      </w:r>
      <w:r w:rsidRPr="00E21B7F">
        <w:rPr>
          <w:rFonts w:cstheme="minorHAnsi"/>
          <w:color w:val="000000"/>
          <w:sz w:val="20"/>
          <w:szCs w:val="20"/>
        </w:rPr>
        <w:t>[ In achtnemende dat risico en rendement gerelateerd zijn]</w:t>
      </w:r>
    </w:p>
    <w:p w:rsidR="00E21B7F" w:rsidRPr="00E21B7F" w:rsidRDefault="00E21B7F" w:rsidP="00E21B7F">
      <w:pPr>
        <w:autoSpaceDE w:val="0"/>
        <w:autoSpaceDN w:val="0"/>
        <w:adjustRightInd w:val="0"/>
        <w:spacing w:after="0" w:line="240" w:lineRule="auto"/>
        <w:rPr>
          <w:rFonts w:cstheme="minorHAnsi"/>
          <w:color w:val="FF0000"/>
          <w:sz w:val="20"/>
          <w:szCs w:val="20"/>
        </w:rPr>
      </w:pPr>
    </w:p>
    <w:p w:rsidR="00E21B7F" w:rsidRPr="00E21B7F" w:rsidRDefault="00E21B7F" w:rsidP="00E21B7F">
      <w:pPr>
        <w:pStyle w:val="ListParagraph"/>
        <w:numPr>
          <w:ilvl w:val="0"/>
          <w:numId w:val="30"/>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Ja (een toename in risico zou geen probleem zijn)</w:t>
      </w:r>
    </w:p>
    <w:p w:rsidR="00E21B7F" w:rsidRPr="00E21B7F" w:rsidRDefault="00E21B7F" w:rsidP="00E21B7F">
      <w:pPr>
        <w:pStyle w:val="ListParagraph"/>
        <w:numPr>
          <w:ilvl w:val="0"/>
          <w:numId w:val="30"/>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Nee (Meer vertrouwen acht ik niet van belang)</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b/>
          <w:color w:val="000000"/>
          <w:sz w:val="20"/>
          <w:szCs w:val="20"/>
          <w:lang w:val="nl-NL"/>
        </w:rPr>
      </w:pPr>
      <w:r w:rsidRPr="00E21B7F">
        <w:rPr>
          <w:rFonts w:cstheme="minorHAnsi"/>
          <w:b/>
          <w:color w:val="000000"/>
          <w:sz w:val="20"/>
          <w:szCs w:val="20"/>
          <w:lang w:val="nl-NL"/>
        </w:rPr>
        <w:t>32.</w:t>
      </w: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Vraag 18</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Wat begrijpt u van de interne financiële structuur en activiteiten van uw pensioenfonds?</w:t>
      </w:r>
    </w:p>
    <w:p w:rsidR="00E21B7F" w:rsidRPr="00E21B7F" w:rsidRDefault="00E21B7F" w:rsidP="00E21B7F">
      <w:pPr>
        <w:pStyle w:val="ListParagraph"/>
        <w:numPr>
          <w:ilvl w:val="0"/>
          <w:numId w:val="3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weinig</w:t>
      </w:r>
    </w:p>
    <w:p w:rsidR="00E21B7F" w:rsidRPr="00E21B7F" w:rsidRDefault="00E21B7F" w:rsidP="00E21B7F">
      <w:pPr>
        <w:pStyle w:val="ListParagraph"/>
        <w:numPr>
          <w:ilvl w:val="0"/>
          <w:numId w:val="3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Weinig</w:t>
      </w:r>
    </w:p>
    <w:p w:rsidR="00E21B7F" w:rsidRPr="00E21B7F" w:rsidRDefault="00E21B7F" w:rsidP="00E21B7F">
      <w:pPr>
        <w:pStyle w:val="ListParagraph"/>
        <w:numPr>
          <w:ilvl w:val="0"/>
          <w:numId w:val="3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Redelijk weinig</w:t>
      </w:r>
    </w:p>
    <w:p w:rsidR="00E21B7F" w:rsidRPr="00E21B7F" w:rsidRDefault="00E21B7F" w:rsidP="00E21B7F">
      <w:pPr>
        <w:pStyle w:val="ListParagraph"/>
        <w:numPr>
          <w:ilvl w:val="0"/>
          <w:numId w:val="3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Neutraal</w:t>
      </w:r>
    </w:p>
    <w:p w:rsidR="00E21B7F" w:rsidRPr="00E21B7F" w:rsidRDefault="00E21B7F" w:rsidP="00E21B7F">
      <w:pPr>
        <w:pStyle w:val="ListParagraph"/>
        <w:numPr>
          <w:ilvl w:val="0"/>
          <w:numId w:val="3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Redelijk veel</w:t>
      </w:r>
    </w:p>
    <w:p w:rsidR="00E21B7F" w:rsidRPr="00E21B7F" w:rsidRDefault="00E21B7F" w:rsidP="00E21B7F">
      <w:pPr>
        <w:pStyle w:val="ListParagraph"/>
        <w:numPr>
          <w:ilvl w:val="0"/>
          <w:numId w:val="3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Veel</w:t>
      </w:r>
    </w:p>
    <w:p w:rsidR="00E21B7F" w:rsidRPr="00E21B7F" w:rsidRDefault="00E21B7F" w:rsidP="00E21B7F">
      <w:pPr>
        <w:pStyle w:val="ListParagraph"/>
        <w:numPr>
          <w:ilvl w:val="0"/>
          <w:numId w:val="3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veel</w:t>
      </w:r>
    </w:p>
    <w:p w:rsidR="00E21B7F" w:rsidRPr="00E21B7F" w:rsidRDefault="00E21B7F" w:rsidP="00E21B7F">
      <w:pPr>
        <w:autoSpaceDE w:val="0"/>
        <w:autoSpaceDN w:val="0"/>
        <w:adjustRightInd w:val="0"/>
        <w:spacing w:after="0" w:line="240" w:lineRule="auto"/>
        <w:rPr>
          <w:rFonts w:cstheme="minorHAnsi"/>
          <w:color w:val="9A6600"/>
          <w:sz w:val="20"/>
          <w:szCs w:val="20"/>
        </w:rPr>
      </w:pPr>
    </w:p>
    <w:p w:rsidR="00E21B7F" w:rsidRPr="00E21B7F" w:rsidRDefault="00E21B7F" w:rsidP="00E21B7F">
      <w:pPr>
        <w:autoSpaceDE w:val="0"/>
        <w:autoSpaceDN w:val="0"/>
        <w:adjustRightInd w:val="0"/>
        <w:spacing w:after="0" w:line="240" w:lineRule="auto"/>
        <w:rPr>
          <w:rFonts w:cstheme="minorHAnsi"/>
          <w:color w:val="9A66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33.</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19</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In hoeverre is het vertrouwen dat u heeft in uw pensioenfonds, en de medewerkers, onderhevig aan uw kennis en begrip</w:t>
      </w: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van wat zij doen?</w:t>
      </w:r>
    </w:p>
    <w:p w:rsidR="00E21B7F" w:rsidRPr="00E21B7F" w:rsidRDefault="00E21B7F" w:rsidP="00E21B7F">
      <w:pPr>
        <w:pStyle w:val="ListParagraph"/>
        <w:numPr>
          <w:ilvl w:val="0"/>
          <w:numId w:val="3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weinig</w:t>
      </w:r>
    </w:p>
    <w:p w:rsidR="00E21B7F" w:rsidRPr="00E21B7F" w:rsidRDefault="00E21B7F" w:rsidP="00E21B7F">
      <w:pPr>
        <w:pStyle w:val="ListParagraph"/>
        <w:numPr>
          <w:ilvl w:val="0"/>
          <w:numId w:val="3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Weinig</w:t>
      </w:r>
    </w:p>
    <w:p w:rsidR="00E21B7F" w:rsidRPr="00E21B7F" w:rsidRDefault="00E21B7F" w:rsidP="00E21B7F">
      <w:pPr>
        <w:pStyle w:val="ListParagraph"/>
        <w:numPr>
          <w:ilvl w:val="0"/>
          <w:numId w:val="3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Redelijk weinig</w:t>
      </w:r>
    </w:p>
    <w:p w:rsidR="00E21B7F" w:rsidRPr="00E21B7F" w:rsidRDefault="00E21B7F" w:rsidP="00E21B7F">
      <w:pPr>
        <w:pStyle w:val="ListParagraph"/>
        <w:numPr>
          <w:ilvl w:val="0"/>
          <w:numId w:val="3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Neutraal</w:t>
      </w:r>
    </w:p>
    <w:p w:rsidR="00E21B7F" w:rsidRPr="00E21B7F" w:rsidRDefault="00E21B7F" w:rsidP="00E21B7F">
      <w:pPr>
        <w:pStyle w:val="ListParagraph"/>
        <w:numPr>
          <w:ilvl w:val="0"/>
          <w:numId w:val="3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Redelijk veel</w:t>
      </w:r>
    </w:p>
    <w:p w:rsidR="00E21B7F" w:rsidRPr="00E21B7F" w:rsidRDefault="00E21B7F" w:rsidP="00E21B7F">
      <w:pPr>
        <w:pStyle w:val="ListParagraph"/>
        <w:numPr>
          <w:ilvl w:val="0"/>
          <w:numId w:val="3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Veel</w:t>
      </w:r>
    </w:p>
    <w:p w:rsidR="00E21B7F" w:rsidRPr="00E21B7F" w:rsidRDefault="00E21B7F" w:rsidP="00E21B7F">
      <w:pPr>
        <w:pStyle w:val="ListParagraph"/>
        <w:numPr>
          <w:ilvl w:val="0"/>
          <w:numId w:val="3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veel</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34.</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20</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Kunt u aangeven hoe groot de kans is dat u in moeilijke tijden uw huidige functie kunt blijven behouden?</w:t>
      </w:r>
    </w:p>
    <w:p w:rsidR="00E21B7F" w:rsidRPr="00E21B7F" w:rsidRDefault="00E21B7F" w:rsidP="00E21B7F">
      <w:pPr>
        <w:pStyle w:val="ListParagraph"/>
        <w:numPr>
          <w:ilvl w:val="0"/>
          <w:numId w:val="3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klein</w:t>
      </w:r>
    </w:p>
    <w:p w:rsidR="00E21B7F" w:rsidRPr="00E21B7F" w:rsidRDefault="00E21B7F" w:rsidP="00E21B7F">
      <w:pPr>
        <w:pStyle w:val="ListParagraph"/>
        <w:numPr>
          <w:ilvl w:val="0"/>
          <w:numId w:val="3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Klein</w:t>
      </w:r>
    </w:p>
    <w:p w:rsidR="00E21B7F" w:rsidRPr="00E21B7F" w:rsidRDefault="00E21B7F" w:rsidP="00E21B7F">
      <w:pPr>
        <w:pStyle w:val="ListParagraph"/>
        <w:numPr>
          <w:ilvl w:val="0"/>
          <w:numId w:val="3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beetje klein</w:t>
      </w:r>
    </w:p>
    <w:p w:rsidR="00E21B7F" w:rsidRPr="00E21B7F" w:rsidRDefault="00E21B7F" w:rsidP="00E21B7F">
      <w:pPr>
        <w:pStyle w:val="ListParagraph"/>
        <w:numPr>
          <w:ilvl w:val="0"/>
          <w:numId w:val="3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Gemiddeld</w:t>
      </w:r>
    </w:p>
    <w:p w:rsidR="00E21B7F" w:rsidRPr="00E21B7F" w:rsidRDefault="00E21B7F" w:rsidP="00E21B7F">
      <w:pPr>
        <w:pStyle w:val="ListParagraph"/>
        <w:numPr>
          <w:ilvl w:val="0"/>
          <w:numId w:val="3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beetje groot</w:t>
      </w:r>
    </w:p>
    <w:p w:rsidR="00E21B7F" w:rsidRPr="00E21B7F" w:rsidRDefault="00E21B7F" w:rsidP="00E21B7F">
      <w:pPr>
        <w:pStyle w:val="ListParagraph"/>
        <w:numPr>
          <w:ilvl w:val="0"/>
          <w:numId w:val="3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Groot</w:t>
      </w:r>
    </w:p>
    <w:p w:rsidR="00E21B7F" w:rsidRPr="00E21B7F" w:rsidRDefault="00E21B7F" w:rsidP="00E21B7F">
      <w:pPr>
        <w:pStyle w:val="ListParagraph"/>
        <w:numPr>
          <w:ilvl w:val="0"/>
          <w:numId w:val="3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groot</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35.</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21</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Hoe groot acht u de kans dat u op korte termijn een nieuwe baan kunt vinden in een economisch slecht klimaat?</w:t>
      </w:r>
    </w:p>
    <w:p w:rsidR="00E21B7F" w:rsidRPr="00E21B7F" w:rsidRDefault="00E21B7F" w:rsidP="00E21B7F">
      <w:pPr>
        <w:pStyle w:val="ListParagraph"/>
        <w:numPr>
          <w:ilvl w:val="0"/>
          <w:numId w:val="3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klein</w:t>
      </w:r>
    </w:p>
    <w:p w:rsidR="00E21B7F" w:rsidRPr="00E21B7F" w:rsidRDefault="00E21B7F" w:rsidP="00E21B7F">
      <w:pPr>
        <w:pStyle w:val="ListParagraph"/>
        <w:numPr>
          <w:ilvl w:val="0"/>
          <w:numId w:val="3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Klein</w:t>
      </w:r>
    </w:p>
    <w:p w:rsidR="00E21B7F" w:rsidRPr="00E21B7F" w:rsidRDefault="00E21B7F" w:rsidP="00E21B7F">
      <w:pPr>
        <w:pStyle w:val="ListParagraph"/>
        <w:numPr>
          <w:ilvl w:val="0"/>
          <w:numId w:val="3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beetje klein</w:t>
      </w:r>
    </w:p>
    <w:p w:rsidR="00E21B7F" w:rsidRPr="00E21B7F" w:rsidRDefault="00E21B7F" w:rsidP="00E21B7F">
      <w:pPr>
        <w:pStyle w:val="ListParagraph"/>
        <w:numPr>
          <w:ilvl w:val="0"/>
          <w:numId w:val="3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Gemiddeld</w:t>
      </w:r>
    </w:p>
    <w:p w:rsidR="00E21B7F" w:rsidRPr="00E21B7F" w:rsidRDefault="00E21B7F" w:rsidP="00E21B7F">
      <w:pPr>
        <w:pStyle w:val="ListParagraph"/>
        <w:numPr>
          <w:ilvl w:val="0"/>
          <w:numId w:val="3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Een beetje groot</w:t>
      </w:r>
    </w:p>
    <w:p w:rsidR="00E21B7F" w:rsidRPr="00E21B7F" w:rsidRDefault="00E21B7F" w:rsidP="00E21B7F">
      <w:pPr>
        <w:pStyle w:val="ListParagraph"/>
        <w:numPr>
          <w:ilvl w:val="0"/>
          <w:numId w:val="3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Groot</w:t>
      </w:r>
    </w:p>
    <w:p w:rsidR="00E21B7F" w:rsidRPr="00E21B7F" w:rsidRDefault="00E21B7F" w:rsidP="00E21B7F">
      <w:pPr>
        <w:pStyle w:val="ListParagraph"/>
        <w:numPr>
          <w:ilvl w:val="0"/>
          <w:numId w:val="3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groot</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color w:val="000000"/>
          <w:sz w:val="20"/>
          <w:szCs w:val="20"/>
        </w:rPr>
      </w:pPr>
      <w:r w:rsidRPr="00E21B7F">
        <w:rPr>
          <w:rFonts w:cstheme="minorHAnsi"/>
          <w:b/>
          <w:color w:val="000000"/>
          <w:sz w:val="20"/>
          <w:szCs w:val="20"/>
        </w:rPr>
        <w:t>36.</w:t>
      </w:r>
    </w:p>
    <w:p w:rsidR="00E21B7F" w:rsidRPr="00E21B7F" w:rsidRDefault="00E21B7F" w:rsidP="00E21B7F">
      <w:pPr>
        <w:autoSpaceDE w:val="0"/>
        <w:autoSpaceDN w:val="0"/>
        <w:adjustRightInd w:val="0"/>
        <w:spacing w:after="0" w:line="240" w:lineRule="auto"/>
        <w:rPr>
          <w:rFonts w:cstheme="minorHAnsi"/>
          <w:b/>
          <w:bCs/>
          <w:sz w:val="20"/>
          <w:szCs w:val="20"/>
        </w:rPr>
      </w:pPr>
      <w:r w:rsidRPr="00E21B7F">
        <w:rPr>
          <w:rFonts w:cstheme="minorHAnsi"/>
          <w:b/>
          <w:bCs/>
          <w:sz w:val="20"/>
          <w:szCs w:val="20"/>
        </w:rPr>
        <w:t>Vraag 22</w:t>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Zou u uw beleggingsportefeuille aanpassen nu de economie zich in een recessie bevindt?</w:t>
      </w:r>
    </w:p>
    <w:p w:rsidR="00E21B7F" w:rsidRPr="00E21B7F" w:rsidRDefault="00E21B7F" w:rsidP="00E21B7F">
      <w:pPr>
        <w:autoSpaceDE w:val="0"/>
        <w:autoSpaceDN w:val="0"/>
        <w:adjustRightInd w:val="0"/>
        <w:spacing w:after="0" w:line="240" w:lineRule="auto"/>
        <w:rPr>
          <w:rFonts w:cstheme="minorHAnsi"/>
          <w:sz w:val="20"/>
          <w:szCs w:val="20"/>
          <w:lang w:val="nl-NL"/>
        </w:rPr>
      </w:pPr>
    </w:p>
    <w:p w:rsidR="00E21B7F" w:rsidRPr="00E21B7F" w:rsidRDefault="00E21B7F" w:rsidP="00E21B7F">
      <w:pPr>
        <w:pStyle w:val="ListParagraph"/>
        <w:numPr>
          <w:ilvl w:val="0"/>
          <w:numId w:val="35"/>
        </w:num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Ja, ik zou extra aankopen nu de prijs van aandelen zo laag is.</w:t>
      </w:r>
    </w:p>
    <w:p w:rsidR="00E21B7F" w:rsidRPr="00E21B7F" w:rsidRDefault="00E21B7F" w:rsidP="00E21B7F">
      <w:pPr>
        <w:pStyle w:val="ListParagraph"/>
        <w:numPr>
          <w:ilvl w:val="0"/>
          <w:numId w:val="35"/>
        </w:num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Ja, in deze onzekere tijd zou ik minder beleggen en meer veilige producten kiezen.</w:t>
      </w:r>
    </w:p>
    <w:p w:rsidR="00E21B7F" w:rsidRPr="00E21B7F" w:rsidRDefault="00E21B7F" w:rsidP="00E21B7F">
      <w:pPr>
        <w:pStyle w:val="ListParagraph"/>
        <w:numPr>
          <w:ilvl w:val="0"/>
          <w:numId w:val="35"/>
        </w:num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Nee, ik verwacht dat de portefeuille voor elke situatie goed ingericht is.</w:t>
      </w:r>
    </w:p>
    <w:p w:rsidR="00E21B7F" w:rsidRPr="00E21B7F" w:rsidRDefault="00E21B7F" w:rsidP="00E21B7F">
      <w:pPr>
        <w:pStyle w:val="ListParagraph"/>
        <w:numPr>
          <w:ilvl w:val="0"/>
          <w:numId w:val="35"/>
        </w:numPr>
        <w:autoSpaceDE w:val="0"/>
        <w:autoSpaceDN w:val="0"/>
        <w:adjustRightInd w:val="0"/>
        <w:spacing w:after="0" w:line="240" w:lineRule="auto"/>
        <w:rPr>
          <w:rFonts w:cstheme="minorHAnsi"/>
          <w:sz w:val="20"/>
          <w:szCs w:val="20"/>
        </w:rPr>
      </w:pPr>
      <w:r w:rsidRPr="00E21B7F">
        <w:rPr>
          <w:rFonts w:cstheme="minorHAnsi"/>
          <w:sz w:val="20"/>
          <w:szCs w:val="20"/>
        </w:rPr>
        <w:t>Ik beleg niet.</w:t>
      </w: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37.</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23</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Stel: U verwacht 70% van uw laatst verdiende loon als pensioen (incl AOW). Door tegenvallende beleggingsresultaten wordt uw pensioen mogelijk gekort. Welke optie vindt u het meest aantrekkelijk?</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36"/>
        </w:num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U houdt 65% van laatst verdiende loon</w:t>
      </w:r>
    </w:p>
    <w:p w:rsidR="00E21B7F" w:rsidRPr="00E21B7F" w:rsidRDefault="00E21B7F" w:rsidP="00E21B7F">
      <w:pPr>
        <w:pStyle w:val="ListParagraph"/>
        <w:numPr>
          <w:ilvl w:val="0"/>
          <w:numId w:val="36"/>
        </w:num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U heeft 1/2 kans op 70% laatst verdiende loon; 1/2 kans op 60% laatst verdiende loon</w:t>
      </w:r>
    </w:p>
    <w:p w:rsidR="00E21B7F" w:rsidRPr="00E21B7F" w:rsidRDefault="00E21B7F" w:rsidP="00E21B7F">
      <w:pPr>
        <w:autoSpaceDE w:val="0"/>
        <w:autoSpaceDN w:val="0"/>
        <w:adjustRightInd w:val="0"/>
        <w:spacing w:after="0" w:line="240" w:lineRule="auto"/>
        <w:rPr>
          <w:rFonts w:cstheme="minorHAnsi"/>
          <w:sz w:val="20"/>
          <w:szCs w:val="20"/>
          <w:lang w:val="nl-NL"/>
        </w:rPr>
      </w:pPr>
    </w:p>
    <w:p w:rsidR="00E21B7F" w:rsidRPr="00E21B7F" w:rsidRDefault="00E21B7F" w:rsidP="00E21B7F">
      <w:pPr>
        <w:autoSpaceDE w:val="0"/>
        <w:autoSpaceDN w:val="0"/>
        <w:adjustRightInd w:val="0"/>
        <w:spacing w:after="0" w:line="240" w:lineRule="auto"/>
        <w:rPr>
          <w:rFonts w:cstheme="minorHAnsi"/>
          <w:b/>
          <w:bCs/>
          <w:sz w:val="20"/>
          <w:szCs w:val="20"/>
          <w:lang w:val="nl-NL"/>
        </w:rPr>
      </w:pPr>
      <w:r w:rsidRPr="00E21B7F">
        <w:rPr>
          <w:rFonts w:cstheme="minorHAnsi"/>
          <w:b/>
          <w:bCs/>
          <w:sz w:val="20"/>
          <w:szCs w:val="20"/>
          <w:lang w:val="nl-NL"/>
        </w:rPr>
        <w:t>38.</w:t>
      </w:r>
    </w:p>
    <w:p w:rsidR="00E21B7F" w:rsidRPr="00E21B7F" w:rsidRDefault="00E21B7F" w:rsidP="00E21B7F">
      <w:pPr>
        <w:autoSpaceDE w:val="0"/>
        <w:autoSpaceDN w:val="0"/>
        <w:adjustRightInd w:val="0"/>
        <w:spacing w:after="0" w:line="240" w:lineRule="auto"/>
        <w:rPr>
          <w:rFonts w:cstheme="minorHAnsi"/>
          <w:b/>
          <w:bCs/>
          <w:sz w:val="20"/>
          <w:szCs w:val="20"/>
          <w:lang w:val="nl-NL"/>
        </w:rPr>
      </w:pPr>
      <w:r w:rsidRPr="00E21B7F">
        <w:rPr>
          <w:rFonts w:cstheme="minorHAnsi"/>
          <w:b/>
          <w:bCs/>
          <w:sz w:val="20"/>
          <w:szCs w:val="20"/>
          <w:lang w:val="nl-NL"/>
        </w:rPr>
        <w:t>Vraag 24</w:t>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De dekkingsgraad geeft aan of uw pensioenfonds er financieel goed voor staat. Een lage dekkingsgraad betekent dat het pensioenfonds er niet goed voorstaat.</w:t>
      </w:r>
    </w:p>
    <w:p w:rsidR="00E21B7F" w:rsidRPr="00E21B7F" w:rsidRDefault="00E21B7F" w:rsidP="00E21B7F">
      <w:pPr>
        <w:autoSpaceDE w:val="0"/>
        <w:autoSpaceDN w:val="0"/>
        <w:adjustRightInd w:val="0"/>
        <w:spacing w:after="0" w:line="240" w:lineRule="auto"/>
        <w:rPr>
          <w:rFonts w:cstheme="minorHAnsi"/>
          <w:sz w:val="20"/>
          <w:szCs w:val="20"/>
          <w:lang w:val="nl-NL"/>
        </w:rPr>
      </w:pP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Bent u het eens met de volgende stelling:</w:t>
      </w:r>
    </w:p>
    <w:p w:rsidR="00E21B7F" w:rsidRPr="00E21B7F" w:rsidRDefault="00E21B7F" w:rsidP="00E21B7F">
      <w:pPr>
        <w:autoSpaceDE w:val="0"/>
        <w:autoSpaceDN w:val="0"/>
        <w:adjustRightInd w:val="0"/>
        <w:spacing w:after="0" w:line="240" w:lineRule="auto"/>
        <w:rPr>
          <w:rFonts w:cstheme="minorHAnsi"/>
          <w:sz w:val="20"/>
          <w:szCs w:val="20"/>
          <w:lang w:val="nl-NL"/>
        </w:rPr>
      </w:pPr>
      <w:r w:rsidRPr="00E21B7F">
        <w:rPr>
          <w:rFonts w:cstheme="minorHAnsi"/>
          <w:sz w:val="20"/>
          <w:szCs w:val="20"/>
          <w:lang w:val="nl-NL"/>
        </w:rPr>
        <w:t>Als de dekkingsgraad van mijn pensioenfonds laag is wil ik dat mijn pensioenfonds meer risico neemt.</w:t>
      </w:r>
    </w:p>
    <w:p w:rsidR="00E21B7F" w:rsidRPr="00E21B7F" w:rsidRDefault="00E21B7F" w:rsidP="00E21B7F">
      <w:pPr>
        <w:autoSpaceDE w:val="0"/>
        <w:autoSpaceDN w:val="0"/>
        <w:adjustRightInd w:val="0"/>
        <w:spacing w:after="0" w:line="240" w:lineRule="auto"/>
        <w:rPr>
          <w:rFonts w:cstheme="minorHAnsi"/>
          <w:sz w:val="20"/>
          <w:szCs w:val="20"/>
          <w:lang w:val="nl-NL"/>
        </w:rPr>
      </w:pPr>
    </w:p>
    <w:p w:rsidR="00E21B7F" w:rsidRPr="00E21B7F" w:rsidRDefault="00E21B7F" w:rsidP="00E21B7F">
      <w:pPr>
        <w:pStyle w:val="ListParagraph"/>
        <w:numPr>
          <w:ilvl w:val="0"/>
          <w:numId w:val="37"/>
        </w:numPr>
        <w:autoSpaceDE w:val="0"/>
        <w:autoSpaceDN w:val="0"/>
        <w:adjustRightInd w:val="0"/>
        <w:spacing w:after="0" w:line="240" w:lineRule="auto"/>
        <w:rPr>
          <w:rFonts w:cstheme="minorHAnsi"/>
          <w:sz w:val="20"/>
          <w:szCs w:val="20"/>
        </w:rPr>
      </w:pPr>
      <w:r w:rsidRPr="00E21B7F">
        <w:rPr>
          <w:rFonts w:cstheme="minorHAnsi"/>
          <w:sz w:val="20"/>
          <w:szCs w:val="20"/>
        </w:rPr>
        <w:t>Eens</w:t>
      </w:r>
    </w:p>
    <w:p w:rsidR="00E21B7F" w:rsidRPr="00E21B7F" w:rsidRDefault="00E21B7F" w:rsidP="00E21B7F">
      <w:pPr>
        <w:pStyle w:val="ListParagraph"/>
        <w:numPr>
          <w:ilvl w:val="0"/>
          <w:numId w:val="37"/>
        </w:numPr>
        <w:autoSpaceDE w:val="0"/>
        <w:autoSpaceDN w:val="0"/>
        <w:adjustRightInd w:val="0"/>
        <w:spacing w:after="0" w:line="240" w:lineRule="auto"/>
        <w:rPr>
          <w:rFonts w:cstheme="minorHAnsi"/>
          <w:sz w:val="20"/>
          <w:szCs w:val="20"/>
        </w:rPr>
      </w:pPr>
      <w:r w:rsidRPr="00E21B7F">
        <w:rPr>
          <w:rFonts w:cstheme="minorHAnsi"/>
          <w:sz w:val="20"/>
          <w:szCs w:val="20"/>
        </w:rPr>
        <w:t>Oneens</w:t>
      </w:r>
    </w:p>
    <w:p w:rsidR="00E21B7F" w:rsidRPr="00E21B7F" w:rsidRDefault="00E21B7F" w:rsidP="00E21B7F">
      <w:pPr>
        <w:pStyle w:val="ListParagraph"/>
        <w:numPr>
          <w:ilvl w:val="0"/>
          <w:numId w:val="37"/>
        </w:numPr>
        <w:autoSpaceDE w:val="0"/>
        <w:autoSpaceDN w:val="0"/>
        <w:adjustRightInd w:val="0"/>
        <w:spacing w:after="0" w:line="240" w:lineRule="auto"/>
        <w:rPr>
          <w:rFonts w:cstheme="minorHAnsi"/>
          <w:sz w:val="20"/>
          <w:szCs w:val="20"/>
        </w:rPr>
      </w:pPr>
      <w:r w:rsidRPr="00E21B7F">
        <w:rPr>
          <w:rFonts w:cstheme="minorHAnsi"/>
          <w:sz w:val="20"/>
          <w:szCs w:val="20"/>
        </w:rPr>
        <w:t>Geen mening</w:t>
      </w: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39.</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25</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De beleggingen die u op dit moment heeft kunnen in waarde dalen, wat zou uw reactie zijn op een waardedaling?</w:t>
      </w:r>
      <w:r w:rsidRPr="00E21B7F">
        <w:rPr>
          <w:rFonts w:cstheme="minorHAnsi"/>
          <w:color w:val="FF0000"/>
          <w:sz w:val="20"/>
          <w:szCs w:val="20"/>
          <w:lang w:val="nl-NL"/>
        </w:rPr>
        <w:t>*</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38"/>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U verkoopt de beleggingen onmiddellijk en maakt een verlies van €100</w:t>
      </w:r>
    </w:p>
    <w:p w:rsidR="00E21B7F" w:rsidRPr="00E21B7F" w:rsidRDefault="00E21B7F" w:rsidP="00E21B7F">
      <w:pPr>
        <w:pStyle w:val="ListParagraph"/>
        <w:numPr>
          <w:ilvl w:val="0"/>
          <w:numId w:val="38"/>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U houdt de beleggingen en hebt 50% kans op geen verlies en 50% kans op een verlies van €200</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40.</w:t>
      </w: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Vraag 26</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Prefereert u een pensioenregeling waarbij u verantwoordelijk bent voor uw eigen gespaarde pensioen (autonomie in de pensioensregeling)?</w:t>
      </w:r>
      <w:r w:rsidRPr="00E21B7F">
        <w:rPr>
          <w:rFonts w:cstheme="minorHAnsi"/>
          <w:color w:val="FF0000"/>
          <w:sz w:val="20"/>
          <w:szCs w:val="20"/>
          <w:lang w:val="nl-NL"/>
        </w:rPr>
        <w:t>*</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3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Ja</w:t>
      </w:r>
    </w:p>
    <w:p w:rsidR="00E21B7F" w:rsidRPr="00E21B7F" w:rsidRDefault="00E21B7F" w:rsidP="00E21B7F">
      <w:pPr>
        <w:pStyle w:val="ListParagraph"/>
        <w:numPr>
          <w:ilvl w:val="0"/>
          <w:numId w:val="3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Nee</w:t>
      </w:r>
    </w:p>
    <w:p w:rsidR="00E21B7F" w:rsidRPr="00E21B7F" w:rsidRDefault="00E21B7F" w:rsidP="00E21B7F">
      <w:pPr>
        <w:pStyle w:val="ListParagraph"/>
        <w:numPr>
          <w:ilvl w:val="0"/>
          <w:numId w:val="39"/>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Weet ik niet</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41.</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27</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Bij een 50-50 kans dat je je pensioen verdubbelt of een gedeelte van je pension verliest, welk percentage van je toekomstige pensioen zou je willen riskeren?</w:t>
      </w:r>
      <w:r w:rsidRPr="00E21B7F">
        <w:rPr>
          <w:rFonts w:cstheme="minorHAnsi"/>
          <w:color w:val="FF0000"/>
          <w:sz w:val="20"/>
          <w:szCs w:val="20"/>
          <w:lang w:val="nl-NL"/>
        </w:rPr>
        <w:t>*</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4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0%</w:t>
      </w:r>
    </w:p>
    <w:p w:rsidR="00E21B7F" w:rsidRPr="00E21B7F" w:rsidRDefault="00E21B7F" w:rsidP="00E21B7F">
      <w:pPr>
        <w:pStyle w:val="ListParagraph"/>
        <w:numPr>
          <w:ilvl w:val="0"/>
          <w:numId w:val="4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5%</w:t>
      </w:r>
    </w:p>
    <w:p w:rsidR="00E21B7F" w:rsidRPr="00E21B7F" w:rsidRDefault="00E21B7F" w:rsidP="00E21B7F">
      <w:pPr>
        <w:pStyle w:val="ListParagraph"/>
        <w:numPr>
          <w:ilvl w:val="0"/>
          <w:numId w:val="4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8%</w:t>
      </w:r>
    </w:p>
    <w:p w:rsidR="00E21B7F" w:rsidRPr="00E21B7F" w:rsidRDefault="00E21B7F" w:rsidP="00E21B7F">
      <w:pPr>
        <w:pStyle w:val="ListParagraph"/>
        <w:numPr>
          <w:ilvl w:val="0"/>
          <w:numId w:val="4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10%</w:t>
      </w:r>
    </w:p>
    <w:p w:rsidR="00E21B7F" w:rsidRPr="00E21B7F" w:rsidRDefault="00E21B7F" w:rsidP="00E21B7F">
      <w:pPr>
        <w:pStyle w:val="ListParagraph"/>
        <w:numPr>
          <w:ilvl w:val="0"/>
          <w:numId w:val="4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20%</w:t>
      </w:r>
    </w:p>
    <w:p w:rsidR="00E21B7F" w:rsidRPr="00E21B7F" w:rsidRDefault="00E21B7F" w:rsidP="00E21B7F">
      <w:pPr>
        <w:pStyle w:val="ListParagraph"/>
        <w:numPr>
          <w:ilvl w:val="0"/>
          <w:numId w:val="4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33%</w:t>
      </w:r>
    </w:p>
    <w:p w:rsidR="00E21B7F" w:rsidRPr="00E21B7F" w:rsidRDefault="00E21B7F" w:rsidP="00E21B7F">
      <w:pPr>
        <w:pStyle w:val="ListParagraph"/>
        <w:numPr>
          <w:ilvl w:val="0"/>
          <w:numId w:val="40"/>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50%</w:t>
      </w:r>
    </w:p>
    <w:p w:rsidR="00E21B7F" w:rsidRPr="00E21B7F" w:rsidRDefault="00E21B7F" w:rsidP="00E21B7F">
      <w:pPr>
        <w:autoSpaceDE w:val="0"/>
        <w:autoSpaceDN w:val="0"/>
        <w:adjustRightInd w:val="0"/>
        <w:spacing w:after="0" w:line="240" w:lineRule="auto"/>
        <w:rPr>
          <w:rFonts w:cstheme="minorHAnsi"/>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42.</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28</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Hoe zou u de afhankelijkheid van uw eigen pensioen omschrijven?</w:t>
      </w:r>
      <w:r w:rsidRPr="00E21B7F">
        <w:rPr>
          <w:rFonts w:cstheme="minorHAnsi"/>
          <w:color w:val="FF0000"/>
          <w:sz w:val="20"/>
          <w:szCs w:val="20"/>
          <w:lang w:val="nl-NL"/>
        </w:rPr>
        <w:t>*</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4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Zeer laag (onafhankelijk)</w:t>
      </w:r>
    </w:p>
    <w:p w:rsidR="00E21B7F" w:rsidRPr="00E21B7F" w:rsidRDefault="00E21B7F" w:rsidP="00E21B7F">
      <w:pPr>
        <w:pStyle w:val="ListParagraph"/>
        <w:numPr>
          <w:ilvl w:val="0"/>
          <w:numId w:val="4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Laag</w:t>
      </w:r>
    </w:p>
    <w:p w:rsidR="00E21B7F" w:rsidRPr="00E21B7F" w:rsidRDefault="00E21B7F" w:rsidP="00E21B7F">
      <w:pPr>
        <w:pStyle w:val="ListParagraph"/>
        <w:numPr>
          <w:ilvl w:val="0"/>
          <w:numId w:val="41"/>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Redelijk laag</w:t>
      </w:r>
    </w:p>
    <w:p w:rsidR="00E21B7F" w:rsidRPr="00E21B7F" w:rsidRDefault="00E21B7F" w:rsidP="00E21B7F">
      <w:pPr>
        <w:pStyle w:val="ListParagraph"/>
        <w:numPr>
          <w:ilvl w:val="0"/>
          <w:numId w:val="41"/>
        </w:numPr>
        <w:autoSpaceDE w:val="0"/>
        <w:autoSpaceDN w:val="0"/>
        <w:adjustRightInd w:val="0"/>
        <w:spacing w:after="0" w:line="240" w:lineRule="auto"/>
        <w:rPr>
          <w:rFonts w:cstheme="minorHAnsi"/>
          <w:sz w:val="20"/>
          <w:szCs w:val="20"/>
        </w:rPr>
      </w:pPr>
      <w:r w:rsidRPr="00E21B7F">
        <w:rPr>
          <w:rFonts w:cstheme="minorHAnsi"/>
          <w:sz w:val="20"/>
          <w:szCs w:val="20"/>
        </w:rPr>
        <w:t>Gemiddeld</w:t>
      </w:r>
    </w:p>
    <w:p w:rsidR="00E21B7F" w:rsidRPr="00E21B7F" w:rsidRDefault="00E21B7F" w:rsidP="00E21B7F">
      <w:pPr>
        <w:pStyle w:val="ListParagraph"/>
        <w:numPr>
          <w:ilvl w:val="0"/>
          <w:numId w:val="41"/>
        </w:numPr>
        <w:autoSpaceDE w:val="0"/>
        <w:autoSpaceDN w:val="0"/>
        <w:adjustRightInd w:val="0"/>
        <w:spacing w:after="0" w:line="240" w:lineRule="auto"/>
        <w:rPr>
          <w:rFonts w:cstheme="minorHAnsi"/>
          <w:sz w:val="20"/>
          <w:szCs w:val="20"/>
        </w:rPr>
      </w:pPr>
      <w:r w:rsidRPr="00E21B7F">
        <w:rPr>
          <w:rFonts w:cstheme="minorHAnsi"/>
          <w:sz w:val="20"/>
          <w:szCs w:val="20"/>
        </w:rPr>
        <w:t>Redelijk hoog</w:t>
      </w:r>
    </w:p>
    <w:p w:rsidR="00E21B7F" w:rsidRPr="00E21B7F" w:rsidRDefault="00E21B7F" w:rsidP="00E21B7F">
      <w:pPr>
        <w:pStyle w:val="ListParagraph"/>
        <w:numPr>
          <w:ilvl w:val="0"/>
          <w:numId w:val="41"/>
        </w:numPr>
        <w:autoSpaceDE w:val="0"/>
        <w:autoSpaceDN w:val="0"/>
        <w:adjustRightInd w:val="0"/>
        <w:spacing w:after="0" w:line="240" w:lineRule="auto"/>
        <w:rPr>
          <w:rFonts w:cstheme="minorHAnsi"/>
          <w:sz w:val="20"/>
          <w:szCs w:val="20"/>
        </w:rPr>
      </w:pPr>
      <w:r w:rsidRPr="00E21B7F">
        <w:rPr>
          <w:rFonts w:cstheme="minorHAnsi"/>
          <w:sz w:val="20"/>
          <w:szCs w:val="20"/>
        </w:rPr>
        <w:t>Hoog</w:t>
      </w:r>
    </w:p>
    <w:p w:rsidR="00E21B7F" w:rsidRPr="00E21B7F" w:rsidRDefault="00E21B7F" w:rsidP="00E21B7F">
      <w:pPr>
        <w:pStyle w:val="ListParagraph"/>
        <w:numPr>
          <w:ilvl w:val="0"/>
          <w:numId w:val="41"/>
        </w:numPr>
        <w:autoSpaceDE w:val="0"/>
        <w:autoSpaceDN w:val="0"/>
        <w:adjustRightInd w:val="0"/>
        <w:spacing w:after="0" w:line="240" w:lineRule="auto"/>
        <w:rPr>
          <w:rFonts w:cstheme="minorHAnsi"/>
          <w:sz w:val="20"/>
          <w:szCs w:val="20"/>
        </w:rPr>
      </w:pPr>
      <w:r w:rsidRPr="00E21B7F">
        <w:rPr>
          <w:rFonts w:cstheme="minorHAnsi"/>
          <w:sz w:val="20"/>
          <w:szCs w:val="20"/>
        </w:rPr>
        <w:t>Zeer hoog (afhankelijk)</w:t>
      </w:r>
    </w:p>
    <w:p w:rsidR="00E21B7F" w:rsidRPr="00E21B7F" w:rsidRDefault="00E21B7F" w:rsidP="00E21B7F">
      <w:pPr>
        <w:autoSpaceDE w:val="0"/>
        <w:autoSpaceDN w:val="0"/>
        <w:adjustRightInd w:val="0"/>
        <w:spacing w:after="0" w:line="240" w:lineRule="auto"/>
        <w:rPr>
          <w:rFonts w:cstheme="minorHAnsi"/>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43.</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29</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bCs/>
          <w:color w:val="000000"/>
          <w:sz w:val="20"/>
          <w:szCs w:val="20"/>
          <w:lang w:val="nl-NL"/>
        </w:rPr>
        <w:t>Wat is uw leef tijd?</w:t>
      </w:r>
      <w:r w:rsidRPr="00E21B7F">
        <w:rPr>
          <w:rFonts w:cstheme="minorHAnsi"/>
          <w:color w:val="FF0000"/>
          <w:sz w:val="20"/>
          <w:szCs w:val="20"/>
          <w:lang w:val="nl-NL"/>
        </w:rPr>
        <w:t>*</w:t>
      </w: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noProof/>
          <w:color w:val="FF0000"/>
          <w:sz w:val="20"/>
          <w:szCs w:val="20"/>
          <w:lang w:val="nl-NL" w:eastAsia="nl-NL"/>
        </w:rPr>
        <w:drawing>
          <wp:inline distT="0" distB="0" distL="0" distR="0">
            <wp:extent cx="520700" cy="255270"/>
            <wp:effectExtent l="19050" t="0" r="0" b="0"/>
            <wp:docPr id="38"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srcRect/>
                    <a:stretch>
                      <a:fillRect/>
                    </a:stretch>
                  </pic:blipFill>
                  <pic:spPr bwMode="auto">
                    <a:xfrm>
                      <a:off x="0" y="0"/>
                      <a:ext cx="520700" cy="255270"/>
                    </a:xfrm>
                    <a:prstGeom prst="rect">
                      <a:avLst/>
                    </a:prstGeom>
                    <a:noFill/>
                    <a:ln w="9525">
                      <a:noFill/>
                      <a:miter lim="800000"/>
                      <a:headEnd/>
                      <a:tailEnd/>
                    </a:ln>
                  </pic:spPr>
                </pic:pic>
              </a:graphicData>
            </a:graphic>
          </wp:inline>
        </w:drawing>
      </w:r>
    </w:p>
    <w:p w:rsidR="00E21B7F" w:rsidRPr="00E21B7F" w:rsidRDefault="00E21B7F" w:rsidP="00E21B7F">
      <w:pPr>
        <w:autoSpaceDE w:val="0"/>
        <w:autoSpaceDN w:val="0"/>
        <w:adjustRightInd w:val="0"/>
        <w:spacing w:after="0" w:line="240" w:lineRule="auto"/>
        <w:rPr>
          <w:rFonts w:cstheme="minorHAnsi"/>
          <w:color w:val="FF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44.</w:t>
      </w:r>
    </w:p>
    <w:p w:rsidR="00E21B7F" w:rsidRPr="00E21B7F" w:rsidRDefault="00E21B7F" w:rsidP="00E21B7F">
      <w:pPr>
        <w:autoSpaceDE w:val="0"/>
        <w:autoSpaceDN w:val="0"/>
        <w:adjustRightInd w:val="0"/>
        <w:spacing w:after="0" w:line="240" w:lineRule="auto"/>
        <w:rPr>
          <w:rFonts w:cstheme="minorHAnsi"/>
          <w:b/>
          <w:bCs/>
          <w:color w:val="000000"/>
          <w:sz w:val="20"/>
          <w:szCs w:val="20"/>
          <w:lang w:val="nl-NL"/>
        </w:rPr>
      </w:pPr>
      <w:r w:rsidRPr="00E21B7F">
        <w:rPr>
          <w:rFonts w:cstheme="minorHAnsi"/>
          <w:b/>
          <w:bCs/>
          <w:color w:val="000000"/>
          <w:sz w:val="20"/>
          <w:szCs w:val="20"/>
          <w:lang w:val="nl-NL"/>
        </w:rPr>
        <w:t>Vraag 30</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Wat is uw netto maandinkomen?</w:t>
      </w:r>
      <w:r w:rsidRPr="00E21B7F">
        <w:rPr>
          <w:rFonts w:cstheme="minorHAnsi"/>
          <w:color w:val="FF0000"/>
          <w:sz w:val="20"/>
          <w:szCs w:val="20"/>
          <w:lang w:val="nl-NL"/>
        </w:rPr>
        <w:t>*</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4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Minder dan € 1.225</w:t>
      </w:r>
    </w:p>
    <w:p w:rsidR="00E21B7F" w:rsidRPr="00E21B7F" w:rsidRDefault="00E21B7F" w:rsidP="00E21B7F">
      <w:pPr>
        <w:pStyle w:val="ListParagraph"/>
        <w:numPr>
          <w:ilvl w:val="0"/>
          <w:numId w:val="4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Tussen de € 1.225 en € 1.500</w:t>
      </w:r>
    </w:p>
    <w:p w:rsidR="00E21B7F" w:rsidRPr="00E21B7F" w:rsidRDefault="00E21B7F" w:rsidP="00E21B7F">
      <w:pPr>
        <w:pStyle w:val="ListParagraph"/>
        <w:numPr>
          <w:ilvl w:val="0"/>
          <w:numId w:val="4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Tussen de € 1.500 en € 1.850</w:t>
      </w:r>
    </w:p>
    <w:p w:rsidR="00E21B7F" w:rsidRPr="00E21B7F" w:rsidRDefault="00E21B7F" w:rsidP="00E21B7F">
      <w:pPr>
        <w:pStyle w:val="ListParagraph"/>
        <w:numPr>
          <w:ilvl w:val="0"/>
          <w:numId w:val="4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Tussen de € 1.850 en € 2.150</w:t>
      </w:r>
    </w:p>
    <w:p w:rsidR="00E21B7F" w:rsidRPr="00E21B7F" w:rsidRDefault="00E21B7F" w:rsidP="00E21B7F">
      <w:pPr>
        <w:pStyle w:val="ListParagraph"/>
        <w:numPr>
          <w:ilvl w:val="0"/>
          <w:numId w:val="4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Tussen de € 2.150 en € 2.550</w:t>
      </w:r>
    </w:p>
    <w:p w:rsidR="00E21B7F" w:rsidRPr="00E21B7F" w:rsidRDefault="00E21B7F" w:rsidP="00E21B7F">
      <w:pPr>
        <w:pStyle w:val="ListParagraph"/>
        <w:numPr>
          <w:ilvl w:val="0"/>
          <w:numId w:val="4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Tussen de € 2.550 en € 3.000</w:t>
      </w:r>
    </w:p>
    <w:p w:rsidR="00E21B7F" w:rsidRPr="00E21B7F" w:rsidRDefault="00E21B7F" w:rsidP="00E21B7F">
      <w:pPr>
        <w:pStyle w:val="ListParagraph"/>
        <w:numPr>
          <w:ilvl w:val="0"/>
          <w:numId w:val="42"/>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Meer dan € 3.000</w:t>
      </w:r>
    </w:p>
    <w:p w:rsidR="00E21B7F" w:rsidRPr="00E21B7F" w:rsidRDefault="00E21B7F" w:rsidP="00E21B7F">
      <w:pPr>
        <w:autoSpaceDE w:val="0"/>
        <w:autoSpaceDN w:val="0"/>
        <w:adjustRightInd w:val="0"/>
        <w:spacing w:after="0" w:line="240" w:lineRule="auto"/>
        <w:rPr>
          <w:rFonts w:cstheme="minorHAnsi"/>
          <w:b/>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45.</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31</w:t>
      </w:r>
    </w:p>
    <w:p w:rsidR="00E21B7F" w:rsidRPr="00E21B7F" w:rsidRDefault="00E21B7F" w:rsidP="00E21B7F">
      <w:pPr>
        <w:autoSpaceDE w:val="0"/>
        <w:autoSpaceDN w:val="0"/>
        <w:adjustRightInd w:val="0"/>
        <w:spacing w:after="0" w:line="240" w:lineRule="auto"/>
        <w:rPr>
          <w:rFonts w:cstheme="minorHAnsi"/>
          <w:color w:val="FF0000"/>
          <w:sz w:val="20"/>
          <w:szCs w:val="20"/>
        </w:rPr>
      </w:pPr>
      <w:r w:rsidRPr="00E21B7F">
        <w:rPr>
          <w:rFonts w:cstheme="minorHAnsi"/>
          <w:color w:val="000000"/>
          <w:sz w:val="20"/>
          <w:szCs w:val="20"/>
        </w:rPr>
        <w:t>Wat is uw geslacht?</w:t>
      </w:r>
      <w:r w:rsidRPr="00E21B7F">
        <w:rPr>
          <w:rFonts w:cstheme="minorHAnsi"/>
          <w:color w:val="FF0000"/>
          <w:sz w:val="20"/>
          <w:szCs w:val="20"/>
        </w:rPr>
        <w:t>*</w:t>
      </w:r>
    </w:p>
    <w:p w:rsidR="00E21B7F" w:rsidRPr="00E21B7F" w:rsidRDefault="00E21B7F" w:rsidP="00E21B7F">
      <w:pPr>
        <w:autoSpaceDE w:val="0"/>
        <w:autoSpaceDN w:val="0"/>
        <w:adjustRightInd w:val="0"/>
        <w:spacing w:after="0" w:line="240" w:lineRule="auto"/>
        <w:rPr>
          <w:rFonts w:cstheme="minorHAnsi"/>
          <w:color w:val="FF0000"/>
          <w:sz w:val="20"/>
          <w:szCs w:val="20"/>
        </w:rPr>
      </w:pPr>
    </w:p>
    <w:p w:rsidR="00E21B7F" w:rsidRPr="00E21B7F" w:rsidRDefault="00E21B7F" w:rsidP="00E21B7F">
      <w:pPr>
        <w:pStyle w:val="ListParagraph"/>
        <w:numPr>
          <w:ilvl w:val="0"/>
          <w:numId w:val="4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Man</w:t>
      </w:r>
    </w:p>
    <w:p w:rsidR="00E21B7F" w:rsidRPr="00E21B7F" w:rsidRDefault="00E21B7F" w:rsidP="00E21B7F">
      <w:pPr>
        <w:pStyle w:val="ListParagraph"/>
        <w:numPr>
          <w:ilvl w:val="0"/>
          <w:numId w:val="43"/>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Vrouw</w:t>
      </w:r>
    </w:p>
    <w:p w:rsidR="00E21B7F" w:rsidRPr="00E21B7F" w:rsidRDefault="00E21B7F" w:rsidP="00E21B7F">
      <w:pPr>
        <w:autoSpaceDE w:val="0"/>
        <w:autoSpaceDN w:val="0"/>
        <w:adjustRightInd w:val="0"/>
        <w:spacing w:after="0" w:line="240" w:lineRule="auto"/>
        <w:rPr>
          <w:rFonts w:cstheme="minorHAnsi"/>
          <w:b/>
          <w:bCs/>
          <w:color w:val="000000"/>
          <w:sz w:val="20"/>
          <w:szCs w:val="20"/>
        </w:rPr>
      </w:pP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46.</w:t>
      </w:r>
    </w:p>
    <w:p w:rsidR="00E21B7F" w:rsidRPr="00E21B7F" w:rsidRDefault="00E21B7F" w:rsidP="00E21B7F">
      <w:pPr>
        <w:autoSpaceDE w:val="0"/>
        <w:autoSpaceDN w:val="0"/>
        <w:adjustRightInd w:val="0"/>
        <w:spacing w:after="0" w:line="240" w:lineRule="auto"/>
        <w:rPr>
          <w:rFonts w:cstheme="minorHAnsi"/>
          <w:b/>
          <w:bCs/>
          <w:color w:val="000000"/>
          <w:sz w:val="20"/>
          <w:szCs w:val="20"/>
        </w:rPr>
      </w:pPr>
      <w:r w:rsidRPr="00E21B7F">
        <w:rPr>
          <w:rFonts w:cstheme="minorHAnsi"/>
          <w:b/>
          <w:bCs/>
          <w:color w:val="000000"/>
          <w:sz w:val="20"/>
          <w:szCs w:val="20"/>
        </w:rPr>
        <w:t>Vraag 32</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r w:rsidRPr="00E21B7F">
        <w:rPr>
          <w:rFonts w:cstheme="minorHAnsi"/>
          <w:color w:val="000000"/>
          <w:sz w:val="20"/>
          <w:szCs w:val="20"/>
          <w:lang w:val="nl-NL"/>
        </w:rPr>
        <w:t>Heeft u een partner en zo ja, heeft uw partner een eigen pensioen?</w:t>
      </w:r>
      <w:r w:rsidRPr="00E21B7F">
        <w:rPr>
          <w:rFonts w:cstheme="minorHAnsi"/>
          <w:color w:val="FF0000"/>
          <w:sz w:val="20"/>
          <w:szCs w:val="20"/>
          <w:lang w:val="nl-NL"/>
        </w:rPr>
        <w:t>*</w:t>
      </w:r>
    </w:p>
    <w:p w:rsidR="00E21B7F" w:rsidRPr="00E21B7F" w:rsidRDefault="00E21B7F" w:rsidP="00E21B7F">
      <w:pPr>
        <w:autoSpaceDE w:val="0"/>
        <w:autoSpaceDN w:val="0"/>
        <w:adjustRightInd w:val="0"/>
        <w:spacing w:after="0" w:line="240" w:lineRule="auto"/>
        <w:rPr>
          <w:rFonts w:cstheme="minorHAnsi"/>
          <w:color w:val="FF0000"/>
          <w:sz w:val="20"/>
          <w:szCs w:val="20"/>
          <w:lang w:val="nl-NL"/>
        </w:rPr>
      </w:pPr>
    </w:p>
    <w:p w:rsidR="00E21B7F" w:rsidRPr="00E21B7F" w:rsidRDefault="00E21B7F" w:rsidP="00E21B7F">
      <w:pPr>
        <w:pStyle w:val="ListParagraph"/>
        <w:numPr>
          <w:ilvl w:val="0"/>
          <w:numId w:val="44"/>
        </w:numPr>
        <w:autoSpaceDE w:val="0"/>
        <w:autoSpaceDN w:val="0"/>
        <w:adjustRightInd w:val="0"/>
        <w:spacing w:after="0" w:line="240" w:lineRule="auto"/>
        <w:rPr>
          <w:rFonts w:cstheme="minorHAnsi"/>
          <w:color w:val="000000"/>
          <w:sz w:val="20"/>
          <w:szCs w:val="20"/>
        </w:rPr>
      </w:pPr>
      <w:r w:rsidRPr="00E21B7F">
        <w:rPr>
          <w:rFonts w:cstheme="minorHAnsi"/>
          <w:color w:val="000000"/>
          <w:sz w:val="20"/>
          <w:szCs w:val="20"/>
        </w:rPr>
        <w:t>Nee, ik heb geen partner</w:t>
      </w:r>
    </w:p>
    <w:p w:rsidR="00E21B7F" w:rsidRPr="00E21B7F" w:rsidRDefault="00E21B7F" w:rsidP="00E21B7F">
      <w:pPr>
        <w:pStyle w:val="ListParagraph"/>
        <w:numPr>
          <w:ilvl w:val="0"/>
          <w:numId w:val="44"/>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Ja ik heb een partner, maar hij/zij heeft geen eigen pensioen</w:t>
      </w:r>
    </w:p>
    <w:p w:rsidR="00E21B7F" w:rsidRPr="00E21B7F" w:rsidRDefault="00E21B7F" w:rsidP="00E21B7F">
      <w:pPr>
        <w:pStyle w:val="ListParagraph"/>
        <w:numPr>
          <w:ilvl w:val="0"/>
          <w:numId w:val="44"/>
        </w:numPr>
        <w:autoSpaceDE w:val="0"/>
        <w:autoSpaceDN w:val="0"/>
        <w:adjustRightInd w:val="0"/>
        <w:spacing w:after="0" w:line="240" w:lineRule="auto"/>
        <w:rPr>
          <w:rFonts w:cstheme="minorHAnsi"/>
          <w:color w:val="000000"/>
          <w:sz w:val="20"/>
          <w:szCs w:val="20"/>
          <w:lang w:val="nl-NL"/>
        </w:rPr>
      </w:pPr>
      <w:r w:rsidRPr="00E21B7F">
        <w:rPr>
          <w:rFonts w:cstheme="minorHAnsi"/>
          <w:color w:val="000000"/>
          <w:sz w:val="20"/>
          <w:szCs w:val="20"/>
          <w:lang w:val="nl-NL"/>
        </w:rPr>
        <w:t>Ja ik heb een partner en hij/zij heeft een eigen pensioen</w:t>
      </w: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21B7F" w:rsidRPr="00E21B7F" w:rsidRDefault="00E21B7F" w:rsidP="00E21B7F">
      <w:pPr>
        <w:autoSpaceDE w:val="0"/>
        <w:autoSpaceDN w:val="0"/>
        <w:adjustRightInd w:val="0"/>
        <w:spacing w:after="0" w:line="240" w:lineRule="auto"/>
        <w:rPr>
          <w:rFonts w:cstheme="minorHAnsi"/>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E919A6" w:rsidRDefault="00E919A6" w:rsidP="00F533CD">
      <w:pPr>
        <w:pStyle w:val="NoSpacing"/>
        <w:rPr>
          <w:rFonts w:cstheme="minorHAnsi"/>
          <w:b/>
          <w:color w:val="000000"/>
          <w:sz w:val="20"/>
          <w:szCs w:val="20"/>
          <w:lang w:val="nl-NL"/>
        </w:rPr>
      </w:pPr>
    </w:p>
    <w:p w:rsidR="00F533CD" w:rsidRPr="00862816" w:rsidRDefault="00862816" w:rsidP="00F533CD">
      <w:pPr>
        <w:pStyle w:val="NoSpacing"/>
        <w:rPr>
          <w:b/>
        </w:rPr>
      </w:pPr>
      <w:r w:rsidRPr="00862816">
        <w:rPr>
          <w:b/>
        </w:rPr>
        <w:t xml:space="preserve">Appendix </w:t>
      </w:r>
      <w:r w:rsidR="00F533CD" w:rsidRPr="00862816">
        <w:rPr>
          <w:b/>
        </w:rPr>
        <w:t>Chapter 4:</w:t>
      </w:r>
    </w:p>
    <w:p w:rsidR="00F533CD" w:rsidRDefault="00F533CD" w:rsidP="00F533CD">
      <w:pPr>
        <w:pStyle w:val="NoSpacing"/>
      </w:pPr>
    </w:p>
    <w:p w:rsidR="00F533CD" w:rsidRPr="00970100" w:rsidRDefault="00F533CD" w:rsidP="00F533CD">
      <w:pPr>
        <w:pStyle w:val="NoSpacing"/>
        <w:rPr>
          <w:sz w:val="20"/>
          <w:szCs w:val="20"/>
        </w:rPr>
      </w:pPr>
      <w:r w:rsidRPr="00970100">
        <w:rPr>
          <w:sz w:val="20"/>
          <w:szCs w:val="20"/>
        </w:rPr>
        <w:t>Table 4.</w:t>
      </w:r>
      <w:r>
        <w:rPr>
          <w:sz w:val="20"/>
          <w:szCs w:val="20"/>
        </w:rPr>
        <w:t>1 Variable n</w:t>
      </w:r>
      <w:r w:rsidRPr="00970100">
        <w:rPr>
          <w:sz w:val="20"/>
          <w:szCs w:val="20"/>
        </w:rPr>
        <w:t>ormality scores</w:t>
      </w:r>
    </w:p>
    <w:tbl>
      <w:tblPr>
        <w:tblStyle w:val="TableGrid"/>
        <w:tblW w:w="0" w:type="auto"/>
        <w:tblBorders>
          <w:insideH w:val="single" w:sz="6" w:space="0" w:color="auto"/>
          <w:insideV w:val="single" w:sz="6" w:space="0" w:color="auto"/>
        </w:tblBorders>
        <w:tblLook w:val="04A0"/>
      </w:tblPr>
      <w:tblGrid>
        <w:gridCol w:w="3209"/>
        <w:gridCol w:w="1975"/>
        <w:gridCol w:w="1693"/>
        <w:gridCol w:w="2365"/>
      </w:tblGrid>
      <w:tr w:rsidR="00F533CD" w:rsidTr="00DE45C5">
        <w:trPr>
          <w:trHeight w:val="368"/>
        </w:trPr>
        <w:tc>
          <w:tcPr>
            <w:tcW w:w="3227" w:type="dxa"/>
          </w:tcPr>
          <w:p w:rsidR="00F533CD" w:rsidRPr="00970100" w:rsidRDefault="00F533CD" w:rsidP="00DE45C5">
            <w:pPr>
              <w:pStyle w:val="NoSpacing"/>
              <w:jc w:val="center"/>
            </w:pPr>
            <w:r>
              <w:t>Variable</w:t>
            </w:r>
          </w:p>
        </w:tc>
        <w:tc>
          <w:tcPr>
            <w:tcW w:w="1984" w:type="dxa"/>
          </w:tcPr>
          <w:p w:rsidR="00F533CD" w:rsidRPr="00970100" w:rsidRDefault="00F533CD" w:rsidP="00DE45C5">
            <w:pPr>
              <w:pStyle w:val="NoSpacing"/>
              <w:jc w:val="center"/>
            </w:pPr>
            <w:r>
              <w:t>Skewness Z-</w:t>
            </w:r>
            <w:r w:rsidRPr="00970100">
              <w:t>score</w:t>
            </w:r>
          </w:p>
        </w:tc>
        <w:tc>
          <w:tcPr>
            <w:tcW w:w="1701" w:type="dxa"/>
          </w:tcPr>
          <w:p w:rsidR="00F533CD" w:rsidRPr="00970100" w:rsidRDefault="00F533CD" w:rsidP="00DE45C5">
            <w:pPr>
              <w:pStyle w:val="NoSpacing"/>
              <w:jc w:val="center"/>
            </w:pPr>
            <w:r>
              <w:t>Kurtosis Z-score</w:t>
            </w:r>
          </w:p>
        </w:tc>
        <w:tc>
          <w:tcPr>
            <w:tcW w:w="2376" w:type="dxa"/>
          </w:tcPr>
          <w:p w:rsidR="00F533CD" w:rsidRPr="00970100" w:rsidRDefault="00F533CD" w:rsidP="00DE45C5">
            <w:pPr>
              <w:pStyle w:val="NoSpacing"/>
              <w:jc w:val="center"/>
            </w:pPr>
            <w:r>
              <w:t>Distribution type</w:t>
            </w:r>
          </w:p>
        </w:tc>
      </w:tr>
      <w:tr w:rsidR="00F533CD" w:rsidTr="00DE45C5">
        <w:tc>
          <w:tcPr>
            <w:tcW w:w="3227" w:type="dxa"/>
          </w:tcPr>
          <w:p w:rsidR="00F533CD" w:rsidRPr="00970100" w:rsidRDefault="00F533CD" w:rsidP="00DE45C5">
            <w:pPr>
              <w:pStyle w:val="NoSpacing"/>
              <w:jc w:val="center"/>
            </w:pPr>
            <w:r>
              <w:t>AGE</w:t>
            </w:r>
          </w:p>
        </w:tc>
        <w:tc>
          <w:tcPr>
            <w:tcW w:w="1984" w:type="dxa"/>
          </w:tcPr>
          <w:p w:rsidR="00F533CD" w:rsidRPr="00970100" w:rsidRDefault="00F533CD" w:rsidP="00DE45C5">
            <w:pPr>
              <w:pStyle w:val="NoSpacing"/>
              <w:jc w:val="center"/>
            </w:pPr>
            <w:r>
              <w:t>0.91</w:t>
            </w:r>
          </w:p>
        </w:tc>
        <w:tc>
          <w:tcPr>
            <w:tcW w:w="1701" w:type="dxa"/>
          </w:tcPr>
          <w:p w:rsidR="00F533CD" w:rsidRPr="00970100" w:rsidRDefault="00F533CD" w:rsidP="00DE45C5">
            <w:pPr>
              <w:pStyle w:val="NoSpacing"/>
              <w:jc w:val="center"/>
            </w:pPr>
            <w:r>
              <w:t>-2.99</w:t>
            </w:r>
          </w:p>
        </w:tc>
        <w:tc>
          <w:tcPr>
            <w:tcW w:w="2376" w:type="dxa"/>
          </w:tcPr>
          <w:p w:rsidR="00F533CD" w:rsidRPr="00970100" w:rsidRDefault="00F533CD" w:rsidP="00DE45C5">
            <w:pPr>
              <w:pStyle w:val="NoSpacing"/>
              <w:jc w:val="center"/>
            </w:pPr>
            <w:r w:rsidRPr="00970100">
              <w:t>Non-Normal</w:t>
            </w:r>
          </w:p>
        </w:tc>
      </w:tr>
      <w:tr w:rsidR="00F533CD" w:rsidTr="00DE45C5">
        <w:tc>
          <w:tcPr>
            <w:tcW w:w="3227" w:type="dxa"/>
          </w:tcPr>
          <w:p w:rsidR="00F533CD" w:rsidRPr="00970100" w:rsidRDefault="00F533CD" w:rsidP="00DE45C5">
            <w:pPr>
              <w:pStyle w:val="NoSpacing"/>
              <w:jc w:val="center"/>
            </w:pPr>
            <w:r>
              <w:t>INCOME</w:t>
            </w:r>
          </w:p>
        </w:tc>
        <w:tc>
          <w:tcPr>
            <w:tcW w:w="1984" w:type="dxa"/>
          </w:tcPr>
          <w:p w:rsidR="00F533CD" w:rsidRPr="00970100" w:rsidRDefault="00F533CD" w:rsidP="00DE45C5">
            <w:pPr>
              <w:pStyle w:val="NoSpacing"/>
              <w:jc w:val="center"/>
            </w:pPr>
            <w:r>
              <w:t>2.21</w:t>
            </w:r>
          </w:p>
        </w:tc>
        <w:tc>
          <w:tcPr>
            <w:tcW w:w="1701" w:type="dxa"/>
          </w:tcPr>
          <w:p w:rsidR="00F533CD" w:rsidRPr="00970100" w:rsidRDefault="00F533CD" w:rsidP="00DE45C5">
            <w:pPr>
              <w:pStyle w:val="NoSpacing"/>
              <w:jc w:val="center"/>
            </w:pPr>
            <w:r>
              <w:t>2.32</w:t>
            </w:r>
          </w:p>
        </w:tc>
        <w:tc>
          <w:tcPr>
            <w:tcW w:w="2376" w:type="dxa"/>
          </w:tcPr>
          <w:p w:rsidR="00F533CD" w:rsidRPr="00970100" w:rsidRDefault="00F533CD" w:rsidP="00DE45C5">
            <w:pPr>
              <w:pStyle w:val="NoSpacing"/>
              <w:jc w:val="center"/>
            </w:pPr>
            <w:r>
              <w:t>Non-Normal</w:t>
            </w:r>
          </w:p>
        </w:tc>
      </w:tr>
      <w:tr w:rsidR="00F533CD" w:rsidTr="00DE45C5">
        <w:tc>
          <w:tcPr>
            <w:tcW w:w="3227" w:type="dxa"/>
          </w:tcPr>
          <w:p w:rsidR="00F533CD" w:rsidRPr="00970100" w:rsidRDefault="00F533CD" w:rsidP="00DE45C5">
            <w:pPr>
              <w:pStyle w:val="NoSpacing"/>
              <w:jc w:val="center"/>
            </w:pPr>
            <w:r>
              <w:t>FINKNOW</w:t>
            </w:r>
          </w:p>
        </w:tc>
        <w:tc>
          <w:tcPr>
            <w:tcW w:w="1984" w:type="dxa"/>
          </w:tcPr>
          <w:p w:rsidR="00F533CD" w:rsidRPr="00970100" w:rsidRDefault="00F533CD" w:rsidP="00DE45C5">
            <w:pPr>
              <w:pStyle w:val="NoSpacing"/>
              <w:jc w:val="center"/>
            </w:pPr>
            <w:r>
              <w:t>-2.20</w:t>
            </w:r>
          </w:p>
        </w:tc>
        <w:tc>
          <w:tcPr>
            <w:tcW w:w="1701" w:type="dxa"/>
          </w:tcPr>
          <w:p w:rsidR="00F533CD" w:rsidRPr="00970100" w:rsidRDefault="00F533CD" w:rsidP="00DE45C5">
            <w:pPr>
              <w:pStyle w:val="NoSpacing"/>
              <w:jc w:val="center"/>
            </w:pPr>
            <w:r>
              <w:t>0.30</w:t>
            </w:r>
          </w:p>
        </w:tc>
        <w:tc>
          <w:tcPr>
            <w:tcW w:w="2376" w:type="dxa"/>
          </w:tcPr>
          <w:p w:rsidR="00F533CD" w:rsidRPr="00970100" w:rsidRDefault="00F533CD" w:rsidP="00DE45C5">
            <w:pPr>
              <w:pStyle w:val="NoSpacing"/>
              <w:jc w:val="center"/>
            </w:pPr>
            <w:r>
              <w:t>Non-Normal</w:t>
            </w:r>
          </w:p>
        </w:tc>
      </w:tr>
      <w:tr w:rsidR="00F533CD" w:rsidTr="00DE45C5">
        <w:tc>
          <w:tcPr>
            <w:tcW w:w="3227" w:type="dxa"/>
          </w:tcPr>
          <w:p w:rsidR="00F533CD" w:rsidRPr="00485AA5" w:rsidRDefault="00F533CD" w:rsidP="00DE45C5">
            <w:pPr>
              <w:pStyle w:val="NoSpacing"/>
              <w:jc w:val="center"/>
            </w:pPr>
            <w:r w:rsidRPr="00485AA5">
              <w:t>PFKNOW</w:t>
            </w:r>
          </w:p>
        </w:tc>
        <w:tc>
          <w:tcPr>
            <w:tcW w:w="1984" w:type="dxa"/>
          </w:tcPr>
          <w:p w:rsidR="00F533CD" w:rsidRPr="00485AA5" w:rsidRDefault="00F533CD" w:rsidP="00DE45C5">
            <w:pPr>
              <w:pStyle w:val="NoSpacing"/>
              <w:jc w:val="center"/>
            </w:pPr>
            <w:r w:rsidRPr="00485AA5">
              <w:t>0.80</w:t>
            </w:r>
          </w:p>
        </w:tc>
        <w:tc>
          <w:tcPr>
            <w:tcW w:w="1701" w:type="dxa"/>
          </w:tcPr>
          <w:p w:rsidR="00F533CD" w:rsidRPr="00485AA5" w:rsidRDefault="00F533CD" w:rsidP="00DE45C5">
            <w:pPr>
              <w:pStyle w:val="NoSpacing"/>
              <w:jc w:val="center"/>
            </w:pPr>
            <w:r w:rsidRPr="00485AA5">
              <w:t>-1.94</w:t>
            </w:r>
          </w:p>
        </w:tc>
        <w:tc>
          <w:tcPr>
            <w:tcW w:w="2376" w:type="dxa"/>
          </w:tcPr>
          <w:p w:rsidR="00F533CD" w:rsidRPr="00970100" w:rsidRDefault="00F533CD" w:rsidP="00DE45C5">
            <w:pPr>
              <w:pStyle w:val="NoSpacing"/>
              <w:jc w:val="center"/>
            </w:pPr>
            <w:r>
              <w:t>Normal</w:t>
            </w:r>
          </w:p>
        </w:tc>
      </w:tr>
      <w:tr w:rsidR="00F533CD" w:rsidTr="00DE45C5">
        <w:tc>
          <w:tcPr>
            <w:tcW w:w="3227" w:type="dxa"/>
          </w:tcPr>
          <w:p w:rsidR="00F533CD" w:rsidRPr="00485AA5" w:rsidRDefault="00F533CD" w:rsidP="00DE45C5">
            <w:pPr>
              <w:pStyle w:val="NoSpacing"/>
              <w:jc w:val="center"/>
            </w:pPr>
            <w:r w:rsidRPr="00485AA5">
              <w:t>ALLKNOW</w:t>
            </w:r>
          </w:p>
        </w:tc>
        <w:tc>
          <w:tcPr>
            <w:tcW w:w="1984" w:type="dxa"/>
          </w:tcPr>
          <w:p w:rsidR="00F533CD" w:rsidRPr="00485AA5" w:rsidRDefault="00F533CD" w:rsidP="00DE45C5">
            <w:pPr>
              <w:pStyle w:val="NoSpacing"/>
              <w:jc w:val="center"/>
            </w:pPr>
            <w:r w:rsidRPr="00485AA5">
              <w:t>-0.02</w:t>
            </w:r>
          </w:p>
        </w:tc>
        <w:tc>
          <w:tcPr>
            <w:tcW w:w="1701" w:type="dxa"/>
          </w:tcPr>
          <w:p w:rsidR="00F533CD" w:rsidRPr="00485AA5" w:rsidRDefault="00F533CD" w:rsidP="00DE45C5">
            <w:pPr>
              <w:pStyle w:val="NoSpacing"/>
              <w:jc w:val="center"/>
            </w:pPr>
            <w:r w:rsidRPr="00485AA5">
              <w:t>-1.02</w:t>
            </w:r>
          </w:p>
        </w:tc>
        <w:tc>
          <w:tcPr>
            <w:tcW w:w="2376" w:type="dxa"/>
          </w:tcPr>
          <w:p w:rsidR="00F533CD" w:rsidRPr="00970100" w:rsidRDefault="00F533CD" w:rsidP="00DE45C5">
            <w:pPr>
              <w:pStyle w:val="NoSpacing"/>
              <w:jc w:val="center"/>
            </w:pPr>
            <w:r>
              <w:t>Normal</w:t>
            </w:r>
          </w:p>
        </w:tc>
      </w:tr>
      <w:tr w:rsidR="00F533CD" w:rsidTr="00DE45C5">
        <w:tc>
          <w:tcPr>
            <w:tcW w:w="3227" w:type="dxa"/>
          </w:tcPr>
          <w:p w:rsidR="00F533CD" w:rsidRPr="00485AA5" w:rsidRDefault="00F533CD" w:rsidP="00DE45C5">
            <w:pPr>
              <w:pStyle w:val="NoSpacing"/>
              <w:jc w:val="center"/>
            </w:pPr>
            <w:r w:rsidRPr="00485AA5">
              <w:t>RASWP</w:t>
            </w:r>
          </w:p>
        </w:tc>
        <w:tc>
          <w:tcPr>
            <w:tcW w:w="1984" w:type="dxa"/>
          </w:tcPr>
          <w:p w:rsidR="00F533CD" w:rsidRPr="00485AA5" w:rsidRDefault="00F533CD" w:rsidP="00DE45C5">
            <w:pPr>
              <w:pStyle w:val="NoSpacing"/>
              <w:jc w:val="center"/>
            </w:pPr>
            <w:r w:rsidRPr="00485AA5">
              <w:t>1.50</w:t>
            </w:r>
          </w:p>
        </w:tc>
        <w:tc>
          <w:tcPr>
            <w:tcW w:w="1701" w:type="dxa"/>
          </w:tcPr>
          <w:p w:rsidR="00F533CD" w:rsidRPr="00485AA5" w:rsidRDefault="00F533CD" w:rsidP="00DE45C5">
            <w:pPr>
              <w:pStyle w:val="NoSpacing"/>
              <w:jc w:val="center"/>
            </w:pPr>
            <w:r w:rsidRPr="00485AA5">
              <w:t>0.91</w:t>
            </w:r>
          </w:p>
        </w:tc>
        <w:tc>
          <w:tcPr>
            <w:tcW w:w="2376" w:type="dxa"/>
          </w:tcPr>
          <w:p w:rsidR="00F533CD" w:rsidRPr="00970100" w:rsidRDefault="00F533CD" w:rsidP="00DE45C5">
            <w:pPr>
              <w:pStyle w:val="NoSpacing"/>
              <w:jc w:val="center"/>
            </w:pPr>
            <w:r w:rsidRPr="00970100">
              <w:t>Normal</w:t>
            </w:r>
          </w:p>
        </w:tc>
      </w:tr>
      <w:tr w:rsidR="00F533CD" w:rsidTr="00DE45C5">
        <w:tc>
          <w:tcPr>
            <w:tcW w:w="3227" w:type="dxa"/>
          </w:tcPr>
          <w:p w:rsidR="00F533CD" w:rsidRPr="00970100" w:rsidRDefault="00F533CD" w:rsidP="00DE45C5">
            <w:pPr>
              <w:pStyle w:val="NoSpacing"/>
              <w:jc w:val="center"/>
            </w:pPr>
            <w:r>
              <w:t>TRUSTNOW</w:t>
            </w:r>
          </w:p>
        </w:tc>
        <w:tc>
          <w:tcPr>
            <w:tcW w:w="1984" w:type="dxa"/>
          </w:tcPr>
          <w:p w:rsidR="00F533CD" w:rsidRPr="00970100" w:rsidRDefault="00F533CD" w:rsidP="00DE45C5">
            <w:pPr>
              <w:pStyle w:val="NoSpacing"/>
              <w:jc w:val="center"/>
            </w:pPr>
            <w:r>
              <w:t>-0.95</w:t>
            </w:r>
          </w:p>
        </w:tc>
        <w:tc>
          <w:tcPr>
            <w:tcW w:w="1701" w:type="dxa"/>
          </w:tcPr>
          <w:p w:rsidR="00F533CD" w:rsidRPr="00970100" w:rsidRDefault="00F533CD" w:rsidP="00DE45C5">
            <w:pPr>
              <w:pStyle w:val="NoSpacing"/>
              <w:jc w:val="center"/>
            </w:pPr>
            <w:r>
              <w:t>-0.45</w:t>
            </w:r>
          </w:p>
        </w:tc>
        <w:tc>
          <w:tcPr>
            <w:tcW w:w="2376" w:type="dxa"/>
          </w:tcPr>
          <w:p w:rsidR="00F533CD" w:rsidRPr="00970100" w:rsidRDefault="00F533CD" w:rsidP="00DE45C5">
            <w:pPr>
              <w:pStyle w:val="NoSpacing"/>
              <w:jc w:val="center"/>
            </w:pPr>
            <w:r>
              <w:t>Normal</w:t>
            </w:r>
          </w:p>
        </w:tc>
      </w:tr>
      <w:tr w:rsidR="00F533CD" w:rsidTr="00DE45C5">
        <w:tc>
          <w:tcPr>
            <w:tcW w:w="3227" w:type="dxa"/>
          </w:tcPr>
          <w:p w:rsidR="00F533CD" w:rsidRDefault="00F533CD" w:rsidP="00DE45C5">
            <w:pPr>
              <w:pStyle w:val="NoSpacing"/>
              <w:jc w:val="center"/>
            </w:pPr>
            <w:r>
              <w:t>TRUSTBEFORE</w:t>
            </w:r>
          </w:p>
        </w:tc>
        <w:tc>
          <w:tcPr>
            <w:tcW w:w="1984" w:type="dxa"/>
          </w:tcPr>
          <w:p w:rsidR="00F533CD" w:rsidRPr="00970100" w:rsidRDefault="00F533CD" w:rsidP="00DE45C5">
            <w:pPr>
              <w:pStyle w:val="NoSpacing"/>
              <w:jc w:val="center"/>
            </w:pPr>
            <w:r>
              <w:rPr>
                <w:rFonts w:ascii="Calibri" w:eastAsia="Times New Roman" w:hAnsi="Calibri" w:cs="Calibri"/>
                <w:color w:val="000000"/>
              </w:rPr>
              <w:t>-2.47</w:t>
            </w:r>
          </w:p>
        </w:tc>
        <w:tc>
          <w:tcPr>
            <w:tcW w:w="1701" w:type="dxa"/>
          </w:tcPr>
          <w:p w:rsidR="00F533CD" w:rsidRPr="00970100" w:rsidRDefault="00F533CD" w:rsidP="00DE45C5">
            <w:pPr>
              <w:pStyle w:val="NoSpacing"/>
              <w:jc w:val="center"/>
            </w:pPr>
            <w:r>
              <w:rPr>
                <w:rFonts w:ascii="Calibri" w:eastAsia="Times New Roman" w:hAnsi="Calibri" w:cs="Calibri"/>
                <w:color w:val="000000"/>
              </w:rPr>
              <w:t>-0.11</w:t>
            </w:r>
          </w:p>
        </w:tc>
        <w:tc>
          <w:tcPr>
            <w:tcW w:w="2376" w:type="dxa"/>
          </w:tcPr>
          <w:p w:rsidR="00F533CD" w:rsidRDefault="00F533CD" w:rsidP="00DE45C5">
            <w:pPr>
              <w:pStyle w:val="NoSpacing"/>
              <w:jc w:val="center"/>
            </w:pPr>
            <w:r>
              <w:t>Non-Normal</w:t>
            </w:r>
          </w:p>
        </w:tc>
      </w:tr>
      <w:tr w:rsidR="00F533CD" w:rsidTr="00DE45C5">
        <w:tc>
          <w:tcPr>
            <w:tcW w:w="3227" w:type="dxa"/>
          </w:tcPr>
          <w:p w:rsidR="00F533CD" w:rsidRDefault="00F533CD" w:rsidP="00DE45C5">
            <w:pPr>
              <w:pStyle w:val="NoSpacing"/>
              <w:jc w:val="center"/>
            </w:pPr>
            <w:r>
              <w:t>TRUSTDELTA</w:t>
            </w:r>
          </w:p>
        </w:tc>
        <w:tc>
          <w:tcPr>
            <w:tcW w:w="1984" w:type="dxa"/>
          </w:tcPr>
          <w:p w:rsidR="00F533CD" w:rsidRPr="00970100" w:rsidRDefault="00F533CD" w:rsidP="00DE45C5">
            <w:pPr>
              <w:pStyle w:val="NoSpacing"/>
              <w:jc w:val="center"/>
            </w:pPr>
            <w:r>
              <w:rPr>
                <w:rFonts w:ascii="Calibri" w:eastAsia="Times New Roman" w:hAnsi="Calibri" w:cs="Calibri"/>
                <w:color w:val="000000"/>
              </w:rPr>
              <w:t>-6.12</w:t>
            </w:r>
          </w:p>
        </w:tc>
        <w:tc>
          <w:tcPr>
            <w:tcW w:w="1701" w:type="dxa"/>
          </w:tcPr>
          <w:p w:rsidR="00F533CD" w:rsidRPr="00970100" w:rsidRDefault="00F533CD" w:rsidP="00DE45C5">
            <w:pPr>
              <w:pStyle w:val="NoSpacing"/>
              <w:jc w:val="center"/>
            </w:pPr>
            <w:r>
              <w:rPr>
                <w:rFonts w:ascii="Calibri" w:eastAsia="Times New Roman" w:hAnsi="Calibri" w:cs="Calibri"/>
                <w:color w:val="000000"/>
              </w:rPr>
              <w:t>9.49</w:t>
            </w:r>
          </w:p>
        </w:tc>
        <w:tc>
          <w:tcPr>
            <w:tcW w:w="2376" w:type="dxa"/>
          </w:tcPr>
          <w:p w:rsidR="00F533CD" w:rsidRDefault="00F533CD" w:rsidP="00DE45C5">
            <w:pPr>
              <w:pStyle w:val="NoSpacing"/>
              <w:jc w:val="center"/>
            </w:pPr>
            <w:r>
              <w:t>Non-Normal</w:t>
            </w:r>
          </w:p>
        </w:tc>
      </w:tr>
      <w:tr w:rsidR="00F533CD" w:rsidTr="00DE45C5">
        <w:tc>
          <w:tcPr>
            <w:tcW w:w="3227" w:type="dxa"/>
          </w:tcPr>
          <w:p w:rsidR="00F533CD" w:rsidRDefault="00F533CD" w:rsidP="00DE45C5">
            <w:pPr>
              <w:pStyle w:val="NoSpacing"/>
              <w:jc w:val="center"/>
            </w:pPr>
            <w:r>
              <w:t>AGECAT</w:t>
            </w:r>
          </w:p>
        </w:tc>
        <w:tc>
          <w:tcPr>
            <w:tcW w:w="1984" w:type="dxa"/>
          </w:tcPr>
          <w:p w:rsidR="00F533CD" w:rsidRPr="00970100" w:rsidRDefault="00F533CD" w:rsidP="00DE45C5">
            <w:pPr>
              <w:pStyle w:val="NoSpacing"/>
              <w:jc w:val="center"/>
            </w:pPr>
            <w:r>
              <w:rPr>
                <w:rFonts w:ascii="Calibri" w:eastAsia="Times New Roman" w:hAnsi="Calibri" w:cs="Calibri"/>
                <w:color w:val="000000"/>
              </w:rPr>
              <w:t>1.01</w:t>
            </w:r>
          </w:p>
        </w:tc>
        <w:tc>
          <w:tcPr>
            <w:tcW w:w="1701" w:type="dxa"/>
          </w:tcPr>
          <w:p w:rsidR="00F533CD" w:rsidRPr="00970100" w:rsidRDefault="00F533CD" w:rsidP="00DE45C5">
            <w:pPr>
              <w:pStyle w:val="NoSpacing"/>
              <w:jc w:val="center"/>
            </w:pPr>
            <w:r>
              <w:rPr>
                <w:rFonts w:ascii="Calibri" w:eastAsia="Times New Roman" w:hAnsi="Calibri" w:cs="Calibri"/>
                <w:color w:val="000000"/>
              </w:rPr>
              <w:t>-2.94</w:t>
            </w:r>
          </w:p>
        </w:tc>
        <w:tc>
          <w:tcPr>
            <w:tcW w:w="2376" w:type="dxa"/>
          </w:tcPr>
          <w:p w:rsidR="00F533CD" w:rsidRDefault="00F533CD" w:rsidP="00DE45C5">
            <w:pPr>
              <w:pStyle w:val="NoSpacing"/>
              <w:jc w:val="center"/>
            </w:pPr>
            <w:r>
              <w:t>Non-Normal</w:t>
            </w:r>
          </w:p>
        </w:tc>
      </w:tr>
    </w:tbl>
    <w:p w:rsidR="00F533CD" w:rsidRDefault="00F533CD" w:rsidP="00F533CD">
      <w:pPr>
        <w:pStyle w:val="NoSpacing"/>
      </w:pPr>
    </w:p>
    <w:p w:rsidR="00F533CD" w:rsidRDefault="00F533CD" w:rsidP="00F533CD">
      <w:pPr>
        <w:pStyle w:val="NoSpacing"/>
      </w:pPr>
    </w:p>
    <w:p w:rsidR="00F533CD" w:rsidRPr="00E919A6" w:rsidRDefault="00E919A6" w:rsidP="00F533CD">
      <w:pPr>
        <w:pStyle w:val="NoSpacing"/>
        <w:rPr>
          <w:b/>
        </w:rPr>
      </w:pPr>
      <w:r w:rsidRPr="00E919A6">
        <w:rPr>
          <w:b/>
        </w:rPr>
        <w:t xml:space="preserve">Appendix ch4.5.1 </w:t>
      </w:r>
      <w:r>
        <w:rPr>
          <w:b/>
        </w:rPr>
        <w:t>Hypothesis 1: Figure 4.1 B</w:t>
      </w:r>
      <w:r w:rsidR="00F533CD" w:rsidRPr="00E919A6">
        <w:rPr>
          <w:b/>
        </w:rPr>
        <w:t xml:space="preserve"> &amp; </w:t>
      </w:r>
      <w:r>
        <w:rPr>
          <w:b/>
        </w:rPr>
        <w:t>C</w:t>
      </w:r>
    </w:p>
    <w:p w:rsidR="00F533CD" w:rsidRDefault="00F533CD" w:rsidP="00F533CD">
      <w:pPr>
        <w:pStyle w:val="NoSpacing"/>
      </w:pPr>
    </w:p>
    <w:p w:rsidR="00F533CD" w:rsidRDefault="00F533CD" w:rsidP="00F533CD">
      <w:pPr>
        <w:pStyle w:val="NoSpacing"/>
      </w:pPr>
      <w:r w:rsidRPr="00625850">
        <w:rPr>
          <w:noProof/>
          <w:lang w:val="nl-NL" w:eastAsia="nl-NL"/>
        </w:rPr>
        <w:drawing>
          <wp:inline distT="0" distB="0" distL="0" distR="0">
            <wp:extent cx="4623567" cy="3507415"/>
            <wp:effectExtent l="19050" t="0" r="5583"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stretch>
                      <a:fillRect/>
                    </a:stretch>
                  </pic:blipFill>
                  <pic:spPr>
                    <a:xfrm>
                      <a:off x="0" y="0"/>
                      <a:ext cx="4630236" cy="3512474"/>
                    </a:xfrm>
                    <a:prstGeom prst="rect">
                      <a:avLst/>
                    </a:prstGeom>
                  </pic:spPr>
                </pic:pic>
              </a:graphicData>
            </a:graphic>
          </wp:inline>
        </w:drawing>
      </w:r>
    </w:p>
    <w:p w:rsidR="00F533CD" w:rsidRDefault="00F533CD" w:rsidP="00F533CD">
      <w:pPr>
        <w:pStyle w:val="NoSpacing"/>
      </w:pPr>
    </w:p>
    <w:p w:rsidR="00F533CD" w:rsidRDefault="00F533CD" w:rsidP="00F533CD">
      <w:pPr>
        <w:pStyle w:val="NoSpacing"/>
        <w:rPr>
          <w:noProof/>
        </w:rPr>
      </w:pPr>
    </w:p>
    <w:p w:rsidR="00F533CD" w:rsidRDefault="00F533CD" w:rsidP="00F533CD">
      <w:pPr>
        <w:pStyle w:val="NoSpacing"/>
      </w:pPr>
      <w:r w:rsidRPr="00625850">
        <w:rPr>
          <w:noProof/>
          <w:lang w:val="nl-NL" w:eastAsia="nl-NL"/>
        </w:rPr>
        <w:drawing>
          <wp:inline distT="0" distB="0" distL="0" distR="0">
            <wp:extent cx="4628035" cy="3372592"/>
            <wp:effectExtent l="19050" t="0" r="1115" b="0"/>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cstate="print"/>
                    <a:stretch>
                      <a:fillRect/>
                    </a:stretch>
                  </pic:blipFill>
                  <pic:spPr>
                    <a:xfrm>
                      <a:off x="0" y="0"/>
                      <a:ext cx="4631479" cy="3375101"/>
                    </a:xfrm>
                    <a:prstGeom prst="rect">
                      <a:avLst/>
                    </a:prstGeom>
                  </pic:spPr>
                </pic:pic>
              </a:graphicData>
            </a:graphic>
          </wp:inline>
        </w:drawing>
      </w:r>
    </w:p>
    <w:p w:rsidR="00F533CD" w:rsidRDefault="00F533CD" w:rsidP="00F533CD">
      <w:pPr>
        <w:pStyle w:val="NoSpacing"/>
        <w:jc w:val="center"/>
      </w:pPr>
    </w:p>
    <w:p w:rsidR="00F533CD" w:rsidRDefault="00F533CD" w:rsidP="00F533CD">
      <w:pPr>
        <w:pStyle w:val="NoSpacing"/>
        <w:jc w:val="center"/>
      </w:pPr>
    </w:p>
    <w:p w:rsidR="00F533CD" w:rsidRDefault="00F533CD" w:rsidP="00F533CD">
      <w:pPr>
        <w:pStyle w:val="NoSpacing"/>
        <w:jc w:val="center"/>
      </w:pPr>
    </w:p>
    <w:p w:rsidR="00F533CD" w:rsidRDefault="00F533CD" w:rsidP="00F533CD">
      <w:pPr>
        <w:pStyle w:val="NoSpacing"/>
        <w:jc w:val="center"/>
      </w:pPr>
    </w:p>
    <w:p w:rsidR="00E919A6" w:rsidRDefault="00E919A6" w:rsidP="00F533CD">
      <w:pPr>
        <w:pStyle w:val="NoSpacing"/>
        <w:jc w:val="center"/>
      </w:pPr>
    </w:p>
    <w:p w:rsidR="00E919A6" w:rsidRDefault="00E919A6" w:rsidP="00F533CD">
      <w:pPr>
        <w:pStyle w:val="NoSpacing"/>
        <w:jc w:val="center"/>
      </w:pPr>
    </w:p>
    <w:p w:rsidR="00E919A6" w:rsidRDefault="00E919A6" w:rsidP="00F533CD">
      <w:pPr>
        <w:pStyle w:val="NoSpacing"/>
        <w:jc w:val="center"/>
      </w:pPr>
    </w:p>
    <w:p w:rsidR="00F533CD" w:rsidRDefault="00F533CD" w:rsidP="00F533CD">
      <w:pPr>
        <w:pStyle w:val="NoSpacing"/>
        <w:jc w:val="center"/>
      </w:pPr>
    </w:p>
    <w:p w:rsidR="00F533CD" w:rsidRDefault="00F533CD" w:rsidP="00F533CD">
      <w:pPr>
        <w:pStyle w:val="NoSpacing"/>
        <w:jc w:val="center"/>
      </w:pPr>
    </w:p>
    <w:p w:rsidR="00F533CD" w:rsidRDefault="00F533CD" w:rsidP="00F533CD">
      <w:pPr>
        <w:pStyle w:val="NoSpacing"/>
        <w:jc w:val="center"/>
      </w:pPr>
    </w:p>
    <w:p w:rsidR="00F533CD" w:rsidRPr="001B1061" w:rsidRDefault="00711A72" w:rsidP="00F533CD">
      <w:pPr>
        <w:rPr>
          <w:b/>
        </w:rPr>
      </w:pPr>
      <w:r>
        <w:rPr>
          <w:b/>
        </w:rPr>
        <w:t xml:space="preserve">Appendix Ch 4.5.3 </w:t>
      </w:r>
      <w:r w:rsidR="00F533CD" w:rsidRPr="001B1061">
        <w:rPr>
          <w:b/>
        </w:rPr>
        <w:t xml:space="preserve">Hypothesis 2: </w:t>
      </w:r>
    </w:p>
    <w:p w:rsidR="00F533CD" w:rsidRDefault="00F533CD" w:rsidP="00F533CD">
      <w:r>
        <w:rPr>
          <w:noProof/>
          <w:lang w:val="nl-NL" w:eastAsia="nl-NL"/>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4781550" cy="2890520"/>
            <wp:effectExtent l="0" t="0" r="0" b="5080"/>
            <wp:wrapSquare wrapText="bothSides"/>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r>
        <w:br w:type="textWrapping" w:clear="all"/>
      </w:r>
    </w:p>
    <w:p w:rsidR="00F533CD" w:rsidRDefault="00F533CD" w:rsidP="00F533CD"/>
    <w:p w:rsidR="00F533CD" w:rsidRDefault="00F533CD" w:rsidP="00F533CD"/>
    <w:p w:rsidR="00F533CD" w:rsidRDefault="00F533CD" w:rsidP="00F533CD"/>
    <w:p w:rsidR="00F533CD" w:rsidRDefault="00F533CD" w:rsidP="00F533CD"/>
    <w:p w:rsidR="00F533CD" w:rsidRDefault="00F533CD" w:rsidP="00F533CD">
      <w:r>
        <w:rPr>
          <w:noProof/>
          <w:lang w:val="nl-NL" w:eastAsia="nl-NL"/>
        </w:rPr>
        <w:drawing>
          <wp:inline distT="0" distB="0" distL="0" distR="0">
            <wp:extent cx="4784652" cy="2977117"/>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F533CD" w:rsidRDefault="00F533CD" w:rsidP="00F533CD"/>
    <w:p w:rsidR="00F533CD" w:rsidRDefault="00F533CD" w:rsidP="00F533CD"/>
    <w:p w:rsidR="00F533CD" w:rsidRDefault="00F533CD" w:rsidP="00F533CD">
      <w:r w:rsidRPr="00232AE9">
        <w:rPr>
          <w:noProof/>
          <w:lang w:val="nl-NL" w:eastAsia="nl-NL"/>
        </w:rPr>
        <w:drawing>
          <wp:inline distT="0" distB="0" distL="0" distR="0">
            <wp:extent cx="4696889" cy="2658140"/>
            <wp:effectExtent l="19050" t="0" r="27511" b="886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F533CD" w:rsidRDefault="00F533CD" w:rsidP="00711A72">
      <w:pPr>
        <w:pStyle w:val="NoSpacing"/>
      </w:pPr>
    </w:p>
    <w:p w:rsidR="00711A72" w:rsidRDefault="00711A72" w:rsidP="00711A72">
      <w:pPr>
        <w:pStyle w:val="NoSpacing"/>
      </w:pPr>
    </w:p>
    <w:p w:rsidR="00711A72" w:rsidRDefault="00711A72" w:rsidP="00711A72">
      <w:pPr>
        <w:pStyle w:val="NoSpacing"/>
      </w:pPr>
    </w:p>
    <w:p w:rsidR="00711A72" w:rsidRDefault="00711A72" w:rsidP="00711A72">
      <w:pPr>
        <w:pStyle w:val="NoSpacing"/>
      </w:pPr>
    </w:p>
    <w:p w:rsidR="00711A72" w:rsidRDefault="00711A72" w:rsidP="00711A72">
      <w:pPr>
        <w:pStyle w:val="NoSpacing"/>
      </w:pPr>
    </w:p>
    <w:p w:rsidR="00711A72" w:rsidRDefault="00711A72" w:rsidP="00711A72">
      <w:pPr>
        <w:pStyle w:val="NoSpacing"/>
      </w:pPr>
    </w:p>
    <w:p w:rsidR="00711A72" w:rsidRDefault="00711A72" w:rsidP="00711A72">
      <w:pPr>
        <w:pStyle w:val="NoSpacing"/>
      </w:pPr>
    </w:p>
    <w:p w:rsidR="00711A72" w:rsidRDefault="00711A72" w:rsidP="00711A72">
      <w:pPr>
        <w:pStyle w:val="NoSpacing"/>
      </w:pPr>
    </w:p>
    <w:p w:rsidR="00F533CD" w:rsidRPr="009148A5" w:rsidRDefault="00F533CD" w:rsidP="00711A72">
      <w:pPr>
        <w:pStyle w:val="NoSpacing"/>
      </w:pPr>
      <w:r w:rsidRPr="009148A5">
        <w:t>The values of the X-axis for the ALLKNOW varaible were transformed from decimals to whole numbers the legend below should be used as reference to the values in the next three figures.</w:t>
      </w:r>
    </w:p>
    <w:p w:rsidR="00F533CD" w:rsidRDefault="00F533CD" w:rsidP="00711A72">
      <w:pPr>
        <w:pStyle w:val="NoSpacing"/>
      </w:pPr>
      <w:r>
        <w:t>1=1</w:t>
      </w:r>
      <w:r>
        <w:tab/>
        <w:t>2=1.5</w:t>
      </w:r>
      <w:r>
        <w:tab/>
        <w:t>3=2</w:t>
      </w:r>
      <w:r>
        <w:tab/>
        <w:t>4=2.5</w:t>
      </w:r>
      <w:r>
        <w:tab/>
        <w:t>5=3</w:t>
      </w:r>
      <w:r>
        <w:tab/>
        <w:t>6=3.5</w:t>
      </w:r>
    </w:p>
    <w:p w:rsidR="00F533CD" w:rsidRDefault="00F533CD" w:rsidP="00711A72">
      <w:pPr>
        <w:pStyle w:val="NoSpacing"/>
      </w:pPr>
    </w:p>
    <w:p w:rsidR="00F533CD" w:rsidRDefault="00F533CD" w:rsidP="00711A72">
      <w:pPr>
        <w:pStyle w:val="NoSpacing"/>
      </w:pPr>
      <w:r>
        <w:t>7=4</w:t>
      </w:r>
      <w:r>
        <w:tab/>
      </w:r>
      <w:r>
        <w:tab/>
        <w:t>8=4.5</w:t>
      </w:r>
      <w:r>
        <w:tab/>
        <w:t>9=5</w:t>
      </w:r>
      <w:r>
        <w:tab/>
        <w:t>10=5.5</w:t>
      </w:r>
      <w:r>
        <w:tab/>
        <w:t>11=6</w:t>
      </w:r>
      <w:r>
        <w:tab/>
        <w:t>12=6.5</w:t>
      </w:r>
      <w:r>
        <w:tab/>
        <w:t>13=7</w:t>
      </w:r>
      <w:r>
        <w:tab/>
      </w:r>
    </w:p>
    <w:p w:rsidR="00F533CD" w:rsidRDefault="00F533CD" w:rsidP="00711A72">
      <w:pPr>
        <w:pStyle w:val="NoSpacing"/>
      </w:pPr>
    </w:p>
    <w:p w:rsidR="00F533CD" w:rsidRPr="0070734E" w:rsidRDefault="00F533CD" w:rsidP="00F533CD">
      <w:r>
        <w:rPr>
          <w:noProof/>
          <w:lang w:val="nl-NL" w:eastAsia="nl-NL"/>
        </w:rPr>
        <w:drawing>
          <wp:inline distT="0" distB="0" distL="0" distR="0">
            <wp:extent cx="4253023" cy="2466754"/>
            <wp:effectExtent l="19050" t="0" r="14177"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533CD" w:rsidRPr="0070734E" w:rsidRDefault="00F533CD" w:rsidP="00F533CD">
      <w:pPr>
        <w:tabs>
          <w:tab w:val="left" w:pos="7652"/>
        </w:tabs>
      </w:pPr>
      <w:r>
        <w:rPr>
          <w:noProof/>
          <w:lang w:val="nl-NL" w:eastAsia="nl-NL"/>
        </w:rPr>
        <w:drawing>
          <wp:inline distT="0" distB="0" distL="0" distR="0">
            <wp:extent cx="4270951" cy="2817628"/>
            <wp:effectExtent l="19050" t="0" r="15299" b="1772"/>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F533CD" w:rsidRPr="00AE7BE5" w:rsidRDefault="001B1061" w:rsidP="00F533CD">
      <w:pPr>
        <w:pStyle w:val="NoSpacing"/>
      </w:pPr>
      <w:r>
        <w:rPr>
          <w:noProof/>
          <w:lang w:val="nl-NL" w:eastAsia="nl-NL"/>
        </w:rPr>
        <w:drawing>
          <wp:anchor distT="0" distB="0" distL="114300" distR="114300" simplePos="0" relativeHeight="251662336" behindDoc="0" locked="0" layoutInCell="1" allowOverlap="1">
            <wp:simplePos x="0" y="0"/>
            <wp:positionH relativeFrom="column">
              <wp:posOffset>0</wp:posOffset>
            </wp:positionH>
            <wp:positionV relativeFrom="paragraph">
              <wp:posOffset>367665</wp:posOffset>
            </wp:positionV>
            <wp:extent cx="4270375" cy="2551430"/>
            <wp:effectExtent l="19050" t="0" r="15875" b="1270"/>
            <wp:wrapSquare wrapText="bothSides"/>
            <wp:docPr id="1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p>
    <w:sectPr w:rsidR="00F533CD" w:rsidRPr="00AE7BE5" w:rsidSect="00AD27E8">
      <w:footerReference w:type="default" r:id="rId53"/>
      <w:pgSz w:w="11906" w:h="16838"/>
      <w:pgMar w:top="1440"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764" w:rsidRDefault="005E7764" w:rsidP="0034170C">
      <w:pPr>
        <w:spacing w:after="0" w:line="240" w:lineRule="auto"/>
      </w:pPr>
      <w:r>
        <w:separator/>
      </w:r>
    </w:p>
  </w:endnote>
  <w:endnote w:type="continuationSeparator" w:id="0">
    <w:p w:rsidR="005E7764" w:rsidRDefault="005E7764" w:rsidP="00341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6839"/>
      <w:docPartObj>
        <w:docPartGallery w:val="Page Numbers (Bottom of Page)"/>
        <w:docPartUnique/>
      </w:docPartObj>
    </w:sdtPr>
    <w:sdtContent>
      <w:p w:rsidR="005E7764" w:rsidRDefault="00CC17A1">
        <w:pPr>
          <w:pStyle w:val="Footer"/>
          <w:jc w:val="center"/>
        </w:pPr>
        <w:fldSimple w:instr=" PAGE   \* MERGEFORMAT ">
          <w:r w:rsidR="00D30563">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764" w:rsidRDefault="005E7764" w:rsidP="0034170C">
      <w:pPr>
        <w:spacing w:after="0" w:line="240" w:lineRule="auto"/>
      </w:pPr>
      <w:r>
        <w:separator/>
      </w:r>
    </w:p>
  </w:footnote>
  <w:footnote w:type="continuationSeparator" w:id="0">
    <w:p w:rsidR="005E7764" w:rsidRDefault="005E7764" w:rsidP="0034170C">
      <w:pPr>
        <w:spacing w:after="0" w:line="240" w:lineRule="auto"/>
      </w:pPr>
      <w:r>
        <w:continuationSeparator/>
      </w:r>
    </w:p>
  </w:footnote>
  <w:footnote w:id="1">
    <w:p w:rsidR="005E7764" w:rsidRPr="00BB5F3D" w:rsidRDefault="005E7764" w:rsidP="00B80307">
      <w:pPr>
        <w:pStyle w:val="FootnoteText"/>
        <w:rPr>
          <w:sz w:val="16"/>
          <w:szCs w:val="16"/>
        </w:rPr>
      </w:pPr>
      <w:r>
        <w:rPr>
          <w:rStyle w:val="FootnoteReference"/>
        </w:rPr>
        <w:footnoteRef/>
      </w:r>
      <w:r>
        <w:t xml:space="preserve"> </w:t>
      </w:r>
      <w:r>
        <w:rPr>
          <w:sz w:val="16"/>
          <w:szCs w:val="16"/>
        </w:rPr>
        <w:t>Author’s translation; q</w:t>
      </w:r>
      <w:r w:rsidRPr="00AF7DDE">
        <w:rPr>
          <w:sz w:val="16"/>
          <w:szCs w:val="16"/>
        </w:rPr>
        <w:t>uote from speech</w:t>
      </w:r>
      <w:r>
        <w:rPr>
          <w:sz w:val="16"/>
          <w:szCs w:val="16"/>
        </w:rPr>
        <w:t xml:space="preserve"> by S</w:t>
      </w:r>
      <w:r w:rsidRPr="00097A5E">
        <w:rPr>
          <w:sz w:val="16"/>
          <w:szCs w:val="16"/>
        </w:rPr>
        <w:t xml:space="preserve">tate secretary M. </w:t>
      </w:r>
      <w:r>
        <w:rPr>
          <w:sz w:val="16"/>
          <w:szCs w:val="16"/>
        </w:rPr>
        <w:t>Rutte</w:t>
      </w:r>
      <w:r w:rsidRPr="00097A5E">
        <w:rPr>
          <w:sz w:val="16"/>
          <w:szCs w:val="16"/>
        </w:rPr>
        <w:t xml:space="preserve"> at the annual Stichting Ondernemingspensioenfondsen congres; November 14</w:t>
      </w:r>
      <w:r w:rsidRPr="00097A5E">
        <w:rPr>
          <w:sz w:val="16"/>
          <w:szCs w:val="16"/>
          <w:vertAlign w:val="superscript"/>
        </w:rPr>
        <w:t>th</w:t>
      </w:r>
      <w:r w:rsidRPr="00097A5E">
        <w:rPr>
          <w:sz w:val="16"/>
          <w:szCs w:val="16"/>
        </w:rPr>
        <w:t>, 2002</w:t>
      </w:r>
    </w:p>
  </w:footnote>
  <w:footnote w:id="2">
    <w:p w:rsidR="005E7764" w:rsidRPr="007F6CA6" w:rsidRDefault="005E7764" w:rsidP="00EF36AF">
      <w:pPr>
        <w:pStyle w:val="FootnoteText"/>
        <w:rPr>
          <w:sz w:val="16"/>
          <w:szCs w:val="16"/>
        </w:rPr>
      </w:pPr>
      <w:r w:rsidRPr="007F6CA6">
        <w:rPr>
          <w:rStyle w:val="FootnoteReference"/>
          <w:sz w:val="16"/>
          <w:szCs w:val="16"/>
        </w:rPr>
        <w:footnoteRef/>
      </w:r>
      <w:r w:rsidRPr="007F6CA6">
        <w:rPr>
          <w:sz w:val="16"/>
          <w:szCs w:val="16"/>
        </w:rPr>
        <w:t xml:space="preserve"> P.J. Zak</w:t>
      </w:r>
      <w:r>
        <w:rPr>
          <w:sz w:val="16"/>
          <w:szCs w:val="16"/>
        </w:rPr>
        <w:t>.</w:t>
      </w:r>
      <w:r w:rsidRPr="007F6CA6">
        <w:rPr>
          <w:i/>
          <w:sz w:val="16"/>
          <w:szCs w:val="16"/>
        </w:rPr>
        <w:t xml:space="preserve"> The neurobiology of trust</w:t>
      </w:r>
      <w:r w:rsidRPr="007F6CA6">
        <w:rPr>
          <w:sz w:val="16"/>
          <w:szCs w:val="16"/>
        </w:rPr>
        <w:t>, Scientific America</w:t>
      </w:r>
      <w:r>
        <w:rPr>
          <w:sz w:val="16"/>
          <w:szCs w:val="16"/>
        </w:rPr>
        <w:t>,</w:t>
      </w:r>
      <w:r w:rsidRPr="007F6CA6">
        <w:rPr>
          <w:sz w:val="16"/>
          <w:szCs w:val="16"/>
        </w:rPr>
        <w:t xml:space="preserve"> June 2008..</w:t>
      </w:r>
    </w:p>
  </w:footnote>
  <w:footnote w:id="3">
    <w:p w:rsidR="005E7764" w:rsidRPr="00482B8C" w:rsidRDefault="005E7764" w:rsidP="00EF36AF">
      <w:pPr>
        <w:pStyle w:val="FootnoteText"/>
      </w:pPr>
      <w:r w:rsidRPr="007F6CA6">
        <w:rPr>
          <w:rStyle w:val="FootnoteReference"/>
          <w:sz w:val="16"/>
          <w:szCs w:val="16"/>
        </w:rPr>
        <w:footnoteRef/>
      </w:r>
      <w:r w:rsidRPr="007F6CA6">
        <w:rPr>
          <w:sz w:val="16"/>
          <w:szCs w:val="16"/>
        </w:rPr>
        <w:t xml:space="preserve"> Trust and Growth, Zak&amp; Knack, 1998</w:t>
      </w:r>
    </w:p>
  </w:footnote>
  <w:footnote w:id="4">
    <w:p w:rsidR="005E7764" w:rsidRDefault="005E7764" w:rsidP="00EF36AF">
      <w:pPr>
        <w:pStyle w:val="FootnoteText"/>
      </w:pPr>
      <w:r>
        <w:rPr>
          <w:rStyle w:val="FootnoteReference"/>
        </w:rPr>
        <w:footnoteRef/>
      </w:r>
      <w:r>
        <w:t xml:space="preserve"> </w:t>
      </w:r>
      <w:r w:rsidRPr="00561C1A">
        <w:rPr>
          <w:sz w:val="16"/>
          <w:szCs w:val="16"/>
        </w:rPr>
        <w:t>Pension funds; APG, ABP, PFZW</w:t>
      </w:r>
      <w:r>
        <w:t xml:space="preserve"> </w:t>
      </w:r>
    </w:p>
  </w:footnote>
  <w:footnote w:id="5">
    <w:p w:rsidR="005E7764" w:rsidRPr="00E87D28" w:rsidRDefault="005E7764" w:rsidP="00EF36AF">
      <w:pPr>
        <w:pStyle w:val="FootnoteText"/>
        <w:rPr>
          <w:sz w:val="16"/>
          <w:szCs w:val="16"/>
        </w:rPr>
      </w:pPr>
      <w:r w:rsidRPr="00AF1223">
        <w:rPr>
          <w:rStyle w:val="FootnoteReference"/>
          <w:sz w:val="16"/>
          <w:szCs w:val="16"/>
        </w:rPr>
        <w:footnoteRef/>
      </w:r>
      <w:r w:rsidRPr="00AF1223">
        <w:rPr>
          <w:sz w:val="16"/>
          <w:szCs w:val="16"/>
        </w:rPr>
        <w:t xml:space="preserve"> </w:t>
      </w:r>
      <w:r w:rsidRPr="00E87D28">
        <w:rPr>
          <w:sz w:val="16"/>
          <w:szCs w:val="16"/>
        </w:rPr>
        <w:t>Schoorman, F. D., Mayer, R.C. &amp; Davis, J. H. (2007) ‘An integrative model of organizational trust: past, present, and future’</w:t>
      </w:r>
      <w:r w:rsidRPr="00E87D28">
        <w:rPr>
          <w:rFonts w:cstheme="minorHAnsi"/>
          <w:sz w:val="16"/>
          <w:szCs w:val="16"/>
        </w:rPr>
        <w:t>)</w:t>
      </w:r>
      <w:r w:rsidRPr="00E87D28">
        <w:rPr>
          <w:rFonts w:cstheme="minorHAnsi"/>
          <w:color w:val="1B1F2D"/>
          <w:sz w:val="16"/>
          <w:szCs w:val="16"/>
        </w:rPr>
        <w:t xml:space="preserve"> p. 346</w:t>
      </w:r>
    </w:p>
  </w:footnote>
  <w:footnote w:id="6">
    <w:p w:rsidR="005E7764" w:rsidRPr="00AF1223" w:rsidRDefault="005E7764" w:rsidP="00EF36AF">
      <w:pPr>
        <w:pStyle w:val="FootnoteText"/>
        <w:rPr>
          <w:sz w:val="16"/>
          <w:szCs w:val="16"/>
          <w:highlight w:val="yellow"/>
        </w:rPr>
      </w:pPr>
      <w:r w:rsidRPr="00AF1223">
        <w:rPr>
          <w:rStyle w:val="FootnoteReference"/>
          <w:sz w:val="16"/>
          <w:szCs w:val="16"/>
        </w:rPr>
        <w:footnoteRef/>
      </w:r>
      <w:r w:rsidRPr="00AF1223">
        <w:rPr>
          <w:sz w:val="16"/>
          <w:szCs w:val="16"/>
        </w:rPr>
        <w:t xml:space="preserve"> </w:t>
      </w:r>
      <w:r>
        <w:rPr>
          <w:sz w:val="16"/>
          <w:szCs w:val="16"/>
        </w:rPr>
        <w:t>Johnston-George,</w:t>
      </w:r>
      <w:r w:rsidRPr="00572F20">
        <w:rPr>
          <w:sz w:val="16"/>
          <w:szCs w:val="16"/>
        </w:rPr>
        <w:t>C</w:t>
      </w:r>
      <w:r>
        <w:rPr>
          <w:sz w:val="16"/>
          <w:szCs w:val="16"/>
        </w:rPr>
        <w:t xml:space="preserve"> &amp; Swap,</w:t>
      </w:r>
      <w:r w:rsidRPr="00572F20">
        <w:rPr>
          <w:sz w:val="16"/>
          <w:szCs w:val="16"/>
        </w:rPr>
        <w:t xml:space="preserve">W (1982). Measurement of specific interpersonal trust: Construction and validation of a scale to assess trust in a </w:t>
      </w:r>
      <w:r w:rsidRPr="00455E5B">
        <w:rPr>
          <w:sz w:val="16"/>
          <w:szCs w:val="16"/>
        </w:rPr>
        <w:t xml:space="preserve">specific other </w:t>
      </w:r>
      <w:r>
        <w:rPr>
          <w:sz w:val="16"/>
          <w:szCs w:val="16"/>
        </w:rPr>
        <w:t xml:space="preserve"> </w:t>
      </w:r>
      <w:r w:rsidRPr="00455E5B">
        <w:rPr>
          <w:sz w:val="16"/>
          <w:szCs w:val="16"/>
        </w:rPr>
        <w:t>p1306</w:t>
      </w:r>
    </w:p>
  </w:footnote>
  <w:footnote w:id="7">
    <w:p w:rsidR="005E7764" w:rsidRPr="007315CC" w:rsidRDefault="005E7764" w:rsidP="00EF36AF">
      <w:pPr>
        <w:pStyle w:val="FootnoteText"/>
        <w:rPr>
          <w:sz w:val="16"/>
          <w:szCs w:val="16"/>
        </w:rPr>
      </w:pPr>
      <w:r w:rsidRPr="00E87D28">
        <w:rPr>
          <w:rStyle w:val="FootnoteReference"/>
          <w:sz w:val="16"/>
          <w:szCs w:val="16"/>
        </w:rPr>
        <w:footnoteRef/>
      </w:r>
      <w:r w:rsidRPr="00E87D28">
        <w:rPr>
          <w:sz w:val="16"/>
          <w:szCs w:val="16"/>
        </w:rPr>
        <w:t xml:space="preserve"> Craswell</w:t>
      </w:r>
      <w:r w:rsidRPr="007315CC">
        <w:rPr>
          <w:sz w:val="16"/>
          <w:szCs w:val="16"/>
        </w:rPr>
        <w:t>, R. (1993). On the uses of ‘‘trust’’: Comment on Williamson, ‘‘Calculativeness, trust, and economic organization’’</w:t>
      </w:r>
      <w:r>
        <w:rPr>
          <w:sz w:val="16"/>
          <w:szCs w:val="16"/>
        </w:rPr>
        <w:t xml:space="preserve"> p492</w:t>
      </w:r>
    </w:p>
  </w:footnote>
  <w:footnote w:id="8">
    <w:p w:rsidR="005E7764" w:rsidRDefault="005E7764" w:rsidP="00EF36AF">
      <w:pPr>
        <w:pStyle w:val="FootnoteText"/>
      </w:pPr>
      <w:r>
        <w:rPr>
          <w:rStyle w:val="FootnoteReference"/>
        </w:rPr>
        <w:footnoteRef/>
      </w:r>
      <w:r>
        <w:t xml:space="preserve"> </w:t>
      </w:r>
      <w:r w:rsidRPr="00CC5D34">
        <w:rPr>
          <w:sz w:val="16"/>
          <w:szCs w:val="16"/>
        </w:rPr>
        <w:t xml:space="preserve">Author’s translation: </w:t>
      </w:r>
      <w:r>
        <w:rPr>
          <w:sz w:val="16"/>
          <w:szCs w:val="16"/>
        </w:rPr>
        <w:t>T</w:t>
      </w:r>
      <w:r w:rsidRPr="00CC5D34">
        <w:rPr>
          <w:sz w:val="16"/>
          <w:szCs w:val="16"/>
        </w:rPr>
        <w:t>ogether you are strong</w:t>
      </w:r>
      <w:r>
        <w:rPr>
          <w:sz w:val="16"/>
          <w:szCs w:val="16"/>
        </w:rPr>
        <w:t>er</w:t>
      </w:r>
    </w:p>
  </w:footnote>
  <w:footnote w:id="9">
    <w:p w:rsidR="005E7764" w:rsidRPr="006D4912" w:rsidRDefault="005E7764" w:rsidP="00EB0FCC">
      <w:pPr>
        <w:pStyle w:val="FootnoteText"/>
        <w:rPr>
          <w:i/>
          <w:lang w:val="nl-NL"/>
        </w:rPr>
      </w:pPr>
      <w:r>
        <w:rPr>
          <w:rStyle w:val="FootnoteReference"/>
        </w:rPr>
        <w:footnoteRef/>
      </w:r>
      <w:r w:rsidRPr="006D4912">
        <w:rPr>
          <w:lang w:val="nl-NL"/>
        </w:rPr>
        <w:t xml:space="preserve"> </w:t>
      </w:r>
      <w:r>
        <w:rPr>
          <w:lang w:val="nl-NL"/>
        </w:rPr>
        <w:t xml:space="preserve">Q1: </w:t>
      </w:r>
      <w:r>
        <w:rPr>
          <w:i/>
          <w:lang w:val="nl-NL"/>
        </w:rPr>
        <w:t>Hoeveel vertrouwen heeft u in uw pensioeninstelling?</w:t>
      </w:r>
    </w:p>
  </w:footnote>
  <w:footnote w:id="10">
    <w:p w:rsidR="005E7764" w:rsidRPr="00A56A2E" w:rsidRDefault="005E7764" w:rsidP="00EB0FCC">
      <w:pPr>
        <w:pStyle w:val="FootnoteText"/>
        <w:rPr>
          <w:sz w:val="16"/>
          <w:szCs w:val="16"/>
          <w:lang w:val="nl-NL"/>
        </w:rPr>
      </w:pPr>
      <w:r>
        <w:rPr>
          <w:rStyle w:val="FootnoteReference"/>
        </w:rPr>
        <w:footnoteRef/>
      </w:r>
      <w:r w:rsidRPr="004B702C">
        <w:rPr>
          <w:lang w:val="nl-NL"/>
        </w:rPr>
        <w:t xml:space="preserve"> </w:t>
      </w:r>
      <w:r w:rsidRPr="00A56A2E">
        <w:rPr>
          <w:sz w:val="16"/>
          <w:szCs w:val="16"/>
          <w:lang w:val="nl-NL"/>
        </w:rPr>
        <w:t xml:space="preserve">Q2: </w:t>
      </w:r>
      <w:r w:rsidRPr="00A56A2E">
        <w:rPr>
          <w:rFonts w:cstheme="minorHAnsi"/>
          <w:i/>
          <w:sz w:val="16"/>
          <w:szCs w:val="16"/>
          <w:lang w:val="nl-NL"/>
        </w:rPr>
        <w:t>Is dit vertrouwen recentelijk veranderd? Wat was het niveau hiervoor</w:t>
      </w:r>
      <w:r w:rsidRPr="00A56A2E">
        <w:rPr>
          <w:rFonts w:cstheme="minorHAnsi"/>
          <w:sz w:val="16"/>
          <w:szCs w:val="16"/>
          <w:lang w:val="nl-NL"/>
        </w:rPr>
        <w:t>?</w:t>
      </w:r>
    </w:p>
  </w:footnote>
  <w:footnote w:id="11">
    <w:p w:rsidR="005E7764" w:rsidRPr="00A56A2E" w:rsidRDefault="005E7764" w:rsidP="00EB0FCC">
      <w:pPr>
        <w:pStyle w:val="NoSpacing"/>
        <w:jc w:val="both"/>
        <w:rPr>
          <w:i/>
          <w:sz w:val="16"/>
          <w:szCs w:val="16"/>
          <w:lang w:val="nl-NL"/>
        </w:rPr>
      </w:pPr>
      <w:r w:rsidRPr="00A56A2E">
        <w:rPr>
          <w:rStyle w:val="FootnoteReference"/>
          <w:sz w:val="16"/>
          <w:szCs w:val="16"/>
        </w:rPr>
        <w:footnoteRef/>
      </w:r>
      <w:r w:rsidRPr="00A56A2E">
        <w:rPr>
          <w:sz w:val="16"/>
          <w:szCs w:val="16"/>
          <w:lang w:val="nl-NL"/>
        </w:rPr>
        <w:t xml:space="preserve"> Q3.</w:t>
      </w:r>
      <w:r w:rsidRPr="00A56A2E">
        <w:rPr>
          <w:i/>
          <w:sz w:val="16"/>
          <w:szCs w:val="16"/>
          <w:lang w:val="nl-NL"/>
        </w:rPr>
        <w:t xml:space="preserve"> Zou een toename in vertrouwen in uw pensioenfonds, effect hebben op uw risico   houding? Anders gezegd; Als u uw pensioenfonds meer vertrouwd. Zou dit voor een verandering zorgen in het risico dat u bereid bent te (laten) nemen met u pensioen gelden. [ In achtnemende dat risico en rendement gerelateerd zijn]*</w:t>
      </w:r>
    </w:p>
    <w:p w:rsidR="005E7764" w:rsidRPr="00A56A2E" w:rsidRDefault="005E7764" w:rsidP="00EB0FCC">
      <w:pPr>
        <w:pStyle w:val="NoSpacing"/>
        <w:jc w:val="both"/>
        <w:rPr>
          <w:i/>
          <w:sz w:val="16"/>
          <w:szCs w:val="16"/>
          <w:lang w:val="nl-NL"/>
        </w:rPr>
      </w:pPr>
      <w:r w:rsidRPr="00A56A2E">
        <w:rPr>
          <w:i/>
          <w:sz w:val="16"/>
          <w:szCs w:val="16"/>
          <w:lang w:val="nl-NL"/>
        </w:rPr>
        <w:t>Ja (een toename in risico zou geen probleem zijn)  -/-  Nee (Meer vertrouwen acht ik niet van belang)</w:t>
      </w:r>
    </w:p>
  </w:footnote>
  <w:footnote w:id="12">
    <w:p w:rsidR="005E7764" w:rsidRPr="00A56A2E" w:rsidRDefault="005E7764" w:rsidP="00EB0FCC">
      <w:pPr>
        <w:spacing w:line="240" w:lineRule="auto"/>
        <w:rPr>
          <w:sz w:val="16"/>
          <w:szCs w:val="16"/>
          <w:lang w:val="nl-NL"/>
        </w:rPr>
      </w:pPr>
      <w:r w:rsidRPr="00A56A2E">
        <w:rPr>
          <w:rStyle w:val="FootnoteReference"/>
          <w:sz w:val="16"/>
          <w:szCs w:val="16"/>
        </w:rPr>
        <w:footnoteRef/>
      </w:r>
      <w:r w:rsidRPr="00A56A2E">
        <w:rPr>
          <w:sz w:val="16"/>
          <w:szCs w:val="16"/>
          <w:lang w:val="nl-NL"/>
        </w:rPr>
        <w:t xml:space="preserve"> Q4. </w:t>
      </w:r>
      <w:r w:rsidRPr="00A56A2E">
        <w:rPr>
          <w:i/>
          <w:sz w:val="16"/>
          <w:szCs w:val="16"/>
          <w:lang w:val="nl-NL"/>
        </w:rPr>
        <w:t>In hoeverre is het vertrouwen dat u heeft in uw pensioenfonds, en de medewerkers,</w:t>
      </w:r>
      <w:r w:rsidRPr="00A56A2E">
        <w:rPr>
          <w:i/>
          <w:color w:val="FFFFFF" w:themeColor="background1"/>
          <w:sz w:val="16"/>
          <w:szCs w:val="16"/>
          <w:lang w:val="nl-NL"/>
        </w:rPr>
        <w:t>.</w:t>
      </w:r>
      <w:r w:rsidRPr="00A56A2E">
        <w:rPr>
          <w:i/>
          <w:sz w:val="16"/>
          <w:szCs w:val="16"/>
          <w:lang w:val="nl-NL"/>
        </w:rPr>
        <w:t>onderhevig aan uw kennis en begrip van wat zij doen?</w:t>
      </w:r>
    </w:p>
  </w:footnote>
  <w:footnote w:id="13">
    <w:p w:rsidR="005E7764" w:rsidRPr="006707D5" w:rsidRDefault="005E7764" w:rsidP="00EB0FCC">
      <w:pPr>
        <w:pStyle w:val="NoSpacing"/>
        <w:rPr>
          <w:b/>
          <w:sz w:val="16"/>
          <w:szCs w:val="16"/>
        </w:rPr>
      </w:pPr>
      <w:r w:rsidRPr="00C86DC5">
        <w:rPr>
          <w:rStyle w:val="FootnoteReference"/>
          <w:sz w:val="16"/>
          <w:szCs w:val="16"/>
        </w:rPr>
        <w:footnoteRef/>
      </w:r>
      <w:r w:rsidRPr="006707D5">
        <w:rPr>
          <w:sz w:val="16"/>
          <w:szCs w:val="16"/>
        </w:rPr>
        <w:t xml:space="preserve"> CBS Statline Gender</w:t>
      </w:r>
    </w:p>
  </w:footnote>
  <w:footnote w:id="14">
    <w:p w:rsidR="005E7764" w:rsidRPr="003F6F78" w:rsidRDefault="005E7764" w:rsidP="00EB0FCC">
      <w:pPr>
        <w:pStyle w:val="FootnoteText"/>
        <w:rPr>
          <w:sz w:val="16"/>
          <w:szCs w:val="16"/>
        </w:rPr>
      </w:pPr>
      <w:r w:rsidRPr="003F6F78">
        <w:rPr>
          <w:rStyle w:val="FootnoteReference"/>
          <w:sz w:val="16"/>
          <w:szCs w:val="16"/>
        </w:rPr>
        <w:footnoteRef/>
      </w:r>
      <w:r w:rsidRPr="003F6F78">
        <w:rPr>
          <w:sz w:val="16"/>
          <w:szCs w:val="16"/>
        </w:rPr>
        <w:t xml:space="preserve"> </w:t>
      </w:r>
      <w:r>
        <w:rPr>
          <w:sz w:val="16"/>
          <w:szCs w:val="16"/>
        </w:rPr>
        <w:t>CBS Statline Age</w:t>
      </w:r>
    </w:p>
  </w:footnote>
  <w:footnote w:id="15">
    <w:p w:rsidR="005E7764" w:rsidRDefault="005E7764" w:rsidP="00EB0FCC">
      <w:pPr>
        <w:pStyle w:val="FootnoteText"/>
      </w:pPr>
      <w:r>
        <w:rPr>
          <w:rStyle w:val="FootnoteReference"/>
        </w:rPr>
        <w:footnoteRef/>
      </w:r>
      <w:r>
        <w:t xml:space="preserve"> CBS statline Income</w:t>
      </w:r>
    </w:p>
  </w:footnote>
  <w:footnote w:id="16">
    <w:p w:rsidR="005E7764" w:rsidRPr="008F6DFF" w:rsidRDefault="005E7764" w:rsidP="000831F3">
      <w:pPr>
        <w:pStyle w:val="FootnoteText"/>
        <w:rPr>
          <w:sz w:val="16"/>
          <w:szCs w:val="16"/>
        </w:rPr>
      </w:pPr>
      <w:r>
        <w:rPr>
          <w:rStyle w:val="FootnoteReference"/>
        </w:rPr>
        <w:footnoteRef/>
      </w:r>
      <w:r w:rsidRPr="008F6DFF">
        <w:rPr>
          <w:sz w:val="16"/>
          <w:szCs w:val="16"/>
        </w:rPr>
        <w:t xml:space="preserve">Author’s translation: </w:t>
      </w:r>
      <w:r w:rsidRPr="008F6DFF">
        <w:rPr>
          <w:i/>
          <w:sz w:val="16"/>
          <w:szCs w:val="16"/>
        </w:rPr>
        <w:t>Individual choice, united strength; clarity means certainty for the labourmakret and pensions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E0D"/>
    <w:multiLevelType w:val="hybridMultilevel"/>
    <w:tmpl w:val="D256BD38"/>
    <w:lvl w:ilvl="0" w:tplc="603662E2">
      <w:start w:val="1"/>
      <w:numFmt w:val="bullet"/>
      <w:lvlText w:val="□"/>
      <w:lvlJc w:val="left"/>
      <w:pPr>
        <w:ind w:left="108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D668B3"/>
    <w:multiLevelType w:val="hybridMultilevel"/>
    <w:tmpl w:val="EB6C47D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0038FB"/>
    <w:multiLevelType w:val="hybridMultilevel"/>
    <w:tmpl w:val="4AB0CD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725CE3"/>
    <w:multiLevelType w:val="hybridMultilevel"/>
    <w:tmpl w:val="81341FD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85E32CB"/>
    <w:multiLevelType w:val="hybridMultilevel"/>
    <w:tmpl w:val="B7AA9A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ADF2C41"/>
    <w:multiLevelType w:val="hybridMultilevel"/>
    <w:tmpl w:val="E7F2D9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E306A42"/>
    <w:multiLevelType w:val="hybridMultilevel"/>
    <w:tmpl w:val="C4E06034"/>
    <w:lvl w:ilvl="0" w:tplc="BDFC022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18A7FBC"/>
    <w:multiLevelType w:val="hybridMultilevel"/>
    <w:tmpl w:val="2BD27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91595"/>
    <w:multiLevelType w:val="hybridMultilevel"/>
    <w:tmpl w:val="3652704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53247D1"/>
    <w:multiLevelType w:val="hybridMultilevel"/>
    <w:tmpl w:val="C1324D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7851030"/>
    <w:multiLevelType w:val="hybridMultilevel"/>
    <w:tmpl w:val="6D7E17C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AD63E1A"/>
    <w:multiLevelType w:val="hybridMultilevel"/>
    <w:tmpl w:val="2BEEB6C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E7065A7"/>
    <w:multiLevelType w:val="hybridMultilevel"/>
    <w:tmpl w:val="F27ABA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EFB3FEA"/>
    <w:multiLevelType w:val="hybridMultilevel"/>
    <w:tmpl w:val="7D3256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F122F24"/>
    <w:multiLevelType w:val="hybridMultilevel"/>
    <w:tmpl w:val="66F063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F3D1437"/>
    <w:multiLevelType w:val="hybridMultilevel"/>
    <w:tmpl w:val="8AB6F9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6F82A1C"/>
    <w:multiLevelType w:val="hybridMultilevel"/>
    <w:tmpl w:val="7D0EFA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9462883"/>
    <w:multiLevelType w:val="hybridMultilevel"/>
    <w:tmpl w:val="675805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9CE7BE7"/>
    <w:multiLevelType w:val="hybridMultilevel"/>
    <w:tmpl w:val="1C9E240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E2A3E3B"/>
    <w:multiLevelType w:val="multilevel"/>
    <w:tmpl w:val="E4C885D6"/>
    <w:lvl w:ilvl="0">
      <w:start w:val="1"/>
      <w:numFmt w:val="decimal"/>
      <w:lvlText w:val="%1"/>
      <w:lvlJc w:val="left"/>
      <w:pPr>
        <w:ind w:left="360" w:hanging="360"/>
      </w:pPr>
      <w:rPr>
        <w:rFonts w:hint="default"/>
      </w:rPr>
    </w:lvl>
    <w:lvl w:ilvl="1">
      <w:start w:val="1"/>
      <w:numFmt w:val="decimal"/>
      <w:pStyle w:val="Vin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4E8676E"/>
    <w:multiLevelType w:val="hybridMultilevel"/>
    <w:tmpl w:val="9E581A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6BD2FE9"/>
    <w:multiLevelType w:val="hybridMultilevel"/>
    <w:tmpl w:val="73EEE64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D73258C"/>
    <w:multiLevelType w:val="hybridMultilevel"/>
    <w:tmpl w:val="63E83B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EB83798"/>
    <w:multiLevelType w:val="hybridMultilevel"/>
    <w:tmpl w:val="F15AD01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48C3456"/>
    <w:multiLevelType w:val="hybridMultilevel"/>
    <w:tmpl w:val="4086D4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6D87492"/>
    <w:multiLevelType w:val="hybridMultilevel"/>
    <w:tmpl w:val="D018B8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6E72ED8"/>
    <w:multiLevelType w:val="hybridMultilevel"/>
    <w:tmpl w:val="B0E4BB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7A3564A"/>
    <w:multiLevelType w:val="hybridMultilevel"/>
    <w:tmpl w:val="2EC83C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C016E5E"/>
    <w:multiLevelType w:val="hybridMultilevel"/>
    <w:tmpl w:val="9CCA7D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C7964B0"/>
    <w:multiLevelType w:val="hybridMultilevel"/>
    <w:tmpl w:val="0332147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E3D0C44"/>
    <w:multiLevelType w:val="hybridMultilevel"/>
    <w:tmpl w:val="751AEA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1CB726F"/>
    <w:multiLevelType w:val="hybridMultilevel"/>
    <w:tmpl w:val="8D28DC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2A92834"/>
    <w:multiLevelType w:val="hybridMultilevel"/>
    <w:tmpl w:val="183E45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64669D5"/>
    <w:multiLevelType w:val="hybridMultilevel"/>
    <w:tmpl w:val="A3F472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A9A6B57"/>
    <w:multiLevelType w:val="hybridMultilevel"/>
    <w:tmpl w:val="FF3C324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ADD79F5"/>
    <w:multiLevelType w:val="hybridMultilevel"/>
    <w:tmpl w:val="C80021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C7343ED"/>
    <w:multiLevelType w:val="hybridMultilevel"/>
    <w:tmpl w:val="4A12F83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1830AEA"/>
    <w:multiLevelType w:val="hybridMultilevel"/>
    <w:tmpl w:val="341C917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29462A5"/>
    <w:multiLevelType w:val="hybridMultilevel"/>
    <w:tmpl w:val="3E2450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2F31824"/>
    <w:multiLevelType w:val="hybridMultilevel"/>
    <w:tmpl w:val="96A831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73DF12A2"/>
    <w:multiLevelType w:val="hybridMultilevel"/>
    <w:tmpl w:val="02FA73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6486976"/>
    <w:multiLevelType w:val="hybridMultilevel"/>
    <w:tmpl w:val="451E1B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93532A5"/>
    <w:multiLevelType w:val="hybridMultilevel"/>
    <w:tmpl w:val="4A1A2B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7"/>
  </w:num>
  <w:num w:numId="4">
    <w:abstractNumId w:val="19"/>
  </w:num>
  <w:num w:numId="5">
    <w:abstractNumId w:val="5"/>
  </w:num>
  <w:num w:numId="6">
    <w:abstractNumId w:val="37"/>
  </w:num>
  <w:num w:numId="7">
    <w:abstractNumId w:val="0"/>
  </w:num>
  <w:num w:numId="8">
    <w:abstractNumId w:val="11"/>
  </w:num>
  <w:num w:numId="9">
    <w:abstractNumId w:val="6"/>
  </w:num>
  <w:num w:numId="10">
    <w:abstractNumId w:val="17"/>
  </w:num>
  <w:num w:numId="11">
    <w:abstractNumId w:val="27"/>
  </w:num>
  <w:num w:numId="12">
    <w:abstractNumId w:val="13"/>
  </w:num>
  <w:num w:numId="13">
    <w:abstractNumId w:val="35"/>
  </w:num>
  <w:num w:numId="14">
    <w:abstractNumId w:val="20"/>
  </w:num>
  <w:num w:numId="15">
    <w:abstractNumId w:val="24"/>
  </w:num>
  <w:num w:numId="16">
    <w:abstractNumId w:val="18"/>
  </w:num>
  <w:num w:numId="17">
    <w:abstractNumId w:val="23"/>
  </w:num>
  <w:num w:numId="18">
    <w:abstractNumId w:val="12"/>
  </w:num>
  <w:num w:numId="19">
    <w:abstractNumId w:val="2"/>
  </w:num>
  <w:num w:numId="20">
    <w:abstractNumId w:val="10"/>
  </w:num>
  <w:num w:numId="21">
    <w:abstractNumId w:val="41"/>
  </w:num>
  <w:num w:numId="22">
    <w:abstractNumId w:val="16"/>
  </w:num>
  <w:num w:numId="23">
    <w:abstractNumId w:val="31"/>
  </w:num>
  <w:num w:numId="24">
    <w:abstractNumId w:val="38"/>
  </w:num>
  <w:num w:numId="25">
    <w:abstractNumId w:val="8"/>
  </w:num>
  <w:num w:numId="26">
    <w:abstractNumId w:val="26"/>
  </w:num>
  <w:num w:numId="27">
    <w:abstractNumId w:val="25"/>
  </w:num>
  <w:num w:numId="28">
    <w:abstractNumId w:val="3"/>
  </w:num>
  <w:num w:numId="29">
    <w:abstractNumId w:val="21"/>
  </w:num>
  <w:num w:numId="30">
    <w:abstractNumId w:val="39"/>
  </w:num>
  <w:num w:numId="31">
    <w:abstractNumId w:val="15"/>
  </w:num>
  <w:num w:numId="32">
    <w:abstractNumId w:val="9"/>
  </w:num>
  <w:num w:numId="33">
    <w:abstractNumId w:val="42"/>
  </w:num>
  <w:num w:numId="34">
    <w:abstractNumId w:val="14"/>
  </w:num>
  <w:num w:numId="35">
    <w:abstractNumId w:val="36"/>
  </w:num>
  <w:num w:numId="36">
    <w:abstractNumId w:val="4"/>
  </w:num>
  <w:num w:numId="37">
    <w:abstractNumId w:val="22"/>
  </w:num>
  <w:num w:numId="38">
    <w:abstractNumId w:val="32"/>
  </w:num>
  <w:num w:numId="39">
    <w:abstractNumId w:val="33"/>
  </w:num>
  <w:num w:numId="40">
    <w:abstractNumId w:val="1"/>
  </w:num>
  <w:num w:numId="41">
    <w:abstractNumId w:val="29"/>
  </w:num>
  <w:num w:numId="42">
    <w:abstractNumId w:val="40"/>
  </w:num>
  <w:num w:numId="43">
    <w:abstractNumId w:val="30"/>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TrackMoves/>
  <w:doNotTrackFormatting/>
  <w:defaultTabStop w:val="720"/>
  <w:hyphenationZone w:val="425"/>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seFELayout/>
  </w:compat>
  <w:rsids>
    <w:rsidRoot w:val="0016586C"/>
    <w:rsid w:val="000010D5"/>
    <w:rsid w:val="00006F8D"/>
    <w:rsid w:val="00017DC9"/>
    <w:rsid w:val="0002239F"/>
    <w:rsid w:val="00030074"/>
    <w:rsid w:val="00035829"/>
    <w:rsid w:val="00057CC9"/>
    <w:rsid w:val="00067544"/>
    <w:rsid w:val="000717F8"/>
    <w:rsid w:val="00081BD2"/>
    <w:rsid w:val="000830E2"/>
    <w:rsid w:val="000831F3"/>
    <w:rsid w:val="00084155"/>
    <w:rsid w:val="00092672"/>
    <w:rsid w:val="000A37D3"/>
    <w:rsid w:val="000A402C"/>
    <w:rsid w:val="000A6CC4"/>
    <w:rsid w:val="000B2A41"/>
    <w:rsid w:val="000B58D3"/>
    <w:rsid w:val="000C40F2"/>
    <w:rsid w:val="000D1C45"/>
    <w:rsid w:val="000D338D"/>
    <w:rsid w:val="000D4F95"/>
    <w:rsid w:val="000D6FFB"/>
    <w:rsid w:val="000D7906"/>
    <w:rsid w:val="000E1838"/>
    <w:rsid w:val="000E48A9"/>
    <w:rsid w:val="000F70A2"/>
    <w:rsid w:val="000F76CD"/>
    <w:rsid w:val="00101314"/>
    <w:rsid w:val="00101D7D"/>
    <w:rsid w:val="00104419"/>
    <w:rsid w:val="00113C29"/>
    <w:rsid w:val="00127EEF"/>
    <w:rsid w:val="001505CA"/>
    <w:rsid w:val="001638B1"/>
    <w:rsid w:val="0016586C"/>
    <w:rsid w:val="00175B28"/>
    <w:rsid w:val="001772B2"/>
    <w:rsid w:val="00181820"/>
    <w:rsid w:val="0018207B"/>
    <w:rsid w:val="001827E7"/>
    <w:rsid w:val="00183795"/>
    <w:rsid w:val="001918DA"/>
    <w:rsid w:val="00191901"/>
    <w:rsid w:val="001923D9"/>
    <w:rsid w:val="001A1369"/>
    <w:rsid w:val="001A1F39"/>
    <w:rsid w:val="001A6472"/>
    <w:rsid w:val="001B1061"/>
    <w:rsid w:val="001B11C0"/>
    <w:rsid w:val="001B127A"/>
    <w:rsid w:val="001B392F"/>
    <w:rsid w:val="001B3F39"/>
    <w:rsid w:val="001B5144"/>
    <w:rsid w:val="001B7ABD"/>
    <w:rsid w:val="001C06B4"/>
    <w:rsid w:val="001C2AA2"/>
    <w:rsid w:val="001C3B3F"/>
    <w:rsid w:val="001C53D9"/>
    <w:rsid w:val="001C7473"/>
    <w:rsid w:val="001D0EC6"/>
    <w:rsid w:val="001D30BE"/>
    <w:rsid w:val="001D66A5"/>
    <w:rsid w:val="001E08B7"/>
    <w:rsid w:val="001E78DC"/>
    <w:rsid w:val="001F3433"/>
    <w:rsid w:val="001F7F45"/>
    <w:rsid w:val="00203A05"/>
    <w:rsid w:val="00204D4B"/>
    <w:rsid w:val="00204DE9"/>
    <w:rsid w:val="002059A9"/>
    <w:rsid w:val="0021417F"/>
    <w:rsid w:val="002146E3"/>
    <w:rsid w:val="00221544"/>
    <w:rsid w:val="00236417"/>
    <w:rsid w:val="00240796"/>
    <w:rsid w:val="00244CE2"/>
    <w:rsid w:val="00266C93"/>
    <w:rsid w:val="00276AFF"/>
    <w:rsid w:val="00280EE0"/>
    <w:rsid w:val="00286071"/>
    <w:rsid w:val="0029012D"/>
    <w:rsid w:val="002A16FD"/>
    <w:rsid w:val="002A6366"/>
    <w:rsid w:val="002A7E2F"/>
    <w:rsid w:val="002B0E04"/>
    <w:rsid w:val="002B23F9"/>
    <w:rsid w:val="002B44FD"/>
    <w:rsid w:val="002B5C1C"/>
    <w:rsid w:val="002C5360"/>
    <w:rsid w:val="002C6B74"/>
    <w:rsid w:val="002D1372"/>
    <w:rsid w:val="002D18BB"/>
    <w:rsid w:val="002D4552"/>
    <w:rsid w:val="002E7ACD"/>
    <w:rsid w:val="00300D77"/>
    <w:rsid w:val="00301814"/>
    <w:rsid w:val="003061CD"/>
    <w:rsid w:val="00306F74"/>
    <w:rsid w:val="00307D18"/>
    <w:rsid w:val="00320A55"/>
    <w:rsid w:val="0032755B"/>
    <w:rsid w:val="003414E0"/>
    <w:rsid w:val="0034170C"/>
    <w:rsid w:val="003423CD"/>
    <w:rsid w:val="00342857"/>
    <w:rsid w:val="00350855"/>
    <w:rsid w:val="00360278"/>
    <w:rsid w:val="00360CB1"/>
    <w:rsid w:val="00375535"/>
    <w:rsid w:val="00377071"/>
    <w:rsid w:val="00381467"/>
    <w:rsid w:val="00384244"/>
    <w:rsid w:val="003844A8"/>
    <w:rsid w:val="00392D77"/>
    <w:rsid w:val="003A0447"/>
    <w:rsid w:val="003A0AFA"/>
    <w:rsid w:val="003A798F"/>
    <w:rsid w:val="003B7AD5"/>
    <w:rsid w:val="003C7BF9"/>
    <w:rsid w:val="003F0510"/>
    <w:rsid w:val="003F08FA"/>
    <w:rsid w:val="003F6045"/>
    <w:rsid w:val="004014D8"/>
    <w:rsid w:val="00403C07"/>
    <w:rsid w:val="00405932"/>
    <w:rsid w:val="004072D0"/>
    <w:rsid w:val="00407F9F"/>
    <w:rsid w:val="00411F87"/>
    <w:rsid w:val="0041220D"/>
    <w:rsid w:val="004165EF"/>
    <w:rsid w:val="00420264"/>
    <w:rsid w:val="004257AB"/>
    <w:rsid w:val="00425DFA"/>
    <w:rsid w:val="004275A3"/>
    <w:rsid w:val="00432EAC"/>
    <w:rsid w:val="00442C65"/>
    <w:rsid w:val="00443F53"/>
    <w:rsid w:val="004503B4"/>
    <w:rsid w:val="004610FA"/>
    <w:rsid w:val="00472F67"/>
    <w:rsid w:val="0048520D"/>
    <w:rsid w:val="004878D1"/>
    <w:rsid w:val="004929CF"/>
    <w:rsid w:val="004A4D6F"/>
    <w:rsid w:val="004B5A27"/>
    <w:rsid w:val="004B7B9A"/>
    <w:rsid w:val="004C5A08"/>
    <w:rsid w:val="004D5E27"/>
    <w:rsid w:val="004D7B2A"/>
    <w:rsid w:val="004E00EA"/>
    <w:rsid w:val="004E496D"/>
    <w:rsid w:val="004F0F71"/>
    <w:rsid w:val="004F55F6"/>
    <w:rsid w:val="00504992"/>
    <w:rsid w:val="00510FC8"/>
    <w:rsid w:val="00515E54"/>
    <w:rsid w:val="0052372E"/>
    <w:rsid w:val="00530A87"/>
    <w:rsid w:val="005457D9"/>
    <w:rsid w:val="00547E96"/>
    <w:rsid w:val="005549BE"/>
    <w:rsid w:val="0056268D"/>
    <w:rsid w:val="00566816"/>
    <w:rsid w:val="00570869"/>
    <w:rsid w:val="00571483"/>
    <w:rsid w:val="005726E9"/>
    <w:rsid w:val="00574118"/>
    <w:rsid w:val="00575E43"/>
    <w:rsid w:val="005822B4"/>
    <w:rsid w:val="0058283E"/>
    <w:rsid w:val="005852DF"/>
    <w:rsid w:val="005939A9"/>
    <w:rsid w:val="0059429C"/>
    <w:rsid w:val="005A142B"/>
    <w:rsid w:val="005B2CF9"/>
    <w:rsid w:val="005B7760"/>
    <w:rsid w:val="005C02C5"/>
    <w:rsid w:val="005C3B8D"/>
    <w:rsid w:val="005C4D89"/>
    <w:rsid w:val="005E0606"/>
    <w:rsid w:val="005E7764"/>
    <w:rsid w:val="00605E7A"/>
    <w:rsid w:val="006145DB"/>
    <w:rsid w:val="006215DD"/>
    <w:rsid w:val="00622A9B"/>
    <w:rsid w:val="006277D0"/>
    <w:rsid w:val="0064318B"/>
    <w:rsid w:val="006439DC"/>
    <w:rsid w:val="00645A46"/>
    <w:rsid w:val="006477C0"/>
    <w:rsid w:val="00655491"/>
    <w:rsid w:val="006754F9"/>
    <w:rsid w:val="006842F0"/>
    <w:rsid w:val="006A0183"/>
    <w:rsid w:val="006A62E6"/>
    <w:rsid w:val="006A69C7"/>
    <w:rsid w:val="006B0ED5"/>
    <w:rsid w:val="006B3569"/>
    <w:rsid w:val="006D0574"/>
    <w:rsid w:val="006D4FBF"/>
    <w:rsid w:val="006E036E"/>
    <w:rsid w:val="006E0745"/>
    <w:rsid w:val="006E2ED6"/>
    <w:rsid w:val="006F1050"/>
    <w:rsid w:val="007055FE"/>
    <w:rsid w:val="00711A72"/>
    <w:rsid w:val="00711FB3"/>
    <w:rsid w:val="007250EB"/>
    <w:rsid w:val="00731CFA"/>
    <w:rsid w:val="00732240"/>
    <w:rsid w:val="00733E64"/>
    <w:rsid w:val="007419D5"/>
    <w:rsid w:val="0075434C"/>
    <w:rsid w:val="0075505A"/>
    <w:rsid w:val="007551BD"/>
    <w:rsid w:val="00760871"/>
    <w:rsid w:val="0076164A"/>
    <w:rsid w:val="007629D5"/>
    <w:rsid w:val="00783C2E"/>
    <w:rsid w:val="00790E1C"/>
    <w:rsid w:val="00796081"/>
    <w:rsid w:val="007A1A09"/>
    <w:rsid w:val="007A58D3"/>
    <w:rsid w:val="007A7164"/>
    <w:rsid w:val="007C70EE"/>
    <w:rsid w:val="007D3B06"/>
    <w:rsid w:val="007D554F"/>
    <w:rsid w:val="007D62ED"/>
    <w:rsid w:val="007E7592"/>
    <w:rsid w:val="007F035F"/>
    <w:rsid w:val="00800C45"/>
    <w:rsid w:val="00801AA1"/>
    <w:rsid w:val="00806853"/>
    <w:rsid w:val="008073EC"/>
    <w:rsid w:val="00815830"/>
    <w:rsid w:val="008255ED"/>
    <w:rsid w:val="00833842"/>
    <w:rsid w:val="00834B83"/>
    <w:rsid w:val="00834B87"/>
    <w:rsid w:val="008370D3"/>
    <w:rsid w:val="008419B1"/>
    <w:rsid w:val="00851485"/>
    <w:rsid w:val="008534A2"/>
    <w:rsid w:val="008625EE"/>
    <w:rsid w:val="00862816"/>
    <w:rsid w:val="00863A2C"/>
    <w:rsid w:val="00871383"/>
    <w:rsid w:val="00893895"/>
    <w:rsid w:val="00896639"/>
    <w:rsid w:val="008A5721"/>
    <w:rsid w:val="008B7611"/>
    <w:rsid w:val="008C02B0"/>
    <w:rsid w:val="008C300C"/>
    <w:rsid w:val="008D1B7B"/>
    <w:rsid w:val="008D32CE"/>
    <w:rsid w:val="008D6DE9"/>
    <w:rsid w:val="008E0C11"/>
    <w:rsid w:val="008E27FB"/>
    <w:rsid w:val="008E4491"/>
    <w:rsid w:val="008F2FE3"/>
    <w:rsid w:val="008F3CFE"/>
    <w:rsid w:val="00902B95"/>
    <w:rsid w:val="00905B11"/>
    <w:rsid w:val="00907D50"/>
    <w:rsid w:val="00911B77"/>
    <w:rsid w:val="009203F9"/>
    <w:rsid w:val="00921243"/>
    <w:rsid w:val="00922559"/>
    <w:rsid w:val="00927A93"/>
    <w:rsid w:val="00933E88"/>
    <w:rsid w:val="009371E0"/>
    <w:rsid w:val="00940794"/>
    <w:rsid w:val="00943FD3"/>
    <w:rsid w:val="00950037"/>
    <w:rsid w:val="009501DF"/>
    <w:rsid w:val="00984E56"/>
    <w:rsid w:val="009938B7"/>
    <w:rsid w:val="00994099"/>
    <w:rsid w:val="009A076F"/>
    <w:rsid w:val="009B3B06"/>
    <w:rsid w:val="009B7515"/>
    <w:rsid w:val="009C2064"/>
    <w:rsid w:val="009D5425"/>
    <w:rsid w:val="009E19FE"/>
    <w:rsid w:val="009F4C49"/>
    <w:rsid w:val="00A12F33"/>
    <w:rsid w:val="00A14AFB"/>
    <w:rsid w:val="00A23D0D"/>
    <w:rsid w:val="00A26614"/>
    <w:rsid w:val="00A31FAA"/>
    <w:rsid w:val="00A32BFC"/>
    <w:rsid w:val="00A34660"/>
    <w:rsid w:val="00A3534E"/>
    <w:rsid w:val="00A418B8"/>
    <w:rsid w:val="00A46113"/>
    <w:rsid w:val="00A46A50"/>
    <w:rsid w:val="00A54B7F"/>
    <w:rsid w:val="00A61AFC"/>
    <w:rsid w:val="00A67A57"/>
    <w:rsid w:val="00A8577C"/>
    <w:rsid w:val="00A85D20"/>
    <w:rsid w:val="00AA10EB"/>
    <w:rsid w:val="00AA2C7D"/>
    <w:rsid w:val="00AB0BD6"/>
    <w:rsid w:val="00AB12C6"/>
    <w:rsid w:val="00AC0456"/>
    <w:rsid w:val="00AC2EAF"/>
    <w:rsid w:val="00AC6B1E"/>
    <w:rsid w:val="00AD20DE"/>
    <w:rsid w:val="00AD27E8"/>
    <w:rsid w:val="00AE14E9"/>
    <w:rsid w:val="00AE7BE5"/>
    <w:rsid w:val="00AE7D5B"/>
    <w:rsid w:val="00AF76FB"/>
    <w:rsid w:val="00B0225A"/>
    <w:rsid w:val="00B05B60"/>
    <w:rsid w:val="00B05E91"/>
    <w:rsid w:val="00B15449"/>
    <w:rsid w:val="00B24080"/>
    <w:rsid w:val="00B3150A"/>
    <w:rsid w:val="00B45519"/>
    <w:rsid w:val="00B46F8C"/>
    <w:rsid w:val="00B47228"/>
    <w:rsid w:val="00B5004C"/>
    <w:rsid w:val="00B54132"/>
    <w:rsid w:val="00B603E0"/>
    <w:rsid w:val="00B656B4"/>
    <w:rsid w:val="00B65882"/>
    <w:rsid w:val="00B76B09"/>
    <w:rsid w:val="00B7732A"/>
    <w:rsid w:val="00B80307"/>
    <w:rsid w:val="00B972E2"/>
    <w:rsid w:val="00BA3C66"/>
    <w:rsid w:val="00BB2EB2"/>
    <w:rsid w:val="00BC0916"/>
    <w:rsid w:val="00BC184B"/>
    <w:rsid w:val="00BC3A83"/>
    <w:rsid w:val="00BD0791"/>
    <w:rsid w:val="00BE1FF6"/>
    <w:rsid w:val="00BF0BFE"/>
    <w:rsid w:val="00BF0CF9"/>
    <w:rsid w:val="00BF1FDA"/>
    <w:rsid w:val="00BF49AB"/>
    <w:rsid w:val="00C04296"/>
    <w:rsid w:val="00C05149"/>
    <w:rsid w:val="00C07218"/>
    <w:rsid w:val="00C10F5A"/>
    <w:rsid w:val="00C155F0"/>
    <w:rsid w:val="00C16F32"/>
    <w:rsid w:val="00C2368C"/>
    <w:rsid w:val="00C41823"/>
    <w:rsid w:val="00C4708F"/>
    <w:rsid w:val="00C7031F"/>
    <w:rsid w:val="00C73663"/>
    <w:rsid w:val="00C758DB"/>
    <w:rsid w:val="00C81F1C"/>
    <w:rsid w:val="00C82D74"/>
    <w:rsid w:val="00C91C79"/>
    <w:rsid w:val="00C91CF3"/>
    <w:rsid w:val="00C94F9E"/>
    <w:rsid w:val="00CA799B"/>
    <w:rsid w:val="00CB0631"/>
    <w:rsid w:val="00CB2A0B"/>
    <w:rsid w:val="00CB360F"/>
    <w:rsid w:val="00CB5B09"/>
    <w:rsid w:val="00CC17A1"/>
    <w:rsid w:val="00CC24FF"/>
    <w:rsid w:val="00CC48A8"/>
    <w:rsid w:val="00CC4A53"/>
    <w:rsid w:val="00CC7473"/>
    <w:rsid w:val="00CE0B0F"/>
    <w:rsid w:val="00CE2495"/>
    <w:rsid w:val="00CE503A"/>
    <w:rsid w:val="00CF1F98"/>
    <w:rsid w:val="00CF2B45"/>
    <w:rsid w:val="00CF5C9E"/>
    <w:rsid w:val="00CF5E35"/>
    <w:rsid w:val="00D02A0B"/>
    <w:rsid w:val="00D05CA9"/>
    <w:rsid w:val="00D077A9"/>
    <w:rsid w:val="00D1333F"/>
    <w:rsid w:val="00D2345F"/>
    <w:rsid w:val="00D2432E"/>
    <w:rsid w:val="00D25236"/>
    <w:rsid w:val="00D25F39"/>
    <w:rsid w:val="00D260C5"/>
    <w:rsid w:val="00D30563"/>
    <w:rsid w:val="00D311EA"/>
    <w:rsid w:val="00D314E0"/>
    <w:rsid w:val="00D4047C"/>
    <w:rsid w:val="00D41A4D"/>
    <w:rsid w:val="00D432C4"/>
    <w:rsid w:val="00D43439"/>
    <w:rsid w:val="00D51696"/>
    <w:rsid w:val="00D8244B"/>
    <w:rsid w:val="00DA3364"/>
    <w:rsid w:val="00DA69CF"/>
    <w:rsid w:val="00DD4305"/>
    <w:rsid w:val="00DD584C"/>
    <w:rsid w:val="00DE5FE9"/>
    <w:rsid w:val="00DE7C91"/>
    <w:rsid w:val="00DF36C5"/>
    <w:rsid w:val="00E02CA9"/>
    <w:rsid w:val="00E033AB"/>
    <w:rsid w:val="00E06C3C"/>
    <w:rsid w:val="00E06E03"/>
    <w:rsid w:val="00E10195"/>
    <w:rsid w:val="00E21B7F"/>
    <w:rsid w:val="00E40FC7"/>
    <w:rsid w:val="00E433FF"/>
    <w:rsid w:val="00E44BB7"/>
    <w:rsid w:val="00E51D2F"/>
    <w:rsid w:val="00E57E36"/>
    <w:rsid w:val="00E605CF"/>
    <w:rsid w:val="00E63439"/>
    <w:rsid w:val="00E714FF"/>
    <w:rsid w:val="00E769A6"/>
    <w:rsid w:val="00E83521"/>
    <w:rsid w:val="00E919A6"/>
    <w:rsid w:val="00EA1A7D"/>
    <w:rsid w:val="00EA3CB7"/>
    <w:rsid w:val="00EA4555"/>
    <w:rsid w:val="00EA4B3A"/>
    <w:rsid w:val="00EA67F2"/>
    <w:rsid w:val="00EA791D"/>
    <w:rsid w:val="00EB0FCC"/>
    <w:rsid w:val="00EB5497"/>
    <w:rsid w:val="00EB69AA"/>
    <w:rsid w:val="00EC1FE0"/>
    <w:rsid w:val="00EC43B8"/>
    <w:rsid w:val="00EC6C85"/>
    <w:rsid w:val="00ED7376"/>
    <w:rsid w:val="00EE004F"/>
    <w:rsid w:val="00EE62AC"/>
    <w:rsid w:val="00EF36AF"/>
    <w:rsid w:val="00F05A9C"/>
    <w:rsid w:val="00F21FAC"/>
    <w:rsid w:val="00F26F52"/>
    <w:rsid w:val="00F32D0B"/>
    <w:rsid w:val="00F518F2"/>
    <w:rsid w:val="00F51F9B"/>
    <w:rsid w:val="00F52BC0"/>
    <w:rsid w:val="00F533CD"/>
    <w:rsid w:val="00F54E8D"/>
    <w:rsid w:val="00F6068C"/>
    <w:rsid w:val="00F64370"/>
    <w:rsid w:val="00F64A2C"/>
    <w:rsid w:val="00F64C80"/>
    <w:rsid w:val="00F67714"/>
    <w:rsid w:val="00F6774C"/>
    <w:rsid w:val="00F711C6"/>
    <w:rsid w:val="00F74087"/>
    <w:rsid w:val="00F81ADD"/>
    <w:rsid w:val="00F864DF"/>
    <w:rsid w:val="00F86EBB"/>
    <w:rsid w:val="00F9351D"/>
    <w:rsid w:val="00FA29A8"/>
    <w:rsid w:val="00FA3729"/>
    <w:rsid w:val="00FA5F9C"/>
    <w:rsid w:val="00FC0A47"/>
    <w:rsid w:val="00FC137A"/>
    <w:rsid w:val="00FC7AB7"/>
    <w:rsid w:val="00FD1F95"/>
    <w:rsid w:val="00FD6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91"/>
  </w:style>
  <w:style w:type="paragraph" w:styleId="Heading1">
    <w:name w:val="heading 1"/>
    <w:basedOn w:val="Normal"/>
    <w:next w:val="Normal"/>
    <w:link w:val="Heading1Char"/>
    <w:uiPriority w:val="9"/>
    <w:qFormat/>
    <w:rsid w:val="00236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64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3641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64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5149"/>
    <w:pPr>
      <w:spacing w:after="0" w:line="240" w:lineRule="auto"/>
    </w:pPr>
  </w:style>
  <w:style w:type="character" w:styleId="CommentReference">
    <w:name w:val="annotation reference"/>
    <w:basedOn w:val="DefaultParagraphFont"/>
    <w:uiPriority w:val="99"/>
    <w:semiHidden/>
    <w:unhideWhenUsed/>
    <w:rsid w:val="00EC1FE0"/>
    <w:rPr>
      <w:sz w:val="16"/>
      <w:szCs w:val="16"/>
    </w:rPr>
  </w:style>
  <w:style w:type="paragraph" w:styleId="CommentText">
    <w:name w:val="annotation text"/>
    <w:basedOn w:val="Normal"/>
    <w:link w:val="CommentTextChar"/>
    <w:uiPriority w:val="99"/>
    <w:semiHidden/>
    <w:unhideWhenUsed/>
    <w:rsid w:val="00EC1FE0"/>
    <w:pPr>
      <w:spacing w:line="240" w:lineRule="auto"/>
    </w:pPr>
    <w:rPr>
      <w:sz w:val="20"/>
      <w:szCs w:val="20"/>
    </w:rPr>
  </w:style>
  <w:style w:type="character" w:customStyle="1" w:styleId="CommentTextChar">
    <w:name w:val="Comment Text Char"/>
    <w:basedOn w:val="DefaultParagraphFont"/>
    <w:link w:val="CommentText"/>
    <w:uiPriority w:val="99"/>
    <w:semiHidden/>
    <w:rsid w:val="00EC1FE0"/>
    <w:rPr>
      <w:sz w:val="20"/>
      <w:szCs w:val="20"/>
    </w:rPr>
  </w:style>
  <w:style w:type="paragraph" w:styleId="CommentSubject">
    <w:name w:val="annotation subject"/>
    <w:basedOn w:val="CommentText"/>
    <w:next w:val="CommentText"/>
    <w:link w:val="CommentSubjectChar"/>
    <w:uiPriority w:val="99"/>
    <w:semiHidden/>
    <w:unhideWhenUsed/>
    <w:rsid w:val="00EC1FE0"/>
    <w:rPr>
      <w:b/>
      <w:bCs/>
    </w:rPr>
  </w:style>
  <w:style w:type="character" w:customStyle="1" w:styleId="CommentSubjectChar">
    <w:name w:val="Comment Subject Char"/>
    <w:basedOn w:val="CommentTextChar"/>
    <w:link w:val="CommentSubject"/>
    <w:uiPriority w:val="99"/>
    <w:semiHidden/>
    <w:rsid w:val="00EC1FE0"/>
    <w:rPr>
      <w:b/>
      <w:bCs/>
      <w:sz w:val="20"/>
      <w:szCs w:val="20"/>
    </w:rPr>
  </w:style>
  <w:style w:type="paragraph" w:styleId="BalloonText">
    <w:name w:val="Balloon Text"/>
    <w:basedOn w:val="Normal"/>
    <w:link w:val="BalloonTextChar"/>
    <w:uiPriority w:val="99"/>
    <w:semiHidden/>
    <w:unhideWhenUsed/>
    <w:rsid w:val="00EC1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FE0"/>
    <w:rPr>
      <w:rFonts w:ascii="Tahoma" w:hAnsi="Tahoma" w:cs="Tahoma"/>
      <w:sz w:val="16"/>
      <w:szCs w:val="16"/>
    </w:rPr>
  </w:style>
  <w:style w:type="paragraph" w:styleId="Header">
    <w:name w:val="header"/>
    <w:basedOn w:val="Normal"/>
    <w:link w:val="HeaderChar"/>
    <w:uiPriority w:val="99"/>
    <w:unhideWhenUsed/>
    <w:rsid w:val="008D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2CE"/>
  </w:style>
  <w:style w:type="paragraph" w:styleId="Footer">
    <w:name w:val="footer"/>
    <w:basedOn w:val="Normal"/>
    <w:link w:val="FooterChar"/>
    <w:uiPriority w:val="99"/>
    <w:unhideWhenUsed/>
    <w:rsid w:val="008D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2CE"/>
  </w:style>
  <w:style w:type="table" w:styleId="TableGrid">
    <w:name w:val="Table Grid"/>
    <w:basedOn w:val="TableNormal"/>
    <w:uiPriority w:val="59"/>
    <w:rsid w:val="00B80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80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307"/>
    <w:rPr>
      <w:sz w:val="20"/>
      <w:szCs w:val="20"/>
    </w:rPr>
  </w:style>
  <w:style w:type="character" w:styleId="FootnoteReference">
    <w:name w:val="footnote reference"/>
    <w:basedOn w:val="DefaultParagraphFont"/>
    <w:uiPriority w:val="99"/>
    <w:semiHidden/>
    <w:unhideWhenUsed/>
    <w:rsid w:val="00B80307"/>
    <w:rPr>
      <w:vertAlign w:val="superscript"/>
    </w:rPr>
  </w:style>
  <w:style w:type="paragraph" w:customStyle="1" w:styleId="VVV">
    <w:name w:val="VVV"/>
    <w:basedOn w:val="NoSpacing"/>
    <w:link w:val="VVVChar"/>
    <w:qFormat/>
    <w:rsid w:val="002B23F9"/>
    <w:pPr>
      <w:spacing w:line="360" w:lineRule="auto"/>
    </w:pPr>
  </w:style>
  <w:style w:type="character" w:customStyle="1" w:styleId="NoSpacingChar">
    <w:name w:val="No Spacing Char"/>
    <w:basedOn w:val="DefaultParagraphFont"/>
    <w:link w:val="NoSpacing"/>
    <w:uiPriority w:val="1"/>
    <w:rsid w:val="002B23F9"/>
  </w:style>
  <w:style w:type="character" w:customStyle="1" w:styleId="VVVChar">
    <w:name w:val="VVV Char"/>
    <w:basedOn w:val="NoSpacingChar"/>
    <w:link w:val="VVV"/>
    <w:rsid w:val="002B23F9"/>
  </w:style>
  <w:style w:type="character" w:customStyle="1" w:styleId="Heading1Char">
    <w:name w:val="Heading 1 Char"/>
    <w:basedOn w:val="DefaultParagraphFont"/>
    <w:link w:val="Heading1"/>
    <w:uiPriority w:val="9"/>
    <w:rsid w:val="002364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64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3641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36417"/>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236417"/>
  </w:style>
  <w:style w:type="character" w:styleId="Hyperlink">
    <w:name w:val="Hyperlink"/>
    <w:uiPriority w:val="99"/>
    <w:unhideWhenUsed/>
    <w:rsid w:val="00236417"/>
    <w:rPr>
      <w:color w:val="0000FF"/>
      <w:u w:val="single"/>
    </w:rPr>
  </w:style>
  <w:style w:type="paragraph" w:styleId="Revision">
    <w:name w:val="Revision"/>
    <w:hidden/>
    <w:uiPriority w:val="99"/>
    <w:semiHidden/>
    <w:rsid w:val="00236417"/>
    <w:pPr>
      <w:spacing w:after="0" w:line="240" w:lineRule="auto"/>
    </w:pPr>
    <w:rPr>
      <w:rFonts w:ascii="Calibri" w:eastAsia="Times New Roman" w:hAnsi="Calibri" w:cs="Times New Roman"/>
    </w:rPr>
  </w:style>
  <w:style w:type="paragraph" w:styleId="ListParagraph">
    <w:name w:val="List Paragraph"/>
    <w:basedOn w:val="Normal"/>
    <w:uiPriority w:val="34"/>
    <w:qFormat/>
    <w:rsid w:val="00236417"/>
    <w:pPr>
      <w:ind w:left="720"/>
      <w:contextualSpacing/>
    </w:pPr>
    <w:rPr>
      <w:rFonts w:ascii="Calibri" w:eastAsia="Times New Roman" w:hAnsi="Calibri" w:cs="Times New Roman"/>
    </w:rPr>
  </w:style>
  <w:style w:type="paragraph" w:styleId="Title">
    <w:name w:val="Title"/>
    <w:basedOn w:val="Normal"/>
    <w:next w:val="Normal"/>
    <w:link w:val="TitleChar"/>
    <w:uiPriority w:val="10"/>
    <w:qFormat/>
    <w:rsid w:val="002364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6417"/>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342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831F3"/>
    <w:rPr>
      <w:i/>
      <w:iCs/>
    </w:rPr>
  </w:style>
  <w:style w:type="paragraph" w:customStyle="1" w:styleId="VIN1">
    <w:name w:val="VIN1"/>
    <w:basedOn w:val="Heading1"/>
    <w:link w:val="VIN1Char"/>
    <w:qFormat/>
    <w:rsid w:val="0021417F"/>
    <w:rPr>
      <w:rFonts w:asciiTheme="minorHAnsi" w:hAnsiTheme="minorHAnsi"/>
      <w:b w:val="0"/>
      <w:color w:val="1F497D" w:themeColor="text2"/>
    </w:rPr>
  </w:style>
  <w:style w:type="paragraph" w:customStyle="1" w:styleId="Vin2">
    <w:name w:val="Vin2"/>
    <w:basedOn w:val="Heading2"/>
    <w:link w:val="Vin2Char"/>
    <w:qFormat/>
    <w:rsid w:val="0021417F"/>
    <w:pPr>
      <w:numPr>
        <w:ilvl w:val="1"/>
        <w:numId w:val="1"/>
      </w:numPr>
      <w:spacing w:line="360" w:lineRule="auto"/>
    </w:pPr>
    <w:rPr>
      <w:rFonts w:asciiTheme="minorHAnsi" w:hAnsiTheme="minorHAnsi"/>
      <w:b w:val="0"/>
      <w:color w:val="1F497D" w:themeColor="text2"/>
    </w:rPr>
  </w:style>
  <w:style w:type="character" w:customStyle="1" w:styleId="VIN1Char">
    <w:name w:val="VIN1 Char"/>
    <w:basedOn w:val="DefaultParagraphFont"/>
    <w:link w:val="VIN1"/>
    <w:rsid w:val="0021417F"/>
    <w:rPr>
      <w:rFonts w:eastAsiaTheme="majorEastAsia" w:cstheme="majorBidi"/>
      <w:bCs/>
      <w:color w:val="1F497D" w:themeColor="text2"/>
      <w:sz w:val="28"/>
      <w:szCs w:val="28"/>
    </w:rPr>
  </w:style>
  <w:style w:type="paragraph" w:customStyle="1" w:styleId="VIn33">
    <w:name w:val="VIn33"/>
    <w:basedOn w:val="Heading3"/>
    <w:link w:val="VIn33Char"/>
    <w:qFormat/>
    <w:rsid w:val="00907D50"/>
    <w:pPr>
      <w:spacing w:line="360" w:lineRule="auto"/>
    </w:pPr>
    <w:rPr>
      <w:rFonts w:asciiTheme="minorHAnsi" w:hAnsiTheme="minorHAnsi"/>
      <w:b w:val="0"/>
      <w:color w:val="1F497D" w:themeColor="text2"/>
      <w:sz w:val="24"/>
      <w:szCs w:val="24"/>
    </w:rPr>
  </w:style>
  <w:style w:type="character" w:customStyle="1" w:styleId="Vin2Char">
    <w:name w:val="Vin2 Char"/>
    <w:basedOn w:val="NoSpacingChar"/>
    <w:link w:val="Vin2"/>
    <w:rsid w:val="0021417F"/>
    <w:rPr>
      <w:rFonts w:eastAsiaTheme="majorEastAsia" w:cstheme="majorBidi"/>
      <w:bCs/>
      <w:color w:val="1F497D" w:themeColor="text2"/>
      <w:sz w:val="26"/>
      <w:szCs w:val="26"/>
    </w:rPr>
  </w:style>
  <w:style w:type="paragraph" w:styleId="TOCHeading">
    <w:name w:val="TOC Heading"/>
    <w:basedOn w:val="Heading1"/>
    <w:next w:val="Normal"/>
    <w:uiPriority w:val="39"/>
    <w:semiHidden/>
    <w:unhideWhenUsed/>
    <w:qFormat/>
    <w:rsid w:val="0021417F"/>
    <w:pPr>
      <w:outlineLvl w:val="9"/>
    </w:pPr>
    <w:rPr>
      <w:lang w:eastAsia="ja-JP"/>
    </w:rPr>
  </w:style>
  <w:style w:type="character" w:customStyle="1" w:styleId="VIn33Char">
    <w:name w:val="VIn33 Char"/>
    <w:basedOn w:val="NoSpacingChar"/>
    <w:link w:val="VIn33"/>
    <w:rsid w:val="00907D50"/>
    <w:rPr>
      <w:rFonts w:eastAsiaTheme="majorEastAsia" w:cstheme="majorBidi"/>
      <w:bCs/>
      <w:color w:val="1F497D" w:themeColor="text2"/>
      <w:sz w:val="24"/>
      <w:szCs w:val="24"/>
    </w:rPr>
  </w:style>
  <w:style w:type="paragraph" w:styleId="TOC1">
    <w:name w:val="toc 1"/>
    <w:basedOn w:val="VIN1"/>
    <w:next w:val="VIn33"/>
    <w:autoRedefine/>
    <w:uiPriority w:val="39"/>
    <w:unhideWhenUsed/>
    <w:rsid w:val="0021417F"/>
    <w:pPr>
      <w:keepNext w:val="0"/>
      <w:keepLines w:val="0"/>
      <w:spacing w:before="120" w:after="120"/>
      <w:outlineLvl w:val="9"/>
    </w:pPr>
    <w:rPr>
      <w:rFonts w:eastAsiaTheme="minorEastAsia" w:cstheme="minorHAnsi"/>
      <w:b/>
      <w:caps/>
      <w:color w:val="auto"/>
      <w:sz w:val="20"/>
      <w:szCs w:val="20"/>
    </w:rPr>
  </w:style>
  <w:style w:type="paragraph" w:styleId="TOC2">
    <w:name w:val="toc 2"/>
    <w:basedOn w:val="Normal"/>
    <w:next w:val="Normal"/>
    <w:autoRedefine/>
    <w:uiPriority w:val="39"/>
    <w:unhideWhenUsed/>
    <w:rsid w:val="008C02B0"/>
    <w:pPr>
      <w:spacing w:after="0"/>
      <w:ind w:left="220"/>
    </w:pPr>
    <w:rPr>
      <w:rFonts w:cstheme="minorHAnsi"/>
      <w:smallCaps/>
      <w:sz w:val="20"/>
      <w:szCs w:val="20"/>
    </w:rPr>
  </w:style>
  <w:style w:type="paragraph" w:styleId="TOC3">
    <w:name w:val="toc 3"/>
    <w:basedOn w:val="Normal"/>
    <w:next w:val="Normal"/>
    <w:autoRedefine/>
    <w:uiPriority w:val="39"/>
    <w:unhideWhenUsed/>
    <w:rsid w:val="008C02B0"/>
    <w:pPr>
      <w:spacing w:after="0"/>
      <w:ind w:left="440"/>
    </w:pPr>
    <w:rPr>
      <w:rFonts w:cstheme="minorHAnsi"/>
      <w:i/>
      <w:iCs/>
      <w:sz w:val="20"/>
      <w:szCs w:val="20"/>
    </w:rPr>
  </w:style>
  <w:style w:type="paragraph" w:styleId="TOC4">
    <w:name w:val="toc 4"/>
    <w:basedOn w:val="Normal"/>
    <w:next w:val="Normal"/>
    <w:autoRedefine/>
    <w:uiPriority w:val="39"/>
    <w:unhideWhenUsed/>
    <w:rsid w:val="008C02B0"/>
    <w:pPr>
      <w:spacing w:after="0"/>
      <w:ind w:left="660"/>
    </w:pPr>
    <w:rPr>
      <w:rFonts w:cstheme="minorHAnsi"/>
      <w:sz w:val="18"/>
      <w:szCs w:val="18"/>
    </w:rPr>
  </w:style>
  <w:style w:type="paragraph" w:styleId="TOC5">
    <w:name w:val="toc 5"/>
    <w:basedOn w:val="Normal"/>
    <w:next w:val="Normal"/>
    <w:autoRedefine/>
    <w:uiPriority w:val="39"/>
    <w:unhideWhenUsed/>
    <w:rsid w:val="008C02B0"/>
    <w:pPr>
      <w:spacing w:after="0"/>
      <w:ind w:left="880"/>
    </w:pPr>
    <w:rPr>
      <w:rFonts w:cstheme="minorHAnsi"/>
      <w:sz w:val="18"/>
      <w:szCs w:val="18"/>
    </w:rPr>
  </w:style>
  <w:style w:type="paragraph" w:styleId="TOC6">
    <w:name w:val="toc 6"/>
    <w:basedOn w:val="Normal"/>
    <w:next w:val="Normal"/>
    <w:autoRedefine/>
    <w:uiPriority w:val="39"/>
    <w:unhideWhenUsed/>
    <w:rsid w:val="008C02B0"/>
    <w:pPr>
      <w:spacing w:after="0"/>
      <w:ind w:left="1100"/>
    </w:pPr>
    <w:rPr>
      <w:rFonts w:cstheme="minorHAnsi"/>
      <w:sz w:val="18"/>
      <w:szCs w:val="18"/>
    </w:rPr>
  </w:style>
  <w:style w:type="paragraph" w:styleId="TOC7">
    <w:name w:val="toc 7"/>
    <w:basedOn w:val="Normal"/>
    <w:next w:val="Normal"/>
    <w:autoRedefine/>
    <w:uiPriority w:val="39"/>
    <w:unhideWhenUsed/>
    <w:rsid w:val="008C02B0"/>
    <w:pPr>
      <w:spacing w:after="0"/>
      <w:ind w:left="1320"/>
    </w:pPr>
    <w:rPr>
      <w:rFonts w:cstheme="minorHAnsi"/>
      <w:sz w:val="18"/>
      <w:szCs w:val="18"/>
    </w:rPr>
  </w:style>
  <w:style w:type="paragraph" w:styleId="TOC8">
    <w:name w:val="toc 8"/>
    <w:basedOn w:val="Normal"/>
    <w:next w:val="Normal"/>
    <w:autoRedefine/>
    <w:uiPriority w:val="39"/>
    <w:unhideWhenUsed/>
    <w:rsid w:val="008C02B0"/>
    <w:pPr>
      <w:spacing w:after="0"/>
      <w:ind w:left="1540"/>
    </w:pPr>
    <w:rPr>
      <w:rFonts w:cstheme="minorHAnsi"/>
      <w:sz w:val="18"/>
      <w:szCs w:val="18"/>
    </w:rPr>
  </w:style>
  <w:style w:type="paragraph" w:styleId="TOC9">
    <w:name w:val="toc 9"/>
    <w:basedOn w:val="Normal"/>
    <w:next w:val="Normal"/>
    <w:autoRedefine/>
    <w:uiPriority w:val="39"/>
    <w:unhideWhenUsed/>
    <w:rsid w:val="008C02B0"/>
    <w:pPr>
      <w:spacing w:after="0"/>
      <w:ind w:left="1760"/>
    </w:pPr>
    <w:rPr>
      <w:rFonts w:cstheme="minorHAnsi"/>
      <w:sz w:val="18"/>
      <w:szCs w:val="18"/>
    </w:rPr>
  </w:style>
  <w:style w:type="character" w:customStyle="1" w:styleId="citation">
    <w:name w:val="citation"/>
    <w:basedOn w:val="DefaultParagraphFont"/>
    <w:rsid w:val="00893895"/>
  </w:style>
  <w:style w:type="character" w:customStyle="1" w:styleId="creators">
    <w:name w:val="creators"/>
    <w:basedOn w:val="DefaultParagraphFont"/>
    <w:rsid w:val="00893895"/>
  </w:style>
  <w:style w:type="character" w:customStyle="1" w:styleId="personname">
    <w:name w:val="person_name"/>
    <w:basedOn w:val="DefaultParagraphFont"/>
    <w:rsid w:val="00893895"/>
  </w:style>
  <w:style w:type="character" w:customStyle="1" w:styleId="date">
    <w:name w:val="date"/>
    <w:basedOn w:val="DefaultParagraphFont"/>
    <w:rsid w:val="00893895"/>
  </w:style>
  <w:style w:type="character" w:customStyle="1" w:styleId="title0">
    <w:name w:val="title"/>
    <w:basedOn w:val="DefaultParagraphFont"/>
    <w:rsid w:val="00893895"/>
  </w:style>
  <w:style w:type="character" w:customStyle="1" w:styleId="eventlocation">
    <w:name w:val="event_location"/>
    <w:basedOn w:val="DefaultParagraphFont"/>
    <w:rsid w:val="00893895"/>
  </w:style>
  <w:style w:type="character" w:customStyle="1" w:styleId="daterange">
    <w:name w:val="date_range"/>
    <w:basedOn w:val="DefaultParagraphFont"/>
    <w:rsid w:val="00893895"/>
  </w:style>
  <w:style w:type="character" w:customStyle="1" w:styleId="publisher">
    <w:name w:val="publisher"/>
    <w:basedOn w:val="DefaultParagraphFont"/>
    <w:rsid w:val="00893895"/>
  </w:style>
  <w:style w:type="character" w:customStyle="1" w:styleId="pagerange">
    <w:name w:val="pagerange"/>
    <w:basedOn w:val="DefaultParagraphFont"/>
    <w:rsid w:val="00893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6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64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3641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64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5149"/>
    <w:pPr>
      <w:spacing w:after="0" w:line="240" w:lineRule="auto"/>
    </w:pPr>
  </w:style>
  <w:style w:type="character" w:styleId="CommentReference">
    <w:name w:val="annotation reference"/>
    <w:basedOn w:val="DefaultParagraphFont"/>
    <w:uiPriority w:val="99"/>
    <w:semiHidden/>
    <w:unhideWhenUsed/>
    <w:rsid w:val="00EC1FE0"/>
    <w:rPr>
      <w:sz w:val="16"/>
      <w:szCs w:val="16"/>
    </w:rPr>
  </w:style>
  <w:style w:type="paragraph" w:styleId="CommentText">
    <w:name w:val="annotation text"/>
    <w:basedOn w:val="Normal"/>
    <w:link w:val="CommentTextChar"/>
    <w:uiPriority w:val="99"/>
    <w:semiHidden/>
    <w:unhideWhenUsed/>
    <w:rsid w:val="00EC1FE0"/>
    <w:pPr>
      <w:spacing w:line="240" w:lineRule="auto"/>
    </w:pPr>
    <w:rPr>
      <w:sz w:val="20"/>
      <w:szCs w:val="20"/>
    </w:rPr>
  </w:style>
  <w:style w:type="character" w:customStyle="1" w:styleId="CommentTextChar">
    <w:name w:val="Comment Text Char"/>
    <w:basedOn w:val="DefaultParagraphFont"/>
    <w:link w:val="CommentText"/>
    <w:uiPriority w:val="99"/>
    <w:semiHidden/>
    <w:rsid w:val="00EC1FE0"/>
    <w:rPr>
      <w:sz w:val="20"/>
      <w:szCs w:val="20"/>
    </w:rPr>
  </w:style>
  <w:style w:type="paragraph" w:styleId="CommentSubject">
    <w:name w:val="annotation subject"/>
    <w:basedOn w:val="CommentText"/>
    <w:next w:val="CommentText"/>
    <w:link w:val="CommentSubjectChar"/>
    <w:uiPriority w:val="99"/>
    <w:semiHidden/>
    <w:unhideWhenUsed/>
    <w:rsid w:val="00EC1FE0"/>
    <w:rPr>
      <w:b/>
      <w:bCs/>
    </w:rPr>
  </w:style>
  <w:style w:type="character" w:customStyle="1" w:styleId="CommentSubjectChar">
    <w:name w:val="Comment Subject Char"/>
    <w:basedOn w:val="CommentTextChar"/>
    <w:link w:val="CommentSubject"/>
    <w:uiPriority w:val="99"/>
    <w:semiHidden/>
    <w:rsid w:val="00EC1FE0"/>
    <w:rPr>
      <w:b/>
      <w:bCs/>
      <w:sz w:val="20"/>
      <w:szCs w:val="20"/>
    </w:rPr>
  </w:style>
  <w:style w:type="paragraph" w:styleId="BalloonText">
    <w:name w:val="Balloon Text"/>
    <w:basedOn w:val="Normal"/>
    <w:link w:val="BalloonTextChar"/>
    <w:uiPriority w:val="99"/>
    <w:semiHidden/>
    <w:unhideWhenUsed/>
    <w:rsid w:val="00EC1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FE0"/>
    <w:rPr>
      <w:rFonts w:ascii="Tahoma" w:hAnsi="Tahoma" w:cs="Tahoma"/>
      <w:sz w:val="16"/>
      <w:szCs w:val="16"/>
    </w:rPr>
  </w:style>
  <w:style w:type="paragraph" w:styleId="Header">
    <w:name w:val="header"/>
    <w:basedOn w:val="Normal"/>
    <w:link w:val="HeaderChar"/>
    <w:uiPriority w:val="99"/>
    <w:unhideWhenUsed/>
    <w:rsid w:val="008D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2CE"/>
  </w:style>
  <w:style w:type="paragraph" w:styleId="Footer">
    <w:name w:val="footer"/>
    <w:basedOn w:val="Normal"/>
    <w:link w:val="FooterChar"/>
    <w:uiPriority w:val="99"/>
    <w:unhideWhenUsed/>
    <w:rsid w:val="008D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2CE"/>
  </w:style>
  <w:style w:type="table" w:styleId="TableGrid">
    <w:name w:val="Table Grid"/>
    <w:basedOn w:val="TableNormal"/>
    <w:uiPriority w:val="59"/>
    <w:rsid w:val="00B80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80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307"/>
    <w:rPr>
      <w:sz w:val="20"/>
      <w:szCs w:val="20"/>
    </w:rPr>
  </w:style>
  <w:style w:type="character" w:styleId="FootnoteReference">
    <w:name w:val="footnote reference"/>
    <w:basedOn w:val="DefaultParagraphFont"/>
    <w:uiPriority w:val="99"/>
    <w:semiHidden/>
    <w:unhideWhenUsed/>
    <w:rsid w:val="00B80307"/>
    <w:rPr>
      <w:vertAlign w:val="superscript"/>
    </w:rPr>
  </w:style>
  <w:style w:type="paragraph" w:customStyle="1" w:styleId="VVV">
    <w:name w:val="VVV"/>
    <w:basedOn w:val="NoSpacing"/>
    <w:link w:val="VVVChar"/>
    <w:qFormat/>
    <w:rsid w:val="002B23F9"/>
    <w:pPr>
      <w:spacing w:line="360" w:lineRule="auto"/>
    </w:pPr>
  </w:style>
  <w:style w:type="character" w:customStyle="1" w:styleId="NoSpacingChar">
    <w:name w:val="No Spacing Char"/>
    <w:basedOn w:val="DefaultParagraphFont"/>
    <w:link w:val="NoSpacing"/>
    <w:uiPriority w:val="1"/>
    <w:rsid w:val="002B23F9"/>
  </w:style>
  <w:style w:type="character" w:customStyle="1" w:styleId="VVVChar">
    <w:name w:val="VVV Char"/>
    <w:basedOn w:val="NoSpacingChar"/>
    <w:link w:val="VVV"/>
    <w:rsid w:val="002B23F9"/>
  </w:style>
  <w:style w:type="character" w:customStyle="1" w:styleId="Heading1Char">
    <w:name w:val="Heading 1 Char"/>
    <w:basedOn w:val="DefaultParagraphFont"/>
    <w:link w:val="Heading1"/>
    <w:uiPriority w:val="9"/>
    <w:rsid w:val="002364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64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3641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36417"/>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236417"/>
  </w:style>
  <w:style w:type="character" w:styleId="Hyperlink">
    <w:name w:val="Hyperlink"/>
    <w:uiPriority w:val="99"/>
    <w:unhideWhenUsed/>
    <w:rsid w:val="00236417"/>
    <w:rPr>
      <w:color w:val="0000FF"/>
      <w:u w:val="single"/>
    </w:rPr>
  </w:style>
  <w:style w:type="paragraph" w:styleId="Revision">
    <w:name w:val="Revision"/>
    <w:hidden/>
    <w:uiPriority w:val="99"/>
    <w:semiHidden/>
    <w:rsid w:val="00236417"/>
    <w:pPr>
      <w:spacing w:after="0" w:line="240" w:lineRule="auto"/>
    </w:pPr>
    <w:rPr>
      <w:rFonts w:ascii="Calibri" w:eastAsia="Times New Roman" w:hAnsi="Calibri" w:cs="Times New Roman"/>
    </w:rPr>
  </w:style>
  <w:style w:type="paragraph" w:styleId="ListParagraph">
    <w:name w:val="List Paragraph"/>
    <w:basedOn w:val="Normal"/>
    <w:uiPriority w:val="34"/>
    <w:qFormat/>
    <w:rsid w:val="00236417"/>
    <w:pPr>
      <w:ind w:left="720"/>
      <w:contextualSpacing/>
    </w:pPr>
    <w:rPr>
      <w:rFonts w:ascii="Calibri" w:eastAsia="Times New Roman" w:hAnsi="Calibri" w:cs="Times New Roman"/>
    </w:rPr>
  </w:style>
  <w:style w:type="paragraph" w:styleId="Title">
    <w:name w:val="Title"/>
    <w:basedOn w:val="Normal"/>
    <w:next w:val="Normal"/>
    <w:link w:val="TitleChar"/>
    <w:uiPriority w:val="10"/>
    <w:qFormat/>
    <w:rsid w:val="002364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6417"/>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342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831F3"/>
    <w:rPr>
      <w:i/>
      <w:iCs/>
    </w:rPr>
  </w:style>
  <w:style w:type="paragraph" w:customStyle="1" w:styleId="VIN1">
    <w:name w:val="VIN1"/>
    <w:basedOn w:val="Heading1"/>
    <w:link w:val="VIN1Char"/>
    <w:qFormat/>
    <w:rsid w:val="0021417F"/>
    <w:rPr>
      <w:rFonts w:asciiTheme="minorHAnsi" w:hAnsiTheme="minorHAnsi"/>
      <w:b w:val="0"/>
      <w:color w:val="1F497D" w:themeColor="text2"/>
    </w:rPr>
  </w:style>
  <w:style w:type="paragraph" w:customStyle="1" w:styleId="Vin2">
    <w:name w:val="Vin2"/>
    <w:basedOn w:val="Heading2"/>
    <w:link w:val="Vin2Char"/>
    <w:qFormat/>
    <w:rsid w:val="0021417F"/>
    <w:pPr>
      <w:numPr>
        <w:ilvl w:val="1"/>
        <w:numId w:val="1"/>
      </w:numPr>
      <w:spacing w:line="360" w:lineRule="auto"/>
    </w:pPr>
    <w:rPr>
      <w:rFonts w:asciiTheme="minorHAnsi" w:hAnsiTheme="minorHAnsi"/>
      <w:b w:val="0"/>
      <w:color w:val="1F497D" w:themeColor="text2"/>
    </w:rPr>
  </w:style>
  <w:style w:type="character" w:customStyle="1" w:styleId="VIN1Char">
    <w:name w:val="VIN1 Char"/>
    <w:basedOn w:val="DefaultParagraphFont"/>
    <w:link w:val="VIN1"/>
    <w:rsid w:val="0021417F"/>
    <w:rPr>
      <w:rFonts w:eastAsiaTheme="majorEastAsia" w:cstheme="majorBidi"/>
      <w:bCs/>
      <w:color w:val="1F497D" w:themeColor="text2"/>
      <w:sz w:val="28"/>
      <w:szCs w:val="28"/>
    </w:rPr>
  </w:style>
  <w:style w:type="paragraph" w:customStyle="1" w:styleId="VIn33">
    <w:name w:val="VIn33"/>
    <w:basedOn w:val="Heading3"/>
    <w:link w:val="VIn33Char"/>
    <w:qFormat/>
    <w:rsid w:val="00907D50"/>
    <w:pPr>
      <w:spacing w:line="360" w:lineRule="auto"/>
    </w:pPr>
    <w:rPr>
      <w:rFonts w:asciiTheme="minorHAnsi" w:hAnsiTheme="minorHAnsi"/>
      <w:b w:val="0"/>
      <w:color w:val="1F497D" w:themeColor="text2"/>
      <w:sz w:val="24"/>
      <w:szCs w:val="24"/>
    </w:rPr>
  </w:style>
  <w:style w:type="character" w:customStyle="1" w:styleId="Vin2Char">
    <w:name w:val="Vin2 Char"/>
    <w:basedOn w:val="NoSpacingChar"/>
    <w:link w:val="Vin2"/>
    <w:rsid w:val="0021417F"/>
    <w:rPr>
      <w:rFonts w:eastAsiaTheme="majorEastAsia" w:cstheme="majorBidi"/>
      <w:bCs/>
      <w:color w:val="1F497D" w:themeColor="text2"/>
      <w:sz w:val="26"/>
      <w:szCs w:val="26"/>
    </w:rPr>
  </w:style>
  <w:style w:type="paragraph" w:styleId="TOCHeading">
    <w:name w:val="TOC Heading"/>
    <w:basedOn w:val="Heading1"/>
    <w:next w:val="Normal"/>
    <w:uiPriority w:val="39"/>
    <w:semiHidden/>
    <w:unhideWhenUsed/>
    <w:qFormat/>
    <w:rsid w:val="0021417F"/>
    <w:pPr>
      <w:outlineLvl w:val="9"/>
    </w:pPr>
    <w:rPr>
      <w:lang w:eastAsia="ja-JP"/>
    </w:rPr>
  </w:style>
  <w:style w:type="character" w:customStyle="1" w:styleId="VIn33Char">
    <w:name w:val="VIn33 Char"/>
    <w:basedOn w:val="NoSpacingChar"/>
    <w:link w:val="VIn33"/>
    <w:rsid w:val="00907D50"/>
    <w:rPr>
      <w:rFonts w:eastAsiaTheme="majorEastAsia" w:cstheme="majorBidi"/>
      <w:bCs/>
      <w:color w:val="1F497D" w:themeColor="text2"/>
      <w:sz w:val="24"/>
      <w:szCs w:val="24"/>
    </w:rPr>
  </w:style>
  <w:style w:type="paragraph" w:styleId="TOC1">
    <w:name w:val="toc 1"/>
    <w:basedOn w:val="VIN1"/>
    <w:next w:val="VIn33"/>
    <w:autoRedefine/>
    <w:uiPriority w:val="39"/>
    <w:unhideWhenUsed/>
    <w:rsid w:val="0021417F"/>
    <w:pPr>
      <w:keepNext w:val="0"/>
      <w:keepLines w:val="0"/>
      <w:spacing w:before="120" w:after="120"/>
      <w:outlineLvl w:val="9"/>
    </w:pPr>
    <w:rPr>
      <w:rFonts w:eastAsiaTheme="minorEastAsia" w:cstheme="minorHAnsi"/>
      <w:b/>
      <w:caps/>
      <w:color w:val="auto"/>
      <w:sz w:val="20"/>
      <w:szCs w:val="20"/>
    </w:rPr>
  </w:style>
  <w:style w:type="paragraph" w:styleId="TOC2">
    <w:name w:val="toc 2"/>
    <w:basedOn w:val="Normal"/>
    <w:next w:val="Normal"/>
    <w:autoRedefine/>
    <w:uiPriority w:val="39"/>
    <w:unhideWhenUsed/>
    <w:rsid w:val="008C02B0"/>
    <w:pPr>
      <w:spacing w:after="0"/>
      <w:ind w:left="220"/>
    </w:pPr>
    <w:rPr>
      <w:rFonts w:cstheme="minorHAnsi"/>
      <w:smallCaps/>
      <w:sz w:val="20"/>
      <w:szCs w:val="20"/>
    </w:rPr>
  </w:style>
  <w:style w:type="paragraph" w:styleId="TOC3">
    <w:name w:val="toc 3"/>
    <w:basedOn w:val="Normal"/>
    <w:next w:val="Normal"/>
    <w:autoRedefine/>
    <w:uiPriority w:val="39"/>
    <w:unhideWhenUsed/>
    <w:rsid w:val="008C02B0"/>
    <w:pPr>
      <w:spacing w:after="0"/>
      <w:ind w:left="440"/>
    </w:pPr>
    <w:rPr>
      <w:rFonts w:cstheme="minorHAnsi"/>
      <w:i/>
      <w:iCs/>
      <w:sz w:val="20"/>
      <w:szCs w:val="20"/>
    </w:rPr>
  </w:style>
  <w:style w:type="paragraph" w:styleId="TOC4">
    <w:name w:val="toc 4"/>
    <w:basedOn w:val="Normal"/>
    <w:next w:val="Normal"/>
    <w:autoRedefine/>
    <w:uiPriority w:val="39"/>
    <w:unhideWhenUsed/>
    <w:rsid w:val="008C02B0"/>
    <w:pPr>
      <w:spacing w:after="0"/>
      <w:ind w:left="660"/>
    </w:pPr>
    <w:rPr>
      <w:rFonts w:cstheme="minorHAnsi"/>
      <w:sz w:val="18"/>
      <w:szCs w:val="18"/>
    </w:rPr>
  </w:style>
  <w:style w:type="paragraph" w:styleId="TOC5">
    <w:name w:val="toc 5"/>
    <w:basedOn w:val="Normal"/>
    <w:next w:val="Normal"/>
    <w:autoRedefine/>
    <w:uiPriority w:val="39"/>
    <w:unhideWhenUsed/>
    <w:rsid w:val="008C02B0"/>
    <w:pPr>
      <w:spacing w:after="0"/>
      <w:ind w:left="880"/>
    </w:pPr>
    <w:rPr>
      <w:rFonts w:cstheme="minorHAnsi"/>
      <w:sz w:val="18"/>
      <w:szCs w:val="18"/>
    </w:rPr>
  </w:style>
  <w:style w:type="paragraph" w:styleId="TOC6">
    <w:name w:val="toc 6"/>
    <w:basedOn w:val="Normal"/>
    <w:next w:val="Normal"/>
    <w:autoRedefine/>
    <w:uiPriority w:val="39"/>
    <w:unhideWhenUsed/>
    <w:rsid w:val="008C02B0"/>
    <w:pPr>
      <w:spacing w:after="0"/>
      <w:ind w:left="1100"/>
    </w:pPr>
    <w:rPr>
      <w:rFonts w:cstheme="minorHAnsi"/>
      <w:sz w:val="18"/>
      <w:szCs w:val="18"/>
    </w:rPr>
  </w:style>
  <w:style w:type="paragraph" w:styleId="TOC7">
    <w:name w:val="toc 7"/>
    <w:basedOn w:val="Normal"/>
    <w:next w:val="Normal"/>
    <w:autoRedefine/>
    <w:uiPriority w:val="39"/>
    <w:unhideWhenUsed/>
    <w:rsid w:val="008C02B0"/>
    <w:pPr>
      <w:spacing w:after="0"/>
      <w:ind w:left="1320"/>
    </w:pPr>
    <w:rPr>
      <w:rFonts w:cstheme="minorHAnsi"/>
      <w:sz w:val="18"/>
      <w:szCs w:val="18"/>
    </w:rPr>
  </w:style>
  <w:style w:type="paragraph" w:styleId="TOC8">
    <w:name w:val="toc 8"/>
    <w:basedOn w:val="Normal"/>
    <w:next w:val="Normal"/>
    <w:autoRedefine/>
    <w:uiPriority w:val="39"/>
    <w:unhideWhenUsed/>
    <w:rsid w:val="008C02B0"/>
    <w:pPr>
      <w:spacing w:after="0"/>
      <w:ind w:left="1540"/>
    </w:pPr>
    <w:rPr>
      <w:rFonts w:cstheme="minorHAnsi"/>
      <w:sz w:val="18"/>
      <w:szCs w:val="18"/>
    </w:rPr>
  </w:style>
  <w:style w:type="paragraph" w:styleId="TOC9">
    <w:name w:val="toc 9"/>
    <w:basedOn w:val="Normal"/>
    <w:next w:val="Normal"/>
    <w:autoRedefine/>
    <w:uiPriority w:val="39"/>
    <w:unhideWhenUsed/>
    <w:rsid w:val="008C02B0"/>
    <w:pPr>
      <w:spacing w:after="0"/>
      <w:ind w:left="1760"/>
    </w:pPr>
    <w:rPr>
      <w:rFonts w:cstheme="minorHAnsi"/>
      <w:sz w:val="18"/>
      <w:szCs w:val="18"/>
    </w:rPr>
  </w:style>
  <w:style w:type="character" w:customStyle="1" w:styleId="citation">
    <w:name w:val="citation"/>
    <w:basedOn w:val="DefaultParagraphFont"/>
    <w:rsid w:val="00893895"/>
  </w:style>
  <w:style w:type="character" w:customStyle="1" w:styleId="creators">
    <w:name w:val="creators"/>
    <w:basedOn w:val="DefaultParagraphFont"/>
    <w:rsid w:val="00893895"/>
  </w:style>
  <w:style w:type="character" w:customStyle="1" w:styleId="personname">
    <w:name w:val="person_name"/>
    <w:basedOn w:val="DefaultParagraphFont"/>
    <w:rsid w:val="00893895"/>
  </w:style>
  <w:style w:type="character" w:customStyle="1" w:styleId="date">
    <w:name w:val="date"/>
    <w:basedOn w:val="DefaultParagraphFont"/>
    <w:rsid w:val="00893895"/>
  </w:style>
  <w:style w:type="character" w:customStyle="1" w:styleId="title0">
    <w:name w:val="title"/>
    <w:basedOn w:val="DefaultParagraphFont"/>
    <w:rsid w:val="00893895"/>
  </w:style>
  <w:style w:type="character" w:customStyle="1" w:styleId="eventlocation">
    <w:name w:val="event_location"/>
    <w:basedOn w:val="DefaultParagraphFont"/>
    <w:rsid w:val="00893895"/>
  </w:style>
  <w:style w:type="character" w:customStyle="1" w:styleId="daterange">
    <w:name w:val="date_range"/>
    <w:basedOn w:val="DefaultParagraphFont"/>
    <w:rsid w:val="00893895"/>
  </w:style>
  <w:style w:type="character" w:customStyle="1" w:styleId="publisher">
    <w:name w:val="publisher"/>
    <w:basedOn w:val="DefaultParagraphFont"/>
    <w:rsid w:val="00893895"/>
  </w:style>
  <w:style w:type="character" w:customStyle="1" w:styleId="pagerange">
    <w:name w:val="pagerange"/>
    <w:basedOn w:val="DefaultParagraphFont"/>
    <w:rsid w:val="0089389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link.springer.com/search?facet-author=%22Wojciech+Galuba%22" TargetMode="External"/><Relationship Id="rId26" Type="http://schemas.openxmlformats.org/officeDocument/2006/relationships/hyperlink" Target="http://ideas.repec.org/s/kap/pubcho.html" TargetMode="External"/><Relationship Id="rId39" Type="http://schemas.openxmlformats.org/officeDocument/2006/relationships/image" Target="media/image14.emf"/><Relationship Id="rId21" Type="http://schemas.openxmlformats.org/officeDocument/2006/relationships/hyperlink" Target="http://journals.cambridge.org/action/displayJournal?jid=PEF" TargetMode="External"/><Relationship Id="rId34" Type="http://schemas.openxmlformats.org/officeDocument/2006/relationships/image" Target="media/image9.emf"/><Relationship Id="rId42" Type="http://schemas.openxmlformats.org/officeDocument/2006/relationships/image" Target="media/image17.emf"/><Relationship Id="rId47" Type="http://schemas.openxmlformats.org/officeDocument/2006/relationships/chart" Target="charts/chart6.xml"/><Relationship Id="rId50" Type="http://schemas.openxmlformats.org/officeDocument/2006/relationships/chart" Target="charts/chart9.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link.springer.com/search?facet-author=%22Zoran+Despotovic%22" TargetMode="External"/><Relationship Id="rId25" Type="http://schemas.openxmlformats.org/officeDocument/2006/relationships/hyperlink" Target="http://ideas.repec.org/s/fem/femwpa.html" TargetMode="Externa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hyperlink" Target="http://link.springer.com/search?facet-author=%22Karl+Aberer%22" TargetMode="External"/><Relationship Id="rId20" Type="http://schemas.openxmlformats.org/officeDocument/2006/relationships/hyperlink" Target="http://link.springer.com/book/10.1007/3-540-34783-6" TargetMode="External"/><Relationship Id="rId29" Type="http://schemas.openxmlformats.org/officeDocument/2006/relationships/image" Target="media/image4.emf"/><Relationship Id="rId41" Type="http://schemas.openxmlformats.org/officeDocument/2006/relationships/image" Target="media/image16.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ideas.repec.org/a/kap/pubcho/v142y2010i1p59-67.html" TargetMode="Externa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image" Target="media/image15.emf"/><Relationship Id="rId45" Type="http://schemas.openxmlformats.org/officeDocument/2006/relationships/image" Target="media/image20.png"/><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ideas.repec.org/s/eee/jeborg.html" TargetMode="External"/><Relationship Id="rId28" Type="http://schemas.openxmlformats.org/officeDocument/2006/relationships/hyperlink" Target="http://ideas.repec.org/s/eee/jetheo.html" TargetMode="External"/><Relationship Id="rId36" Type="http://schemas.openxmlformats.org/officeDocument/2006/relationships/image" Target="media/image11.emf"/><Relationship Id="rId49" Type="http://schemas.openxmlformats.org/officeDocument/2006/relationships/chart" Target="charts/chart8.xml"/><Relationship Id="rId10" Type="http://schemas.openxmlformats.org/officeDocument/2006/relationships/image" Target="media/image2.png"/><Relationship Id="rId19" Type="http://schemas.openxmlformats.org/officeDocument/2006/relationships/hyperlink" Target="http://link.springer.com/search?facet-author=%22Wolfgang+Kellerer%22" TargetMode="External"/><Relationship Id="rId31" Type="http://schemas.openxmlformats.org/officeDocument/2006/relationships/image" Target="media/image6.emf"/><Relationship Id="rId44" Type="http://schemas.openxmlformats.org/officeDocument/2006/relationships/image" Target="media/image19.emf"/><Relationship Id="rId52"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ideas.repec.org/a/eee/jeborg/v68y2008i3-4p466-476.html" TargetMode="External"/><Relationship Id="rId27" Type="http://schemas.openxmlformats.org/officeDocument/2006/relationships/hyperlink" Target="http://ideas.repec.org/a/eee/jetheo/v27y1982i2p280-312.html" TargetMode="External"/><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image" Target="media/image18.emf"/><Relationship Id="rId48" Type="http://schemas.openxmlformats.org/officeDocument/2006/relationships/chart" Target="charts/chart7.xml"/><Relationship Id="rId56" Type="http://schemas.microsoft.com/office/2007/relationships/stylesWithEffects" Target="stylesWithEffects.xml"/><Relationship Id="rId8" Type="http://schemas.openxmlformats.org/officeDocument/2006/relationships/chart" Target="charts/chart1.xml"/><Relationship Id="rId51" Type="http://schemas.openxmlformats.org/officeDocument/2006/relationships/chart" Target="charts/chart10.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D:\spss\ch3-ageclasses.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V:\Book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Book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spss\Financial%20knowledg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V:\Book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Book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Book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Book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Book2.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9.xml.rels><?xml version="1.0" encoding="UTF-8" standalone="yes"?>
<Relationships xmlns="http://schemas.openxmlformats.org/package/2006/relationships"><Relationship Id="rId1" Type="http://schemas.openxmlformats.org/officeDocument/2006/relationships/oleObject" Target="file:///V:\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lrMapOvr bg1="lt1" tx1="dk1" bg2="lt2" tx2="dk2" accent1="accent1" accent2="accent2" accent3="accent3" accent4="accent4" accent5="accent5" accent6="accent6" hlink="hlink" folHlink="folHlink"/>
  <c:chart>
    <c:title>
      <c:txPr>
        <a:bodyPr/>
        <a:lstStyle/>
        <a:p>
          <a:pPr>
            <a:defRPr sz="1200"/>
          </a:pPr>
          <a:endParaRPr lang="nl-NL"/>
        </a:p>
      </c:txPr>
    </c:title>
    <c:plotArea>
      <c:layout>
        <c:manualLayout>
          <c:layoutTarget val="inner"/>
          <c:xMode val="edge"/>
          <c:yMode val="edge"/>
          <c:x val="6.9663727552439131E-2"/>
          <c:y val="0.13909588606457446"/>
          <c:w val="0.70600652429690658"/>
          <c:h val="0.75934926851446516"/>
        </c:manualLayout>
      </c:layout>
      <c:barChart>
        <c:barDir val="col"/>
        <c:grouping val="clustered"/>
        <c:ser>
          <c:idx val="0"/>
          <c:order val="0"/>
          <c:tx>
            <c:strRef>
              <c:f>Sheet1!$Q$2</c:f>
              <c:strCache>
                <c:ptCount val="1"/>
                <c:pt idx="0">
                  <c:v>Number of participants per age category</c:v>
                </c:pt>
              </c:strCache>
            </c:strRef>
          </c:tx>
          <c:dLbls>
            <c:showVal val="1"/>
          </c:dLbls>
          <c:cat>
            <c:strRef>
              <c:f>Sheet1!$P$3:$P$12</c:f>
              <c:strCache>
                <c:ptCount val="10"/>
                <c:pt idx="0">
                  <c:v>18-25</c:v>
                </c:pt>
                <c:pt idx="1">
                  <c:v>25-30</c:v>
                </c:pt>
                <c:pt idx="2">
                  <c:v>30-35</c:v>
                </c:pt>
                <c:pt idx="3">
                  <c:v>35-40</c:v>
                </c:pt>
                <c:pt idx="4">
                  <c:v>40-45</c:v>
                </c:pt>
                <c:pt idx="5">
                  <c:v>45-50</c:v>
                </c:pt>
                <c:pt idx="6">
                  <c:v>50-55</c:v>
                </c:pt>
                <c:pt idx="7">
                  <c:v>55-60</c:v>
                </c:pt>
                <c:pt idx="8">
                  <c:v>60-65</c:v>
                </c:pt>
                <c:pt idx="9">
                  <c:v>65&lt;</c:v>
                </c:pt>
              </c:strCache>
            </c:strRef>
          </c:cat>
          <c:val>
            <c:numRef>
              <c:f>Sheet1!$Q$3:$Q$12</c:f>
              <c:numCache>
                <c:formatCode>Standaard</c:formatCode>
                <c:ptCount val="10"/>
                <c:pt idx="0">
                  <c:v>22</c:v>
                </c:pt>
                <c:pt idx="1">
                  <c:v>24</c:v>
                </c:pt>
                <c:pt idx="2">
                  <c:v>13</c:v>
                </c:pt>
                <c:pt idx="3">
                  <c:v>8</c:v>
                </c:pt>
                <c:pt idx="4">
                  <c:v>12</c:v>
                </c:pt>
                <c:pt idx="5">
                  <c:v>10</c:v>
                </c:pt>
                <c:pt idx="6">
                  <c:v>23</c:v>
                </c:pt>
                <c:pt idx="7">
                  <c:v>7</c:v>
                </c:pt>
                <c:pt idx="8">
                  <c:v>3</c:v>
                </c:pt>
                <c:pt idx="9">
                  <c:v>1</c:v>
                </c:pt>
              </c:numCache>
            </c:numRef>
          </c:val>
        </c:ser>
        <c:axId val="88519808"/>
        <c:axId val="88521344"/>
      </c:barChart>
      <c:catAx>
        <c:axId val="88519808"/>
        <c:scaling>
          <c:orientation val="minMax"/>
        </c:scaling>
        <c:axPos val="b"/>
        <c:tickLblPos val="nextTo"/>
        <c:crossAx val="88521344"/>
        <c:crosses val="autoZero"/>
        <c:auto val="1"/>
        <c:lblAlgn val="ctr"/>
        <c:lblOffset val="100"/>
      </c:catAx>
      <c:valAx>
        <c:axId val="88521344"/>
        <c:scaling>
          <c:orientation val="minMax"/>
        </c:scaling>
        <c:axPos val="l"/>
        <c:majorGridlines/>
        <c:numFmt formatCode="Standaard" sourceLinked="1"/>
        <c:tickLblPos val="nextTo"/>
        <c:crossAx val="88519808"/>
        <c:crosses val="autoZero"/>
        <c:crossBetween val="between"/>
      </c:valAx>
      <c:spPr>
        <a:noFill/>
        <a:ln w="25400">
          <a:noFill/>
        </a:ln>
      </c:spPr>
    </c:plotArea>
    <c:legend>
      <c:legendPos val="r"/>
      <c:layout>
        <c:manualLayout>
          <c:xMode val="edge"/>
          <c:yMode val="edge"/>
          <c:x val="0.76932578740157742"/>
          <c:y val="0.40495451226491513"/>
          <c:w val="0.22859104330708696"/>
          <c:h val="0.18807820923134741"/>
        </c:manualLayout>
      </c:layout>
    </c:legend>
    <c:plotVisOnly val="1"/>
    <c:dispBlanksAs val="gap"/>
  </c:chart>
  <c:spPr>
    <a:ln>
      <a:solidFill>
        <a:sysClr val="window" lastClr="FFFFFF"/>
      </a:solidFill>
    </a:ln>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sz="1100" b="0" i="0" u="none" strike="noStrike" baseline="0">
                <a:effectLst/>
              </a:rPr>
              <a:t>TRUSTBEFORE-ALLKNOW</a:t>
            </a:r>
            <a:endParaRPr lang="en-US" sz="1100"/>
          </a:p>
        </c:rich>
      </c:tx>
    </c:title>
    <c:plotArea>
      <c:layout/>
      <c:barChart>
        <c:barDir val="col"/>
        <c:grouping val="clustered"/>
        <c:ser>
          <c:idx val="0"/>
          <c:order val="0"/>
          <c:tx>
            <c:strRef>
              <c:f>Sheet2!$D$22</c:f>
              <c:strCache>
                <c:ptCount val="1"/>
                <c:pt idx="0">
                  <c:v>Mean</c:v>
                </c:pt>
              </c:strCache>
            </c:strRef>
          </c:tx>
          <c:val>
            <c:numRef>
              <c:f>Sheet2!$D$23:$D$35</c:f>
              <c:numCache>
                <c:formatCode>Standaard</c:formatCode>
                <c:ptCount val="13"/>
                <c:pt idx="0">
                  <c:v>4</c:v>
                </c:pt>
                <c:pt idx="1">
                  <c:v>5</c:v>
                </c:pt>
                <c:pt idx="2">
                  <c:v>3.7143000000000002</c:v>
                </c:pt>
                <c:pt idx="3">
                  <c:v>4.2857000000000003</c:v>
                </c:pt>
                <c:pt idx="4">
                  <c:v>4.3333000000000004</c:v>
                </c:pt>
                <c:pt idx="5">
                  <c:v>4.0587999999999997</c:v>
                </c:pt>
                <c:pt idx="6">
                  <c:v>4.5</c:v>
                </c:pt>
                <c:pt idx="7">
                  <c:v>4.375</c:v>
                </c:pt>
                <c:pt idx="8">
                  <c:v>4.4375</c:v>
                </c:pt>
                <c:pt idx="9">
                  <c:v>4.3333000000000004</c:v>
                </c:pt>
                <c:pt idx="10">
                  <c:v>3.3749999999999987</c:v>
                </c:pt>
                <c:pt idx="11">
                  <c:v>1.5</c:v>
                </c:pt>
                <c:pt idx="12">
                  <c:v>3.8571</c:v>
                </c:pt>
              </c:numCache>
            </c:numRef>
          </c:val>
        </c:ser>
        <c:ser>
          <c:idx val="1"/>
          <c:order val="1"/>
          <c:tx>
            <c:strRef>
              <c:f>Sheet2!$E$22</c:f>
              <c:strCache>
                <c:ptCount val="1"/>
                <c:pt idx="0">
                  <c:v>Median</c:v>
                </c:pt>
              </c:strCache>
            </c:strRef>
          </c:tx>
          <c:spPr>
            <a:solidFill>
              <a:schemeClr val="tx2">
                <a:lumMod val="40000"/>
                <a:lumOff val="60000"/>
              </a:schemeClr>
            </a:solidFill>
          </c:spPr>
          <c:val>
            <c:numRef>
              <c:f>Sheet2!$E$23:$E$35</c:f>
              <c:numCache>
                <c:formatCode>Standaard</c:formatCode>
                <c:ptCount val="13"/>
                <c:pt idx="0">
                  <c:v>4</c:v>
                </c:pt>
                <c:pt idx="1">
                  <c:v>5</c:v>
                </c:pt>
                <c:pt idx="2">
                  <c:v>4</c:v>
                </c:pt>
                <c:pt idx="3">
                  <c:v>4</c:v>
                </c:pt>
                <c:pt idx="4">
                  <c:v>4</c:v>
                </c:pt>
                <c:pt idx="5">
                  <c:v>4</c:v>
                </c:pt>
                <c:pt idx="6">
                  <c:v>4.5</c:v>
                </c:pt>
                <c:pt idx="7">
                  <c:v>5</c:v>
                </c:pt>
                <c:pt idx="8">
                  <c:v>5</c:v>
                </c:pt>
                <c:pt idx="9">
                  <c:v>4.5</c:v>
                </c:pt>
                <c:pt idx="10">
                  <c:v>4</c:v>
                </c:pt>
                <c:pt idx="11">
                  <c:v>1.5</c:v>
                </c:pt>
                <c:pt idx="12">
                  <c:v>3</c:v>
                </c:pt>
              </c:numCache>
            </c:numRef>
          </c:val>
        </c:ser>
        <c:axId val="99276672"/>
        <c:axId val="99278208"/>
      </c:barChart>
      <c:catAx>
        <c:axId val="99276672"/>
        <c:scaling>
          <c:orientation val="minMax"/>
        </c:scaling>
        <c:axPos val="b"/>
        <c:majorTickMark val="none"/>
        <c:tickLblPos val="nextTo"/>
        <c:crossAx val="99278208"/>
        <c:crosses val="autoZero"/>
        <c:auto val="1"/>
        <c:lblAlgn val="ctr"/>
        <c:lblOffset val="100"/>
      </c:catAx>
      <c:valAx>
        <c:axId val="99278208"/>
        <c:scaling>
          <c:orientation val="minMax"/>
        </c:scaling>
        <c:axPos val="l"/>
        <c:majorGridlines/>
        <c:numFmt formatCode="Standaard" sourceLinked="1"/>
        <c:majorTickMark val="none"/>
        <c:tickLblPos val="nextTo"/>
        <c:crossAx val="99276672"/>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nl-NL"/>
  <c:chart>
    <c:title>
      <c:tx>
        <c:rich>
          <a:bodyPr/>
          <a:lstStyle/>
          <a:p>
            <a:pPr algn="ctr">
              <a:defRPr/>
            </a:pPr>
            <a:r>
              <a:rPr lang="en-US" sz="1100" b="0" i="0" baseline="0">
                <a:effectLst/>
              </a:rPr>
              <a:t>TRUSTDELTA-ALLKNOW</a:t>
            </a:r>
            <a:endParaRPr lang="en-US" sz="1100">
              <a:effectLst/>
            </a:endParaRPr>
          </a:p>
        </c:rich>
      </c:tx>
      <c:layout>
        <c:manualLayout>
          <c:xMode val="edge"/>
          <c:yMode val="edge"/>
          <c:x val="0.3835693350831148"/>
          <c:y val="2.7777777777777842E-2"/>
        </c:manualLayout>
      </c:layout>
    </c:title>
    <c:plotArea>
      <c:layout/>
      <c:barChart>
        <c:barDir val="col"/>
        <c:grouping val="clustered"/>
        <c:ser>
          <c:idx val="0"/>
          <c:order val="0"/>
          <c:tx>
            <c:v>Mean</c:v>
          </c:tx>
          <c:spPr>
            <a:solidFill>
              <a:schemeClr val="accent1"/>
            </a:solidFill>
          </c:spPr>
          <c:val>
            <c:numRef>
              <c:f>Sheet3!$D$24:$D$36</c:f>
              <c:numCache>
                <c:formatCode>Standaard</c:formatCode>
                <c:ptCount val="13"/>
                <c:pt idx="0">
                  <c:v>-0.5</c:v>
                </c:pt>
                <c:pt idx="1">
                  <c:v>0.5</c:v>
                </c:pt>
                <c:pt idx="2">
                  <c:v>-0.28570000000000001</c:v>
                </c:pt>
                <c:pt idx="3">
                  <c:v>1</c:v>
                </c:pt>
                <c:pt idx="4">
                  <c:v>1</c:v>
                </c:pt>
                <c:pt idx="5">
                  <c:v>0.41180000000000033</c:v>
                </c:pt>
                <c:pt idx="6">
                  <c:v>0.42860000000000031</c:v>
                </c:pt>
                <c:pt idx="7">
                  <c:v>0.25</c:v>
                </c:pt>
                <c:pt idx="8">
                  <c:v>0.31250000000000033</c:v>
                </c:pt>
                <c:pt idx="9">
                  <c:v>-0.33330000000000054</c:v>
                </c:pt>
                <c:pt idx="10">
                  <c:v>-0.75000000000000078</c:v>
                </c:pt>
                <c:pt idx="11">
                  <c:v>0.5</c:v>
                </c:pt>
                <c:pt idx="12">
                  <c:v>0.28570000000000001</c:v>
                </c:pt>
              </c:numCache>
            </c:numRef>
          </c:val>
        </c:ser>
        <c:ser>
          <c:idx val="1"/>
          <c:order val="1"/>
          <c:tx>
            <c:v>Median</c:v>
          </c:tx>
          <c:spPr>
            <a:solidFill>
              <a:schemeClr val="tx2">
                <a:lumMod val="40000"/>
                <a:lumOff val="60000"/>
              </a:schemeClr>
            </a:solidFill>
            <a:ln>
              <a:solidFill>
                <a:schemeClr val="tx2">
                  <a:lumMod val="60000"/>
                  <a:lumOff val="40000"/>
                </a:schemeClr>
              </a:solidFill>
            </a:ln>
          </c:spPr>
          <c:val>
            <c:numRef>
              <c:f>Sheet3!$E$24:$E$36</c:f>
              <c:numCache>
                <c:formatCode>Standaard</c:formatCode>
                <c:ptCount val="13"/>
                <c:pt idx="0">
                  <c:v>-0.5</c:v>
                </c:pt>
                <c:pt idx="1">
                  <c:v>0.5</c:v>
                </c:pt>
                <c:pt idx="2">
                  <c:v>0</c:v>
                </c:pt>
                <c:pt idx="3">
                  <c:v>0</c:v>
                </c:pt>
                <c:pt idx="4">
                  <c:v>1</c:v>
                </c:pt>
                <c:pt idx="5">
                  <c:v>0</c:v>
                </c:pt>
                <c:pt idx="6">
                  <c:v>0.5</c:v>
                </c:pt>
                <c:pt idx="7">
                  <c:v>1</c:v>
                </c:pt>
                <c:pt idx="8">
                  <c:v>0</c:v>
                </c:pt>
                <c:pt idx="9">
                  <c:v>0</c:v>
                </c:pt>
                <c:pt idx="10">
                  <c:v>0</c:v>
                </c:pt>
                <c:pt idx="11">
                  <c:v>0.5</c:v>
                </c:pt>
                <c:pt idx="12">
                  <c:v>0</c:v>
                </c:pt>
              </c:numCache>
            </c:numRef>
          </c:val>
        </c:ser>
        <c:axId val="98844672"/>
        <c:axId val="98846208"/>
      </c:barChart>
      <c:catAx>
        <c:axId val="98844672"/>
        <c:scaling>
          <c:orientation val="minMax"/>
        </c:scaling>
        <c:axPos val="b"/>
        <c:majorTickMark val="none"/>
        <c:tickLblPos val="nextTo"/>
        <c:crossAx val="98846208"/>
        <c:crosses val="autoZero"/>
        <c:auto val="1"/>
        <c:lblAlgn val="ctr"/>
        <c:lblOffset val="100"/>
      </c:catAx>
      <c:valAx>
        <c:axId val="98846208"/>
        <c:scaling>
          <c:orientation val="minMax"/>
        </c:scaling>
        <c:axPos val="l"/>
        <c:majorGridlines/>
        <c:numFmt formatCode="Standaard" sourceLinked="1"/>
        <c:majorTickMark val="none"/>
        <c:tickLblPos val="nextTo"/>
        <c:crossAx val="98844672"/>
        <c:crosses val="autoZero"/>
        <c:crossBetween val="between"/>
      </c:valAx>
      <c:spPr>
        <a:noFill/>
      </c:spPr>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sz="1100" b="1">
                <a:latin typeface="+mn-lt"/>
              </a:rPr>
              <a:t>Survey population self-scaled knowledge</a:t>
            </a:r>
          </a:p>
        </c:rich>
      </c:tx>
    </c:title>
    <c:plotArea>
      <c:layout/>
      <c:barChart>
        <c:barDir val="col"/>
        <c:grouping val="clustered"/>
        <c:ser>
          <c:idx val="0"/>
          <c:order val="0"/>
          <c:tx>
            <c:strRef>
              <c:f>Sheet1!$M$2</c:f>
              <c:strCache>
                <c:ptCount val="1"/>
                <c:pt idx="0">
                  <c:v>Financial knowledge</c:v>
                </c:pt>
              </c:strCache>
            </c:strRef>
          </c:tx>
          <c:spPr>
            <a:solidFill>
              <a:schemeClr val="tx2"/>
            </a:solidFill>
          </c:spPr>
          <c:cat>
            <c:strRef>
              <c:f>Sheet1!$L$3:$L$9</c:f>
              <c:strCache>
                <c:ptCount val="7"/>
                <c:pt idx="0">
                  <c:v>Very Low</c:v>
                </c:pt>
                <c:pt idx="1">
                  <c:v>Low</c:v>
                </c:pt>
                <c:pt idx="2">
                  <c:v>Moderately low</c:v>
                </c:pt>
                <c:pt idx="3">
                  <c:v>Average</c:v>
                </c:pt>
                <c:pt idx="4">
                  <c:v>Moderately High</c:v>
                </c:pt>
                <c:pt idx="5">
                  <c:v>High</c:v>
                </c:pt>
                <c:pt idx="6">
                  <c:v>Very High</c:v>
                </c:pt>
              </c:strCache>
            </c:strRef>
          </c:cat>
          <c:val>
            <c:numRef>
              <c:f>Sheet1!$M$3:$M$9</c:f>
              <c:numCache>
                <c:formatCode>Standaard</c:formatCode>
                <c:ptCount val="7"/>
                <c:pt idx="0">
                  <c:v>3</c:v>
                </c:pt>
                <c:pt idx="1">
                  <c:v>5</c:v>
                </c:pt>
                <c:pt idx="2">
                  <c:v>14</c:v>
                </c:pt>
                <c:pt idx="3">
                  <c:v>26</c:v>
                </c:pt>
                <c:pt idx="4">
                  <c:v>41</c:v>
                </c:pt>
                <c:pt idx="5">
                  <c:v>23</c:v>
                </c:pt>
                <c:pt idx="6">
                  <c:v>10</c:v>
                </c:pt>
              </c:numCache>
            </c:numRef>
          </c:val>
        </c:ser>
        <c:ser>
          <c:idx val="1"/>
          <c:order val="1"/>
          <c:tx>
            <c:strRef>
              <c:f>Sheet1!$N$2</c:f>
              <c:strCache>
                <c:ptCount val="1"/>
                <c:pt idx="0">
                  <c:v>Pensionfund knowledge</c:v>
                </c:pt>
              </c:strCache>
            </c:strRef>
          </c:tx>
          <c:spPr>
            <a:solidFill>
              <a:schemeClr val="accent1">
                <a:lumMod val="60000"/>
                <a:lumOff val="40000"/>
              </a:schemeClr>
            </a:solidFill>
          </c:spPr>
          <c:cat>
            <c:strRef>
              <c:f>Sheet1!$L$3:$L$9</c:f>
              <c:strCache>
                <c:ptCount val="7"/>
                <c:pt idx="0">
                  <c:v>Very Low</c:v>
                </c:pt>
                <c:pt idx="1">
                  <c:v>Low</c:v>
                </c:pt>
                <c:pt idx="2">
                  <c:v>Moderately low</c:v>
                </c:pt>
                <c:pt idx="3">
                  <c:v>Average</c:v>
                </c:pt>
                <c:pt idx="4">
                  <c:v>Moderately High</c:v>
                </c:pt>
                <c:pt idx="5">
                  <c:v>High</c:v>
                </c:pt>
                <c:pt idx="6">
                  <c:v>Very High</c:v>
                </c:pt>
              </c:strCache>
            </c:strRef>
          </c:cat>
          <c:val>
            <c:numRef>
              <c:f>Sheet1!$N$3:$N$9</c:f>
              <c:numCache>
                <c:formatCode>Standaard</c:formatCode>
                <c:ptCount val="7"/>
                <c:pt idx="0">
                  <c:v>14</c:v>
                </c:pt>
                <c:pt idx="1">
                  <c:v>22</c:v>
                </c:pt>
                <c:pt idx="2">
                  <c:v>17</c:v>
                </c:pt>
                <c:pt idx="3">
                  <c:v>26</c:v>
                </c:pt>
                <c:pt idx="4">
                  <c:v>24</c:v>
                </c:pt>
                <c:pt idx="5">
                  <c:v>6</c:v>
                </c:pt>
                <c:pt idx="6">
                  <c:v>12</c:v>
                </c:pt>
              </c:numCache>
            </c:numRef>
          </c:val>
        </c:ser>
        <c:axId val="88508672"/>
        <c:axId val="89858048"/>
      </c:barChart>
      <c:catAx>
        <c:axId val="88508672"/>
        <c:scaling>
          <c:orientation val="minMax"/>
        </c:scaling>
        <c:axPos val="b"/>
        <c:numFmt formatCode="Standaard" sourceLinked="1"/>
        <c:majorTickMark val="none"/>
        <c:tickLblPos val="nextTo"/>
        <c:crossAx val="89858048"/>
        <c:crosses val="autoZero"/>
        <c:auto val="1"/>
        <c:lblAlgn val="ctr"/>
        <c:lblOffset val="100"/>
      </c:catAx>
      <c:valAx>
        <c:axId val="89858048"/>
        <c:scaling>
          <c:orientation val="minMax"/>
        </c:scaling>
        <c:axPos val="l"/>
        <c:majorGridlines/>
        <c:numFmt formatCode="Standaard" sourceLinked="1"/>
        <c:majorTickMark val="none"/>
        <c:tickLblPos val="nextTo"/>
        <c:crossAx val="88508672"/>
        <c:crosses val="autoZero"/>
        <c:crossBetween val="between"/>
      </c:valAx>
    </c:plotArea>
    <c:legend>
      <c:legendPos val="r"/>
    </c:legend>
    <c:plotVisOnly val="1"/>
    <c:dispBlanksAs val="gap"/>
  </c:chart>
  <c:spPr>
    <a:ln>
      <a:solidFill>
        <a:schemeClr val="bg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nl-NL"/>
  <c:chart>
    <c:title>
      <c:tx>
        <c:rich>
          <a:bodyPr/>
          <a:lstStyle/>
          <a:p>
            <a:pPr>
              <a:defRPr/>
            </a:pPr>
            <a:r>
              <a:rPr lang="en-US" sz="1100" b="0"/>
              <a:t>TRUSTNOW-FINKNOW</a:t>
            </a:r>
          </a:p>
        </c:rich>
      </c:tx>
    </c:title>
    <c:plotArea>
      <c:layout/>
      <c:barChart>
        <c:barDir val="col"/>
        <c:grouping val="clustered"/>
        <c:ser>
          <c:idx val="0"/>
          <c:order val="0"/>
          <c:tx>
            <c:strRef>
              <c:f>Sheet1!$D$3</c:f>
              <c:strCache>
                <c:ptCount val="1"/>
                <c:pt idx="0">
                  <c:v>Mean</c:v>
                </c:pt>
              </c:strCache>
            </c:strRef>
          </c:tx>
          <c:val>
            <c:numRef>
              <c:f>Sheet1!$D$4:$D$10</c:f>
              <c:numCache>
                <c:formatCode>Standaard</c:formatCode>
                <c:ptCount val="7"/>
                <c:pt idx="0">
                  <c:v>4.3333000000000004</c:v>
                </c:pt>
                <c:pt idx="1">
                  <c:v>3.6</c:v>
                </c:pt>
                <c:pt idx="2">
                  <c:v>3.7143000000000002</c:v>
                </c:pt>
                <c:pt idx="3">
                  <c:v>3.9615</c:v>
                </c:pt>
                <c:pt idx="4">
                  <c:v>3.9023999999999988</c:v>
                </c:pt>
                <c:pt idx="5">
                  <c:v>4.1738999999999997</c:v>
                </c:pt>
                <c:pt idx="6">
                  <c:v>3.4</c:v>
                </c:pt>
              </c:numCache>
            </c:numRef>
          </c:val>
        </c:ser>
        <c:ser>
          <c:idx val="1"/>
          <c:order val="1"/>
          <c:tx>
            <c:strRef>
              <c:f>Sheet1!$E$3</c:f>
              <c:strCache>
                <c:ptCount val="1"/>
                <c:pt idx="0">
                  <c:v>Median</c:v>
                </c:pt>
              </c:strCache>
            </c:strRef>
          </c:tx>
          <c:spPr>
            <a:solidFill>
              <a:schemeClr val="tx2">
                <a:lumMod val="40000"/>
                <a:lumOff val="60000"/>
              </a:schemeClr>
            </a:solidFill>
          </c:spPr>
          <c:val>
            <c:numRef>
              <c:f>Sheet1!$E$4:$E$10</c:f>
              <c:numCache>
                <c:formatCode>Standaard</c:formatCode>
                <c:ptCount val="7"/>
                <c:pt idx="0">
                  <c:v>4</c:v>
                </c:pt>
                <c:pt idx="1">
                  <c:v>4</c:v>
                </c:pt>
                <c:pt idx="2">
                  <c:v>4</c:v>
                </c:pt>
                <c:pt idx="3">
                  <c:v>4</c:v>
                </c:pt>
                <c:pt idx="4">
                  <c:v>4</c:v>
                </c:pt>
                <c:pt idx="5">
                  <c:v>4</c:v>
                </c:pt>
                <c:pt idx="6">
                  <c:v>3.5</c:v>
                </c:pt>
              </c:numCache>
            </c:numRef>
          </c:val>
        </c:ser>
        <c:axId val="89903488"/>
        <c:axId val="89905408"/>
      </c:barChart>
      <c:catAx>
        <c:axId val="89903488"/>
        <c:scaling>
          <c:orientation val="minMax"/>
        </c:scaling>
        <c:axPos val="b"/>
        <c:title>
          <c:tx>
            <c:rich>
              <a:bodyPr/>
              <a:lstStyle/>
              <a:p>
                <a:pPr>
                  <a:defRPr/>
                </a:pPr>
                <a:r>
                  <a:rPr lang="en-US"/>
                  <a:t>FINKNOW</a:t>
                </a:r>
              </a:p>
            </c:rich>
          </c:tx>
        </c:title>
        <c:majorTickMark val="none"/>
        <c:tickLblPos val="nextTo"/>
        <c:crossAx val="89905408"/>
        <c:crosses val="autoZero"/>
        <c:auto val="1"/>
        <c:lblAlgn val="ctr"/>
        <c:lblOffset val="100"/>
      </c:catAx>
      <c:valAx>
        <c:axId val="89905408"/>
        <c:scaling>
          <c:orientation val="minMax"/>
        </c:scaling>
        <c:axPos val="l"/>
        <c:majorGridlines/>
        <c:title>
          <c:tx>
            <c:rich>
              <a:bodyPr rot="-5400000" vert="horz"/>
              <a:lstStyle/>
              <a:p>
                <a:pPr>
                  <a:defRPr/>
                </a:pPr>
                <a:r>
                  <a:rPr lang="en-US"/>
                  <a:t>TRUSTNOW</a:t>
                </a:r>
              </a:p>
            </c:rich>
          </c:tx>
          <c:layout>
            <c:manualLayout>
              <c:xMode val="edge"/>
              <c:yMode val="edge"/>
              <c:x val="1.3888809353376327E-2"/>
              <c:y val="0.36528190026540514"/>
            </c:manualLayout>
          </c:layout>
        </c:title>
        <c:numFmt formatCode="Standaard" sourceLinked="1"/>
        <c:majorTickMark val="none"/>
        <c:tickLblPos val="nextTo"/>
        <c:crossAx val="89903488"/>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nl-NL"/>
  <c:chart>
    <c:title>
      <c:tx>
        <c:rich>
          <a:bodyPr/>
          <a:lstStyle/>
          <a:p>
            <a:pPr algn="ctr">
              <a:defRPr/>
            </a:pPr>
            <a:r>
              <a:rPr lang="en-US" sz="1100" b="0" i="0" baseline="0">
                <a:effectLst/>
              </a:rPr>
              <a:t>TRUSTBEFORE-PFKNOW</a:t>
            </a:r>
            <a:endParaRPr lang="en-US" sz="1100">
              <a:effectLst/>
            </a:endParaRPr>
          </a:p>
        </c:rich>
      </c:tx>
    </c:title>
    <c:plotArea>
      <c:layout/>
      <c:barChart>
        <c:barDir val="col"/>
        <c:grouping val="clustered"/>
        <c:ser>
          <c:idx val="0"/>
          <c:order val="0"/>
          <c:tx>
            <c:v>Mean</c:v>
          </c:tx>
          <c:val>
            <c:numRef>
              <c:f>Sheet2!$D$13:$D$19</c:f>
              <c:numCache>
                <c:formatCode>Standaard</c:formatCode>
                <c:ptCount val="7"/>
                <c:pt idx="0">
                  <c:v>4.0714000000000024</c:v>
                </c:pt>
                <c:pt idx="1">
                  <c:v>4.1818</c:v>
                </c:pt>
                <c:pt idx="2">
                  <c:v>4.4118000000000004</c:v>
                </c:pt>
                <c:pt idx="3">
                  <c:v>4.1537999999999995</c:v>
                </c:pt>
                <c:pt idx="4">
                  <c:v>4.6666999999999996</c:v>
                </c:pt>
                <c:pt idx="5">
                  <c:v>3.6667000000000001</c:v>
                </c:pt>
                <c:pt idx="6">
                  <c:v>3.2307999999999999</c:v>
                </c:pt>
              </c:numCache>
            </c:numRef>
          </c:val>
        </c:ser>
        <c:ser>
          <c:idx val="1"/>
          <c:order val="1"/>
          <c:tx>
            <c:v>Median</c:v>
          </c:tx>
          <c:spPr>
            <a:solidFill>
              <a:schemeClr val="tx2">
                <a:lumMod val="40000"/>
                <a:lumOff val="60000"/>
              </a:schemeClr>
            </a:solidFill>
          </c:spPr>
          <c:val>
            <c:numRef>
              <c:f>Sheet2!$E$13:$E$19</c:f>
              <c:numCache>
                <c:formatCode>Standaard</c:formatCode>
                <c:ptCount val="7"/>
                <c:pt idx="0">
                  <c:v>4.5</c:v>
                </c:pt>
                <c:pt idx="1">
                  <c:v>4</c:v>
                </c:pt>
                <c:pt idx="2">
                  <c:v>5</c:v>
                </c:pt>
                <c:pt idx="3">
                  <c:v>4</c:v>
                </c:pt>
                <c:pt idx="4">
                  <c:v>5</c:v>
                </c:pt>
                <c:pt idx="5">
                  <c:v>4.5</c:v>
                </c:pt>
                <c:pt idx="6">
                  <c:v>2</c:v>
                </c:pt>
              </c:numCache>
            </c:numRef>
          </c:val>
        </c:ser>
        <c:axId val="96734208"/>
        <c:axId val="96777344"/>
      </c:barChart>
      <c:catAx>
        <c:axId val="96734208"/>
        <c:scaling>
          <c:orientation val="minMax"/>
        </c:scaling>
        <c:axPos val="b"/>
        <c:title>
          <c:tx>
            <c:rich>
              <a:bodyPr/>
              <a:lstStyle/>
              <a:p>
                <a:pPr>
                  <a:defRPr/>
                </a:pPr>
                <a:r>
                  <a:rPr lang="en-US"/>
                  <a:t>PFKNOW</a:t>
                </a:r>
              </a:p>
            </c:rich>
          </c:tx>
        </c:title>
        <c:tickLblPos val="nextTo"/>
        <c:crossAx val="96777344"/>
        <c:crosses val="autoZero"/>
        <c:auto val="1"/>
        <c:lblAlgn val="ctr"/>
        <c:lblOffset val="100"/>
      </c:catAx>
      <c:valAx>
        <c:axId val="96777344"/>
        <c:scaling>
          <c:orientation val="minMax"/>
        </c:scaling>
        <c:axPos val="l"/>
        <c:majorGridlines/>
        <c:title>
          <c:tx>
            <c:rich>
              <a:bodyPr rot="-5400000" vert="horz"/>
              <a:lstStyle/>
              <a:p>
                <a:pPr>
                  <a:defRPr/>
                </a:pPr>
                <a:r>
                  <a:rPr lang="en-US"/>
                  <a:t>TRUSTBEFORE</a:t>
                </a:r>
              </a:p>
            </c:rich>
          </c:tx>
          <c:layout>
            <c:manualLayout>
              <c:xMode val="edge"/>
              <c:yMode val="edge"/>
              <c:x val="3.0555555555555582E-2"/>
              <c:y val="0.36934200933216815"/>
            </c:manualLayout>
          </c:layout>
        </c:title>
        <c:numFmt formatCode="Standaard" sourceLinked="1"/>
        <c:tickLblPos val="nextTo"/>
        <c:crossAx val="96734208"/>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sz="1100" b="0" i="0" baseline="0">
                <a:effectLst/>
              </a:rPr>
              <a:t>TRUSTDELTA-FINKNOW</a:t>
            </a:r>
            <a:endParaRPr lang="en-US" sz="1100">
              <a:effectLst/>
            </a:endParaRPr>
          </a:p>
        </c:rich>
      </c:tx>
    </c:title>
    <c:plotArea>
      <c:layout/>
      <c:barChart>
        <c:barDir val="col"/>
        <c:grouping val="clustered"/>
        <c:ser>
          <c:idx val="0"/>
          <c:order val="0"/>
          <c:tx>
            <c:strRef>
              <c:f>Sheet3!$D$3</c:f>
              <c:strCache>
                <c:ptCount val="1"/>
                <c:pt idx="0">
                  <c:v>Mean</c:v>
                </c:pt>
              </c:strCache>
            </c:strRef>
          </c:tx>
          <c:val>
            <c:numRef>
              <c:f>Sheet3!$D$4:$D$10</c:f>
              <c:numCache>
                <c:formatCode>Standaard</c:formatCode>
                <c:ptCount val="7"/>
                <c:pt idx="0">
                  <c:v>-0.33330000000000054</c:v>
                </c:pt>
                <c:pt idx="1">
                  <c:v>-0.2</c:v>
                </c:pt>
                <c:pt idx="2">
                  <c:v>1</c:v>
                </c:pt>
                <c:pt idx="3">
                  <c:v>0.26920000000000005</c:v>
                </c:pt>
                <c:pt idx="4">
                  <c:v>0.29270000000000002</c:v>
                </c:pt>
                <c:pt idx="5">
                  <c:v>-0.13039999999999999</c:v>
                </c:pt>
                <c:pt idx="6">
                  <c:v>0.4</c:v>
                </c:pt>
              </c:numCache>
            </c:numRef>
          </c:val>
        </c:ser>
        <c:ser>
          <c:idx val="1"/>
          <c:order val="1"/>
          <c:tx>
            <c:strRef>
              <c:f>Sheet3!$E$3</c:f>
              <c:strCache>
                <c:ptCount val="1"/>
                <c:pt idx="0">
                  <c:v>Median</c:v>
                </c:pt>
              </c:strCache>
            </c:strRef>
          </c:tx>
          <c:spPr>
            <a:solidFill>
              <a:schemeClr val="tx2">
                <a:lumMod val="40000"/>
                <a:lumOff val="60000"/>
              </a:schemeClr>
            </a:solidFill>
          </c:spPr>
          <c:val>
            <c:numRef>
              <c:f>Sheet3!$E$4:$E$10</c:f>
              <c:numCache>
                <c:formatCode>Standaard</c:formatCode>
                <c:ptCount val="7"/>
                <c:pt idx="0">
                  <c:v>0</c:v>
                </c:pt>
                <c:pt idx="1">
                  <c:v>0</c:v>
                </c:pt>
                <c:pt idx="2">
                  <c:v>1</c:v>
                </c:pt>
                <c:pt idx="3">
                  <c:v>0</c:v>
                </c:pt>
                <c:pt idx="4">
                  <c:v>0</c:v>
                </c:pt>
                <c:pt idx="5">
                  <c:v>0</c:v>
                </c:pt>
                <c:pt idx="6">
                  <c:v>0.5</c:v>
                </c:pt>
              </c:numCache>
            </c:numRef>
          </c:val>
        </c:ser>
        <c:axId val="96790400"/>
        <c:axId val="96791936"/>
      </c:barChart>
      <c:catAx>
        <c:axId val="96790400"/>
        <c:scaling>
          <c:orientation val="minMax"/>
        </c:scaling>
        <c:axPos val="b"/>
        <c:majorTickMark val="none"/>
        <c:tickLblPos val="nextTo"/>
        <c:crossAx val="96791936"/>
        <c:crosses val="autoZero"/>
        <c:auto val="1"/>
        <c:lblAlgn val="ctr"/>
        <c:lblOffset val="100"/>
      </c:catAx>
      <c:valAx>
        <c:axId val="96791936"/>
        <c:scaling>
          <c:orientation val="minMax"/>
        </c:scaling>
        <c:axPos val="l"/>
        <c:majorGridlines/>
        <c:numFmt formatCode="Standaard" sourceLinked="1"/>
        <c:majorTickMark val="none"/>
        <c:tickLblPos val="nextTo"/>
        <c:crossAx val="96790400"/>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sz="1100" b="0" i="0" baseline="0">
                <a:effectLst/>
              </a:rPr>
              <a:t>TRUSTNOW-PFKNOW</a:t>
            </a:r>
            <a:endParaRPr lang="en-US" sz="1100">
              <a:effectLst/>
            </a:endParaRPr>
          </a:p>
        </c:rich>
      </c:tx>
    </c:title>
    <c:plotArea>
      <c:layout/>
      <c:barChart>
        <c:barDir val="col"/>
        <c:grouping val="clustered"/>
        <c:ser>
          <c:idx val="0"/>
          <c:order val="0"/>
          <c:tx>
            <c:strRef>
              <c:f>Sheet1!$D$14</c:f>
              <c:strCache>
                <c:ptCount val="1"/>
                <c:pt idx="0">
                  <c:v>Mean</c:v>
                </c:pt>
              </c:strCache>
            </c:strRef>
          </c:tx>
          <c:val>
            <c:numRef>
              <c:f>Sheet1!$D$15:$D$21</c:f>
              <c:numCache>
                <c:formatCode>Standaard</c:formatCode>
                <c:ptCount val="7"/>
                <c:pt idx="0">
                  <c:v>4.0714000000000024</c:v>
                </c:pt>
                <c:pt idx="1">
                  <c:v>3.4544999999999977</c:v>
                </c:pt>
                <c:pt idx="2">
                  <c:v>3.6471000000000027</c:v>
                </c:pt>
                <c:pt idx="3">
                  <c:v>3.8845999999999998</c:v>
                </c:pt>
                <c:pt idx="4">
                  <c:v>4.5833000000000004</c:v>
                </c:pt>
                <c:pt idx="5">
                  <c:v>4.3333000000000004</c:v>
                </c:pt>
                <c:pt idx="6">
                  <c:v>3.3845999999999998</c:v>
                </c:pt>
              </c:numCache>
            </c:numRef>
          </c:val>
        </c:ser>
        <c:ser>
          <c:idx val="1"/>
          <c:order val="1"/>
          <c:tx>
            <c:strRef>
              <c:f>Sheet1!$E$14</c:f>
              <c:strCache>
                <c:ptCount val="1"/>
                <c:pt idx="0">
                  <c:v>Median</c:v>
                </c:pt>
              </c:strCache>
            </c:strRef>
          </c:tx>
          <c:spPr>
            <a:solidFill>
              <a:schemeClr val="tx2">
                <a:lumMod val="40000"/>
                <a:lumOff val="60000"/>
              </a:schemeClr>
            </a:solidFill>
          </c:spPr>
          <c:val>
            <c:numRef>
              <c:f>Sheet1!$E$15:$E$21</c:f>
              <c:numCache>
                <c:formatCode>Standaard</c:formatCode>
                <c:ptCount val="7"/>
                <c:pt idx="0">
                  <c:v>4</c:v>
                </c:pt>
                <c:pt idx="1">
                  <c:v>4</c:v>
                </c:pt>
                <c:pt idx="2">
                  <c:v>4</c:v>
                </c:pt>
                <c:pt idx="3">
                  <c:v>4</c:v>
                </c:pt>
                <c:pt idx="4">
                  <c:v>5</c:v>
                </c:pt>
                <c:pt idx="5">
                  <c:v>5</c:v>
                </c:pt>
                <c:pt idx="6">
                  <c:v>3</c:v>
                </c:pt>
              </c:numCache>
            </c:numRef>
          </c:val>
        </c:ser>
        <c:axId val="98700672"/>
        <c:axId val="98711040"/>
      </c:barChart>
      <c:catAx>
        <c:axId val="98700672"/>
        <c:scaling>
          <c:orientation val="minMax"/>
        </c:scaling>
        <c:axPos val="b"/>
        <c:title>
          <c:tx>
            <c:rich>
              <a:bodyPr/>
              <a:lstStyle/>
              <a:p>
                <a:pPr>
                  <a:defRPr/>
                </a:pPr>
                <a:r>
                  <a:rPr lang="en-US"/>
                  <a:t>PFKNOW</a:t>
                </a:r>
              </a:p>
            </c:rich>
          </c:tx>
        </c:title>
        <c:majorTickMark val="none"/>
        <c:tickLblPos val="nextTo"/>
        <c:crossAx val="98711040"/>
        <c:crosses val="autoZero"/>
        <c:auto val="1"/>
        <c:lblAlgn val="ctr"/>
        <c:lblOffset val="100"/>
      </c:catAx>
      <c:valAx>
        <c:axId val="98711040"/>
        <c:scaling>
          <c:orientation val="minMax"/>
        </c:scaling>
        <c:axPos val="l"/>
        <c:majorGridlines/>
        <c:title>
          <c:tx>
            <c:rich>
              <a:bodyPr rot="-5400000" vert="horz"/>
              <a:lstStyle/>
              <a:p>
                <a:pPr>
                  <a:defRPr/>
                </a:pPr>
                <a:r>
                  <a:rPr lang="en-US"/>
                  <a:t>TRUSTNOW</a:t>
                </a:r>
              </a:p>
            </c:rich>
          </c:tx>
        </c:title>
        <c:numFmt formatCode="Standaard" sourceLinked="1"/>
        <c:majorTickMark val="none"/>
        <c:tickLblPos val="nextTo"/>
        <c:crossAx val="98700672"/>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sz="1100" b="0"/>
              <a:t>TRUSTBEFORE-FINKNOW</a:t>
            </a:r>
          </a:p>
        </c:rich>
      </c:tx>
    </c:title>
    <c:plotArea>
      <c:layout/>
      <c:barChart>
        <c:barDir val="col"/>
        <c:grouping val="clustered"/>
        <c:ser>
          <c:idx val="0"/>
          <c:order val="0"/>
          <c:tx>
            <c:v>Mean</c:v>
          </c:tx>
          <c:val>
            <c:numRef>
              <c:f>Sheet2!$D$3:$D$9</c:f>
              <c:numCache>
                <c:formatCode>Standaard</c:formatCode>
                <c:ptCount val="7"/>
                <c:pt idx="0">
                  <c:v>4</c:v>
                </c:pt>
                <c:pt idx="1">
                  <c:v>3.4</c:v>
                </c:pt>
                <c:pt idx="2">
                  <c:v>4.7142999999999997</c:v>
                </c:pt>
                <c:pt idx="3">
                  <c:v>4.2308000000000003</c:v>
                </c:pt>
                <c:pt idx="4">
                  <c:v>4.1950999999999965</c:v>
                </c:pt>
                <c:pt idx="5">
                  <c:v>4.0434999999999999</c:v>
                </c:pt>
                <c:pt idx="6">
                  <c:v>3.8</c:v>
                </c:pt>
              </c:numCache>
            </c:numRef>
          </c:val>
        </c:ser>
        <c:ser>
          <c:idx val="1"/>
          <c:order val="1"/>
          <c:tx>
            <c:v>Median</c:v>
          </c:tx>
          <c:spPr>
            <a:solidFill>
              <a:schemeClr val="tx2">
                <a:lumMod val="40000"/>
                <a:lumOff val="60000"/>
              </a:schemeClr>
            </a:solidFill>
          </c:spPr>
          <c:val>
            <c:numRef>
              <c:f>Sheet2!$E$3:$E$9</c:f>
              <c:numCache>
                <c:formatCode>Standaard</c:formatCode>
                <c:ptCount val="7"/>
                <c:pt idx="0">
                  <c:v>4</c:v>
                </c:pt>
                <c:pt idx="1">
                  <c:v>4</c:v>
                </c:pt>
                <c:pt idx="2">
                  <c:v>5</c:v>
                </c:pt>
                <c:pt idx="3">
                  <c:v>4</c:v>
                </c:pt>
                <c:pt idx="4">
                  <c:v>5</c:v>
                </c:pt>
                <c:pt idx="5">
                  <c:v>4</c:v>
                </c:pt>
                <c:pt idx="6">
                  <c:v>3.5</c:v>
                </c:pt>
              </c:numCache>
            </c:numRef>
          </c:val>
        </c:ser>
        <c:axId val="98724096"/>
        <c:axId val="98738560"/>
      </c:barChart>
      <c:catAx>
        <c:axId val="98724096"/>
        <c:scaling>
          <c:orientation val="minMax"/>
        </c:scaling>
        <c:axPos val="b"/>
        <c:title>
          <c:tx>
            <c:rich>
              <a:bodyPr/>
              <a:lstStyle/>
              <a:p>
                <a:pPr>
                  <a:defRPr/>
                </a:pPr>
                <a:r>
                  <a:rPr lang="en-US"/>
                  <a:t>FINKNOW</a:t>
                </a:r>
              </a:p>
            </c:rich>
          </c:tx>
        </c:title>
        <c:tickLblPos val="nextTo"/>
        <c:crossAx val="98738560"/>
        <c:crosses val="autoZero"/>
        <c:auto val="1"/>
        <c:lblAlgn val="ctr"/>
        <c:lblOffset val="100"/>
      </c:catAx>
      <c:valAx>
        <c:axId val="98738560"/>
        <c:scaling>
          <c:orientation val="minMax"/>
        </c:scaling>
        <c:axPos val="l"/>
        <c:majorGridlines/>
        <c:title>
          <c:tx>
            <c:rich>
              <a:bodyPr rot="-5400000" vert="horz"/>
              <a:lstStyle/>
              <a:p>
                <a:pPr>
                  <a:defRPr/>
                </a:pPr>
                <a:r>
                  <a:rPr lang="en-US"/>
                  <a:t>TRUSTBEFORE</a:t>
                </a:r>
              </a:p>
            </c:rich>
          </c:tx>
        </c:title>
        <c:numFmt formatCode="Standaard" sourceLinked="1"/>
        <c:tickLblPos val="nextTo"/>
        <c:crossAx val="98724096"/>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sz="1100" b="0"/>
              <a:t>TRUSTDELTA-PFKNOW</a:t>
            </a:r>
          </a:p>
        </c:rich>
      </c:tx>
    </c:title>
    <c:plotArea>
      <c:layout>
        <c:manualLayout>
          <c:layoutTarget val="inner"/>
          <c:xMode val="edge"/>
          <c:yMode val="edge"/>
          <c:x val="0.17134559659236462"/>
          <c:y val="0.15614023117127801"/>
          <c:w val="0.61700080890409115"/>
          <c:h val="0.70419629088824898"/>
        </c:manualLayout>
      </c:layout>
      <c:barChart>
        <c:barDir val="col"/>
        <c:grouping val="clustered"/>
        <c:ser>
          <c:idx val="0"/>
          <c:order val="0"/>
          <c:tx>
            <c:v>Mean</c:v>
          </c:tx>
          <c:val>
            <c:numRef>
              <c:f>Sheet3!$D$14:$D$20</c:f>
              <c:numCache>
                <c:formatCode>Standaard</c:formatCode>
                <c:ptCount val="7"/>
                <c:pt idx="0">
                  <c:v>0</c:v>
                </c:pt>
                <c:pt idx="1">
                  <c:v>0.72729999999999995</c:v>
                </c:pt>
                <c:pt idx="2">
                  <c:v>0.76470000000000271</c:v>
                </c:pt>
                <c:pt idx="3">
                  <c:v>0.26920000000000005</c:v>
                </c:pt>
                <c:pt idx="4">
                  <c:v>8.3300000000000041E-2</c:v>
                </c:pt>
                <c:pt idx="5">
                  <c:v>-0.66670000000000296</c:v>
                </c:pt>
                <c:pt idx="6">
                  <c:v>-0.15380000000000021</c:v>
                </c:pt>
              </c:numCache>
            </c:numRef>
          </c:val>
        </c:ser>
        <c:ser>
          <c:idx val="1"/>
          <c:order val="1"/>
          <c:tx>
            <c:v>Median</c:v>
          </c:tx>
          <c:spPr>
            <a:solidFill>
              <a:schemeClr val="tx2">
                <a:lumMod val="40000"/>
                <a:lumOff val="60000"/>
              </a:schemeClr>
            </a:solidFill>
          </c:spPr>
          <c:val>
            <c:numRef>
              <c:f>Sheet3!$E$14:$E$20</c:f>
              <c:numCache>
                <c:formatCode>Standaard</c:formatCode>
                <c:ptCount val="7"/>
                <c:pt idx="0">
                  <c:v>0</c:v>
                </c:pt>
                <c:pt idx="1">
                  <c:v>1</c:v>
                </c:pt>
                <c:pt idx="2">
                  <c:v>1</c:v>
                </c:pt>
                <c:pt idx="3">
                  <c:v>0.5</c:v>
                </c:pt>
                <c:pt idx="4">
                  <c:v>0</c:v>
                </c:pt>
                <c:pt idx="5">
                  <c:v>0</c:v>
                </c:pt>
                <c:pt idx="6">
                  <c:v>0</c:v>
                </c:pt>
              </c:numCache>
            </c:numRef>
          </c:val>
        </c:ser>
        <c:axId val="89597440"/>
        <c:axId val="89599360"/>
      </c:barChart>
      <c:catAx>
        <c:axId val="89597440"/>
        <c:scaling>
          <c:orientation val="minMax"/>
        </c:scaling>
        <c:axPos val="b"/>
        <c:title>
          <c:tx>
            <c:rich>
              <a:bodyPr/>
              <a:lstStyle/>
              <a:p>
                <a:pPr>
                  <a:defRPr/>
                </a:pPr>
                <a:r>
                  <a:rPr lang="en-US"/>
                  <a:t>PFKNOW</a:t>
                </a:r>
              </a:p>
            </c:rich>
          </c:tx>
        </c:title>
        <c:tickLblPos val="nextTo"/>
        <c:crossAx val="89599360"/>
        <c:crosses val="autoZero"/>
        <c:auto val="1"/>
        <c:lblAlgn val="ctr"/>
        <c:lblOffset val="100"/>
      </c:catAx>
      <c:valAx>
        <c:axId val="89599360"/>
        <c:scaling>
          <c:orientation val="minMax"/>
        </c:scaling>
        <c:axPos val="l"/>
        <c:majorGridlines/>
        <c:title>
          <c:tx>
            <c:rich>
              <a:bodyPr rot="-5400000" vert="horz"/>
              <a:lstStyle/>
              <a:p>
                <a:pPr>
                  <a:defRPr/>
                </a:pPr>
                <a:r>
                  <a:rPr lang="en-US"/>
                  <a:t>TRUSTDELTA</a:t>
                </a:r>
              </a:p>
            </c:rich>
          </c:tx>
        </c:title>
        <c:numFmt formatCode="Standaard" sourceLinked="1"/>
        <c:tickLblPos val="nextTo"/>
        <c:crossAx val="89597440"/>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sz="1100" b="0" i="0" baseline="0">
                <a:effectLst/>
              </a:rPr>
              <a:t>TRUSTNOW-ALLKNOW</a:t>
            </a:r>
            <a:endParaRPr lang="en-US" sz="1100">
              <a:effectLst/>
            </a:endParaRPr>
          </a:p>
        </c:rich>
      </c:tx>
    </c:title>
    <c:plotArea>
      <c:layout/>
      <c:barChart>
        <c:barDir val="col"/>
        <c:grouping val="clustered"/>
        <c:ser>
          <c:idx val="0"/>
          <c:order val="0"/>
          <c:tx>
            <c:strRef>
              <c:f>Sheet1!$D$24</c:f>
              <c:strCache>
                <c:ptCount val="1"/>
                <c:pt idx="0">
                  <c:v>Mean </c:v>
                </c:pt>
              </c:strCache>
            </c:strRef>
          </c:tx>
          <c:val>
            <c:numRef>
              <c:f>Sheet1!$D$25:$D$37</c:f>
              <c:numCache>
                <c:formatCode>Standaard</c:formatCode>
                <c:ptCount val="13"/>
                <c:pt idx="0">
                  <c:v>4.5</c:v>
                </c:pt>
                <c:pt idx="1">
                  <c:v>4.5</c:v>
                </c:pt>
                <c:pt idx="2">
                  <c:v>4</c:v>
                </c:pt>
                <c:pt idx="3">
                  <c:v>3.2856999999999998</c:v>
                </c:pt>
                <c:pt idx="4">
                  <c:v>3.3332999999999977</c:v>
                </c:pt>
                <c:pt idx="5">
                  <c:v>3.6471000000000027</c:v>
                </c:pt>
                <c:pt idx="6">
                  <c:v>4.0714000000000024</c:v>
                </c:pt>
                <c:pt idx="7">
                  <c:v>4.124999999999992</c:v>
                </c:pt>
                <c:pt idx="8">
                  <c:v>4.124999999999992</c:v>
                </c:pt>
                <c:pt idx="9">
                  <c:v>4.6666999999999996</c:v>
                </c:pt>
                <c:pt idx="10">
                  <c:v>4.124999999999992</c:v>
                </c:pt>
                <c:pt idx="11">
                  <c:v>1</c:v>
                </c:pt>
                <c:pt idx="12">
                  <c:v>3.5713999999999997</c:v>
                </c:pt>
              </c:numCache>
            </c:numRef>
          </c:val>
        </c:ser>
        <c:ser>
          <c:idx val="1"/>
          <c:order val="1"/>
          <c:tx>
            <c:strRef>
              <c:f>Sheet1!$E$24</c:f>
              <c:strCache>
                <c:ptCount val="1"/>
                <c:pt idx="0">
                  <c:v>Median</c:v>
                </c:pt>
              </c:strCache>
            </c:strRef>
          </c:tx>
          <c:spPr>
            <a:solidFill>
              <a:schemeClr val="tx2">
                <a:lumMod val="40000"/>
                <a:lumOff val="60000"/>
              </a:schemeClr>
            </a:solidFill>
          </c:spPr>
          <c:val>
            <c:numRef>
              <c:f>Sheet1!$E$25:$E$37</c:f>
              <c:numCache>
                <c:formatCode>Standaard</c:formatCode>
                <c:ptCount val="13"/>
                <c:pt idx="0">
                  <c:v>4.5</c:v>
                </c:pt>
                <c:pt idx="1">
                  <c:v>4.5</c:v>
                </c:pt>
                <c:pt idx="2">
                  <c:v>4</c:v>
                </c:pt>
                <c:pt idx="3">
                  <c:v>4</c:v>
                </c:pt>
                <c:pt idx="4">
                  <c:v>3.5</c:v>
                </c:pt>
                <c:pt idx="5">
                  <c:v>4</c:v>
                </c:pt>
                <c:pt idx="6">
                  <c:v>4</c:v>
                </c:pt>
                <c:pt idx="7">
                  <c:v>4</c:v>
                </c:pt>
                <c:pt idx="8">
                  <c:v>4.5</c:v>
                </c:pt>
                <c:pt idx="9">
                  <c:v>5</c:v>
                </c:pt>
                <c:pt idx="10">
                  <c:v>4.5</c:v>
                </c:pt>
                <c:pt idx="11">
                  <c:v>1</c:v>
                </c:pt>
                <c:pt idx="12">
                  <c:v>3</c:v>
                </c:pt>
              </c:numCache>
            </c:numRef>
          </c:val>
        </c:ser>
        <c:axId val="99254656"/>
        <c:axId val="99256192"/>
      </c:barChart>
      <c:catAx>
        <c:axId val="99254656"/>
        <c:scaling>
          <c:orientation val="minMax"/>
        </c:scaling>
        <c:axPos val="b"/>
        <c:majorTickMark val="none"/>
        <c:tickLblPos val="nextTo"/>
        <c:crossAx val="99256192"/>
        <c:crosses val="autoZero"/>
        <c:lblAlgn val="ctr"/>
        <c:lblOffset val="100"/>
        <c:tickLblSkip val="1"/>
        <c:noMultiLvlLbl val="1"/>
      </c:catAx>
      <c:valAx>
        <c:axId val="99256192"/>
        <c:scaling>
          <c:orientation val="minMax"/>
        </c:scaling>
        <c:axPos val="l"/>
        <c:majorGridlines/>
        <c:numFmt formatCode="Standaard" sourceLinked="1"/>
        <c:majorTickMark val="none"/>
        <c:tickLblPos val="nextTo"/>
        <c:crossAx val="9925465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7C3B-C752-433C-96E5-E93ADE8C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32449</Words>
  <Characters>178472</Characters>
  <Application>Microsoft Office Word</Application>
  <DocSecurity>0</DocSecurity>
  <Lines>1487</Lines>
  <Paragraphs>420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 Rotterdam</Company>
  <LinksUpToDate>false</LinksUpToDate>
  <CharactersWithSpaces>210501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 Student</dc:creator>
  <cp:lastModifiedBy>Trudy van Florestein-Schouten</cp:lastModifiedBy>
  <cp:revision>2</cp:revision>
  <dcterms:created xsi:type="dcterms:W3CDTF">2012-11-14T14:27:00Z</dcterms:created>
  <dcterms:modified xsi:type="dcterms:W3CDTF">2012-11-14T14:27:00Z</dcterms:modified>
</cp:coreProperties>
</file>