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21" w:rsidRPr="008E4247" w:rsidRDefault="003D3378" w:rsidP="00801FB7">
      <w:pPr>
        <w:suppressAutoHyphens/>
        <w:ind w:firstLine="0"/>
        <w:jc w:val="center"/>
        <w:rPr>
          <w:smallCaps/>
          <w:sz w:val="36"/>
          <w:szCs w:val="36"/>
        </w:rPr>
      </w:pPr>
      <w:bookmarkStart w:id="0" w:name="OLE_LINK2"/>
      <w:bookmarkStart w:id="1" w:name="OLE_LINK1"/>
      <w:r w:rsidRPr="003D3378">
        <w:rPr>
          <w:b/>
          <w:sz w:val="36"/>
          <w:szCs w:val="36"/>
          <w:lang w:val="en-US"/>
        </w:rPr>
        <w:t>Economic Corridor Policy, Land Concentration and ‘Social Exclusion’</w:t>
      </w:r>
    </w:p>
    <w:p w:rsidR="008E4247" w:rsidRPr="00C763F7" w:rsidRDefault="003D3378" w:rsidP="00801FB7">
      <w:pPr>
        <w:suppressAutoHyphens/>
        <w:ind w:firstLine="0"/>
        <w:jc w:val="center"/>
        <w:rPr>
          <w:smallCaps/>
          <w:sz w:val="28"/>
          <w:szCs w:val="28"/>
        </w:rPr>
      </w:pPr>
      <w:r w:rsidRPr="00450E0A">
        <w:rPr>
          <w:b/>
          <w:sz w:val="28"/>
          <w:szCs w:val="32"/>
          <w:lang w:val="en-US"/>
        </w:rPr>
        <w:t>Java</w:t>
      </w:r>
      <w:r w:rsidR="00AB3291">
        <w:rPr>
          <w:b/>
          <w:sz w:val="28"/>
          <w:szCs w:val="32"/>
          <w:lang w:val="en-US"/>
        </w:rPr>
        <w:t>’s</w:t>
      </w:r>
      <w:r w:rsidRPr="00450E0A">
        <w:rPr>
          <w:b/>
          <w:sz w:val="28"/>
          <w:szCs w:val="32"/>
          <w:lang w:val="en-US"/>
        </w:rPr>
        <w:t xml:space="preserve"> Economic Corridor Policy Implementa</w:t>
      </w:r>
      <w:r>
        <w:rPr>
          <w:b/>
          <w:sz w:val="28"/>
          <w:szCs w:val="32"/>
          <w:lang w:val="en-US"/>
        </w:rPr>
        <w:t>t</w:t>
      </w:r>
      <w:r w:rsidRPr="00450E0A">
        <w:rPr>
          <w:b/>
          <w:sz w:val="28"/>
          <w:szCs w:val="32"/>
          <w:lang w:val="en-US"/>
        </w:rPr>
        <w:t>ion, Indonesia</w:t>
      </w:r>
    </w:p>
    <w:p w:rsidR="009F0B29" w:rsidRPr="009F0B29" w:rsidRDefault="009F0B29" w:rsidP="00043966">
      <w:pPr>
        <w:spacing w:before="600" w:after="200"/>
        <w:ind w:firstLine="0"/>
        <w:jc w:val="center"/>
        <w:rPr>
          <w:sz w:val="28"/>
          <w:szCs w:val="28"/>
        </w:rPr>
      </w:pPr>
      <w:r w:rsidRPr="009F0B29">
        <w:rPr>
          <w:sz w:val="28"/>
          <w:szCs w:val="28"/>
        </w:rPr>
        <w:t>A  Research Paper presented by:</w:t>
      </w:r>
    </w:p>
    <w:p w:rsidR="007046B3" w:rsidRPr="009F0B29" w:rsidRDefault="003D3378" w:rsidP="009F0B29">
      <w:pPr>
        <w:spacing w:before="200"/>
        <w:ind w:firstLine="0"/>
        <w:jc w:val="center"/>
        <w:rPr>
          <w:b/>
          <w:i/>
          <w:sz w:val="28"/>
          <w:szCs w:val="20"/>
        </w:rPr>
      </w:pPr>
      <w:r>
        <w:rPr>
          <w:b/>
          <w:i/>
          <w:sz w:val="28"/>
          <w:szCs w:val="20"/>
        </w:rPr>
        <w:t>Hilmayati Safitri</w:t>
      </w:r>
    </w:p>
    <w:p w:rsidR="006C65AA" w:rsidRPr="009F0B29" w:rsidRDefault="003D3378" w:rsidP="009F0B29">
      <w:pPr>
        <w:ind w:firstLine="0"/>
        <w:jc w:val="center"/>
        <w:rPr>
          <w:sz w:val="28"/>
        </w:rPr>
      </w:pPr>
      <w:r>
        <w:rPr>
          <w:sz w:val="28"/>
        </w:rPr>
        <w:t>(Indonesia)</w:t>
      </w:r>
    </w:p>
    <w:p w:rsidR="009F0B29" w:rsidRPr="009F0B29" w:rsidRDefault="009F0B29" w:rsidP="009F0B29">
      <w:pPr>
        <w:spacing w:before="500"/>
        <w:ind w:firstLine="0"/>
        <w:jc w:val="center"/>
        <w:rPr>
          <w:sz w:val="28"/>
          <w:szCs w:val="28"/>
        </w:rPr>
      </w:pPr>
      <w:r w:rsidRPr="009F0B29">
        <w:rPr>
          <w:sz w:val="28"/>
          <w:szCs w:val="28"/>
        </w:rPr>
        <w:t xml:space="preserve">in partial </w:t>
      </w:r>
      <w:r w:rsidR="005F1983" w:rsidRPr="009F0B29">
        <w:rPr>
          <w:sz w:val="28"/>
          <w:szCs w:val="28"/>
        </w:rPr>
        <w:t>fulfilment</w:t>
      </w:r>
      <w:r w:rsidRPr="009F0B29">
        <w:rPr>
          <w:sz w:val="28"/>
          <w:szCs w:val="28"/>
        </w:rPr>
        <w:t xml:space="preserve"> of the requirements for obtaining the degree of</w:t>
      </w:r>
    </w:p>
    <w:p w:rsidR="009F0B29" w:rsidRPr="00043966" w:rsidRDefault="00043966" w:rsidP="009F0B29">
      <w:pPr>
        <w:ind w:firstLine="0"/>
        <w:jc w:val="center"/>
        <w:rPr>
          <w:smallCaps/>
          <w:sz w:val="26"/>
          <w:szCs w:val="26"/>
        </w:rPr>
      </w:pPr>
      <w:r w:rsidRPr="00043966">
        <w:rPr>
          <w:smallCaps/>
          <w:sz w:val="26"/>
          <w:szCs w:val="26"/>
        </w:rPr>
        <w:t>MASTERS OF ARTS IN DEVELOPMENT STUDIES</w:t>
      </w:r>
    </w:p>
    <w:p w:rsidR="009F0B29" w:rsidRPr="009F0B29" w:rsidRDefault="009F0B29" w:rsidP="00043966">
      <w:pPr>
        <w:spacing w:before="600" w:after="200"/>
        <w:ind w:firstLine="0"/>
        <w:jc w:val="center"/>
        <w:rPr>
          <w:sz w:val="28"/>
          <w:szCs w:val="28"/>
        </w:rPr>
      </w:pPr>
      <w:r w:rsidRPr="009F0B29">
        <w:rPr>
          <w:sz w:val="28"/>
          <w:szCs w:val="28"/>
        </w:rPr>
        <w:t>Specialization:</w:t>
      </w:r>
    </w:p>
    <w:p w:rsidR="006C65AA" w:rsidRPr="009F0B29" w:rsidRDefault="003D3378" w:rsidP="009F0B29">
      <w:pPr>
        <w:ind w:firstLine="0"/>
        <w:jc w:val="center"/>
        <w:rPr>
          <w:b/>
          <w:sz w:val="28"/>
          <w:szCs w:val="28"/>
        </w:rPr>
      </w:pPr>
      <w:r>
        <w:rPr>
          <w:b/>
          <w:sz w:val="28"/>
          <w:szCs w:val="28"/>
        </w:rPr>
        <w:t>Agriculture and Rural Development</w:t>
      </w:r>
    </w:p>
    <w:p w:rsidR="006C65AA" w:rsidRPr="00043966" w:rsidRDefault="003D3378" w:rsidP="009F0B29">
      <w:pPr>
        <w:ind w:firstLine="0"/>
        <w:jc w:val="center"/>
        <w:rPr>
          <w:sz w:val="28"/>
          <w:szCs w:val="28"/>
        </w:rPr>
      </w:pPr>
      <w:r>
        <w:rPr>
          <w:sz w:val="28"/>
          <w:szCs w:val="28"/>
        </w:rPr>
        <w:t>(ARD)</w:t>
      </w:r>
    </w:p>
    <w:p w:rsidR="009F0B29" w:rsidRPr="009F0B29" w:rsidRDefault="00D87576" w:rsidP="009F0B29">
      <w:pPr>
        <w:spacing w:before="600" w:after="200"/>
        <w:ind w:firstLine="0"/>
        <w:jc w:val="center"/>
        <w:rPr>
          <w:sz w:val="28"/>
          <w:szCs w:val="28"/>
        </w:rPr>
      </w:pPr>
      <w:r>
        <w:rPr>
          <w:sz w:val="28"/>
          <w:szCs w:val="28"/>
        </w:rPr>
        <w:t>Members of the E</w:t>
      </w:r>
      <w:r w:rsidR="009F0B29" w:rsidRPr="009F0B29">
        <w:rPr>
          <w:sz w:val="28"/>
          <w:szCs w:val="28"/>
        </w:rPr>
        <w:t xml:space="preserve">xamining </w:t>
      </w:r>
      <w:r>
        <w:rPr>
          <w:sz w:val="28"/>
          <w:szCs w:val="28"/>
        </w:rPr>
        <w:t>C</w:t>
      </w:r>
      <w:r w:rsidR="009F0B29" w:rsidRPr="009F0B29">
        <w:rPr>
          <w:sz w:val="28"/>
          <w:szCs w:val="28"/>
        </w:rPr>
        <w:t>ommittee:</w:t>
      </w:r>
    </w:p>
    <w:p w:rsidR="00532F55" w:rsidRPr="009F0B29" w:rsidRDefault="003D3378" w:rsidP="009F0B29">
      <w:pPr>
        <w:ind w:firstLine="0"/>
        <w:jc w:val="center"/>
        <w:rPr>
          <w:sz w:val="28"/>
          <w:szCs w:val="28"/>
        </w:rPr>
      </w:pPr>
      <w:r>
        <w:rPr>
          <w:sz w:val="26"/>
          <w:szCs w:val="26"/>
        </w:rPr>
        <w:t>Prof. Dr. Max Spoor</w:t>
      </w:r>
    </w:p>
    <w:p w:rsidR="00532F55" w:rsidRPr="009F0B29" w:rsidRDefault="003D3378" w:rsidP="009F0B29">
      <w:pPr>
        <w:ind w:firstLine="0"/>
        <w:jc w:val="center"/>
        <w:rPr>
          <w:sz w:val="28"/>
          <w:szCs w:val="28"/>
        </w:rPr>
      </w:pPr>
      <w:r w:rsidRPr="00D2197A">
        <w:rPr>
          <w:sz w:val="26"/>
          <w:szCs w:val="26"/>
        </w:rPr>
        <w:t xml:space="preserve">Dr </w:t>
      </w:r>
      <w:r>
        <w:rPr>
          <w:sz w:val="26"/>
          <w:szCs w:val="26"/>
        </w:rPr>
        <w:t>Saturnino M. Borras</w:t>
      </w:r>
    </w:p>
    <w:p w:rsidR="009F0B29" w:rsidRPr="009F0B29" w:rsidRDefault="009F0B29" w:rsidP="009F0B29">
      <w:pPr>
        <w:spacing w:before="800"/>
        <w:ind w:firstLine="0"/>
        <w:jc w:val="center"/>
        <w:rPr>
          <w:sz w:val="28"/>
          <w:szCs w:val="28"/>
        </w:rPr>
      </w:pPr>
      <w:r w:rsidRPr="009F0B29">
        <w:rPr>
          <w:sz w:val="28"/>
          <w:szCs w:val="28"/>
        </w:rPr>
        <w:t xml:space="preserve">The Hague, </w:t>
      </w:r>
      <w:r w:rsidR="000B410E" w:rsidRPr="009F0B29">
        <w:rPr>
          <w:sz w:val="28"/>
          <w:szCs w:val="28"/>
        </w:rPr>
        <w:t>the</w:t>
      </w:r>
      <w:r w:rsidRPr="009F0B29">
        <w:rPr>
          <w:sz w:val="28"/>
          <w:szCs w:val="28"/>
        </w:rPr>
        <w:t xml:space="preserve"> Netherlands</w:t>
      </w:r>
      <w:r w:rsidRPr="009F0B29">
        <w:rPr>
          <w:sz w:val="28"/>
          <w:szCs w:val="28"/>
        </w:rPr>
        <w:br/>
      </w:r>
      <w:r w:rsidR="00043966">
        <w:rPr>
          <w:sz w:val="28"/>
          <w:szCs w:val="28"/>
        </w:rPr>
        <w:t>December</w:t>
      </w:r>
      <w:r w:rsidR="00AB3291">
        <w:rPr>
          <w:sz w:val="28"/>
          <w:szCs w:val="28"/>
        </w:rPr>
        <w:t xml:space="preserve"> </w:t>
      </w:r>
      <w:r w:rsidR="00043966">
        <w:rPr>
          <w:sz w:val="28"/>
          <w:szCs w:val="28"/>
        </w:rPr>
        <w:t>2012</w:t>
      </w:r>
    </w:p>
    <w:p w:rsidR="00043460" w:rsidRDefault="00532F55" w:rsidP="007046B3">
      <w:pPr>
        <w:pStyle w:val="disclaimer"/>
        <w:spacing w:before="0"/>
        <w:rPr>
          <w:w w:val="115"/>
        </w:rPr>
      </w:pPr>
      <w:r w:rsidRPr="00F756EE">
        <w:rPr>
          <w:rFonts w:ascii="Garamond" w:hAnsi="Garamond"/>
          <w:sz w:val="28"/>
        </w:rPr>
        <w:br w:type="page"/>
      </w:r>
      <w:r w:rsidR="00476E26" w:rsidRPr="00476E26">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6" o:spid="_x0000_s1030" type="#_x0000_t75" alt="Description: disclaimer" style="position:absolute;left:0;text-align:left;margin-left:0;margin-top:.2pt;width:595.5pt;height:841.5pt;z-index:251664384;visibility:visible;mso-position-horizontal:center;mso-position-horizontal-relative:margin;mso-position-vertical-relative:margin">
            <v:imagedata r:id="rId8" o:title="disclaimer"/>
            <w10:wrap type="square" anchorx="margin" anchory="margin"/>
          </v:shape>
        </w:pict>
      </w:r>
    </w:p>
    <w:p w:rsidR="00A41F75" w:rsidRPr="009F0B29" w:rsidRDefault="000908A6" w:rsidP="009F0B29">
      <w:pPr>
        <w:spacing w:after="400"/>
        <w:ind w:firstLine="0"/>
        <w:rPr>
          <w:b/>
          <w:sz w:val="36"/>
          <w:szCs w:val="36"/>
        </w:rPr>
      </w:pPr>
      <w:bookmarkStart w:id="2" w:name="_Toc107734852"/>
      <w:bookmarkStart w:id="3" w:name="_Toc108933433"/>
      <w:bookmarkStart w:id="4" w:name="_Toc113185740"/>
      <w:bookmarkStart w:id="5" w:name="_Toc113262573"/>
      <w:bookmarkStart w:id="6" w:name="_Toc113781548"/>
      <w:bookmarkStart w:id="7" w:name="_Toc113782436"/>
      <w:bookmarkStart w:id="8" w:name="_Toc113954668"/>
      <w:bookmarkStart w:id="9" w:name="_Toc113955661"/>
      <w:bookmarkStart w:id="10" w:name="_Toc114475363"/>
      <w:bookmarkStart w:id="11" w:name="_Toc115511985"/>
      <w:bookmarkStart w:id="12" w:name="_Toc212783950"/>
      <w:bookmarkEnd w:id="0"/>
      <w:bookmarkEnd w:id="1"/>
      <w:r w:rsidRPr="009F0B29">
        <w:rPr>
          <w:b/>
          <w:sz w:val="36"/>
          <w:szCs w:val="36"/>
        </w:rPr>
        <w:lastRenderedPageBreak/>
        <w:t>C</w:t>
      </w:r>
      <w:r w:rsidR="00316EDA" w:rsidRPr="009F0B29">
        <w:rPr>
          <w:b/>
          <w:sz w:val="36"/>
          <w:szCs w:val="36"/>
        </w:rPr>
        <w:t>ontents</w:t>
      </w:r>
      <w:bookmarkEnd w:id="2"/>
      <w:bookmarkEnd w:id="3"/>
      <w:bookmarkEnd w:id="4"/>
      <w:bookmarkEnd w:id="5"/>
      <w:bookmarkEnd w:id="6"/>
      <w:bookmarkEnd w:id="7"/>
      <w:bookmarkEnd w:id="8"/>
      <w:bookmarkEnd w:id="9"/>
      <w:bookmarkEnd w:id="10"/>
      <w:bookmarkEnd w:id="11"/>
      <w:bookmarkEnd w:id="12"/>
    </w:p>
    <w:p w:rsidR="00C81A74" w:rsidRDefault="00476E26">
      <w:pPr>
        <w:pStyle w:val="TOC4"/>
        <w:tabs>
          <w:tab w:val="right" w:pos="7360"/>
        </w:tabs>
        <w:rPr>
          <w:rFonts w:asciiTheme="minorHAnsi" w:eastAsiaTheme="minorEastAsia" w:hAnsiTheme="minorHAnsi" w:cstheme="minorBidi"/>
          <w:i w:val="0"/>
          <w:noProof/>
          <w:sz w:val="22"/>
          <w:szCs w:val="22"/>
          <w:lang w:val="en-US" w:eastAsia="en-US"/>
        </w:rPr>
      </w:pPr>
      <w:r w:rsidRPr="00476E26">
        <w:rPr>
          <w:b/>
        </w:rPr>
        <w:fldChar w:fldCharType="begin"/>
      </w:r>
      <w:r w:rsidR="000E7B60">
        <w:rPr>
          <w:b/>
        </w:rPr>
        <w:instrText xml:space="preserve"> TOC \o "1-3" \h \z \t "Heading 1 not chapter,4" </w:instrText>
      </w:r>
      <w:r w:rsidRPr="00476E26">
        <w:rPr>
          <w:b/>
        </w:rPr>
        <w:fldChar w:fldCharType="separate"/>
      </w:r>
      <w:hyperlink w:anchor="_Toc340497417" w:history="1">
        <w:r w:rsidR="00C81A74" w:rsidRPr="00B87020">
          <w:rPr>
            <w:rStyle w:val="Hyperlink"/>
            <w:noProof/>
          </w:rPr>
          <w:t>List of Tables</w:t>
        </w:r>
        <w:r w:rsidR="00C81A74">
          <w:rPr>
            <w:noProof/>
            <w:webHidden/>
          </w:rPr>
          <w:tab/>
        </w:r>
        <w:r>
          <w:rPr>
            <w:noProof/>
            <w:webHidden/>
          </w:rPr>
          <w:fldChar w:fldCharType="begin"/>
        </w:r>
        <w:r w:rsidR="00C81A74">
          <w:rPr>
            <w:noProof/>
            <w:webHidden/>
          </w:rPr>
          <w:instrText xml:space="preserve"> PAGEREF _Toc340497417 \h </w:instrText>
        </w:r>
        <w:r>
          <w:rPr>
            <w:noProof/>
            <w:webHidden/>
          </w:rPr>
        </w:r>
        <w:r>
          <w:rPr>
            <w:noProof/>
            <w:webHidden/>
          </w:rPr>
          <w:fldChar w:fldCharType="separate"/>
        </w:r>
        <w:r w:rsidR="007A2022">
          <w:rPr>
            <w:noProof/>
            <w:webHidden/>
          </w:rPr>
          <w:t>iv</w:t>
        </w:r>
        <w:r>
          <w:rPr>
            <w:noProof/>
            <w:webHidden/>
          </w:rPr>
          <w:fldChar w:fldCharType="end"/>
        </w:r>
      </w:hyperlink>
    </w:p>
    <w:p w:rsidR="00C81A74" w:rsidRDefault="00476E26">
      <w:pPr>
        <w:pStyle w:val="TOC4"/>
        <w:tabs>
          <w:tab w:val="right" w:pos="7360"/>
        </w:tabs>
        <w:rPr>
          <w:rFonts w:asciiTheme="minorHAnsi" w:eastAsiaTheme="minorEastAsia" w:hAnsiTheme="minorHAnsi" w:cstheme="minorBidi"/>
          <w:i w:val="0"/>
          <w:noProof/>
          <w:sz w:val="22"/>
          <w:szCs w:val="22"/>
          <w:lang w:val="en-US" w:eastAsia="en-US"/>
        </w:rPr>
      </w:pPr>
      <w:hyperlink w:anchor="_Toc340497418" w:history="1">
        <w:r w:rsidR="00C81A74" w:rsidRPr="00B87020">
          <w:rPr>
            <w:rStyle w:val="Hyperlink"/>
            <w:noProof/>
          </w:rPr>
          <w:t>List of Figures</w:t>
        </w:r>
        <w:r w:rsidR="00C81A74">
          <w:rPr>
            <w:noProof/>
            <w:webHidden/>
          </w:rPr>
          <w:tab/>
        </w:r>
        <w:r>
          <w:rPr>
            <w:noProof/>
            <w:webHidden/>
          </w:rPr>
          <w:fldChar w:fldCharType="begin"/>
        </w:r>
        <w:r w:rsidR="00C81A74">
          <w:rPr>
            <w:noProof/>
            <w:webHidden/>
          </w:rPr>
          <w:instrText xml:space="preserve"> PAGEREF _Toc340497418 \h </w:instrText>
        </w:r>
        <w:r>
          <w:rPr>
            <w:noProof/>
            <w:webHidden/>
          </w:rPr>
        </w:r>
        <w:r>
          <w:rPr>
            <w:noProof/>
            <w:webHidden/>
          </w:rPr>
          <w:fldChar w:fldCharType="separate"/>
        </w:r>
        <w:r w:rsidR="007A2022">
          <w:rPr>
            <w:noProof/>
            <w:webHidden/>
          </w:rPr>
          <w:t>iv</w:t>
        </w:r>
        <w:r>
          <w:rPr>
            <w:noProof/>
            <w:webHidden/>
          </w:rPr>
          <w:fldChar w:fldCharType="end"/>
        </w:r>
      </w:hyperlink>
    </w:p>
    <w:p w:rsidR="00C81A74" w:rsidRDefault="00476E26">
      <w:pPr>
        <w:pStyle w:val="TOC4"/>
        <w:tabs>
          <w:tab w:val="right" w:pos="7360"/>
        </w:tabs>
        <w:rPr>
          <w:rFonts w:asciiTheme="minorHAnsi" w:eastAsiaTheme="minorEastAsia" w:hAnsiTheme="minorHAnsi" w:cstheme="minorBidi"/>
          <w:i w:val="0"/>
          <w:noProof/>
          <w:sz w:val="22"/>
          <w:szCs w:val="22"/>
          <w:lang w:val="en-US" w:eastAsia="en-US"/>
        </w:rPr>
      </w:pPr>
      <w:hyperlink w:anchor="_Toc340497419" w:history="1">
        <w:r w:rsidR="00C81A74" w:rsidRPr="00B87020">
          <w:rPr>
            <w:rStyle w:val="Hyperlink"/>
            <w:noProof/>
          </w:rPr>
          <w:t>List of Maps</w:t>
        </w:r>
        <w:r w:rsidR="00C81A74">
          <w:rPr>
            <w:noProof/>
            <w:webHidden/>
          </w:rPr>
          <w:tab/>
        </w:r>
        <w:r>
          <w:rPr>
            <w:noProof/>
            <w:webHidden/>
          </w:rPr>
          <w:fldChar w:fldCharType="begin"/>
        </w:r>
        <w:r w:rsidR="00C81A74">
          <w:rPr>
            <w:noProof/>
            <w:webHidden/>
          </w:rPr>
          <w:instrText xml:space="preserve"> PAGEREF _Toc340497419 \h </w:instrText>
        </w:r>
        <w:r>
          <w:rPr>
            <w:noProof/>
            <w:webHidden/>
          </w:rPr>
        </w:r>
        <w:r>
          <w:rPr>
            <w:noProof/>
            <w:webHidden/>
          </w:rPr>
          <w:fldChar w:fldCharType="separate"/>
        </w:r>
        <w:r w:rsidR="007A2022">
          <w:rPr>
            <w:noProof/>
            <w:webHidden/>
          </w:rPr>
          <w:t>iv</w:t>
        </w:r>
        <w:r>
          <w:rPr>
            <w:noProof/>
            <w:webHidden/>
          </w:rPr>
          <w:fldChar w:fldCharType="end"/>
        </w:r>
      </w:hyperlink>
    </w:p>
    <w:p w:rsidR="00C81A74" w:rsidRDefault="00476E26">
      <w:pPr>
        <w:pStyle w:val="TOC4"/>
        <w:tabs>
          <w:tab w:val="right" w:pos="7360"/>
        </w:tabs>
        <w:rPr>
          <w:rFonts w:asciiTheme="minorHAnsi" w:eastAsiaTheme="minorEastAsia" w:hAnsiTheme="minorHAnsi" w:cstheme="minorBidi"/>
          <w:i w:val="0"/>
          <w:noProof/>
          <w:sz w:val="22"/>
          <w:szCs w:val="22"/>
          <w:lang w:val="en-US" w:eastAsia="en-US"/>
        </w:rPr>
      </w:pPr>
      <w:hyperlink w:anchor="_Toc340497420" w:history="1">
        <w:r w:rsidR="00C81A74" w:rsidRPr="00B87020">
          <w:rPr>
            <w:rStyle w:val="Hyperlink"/>
            <w:noProof/>
          </w:rPr>
          <w:t>List of Acronyms</w:t>
        </w:r>
        <w:r w:rsidR="00C81A74">
          <w:rPr>
            <w:noProof/>
            <w:webHidden/>
          </w:rPr>
          <w:tab/>
        </w:r>
        <w:r>
          <w:rPr>
            <w:noProof/>
            <w:webHidden/>
          </w:rPr>
          <w:fldChar w:fldCharType="begin"/>
        </w:r>
        <w:r w:rsidR="00C81A74">
          <w:rPr>
            <w:noProof/>
            <w:webHidden/>
          </w:rPr>
          <w:instrText xml:space="preserve"> PAGEREF _Toc340497420 \h </w:instrText>
        </w:r>
        <w:r>
          <w:rPr>
            <w:noProof/>
            <w:webHidden/>
          </w:rPr>
        </w:r>
        <w:r>
          <w:rPr>
            <w:noProof/>
            <w:webHidden/>
          </w:rPr>
          <w:fldChar w:fldCharType="separate"/>
        </w:r>
        <w:r w:rsidR="007A2022">
          <w:rPr>
            <w:noProof/>
            <w:webHidden/>
          </w:rPr>
          <w:t>v</w:t>
        </w:r>
        <w:r>
          <w:rPr>
            <w:noProof/>
            <w:webHidden/>
          </w:rPr>
          <w:fldChar w:fldCharType="end"/>
        </w:r>
      </w:hyperlink>
    </w:p>
    <w:p w:rsidR="00C81A74" w:rsidRDefault="00476E26">
      <w:pPr>
        <w:pStyle w:val="TOC4"/>
        <w:tabs>
          <w:tab w:val="right" w:pos="7360"/>
        </w:tabs>
        <w:rPr>
          <w:rFonts w:asciiTheme="minorHAnsi" w:eastAsiaTheme="minorEastAsia" w:hAnsiTheme="minorHAnsi" w:cstheme="minorBidi"/>
          <w:i w:val="0"/>
          <w:noProof/>
          <w:sz w:val="22"/>
          <w:szCs w:val="22"/>
          <w:lang w:val="en-US" w:eastAsia="en-US"/>
        </w:rPr>
      </w:pPr>
      <w:hyperlink w:anchor="_Toc340497421" w:history="1">
        <w:r w:rsidR="00C81A74" w:rsidRPr="00B87020">
          <w:rPr>
            <w:rStyle w:val="Hyperlink"/>
            <w:noProof/>
          </w:rPr>
          <w:t>Abstract</w:t>
        </w:r>
        <w:r w:rsidR="00C81A74">
          <w:rPr>
            <w:noProof/>
            <w:webHidden/>
          </w:rPr>
          <w:tab/>
        </w:r>
        <w:r>
          <w:rPr>
            <w:noProof/>
            <w:webHidden/>
          </w:rPr>
          <w:fldChar w:fldCharType="begin"/>
        </w:r>
        <w:r w:rsidR="00C81A74">
          <w:rPr>
            <w:noProof/>
            <w:webHidden/>
          </w:rPr>
          <w:instrText xml:space="preserve"> PAGEREF _Toc340497421 \h </w:instrText>
        </w:r>
        <w:r>
          <w:rPr>
            <w:noProof/>
            <w:webHidden/>
          </w:rPr>
        </w:r>
        <w:r>
          <w:rPr>
            <w:noProof/>
            <w:webHidden/>
          </w:rPr>
          <w:fldChar w:fldCharType="separate"/>
        </w:r>
        <w:r w:rsidR="007A2022">
          <w:rPr>
            <w:noProof/>
            <w:webHidden/>
          </w:rPr>
          <w:t>vii</w:t>
        </w:r>
        <w:r>
          <w:rPr>
            <w:noProof/>
            <w:webHidden/>
          </w:rPr>
          <w:fldChar w:fldCharType="end"/>
        </w:r>
      </w:hyperlink>
    </w:p>
    <w:p w:rsidR="00C81A74" w:rsidRDefault="00476E26">
      <w:pPr>
        <w:pStyle w:val="TOC1"/>
        <w:rPr>
          <w:rFonts w:asciiTheme="minorHAnsi" w:eastAsiaTheme="minorEastAsia" w:hAnsiTheme="minorHAnsi" w:cstheme="minorBidi"/>
          <w:b w:val="0"/>
          <w:sz w:val="22"/>
          <w:szCs w:val="22"/>
          <w:lang w:val="en-US" w:eastAsia="en-US"/>
        </w:rPr>
      </w:pPr>
      <w:hyperlink w:anchor="_Toc340497422" w:history="1">
        <w:r w:rsidR="00C81A74" w:rsidRPr="00B87020">
          <w:rPr>
            <w:rStyle w:val="Hyperlink"/>
          </w:rPr>
          <w:t>Chapter 1 Introduction</w:t>
        </w:r>
        <w:r w:rsidR="00C81A74">
          <w:rPr>
            <w:webHidden/>
          </w:rPr>
          <w:tab/>
        </w:r>
        <w:r>
          <w:rPr>
            <w:webHidden/>
          </w:rPr>
          <w:fldChar w:fldCharType="begin"/>
        </w:r>
        <w:r w:rsidR="00C81A74">
          <w:rPr>
            <w:webHidden/>
          </w:rPr>
          <w:instrText xml:space="preserve"> PAGEREF _Toc340497422 \h </w:instrText>
        </w:r>
        <w:r>
          <w:rPr>
            <w:webHidden/>
          </w:rPr>
        </w:r>
        <w:r>
          <w:rPr>
            <w:webHidden/>
          </w:rPr>
          <w:fldChar w:fldCharType="separate"/>
        </w:r>
        <w:r w:rsidR="007A2022">
          <w:rPr>
            <w:webHidden/>
          </w:rPr>
          <w:t>1</w:t>
        </w:r>
        <w:r>
          <w:rPr>
            <w:webHidden/>
          </w:rPr>
          <w:fldChar w:fldCharType="end"/>
        </w:r>
      </w:hyperlink>
    </w:p>
    <w:p w:rsidR="00C81A74" w:rsidRDefault="00476E26" w:rsidP="00024FA7">
      <w:pPr>
        <w:pStyle w:val="TOC2"/>
        <w:jc w:val="left"/>
        <w:rPr>
          <w:rFonts w:asciiTheme="minorHAnsi" w:eastAsiaTheme="minorEastAsia" w:hAnsiTheme="minorHAnsi" w:cstheme="minorBidi"/>
          <w:sz w:val="22"/>
          <w:szCs w:val="22"/>
          <w:lang w:val="en-US" w:eastAsia="en-US"/>
        </w:rPr>
      </w:pPr>
      <w:hyperlink w:anchor="_Toc340497423" w:history="1">
        <w:r w:rsidR="00C81A74" w:rsidRPr="00B87020">
          <w:rPr>
            <w:rStyle w:val="Hyperlink"/>
          </w:rPr>
          <w:t>1.1</w:t>
        </w:r>
        <w:r w:rsidR="00C81A74">
          <w:rPr>
            <w:rFonts w:asciiTheme="minorHAnsi" w:eastAsiaTheme="minorEastAsia" w:hAnsiTheme="minorHAnsi" w:cstheme="minorBidi"/>
            <w:sz w:val="22"/>
            <w:szCs w:val="22"/>
            <w:lang w:val="en-US" w:eastAsia="en-US"/>
          </w:rPr>
          <w:tab/>
        </w:r>
        <w:r w:rsidR="00C81A74" w:rsidRPr="00B87020">
          <w:rPr>
            <w:rStyle w:val="Hyperlink"/>
          </w:rPr>
          <w:t>Economic Corridor Policy within Agriculture and Rural Development Narrative</w:t>
        </w:r>
        <w:r w:rsidR="00C81A74">
          <w:rPr>
            <w:webHidden/>
          </w:rPr>
          <w:tab/>
        </w:r>
        <w:r>
          <w:rPr>
            <w:webHidden/>
          </w:rPr>
          <w:fldChar w:fldCharType="begin"/>
        </w:r>
        <w:r w:rsidR="00C81A74">
          <w:rPr>
            <w:webHidden/>
          </w:rPr>
          <w:instrText xml:space="preserve"> PAGEREF _Toc340497423 \h </w:instrText>
        </w:r>
        <w:r>
          <w:rPr>
            <w:webHidden/>
          </w:rPr>
        </w:r>
        <w:r>
          <w:rPr>
            <w:webHidden/>
          </w:rPr>
          <w:fldChar w:fldCharType="separate"/>
        </w:r>
        <w:r w:rsidR="007A2022">
          <w:rPr>
            <w:webHidden/>
          </w:rPr>
          <w:t>2</w:t>
        </w:r>
        <w:r>
          <w:rPr>
            <w:webHidden/>
          </w:rPr>
          <w:fldChar w:fldCharType="end"/>
        </w:r>
      </w:hyperlink>
    </w:p>
    <w:p w:rsidR="00C81A74" w:rsidRDefault="00476E26">
      <w:pPr>
        <w:pStyle w:val="TOC2"/>
        <w:rPr>
          <w:rFonts w:asciiTheme="minorHAnsi" w:eastAsiaTheme="minorEastAsia" w:hAnsiTheme="minorHAnsi" w:cstheme="minorBidi"/>
          <w:sz w:val="22"/>
          <w:szCs w:val="22"/>
          <w:lang w:val="en-US" w:eastAsia="en-US"/>
        </w:rPr>
      </w:pPr>
      <w:hyperlink w:anchor="_Toc340497424" w:history="1">
        <w:r w:rsidR="00C81A74" w:rsidRPr="00B87020">
          <w:rPr>
            <w:rStyle w:val="Hyperlink"/>
          </w:rPr>
          <w:t>1.2. Research Problem and Objective</w:t>
        </w:r>
        <w:r w:rsidR="00C81A74">
          <w:rPr>
            <w:webHidden/>
          </w:rPr>
          <w:tab/>
        </w:r>
        <w:r>
          <w:rPr>
            <w:webHidden/>
          </w:rPr>
          <w:fldChar w:fldCharType="begin"/>
        </w:r>
        <w:r w:rsidR="00C81A74">
          <w:rPr>
            <w:webHidden/>
          </w:rPr>
          <w:instrText xml:space="preserve"> PAGEREF _Toc340497424 \h </w:instrText>
        </w:r>
        <w:r>
          <w:rPr>
            <w:webHidden/>
          </w:rPr>
        </w:r>
        <w:r>
          <w:rPr>
            <w:webHidden/>
          </w:rPr>
          <w:fldChar w:fldCharType="separate"/>
        </w:r>
        <w:r w:rsidR="007A2022">
          <w:rPr>
            <w:webHidden/>
          </w:rPr>
          <w:t>3</w:t>
        </w:r>
        <w:r>
          <w:rPr>
            <w:webHidden/>
          </w:rPr>
          <w:fldChar w:fldCharType="end"/>
        </w:r>
      </w:hyperlink>
    </w:p>
    <w:p w:rsidR="00C81A74" w:rsidRDefault="00476E26">
      <w:pPr>
        <w:pStyle w:val="TOC2"/>
        <w:rPr>
          <w:rFonts w:asciiTheme="minorHAnsi" w:eastAsiaTheme="minorEastAsia" w:hAnsiTheme="minorHAnsi" w:cstheme="minorBidi"/>
          <w:sz w:val="22"/>
          <w:szCs w:val="22"/>
          <w:lang w:val="en-US" w:eastAsia="en-US"/>
        </w:rPr>
      </w:pPr>
      <w:hyperlink w:anchor="_Toc340497425" w:history="1">
        <w:r w:rsidR="00C81A74" w:rsidRPr="00B87020">
          <w:rPr>
            <w:rStyle w:val="Hyperlink"/>
          </w:rPr>
          <w:t>1.3. Methodology</w:t>
        </w:r>
        <w:r w:rsidR="00C81A74">
          <w:rPr>
            <w:webHidden/>
          </w:rPr>
          <w:tab/>
        </w:r>
        <w:r>
          <w:rPr>
            <w:webHidden/>
          </w:rPr>
          <w:fldChar w:fldCharType="begin"/>
        </w:r>
        <w:r w:rsidR="00C81A74">
          <w:rPr>
            <w:webHidden/>
          </w:rPr>
          <w:instrText xml:space="preserve"> PAGEREF _Toc340497425 \h </w:instrText>
        </w:r>
        <w:r>
          <w:rPr>
            <w:webHidden/>
          </w:rPr>
        </w:r>
        <w:r>
          <w:rPr>
            <w:webHidden/>
          </w:rPr>
          <w:fldChar w:fldCharType="separate"/>
        </w:r>
        <w:r w:rsidR="007A2022">
          <w:rPr>
            <w:webHidden/>
          </w:rPr>
          <w:t>4</w:t>
        </w:r>
        <w:r>
          <w:rPr>
            <w:webHidden/>
          </w:rPr>
          <w:fldChar w:fldCharType="end"/>
        </w:r>
      </w:hyperlink>
    </w:p>
    <w:p w:rsidR="00C81A74" w:rsidRDefault="00476E26">
      <w:pPr>
        <w:pStyle w:val="TOC3"/>
        <w:rPr>
          <w:rFonts w:asciiTheme="minorHAnsi" w:eastAsiaTheme="minorEastAsia" w:hAnsiTheme="minorHAnsi" w:cstheme="minorBidi"/>
          <w:noProof/>
          <w:sz w:val="22"/>
          <w:szCs w:val="22"/>
          <w:lang w:val="en-US" w:eastAsia="en-US"/>
        </w:rPr>
      </w:pPr>
      <w:hyperlink w:anchor="_Toc340497426" w:history="1">
        <w:r w:rsidR="00C81A74" w:rsidRPr="00B87020">
          <w:rPr>
            <w:rStyle w:val="Hyperlink"/>
            <w:noProof/>
          </w:rPr>
          <w:t>Method of Data Collection</w:t>
        </w:r>
        <w:r w:rsidR="00C81A74">
          <w:rPr>
            <w:noProof/>
            <w:webHidden/>
          </w:rPr>
          <w:tab/>
        </w:r>
        <w:r>
          <w:rPr>
            <w:noProof/>
            <w:webHidden/>
          </w:rPr>
          <w:fldChar w:fldCharType="begin"/>
        </w:r>
        <w:r w:rsidR="00C81A74">
          <w:rPr>
            <w:noProof/>
            <w:webHidden/>
          </w:rPr>
          <w:instrText xml:space="preserve"> PAGEREF _Toc340497426 \h </w:instrText>
        </w:r>
        <w:r>
          <w:rPr>
            <w:noProof/>
            <w:webHidden/>
          </w:rPr>
        </w:r>
        <w:r>
          <w:rPr>
            <w:noProof/>
            <w:webHidden/>
          </w:rPr>
          <w:fldChar w:fldCharType="separate"/>
        </w:r>
        <w:r w:rsidR="007A2022">
          <w:rPr>
            <w:noProof/>
            <w:webHidden/>
          </w:rPr>
          <w:t>4</w:t>
        </w:r>
        <w:r>
          <w:rPr>
            <w:noProof/>
            <w:webHidden/>
          </w:rPr>
          <w:fldChar w:fldCharType="end"/>
        </w:r>
      </w:hyperlink>
    </w:p>
    <w:p w:rsidR="00C81A74" w:rsidRDefault="00476E26">
      <w:pPr>
        <w:pStyle w:val="TOC1"/>
        <w:rPr>
          <w:rFonts w:asciiTheme="minorHAnsi" w:eastAsiaTheme="minorEastAsia" w:hAnsiTheme="minorHAnsi" w:cstheme="minorBidi"/>
          <w:b w:val="0"/>
          <w:sz w:val="22"/>
          <w:szCs w:val="22"/>
          <w:lang w:val="en-US" w:eastAsia="en-US"/>
        </w:rPr>
      </w:pPr>
      <w:hyperlink w:anchor="_Toc340497427" w:history="1">
        <w:r w:rsidR="00C81A74" w:rsidRPr="00B87020">
          <w:rPr>
            <w:rStyle w:val="Hyperlink"/>
          </w:rPr>
          <w:t>Chapter 2 Capital Driven Economic Corridor Policy and Land Concentration</w:t>
        </w:r>
        <w:r w:rsidR="00C81A74">
          <w:rPr>
            <w:webHidden/>
          </w:rPr>
          <w:tab/>
        </w:r>
        <w:r>
          <w:rPr>
            <w:webHidden/>
          </w:rPr>
          <w:fldChar w:fldCharType="begin"/>
        </w:r>
        <w:r w:rsidR="00C81A74">
          <w:rPr>
            <w:webHidden/>
          </w:rPr>
          <w:instrText xml:space="preserve"> PAGEREF _Toc340497427 \h </w:instrText>
        </w:r>
        <w:r>
          <w:rPr>
            <w:webHidden/>
          </w:rPr>
        </w:r>
        <w:r>
          <w:rPr>
            <w:webHidden/>
          </w:rPr>
          <w:fldChar w:fldCharType="separate"/>
        </w:r>
        <w:r w:rsidR="007A2022">
          <w:rPr>
            <w:webHidden/>
          </w:rPr>
          <w:t>6</w:t>
        </w:r>
        <w:r>
          <w:rPr>
            <w:webHidden/>
          </w:rPr>
          <w:fldChar w:fldCharType="end"/>
        </w:r>
      </w:hyperlink>
    </w:p>
    <w:p w:rsidR="00C81A74" w:rsidRDefault="00476E26">
      <w:pPr>
        <w:pStyle w:val="TOC2"/>
        <w:rPr>
          <w:rFonts w:asciiTheme="minorHAnsi" w:eastAsiaTheme="minorEastAsia" w:hAnsiTheme="minorHAnsi" w:cstheme="minorBidi"/>
          <w:sz w:val="22"/>
          <w:szCs w:val="22"/>
          <w:lang w:val="en-US" w:eastAsia="en-US"/>
        </w:rPr>
      </w:pPr>
      <w:hyperlink w:anchor="_Toc340497428" w:history="1">
        <w:r w:rsidR="00C81A74" w:rsidRPr="00B87020">
          <w:rPr>
            <w:rStyle w:val="Hyperlink"/>
            <w:lang w:val="en-US"/>
          </w:rPr>
          <w:t>2.1. Economic Corridor (Policy)</w:t>
        </w:r>
        <w:r w:rsidR="00C81A74">
          <w:rPr>
            <w:webHidden/>
          </w:rPr>
          <w:tab/>
        </w:r>
        <w:r>
          <w:rPr>
            <w:webHidden/>
          </w:rPr>
          <w:fldChar w:fldCharType="begin"/>
        </w:r>
        <w:r w:rsidR="00C81A74">
          <w:rPr>
            <w:webHidden/>
          </w:rPr>
          <w:instrText xml:space="preserve"> PAGEREF _Toc340497428 \h </w:instrText>
        </w:r>
        <w:r>
          <w:rPr>
            <w:webHidden/>
          </w:rPr>
        </w:r>
        <w:r>
          <w:rPr>
            <w:webHidden/>
          </w:rPr>
          <w:fldChar w:fldCharType="separate"/>
        </w:r>
        <w:r w:rsidR="007A2022">
          <w:rPr>
            <w:webHidden/>
          </w:rPr>
          <w:t>7</w:t>
        </w:r>
        <w:r>
          <w:rPr>
            <w:webHidden/>
          </w:rPr>
          <w:fldChar w:fldCharType="end"/>
        </w:r>
      </w:hyperlink>
    </w:p>
    <w:p w:rsidR="00C81A74" w:rsidRDefault="00476E26">
      <w:pPr>
        <w:pStyle w:val="TOC3"/>
        <w:rPr>
          <w:rFonts w:asciiTheme="minorHAnsi" w:eastAsiaTheme="minorEastAsia" w:hAnsiTheme="minorHAnsi" w:cstheme="minorBidi"/>
          <w:noProof/>
          <w:sz w:val="22"/>
          <w:szCs w:val="22"/>
          <w:lang w:val="en-US" w:eastAsia="en-US"/>
        </w:rPr>
      </w:pPr>
      <w:hyperlink w:anchor="_Toc340497429" w:history="1">
        <w:r w:rsidR="00C81A74" w:rsidRPr="00B87020">
          <w:rPr>
            <w:rStyle w:val="Hyperlink"/>
            <w:noProof/>
          </w:rPr>
          <w:t>Theory and Concept</w:t>
        </w:r>
        <w:r w:rsidR="00C81A74">
          <w:rPr>
            <w:noProof/>
            <w:webHidden/>
          </w:rPr>
          <w:tab/>
        </w:r>
        <w:r>
          <w:rPr>
            <w:noProof/>
            <w:webHidden/>
          </w:rPr>
          <w:fldChar w:fldCharType="begin"/>
        </w:r>
        <w:r w:rsidR="00C81A74">
          <w:rPr>
            <w:noProof/>
            <w:webHidden/>
          </w:rPr>
          <w:instrText xml:space="preserve"> PAGEREF _Toc340497429 \h </w:instrText>
        </w:r>
        <w:r>
          <w:rPr>
            <w:noProof/>
            <w:webHidden/>
          </w:rPr>
        </w:r>
        <w:r>
          <w:rPr>
            <w:noProof/>
            <w:webHidden/>
          </w:rPr>
          <w:fldChar w:fldCharType="separate"/>
        </w:r>
        <w:r w:rsidR="007A2022">
          <w:rPr>
            <w:noProof/>
            <w:webHidden/>
          </w:rPr>
          <w:t>7</w:t>
        </w:r>
        <w:r>
          <w:rPr>
            <w:noProof/>
            <w:webHidden/>
          </w:rPr>
          <w:fldChar w:fldCharType="end"/>
        </w:r>
      </w:hyperlink>
    </w:p>
    <w:p w:rsidR="00C81A74" w:rsidRDefault="00476E26">
      <w:pPr>
        <w:pStyle w:val="TOC3"/>
        <w:rPr>
          <w:rFonts w:asciiTheme="minorHAnsi" w:eastAsiaTheme="minorEastAsia" w:hAnsiTheme="minorHAnsi" w:cstheme="minorBidi"/>
          <w:noProof/>
          <w:sz w:val="22"/>
          <w:szCs w:val="22"/>
          <w:lang w:val="en-US" w:eastAsia="en-US"/>
        </w:rPr>
      </w:pPr>
      <w:hyperlink w:anchor="_Toc340497430" w:history="1">
        <w:r w:rsidR="00C81A74" w:rsidRPr="00B87020">
          <w:rPr>
            <w:rStyle w:val="Hyperlink"/>
            <w:noProof/>
          </w:rPr>
          <w:t>Implementation of Economic Corridor Policy</w:t>
        </w:r>
        <w:r w:rsidR="00C81A74">
          <w:rPr>
            <w:noProof/>
            <w:webHidden/>
          </w:rPr>
          <w:tab/>
        </w:r>
        <w:r>
          <w:rPr>
            <w:noProof/>
            <w:webHidden/>
          </w:rPr>
          <w:fldChar w:fldCharType="begin"/>
        </w:r>
        <w:r w:rsidR="00C81A74">
          <w:rPr>
            <w:noProof/>
            <w:webHidden/>
          </w:rPr>
          <w:instrText xml:space="preserve"> PAGEREF _Toc340497430 \h </w:instrText>
        </w:r>
        <w:r>
          <w:rPr>
            <w:noProof/>
            <w:webHidden/>
          </w:rPr>
        </w:r>
        <w:r>
          <w:rPr>
            <w:noProof/>
            <w:webHidden/>
          </w:rPr>
          <w:fldChar w:fldCharType="separate"/>
        </w:r>
        <w:r w:rsidR="007A2022">
          <w:rPr>
            <w:noProof/>
            <w:webHidden/>
          </w:rPr>
          <w:t>9</w:t>
        </w:r>
        <w:r>
          <w:rPr>
            <w:noProof/>
            <w:webHidden/>
          </w:rPr>
          <w:fldChar w:fldCharType="end"/>
        </w:r>
      </w:hyperlink>
    </w:p>
    <w:p w:rsidR="00C81A74" w:rsidRDefault="00476E26">
      <w:pPr>
        <w:pStyle w:val="TOC2"/>
        <w:rPr>
          <w:rFonts w:asciiTheme="minorHAnsi" w:eastAsiaTheme="minorEastAsia" w:hAnsiTheme="minorHAnsi" w:cstheme="minorBidi"/>
          <w:sz w:val="22"/>
          <w:szCs w:val="22"/>
          <w:lang w:val="en-US" w:eastAsia="en-US"/>
        </w:rPr>
      </w:pPr>
      <w:hyperlink w:anchor="_Toc340497431" w:history="1">
        <w:r w:rsidR="00C81A74" w:rsidRPr="00B87020">
          <w:rPr>
            <w:rStyle w:val="Hyperlink"/>
          </w:rPr>
          <w:t>2.2. Implementation of Economic Corridor Policy and Its Consequences on Land Grabs and Concentration</w:t>
        </w:r>
        <w:r w:rsidR="00C81A74">
          <w:rPr>
            <w:webHidden/>
          </w:rPr>
          <w:tab/>
        </w:r>
        <w:r>
          <w:rPr>
            <w:webHidden/>
          </w:rPr>
          <w:fldChar w:fldCharType="begin"/>
        </w:r>
        <w:r w:rsidR="00C81A74">
          <w:rPr>
            <w:webHidden/>
          </w:rPr>
          <w:instrText xml:space="preserve"> PAGEREF _Toc340497431 \h </w:instrText>
        </w:r>
        <w:r>
          <w:rPr>
            <w:webHidden/>
          </w:rPr>
        </w:r>
        <w:r>
          <w:rPr>
            <w:webHidden/>
          </w:rPr>
          <w:fldChar w:fldCharType="separate"/>
        </w:r>
        <w:r w:rsidR="007A2022">
          <w:rPr>
            <w:webHidden/>
          </w:rPr>
          <w:t>11</w:t>
        </w:r>
        <w:r>
          <w:rPr>
            <w:webHidden/>
          </w:rPr>
          <w:fldChar w:fldCharType="end"/>
        </w:r>
      </w:hyperlink>
    </w:p>
    <w:p w:rsidR="00C81A74" w:rsidRDefault="00476E26">
      <w:pPr>
        <w:pStyle w:val="TOC1"/>
        <w:rPr>
          <w:rFonts w:asciiTheme="minorHAnsi" w:eastAsiaTheme="minorEastAsia" w:hAnsiTheme="minorHAnsi" w:cstheme="minorBidi"/>
          <w:b w:val="0"/>
          <w:sz w:val="22"/>
          <w:szCs w:val="22"/>
          <w:lang w:val="en-US" w:eastAsia="en-US"/>
        </w:rPr>
      </w:pPr>
      <w:hyperlink w:anchor="_Toc340497432" w:history="1">
        <w:r w:rsidR="00C81A74" w:rsidRPr="00B87020">
          <w:rPr>
            <w:rStyle w:val="Hyperlink"/>
          </w:rPr>
          <w:t xml:space="preserve">Chapter 3 </w:t>
        </w:r>
        <w:r w:rsidR="00C81A74" w:rsidRPr="00B87020">
          <w:rPr>
            <w:rStyle w:val="Hyperlink"/>
            <w:lang w:val="en-US"/>
          </w:rPr>
          <w:t>Economic Corridor Policy, C</w:t>
        </w:r>
        <w:r w:rsidR="00C81A74" w:rsidRPr="00B87020">
          <w:rPr>
            <w:rStyle w:val="Hyperlink"/>
            <w:lang w:val="id-ID"/>
          </w:rPr>
          <w:t xml:space="preserve">apital-driven </w:t>
        </w:r>
        <w:r w:rsidR="00C81A74" w:rsidRPr="00B87020">
          <w:rPr>
            <w:rStyle w:val="Hyperlink"/>
            <w:lang w:val="en-US"/>
          </w:rPr>
          <w:t xml:space="preserve">Growth, and </w:t>
        </w:r>
        <w:r w:rsidR="00C81A74" w:rsidRPr="00B87020">
          <w:rPr>
            <w:rStyle w:val="Hyperlink"/>
            <w:lang w:val="id-ID"/>
          </w:rPr>
          <w:t xml:space="preserve">Land </w:t>
        </w:r>
        <w:r w:rsidR="00C81A74" w:rsidRPr="00B87020">
          <w:rPr>
            <w:rStyle w:val="Hyperlink"/>
            <w:lang w:val="en-US"/>
          </w:rPr>
          <w:t>C</w:t>
        </w:r>
        <w:r w:rsidR="00C81A74" w:rsidRPr="00B87020">
          <w:rPr>
            <w:rStyle w:val="Hyperlink"/>
            <w:lang w:val="id-ID"/>
          </w:rPr>
          <w:t xml:space="preserve">oncentration </w:t>
        </w:r>
        <w:r w:rsidR="00C81A74" w:rsidRPr="00B87020">
          <w:rPr>
            <w:rStyle w:val="Hyperlink"/>
            <w:lang w:val="en-US"/>
          </w:rPr>
          <w:t xml:space="preserve">in </w:t>
        </w:r>
        <w:r w:rsidR="00C81A74" w:rsidRPr="00B87020">
          <w:rPr>
            <w:rStyle w:val="Hyperlink"/>
            <w:lang w:val="id-ID"/>
          </w:rPr>
          <w:t xml:space="preserve">Java, </w:t>
        </w:r>
        <w:r w:rsidR="00C81A74" w:rsidRPr="00B87020">
          <w:rPr>
            <w:rStyle w:val="Hyperlink"/>
            <w:lang w:val="en-US"/>
          </w:rPr>
          <w:t>Indonesia</w:t>
        </w:r>
        <w:r w:rsidR="00C81A74">
          <w:rPr>
            <w:webHidden/>
          </w:rPr>
          <w:tab/>
        </w:r>
        <w:r>
          <w:rPr>
            <w:webHidden/>
          </w:rPr>
          <w:fldChar w:fldCharType="begin"/>
        </w:r>
        <w:r w:rsidR="00C81A74">
          <w:rPr>
            <w:webHidden/>
          </w:rPr>
          <w:instrText xml:space="preserve"> PAGEREF _Toc340497432 \h </w:instrText>
        </w:r>
        <w:r>
          <w:rPr>
            <w:webHidden/>
          </w:rPr>
        </w:r>
        <w:r>
          <w:rPr>
            <w:webHidden/>
          </w:rPr>
          <w:fldChar w:fldCharType="separate"/>
        </w:r>
        <w:r w:rsidR="007A2022">
          <w:rPr>
            <w:webHidden/>
          </w:rPr>
          <w:t>14</w:t>
        </w:r>
        <w:r>
          <w:rPr>
            <w:webHidden/>
          </w:rPr>
          <w:fldChar w:fldCharType="end"/>
        </w:r>
      </w:hyperlink>
    </w:p>
    <w:p w:rsidR="00C81A74" w:rsidRDefault="00476E26">
      <w:pPr>
        <w:pStyle w:val="TOC2"/>
        <w:rPr>
          <w:rFonts w:asciiTheme="minorHAnsi" w:eastAsiaTheme="minorEastAsia" w:hAnsiTheme="minorHAnsi" w:cstheme="minorBidi"/>
          <w:sz w:val="22"/>
          <w:szCs w:val="22"/>
          <w:lang w:val="en-US" w:eastAsia="en-US"/>
        </w:rPr>
      </w:pPr>
      <w:hyperlink w:anchor="_Toc340497433" w:history="1">
        <w:r w:rsidR="00C81A74" w:rsidRPr="00B87020">
          <w:rPr>
            <w:rStyle w:val="Hyperlink"/>
          </w:rPr>
          <w:t>3.1. The Island of Java as a Main Economic Development Area in Indonesia</w:t>
        </w:r>
        <w:r w:rsidR="00C81A74">
          <w:rPr>
            <w:webHidden/>
          </w:rPr>
          <w:tab/>
        </w:r>
        <w:r>
          <w:rPr>
            <w:webHidden/>
          </w:rPr>
          <w:fldChar w:fldCharType="begin"/>
        </w:r>
        <w:r w:rsidR="00C81A74">
          <w:rPr>
            <w:webHidden/>
          </w:rPr>
          <w:instrText xml:space="preserve"> PAGEREF _Toc340497433 \h </w:instrText>
        </w:r>
        <w:r>
          <w:rPr>
            <w:webHidden/>
          </w:rPr>
        </w:r>
        <w:r>
          <w:rPr>
            <w:webHidden/>
          </w:rPr>
          <w:fldChar w:fldCharType="separate"/>
        </w:r>
        <w:r w:rsidR="007A2022">
          <w:rPr>
            <w:webHidden/>
          </w:rPr>
          <w:t>20</w:t>
        </w:r>
        <w:r>
          <w:rPr>
            <w:webHidden/>
          </w:rPr>
          <w:fldChar w:fldCharType="end"/>
        </w:r>
      </w:hyperlink>
    </w:p>
    <w:p w:rsidR="00C81A74" w:rsidRDefault="00476E26">
      <w:pPr>
        <w:pStyle w:val="TOC2"/>
        <w:rPr>
          <w:rFonts w:asciiTheme="minorHAnsi" w:eastAsiaTheme="minorEastAsia" w:hAnsiTheme="minorHAnsi" w:cstheme="minorBidi"/>
          <w:sz w:val="22"/>
          <w:szCs w:val="22"/>
          <w:lang w:val="en-US" w:eastAsia="en-US"/>
        </w:rPr>
      </w:pPr>
      <w:hyperlink w:anchor="_Toc340497434" w:history="1">
        <w:r w:rsidR="00C81A74" w:rsidRPr="00B87020">
          <w:rPr>
            <w:rStyle w:val="Hyperlink"/>
          </w:rPr>
          <w:t>3.2. Java’s Economic Corridor in MP3EI Policy</w:t>
        </w:r>
        <w:r w:rsidR="00C81A74">
          <w:rPr>
            <w:webHidden/>
          </w:rPr>
          <w:tab/>
        </w:r>
        <w:r>
          <w:rPr>
            <w:webHidden/>
          </w:rPr>
          <w:fldChar w:fldCharType="begin"/>
        </w:r>
        <w:r w:rsidR="00C81A74">
          <w:rPr>
            <w:webHidden/>
          </w:rPr>
          <w:instrText xml:space="preserve"> PAGEREF _Toc340497434 \h </w:instrText>
        </w:r>
        <w:r>
          <w:rPr>
            <w:webHidden/>
          </w:rPr>
        </w:r>
        <w:r>
          <w:rPr>
            <w:webHidden/>
          </w:rPr>
          <w:fldChar w:fldCharType="separate"/>
        </w:r>
        <w:r w:rsidR="007A2022">
          <w:rPr>
            <w:webHidden/>
          </w:rPr>
          <w:t>24</w:t>
        </w:r>
        <w:r>
          <w:rPr>
            <w:webHidden/>
          </w:rPr>
          <w:fldChar w:fldCharType="end"/>
        </w:r>
      </w:hyperlink>
    </w:p>
    <w:p w:rsidR="00C81A74" w:rsidRDefault="00476E26">
      <w:pPr>
        <w:pStyle w:val="TOC2"/>
        <w:rPr>
          <w:rFonts w:asciiTheme="minorHAnsi" w:eastAsiaTheme="minorEastAsia" w:hAnsiTheme="minorHAnsi" w:cstheme="minorBidi"/>
          <w:sz w:val="22"/>
          <w:szCs w:val="22"/>
          <w:lang w:val="en-US" w:eastAsia="en-US"/>
        </w:rPr>
      </w:pPr>
      <w:hyperlink w:anchor="_Toc340497435" w:history="1">
        <w:r w:rsidR="00C81A74" w:rsidRPr="00B87020">
          <w:rPr>
            <w:rStyle w:val="Hyperlink"/>
            <w:lang w:val="en-US"/>
          </w:rPr>
          <w:t>3.3. Infrastructure Development and Land Concentration in Java</w:t>
        </w:r>
        <w:r w:rsidR="00C81A74">
          <w:rPr>
            <w:webHidden/>
          </w:rPr>
          <w:tab/>
        </w:r>
        <w:r>
          <w:rPr>
            <w:webHidden/>
          </w:rPr>
          <w:fldChar w:fldCharType="begin"/>
        </w:r>
        <w:r w:rsidR="00C81A74">
          <w:rPr>
            <w:webHidden/>
          </w:rPr>
          <w:instrText xml:space="preserve"> PAGEREF _Toc340497435 \h </w:instrText>
        </w:r>
        <w:r>
          <w:rPr>
            <w:webHidden/>
          </w:rPr>
        </w:r>
        <w:r>
          <w:rPr>
            <w:webHidden/>
          </w:rPr>
          <w:fldChar w:fldCharType="separate"/>
        </w:r>
        <w:r w:rsidR="007A2022">
          <w:rPr>
            <w:webHidden/>
          </w:rPr>
          <w:t>28</w:t>
        </w:r>
        <w:r>
          <w:rPr>
            <w:webHidden/>
          </w:rPr>
          <w:fldChar w:fldCharType="end"/>
        </w:r>
      </w:hyperlink>
    </w:p>
    <w:p w:rsidR="00C81A74" w:rsidRDefault="00476E26">
      <w:pPr>
        <w:pStyle w:val="TOC2"/>
        <w:rPr>
          <w:rFonts w:asciiTheme="minorHAnsi" w:eastAsiaTheme="minorEastAsia" w:hAnsiTheme="minorHAnsi" w:cstheme="minorBidi"/>
          <w:sz w:val="22"/>
          <w:szCs w:val="22"/>
          <w:lang w:val="en-US" w:eastAsia="en-US"/>
        </w:rPr>
      </w:pPr>
      <w:hyperlink w:anchor="_Toc340497436" w:history="1">
        <w:r w:rsidR="00C81A74" w:rsidRPr="00B87020">
          <w:rPr>
            <w:rStyle w:val="Hyperlink"/>
            <w:lang w:val="en-US"/>
          </w:rPr>
          <w:t>3.4. Local People’s Dilemma</w:t>
        </w:r>
        <w:r w:rsidR="00C81A74">
          <w:rPr>
            <w:webHidden/>
          </w:rPr>
          <w:tab/>
        </w:r>
        <w:r>
          <w:rPr>
            <w:webHidden/>
          </w:rPr>
          <w:fldChar w:fldCharType="begin"/>
        </w:r>
        <w:r w:rsidR="00C81A74">
          <w:rPr>
            <w:webHidden/>
          </w:rPr>
          <w:instrText xml:space="preserve"> PAGEREF _Toc340497436 \h </w:instrText>
        </w:r>
        <w:r>
          <w:rPr>
            <w:webHidden/>
          </w:rPr>
        </w:r>
        <w:r>
          <w:rPr>
            <w:webHidden/>
          </w:rPr>
          <w:fldChar w:fldCharType="separate"/>
        </w:r>
        <w:r w:rsidR="007A2022">
          <w:rPr>
            <w:webHidden/>
          </w:rPr>
          <w:t>31</w:t>
        </w:r>
        <w:r>
          <w:rPr>
            <w:webHidden/>
          </w:rPr>
          <w:fldChar w:fldCharType="end"/>
        </w:r>
      </w:hyperlink>
    </w:p>
    <w:p w:rsidR="00C81A74" w:rsidRDefault="00476E26">
      <w:pPr>
        <w:pStyle w:val="TOC1"/>
        <w:rPr>
          <w:rFonts w:asciiTheme="minorHAnsi" w:eastAsiaTheme="minorEastAsia" w:hAnsiTheme="minorHAnsi" w:cstheme="minorBidi"/>
          <w:b w:val="0"/>
          <w:sz w:val="22"/>
          <w:szCs w:val="22"/>
          <w:lang w:val="en-US" w:eastAsia="en-US"/>
        </w:rPr>
      </w:pPr>
      <w:hyperlink w:anchor="_Toc340497437" w:history="1">
        <w:r w:rsidR="00C81A74" w:rsidRPr="00B87020">
          <w:rPr>
            <w:rStyle w:val="Hyperlink"/>
          </w:rPr>
          <w:t>Chapter 4 Conclusion</w:t>
        </w:r>
        <w:r w:rsidR="00C81A74">
          <w:rPr>
            <w:webHidden/>
          </w:rPr>
          <w:tab/>
        </w:r>
        <w:r>
          <w:rPr>
            <w:webHidden/>
          </w:rPr>
          <w:fldChar w:fldCharType="begin"/>
        </w:r>
        <w:r w:rsidR="00C81A74">
          <w:rPr>
            <w:webHidden/>
          </w:rPr>
          <w:instrText xml:space="preserve"> PAGEREF _Toc340497437 \h </w:instrText>
        </w:r>
        <w:r>
          <w:rPr>
            <w:webHidden/>
          </w:rPr>
        </w:r>
        <w:r>
          <w:rPr>
            <w:webHidden/>
          </w:rPr>
          <w:fldChar w:fldCharType="separate"/>
        </w:r>
        <w:r w:rsidR="007A2022">
          <w:rPr>
            <w:webHidden/>
          </w:rPr>
          <w:t>35</w:t>
        </w:r>
        <w:r>
          <w:rPr>
            <w:webHidden/>
          </w:rPr>
          <w:fldChar w:fldCharType="end"/>
        </w:r>
      </w:hyperlink>
    </w:p>
    <w:p w:rsidR="00C81A74" w:rsidRDefault="00476E26">
      <w:pPr>
        <w:pStyle w:val="TOC2"/>
        <w:rPr>
          <w:rFonts w:asciiTheme="minorHAnsi" w:eastAsiaTheme="minorEastAsia" w:hAnsiTheme="minorHAnsi" w:cstheme="minorBidi"/>
          <w:sz w:val="22"/>
          <w:szCs w:val="22"/>
          <w:lang w:val="en-US" w:eastAsia="en-US"/>
        </w:rPr>
      </w:pPr>
      <w:hyperlink w:anchor="_Toc340497438" w:history="1">
        <w:r w:rsidR="00C81A74" w:rsidRPr="00B87020">
          <w:rPr>
            <w:rStyle w:val="Hyperlink"/>
          </w:rPr>
          <w:t>4.1. The actors involved in land concentration</w:t>
        </w:r>
        <w:r w:rsidR="00C81A74">
          <w:rPr>
            <w:webHidden/>
          </w:rPr>
          <w:tab/>
        </w:r>
        <w:r>
          <w:rPr>
            <w:webHidden/>
          </w:rPr>
          <w:fldChar w:fldCharType="begin"/>
        </w:r>
        <w:r w:rsidR="00C81A74">
          <w:rPr>
            <w:webHidden/>
          </w:rPr>
          <w:instrText xml:space="preserve"> PAGEREF _Toc340497438 \h </w:instrText>
        </w:r>
        <w:r>
          <w:rPr>
            <w:webHidden/>
          </w:rPr>
        </w:r>
        <w:r>
          <w:rPr>
            <w:webHidden/>
          </w:rPr>
          <w:fldChar w:fldCharType="separate"/>
        </w:r>
        <w:r w:rsidR="007A2022">
          <w:rPr>
            <w:webHidden/>
          </w:rPr>
          <w:t>35</w:t>
        </w:r>
        <w:r>
          <w:rPr>
            <w:webHidden/>
          </w:rPr>
          <w:fldChar w:fldCharType="end"/>
        </w:r>
      </w:hyperlink>
    </w:p>
    <w:p w:rsidR="00C81A74" w:rsidRDefault="00476E26">
      <w:pPr>
        <w:pStyle w:val="TOC2"/>
        <w:rPr>
          <w:rFonts w:asciiTheme="minorHAnsi" w:eastAsiaTheme="minorEastAsia" w:hAnsiTheme="minorHAnsi" w:cstheme="minorBidi"/>
          <w:sz w:val="22"/>
          <w:szCs w:val="22"/>
          <w:lang w:val="en-US" w:eastAsia="en-US"/>
        </w:rPr>
      </w:pPr>
      <w:hyperlink w:anchor="_Toc340497439" w:history="1">
        <w:r w:rsidR="00C81A74" w:rsidRPr="00B87020">
          <w:rPr>
            <w:rStyle w:val="Hyperlink"/>
          </w:rPr>
          <w:t>4.2. The form of land concentration and its dynamic</w:t>
        </w:r>
        <w:r w:rsidR="00C81A74">
          <w:rPr>
            <w:webHidden/>
          </w:rPr>
          <w:tab/>
        </w:r>
        <w:r>
          <w:rPr>
            <w:webHidden/>
          </w:rPr>
          <w:fldChar w:fldCharType="begin"/>
        </w:r>
        <w:r w:rsidR="00C81A74">
          <w:rPr>
            <w:webHidden/>
          </w:rPr>
          <w:instrText xml:space="preserve"> PAGEREF _Toc340497439 \h </w:instrText>
        </w:r>
        <w:r>
          <w:rPr>
            <w:webHidden/>
          </w:rPr>
        </w:r>
        <w:r>
          <w:rPr>
            <w:webHidden/>
          </w:rPr>
          <w:fldChar w:fldCharType="separate"/>
        </w:r>
        <w:r w:rsidR="007A2022">
          <w:rPr>
            <w:webHidden/>
          </w:rPr>
          <w:t>37</w:t>
        </w:r>
        <w:r>
          <w:rPr>
            <w:webHidden/>
          </w:rPr>
          <w:fldChar w:fldCharType="end"/>
        </w:r>
      </w:hyperlink>
    </w:p>
    <w:p w:rsidR="00C81A74" w:rsidRDefault="00476E26">
      <w:pPr>
        <w:pStyle w:val="TOC2"/>
        <w:rPr>
          <w:rFonts w:asciiTheme="minorHAnsi" w:eastAsiaTheme="minorEastAsia" w:hAnsiTheme="minorHAnsi" w:cstheme="minorBidi"/>
          <w:sz w:val="22"/>
          <w:szCs w:val="22"/>
          <w:lang w:val="en-US" w:eastAsia="en-US"/>
        </w:rPr>
      </w:pPr>
      <w:hyperlink w:anchor="_Toc340497440" w:history="1">
        <w:r w:rsidR="00C81A74" w:rsidRPr="00B87020">
          <w:rPr>
            <w:rStyle w:val="Hyperlink"/>
          </w:rPr>
          <w:t>4.3. ‘Social Exclusion’ in Java Economic Corridor</w:t>
        </w:r>
        <w:r w:rsidR="00C81A74">
          <w:rPr>
            <w:webHidden/>
          </w:rPr>
          <w:tab/>
        </w:r>
        <w:r>
          <w:rPr>
            <w:webHidden/>
          </w:rPr>
          <w:fldChar w:fldCharType="begin"/>
        </w:r>
        <w:r w:rsidR="00C81A74">
          <w:rPr>
            <w:webHidden/>
          </w:rPr>
          <w:instrText xml:space="preserve"> PAGEREF _Toc340497440 \h </w:instrText>
        </w:r>
        <w:r>
          <w:rPr>
            <w:webHidden/>
          </w:rPr>
        </w:r>
        <w:r>
          <w:rPr>
            <w:webHidden/>
          </w:rPr>
          <w:fldChar w:fldCharType="separate"/>
        </w:r>
        <w:r w:rsidR="007A2022">
          <w:rPr>
            <w:webHidden/>
          </w:rPr>
          <w:t>37</w:t>
        </w:r>
        <w:r>
          <w:rPr>
            <w:webHidden/>
          </w:rPr>
          <w:fldChar w:fldCharType="end"/>
        </w:r>
      </w:hyperlink>
    </w:p>
    <w:p w:rsidR="00C81A74" w:rsidRDefault="00476E26">
      <w:pPr>
        <w:pStyle w:val="TOC2"/>
        <w:rPr>
          <w:rFonts w:asciiTheme="minorHAnsi" w:eastAsiaTheme="minorEastAsia" w:hAnsiTheme="minorHAnsi" w:cstheme="minorBidi"/>
          <w:sz w:val="22"/>
          <w:szCs w:val="22"/>
          <w:lang w:val="en-US" w:eastAsia="en-US"/>
        </w:rPr>
      </w:pPr>
      <w:hyperlink w:anchor="_Toc340497441" w:history="1">
        <w:r w:rsidR="00C81A74" w:rsidRPr="00B87020">
          <w:rPr>
            <w:rStyle w:val="Hyperlink"/>
          </w:rPr>
          <w:t>4.4. Questions for further research</w:t>
        </w:r>
        <w:r w:rsidR="00C81A74">
          <w:rPr>
            <w:webHidden/>
          </w:rPr>
          <w:tab/>
        </w:r>
        <w:r>
          <w:rPr>
            <w:webHidden/>
          </w:rPr>
          <w:fldChar w:fldCharType="begin"/>
        </w:r>
        <w:r w:rsidR="00C81A74">
          <w:rPr>
            <w:webHidden/>
          </w:rPr>
          <w:instrText xml:space="preserve"> PAGEREF _Toc340497441 \h </w:instrText>
        </w:r>
        <w:r>
          <w:rPr>
            <w:webHidden/>
          </w:rPr>
        </w:r>
        <w:r>
          <w:rPr>
            <w:webHidden/>
          </w:rPr>
          <w:fldChar w:fldCharType="separate"/>
        </w:r>
        <w:r w:rsidR="007A2022">
          <w:rPr>
            <w:webHidden/>
          </w:rPr>
          <w:t>38</w:t>
        </w:r>
        <w:r>
          <w:rPr>
            <w:webHidden/>
          </w:rPr>
          <w:fldChar w:fldCharType="end"/>
        </w:r>
      </w:hyperlink>
    </w:p>
    <w:p w:rsidR="00C81A74" w:rsidRDefault="00476E26">
      <w:pPr>
        <w:pStyle w:val="TOC1"/>
        <w:rPr>
          <w:rFonts w:asciiTheme="minorHAnsi" w:eastAsiaTheme="minorEastAsia" w:hAnsiTheme="minorHAnsi" w:cstheme="minorBidi"/>
          <w:b w:val="0"/>
          <w:sz w:val="22"/>
          <w:szCs w:val="22"/>
          <w:lang w:val="en-US" w:eastAsia="en-US"/>
        </w:rPr>
      </w:pPr>
      <w:hyperlink w:anchor="_Toc340497442" w:history="1">
        <w:r w:rsidR="00C81A74" w:rsidRPr="00B87020">
          <w:rPr>
            <w:rStyle w:val="Hyperlink"/>
          </w:rPr>
          <w:t>References</w:t>
        </w:r>
        <w:r w:rsidR="00C81A74">
          <w:rPr>
            <w:webHidden/>
          </w:rPr>
          <w:tab/>
        </w:r>
        <w:r w:rsidR="00C81A74">
          <w:rPr>
            <w:webHidden/>
          </w:rPr>
          <w:tab/>
        </w:r>
        <w:r>
          <w:rPr>
            <w:webHidden/>
          </w:rPr>
          <w:fldChar w:fldCharType="begin"/>
        </w:r>
        <w:r w:rsidR="00C81A74">
          <w:rPr>
            <w:webHidden/>
          </w:rPr>
          <w:instrText xml:space="preserve"> PAGEREF _Toc340497442 \h </w:instrText>
        </w:r>
        <w:r>
          <w:rPr>
            <w:webHidden/>
          </w:rPr>
        </w:r>
        <w:r>
          <w:rPr>
            <w:webHidden/>
          </w:rPr>
          <w:fldChar w:fldCharType="separate"/>
        </w:r>
        <w:r w:rsidR="007A2022">
          <w:rPr>
            <w:webHidden/>
          </w:rPr>
          <w:t>40</w:t>
        </w:r>
        <w:r>
          <w:rPr>
            <w:webHidden/>
          </w:rPr>
          <w:fldChar w:fldCharType="end"/>
        </w:r>
      </w:hyperlink>
    </w:p>
    <w:p w:rsidR="00043460" w:rsidRPr="008B3247" w:rsidRDefault="00476E26" w:rsidP="00EB1441">
      <w:pPr>
        <w:pStyle w:val="TOC1"/>
      </w:pPr>
      <w:r>
        <w:rPr>
          <w:b w:val="0"/>
          <w:noProof w:val="0"/>
        </w:rPr>
        <w:fldChar w:fldCharType="end"/>
      </w:r>
    </w:p>
    <w:p w:rsidR="00532F55" w:rsidRDefault="00E22DF1" w:rsidP="00EB1441">
      <w:pPr>
        <w:pStyle w:val="Heading1NOTchapter"/>
        <w:spacing w:after="300"/>
      </w:pPr>
      <w:r>
        <w:br w:type="page"/>
      </w:r>
      <w:bookmarkStart w:id="13" w:name="_Toc340497417"/>
      <w:r w:rsidR="00532F55">
        <w:lastRenderedPageBreak/>
        <w:t>List of Tables</w:t>
      </w:r>
      <w:bookmarkEnd w:id="13"/>
    </w:p>
    <w:p w:rsidR="007A2022" w:rsidRDefault="00476E26" w:rsidP="007A2022">
      <w:pPr>
        <w:pStyle w:val="TableofFigures"/>
        <w:tabs>
          <w:tab w:val="right" w:pos="7360"/>
        </w:tabs>
        <w:ind w:left="1080" w:hanging="1080"/>
        <w:jc w:val="left"/>
        <w:rPr>
          <w:rFonts w:asciiTheme="minorHAnsi" w:eastAsiaTheme="minorEastAsia" w:hAnsiTheme="minorHAnsi" w:cstheme="minorBidi"/>
          <w:noProof/>
          <w:sz w:val="22"/>
          <w:szCs w:val="22"/>
          <w:lang w:val="en-US" w:eastAsia="en-US"/>
        </w:rPr>
      </w:pPr>
      <w:r w:rsidRPr="00476E26">
        <w:rPr>
          <w:b/>
          <w:noProof/>
        </w:rPr>
        <w:fldChar w:fldCharType="begin"/>
      </w:r>
      <w:r w:rsidR="00DE51EA">
        <w:rPr>
          <w:b/>
          <w:noProof/>
        </w:rPr>
        <w:instrText xml:space="preserve"> TOC \h \z \t "table title,2" \c "Table" </w:instrText>
      </w:r>
      <w:r w:rsidRPr="00476E26">
        <w:rPr>
          <w:b/>
          <w:noProof/>
        </w:rPr>
        <w:fldChar w:fldCharType="separate"/>
      </w:r>
      <w:hyperlink w:anchor="_Toc340654622" w:history="1">
        <w:r w:rsidR="007A2022" w:rsidRPr="00166AA5">
          <w:rPr>
            <w:rStyle w:val="Hyperlink"/>
            <w:noProof/>
          </w:rPr>
          <w:t>Table 3.1.  Economic Growth in Indonesia, 1965-1996 (Average Annual Growth Rate (%))</w:t>
        </w:r>
        <w:r w:rsidR="007A2022">
          <w:rPr>
            <w:noProof/>
            <w:webHidden/>
          </w:rPr>
          <w:tab/>
        </w:r>
        <w:r w:rsidR="007A2022">
          <w:rPr>
            <w:noProof/>
            <w:webHidden/>
          </w:rPr>
          <w:fldChar w:fldCharType="begin"/>
        </w:r>
        <w:r w:rsidR="007A2022">
          <w:rPr>
            <w:noProof/>
            <w:webHidden/>
          </w:rPr>
          <w:instrText xml:space="preserve"> PAGEREF _Toc340654622 \h </w:instrText>
        </w:r>
        <w:r w:rsidR="007A2022">
          <w:rPr>
            <w:noProof/>
            <w:webHidden/>
          </w:rPr>
        </w:r>
        <w:r w:rsidR="007A2022">
          <w:rPr>
            <w:noProof/>
            <w:webHidden/>
          </w:rPr>
          <w:fldChar w:fldCharType="separate"/>
        </w:r>
        <w:r w:rsidR="007A2022">
          <w:rPr>
            <w:noProof/>
            <w:webHidden/>
          </w:rPr>
          <w:t>16</w:t>
        </w:r>
        <w:r w:rsidR="007A2022">
          <w:rPr>
            <w:noProof/>
            <w:webHidden/>
          </w:rPr>
          <w:fldChar w:fldCharType="end"/>
        </w:r>
      </w:hyperlink>
    </w:p>
    <w:p w:rsidR="007A2022" w:rsidRDefault="007A2022" w:rsidP="007A2022">
      <w:pPr>
        <w:pStyle w:val="TableofFigures"/>
        <w:tabs>
          <w:tab w:val="right" w:pos="7360"/>
        </w:tabs>
        <w:ind w:left="1080" w:hanging="1080"/>
        <w:jc w:val="left"/>
        <w:rPr>
          <w:rFonts w:asciiTheme="minorHAnsi" w:eastAsiaTheme="minorEastAsia" w:hAnsiTheme="minorHAnsi" w:cstheme="minorBidi"/>
          <w:noProof/>
          <w:sz w:val="22"/>
          <w:szCs w:val="22"/>
          <w:lang w:val="en-US" w:eastAsia="en-US"/>
        </w:rPr>
      </w:pPr>
      <w:hyperlink w:anchor="_Toc340654623" w:history="1">
        <w:r w:rsidRPr="00166AA5">
          <w:rPr>
            <w:rStyle w:val="Hyperlink"/>
            <w:noProof/>
          </w:rPr>
          <w:t>Table 3.2.  General Overview of on Land Concentration and Control by Corporate Groups in Indonesia</w:t>
        </w:r>
        <w:r>
          <w:rPr>
            <w:noProof/>
            <w:webHidden/>
          </w:rPr>
          <w:tab/>
        </w:r>
        <w:r>
          <w:rPr>
            <w:noProof/>
            <w:webHidden/>
          </w:rPr>
          <w:fldChar w:fldCharType="begin"/>
        </w:r>
        <w:r>
          <w:rPr>
            <w:noProof/>
            <w:webHidden/>
          </w:rPr>
          <w:instrText xml:space="preserve"> PAGEREF _Toc340654623 \h </w:instrText>
        </w:r>
        <w:r>
          <w:rPr>
            <w:noProof/>
            <w:webHidden/>
          </w:rPr>
        </w:r>
        <w:r>
          <w:rPr>
            <w:noProof/>
            <w:webHidden/>
          </w:rPr>
          <w:fldChar w:fldCharType="separate"/>
        </w:r>
        <w:r>
          <w:rPr>
            <w:noProof/>
            <w:webHidden/>
          </w:rPr>
          <w:t>17</w:t>
        </w:r>
        <w:r>
          <w:rPr>
            <w:noProof/>
            <w:webHidden/>
          </w:rPr>
          <w:fldChar w:fldCharType="end"/>
        </w:r>
      </w:hyperlink>
    </w:p>
    <w:p w:rsidR="007A2022" w:rsidRDefault="007A2022" w:rsidP="007A2022">
      <w:pPr>
        <w:pStyle w:val="TableofFigures"/>
        <w:tabs>
          <w:tab w:val="right" w:pos="7360"/>
        </w:tabs>
        <w:ind w:left="1080" w:hanging="1080"/>
        <w:jc w:val="left"/>
        <w:rPr>
          <w:rFonts w:asciiTheme="minorHAnsi" w:eastAsiaTheme="minorEastAsia" w:hAnsiTheme="minorHAnsi" w:cstheme="minorBidi"/>
          <w:noProof/>
          <w:sz w:val="22"/>
          <w:szCs w:val="22"/>
          <w:lang w:val="en-US" w:eastAsia="en-US"/>
        </w:rPr>
      </w:pPr>
      <w:hyperlink w:anchor="_Toc340654624" w:history="1">
        <w:r w:rsidRPr="00166AA5">
          <w:rPr>
            <w:rStyle w:val="Hyperlink"/>
            <w:noProof/>
          </w:rPr>
          <w:t>Table 3.3.  Peasant’s Landholding Structure in Indonesia, 1983-2000</w:t>
        </w:r>
        <w:r>
          <w:rPr>
            <w:noProof/>
            <w:webHidden/>
          </w:rPr>
          <w:tab/>
        </w:r>
        <w:r>
          <w:rPr>
            <w:noProof/>
            <w:webHidden/>
          </w:rPr>
          <w:fldChar w:fldCharType="begin"/>
        </w:r>
        <w:r>
          <w:rPr>
            <w:noProof/>
            <w:webHidden/>
          </w:rPr>
          <w:instrText xml:space="preserve"> PAGEREF _Toc340654624 \h </w:instrText>
        </w:r>
        <w:r>
          <w:rPr>
            <w:noProof/>
            <w:webHidden/>
          </w:rPr>
        </w:r>
        <w:r>
          <w:rPr>
            <w:noProof/>
            <w:webHidden/>
          </w:rPr>
          <w:fldChar w:fldCharType="separate"/>
        </w:r>
        <w:r>
          <w:rPr>
            <w:noProof/>
            <w:webHidden/>
          </w:rPr>
          <w:t>18</w:t>
        </w:r>
        <w:r>
          <w:rPr>
            <w:noProof/>
            <w:webHidden/>
          </w:rPr>
          <w:fldChar w:fldCharType="end"/>
        </w:r>
      </w:hyperlink>
    </w:p>
    <w:p w:rsidR="007A2022" w:rsidRDefault="007A2022" w:rsidP="007A2022">
      <w:pPr>
        <w:pStyle w:val="TableofFigures"/>
        <w:tabs>
          <w:tab w:val="right" w:pos="7360"/>
        </w:tabs>
        <w:ind w:left="1080" w:hanging="1080"/>
        <w:jc w:val="left"/>
        <w:rPr>
          <w:rFonts w:asciiTheme="minorHAnsi" w:eastAsiaTheme="minorEastAsia" w:hAnsiTheme="minorHAnsi" w:cstheme="minorBidi"/>
          <w:noProof/>
          <w:sz w:val="22"/>
          <w:szCs w:val="22"/>
          <w:lang w:val="en-US" w:eastAsia="en-US"/>
        </w:rPr>
      </w:pPr>
      <w:hyperlink w:anchor="_Toc340654625" w:history="1">
        <w:r w:rsidRPr="00166AA5">
          <w:rPr>
            <w:rStyle w:val="Hyperlink"/>
            <w:noProof/>
          </w:rPr>
          <w:t>Table 3.4.  Infrastructure Performance</w:t>
        </w:r>
        <w:r>
          <w:rPr>
            <w:noProof/>
            <w:webHidden/>
          </w:rPr>
          <w:tab/>
        </w:r>
        <w:r>
          <w:rPr>
            <w:noProof/>
            <w:webHidden/>
          </w:rPr>
          <w:fldChar w:fldCharType="begin"/>
        </w:r>
        <w:r>
          <w:rPr>
            <w:noProof/>
            <w:webHidden/>
          </w:rPr>
          <w:instrText xml:space="preserve"> PAGEREF _Toc340654625 \h </w:instrText>
        </w:r>
        <w:r>
          <w:rPr>
            <w:noProof/>
            <w:webHidden/>
          </w:rPr>
        </w:r>
        <w:r>
          <w:rPr>
            <w:noProof/>
            <w:webHidden/>
          </w:rPr>
          <w:fldChar w:fldCharType="separate"/>
        </w:r>
        <w:r>
          <w:rPr>
            <w:noProof/>
            <w:webHidden/>
          </w:rPr>
          <w:t>19</w:t>
        </w:r>
        <w:r>
          <w:rPr>
            <w:noProof/>
            <w:webHidden/>
          </w:rPr>
          <w:fldChar w:fldCharType="end"/>
        </w:r>
      </w:hyperlink>
    </w:p>
    <w:p w:rsidR="007A2022" w:rsidRDefault="007A2022" w:rsidP="007A2022">
      <w:pPr>
        <w:pStyle w:val="TableofFigures"/>
        <w:tabs>
          <w:tab w:val="right" w:pos="7360"/>
        </w:tabs>
        <w:ind w:left="1080" w:hanging="1080"/>
        <w:jc w:val="left"/>
        <w:rPr>
          <w:rFonts w:asciiTheme="minorHAnsi" w:eastAsiaTheme="minorEastAsia" w:hAnsiTheme="minorHAnsi" w:cstheme="minorBidi"/>
          <w:noProof/>
          <w:sz w:val="22"/>
          <w:szCs w:val="22"/>
          <w:lang w:val="en-US" w:eastAsia="en-US"/>
        </w:rPr>
      </w:pPr>
      <w:hyperlink w:anchor="_Toc340654626" w:history="1">
        <w:r w:rsidRPr="00166AA5">
          <w:rPr>
            <w:rStyle w:val="Hyperlink"/>
            <w:noProof/>
          </w:rPr>
          <w:t xml:space="preserve">Table 3.5. </w:t>
        </w:r>
        <w:r w:rsidRPr="00166AA5">
          <w:rPr>
            <w:rStyle w:val="Hyperlink"/>
            <w:rFonts w:cs="Arial"/>
            <w:noProof/>
            <w:shd w:val="clear" w:color="auto" w:fill="FFFFFF"/>
          </w:rPr>
          <w:t> Number of Agriculture and Non-Agriculture Industry in Java</w:t>
        </w:r>
        <w:r>
          <w:rPr>
            <w:noProof/>
            <w:webHidden/>
          </w:rPr>
          <w:tab/>
        </w:r>
        <w:r>
          <w:rPr>
            <w:noProof/>
            <w:webHidden/>
          </w:rPr>
          <w:fldChar w:fldCharType="begin"/>
        </w:r>
        <w:r>
          <w:rPr>
            <w:noProof/>
            <w:webHidden/>
          </w:rPr>
          <w:instrText xml:space="preserve"> PAGEREF _Toc340654626 \h </w:instrText>
        </w:r>
        <w:r>
          <w:rPr>
            <w:noProof/>
            <w:webHidden/>
          </w:rPr>
        </w:r>
        <w:r>
          <w:rPr>
            <w:noProof/>
            <w:webHidden/>
          </w:rPr>
          <w:fldChar w:fldCharType="separate"/>
        </w:r>
        <w:r>
          <w:rPr>
            <w:noProof/>
            <w:webHidden/>
          </w:rPr>
          <w:t>22</w:t>
        </w:r>
        <w:r>
          <w:rPr>
            <w:noProof/>
            <w:webHidden/>
          </w:rPr>
          <w:fldChar w:fldCharType="end"/>
        </w:r>
      </w:hyperlink>
    </w:p>
    <w:p w:rsidR="007A2022" w:rsidRDefault="007A2022" w:rsidP="007A2022">
      <w:pPr>
        <w:pStyle w:val="TableofFigures"/>
        <w:tabs>
          <w:tab w:val="right" w:pos="7360"/>
        </w:tabs>
        <w:ind w:left="1080" w:hanging="1080"/>
        <w:jc w:val="left"/>
        <w:rPr>
          <w:rFonts w:asciiTheme="minorHAnsi" w:eastAsiaTheme="minorEastAsia" w:hAnsiTheme="minorHAnsi" w:cstheme="minorBidi"/>
          <w:noProof/>
          <w:sz w:val="22"/>
          <w:szCs w:val="22"/>
          <w:lang w:val="en-US" w:eastAsia="en-US"/>
        </w:rPr>
      </w:pPr>
      <w:hyperlink w:anchor="_Toc340654627" w:history="1">
        <w:r w:rsidRPr="00166AA5">
          <w:rPr>
            <w:rStyle w:val="Hyperlink"/>
            <w:noProof/>
          </w:rPr>
          <w:t>Table 3.6.  Investment in Java, 2008-2010</w:t>
        </w:r>
        <w:r>
          <w:rPr>
            <w:noProof/>
            <w:webHidden/>
          </w:rPr>
          <w:tab/>
        </w:r>
        <w:r>
          <w:rPr>
            <w:noProof/>
            <w:webHidden/>
          </w:rPr>
          <w:fldChar w:fldCharType="begin"/>
        </w:r>
        <w:r>
          <w:rPr>
            <w:noProof/>
            <w:webHidden/>
          </w:rPr>
          <w:instrText xml:space="preserve"> PAGEREF _Toc340654627 \h </w:instrText>
        </w:r>
        <w:r>
          <w:rPr>
            <w:noProof/>
            <w:webHidden/>
          </w:rPr>
        </w:r>
        <w:r>
          <w:rPr>
            <w:noProof/>
            <w:webHidden/>
          </w:rPr>
          <w:fldChar w:fldCharType="separate"/>
        </w:r>
        <w:r>
          <w:rPr>
            <w:noProof/>
            <w:webHidden/>
          </w:rPr>
          <w:t>22</w:t>
        </w:r>
        <w:r>
          <w:rPr>
            <w:noProof/>
            <w:webHidden/>
          </w:rPr>
          <w:fldChar w:fldCharType="end"/>
        </w:r>
      </w:hyperlink>
    </w:p>
    <w:p w:rsidR="007A2022" w:rsidRDefault="007A2022" w:rsidP="007A2022">
      <w:pPr>
        <w:pStyle w:val="TableofFigures"/>
        <w:tabs>
          <w:tab w:val="right" w:pos="7360"/>
        </w:tabs>
        <w:ind w:left="1080" w:hanging="1080"/>
        <w:jc w:val="left"/>
        <w:rPr>
          <w:rFonts w:asciiTheme="minorHAnsi" w:eastAsiaTheme="minorEastAsia" w:hAnsiTheme="minorHAnsi" w:cstheme="minorBidi"/>
          <w:noProof/>
          <w:sz w:val="22"/>
          <w:szCs w:val="22"/>
          <w:lang w:val="en-US" w:eastAsia="en-US"/>
        </w:rPr>
      </w:pPr>
      <w:hyperlink w:anchor="_Toc340654628" w:history="1">
        <w:r w:rsidRPr="00166AA5">
          <w:rPr>
            <w:rStyle w:val="Hyperlink"/>
            <w:noProof/>
          </w:rPr>
          <w:t xml:space="preserve">Table 3.7.  </w:t>
        </w:r>
        <w:r w:rsidRPr="00166AA5">
          <w:rPr>
            <w:rStyle w:val="Hyperlink"/>
            <w:rFonts w:cs="Calibri"/>
            <w:bCs/>
            <w:noProof/>
          </w:rPr>
          <w:t xml:space="preserve">Percentage of Java’s Population and Labour Forces of </w:t>
        </w:r>
        <w:r>
          <w:rPr>
            <w:rStyle w:val="Hyperlink"/>
            <w:rFonts w:cs="Calibri"/>
            <w:bCs/>
            <w:noProof/>
          </w:rPr>
          <w:t xml:space="preserve">                 </w:t>
        </w:r>
        <w:r w:rsidRPr="00166AA5">
          <w:rPr>
            <w:rStyle w:val="Hyperlink"/>
            <w:rFonts w:cs="Calibri"/>
            <w:bCs/>
            <w:noProof/>
          </w:rPr>
          <w:t>the Total Numbers in Indonesia’s</w:t>
        </w:r>
        <w:r>
          <w:rPr>
            <w:noProof/>
            <w:webHidden/>
          </w:rPr>
          <w:tab/>
        </w:r>
        <w:r>
          <w:rPr>
            <w:noProof/>
            <w:webHidden/>
          </w:rPr>
          <w:fldChar w:fldCharType="begin"/>
        </w:r>
        <w:r>
          <w:rPr>
            <w:noProof/>
            <w:webHidden/>
          </w:rPr>
          <w:instrText xml:space="preserve"> PAGEREF _Toc340654628 \h </w:instrText>
        </w:r>
        <w:r>
          <w:rPr>
            <w:noProof/>
            <w:webHidden/>
          </w:rPr>
        </w:r>
        <w:r>
          <w:rPr>
            <w:noProof/>
            <w:webHidden/>
          </w:rPr>
          <w:fldChar w:fldCharType="separate"/>
        </w:r>
        <w:r>
          <w:rPr>
            <w:noProof/>
            <w:webHidden/>
          </w:rPr>
          <w:t>23</w:t>
        </w:r>
        <w:r>
          <w:rPr>
            <w:noProof/>
            <w:webHidden/>
          </w:rPr>
          <w:fldChar w:fldCharType="end"/>
        </w:r>
      </w:hyperlink>
    </w:p>
    <w:p w:rsidR="007A2022" w:rsidRDefault="007A2022" w:rsidP="007A2022">
      <w:pPr>
        <w:pStyle w:val="TableofFigures"/>
        <w:tabs>
          <w:tab w:val="right" w:pos="7360"/>
        </w:tabs>
        <w:ind w:left="1080" w:hanging="1080"/>
        <w:jc w:val="left"/>
        <w:rPr>
          <w:rFonts w:asciiTheme="minorHAnsi" w:eastAsiaTheme="minorEastAsia" w:hAnsiTheme="minorHAnsi" w:cstheme="minorBidi"/>
          <w:noProof/>
          <w:sz w:val="22"/>
          <w:szCs w:val="22"/>
          <w:lang w:val="en-US" w:eastAsia="en-US"/>
        </w:rPr>
      </w:pPr>
      <w:hyperlink w:anchor="_Toc340654629" w:history="1">
        <w:r w:rsidRPr="00166AA5">
          <w:rPr>
            <w:rStyle w:val="Hyperlink"/>
            <w:noProof/>
          </w:rPr>
          <w:t xml:space="preserve">Table 3.8  Committed </w:t>
        </w:r>
        <w:r w:rsidRPr="00166AA5">
          <w:rPr>
            <w:rStyle w:val="Hyperlink"/>
            <w:iCs/>
            <w:noProof/>
          </w:rPr>
          <w:t xml:space="preserve">Investment on the Main Economic Activities </w:t>
        </w:r>
        <w:r>
          <w:rPr>
            <w:rStyle w:val="Hyperlink"/>
            <w:iCs/>
            <w:noProof/>
          </w:rPr>
          <w:t xml:space="preserve">              </w:t>
        </w:r>
        <w:r w:rsidRPr="00166AA5">
          <w:rPr>
            <w:rStyle w:val="Hyperlink"/>
            <w:iCs/>
            <w:noProof/>
          </w:rPr>
          <w:t>in JEC, up to May 2012</w:t>
        </w:r>
        <w:r>
          <w:rPr>
            <w:noProof/>
            <w:webHidden/>
          </w:rPr>
          <w:tab/>
        </w:r>
        <w:r>
          <w:rPr>
            <w:noProof/>
            <w:webHidden/>
          </w:rPr>
          <w:fldChar w:fldCharType="begin"/>
        </w:r>
        <w:r>
          <w:rPr>
            <w:noProof/>
            <w:webHidden/>
          </w:rPr>
          <w:instrText xml:space="preserve"> PAGEREF _Toc340654629 \h </w:instrText>
        </w:r>
        <w:r>
          <w:rPr>
            <w:noProof/>
            <w:webHidden/>
          </w:rPr>
        </w:r>
        <w:r>
          <w:rPr>
            <w:noProof/>
            <w:webHidden/>
          </w:rPr>
          <w:fldChar w:fldCharType="separate"/>
        </w:r>
        <w:r>
          <w:rPr>
            <w:noProof/>
            <w:webHidden/>
          </w:rPr>
          <w:t>25</w:t>
        </w:r>
        <w:r>
          <w:rPr>
            <w:noProof/>
            <w:webHidden/>
          </w:rPr>
          <w:fldChar w:fldCharType="end"/>
        </w:r>
      </w:hyperlink>
    </w:p>
    <w:p w:rsidR="007A2022" w:rsidRDefault="007A2022" w:rsidP="007A2022">
      <w:pPr>
        <w:pStyle w:val="TableofFigures"/>
        <w:tabs>
          <w:tab w:val="right" w:pos="7360"/>
        </w:tabs>
        <w:ind w:left="1080" w:hanging="1080"/>
        <w:jc w:val="left"/>
        <w:rPr>
          <w:rFonts w:asciiTheme="minorHAnsi" w:eastAsiaTheme="minorEastAsia" w:hAnsiTheme="minorHAnsi" w:cstheme="minorBidi"/>
          <w:noProof/>
          <w:sz w:val="22"/>
          <w:szCs w:val="22"/>
          <w:lang w:val="en-US" w:eastAsia="en-US"/>
        </w:rPr>
      </w:pPr>
      <w:hyperlink w:anchor="_Toc340654630" w:history="1">
        <w:r w:rsidRPr="00166AA5">
          <w:rPr>
            <w:rStyle w:val="Hyperlink"/>
            <w:noProof/>
          </w:rPr>
          <w:t xml:space="preserve">Table 3.9.  </w:t>
        </w:r>
        <w:r w:rsidRPr="00166AA5">
          <w:rPr>
            <w:rStyle w:val="Hyperlink"/>
            <w:iCs/>
            <w:noProof/>
          </w:rPr>
          <w:t xml:space="preserve">Focused Investment Areas (KPI) by Main Economic </w:t>
        </w:r>
        <w:r>
          <w:rPr>
            <w:rStyle w:val="Hyperlink"/>
            <w:iCs/>
            <w:noProof/>
          </w:rPr>
          <w:t xml:space="preserve">            </w:t>
        </w:r>
        <w:r w:rsidRPr="00166AA5">
          <w:rPr>
            <w:rStyle w:val="Hyperlink"/>
            <w:iCs/>
            <w:noProof/>
          </w:rPr>
          <w:t>Activity in Java</w:t>
        </w:r>
        <w:r>
          <w:rPr>
            <w:noProof/>
            <w:webHidden/>
          </w:rPr>
          <w:tab/>
        </w:r>
        <w:r>
          <w:rPr>
            <w:noProof/>
            <w:webHidden/>
          </w:rPr>
          <w:fldChar w:fldCharType="begin"/>
        </w:r>
        <w:r>
          <w:rPr>
            <w:noProof/>
            <w:webHidden/>
          </w:rPr>
          <w:instrText xml:space="preserve"> PAGEREF _Toc340654630 \h </w:instrText>
        </w:r>
        <w:r>
          <w:rPr>
            <w:noProof/>
            <w:webHidden/>
          </w:rPr>
        </w:r>
        <w:r>
          <w:rPr>
            <w:noProof/>
            <w:webHidden/>
          </w:rPr>
          <w:fldChar w:fldCharType="separate"/>
        </w:r>
        <w:r>
          <w:rPr>
            <w:noProof/>
            <w:webHidden/>
          </w:rPr>
          <w:t>26</w:t>
        </w:r>
        <w:r>
          <w:rPr>
            <w:noProof/>
            <w:webHidden/>
          </w:rPr>
          <w:fldChar w:fldCharType="end"/>
        </w:r>
      </w:hyperlink>
    </w:p>
    <w:p w:rsidR="00E5231B" w:rsidRDefault="00476E26" w:rsidP="007A2022">
      <w:pPr>
        <w:pStyle w:val="Heading1NOTchapter"/>
        <w:spacing w:before="800" w:after="300"/>
        <w:ind w:left="1080" w:hanging="1080"/>
      </w:pPr>
      <w:r>
        <w:rPr>
          <w:b w:val="0"/>
          <w:noProof/>
          <w:kern w:val="0"/>
          <w:sz w:val="24"/>
          <w:szCs w:val="24"/>
        </w:rPr>
        <w:fldChar w:fldCharType="end"/>
      </w:r>
      <w:bookmarkStart w:id="14" w:name="_Toc340497418"/>
      <w:r w:rsidR="00E5231B">
        <w:t>List of Figures</w:t>
      </w:r>
      <w:bookmarkEnd w:id="14"/>
    </w:p>
    <w:p w:rsidR="00D60ACA" w:rsidRDefault="00476E26">
      <w:pPr>
        <w:pStyle w:val="TableofFigures"/>
        <w:tabs>
          <w:tab w:val="right" w:leader="dot" w:pos="7360"/>
        </w:tabs>
        <w:rPr>
          <w:rFonts w:asciiTheme="minorHAnsi" w:eastAsiaTheme="minorEastAsia" w:hAnsiTheme="minorHAnsi" w:cstheme="minorBidi"/>
          <w:noProof/>
          <w:sz w:val="22"/>
          <w:szCs w:val="22"/>
          <w:lang w:val="en-US" w:eastAsia="en-US"/>
        </w:rPr>
      </w:pPr>
      <w:r w:rsidRPr="00476E26">
        <w:fldChar w:fldCharType="begin"/>
      </w:r>
      <w:r w:rsidR="0015775E" w:rsidRPr="00146E85">
        <w:instrText xml:space="preserve"> TOC \h \z \c "Figure" </w:instrText>
      </w:r>
      <w:r w:rsidRPr="00476E26">
        <w:fldChar w:fldCharType="separate"/>
      </w:r>
      <w:hyperlink w:anchor="_Toc340618345" w:history="1">
        <w:r w:rsidR="00D60ACA" w:rsidRPr="00BF2B2C">
          <w:rPr>
            <w:rStyle w:val="Hyperlink"/>
            <w:noProof/>
          </w:rPr>
          <w:t>Figure 3.1. Domestic and Foreign Investm</w:t>
        </w:r>
        <w:r w:rsidR="00D60ACA" w:rsidRPr="00BF2B2C">
          <w:rPr>
            <w:rStyle w:val="Hyperlink"/>
            <w:noProof/>
          </w:rPr>
          <w:t>ent in Indonesia (1994-2007)</w:t>
        </w:r>
        <w:r w:rsidR="00D60ACA">
          <w:rPr>
            <w:noProof/>
            <w:webHidden/>
          </w:rPr>
          <w:tab/>
        </w:r>
        <w:r>
          <w:rPr>
            <w:noProof/>
            <w:webHidden/>
          </w:rPr>
          <w:fldChar w:fldCharType="begin"/>
        </w:r>
        <w:r w:rsidR="00D60ACA">
          <w:rPr>
            <w:noProof/>
            <w:webHidden/>
          </w:rPr>
          <w:instrText xml:space="preserve"> PAGEREF _Toc340618345 \h </w:instrText>
        </w:r>
        <w:r>
          <w:rPr>
            <w:noProof/>
            <w:webHidden/>
          </w:rPr>
        </w:r>
        <w:r>
          <w:rPr>
            <w:noProof/>
            <w:webHidden/>
          </w:rPr>
          <w:fldChar w:fldCharType="separate"/>
        </w:r>
        <w:r w:rsidR="007A2022">
          <w:rPr>
            <w:noProof/>
            <w:webHidden/>
          </w:rPr>
          <w:t>15</w:t>
        </w:r>
        <w:r>
          <w:rPr>
            <w:noProof/>
            <w:webHidden/>
          </w:rPr>
          <w:fldChar w:fldCharType="end"/>
        </w:r>
      </w:hyperlink>
    </w:p>
    <w:p w:rsidR="00D60ACA" w:rsidRDefault="00476E26">
      <w:pPr>
        <w:pStyle w:val="TableofFigures"/>
        <w:tabs>
          <w:tab w:val="right" w:leader="dot" w:pos="7360"/>
        </w:tabs>
        <w:rPr>
          <w:rFonts w:asciiTheme="minorHAnsi" w:eastAsiaTheme="minorEastAsia" w:hAnsiTheme="minorHAnsi" w:cstheme="minorBidi"/>
          <w:noProof/>
          <w:sz w:val="22"/>
          <w:szCs w:val="22"/>
          <w:lang w:val="en-US" w:eastAsia="en-US"/>
        </w:rPr>
      </w:pPr>
      <w:hyperlink w:anchor="_Toc340618346" w:history="1">
        <w:r w:rsidR="00D60ACA" w:rsidRPr="00BF2B2C">
          <w:rPr>
            <w:rStyle w:val="Hyperlink"/>
            <w:noProof/>
          </w:rPr>
          <w:t>Figure 3.2. Toll Road Development in Java</w:t>
        </w:r>
        <w:r w:rsidR="00D60ACA">
          <w:rPr>
            <w:noProof/>
            <w:webHidden/>
          </w:rPr>
          <w:tab/>
        </w:r>
        <w:r>
          <w:rPr>
            <w:noProof/>
            <w:webHidden/>
          </w:rPr>
          <w:fldChar w:fldCharType="begin"/>
        </w:r>
        <w:r w:rsidR="00D60ACA">
          <w:rPr>
            <w:noProof/>
            <w:webHidden/>
          </w:rPr>
          <w:instrText xml:space="preserve"> PAGEREF _Toc340618346 \h </w:instrText>
        </w:r>
        <w:r>
          <w:rPr>
            <w:noProof/>
            <w:webHidden/>
          </w:rPr>
        </w:r>
        <w:r>
          <w:rPr>
            <w:noProof/>
            <w:webHidden/>
          </w:rPr>
          <w:fldChar w:fldCharType="separate"/>
        </w:r>
        <w:r w:rsidR="007A2022">
          <w:rPr>
            <w:noProof/>
            <w:webHidden/>
          </w:rPr>
          <w:t>27</w:t>
        </w:r>
        <w:r>
          <w:rPr>
            <w:noProof/>
            <w:webHidden/>
          </w:rPr>
          <w:fldChar w:fldCharType="end"/>
        </w:r>
      </w:hyperlink>
    </w:p>
    <w:p w:rsidR="00462B7C" w:rsidRDefault="00476E26" w:rsidP="00146E85">
      <w:pPr>
        <w:pStyle w:val="Heading1NOTchapter"/>
        <w:spacing w:before="800" w:after="300"/>
        <w:ind w:left="1080" w:hanging="1080"/>
      </w:pPr>
      <w:r w:rsidRPr="00146E85">
        <w:rPr>
          <w:b w:val="0"/>
        </w:rPr>
        <w:fldChar w:fldCharType="end"/>
      </w:r>
      <w:bookmarkStart w:id="15" w:name="_Toc340497419"/>
      <w:r w:rsidR="00462B7C">
        <w:t>List of Maps</w:t>
      </w:r>
      <w:bookmarkEnd w:id="15"/>
    </w:p>
    <w:p w:rsidR="00153C61" w:rsidRDefault="00476E26">
      <w:pPr>
        <w:pStyle w:val="TableofFigures"/>
        <w:tabs>
          <w:tab w:val="right" w:pos="7360"/>
        </w:tabs>
        <w:rPr>
          <w:rFonts w:asciiTheme="minorHAnsi" w:eastAsiaTheme="minorEastAsia" w:hAnsiTheme="minorHAnsi" w:cstheme="minorBidi"/>
          <w:noProof/>
          <w:sz w:val="22"/>
          <w:szCs w:val="22"/>
          <w:lang w:val="en-US" w:eastAsia="en-US"/>
        </w:rPr>
      </w:pPr>
      <w:r w:rsidRPr="00476E26">
        <w:rPr>
          <w:b/>
          <w:noProof/>
        </w:rPr>
        <w:fldChar w:fldCharType="begin"/>
      </w:r>
      <w:r w:rsidR="00DE51EA">
        <w:rPr>
          <w:b/>
          <w:noProof/>
        </w:rPr>
        <w:instrText xml:space="preserve"> TOC \h \z \t "Map title,2" \c "Map" </w:instrText>
      </w:r>
      <w:r w:rsidRPr="00476E26">
        <w:rPr>
          <w:b/>
          <w:noProof/>
        </w:rPr>
        <w:fldChar w:fldCharType="separate"/>
      </w:r>
      <w:hyperlink w:anchor="_Toc340436325" w:history="1">
        <w:r w:rsidR="00153C61" w:rsidRPr="009B432A">
          <w:rPr>
            <w:rStyle w:val="Hyperlink"/>
            <w:noProof/>
          </w:rPr>
          <w:t>Map 3.1.</w:t>
        </w:r>
        <w:r w:rsidR="00153C61">
          <w:rPr>
            <w:rStyle w:val="Hyperlink"/>
            <w:noProof/>
          </w:rPr>
          <w:t xml:space="preserve"> Economic Corridor Map</w:t>
        </w:r>
        <w:r w:rsidR="00153C61">
          <w:rPr>
            <w:noProof/>
            <w:webHidden/>
          </w:rPr>
          <w:tab/>
        </w:r>
        <w:r>
          <w:rPr>
            <w:noProof/>
            <w:webHidden/>
          </w:rPr>
          <w:fldChar w:fldCharType="begin"/>
        </w:r>
        <w:r w:rsidR="00153C61">
          <w:rPr>
            <w:noProof/>
            <w:webHidden/>
          </w:rPr>
          <w:instrText xml:space="preserve"> PAGEREF _Toc340436325 \h </w:instrText>
        </w:r>
        <w:r>
          <w:rPr>
            <w:noProof/>
            <w:webHidden/>
          </w:rPr>
        </w:r>
        <w:r>
          <w:rPr>
            <w:noProof/>
            <w:webHidden/>
          </w:rPr>
          <w:fldChar w:fldCharType="separate"/>
        </w:r>
        <w:r w:rsidR="007A2022">
          <w:rPr>
            <w:noProof/>
            <w:webHidden/>
          </w:rPr>
          <w:t>20</w:t>
        </w:r>
        <w:r>
          <w:rPr>
            <w:noProof/>
            <w:webHidden/>
          </w:rPr>
          <w:fldChar w:fldCharType="end"/>
        </w:r>
      </w:hyperlink>
    </w:p>
    <w:p w:rsidR="00AE2F91" w:rsidRPr="00D34CE3" w:rsidRDefault="00476E26" w:rsidP="00AE2F91">
      <w:pPr>
        <w:pStyle w:val="Heading1NOTchapter"/>
        <w:spacing w:before="800" w:after="300"/>
        <w:rPr>
          <w:b w:val="0"/>
        </w:rPr>
      </w:pPr>
      <w:r>
        <w:rPr>
          <w:b w:val="0"/>
          <w:noProof/>
        </w:rPr>
        <w:fldChar w:fldCharType="end"/>
      </w:r>
      <w:r w:rsidR="00AE2F91" w:rsidRPr="00D34CE3">
        <w:rPr>
          <w:b w:val="0"/>
        </w:rPr>
        <w:t xml:space="preserve"> </w:t>
      </w:r>
    </w:p>
    <w:p w:rsidR="0001431E" w:rsidRPr="00D34CE3" w:rsidRDefault="0001431E" w:rsidP="007364E6">
      <w:pPr>
        <w:rPr>
          <w:b/>
        </w:rPr>
      </w:pPr>
    </w:p>
    <w:p w:rsidR="00532F55" w:rsidRPr="00D34CE3" w:rsidRDefault="00E22DF1" w:rsidP="00462B7C">
      <w:pPr>
        <w:pStyle w:val="Heading1NOTchapter"/>
      </w:pPr>
      <w:r>
        <w:br w:type="page"/>
      </w:r>
      <w:bookmarkStart w:id="16" w:name="_Toc340497420"/>
      <w:r w:rsidR="00532F55">
        <w:lastRenderedPageBreak/>
        <w:t>List of Acronyms</w:t>
      </w:r>
      <w:bookmarkEnd w:id="16"/>
    </w:p>
    <w:p w:rsidR="003D3378" w:rsidRPr="003D3378" w:rsidRDefault="003D3378" w:rsidP="003D3378">
      <w:pPr>
        <w:pStyle w:val="Acronyms"/>
        <w:tabs>
          <w:tab w:val="left" w:pos="1701"/>
        </w:tabs>
        <w:ind w:left="1701" w:hanging="1701"/>
        <w:rPr>
          <w:lang w:val="en-US"/>
        </w:rPr>
      </w:pPr>
      <w:r w:rsidRPr="003D3378">
        <w:rPr>
          <w:lang w:val="en-US"/>
        </w:rPr>
        <w:t>ADB</w:t>
      </w:r>
      <w:r w:rsidRPr="003D3378">
        <w:rPr>
          <w:lang w:val="en-US"/>
        </w:rPr>
        <w:tab/>
        <w:t>Asian Development Bank</w:t>
      </w:r>
    </w:p>
    <w:p w:rsidR="003D3378" w:rsidRPr="003D3378" w:rsidRDefault="003D3378" w:rsidP="00AE2F91">
      <w:pPr>
        <w:pStyle w:val="Acronyms"/>
        <w:tabs>
          <w:tab w:val="left" w:pos="1701"/>
        </w:tabs>
        <w:suppressAutoHyphens/>
        <w:ind w:left="1699" w:hanging="1699"/>
        <w:rPr>
          <w:lang w:val="en-US"/>
        </w:rPr>
      </w:pPr>
      <w:r w:rsidRPr="003D3378">
        <w:rPr>
          <w:lang w:val="en-US"/>
        </w:rPr>
        <w:t>APBD</w:t>
      </w:r>
      <w:r w:rsidRPr="003D3378">
        <w:rPr>
          <w:lang w:val="en-US"/>
        </w:rPr>
        <w:tab/>
      </w:r>
      <w:r w:rsidRPr="003D3378">
        <w:rPr>
          <w:i/>
          <w:lang w:val="en-US"/>
        </w:rPr>
        <w:t xml:space="preserve">Anggaran Pembelanjaan dan Pendapatan Daerah </w:t>
      </w:r>
      <w:r w:rsidRPr="003D3378">
        <w:rPr>
          <w:lang w:val="en-US"/>
        </w:rPr>
        <w:t>(Regional Budget)</w:t>
      </w:r>
    </w:p>
    <w:p w:rsidR="003D3378" w:rsidRPr="003D3378" w:rsidRDefault="003D3378" w:rsidP="00AE2F91">
      <w:pPr>
        <w:pStyle w:val="Acronyms"/>
        <w:tabs>
          <w:tab w:val="left" w:pos="1701"/>
        </w:tabs>
        <w:suppressAutoHyphens/>
        <w:ind w:left="1699" w:hanging="1699"/>
        <w:rPr>
          <w:lang w:val="en-US"/>
        </w:rPr>
      </w:pPr>
      <w:r w:rsidRPr="003D3378">
        <w:rPr>
          <w:lang w:val="en-US"/>
        </w:rPr>
        <w:t>APBN</w:t>
      </w:r>
      <w:r w:rsidRPr="003D3378">
        <w:rPr>
          <w:lang w:val="en-US"/>
        </w:rPr>
        <w:tab/>
      </w:r>
      <w:r w:rsidRPr="003D3378">
        <w:rPr>
          <w:i/>
          <w:lang w:val="en-US"/>
        </w:rPr>
        <w:t xml:space="preserve">Anggaran Pembelanjaan dan Pendapatan Negara </w:t>
      </w:r>
      <w:r w:rsidRPr="003D3378">
        <w:rPr>
          <w:lang w:val="en-US"/>
        </w:rPr>
        <w:t>(National Budget)</w:t>
      </w:r>
    </w:p>
    <w:p w:rsidR="003D3378" w:rsidRPr="003D3378" w:rsidRDefault="003D3378" w:rsidP="003D3378">
      <w:pPr>
        <w:pStyle w:val="Acronyms"/>
        <w:tabs>
          <w:tab w:val="left" w:pos="1701"/>
        </w:tabs>
        <w:ind w:left="1701" w:hanging="1701"/>
        <w:rPr>
          <w:lang w:val="en-US"/>
        </w:rPr>
      </w:pPr>
      <w:r w:rsidRPr="003D3378">
        <w:rPr>
          <w:lang w:val="en-US"/>
        </w:rPr>
        <w:t xml:space="preserve">APKASI </w:t>
      </w:r>
      <w:r w:rsidRPr="003D3378">
        <w:rPr>
          <w:lang w:val="en-US"/>
        </w:rPr>
        <w:tab/>
      </w:r>
      <w:r w:rsidRPr="003D3378">
        <w:rPr>
          <w:i/>
          <w:lang w:val="en-US"/>
        </w:rPr>
        <w:t>Asosiasi Pemerintah Kabupaten Seluruh Indonesia</w:t>
      </w:r>
      <w:r w:rsidRPr="003D3378">
        <w:rPr>
          <w:lang w:val="en-US"/>
        </w:rPr>
        <w:t xml:space="preserve"> (Indonesia’s Association of District Governments)</w:t>
      </w:r>
    </w:p>
    <w:p w:rsidR="003D3378" w:rsidRPr="003D3378" w:rsidRDefault="003D3378" w:rsidP="003D3378">
      <w:pPr>
        <w:pStyle w:val="Acronyms"/>
        <w:tabs>
          <w:tab w:val="left" w:pos="1701"/>
        </w:tabs>
        <w:ind w:left="1701" w:hanging="1701"/>
        <w:rPr>
          <w:lang w:val="en-US"/>
        </w:rPr>
      </w:pPr>
      <w:r w:rsidRPr="003D3378">
        <w:rPr>
          <w:lang w:val="en-US"/>
        </w:rPr>
        <w:t>BI</w:t>
      </w:r>
      <w:r w:rsidRPr="003D3378">
        <w:rPr>
          <w:lang w:val="en-US"/>
        </w:rPr>
        <w:tab/>
      </w:r>
      <w:r w:rsidRPr="003D3378">
        <w:rPr>
          <w:i/>
          <w:lang w:val="en-US"/>
        </w:rPr>
        <w:t>Bank Indonesia</w:t>
      </w:r>
      <w:r w:rsidRPr="003D3378">
        <w:rPr>
          <w:lang w:val="en-US"/>
        </w:rPr>
        <w:t xml:space="preserve"> (Bank of Indonesia)</w:t>
      </w:r>
    </w:p>
    <w:p w:rsidR="003D3378" w:rsidRPr="003D3378" w:rsidRDefault="003D3378" w:rsidP="003D3378">
      <w:pPr>
        <w:pStyle w:val="Acronyms"/>
        <w:tabs>
          <w:tab w:val="left" w:pos="1701"/>
        </w:tabs>
        <w:ind w:left="1701" w:hanging="1701"/>
        <w:rPr>
          <w:lang w:val="en-US"/>
        </w:rPr>
      </w:pPr>
      <w:r w:rsidRPr="003D3378">
        <w:rPr>
          <w:lang w:val="en-US"/>
        </w:rPr>
        <w:t>BKPM</w:t>
      </w:r>
      <w:r w:rsidRPr="003D3378">
        <w:rPr>
          <w:lang w:val="en-US"/>
        </w:rPr>
        <w:tab/>
      </w:r>
      <w:r w:rsidRPr="003D3378">
        <w:rPr>
          <w:i/>
          <w:lang w:val="en-US"/>
        </w:rPr>
        <w:t>Badan Koordinasi Penanaman Modal</w:t>
      </w:r>
      <w:r w:rsidRPr="003D3378">
        <w:rPr>
          <w:lang w:val="en-US"/>
        </w:rPr>
        <w:t xml:space="preserve"> (the Investment Board Coordination)</w:t>
      </w:r>
    </w:p>
    <w:p w:rsidR="003D3378" w:rsidRPr="003D3378" w:rsidRDefault="003D3378" w:rsidP="003D3378">
      <w:pPr>
        <w:pStyle w:val="Acronyms"/>
        <w:tabs>
          <w:tab w:val="left" w:pos="1701"/>
        </w:tabs>
        <w:ind w:left="1701" w:hanging="1701"/>
        <w:rPr>
          <w:lang w:val="en-US"/>
        </w:rPr>
      </w:pPr>
      <w:r w:rsidRPr="003D3378">
        <w:rPr>
          <w:lang w:val="en-US"/>
        </w:rPr>
        <w:t>BMAP</w:t>
      </w:r>
      <w:r w:rsidRPr="003D3378">
        <w:rPr>
          <w:lang w:val="en-US"/>
        </w:rPr>
        <w:tab/>
        <w:t>Belfast Metropolitan Area Plan</w:t>
      </w:r>
    </w:p>
    <w:p w:rsidR="003D3378" w:rsidRPr="003D3378" w:rsidRDefault="003D3378" w:rsidP="003D3378">
      <w:pPr>
        <w:pStyle w:val="Acronyms"/>
        <w:tabs>
          <w:tab w:val="left" w:pos="1701"/>
        </w:tabs>
        <w:ind w:left="1701" w:hanging="1701"/>
        <w:rPr>
          <w:lang w:val="en-US"/>
        </w:rPr>
      </w:pPr>
      <w:r w:rsidRPr="003D3378">
        <w:rPr>
          <w:lang w:val="en-US"/>
        </w:rPr>
        <w:t>Bocimi</w:t>
      </w:r>
      <w:r w:rsidRPr="003D3378">
        <w:rPr>
          <w:lang w:val="en-US"/>
        </w:rPr>
        <w:tab/>
        <w:t>Bogor-Ciawi-Sukabumi</w:t>
      </w:r>
    </w:p>
    <w:p w:rsidR="003D3378" w:rsidRPr="003D3378" w:rsidRDefault="003D3378" w:rsidP="003D3378">
      <w:pPr>
        <w:pStyle w:val="Acronyms"/>
        <w:tabs>
          <w:tab w:val="left" w:pos="1701"/>
        </w:tabs>
        <w:ind w:left="1701" w:hanging="1701"/>
        <w:rPr>
          <w:lang w:val="en-US"/>
        </w:rPr>
      </w:pPr>
      <w:r w:rsidRPr="003D3378">
        <w:rPr>
          <w:lang w:val="en-US"/>
        </w:rPr>
        <w:t>BPS</w:t>
      </w:r>
      <w:r w:rsidRPr="003D3378">
        <w:rPr>
          <w:lang w:val="en-US"/>
        </w:rPr>
        <w:tab/>
      </w:r>
      <w:r w:rsidRPr="003D3378">
        <w:rPr>
          <w:i/>
          <w:lang w:val="en-US"/>
        </w:rPr>
        <w:t xml:space="preserve">Badan Pusat Statistik </w:t>
      </w:r>
      <w:r w:rsidRPr="003D3378">
        <w:rPr>
          <w:lang w:val="en-US"/>
        </w:rPr>
        <w:t>(Center of Statistics Board)</w:t>
      </w:r>
    </w:p>
    <w:p w:rsidR="003D3378" w:rsidRPr="003D3378" w:rsidRDefault="003D3378" w:rsidP="003D3378">
      <w:pPr>
        <w:pStyle w:val="Acronyms"/>
        <w:tabs>
          <w:tab w:val="left" w:pos="1701"/>
        </w:tabs>
        <w:ind w:left="1701" w:hanging="1701"/>
        <w:rPr>
          <w:lang w:val="en-US"/>
        </w:rPr>
      </w:pPr>
      <w:r w:rsidRPr="003D3378">
        <w:rPr>
          <w:lang w:val="en-US"/>
        </w:rPr>
        <w:t>BUMD</w:t>
      </w:r>
      <w:r w:rsidRPr="003D3378">
        <w:rPr>
          <w:lang w:val="en-US"/>
        </w:rPr>
        <w:tab/>
      </w:r>
      <w:r w:rsidRPr="003D3378">
        <w:rPr>
          <w:i/>
          <w:lang w:val="en-US"/>
        </w:rPr>
        <w:t>Badan Usaha Milik Daerah</w:t>
      </w:r>
      <w:r w:rsidRPr="003D3378">
        <w:rPr>
          <w:lang w:val="en-US"/>
        </w:rPr>
        <w:t xml:space="preserve"> (Regional’s SOE)</w:t>
      </w:r>
    </w:p>
    <w:p w:rsidR="003D3378" w:rsidRPr="003D3378" w:rsidRDefault="003D3378" w:rsidP="003D3378">
      <w:pPr>
        <w:pStyle w:val="Acronyms"/>
        <w:tabs>
          <w:tab w:val="left" w:pos="1701"/>
        </w:tabs>
        <w:ind w:left="1701" w:hanging="1701"/>
        <w:rPr>
          <w:lang w:val="en-US"/>
        </w:rPr>
      </w:pPr>
      <w:r w:rsidRPr="003D3378">
        <w:rPr>
          <w:lang w:val="en-US"/>
        </w:rPr>
        <w:t>CPL</w:t>
      </w:r>
      <w:r w:rsidRPr="003D3378">
        <w:rPr>
          <w:lang w:val="en-US"/>
        </w:rPr>
        <w:tab/>
        <w:t>Central Processing Facilities</w:t>
      </w:r>
    </w:p>
    <w:p w:rsidR="003D3378" w:rsidRPr="003D3378" w:rsidRDefault="003D3378" w:rsidP="003D3378">
      <w:pPr>
        <w:pStyle w:val="Acronyms"/>
        <w:tabs>
          <w:tab w:val="left" w:pos="1701"/>
        </w:tabs>
        <w:ind w:left="1701" w:hanging="1701"/>
        <w:rPr>
          <w:lang w:val="en-US"/>
        </w:rPr>
      </w:pPr>
      <w:r w:rsidRPr="003D3378">
        <w:rPr>
          <w:lang w:val="en-US"/>
        </w:rPr>
        <w:t>DKI Jakarta</w:t>
      </w:r>
      <w:r w:rsidRPr="003D3378">
        <w:rPr>
          <w:lang w:val="en-US"/>
        </w:rPr>
        <w:tab/>
      </w:r>
      <w:r w:rsidRPr="003D3378">
        <w:rPr>
          <w:i/>
          <w:lang w:val="en-US"/>
        </w:rPr>
        <w:t>Daerah Khusus Ibukota Jakarta</w:t>
      </w:r>
      <w:r w:rsidRPr="003D3378">
        <w:rPr>
          <w:lang w:val="en-US"/>
        </w:rPr>
        <w:t xml:space="preserve"> (Special Region of Jakarta)</w:t>
      </w:r>
    </w:p>
    <w:p w:rsidR="003D3378" w:rsidRPr="003D3378" w:rsidRDefault="003D3378" w:rsidP="003D3378">
      <w:pPr>
        <w:pStyle w:val="Acronyms"/>
        <w:tabs>
          <w:tab w:val="left" w:pos="1701"/>
        </w:tabs>
        <w:ind w:left="1701" w:hanging="1701"/>
        <w:rPr>
          <w:lang w:val="en-US"/>
        </w:rPr>
      </w:pPr>
      <w:r w:rsidRPr="003D3378">
        <w:rPr>
          <w:lang w:val="en-US"/>
        </w:rPr>
        <w:t>GDP</w:t>
      </w:r>
      <w:r w:rsidRPr="003D3378">
        <w:rPr>
          <w:lang w:val="en-US"/>
        </w:rPr>
        <w:tab/>
        <w:t>Gross Domestic Products</w:t>
      </w:r>
    </w:p>
    <w:p w:rsidR="003D3378" w:rsidRPr="003D3378" w:rsidRDefault="003D3378" w:rsidP="003D3378">
      <w:pPr>
        <w:pStyle w:val="Acronyms"/>
        <w:tabs>
          <w:tab w:val="left" w:pos="1701"/>
        </w:tabs>
        <w:ind w:left="1701" w:hanging="1701"/>
        <w:rPr>
          <w:lang w:val="en-US"/>
        </w:rPr>
      </w:pPr>
      <w:r w:rsidRPr="003D3378">
        <w:rPr>
          <w:lang w:val="en-US"/>
        </w:rPr>
        <w:t>GMS</w:t>
      </w:r>
      <w:r w:rsidRPr="003D3378">
        <w:rPr>
          <w:lang w:val="en-US"/>
        </w:rPr>
        <w:tab/>
        <w:t>Great Mekong Sub-Region</w:t>
      </w:r>
    </w:p>
    <w:p w:rsidR="003D3378" w:rsidRPr="003D3378" w:rsidRDefault="003D3378" w:rsidP="003D3378">
      <w:pPr>
        <w:pStyle w:val="Acronyms"/>
        <w:tabs>
          <w:tab w:val="left" w:pos="1701"/>
        </w:tabs>
        <w:ind w:left="1701" w:hanging="1701"/>
        <w:rPr>
          <w:lang w:val="en-US"/>
        </w:rPr>
      </w:pPr>
      <w:r w:rsidRPr="003D3378">
        <w:rPr>
          <w:lang w:val="en-US"/>
        </w:rPr>
        <w:t>GoI</w:t>
      </w:r>
      <w:r w:rsidRPr="003D3378">
        <w:rPr>
          <w:lang w:val="en-US"/>
        </w:rPr>
        <w:tab/>
        <w:t>Government of Indonesia</w:t>
      </w:r>
    </w:p>
    <w:p w:rsidR="003D3378" w:rsidRPr="003D3378" w:rsidRDefault="003D3378" w:rsidP="003D3378">
      <w:pPr>
        <w:pStyle w:val="Acronyms"/>
        <w:tabs>
          <w:tab w:val="left" w:pos="1701"/>
        </w:tabs>
        <w:ind w:left="1701" w:hanging="1701"/>
        <w:rPr>
          <w:lang w:val="en-US"/>
        </w:rPr>
      </w:pPr>
      <w:r w:rsidRPr="003D3378">
        <w:rPr>
          <w:lang w:val="en-US"/>
        </w:rPr>
        <w:t>ICT</w:t>
      </w:r>
      <w:r w:rsidRPr="003D3378">
        <w:rPr>
          <w:lang w:val="en-US"/>
        </w:rPr>
        <w:tab/>
        <w:t>Information and Communication Technology</w:t>
      </w:r>
    </w:p>
    <w:p w:rsidR="003D3378" w:rsidRPr="003D3378" w:rsidRDefault="003D3378" w:rsidP="003D3378">
      <w:pPr>
        <w:pStyle w:val="Acronyms"/>
        <w:tabs>
          <w:tab w:val="left" w:pos="1701"/>
        </w:tabs>
        <w:ind w:left="1701" w:hanging="1701"/>
        <w:rPr>
          <w:lang w:val="en-US"/>
        </w:rPr>
      </w:pPr>
      <w:r w:rsidRPr="003D3378">
        <w:rPr>
          <w:lang w:val="en-US"/>
        </w:rPr>
        <w:t>Jabodetabek</w:t>
      </w:r>
      <w:r w:rsidRPr="003D3378">
        <w:rPr>
          <w:lang w:val="en-US"/>
        </w:rPr>
        <w:tab/>
        <w:t>Jakarta-Bogor-Depok-Tangerang-Bekasi</w:t>
      </w:r>
    </w:p>
    <w:p w:rsidR="003D3378" w:rsidRPr="003D3378" w:rsidRDefault="003D3378" w:rsidP="003D3378">
      <w:pPr>
        <w:pStyle w:val="Acronyms"/>
        <w:tabs>
          <w:tab w:val="left" w:pos="1701"/>
        </w:tabs>
        <w:ind w:left="1701" w:hanging="1701"/>
        <w:rPr>
          <w:lang w:val="en-US"/>
        </w:rPr>
      </w:pPr>
      <w:r w:rsidRPr="003D3378">
        <w:rPr>
          <w:lang w:val="en-US"/>
        </w:rPr>
        <w:t>JEC</w:t>
      </w:r>
      <w:r w:rsidRPr="003D3378">
        <w:rPr>
          <w:lang w:val="en-US"/>
        </w:rPr>
        <w:tab/>
        <w:t>Java Economic Corridor</w:t>
      </w:r>
    </w:p>
    <w:p w:rsidR="003D3378" w:rsidRPr="003D3378" w:rsidRDefault="003D3378" w:rsidP="003D3378">
      <w:pPr>
        <w:pStyle w:val="Acronyms"/>
        <w:tabs>
          <w:tab w:val="left" w:pos="1701"/>
        </w:tabs>
        <w:ind w:left="1701" w:hanging="1701"/>
        <w:rPr>
          <w:lang w:val="en-US"/>
        </w:rPr>
      </w:pPr>
      <w:r w:rsidRPr="003D3378">
        <w:rPr>
          <w:lang w:val="en-US"/>
        </w:rPr>
        <w:t>JK</w:t>
      </w:r>
      <w:r w:rsidRPr="003D3378">
        <w:rPr>
          <w:lang w:val="en-US"/>
        </w:rPr>
        <w:tab/>
        <w:t>Jusuf Kalla</w:t>
      </w:r>
    </w:p>
    <w:p w:rsidR="003D3378" w:rsidRPr="003D3378" w:rsidRDefault="003D3378" w:rsidP="003D3378">
      <w:pPr>
        <w:pStyle w:val="Acronyms"/>
        <w:tabs>
          <w:tab w:val="left" w:pos="1701"/>
        </w:tabs>
        <w:ind w:left="1701" w:hanging="1701"/>
        <w:rPr>
          <w:lang w:val="en-US"/>
        </w:rPr>
      </w:pPr>
      <w:r w:rsidRPr="003D3378">
        <w:rPr>
          <w:lang w:val="en-US"/>
        </w:rPr>
        <w:t>KPI</w:t>
      </w:r>
      <w:r w:rsidRPr="003D3378">
        <w:rPr>
          <w:lang w:val="en-US"/>
        </w:rPr>
        <w:tab/>
      </w:r>
      <w:r w:rsidRPr="003D3378">
        <w:rPr>
          <w:i/>
          <w:lang w:val="en-US"/>
        </w:rPr>
        <w:t xml:space="preserve">Kawasan Perhatian Investasi </w:t>
      </w:r>
      <w:r w:rsidRPr="003D3378">
        <w:rPr>
          <w:lang w:val="en-US"/>
        </w:rPr>
        <w:t>(Focused Investment Area)</w:t>
      </w:r>
    </w:p>
    <w:p w:rsidR="003D3378" w:rsidRPr="003D3378" w:rsidRDefault="003D3378" w:rsidP="00AE2F91">
      <w:pPr>
        <w:pStyle w:val="Acronyms"/>
        <w:tabs>
          <w:tab w:val="left" w:pos="1701"/>
        </w:tabs>
        <w:suppressAutoHyphens/>
        <w:ind w:left="1699" w:hanging="1699"/>
        <w:rPr>
          <w:lang w:val="en-US"/>
        </w:rPr>
      </w:pPr>
      <w:r w:rsidRPr="003D3378">
        <w:rPr>
          <w:lang w:val="en-US"/>
        </w:rPr>
        <w:t>MP3EI</w:t>
      </w:r>
      <w:r w:rsidRPr="003D3378">
        <w:rPr>
          <w:lang w:val="en-US"/>
        </w:rPr>
        <w:tab/>
      </w:r>
      <w:r w:rsidRPr="003D3378">
        <w:rPr>
          <w:i/>
          <w:lang w:val="en-US"/>
        </w:rPr>
        <w:t>Masterplan Percepatan dan Perluasan Pembangunan Ekonomi Indonesia</w:t>
      </w:r>
      <w:r w:rsidRPr="003D3378">
        <w:rPr>
          <w:lang w:val="en-US"/>
        </w:rPr>
        <w:t xml:space="preserve"> (Indonesia’s Master Plan for Acceleration and Expansion of Economic Development)</w:t>
      </w:r>
    </w:p>
    <w:p w:rsidR="003D3378" w:rsidRPr="003D3378" w:rsidRDefault="003D3378" w:rsidP="003D3378">
      <w:pPr>
        <w:pStyle w:val="Acronyms"/>
        <w:tabs>
          <w:tab w:val="left" w:pos="1701"/>
        </w:tabs>
        <w:ind w:left="1701" w:hanging="1701"/>
        <w:rPr>
          <w:lang w:val="en-US"/>
        </w:rPr>
      </w:pPr>
      <w:r w:rsidRPr="003D3378">
        <w:rPr>
          <w:lang w:val="en-US"/>
        </w:rPr>
        <w:t>NAR</w:t>
      </w:r>
      <w:r w:rsidRPr="003D3378">
        <w:rPr>
          <w:lang w:val="en-US"/>
        </w:rPr>
        <w:tab/>
        <w:t>Neoliberal Agrarian Restructuring</w:t>
      </w:r>
    </w:p>
    <w:p w:rsidR="003D3378" w:rsidRPr="003D3378" w:rsidRDefault="003D3378" w:rsidP="003D3378">
      <w:pPr>
        <w:pStyle w:val="Acronyms"/>
        <w:tabs>
          <w:tab w:val="left" w:pos="1701"/>
        </w:tabs>
        <w:ind w:left="1701" w:hanging="1701"/>
        <w:rPr>
          <w:lang w:val="en-US"/>
        </w:rPr>
      </w:pPr>
      <w:r w:rsidRPr="003D3378">
        <w:rPr>
          <w:lang w:val="en-US"/>
        </w:rPr>
        <w:t>NGO</w:t>
      </w:r>
      <w:r w:rsidRPr="003D3378">
        <w:rPr>
          <w:lang w:val="en-US"/>
        </w:rPr>
        <w:tab/>
        <w:t>Non-Government Organization</w:t>
      </w:r>
    </w:p>
    <w:p w:rsidR="003D3378" w:rsidRPr="003D3378" w:rsidRDefault="003D3378" w:rsidP="003D3378">
      <w:pPr>
        <w:pStyle w:val="Acronyms"/>
        <w:tabs>
          <w:tab w:val="left" w:pos="1701"/>
        </w:tabs>
        <w:ind w:left="1701" w:hanging="1701"/>
        <w:rPr>
          <w:lang w:val="en-US"/>
        </w:rPr>
      </w:pPr>
      <w:r w:rsidRPr="003D3378">
        <w:rPr>
          <w:lang w:val="en-US"/>
        </w:rPr>
        <w:t>NTB</w:t>
      </w:r>
      <w:r w:rsidRPr="003D3378">
        <w:rPr>
          <w:lang w:val="en-US"/>
        </w:rPr>
        <w:tab/>
      </w:r>
      <w:r w:rsidRPr="003D3378">
        <w:rPr>
          <w:i/>
          <w:lang w:val="en-US"/>
        </w:rPr>
        <w:t>Nusa Tenggara Barat</w:t>
      </w:r>
      <w:r w:rsidRPr="003D3378">
        <w:rPr>
          <w:lang w:val="en-US"/>
        </w:rPr>
        <w:t xml:space="preserve"> (West Nusa Tenggara)</w:t>
      </w:r>
    </w:p>
    <w:p w:rsidR="003D3378" w:rsidRPr="003D3378" w:rsidRDefault="003D3378" w:rsidP="00AE2F91">
      <w:pPr>
        <w:pStyle w:val="Acronyms"/>
        <w:tabs>
          <w:tab w:val="left" w:pos="1701"/>
        </w:tabs>
        <w:suppressAutoHyphens/>
        <w:ind w:left="1699" w:hanging="1699"/>
        <w:rPr>
          <w:lang w:val="en-US"/>
        </w:rPr>
      </w:pPr>
      <w:r w:rsidRPr="003D3378">
        <w:rPr>
          <w:lang w:val="en-US"/>
        </w:rPr>
        <w:t>Perhutani</w:t>
      </w:r>
      <w:r w:rsidRPr="003D3378">
        <w:rPr>
          <w:lang w:val="en-US"/>
        </w:rPr>
        <w:tab/>
      </w:r>
      <w:r w:rsidRPr="003D3378">
        <w:rPr>
          <w:i/>
          <w:lang w:val="en-US"/>
        </w:rPr>
        <w:t>Perusahaan Kehutanan Indonesia</w:t>
      </w:r>
      <w:r w:rsidRPr="003D3378">
        <w:rPr>
          <w:lang w:val="en-US"/>
        </w:rPr>
        <w:t xml:space="preserve"> (Indonesian Forestry Compa</w:t>
      </w:r>
      <w:r>
        <w:rPr>
          <w:lang w:val="en-US"/>
        </w:rPr>
        <w:t>n</w:t>
      </w:r>
      <w:r w:rsidRPr="003D3378">
        <w:rPr>
          <w:lang w:val="en-US"/>
        </w:rPr>
        <w:t>y)</w:t>
      </w:r>
    </w:p>
    <w:p w:rsidR="003D3378" w:rsidRPr="003D3378" w:rsidRDefault="003D3378" w:rsidP="003D3378">
      <w:pPr>
        <w:pStyle w:val="Acronyms"/>
        <w:tabs>
          <w:tab w:val="left" w:pos="1701"/>
        </w:tabs>
        <w:ind w:left="1701" w:hanging="1701"/>
        <w:rPr>
          <w:lang w:val="en-US"/>
        </w:rPr>
      </w:pPr>
      <w:r w:rsidRPr="003D3378">
        <w:rPr>
          <w:lang w:val="en-US"/>
        </w:rPr>
        <w:t>Perpres</w:t>
      </w:r>
      <w:r w:rsidRPr="003D3378">
        <w:rPr>
          <w:lang w:val="en-US"/>
        </w:rPr>
        <w:tab/>
      </w:r>
      <w:r w:rsidRPr="003D3378">
        <w:rPr>
          <w:i/>
          <w:lang w:val="en-US"/>
        </w:rPr>
        <w:t xml:space="preserve">Peraturan Presiden </w:t>
      </w:r>
      <w:r w:rsidRPr="003D3378">
        <w:rPr>
          <w:lang w:val="en-US"/>
        </w:rPr>
        <w:t>(Presidential Regulation)</w:t>
      </w:r>
    </w:p>
    <w:p w:rsidR="003D3378" w:rsidRPr="003D3378" w:rsidRDefault="003D3378" w:rsidP="003D3378">
      <w:pPr>
        <w:pStyle w:val="Acronyms"/>
        <w:tabs>
          <w:tab w:val="left" w:pos="1701"/>
        </w:tabs>
        <w:ind w:left="1701" w:hanging="1701"/>
        <w:rPr>
          <w:lang w:val="en-US"/>
        </w:rPr>
      </w:pPr>
      <w:r w:rsidRPr="003D3378">
        <w:rPr>
          <w:lang w:val="en-US"/>
        </w:rPr>
        <w:t>PPP</w:t>
      </w:r>
      <w:r w:rsidRPr="003D3378">
        <w:rPr>
          <w:lang w:val="en-US"/>
        </w:rPr>
        <w:tab/>
        <w:t>Public-Private Partnership</w:t>
      </w:r>
    </w:p>
    <w:p w:rsidR="003D3378" w:rsidRPr="003D3378" w:rsidRDefault="003D3378" w:rsidP="003D3378">
      <w:pPr>
        <w:pStyle w:val="Acronyms"/>
        <w:tabs>
          <w:tab w:val="left" w:pos="1701"/>
        </w:tabs>
        <w:ind w:left="1701" w:hanging="1701"/>
        <w:rPr>
          <w:lang w:val="en-US"/>
        </w:rPr>
      </w:pPr>
      <w:r w:rsidRPr="003D3378">
        <w:rPr>
          <w:lang w:val="en-US"/>
        </w:rPr>
        <w:t>RJPMN</w:t>
      </w:r>
      <w:r w:rsidRPr="003D3378">
        <w:rPr>
          <w:lang w:val="en-US"/>
        </w:rPr>
        <w:tab/>
      </w:r>
      <w:r w:rsidRPr="003D3378">
        <w:rPr>
          <w:i/>
          <w:lang w:val="en-US"/>
        </w:rPr>
        <w:t>Rencana Jangka Panjang Menengah Nasional</w:t>
      </w:r>
      <w:r w:rsidRPr="003D3378">
        <w:rPr>
          <w:lang w:val="en-US"/>
        </w:rPr>
        <w:t xml:space="preserve"> (Long-and Medium Term of National Planning)</w:t>
      </w:r>
    </w:p>
    <w:p w:rsidR="003D3378" w:rsidRPr="003D3378" w:rsidRDefault="003D3378" w:rsidP="00AE2F91">
      <w:pPr>
        <w:pStyle w:val="Acronyms"/>
        <w:tabs>
          <w:tab w:val="left" w:pos="1701"/>
        </w:tabs>
        <w:suppressAutoHyphens/>
        <w:ind w:left="1699" w:hanging="1699"/>
        <w:rPr>
          <w:lang w:val="en-US"/>
        </w:rPr>
      </w:pPr>
      <w:r w:rsidRPr="003D3378">
        <w:rPr>
          <w:lang w:val="en-US"/>
        </w:rPr>
        <w:lastRenderedPageBreak/>
        <w:t>RTRWN</w:t>
      </w:r>
      <w:r w:rsidRPr="003D3378">
        <w:rPr>
          <w:lang w:val="en-US"/>
        </w:rPr>
        <w:tab/>
      </w:r>
      <w:r w:rsidRPr="003D3378">
        <w:rPr>
          <w:i/>
          <w:lang w:val="en-US"/>
        </w:rPr>
        <w:t xml:space="preserve">Rencana Tata Ruang Wilayah Nasional </w:t>
      </w:r>
      <w:r w:rsidRPr="003D3378">
        <w:rPr>
          <w:lang w:val="en-US"/>
        </w:rPr>
        <w:t>(National Spatial Planning)</w:t>
      </w:r>
    </w:p>
    <w:p w:rsidR="003D3378" w:rsidRPr="003D3378" w:rsidRDefault="003D3378" w:rsidP="003D3378">
      <w:pPr>
        <w:pStyle w:val="Acronyms"/>
        <w:tabs>
          <w:tab w:val="left" w:pos="1701"/>
        </w:tabs>
        <w:ind w:left="1701" w:hanging="1701"/>
        <w:rPr>
          <w:lang w:val="en-US"/>
        </w:rPr>
      </w:pPr>
      <w:r w:rsidRPr="003D3378">
        <w:rPr>
          <w:lang w:val="en-US"/>
        </w:rPr>
        <w:t>SBY</w:t>
      </w:r>
      <w:r w:rsidRPr="003D3378">
        <w:rPr>
          <w:lang w:val="en-US"/>
        </w:rPr>
        <w:tab/>
        <w:t>Susilo Bambang Yuhdoyono</w:t>
      </w:r>
    </w:p>
    <w:p w:rsidR="003D3378" w:rsidRPr="003D3378" w:rsidRDefault="003D3378" w:rsidP="003D3378">
      <w:pPr>
        <w:pStyle w:val="Acronyms"/>
        <w:tabs>
          <w:tab w:val="left" w:pos="1701"/>
        </w:tabs>
        <w:ind w:left="1701" w:hanging="1701"/>
        <w:rPr>
          <w:lang w:val="en-US"/>
        </w:rPr>
      </w:pPr>
      <w:r w:rsidRPr="003D3378">
        <w:rPr>
          <w:lang w:val="en-US"/>
        </w:rPr>
        <w:t xml:space="preserve">SEZ </w:t>
      </w:r>
      <w:r w:rsidRPr="003D3378">
        <w:rPr>
          <w:lang w:val="en-US"/>
        </w:rPr>
        <w:tab/>
        <w:t>Special Economic Zones</w:t>
      </w:r>
    </w:p>
    <w:p w:rsidR="003D3378" w:rsidRPr="003D3378" w:rsidRDefault="003D3378" w:rsidP="003D3378">
      <w:pPr>
        <w:pStyle w:val="Acronyms"/>
        <w:tabs>
          <w:tab w:val="left" w:pos="1701"/>
        </w:tabs>
        <w:ind w:left="1701" w:hanging="1701"/>
        <w:rPr>
          <w:lang w:val="en-US"/>
        </w:rPr>
      </w:pPr>
      <w:r w:rsidRPr="003D3378">
        <w:rPr>
          <w:lang w:val="en-US"/>
        </w:rPr>
        <w:t>Sislognas</w:t>
      </w:r>
      <w:r w:rsidRPr="003D3378">
        <w:rPr>
          <w:lang w:val="en-US"/>
        </w:rPr>
        <w:tab/>
      </w:r>
      <w:r w:rsidRPr="003D3378">
        <w:rPr>
          <w:i/>
          <w:iCs/>
          <w:lang w:val="en-US"/>
        </w:rPr>
        <w:t>Sistim Logistik Nasional</w:t>
      </w:r>
      <w:r w:rsidRPr="003D3378">
        <w:rPr>
          <w:lang w:val="en-US"/>
        </w:rPr>
        <w:t xml:space="preserve">  (National Logistic System)</w:t>
      </w:r>
    </w:p>
    <w:p w:rsidR="003D3378" w:rsidRPr="003D3378" w:rsidRDefault="003D3378" w:rsidP="003D3378">
      <w:pPr>
        <w:pStyle w:val="Acronyms"/>
        <w:tabs>
          <w:tab w:val="left" w:pos="1701"/>
        </w:tabs>
        <w:ind w:left="1701" w:hanging="1701"/>
        <w:rPr>
          <w:lang w:val="en-US"/>
        </w:rPr>
      </w:pPr>
      <w:r w:rsidRPr="003D3378">
        <w:rPr>
          <w:lang w:val="en-US"/>
        </w:rPr>
        <w:t>Sistranas</w:t>
      </w:r>
      <w:r w:rsidRPr="003D3378">
        <w:rPr>
          <w:lang w:val="en-US"/>
        </w:rPr>
        <w:tab/>
      </w:r>
      <w:r w:rsidRPr="003D3378">
        <w:rPr>
          <w:i/>
          <w:lang w:val="en-US"/>
        </w:rPr>
        <w:t>Sistim Transportasi Nasional</w:t>
      </w:r>
      <w:r w:rsidRPr="003D3378">
        <w:rPr>
          <w:lang w:val="en-US"/>
        </w:rPr>
        <w:t xml:space="preserve"> (National Transportation System)</w:t>
      </w:r>
    </w:p>
    <w:p w:rsidR="003D3378" w:rsidRPr="003D3378" w:rsidRDefault="003D3378" w:rsidP="003D3378">
      <w:pPr>
        <w:pStyle w:val="Acronyms"/>
        <w:tabs>
          <w:tab w:val="left" w:pos="1701"/>
        </w:tabs>
        <w:ind w:left="1701" w:hanging="1701"/>
        <w:rPr>
          <w:lang w:val="en-US"/>
        </w:rPr>
      </w:pPr>
      <w:r w:rsidRPr="003D3378">
        <w:rPr>
          <w:lang w:val="en-US"/>
        </w:rPr>
        <w:t>SoE</w:t>
      </w:r>
      <w:r w:rsidRPr="003D3378">
        <w:rPr>
          <w:lang w:val="en-US"/>
        </w:rPr>
        <w:tab/>
        <w:t>State-Owned Enterprises</w:t>
      </w:r>
    </w:p>
    <w:p w:rsidR="003D3378" w:rsidRPr="003D3378" w:rsidRDefault="003D3378" w:rsidP="003D3378">
      <w:pPr>
        <w:pStyle w:val="Acronyms"/>
        <w:tabs>
          <w:tab w:val="left" w:pos="1701"/>
        </w:tabs>
        <w:ind w:left="1701" w:hanging="1701"/>
        <w:rPr>
          <w:lang w:val="en-US"/>
        </w:rPr>
      </w:pPr>
      <w:r w:rsidRPr="003D3378">
        <w:rPr>
          <w:lang w:val="en-US"/>
        </w:rPr>
        <w:t>TJT</w:t>
      </w:r>
      <w:r w:rsidRPr="003D3378">
        <w:rPr>
          <w:lang w:val="en-US"/>
        </w:rPr>
        <w:tab/>
      </w:r>
      <w:r w:rsidRPr="003D3378">
        <w:rPr>
          <w:i/>
          <w:lang w:val="en-US"/>
        </w:rPr>
        <w:t>Trans Jabar Tol</w:t>
      </w:r>
      <w:r w:rsidRPr="003D3378">
        <w:rPr>
          <w:lang w:val="en-US"/>
        </w:rPr>
        <w:t xml:space="preserve"> (West Java’s Highway)</w:t>
      </w:r>
    </w:p>
    <w:p w:rsidR="008276F0" w:rsidRDefault="003D3378" w:rsidP="003D3378">
      <w:pPr>
        <w:pStyle w:val="Acronyms"/>
        <w:tabs>
          <w:tab w:val="left" w:pos="1701"/>
        </w:tabs>
        <w:suppressAutoHyphens/>
        <w:ind w:left="1701" w:hanging="1701"/>
      </w:pPr>
      <w:r w:rsidRPr="003D3378">
        <w:rPr>
          <w:lang w:val="en-US"/>
        </w:rPr>
        <w:t>UNDP</w:t>
      </w:r>
      <w:r w:rsidRPr="003D3378">
        <w:rPr>
          <w:lang w:val="en-US"/>
        </w:rPr>
        <w:tab/>
        <w:t>United Nation Development Programme</w:t>
      </w:r>
    </w:p>
    <w:p w:rsidR="00F756EE" w:rsidRPr="00D34CE3" w:rsidRDefault="00E22DF1" w:rsidP="00296AFD">
      <w:pPr>
        <w:pStyle w:val="Heading1NOTchapter"/>
        <w:spacing w:after="200"/>
      </w:pPr>
      <w:bookmarkStart w:id="17" w:name="_Toc156300935"/>
      <w:r>
        <w:br w:type="page"/>
      </w:r>
      <w:bookmarkStart w:id="18" w:name="_Toc340497421"/>
      <w:r w:rsidR="00F756EE" w:rsidRPr="00DE6BDD">
        <w:lastRenderedPageBreak/>
        <w:t>Abstract</w:t>
      </w:r>
      <w:bookmarkEnd w:id="17"/>
      <w:bookmarkEnd w:id="18"/>
    </w:p>
    <w:p w:rsidR="00367490" w:rsidRDefault="00367490" w:rsidP="00367490">
      <w:pPr>
        <w:ind w:firstLine="0"/>
      </w:pPr>
      <w:r>
        <w:t>The e</w:t>
      </w:r>
      <w:r w:rsidRPr="009E65C1">
        <w:t xml:space="preserve">conomic corridor policy can be </w:t>
      </w:r>
      <w:r>
        <w:t xml:space="preserve">seen </w:t>
      </w:r>
      <w:r w:rsidRPr="009E65C1">
        <w:t>as an attempt to create the location, condition and a</w:t>
      </w:r>
      <w:r>
        <w:t>n expansion</w:t>
      </w:r>
      <w:r w:rsidRPr="009E65C1">
        <w:t xml:space="preserve"> target </w:t>
      </w:r>
      <w:r>
        <w:t xml:space="preserve">of </w:t>
      </w:r>
      <w:r w:rsidRPr="009E65C1">
        <w:t xml:space="preserve">capital to </w:t>
      </w:r>
      <w:r>
        <w:t xml:space="preserve">be circulating. </w:t>
      </w:r>
      <w:r w:rsidR="0012333E">
        <w:t xml:space="preserve">The </w:t>
      </w:r>
      <w:r w:rsidR="00024FA7">
        <w:t>characteri</w:t>
      </w:r>
      <w:r w:rsidR="00024FA7">
        <w:t>s</w:t>
      </w:r>
      <w:r w:rsidR="00024FA7">
        <w:t>tic</w:t>
      </w:r>
      <w:r w:rsidR="0012333E">
        <w:t xml:space="preserve"> of capitalism,</w:t>
      </w:r>
      <w:r>
        <w:t xml:space="preserve"> </w:t>
      </w:r>
      <w:r w:rsidR="0012333E">
        <w:t xml:space="preserve">which </w:t>
      </w:r>
      <w:r>
        <w:t>always look</w:t>
      </w:r>
      <w:r w:rsidR="0012333E">
        <w:t>s</w:t>
      </w:r>
      <w:r>
        <w:t xml:space="preserve"> for new areas to invest </w:t>
      </w:r>
      <w:r w:rsidR="0012333E">
        <w:t>its</w:t>
      </w:r>
      <w:r>
        <w:t xml:space="preserve"> </w:t>
      </w:r>
      <w:r w:rsidR="00024FA7">
        <w:t>surpluses,</w:t>
      </w:r>
      <w:r>
        <w:t xml:space="preserve"> </w:t>
      </w:r>
      <w:r w:rsidR="0012333E">
        <w:t xml:space="preserve">is </w:t>
      </w:r>
      <w:r>
        <w:t xml:space="preserve">the key-word to understand the logic of ‘the economic corridors policy’. </w:t>
      </w:r>
      <w:r w:rsidRPr="006D1A4A">
        <w:t xml:space="preserve"> </w:t>
      </w:r>
      <w:r w:rsidRPr="00D552F7">
        <w:t>Mea</w:t>
      </w:r>
      <w:r w:rsidRPr="00D552F7">
        <w:t>n</w:t>
      </w:r>
      <w:r w:rsidRPr="00D552F7">
        <w:t xml:space="preserve">while, </w:t>
      </w:r>
      <w:r>
        <w:t>within a country</w:t>
      </w:r>
      <w:r w:rsidRPr="00D552F7">
        <w:t>, the need for development and improve</w:t>
      </w:r>
      <w:r>
        <w:t>d</w:t>
      </w:r>
      <w:r w:rsidRPr="00D552F7">
        <w:t xml:space="preserve"> economic growth rates </w:t>
      </w:r>
      <w:r w:rsidRPr="008765E4">
        <w:t>are</w:t>
      </w:r>
      <w:r w:rsidRPr="00D552F7">
        <w:t xml:space="preserve"> </w:t>
      </w:r>
      <w:r w:rsidR="0012333E">
        <w:t xml:space="preserve">the </w:t>
      </w:r>
      <w:r w:rsidRPr="00D552F7">
        <w:t xml:space="preserve">justification </w:t>
      </w:r>
      <w:r w:rsidRPr="00B805BF">
        <w:t xml:space="preserve">for </w:t>
      </w:r>
      <w:r>
        <w:t>implement</w:t>
      </w:r>
      <w:r w:rsidRPr="00B805BF">
        <w:t xml:space="preserve">ation of </w:t>
      </w:r>
      <w:r w:rsidR="0012333E">
        <w:t xml:space="preserve">the </w:t>
      </w:r>
      <w:r>
        <w:t>economic corr</w:t>
      </w:r>
      <w:r>
        <w:t>i</w:t>
      </w:r>
      <w:r>
        <w:t>dor</w:t>
      </w:r>
      <w:r w:rsidR="0012333E">
        <w:t>’</w:t>
      </w:r>
      <w:r>
        <w:t xml:space="preserve">s </w:t>
      </w:r>
      <w:r w:rsidRPr="00D552F7">
        <w:t xml:space="preserve">policy </w:t>
      </w:r>
      <w:r>
        <w:t>such as the Indonesia’s Master Plan for Acceleration and Expa</w:t>
      </w:r>
      <w:r>
        <w:t>n</w:t>
      </w:r>
      <w:r>
        <w:t>sion of Indonesian Economic Development (MP3EI)</w:t>
      </w:r>
      <w:r w:rsidRPr="006D1A4A">
        <w:t xml:space="preserve">. </w:t>
      </w:r>
      <w:r>
        <w:t xml:space="preserve">To encourage the MP3EI’s policy initiative, the need </w:t>
      </w:r>
      <w:r w:rsidR="0012333E">
        <w:t xml:space="preserve">for </w:t>
      </w:r>
      <w:r>
        <w:t xml:space="preserve">massive economic development, which will create growth, </w:t>
      </w:r>
      <w:r w:rsidRPr="00821079">
        <w:t>meet</w:t>
      </w:r>
      <w:r>
        <w:t>s</w:t>
      </w:r>
      <w:r w:rsidRPr="00821079">
        <w:t xml:space="preserve"> the interests of capital</w:t>
      </w:r>
      <w:r>
        <w:t>ist</w:t>
      </w:r>
      <w:r w:rsidR="0012333E">
        <w:t>s</w:t>
      </w:r>
      <w:r w:rsidRPr="00821079">
        <w:t xml:space="preserve"> which must be rotating </w:t>
      </w:r>
      <w:r>
        <w:t xml:space="preserve">their capital in order to </w:t>
      </w:r>
      <w:r w:rsidRPr="00821079">
        <w:t>accumulat</w:t>
      </w:r>
      <w:r>
        <w:t>e</w:t>
      </w:r>
      <w:r w:rsidRPr="00821079">
        <w:t xml:space="preserve"> </w:t>
      </w:r>
      <w:r>
        <w:t xml:space="preserve">surplus value of </w:t>
      </w:r>
      <w:r w:rsidRPr="00821079">
        <w:t>capital</w:t>
      </w:r>
      <w:r w:rsidRPr="006D1A4A">
        <w:t>.</w:t>
      </w:r>
      <w:r>
        <w:t xml:space="preserve"> </w:t>
      </w:r>
    </w:p>
    <w:p w:rsidR="000E67BC" w:rsidRDefault="00367490" w:rsidP="000E67BC">
      <w:r w:rsidRPr="006D1A4A">
        <w:t>This study focus</w:t>
      </w:r>
      <w:r>
        <w:t>es</w:t>
      </w:r>
      <w:r w:rsidRPr="006D1A4A">
        <w:t xml:space="preserve"> on the grand scheme of economic corridor policy, which leads to land grabbing, land concentration and </w:t>
      </w:r>
      <w:r>
        <w:t xml:space="preserve">social </w:t>
      </w:r>
      <w:r w:rsidRPr="006D1A4A">
        <w:t>exclusion</w:t>
      </w:r>
      <w:r>
        <w:t xml:space="preserve"> and/or adverse incorporation in Java, Indonesia.</w:t>
      </w:r>
      <w:r w:rsidRPr="006D1A4A">
        <w:t xml:space="preserve"> Instead of seeing </w:t>
      </w:r>
      <w:r w:rsidR="0012333E">
        <w:t xml:space="preserve">only </w:t>
      </w:r>
      <w:r w:rsidRPr="006D1A4A">
        <w:t xml:space="preserve">the economic growth targeted in this scheme, this study will focus on the process </w:t>
      </w:r>
      <w:r w:rsidR="0012333E">
        <w:t xml:space="preserve">that this </w:t>
      </w:r>
      <w:r w:rsidRPr="006D1A4A">
        <w:t xml:space="preserve">scenario of economic corridor </w:t>
      </w:r>
      <w:r w:rsidR="0012333E">
        <w:t xml:space="preserve">policy causes </w:t>
      </w:r>
      <w:r>
        <w:t xml:space="preserve">on </w:t>
      </w:r>
      <w:r w:rsidRPr="006D1A4A">
        <w:t xml:space="preserve">land use. A capital-driven model of economic growth includes in this scheme the symptoms of land grabbing as a process within the operation </w:t>
      </w:r>
      <w:r w:rsidR="0012333E">
        <w:t xml:space="preserve">in which </w:t>
      </w:r>
      <w:r w:rsidRPr="006D1A4A">
        <w:t xml:space="preserve">land concentration and </w:t>
      </w:r>
      <w:r>
        <w:t xml:space="preserve">social </w:t>
      </w:r>
      <w:r w:rsidRPr="006D1A4A">
        <w:t>exclusion will be additional results.</w:t>
      </w:r>
      <w:r>
        <w:t xml:space="preserve"> </w:t>
      </w:r>
      <w:r w:rsidRPr="000876E2">
        <w:t>Based on the indications of Java Economic Corridor</w:t>
      </w:r>
      <w:r>
        <w:t xml:space="preserve"> implementation</w:t>
      </w:r>
      <w:r w:rsidRPr="000876E2">
        <w:t xml:space="preserve">, it can be seen that land concentration will occur because </w:t>
      </w:r>
      <w:r w:rsidR="0012333E">
        <w:t xml:space="preserve">of an </w:t>
      </w:r>
      <w:r w:rsidRPr="000876E2">
        <w:t xml:space="preserve">economic development policy that emphasizes economic growth. In this case, production activities </w:t>
      </w:r>
      <w:r w:rsidR="0012333E">
        <w:t xml:space="preserve">and growth </w:t>
      </w:r>
      <w:r w:rsidRPr="000876E2">
        <w:t xml:space="preserve">are preferred </w:t>
      </w:r>
      <w:r w:rsidR="0012333E">
        <w:t xml:space="preserve">over the </w:t>
      </w:r>
      <w:r w:rsidRPr="000876E2">
        <w:t xml:space="preserve">welfare of the people. While 'social exclusion' is happening, not merely because of the fact people have been expelled from their territory, but in this study, more people are being converted into productive workers </w:t>
      </w:r>
      <w:r>
        <w:t>(adverse incorpor</w:t>
      </w:r>
      <w:r>
        <w:t>a</w:t>
      </w:r>
      <w:r>
        <w:t xml:space="preserve">tion) </w:t>
      </w:r>
      <w:r w:rsidRPr="000876E2">
        <w:t xml:space="preserve">in the </w:t>
      </w:r>
      <w:r w:rsidR="0012333E">
        <w:t xml:space="preserve">productive sector </w:t>
      </w:r>
      <w:r w:rsidRPr="000876E2">
        <w:t>developed through development projects.</w:t>
      </w:r>
    </w:p>
    <w:p w:rsidR="007B0DDE" w:rsidRDefault="007B0DDE" w:rsidP="000E67BC"/>
    <w:p w:rsidR="005F09DD" w:rsidRPr="00801FB7" w:rsidRDefault="005F09DD" w:rsidP="00233EB3">
      <w:pPr>
        <w:spacing w:before="400"/>
        <w:ind w:firstLine="0"/>
        <w:rPr>
          <w:b/>
          <w:sz w:val="28"/>
          <w:szCs w:val="28"/>
        </w:rPr>
      </w:pPr>
      <w:r w:rsidRPr="00801FB7">
        <w:rPr>
          <w:b/>
          <w:sz w:val="28"/>
          <w:szCs w:val="28"/>
        </w:rPr>
        <w:t>Keywords</w:t>
      </w:r>
    </w:p>
    <w:p w:rsidR="005F09DD" w:rsidRDefault="00367490" w:rsidP="00F756EE">
      <w:pPr>
        <w:pStyle w:val="Normalfirstparagraph"/>
      </w:pPr>
      <w:r>
        <w:t>Economic corridor policy, land grabbing, land concentration, capital-driven growth, social exclusion, adverse incorporation</w:t>
      </w:r>
    </w:p>
    <w:p w:rsidR="009400BC" w:rsidRPr="009400BC" w:rsidRDefault="009400BC" w:rsidP="007364E6"/>
    <w:p w:rsidR="005F09DD" w:rsidRDefault="005F09DD" w:rsidP="009C3D05">
      <w:pPr>
        <w:pStyle w:val="Heading1"/>
        <w:sectPr w:rsidR="005F09DD" w:rsidSect="001F4E93">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701" w:right="2268" w:bottom="1701" w:left="2268" w:header="709" w:footer="851" w:gutter="0"/>
          <w:pgNumType w:fmt="lowerRoman" w:start="1"/>
          <w:cols w:space="708"/>
          <w:titlePg/>
          <w:docGrid w:linePitch="360"/>
        </w:sectPr>
      </w:pPr>
      <w:bookmarkStart w:id="19" w:name="_Toc120098264"/>
    </w:p>
    <w:p w:rsidR="005F09DD" w:rsidRPr="00A73DEB" w:rsidRDefault="00A73DEB" w:rsidP="00A73DEB">
      <w:pPr>
        <w:pStyle w:val="Heading1"/>
      </w:pPr>
      <w:bookmarkStart w:id="20" w:name="_Toc340497422"/>
      <w:bookmarkEnd w:id="19"/>
      <w:r w:rsidRPr="00A73DEB">
        <w:lastRenderedPageBreak/>
        <w:t>Chapter 1</w:t>
      </w:r>
      <w:r w:rsidR="00B20AE4" w:rsidRPr="00A73DEB">
        <w:br/>
      </w:r>
      <w:r w:rsidR="004745AA" w:rsidRPr="00A73DEB">
        <w:t>Introduction</w:t>
      </w:r>
      <w:bookmarkEnd w:id="20"/>
      <w:r w:rsidR="00F94DE6" w:rsidRPr="00A73DEB">
        <w:t xml:space="preserve"> </w:t>
      </w:r>
    </w:p>
    <w:p w:rsidR="003D3378" w:rsidRPr="006D1A4A" w:rsidRDefault="003D3378" w:rsidP="002A1327">
      <w:pPr>
        <w:ind w:firstLine="0"/>
      </w:pPr>
      <w:r w:rsidRPr="006D1A4A">
        <w:t>The focus on economic corridors has become a trend of development strat</w:t>
      </w:r>
      <w:r w:rsidRPr="006D1A4A">
        <w:t>e</w:t>
      </w:r>
      <w:r w:rsidRPr="006D1A4A">
        <w:t>gies in various countries in the world. The economic corridor refers to ec</w:t>
      </w:r>
      <w:r w:rsidRPr="006D1A4A">
        <w:t>o</w:t>
      </w:r>
      <w:r w:rsidRPr="006D1A4A">
        <w:t xml:space="preserve">nomic development targeted to increase economic growth in </w:t>
      </w:r>
      <w:r>
        <w:t xml:space="preserve">a </w:t>
      </w:r>
      <w:r w:rsidRPr="006D1A4A">
        <w:t xml:space="preserve">certain period and </w:t>
      </w:r>
      <w:r>
        <w:t xml:space="preserve">in </w:t>
      </w:r>
      <w:r w:rsidRPr="006D1A4A">
        <w:t xml:space="preserve">specific areas </w:t>
      </w:r>
      <w:sdt>
        <w:sdtPr>
          <w:id w:val="121858887"/>
          <w:citation/>
        </w:sdtPr>
        <w:sdtContent>
          <w:r w:rsidR="00476E26">
            <w:fldChar w:fldCharType="begin"/>
          </w:r>
          <w:r>
            <w:rPr>
              <w:lang w:val="en-US"/>
            </w:rPr>
            <w:instrText xml:space="preserve"> CITATION AGI00 \p 2 \l 1033  </w:instrText>
          </w:r>
          <w:r w:rsidR="00476E26">
            <w:fldChar w:fldCharType="separate"/>
          </w:r>
          <w:r w:rsidRPr="003D3378">
            <w:rPr>
              <w:noProof/>
              <w:lang w:val="en-US"/>
            </w:rPr>
            <w:t>(AGIL, 2000, p. 2)</w:t>
          </w:r>
          <w:r w:rsidR="00476E26">
            <w:fldChar w:fldCharType="end"/>
          </w:r>
        </w:sdtContent>
      </w:sdt>
      <w:r w:rsidRPr="006D1A4A">
        <w:t xml:space="preserve">. The pre-condition of these plans is mostly infrastructure development, both in terms of transportation facilities and telecommunication as well as in electricity </w:t>
      </w:r>
      <w:sdt>
        <w:sdtPr>
          <w:id w:val="121858888"/>
          <w:citation/>
        </w:sdtPr>
        <w:sdtContent>
          <w:r w:rsidR="00476E26">
            <w:fldChar w:fldCharType="begin"/>
          </w:r>
          <w:r>
            <w:rPr>
              <w:lang w:val="en-US"/>
            </w:rPr>
            <w:instrText xml:space="preserve"> CITATION Baf10 \l 1033 </w:instrText>
          </w:r>
          <w:r w:rsidR="00476E26">
            <w:fldChar w:fldCharType="separate"/>
          </w:r>
          <w:r w:rsidRPr="003D3378">
            <w:rPr>
              <w:noProof/>
              <w:lang w:val="en-US"/>
            </w:rPr>
            <w:t>(Bafoil &amp; Ruiwen, 2010)</w:t>
          </w:r>
          <w:r w:rsidR="00476E26">
            <w:fldChar w:fldCharType="end"/>
          </w:r>
        </w:sdtContent>
      </w:sdt>
      <w:r w:rsidRPr="006D1A4A">
        <w:t xml:space="preserve">. These large-scale development plans stand for a form of modernization that </w:t>
      </w:r>
      <w:r w:rsidR="005E6FA8">
        <w:t>obv</w:t>
      </w:r>
      <w:r w:rsidR="005E6FA8">
        <w:t>i</w:t>
      </w:r>
      <w:r w:rsidR="005E6FA8">
        <w:t xml:space="preserve">ously </w:t>
      </w:r>
      <w:r w:rsidRPr="006D1A4A">
        <w:t>reflects thinking of the ruling elites and corporate capital. The main cha</w:t>
      </w:r>
      <w:r w:rsidRPr="006D1A4A">
        <w:t>r</w:t>
      </w:r>
      <w:r w:rsidRPr="006D1A4A">
        <w:t>acteristic of the plans is involving a huge amount of capital, undertaken by e</w:t>
      </w:r>
      <w:r w:rsidRPr="006D1A4A">
        <w:t>n</w:t>
      </w:r>
      <w:r w:rsidRPr="006D1A4A">
        <w:t>trepreneurs, and promoting growth</w:t>
      </w:r>
      <w:r>
        <w:t>,</w:t>
      </w:r>
      <w:r w:rsidRPr="006D1A4A">
        <w:t xml:space="preserve"> which fruits </w:t>
      </w:r>
      <w:r>
        <w:t xml:space="preserve">ironically, cannot </w:t>
      </w:r>
      <w:r w:rsidRPr="006D1A4A">
        <w:t xml:space="preserve">be accessed by </w:t>
      </w:r>
      <w:r>
        <w:t>large parts of the population</w:t>
      </w:r>
      <w:r w:rsidRPr="006D1A4A">
        <w:t>. While economic corridor development might generat</w:t>
      </w:r>
      <w:r>
        <w:t xml:space="preserve">e </w:t>
      </w:r>
      <w:r w:rsidR="005E6FA8">
        <w:t>a very good result</w:t>
      </w:r>
      <w:r w:rsidRPr="006D1A4A">
        <w:t xml:space="preserve">, measured by reaching significant economic growth levels, the impact of </w:t>
      </w:r>
      <w:r w:rsidR="005E6FA8">
        <w:t xml:space="preserve">such </w:t>
      </w:r>
      <w:r w:rsidRPr="006D1A4A">
        <w:t>modernization</w:t>
      </w:r>
      <w:r>
        <w:t>, in particular through land control and changing land use,</w:t>
      </w:r>
      <w:r w:rsidRPr="006D1A4A">
        <w:t xml:space="preserve"> may </w:t>
      </w:r>
      <w:r>
        <w:t>lead to land</w:t>
      </w:r>
      <w:r w:rsidRPr="006D1A4A">
        <w:t xml:space="preserve"> concentration and social exclusion.</w:t>
      </w:r>
    </w:p>
    <w:p w:rsidR="003D3378" w:rsidRDefault="005E6FA8" w:rsidP="003D3378">
      <w:r>
        <w:t>W</w:t>
      </w:r>
      <w:r w:rsidR="003D3378">
        <w:t>hat is exactly driv</w:t>
      </w:r>
      <w:r w:rsidR="0012333E">
        <w:t>ing</w:t>
      </w:r>
      <w:r w:rsidR="003D3378">
        <w:t xml:space="preserve"> factor in the corridor economic policy leads to land concentration?</w:t>
      </w:r>
      <w:r w:rsidR="003D3378" w:rsidRPr="006D1A4A">
        <w:t xml:space="preserve"> </w:t>
      </w:r>
      <w:r w:rsidR="003D3378" w:rsidRPr="004557EF">
        <w:t xml:space="preserve">What is the motive of capital owners to invest in the Economic Corridor </w:t>
      </w:r>
      <w:r w:rsidR="0012333E">
        <w:t>S</w:t>
      </w:r>
      <w:r w:rsidR="003D3378" w:rsidRPr="004557EF">
        <w:t xml:space="preserve">cheme, or is there other larger scheme </w:t>
      </w:r>
      <w:r w:rsidR="003D3378">
        <w:t xml:space="preserve">that </w:t>
      </w:r>
      <w:r w:rsidR="003D3378" w:rsidRPr="004557EF">
        <w:t>is running concurrently with the development of Economic Corridor</w:t>
      </w:r>
      <w:r w:rsidR="003D3378">
        <w:t xml:space="preserve"> policy?</w:t>
      </w:r>
      <w:r w:rsidR="003D3378" w:rsidRPr="006D1A4A">
        <w:t xml:space="preserve"> </w:t>
      </w:r>
      <w:r w:rsidR="003D3378" w:rsidRPr="004557EF">
        <w:t>Th</w:t>
      </w:r>
      <w:r w:rsidR="003D3378">
        <w:t>is</w:t>
      </w:r>
      <w:r w:rsidR="003D3378" w:rsidRPr="004557EF">
        <w:t xml:space="preserve"> study will </w:t>
      </w:r>
      <w:r w:rsidR="003D3378">
        <w:t xml:space="preserve">answer these questions by </w:t>
      </w:r>
      <w:r w:rsidR="003D3378" w:rsidRPr="004557EF">
        <w:t>look</w:t>
      </w:r>
      <w:r w:rsidR="003D3378">
        <w:t>ing</w:t>
      </w:r>
      <w:r w:rsidR="003D3378" w:rsidRPr="004557EF">
        <w:t xml:space="preserve"> at capital </w:t>
      </w:r>
      <w:r w:rsidR="003D3378">
        <w:t xml:space="preserve">circulation that led </w:t>
      </w:r>
      <w:r w:rsidR="003D3378" w:rsidRPr="004557EF">
        <w:t xml:space="preserve">to land concentration, </w:t>
      </w:r>
      <w:r w:rsidR="003D3378">
        <w:t>which is according to Harvey, is avai</w:t>
      </w:r>
      <w:r w:rsidR="003D3378" w:rsidRPr="004557EF">
        <w:t>lable</w:t>
      </w:r>
      <w:r w:rsidR="003D3378">
        <w:t xml:space="preserve"> capital </w:t>
      </w:r>
      <w:r w:rsidR="003D3378" w:rsidRPr="004557EF">
        <w:t xml:space="preserve">surplus that could be or should be reinvested to </w:t>
      </w:r>
      <w:r w:rsidR="003D3378">
        <w:t>gain a further benefit and surpluses as part of an u</w:t>
      </w:r>
      <w:r w:rsidR="003D3378">
        <w:t>n</w:t>
      </w:r>
      <w:r w:rsidR="003D3378">
        <w:t xml:space="preserve">stoppable process of capital accumulation </w:t>
      </w:r>
      <w:sdt>
        <w:sdtPr>
          <w:id w:val="121858889"/>
          <w:citation/>
        </w:sdtPr>
        <w:sdtContent>
          <w:r w:rsidR="00476E26">
            <w:fldChar w:fldCharType="begin"/>
          </w:r>
          <w:r w:rsidR="002B6508">
            <w:rPr>
              <w:lang w:val="en-US"/>
            </w:rPr>
            <w:instrText xml:space="preserve"> CITATION Har10 \p 41 \l 1033  </w:instrText>
          </w:r>
          <w:r w:rsidR="00476E26">
            <w:fldChar w:fldCharType="separate"/>
          </w:r>
          <w:r w:rsidR="002B6508" w:rsidRPr="002B6508">
            <w:rPr>
              <w:noProof/>
              <w:lang w:val="en-US"/>
            </w:rPr>
            <w:t>(Harvey, 2010, p. 41)</w:t>
          </w:r>
          <w:r w:rsidR="00476E26">
            <w:fldChar w:fldCharType="end"/>
          </w:r>
        </w:sdtContent>
      </w:sdt>
      <w:r w:rsidR="003D3378" w:rsidRPr="006D1A4A">
        <w:t>.</w:t>
      </w:r>
      <w:r w:rsidR="003D3378">
        <w:t xml:space="preserve"> </w:t>
      </w:r>
    </w:p>
    <w:p w:rsidR="003D3378" w:rsidRPr="006D1A4A" w:rsidRDefault="003D3378" w:rsidP="003D3378">
      <w:r>
        <w:t>The e</w:t>
      </w:r>
      <w:r w:rsidRPr="009E65C1">
        <w:t xml:space="preserve">conomic corridor policy can be </w:t>
      </w:r>
      <w:r>
        <w:t xml:space="preserve">seen </w:t>
      </w:r>
      <w:r w:rsidRPr="009E65C1">
        <w:t>as an attempt to create the loc</w:t>
      </w:r>
      <w:r w:rsidRPr="009E65C1">
        <w:t>a</w:t>
      </w:r>
      <w:r w:rsidRPr="009E65C1">
        <w:t>tion, condition and a</w:t>
      </w:r>
      <w:r>
        <w:t>n expansion</w:t>
      </w:r>
      <w:r w:rsidRPr="009E65C1">
        <w:t xml:space="preserve"> target </w:t>
      </w:r>
      <w:r>
        <w:t xml:space="preserve">of </w:t>
      </w:r>
      <w:r w:rsidRPr="009E65C1">
        <w:t xml:space="preserve">capital to </w:t>
      </w:r>
      <w:r>
        <w:t>be circulating. Characteri</w:t>
      </w:r>
      <w:r>
        <w:t>s</w:t>
      </w:r>
      <w:r>
        <w:t xml:space="preserve">tics of capitalist that always look for new areas to invest their surpluses are the key-word to understand the logic of ‘the economic corridors policy’. </w:t>
      </w:r>
      <w:r w:rsidRPr="006D1A4A">
        <w:t xml:space="preserve"> </w:t>
      </w:r>
      <w:r w:rsidRPr="00D552F7">
        <w:t>Mea</w:t>
      </w:r>
      <w:r w:rsidRPr="00D552F7">
        <w:t>n</w:t>
      </w:r>
      <w:r w:rsidRPr="00D552F7">
        <w:t xml:space="preserve">while, </w:t>
      </w:r>
      <w:r>
        <w:t>within a country</w:t>
      </w:r>
      <w:r w:rsidRPr="00D552F7">
        <w:t>, the need for development and improve</w:t>
      </w:r>
      <w:r>
        <w:t>d</w:t>
      </w:r>
      <w:r w:rsidRPr="00D552F7">
        <w:t xml:space="preserve"> economic growth rates </w:t>
      </w:r>
      <w:r w:rsidRPr="008765E4">
        <w:t>are</w:t>
      </w:r>
      <w:r w:rsidRPr="00D552F7">
        <w:t xml:space="preserve"> justification </w:t>
      </w:r>
      <w:r w:rsidRPr="00B805BF">
        <w:t xml:space="preserve">for </w:t>
      </w:r>
      <w:r>
        <w:t>implement</w:t>
      </w:r>
      <w:r w:rsidRPr="00B805BF">
        <w:t xml:space="preserve">ation of </w:t>
      </w:r>
      <w:r w:rsidRPr="00D552F7">
        <w:t>a</w:t>
      </w:r>
      <w:r>
        <w:t>n</w:t>
      </w:r>
      <w:r w:rsidRPr="00D552F7">
        <w:t xml:space="preserve"> </w:t>
      </w:r>
      <w:r>
        <w:t xml:space="preserve">economic corridors </w:t>
      </w:r>
      <w:r w:rsidRPr="00D552F7">
        <w:t>po</w:t>
      </w:r>
      <w:r w:rsidRPr="00D552F7">
        <w:t>l</w:t>
      </w:r>
      <w:r w:rsidRPr="00D552F7">
        <w:t xml:space="preserve">icy </w:t>
      </w:r>
      <w:r>
        <w:t>such as Indonesia’s Master Plan for Acceleration and Expansion of Indon</w:t>
      </w:r>
      <w:r>
        <w:t>e</w:t>
      </w:r>
      <w:r>
        <w:t>sian Economic Development (MP3EI)</w:t>
      </w:r>
      <w:r w:rsidRPr="00D552F7">
        <w:t xml:space="preserve"> </w:t>
      </w:r>
      <w:sdt>
        <w:sdtPr>
          <w:id w:val="121858890"/>
          <w:citation/>
        </w:sdtPr>
        <w:sdtContent>
          <w:r w:rsidR="00476E26">
            <w:fldChar w:fldCharType="begin"/>
          </w:r>
          <w:r w:rsidR="002B6508">
            <w:rPr>
              <w:lang w:val="en-US"/>
            </w:rPr>
            <w:instrText xml:space="preserve"> CITATION Coo11 \l 1033 </w:instrText>
          </w:r>
          <w:r w:rsidR="00476E26">
            <w:fldChar w:fldCharType="separate"/>
          </w:r>
          <w:r w:rsidR="002B6508" w:rsidRPr="002B6508">
            <w:rPr>
              <w:noProof/>
              <w:lang w:val="en-US"/>
            </w:rPr>
            <w:t>(Coordinating Ministry of Economic Affairs, 2011)</w:t>
          </w:r>
          <w:r w:rsidR="00476E26">
            <w:fldChar w:fldCharType="end"/>
          </w:r>
        </w:sdtContent>
      </w:sdt>
      <w:r w:rsidRPr="006D1A4A">
        <w:t xml:space="preserve">. </w:t>
      </w:r>
      <w:r>
        <w:t xml:space="preserve">To encourage the MP3EI’s policy initiative, the need of massive economic development, which will create growth, </w:t>
      </w:r>
      <w:r w:rsidRPr="00821079">
        <w:t>meet</w:t>
      </w:r>
      <w:r>
        <w:t>s</w:t>
      </w:r>
      <w:r w:rsidRPr="00821079">
        <w:t xml:space="preserve"> the interests of cap</w:t>
      </w:r>
      <w:r w:rsidRPr="00821079">
        <w:t>i</w:t>
      </w:r>
      <w:r w:rsidRPr="00821079">
        <w:t>tal</w:t>
      </w:r>
      <w:r>
        <w:t>ist</w:t>
      </w:r>
      <w:r w:rsidRPr="00821079">
        <w:t xml:space="preserve"> which must be rotating </w:t>
      </w:r>
      <w:r>
        <w:t xml:space="preserve">their capital in order to </w:t>
      </w:r>
      <w:r w:rsidRPr="00821079">
        <w:t>accumulat</w:t>
      </w:r>
      <w:r>
        <w:t>e</w:t>
      </w:r>
      <w:r w:rsidRPr="00821079">
        <w:t xml:space="preserve"> </w:t>
      </w:r>
      <w:r>
        <w:t xml:space="preserve">surplus value of </w:t>
      </w:r>
      <w:r w:rsidRPr="00821079">
        <w:t>capital</w:t>
      </w:r>
      <w:r w:rsidRPr="006D1A4A">
        <w:t xml:space="preserve">. </w:t>
      </w:r>
    </w:p>
    <w:p w:rsidR="003D3378" w:rsidRPr="006D1A4A" w:rsidRDefault="003D3378" w:rsidP="003D3378">
      <w:r>
        <w:t>T</w:t>
      </w:r>
      <w:r w:rsidRPr="006D1A4A">
        <w:t xml:space="preserve">he construction of ‘capital circuits’ will occur through various facilities in </w:t>
      </w:r>
      <w:r>
        <w:t xml:space="preserve">the </w:t>
      </w:r>
      <w:r w:rsidRPr="006D1A4A">
        <w:t xml:space="preserve">MP3EI </w:t>
      </w:r>
      <w:sdt>
        <w:sdtPr>
          <w:id w:val="121858891"/>
          <w:citation/>
        </w:sdtPr>
        <w:sdtContent>
          <w:r w:rsidR="00476E26">
            <w:fldChar w:fldCharType="begin"/>
          </w:r>
          <w:r w:rsidR="002B6508">
            <w:rPr>
              <w:lang w:val="en-US"/>
            </w:rPr>
            <w:instrText xml:space="preserve"> CITATION Coo11 \p 43 \l 1033  </w:instrText>
          </w:r>
          <w:r w:rsidR="00476E26">
            <w:fldChar w:fldCharType="separate"/>
          </w:r>
          <w:r w:rsidR="002B6508" w:rsidRPr="002B6508">
            <w:rPr>
              <w:noProof/>
              <w:lang w:val="en-US"/>
            </w:rPr>
            <w:t>(Coordinating Ministry of Economic Affairs, 2011, p. 43)</w:t>
          </w:r>
          <w:r w:rsidR="00476E26">
            <w:fldChar w:fldCharType="end"/>
          </w:r>
        </w:sdtContent>
      </w:sdt>
      <w:r w:rsidRPr="006D1A4A">
        <w:t>. The d</w:t>
      </w:r>
      <w:r w:rsidRPr="006D1A4A">
        <w:t>e</w:t>
      </w:r>
      <w:r w:rsidRPr="006D1A4A">
        <w:t>velopment of circuits of capital takes care of improved mobility of capital, goods and labour force between or among determined corridors. Corridors are supposed to facilitate the flow of those resources between an area that is ide</w:t>
      </w:r>
      <w:r w:rsidRPr="006D1A4A">
        <w:t>n</w:t>
      </w:r>
      <w:r w:rsidRPr="006D1A4A">
        <w:t xml:space="preserve">tified as a centre of extraction and a centre of economic activity </w:t>
      </w:r>
      <w:sdt>
        <w:sdtPr>
          <w:id w:val="121858892"/>
          <w:citation/>
        </w:sdtPr>
        <w:sdtContent>
          <w:r w:rsidR="00476E26">
            <w:fldChar w:fldCharType="begin"/>
          </w:r>
          <w:r w:rsidR="002B6508">
            <w:rPr>
              <w:lang w:val="en-US"/>
            </w:rPr>
            <w:instrText xml:space="preserve"> CITATION Cha03 \l 1033 </w:instrText>
          </w:r>
          <w:r w:rsidR="00476E26">
            <w:fldChar w:fldCharType="separate"/>
          </w:r>
          <w:r w:rsidR="002B6508" w:rsidRPr="002B6508">
            <w:rPr>
              <w:noProof/>
              <w:lang w:val="en-US"/>
            </w:rPr>
            <w:t>(Chapman, Pratt, Larkham, &amp; Dickins, 2003)</w:t>
          </w:r>
          <w:r w:rsidR="00476E26">
            <w:fldChar w:fldCharType="end"/>
          </w:r>
        </w:sdtContent>
      </w:sdt>
      <w:r w:rsidRPr="006D1A4A">
        <w:t xml:space="preserve">. </w:t>
      </w:r>
      <w:r>
        <w:t>T</w:t>
      </w:r>
      <w:r w:rsidRPr="006D1A4A">
        <w:t xml:space="preserve">his </w:t>
      </w:r>
      <w:r>
        <w:t xml:space="preserve">MP3EI’s </w:t>
      </w:r>
      <w:r w:rsidRPr="006D1A4A">
        <w:t xml:space="preserve">economic corridor policy has </w:t>
      </w:r>
      <w:r>
        <w:t xml:space="preserve">also </w:t>
      </w:r>
      <w:r w:rsidRPr="006D1A4A">
        <w:t>other objectives</w:t>
      </w:r>
      <w:r>
        <w:t>. i.e.</w:t>
      </w:r>
      <w:r w:rsidRPr="006D1A4A">
        <w:t xml:space="preserve"> consolidating of capital, including mobilization of land and labour</w:t>
      </w:r>
      <w:r>
        <w:t>,</w:t>
      </w:r>
      <w:r w:rsidRPr="006D1A4A">
        <w:t xml:space="preserve"> th</w:t>
      </w:r>
      <w:r>
        <w:t>ose</w:t>
      </w:r>
      <w:r w:rsidRPr="006D1A4A">
        <w:t xml:space="preserve"> become a new form of exploitation in Indonesia. </w:t>
      </w:r>
      <w:r w:rsidRPr="00CF4850">
        <w:t xml:space="preserve">As long as capital can continue to </w:t>
      </w:r>
      <w:r>
        <w:t>dominate</w:t>
      </w:r>
      <w:r w:rsidRPr="00CF4850">
        <w:t xml:space="preserve"> the main resource, namely land, </w:t>
      </w:r>
      <w:r w:rsidR="005E6FA8">
        <w:t xml:space="preserve">in which its </w:t>
      </w:r>
      <w:r w:rsidRPr="00CF4850">
        <w:t>land concentration is unavoidable.</w:t>
      </w:r>
    </w:p>
    <w:p w:rsidR="003D3378" w:rsidRPr="006D1A4A" w:rsidRDefault="003D3378" w:rsidP="003D3378">
      <w:r>
        <w:lastRenderedPageBreak/>
        <w:t>Nevertheless</w:t>
      </w:r>
      <w:r w:rsidRPr="006D1A4A">
        <w:t>, an economic corridor policy also leads to ‘exclusive ec</w:t>
      </w:r>
      <w:r w:rsidRPr="006D1A4A">
        <w:t>o</w:t>
      </w:r>
      <w:r w:rsidRPr="006D1A4A">
        <w:t>nomic growth’, growing inequality and i</w:t>
      </w:r>
      <w:r w:rsidR="005E6FA8">
        <w:t>t</w:t>
      </w:r>
      <w:r w:rsidR="00E334B5">
        <w:t xml:space="preserve"> i</w:t>
      </w:r>
      <w:r w:rsidRPr="006D1A4A">
        <w:t>s link</w:t>
      </w:r>
      <w:r w:rsidR="00E334B5">
        <w:t>ed</w:t>
      </w:r>
      <w:r w:rsidRPr="006D1A4A">
        <w:t xml:space="preserve"> to the phenomenon of land grabbing. The main important issue is this economic corridor policy heavily relies on </w:t>
      </w:r>
      <w:r>
        <w:t xml:space="preserve">the </w:t>
      </w:r>
      <w:r w:rsidRPr="006D1A4A">
        <w:t xml:space="preserve">role of investments in </w:t>
      </w:r>
      <w:r>
        <w:t xml:space="preserve">the </w:t>
      </w:r>
      <w:r w:rsidRPr="006D1A4A">
        <w:t>implementation of development pr</w:t>
      </w:r>
      <w:r w:rsidRPr="006D1A4A">
        <w:t>o</w:t>
      </w:r>
      <w:r w:rsidRPr="006D1A4A">
        <w:t>jects and infrastructure construction.</w:t>
      </w:r>
      <w:r>
        <w:t xml:space="preserve"> </w:t>
      </w:r>
      <w:r w:rsidRPr="006D1A4A">
        <w:t>As a main prerequisite of economic co</w:t>
      </w:r>
      <w:r w:rsidRPr="006D1A4A">
        <w:t>r</w:t>
      </w:r>
      <w:r w:rsidRPr="006D1A4A">
        <w:t xml:space="preserve">ridor policy, development of infrastructure, </w:t>
      </w:r>
      <w:r>
        <w:t xml:space="preserve">such as </w:t>
      </w:r>
      <w:r w:rsidRPr="006D1A4A">
        <w:t>road</w:t>
      </w:r>
      <w:r>
        <w:t>s</w:t>
      </w:r>
      <w:r w:rsidRPr="006D1A4A">
        <w:t>, telecommunication and electricity, can lead to land grabbing</w:t>
      </w:r>
      <w:r>
        <w:t xml:space="preserve">, which </w:t>
      </w:r>
      <w:r w:rsidRPr="006D1A4A">
        <w:t xml:space="preserve">is explained by Zoomers </w:t>
      </w:r>
      <w:sdt>
        <w:sdtPr>
          <w:id w:val="121858893"/>
          <w:citation/>
        </w:sdtPr>
        <w:sdtContent>
          <w:r w:rsidR="00476E26">
            <w:fldChar w:fldCharType="begin"/>
          </w:r>
          <w:r w:rsidR="002B6508">
            <w:rPr>
              <w:lang w:val="en-US"/>
            </w:rPr>
            <w:instrText xml:space="preserve"> CITATION Zoo10 \n  \t  \l 1033  </w:instrText>
          </w:r>
          <w:r w:rsidR="00476E26">
            <w:fldChar w:fldCharType="separate"/>
          </w:r>
          <w:r w:rsidR="002B6508" w:rsidRPr="002B6508">
            <w:rPr>
              <w:noProof/>
              <w:lang w:val="en-US"/>
            </w:rPr>
            <w:t>(2010)</w:t>
          </w:r>
          <w:r w:rsidR="00476E26">
            <w:fldChar w:fldCharType="end"/>
          </w:r>
        </w:sdtContent>
      </w:sdt>
      <w:r>
        <w:t>, who argues</w:t>
      </w:r>
      <w:r w:rsidRPr="006D1A4A">
        <w:t xml:space="preserve"> that some countries in Asia ha</w:t>
      </w:r>
      <w:r>
        <w:t>ve</w:t>
      </w:r>
      <w:r w:rsidRPr="006D1A4A">
        <w:t xml:space="preserve"> release</w:t>
      </w:r>
      <w:r>
        <w:t>d</w:t>
      </w:r>
      <w:r w:rsidRPr="006D1A4A">
        <w:t xml:space="preserve"> areas in order to form Special Economic Zones (SEZ) and </w:t>
      </w:r>
      <w:r>
        <w:t xml:space="preserve">create </w:t>
      </w:r>
      <w:r w:rsidRPr="006D1A4A">
        <w:t>infrastructure. In practice, th</w:t>
      </w:r>
      <w:r>
        <w:t>is</w:t>
      </w:r>
      <w:r w:rsidRPr="006D1A4A">
        <w:t xml:space="preserve"> will depend on </w:t>
      </w:r>
      <w:r>
        <w:t xml:space="preserve">the </w:t>
      </w:r>
      <w:r w:rsidRPr="006D1A4A">
        <w:t>market, because the holder of this scheme is corporate cap</w:t>
      </w:r>
      <w:r w:rsidRPr="006D1A4A">
        <w:t>i</w:t>
      </w:r>
      <w:r w:rsidRPr="006D1A4A">
        <w:t xml:space="preserve">tal. Compensation has </w:t>
      </w:r>
      <w:r>
        <w:t xml:space="preserve">been </w:t>
      </w:r>
      <w:r w:rsidRPr="006D1A4A">
        <w:t>based on formal title</w:t>
      </w:r>
      <w:r>
        <w:t>s</w:t>
      </w:r>
      <w:r w:rsidRPr="006D1A4A">
        <w:t xml:space="preserve"> of land ownership. Mea</w:t>
      </w:r>
      <w:r w:rsidRPr="006D1A4A">
        <w:t>n</w:t>
      </w:r>
      <w:r w:rsidRPr="006D1A4A">
        <w:t>while, in Indonesia, land title</w:t>
      </w:r>
      <w:r>
        <w:t>s</w:t>
      </w:r>
      <w:r w:rsidRPr="006D1A4A">
        <w:t xml:space="preserve"> ha</w:t>
      </w:r>
      <w:r>
        <w:t>ve</w:t>
      </w:r>
      <w:r w:rsidRPr="006D1A4A">
        <w:t xml:space="preserve"> still been a big pro</w:t>
      </w:r>
      <w:r>
        <w:t>blem, due to a majority of land</w:t>
      </w:r>
      <w:r w:rsidRPr="006D1A4A">
        <w:t>owner</w:t>
      </w:r>
      <w:r>
        <w:t xml:space="preserve">s </w:t>
      </w:r>
      <w:r w:rsidRPr="006D1A4A">
        <w:t>not hav</w:t>
      </w:r>
      <w:r>
        <w:t>ing</w:t>
      </w:r>
      <w:r w:rsidRPr="006D1A4A">
        <w:t xml:space="preserve"> </w:t>
      </w:r>
      <w:r>
        <w:t xml:space="preserve">land </w:t>
      </w:r>
      <w:r w:rsidRPr="006D1A4A">
        <w:t>certificate</w:t>
      </w:r>
      <w:r>
        <w:t>s</w:t>
      </w:r>
      <w:r w:rsidRPr="006D1A4A">
        <w:t xml:space="preserve">. Therefore, it will </w:t>
      </w:r>
      <w:r>
        <w:t>lead to</w:t>
      </w:r>
      <w:r w:rsidRPr="006D1A4A">
        <w:t xml:space="preserve"> imbalance</w:t>
      </w:r>
      <w:r>
        <w:t>d</w:t>
      </w:r>
      <w:r w:rsidRPr="006D1A4A">
        <w:t xml:space="preserve"> land transaction</w:t>
      </w:r>
      <w:r>
        <w:t>s</w:t>
      </w:r>
      <w:r w:rsidRPr="006D1A4A">
        <w:t xml:space="preserve"> and generate ‘development-induced displacement’ </w:t>
      </w:r>
      <w:sdt>
        <w:sdtPr>
          <w:id w:val="121858894"/>
          <w:citation/>
        </w:sdtPr>
        <w:sdtContent>
          <w:r w:rsidR="00476E26">
            <w:fldChar w:fldCharType="begin"/>
          </w:r>
          <w:r w:rsidR="002B6508">
            <w:rPr>
              <w:lang w:val="en-US"/>
            </w:rPr>
            <w:instrText xml:space="preserve"> CITATION Zoo10 \l 1033 </w:instrText>
          </w:r>
          <w:r w:rsidR="00476E26">
            <w:fldChar w:fldCharType="separate"/>
          </w:r>
          <w:r w:rsidR="002B6508" w:rsidRPr="002B6508">
            <w:rPr>
              <w:noProof/>
              <w:lang w:val="en-US"/>
            </w:rPr>
            <w:t>(Zoomers, 2010)</w:t>
          </w:r>
          <w:r w:rsidR="00476E26">
            <w:fldChar w:fldCharType="end"/>
          </w:r>
        </w:sdtContent>
      </w:sdt>
      <w:r w:rsidRPr="006D1A4A">
        <w:t xml:space="preserve">. </w:t>
      </w:r>
    </w:p>
    <w:p w:rsidR="003D3378" w:rsidRDefault="003D3378" w:rsidP="003D3378">
      <w:r w:rsidRPr="006D1A4A">
        <w:t xml:space="preserve">In spite of the target of economic growth in </w:t>
      </w:r>
      <w:r>
        <w:t xml:space="preserve">the </w:t>
      </w:r>
      <w:r w:rsidRPr="006D1A4A">
        <w:t>MP3EI, it will not guara</w:t>
      </w:r>
      <w:r w:rsidRPr="006D1A4A">
        <w:t>n</w:t>
      </w:r>
      <w:r w:rsidRPr="006D1A4A">
        <w:t xml:space="preserve">tee to have equity of growth in every corridor and reflect </w:t>
      </w:r>
      <w:r>
        <w:t xml:space="preserve">in </w:t>
      </w:r>
      <w:r w:rsidRPr="006D1A4A">
        <w:t xml:space="preserve">living condition of people within a country. </w:t>
      </w:r>
      <w:r>
        <w:t>As</w:t>
      </w:r>
      <w:r w:rsidRPr="006D1A4A">
        <w:t xml:space="preserve"> the main players are corporate capital, infrastru</w:t>
      </w:r>
      <w:r w:rsidRPr="006D1A4A">
        <w:t>c</w:t>
      </w:r>
      <w:r w:rsidRPr="006D1A4A">
        <w:t>ture</w:t>
      </w:r>
      <w:r>
        <w:t xml:space="preserve"> development and other economic, in one side,</w:t>
      </w:r>
      <w:r w:rsidRPr="006D1A4A">
        <w:t xml:space="preserve"> </w:t>
      </w:r>
      <w:r>
        <w:t xml:space="preserve">will be under control and serve the corporate economic interests and </w:t>
      </w:r>
      <w:r w:rsidRPr="006D1A4A">
        <w:t xml:space="preserve">are </w:t>
      </w:r>
      <w:r>
        <w:t>likely</w:t>
      </w:r>
      <w:r w:rsidRPr="006D1A4A">
        <w:t xml:space="preserve"> to neglect people</w:t>
      </w:r>
      <w:r>
        <w:t>’s</w:t>
      </w:r>
      <w:r w:rsidRPr="006D1A4A">
        <w:t xml:space="preserve"> </w:t>
      </w:r>
      <w:r>
        <w:t xml:space="preserve">land </w:t>
      </w:r>
      <w:r w:rsidRPr="006D1A4A">
        <w:t>rights</w:t>
      </w:r>
      <w:r>
        <w:t>, at the other</w:t>
      </w:r>
      <w:r w:rsidRPr="006D1A4A">
        <w:t xml:space="preserve">. </w:t>
      </w:r>
    </w:p>
    <w:p w:rsidR="003D3378" w:rsidRDefault="003D3378" w:rsidP="003D3378">
      <w:r>
        <w:t>L</w:t>
      </w:r>
      <w:r w:rsidRPr="006D1A4A">
        <w:t>and grabbing</w:t>
      </w:r>
      <w:r>
        <w:t xml:space="preserve"> most often leads to </w:t>
      </w:r>
      <w:r w:rsidRPr="006D1A4A">
        <w:t xml:space="preserve">land concentration. When corporate capital invests, </w:t>
      </w:r>
      <w:r>
        <w:t xml:space="preserve">it </w:t>
      </w:r>
      <w:r w:rsidRPr="006D1A4A">
        <w:t>requires a large-scale land</w:t>
      </w:r>
      <w:r>
        <w:t xml:space="preserve"> and </w:t>
      </w:r>
      <w:r w:rsidRPr="006D1A4A">
        <w:t xml:space="preserve">it will impact </w:t>
      </w:r>
      <w:r>
        <w:t xml:space="preserve">on </w:t>
      </w:r>
      <w:r w:rsidRPr="006D1A4A">
        <w:t xml:space="preserve">land control. It is simply capital accumulation that tends to massively </w:t>
      </w:r>
      <w:r>
        <w:t xml:space="preserve">convert </w:t>
      </w:r>
      <w:r w:rsidRPr="006D1A4A">
        <w:t xml:space="preserve">land </w:t>
      </w:r>
      <w:r>
        <w:t>use</w:t>
      </w:r>
      <w:r w:rsidRPr="006D1A4A">
        <w:t>. Land ownership and control are concentrated in a small group of people or comp</w:t>
      </w:r>
      <w:r w:rsidRPr="006D1A4A">
        <w:t>a</w:t>
      </w:r>
      <w:r w:rsidRPr="006D1A4A">
        <w:t xml:space="preserve">nies </w:t>
      </w:r>
      <w:sdt>
        <w:sdtPr>
          <w:id w:val="121858895"/>
          <w:citation/>
        </w:sdtPr>
        <w:sdtContent>
          <w:r w:rsidR="00476E26">
            <w:fldChar w:fldCharType="begin"/>
          </w:r>
          <w:r w:rsidR="002B6508">
            <w:rPr>
              <w:lang w:val="en-US"/>
            </w:rPr>
            <w:instrText xml:space="preserve"> CITATION Fai12 \l 1033 </w:instrText>
          </w:r>
          <w:r w:rsidR="00476E26">
            <w:fldChar w:fldCharType="separate"/>
          </w:r>
          <w:r w:rsidR="002B6508" w:rsidRPr="002B6508">
            <w:rPr>
              <w:noProof/>
              <w:lang w:val="en-US"/>
            </w:rPr>
            <w:t>(Fairhead, Leach, &amp; Scoones, 2012)</w:t>
          </w:r>
          <w:r w:rsidR="00476E26">
            <w:fldChar w:fldCharType="end"/>
          </w:r>
        </w:sdtContent>
      </w:sdt>
      <w:r w:rsidRPr="006D1A4A">
        <w:t xml:space="preserve">, even more in some cases it generates </w:t>
      </w:r>
      <w:r w:rsidRPr="006D1A4A">
        <w:rPr>
          <w:i/>
        </w:rPr>
        <w:t>absenteeism</w:t>
      </w:r>
      <w:r w:rsidRPr="006D1A4A">
        <w:t>, which is land controlled by a group of people who are not phys</w:t>
      </w:r>
      <w:r w:rsidRPr="006D1A4A">
        <w:t>i</w:t>
      </w:r>
      <w:r w:rsidRPr="006D1A4A">
        <w:t xml:space="preserve">cally living in </w:t>
      </w:r>
      <w:r>
        <w:t xml:space="preserve">the </w:t>
      </w:r>
      <w:r w:rsidRPr="006D1A4A">
        <w:t>same area or do not relate directly to that land. Even though people already had (high) compensation from land transaction</w:t>
      </w:r>
      <w:r>
        <w:t>s</w:t>
      </w:r>
      <w:r w:rsidRPr="006D1A4A">
        <w:t xml:space="preserve">, they </w:t>
      </w:r>
      <w:r>
        <w:t>have</w:t>
      </w:r>
      <w:r w:rsidRPr="006D1A4A">
        <w:t xml:space="preserve"> di</w:t>
      </w:r>
      <w:r w:rsidRPr="006D1A4A">
        <w:t>f</w:t>
      </w:r>
      <w:r w:rsidRPr="006D1A4A">
        <w:t>ficult</w:t>
      </w:r>
      <w:r>
        <w:t>ies</w:t>
      </w:r>
      <w:r w:rsidRPr="006D1A4A">
        <w:t xml:space="preserve"> to access to development project </w:t>
      </w:r>
      <w:sdt>
        <w:sdtPr>
          <w:id w:val="121858896"/>
          <w:citation/>
        </w:sdtPr>
        <w:sdtContent>
          <w:r w:rsidR="00476E26">
            <w:fldChar w:fldCharType="begin"/>
          </w:r>
          <w:r w:rsidR="002B6508">
            <w:rPr>
              <w:lang w:val="en-US"/>
            </w:rPr>
            <w:instrText xml:space="preserve"> CITATION Zoo10 \l 1033 </w:instrText>
          </w:r>
          <w:r w:rsidR="00476E26">
            <w:fldChar w:fldCharType="separate"/>
          </w:r>
          <w:r w:rsidR="002B6508" w:rsidRPr="002B6508">
            <w:rPr>
              <w:noProof/>
              <w:lang w:val="en-US"/>
            </w:rPr>
            <w:t>(Zoomers, 2010)</w:t>
          </w:r>
          <w:r w:rsidR="00476E26">
            <w:fldChar w:fldCharType="end"/>
          </w:r>
        </w:sdtContent>
      </w:sdt>
      <w:r>
        <w:t xml:space="preserve">, and exclusion and/or adverse incorporation occurs </w:t>
      </w:r>
      <w:sdt>
        <w:sdtPr>
          <w:id w:val="121858897"/>
          <w:citation/>
        </w:sdtPr>
        <w:sdtContent>
          <w:r w:rsidR="00476E26">
            <w:fldChar w:fldCharType="begin"/>
          </w:r>
          <w:r w:rsidR="002B6508">
            <w:rPr>
              <w:lang w:val="en-US"/>
            </w:rPr>
            <w:instrText xml:space="preserve"> CITATION McC10 \l 1033 </w:instrText>
          </w:r>
          <w:r w:rsidR="00476E26">
            <w:fldChar w:fldCharType="separate"/>
          </w:r>
          <w:r w:rsidR="002B6508" w:rsidRPr="002B6508">
            <w:rPr>
              <w:noProof/>
              <w:lang w:val="en-US"/>
            </w:rPr>
            <w:t>(McCarthy, 2010)</w:t>
          </w:r>
          <w:r w:rsidR="00476E26">
            <w:fldChar w:fldCharType="end"/>
          </w:r>
        </w:sdtContent>
      </w:sdt>
      <w:r>
        <w:t>.</w:t>
      </w:r>
    </w:p>
    <w:p w:rsidR="003F48AB" w:rsidRDefault="003D3378" w:rsidP="003D3378">
      <w:r>
        <w:t xml:space="preserve">The State can be seen also as capitalist </w:t>
      </w:r>
      <w:r w:rsidR="00E334B5">
        <w:t>as it</w:t>
      </w:r>
      <w:r>
        <w:t xml:space="preserve"> accumulates surplus through tax collection that not aiming to pay for health, education, pensions and other social services. The tax mechanism, theoretically, should be returned mainly as infrastructure services the public then generates </w:t>
      </w:r>
      <w:r w:rsidRPr="00B10B16">
        <w:t xml:space="preserve">the next tax collection by the use of infrastructure services provided </w:t>
      </w:r>
      <w:sdt>
        <w:sdtPr>
          <w:id w:val="121858898"/>
          <w:citation/>
        </w:sdtPr>
        <w:sdtContent>
          <w:r w:rsidR="00476E26">
            <w:fldChar w:fldCharType="begin"/>
          </w:r>
          <w:r w:rsidR="002B6508">
            <w:rPr>
              <w:lang w:val="en-US"/>
            </w:rPr>
            <w:instrText xml:space="preserve"> CITATION Har10 \p 40 \l 1033  </w:instrText>
          </w:r>
          <w:r w:rsidR="00476E26">
            <w:fldChar w:fldCharType="separate"/>
          </w:r>
          <w:r w:rsidR="002B6508" w:rsidRPr="002B6508">
            <w:rPr>
              <w:noProof/>
              <w:lang w:val="en-US"/>
            </w:rPr>
            <w:t>(Harvey, 2010, p. 40)</w:t>
          </w:r>
          <w:r w:rsidR="00476E26">
            <w:fldChar w:fldCharType="end"/>
          </w:r>
        </w:sdtContent>
      </w:sdt>
      <w:r w:rsidRPr="006D1A4A">
        <w:t xml:space="preserve">. </w:t>
      </w:r>
      <w:r w:rsidRPr="00B10B16">
        <w:t xml:space="preserve">Yet within the context of </w:t>
      </w:r>
      <w:r>
        <w:t>economic corridor</w:t>
      </w:r>
      <w:r w:rsidRPr="00B10B16">
        <w:t xml:space="preserve"> policy, infrastructure </w:t>
      </w:r>
      <w:r>
        <w:t xml:space="preserve">is mainly built </w:t>
      </w:r>
      <w:r w:rsidRPr="00B10B16">
        <w:t xml:space="preserve">by private </w:t>
      </w:r>
      <w:r>
        <w:t xml:space="preserve">sectors </w:t>
      </w:r>
      <w:r w:rsidRPr="00B10B16">
        <w:t xml:space="preserve">concerned to accumulate a surplus from </w:t>
      </w:r>
      <w:r>
        <w:t>its</w:t>
      </w:r>
      <w:r w:rsidRPr="00B10B16">
        <w:t xml:space="preserve"> investments.</w:t>
      </w:r>
      <w:r>
        <w:t xml:space="preserve"> </w:t>
      </w:r>
      <w:r w:rsidRPr="00665CE8">
        <w:t xml:space="preserve">This </w:t>
      </w:r>
      <w:r>
        <w:t xml:space="preserve">condition </w:t>
      </w:r>
      <w:r w:rsidRPr="00665CE8">
        <w:t>allows the</w:t>
      </w:r>
      <w:r w:rsidR="00E334B5">
        <w:t xml:space="preserve"> continuation of the so-called “</w:t>
      </w:r>
      <w:r w:rsidRPr="00665CE8">
        <w:t xml:space="preserve">accumulation by </w:t>
      </w:r>
      <w:r>
        <w:t>dispossession”</w:t>
      </w:r>
      <w:r w:rsidRPr="00665CE8">
        <w:t xml:space="preserve"> to form a continuous power of </w:t>
      </w:r>
      <w:r>
        <w:t xml:space="preserve">capital by </w:t>
      </w:r>
      <w:r w:rsidRPr="00665CE8">
        <w:t>the state</w:t>
      </w:r>
      <w:r>
        <w:t xml:space="preserve"> </w:t>
      </w:r>
      <w:sdt>
        <w:sdtPr>
          <w:id w:val="121858899"/>
          <w:citation/>
        </w:sdtPr>
        <w:sdtContent>
          <w:r w:rsidR="00476E26">
            <w:fldChar w:fldCharType="begin"/>
          </w:r>
          <w:r w:rsidR="00A74B62">
            <w:rPr>
              <w:lang w:val="en-US"/>
            </w:rPr>
            <w:instrText xml:space="preserve"> CITATION Har10 \p 49 \t  \m Har03 \p 145-152 \n  \t  \l 1033  </w:instrText>
          </w:r>
          <w:r w:rsidR="00476E26">
            <w:fldChar w:fldCharType="separate"/>
          </w:r>
          <w:r w:rsidR="00A74B62" w:rsidRPr="00A74B62">
            <w:rPr>
              <w:noProof/>
              <w:lang w:val="en-US"/>
            </w:rPr>
            <w:t>(Harvey, 2010, p. 49; 2003, pp. 145-152)</w:t>
          </w:r>
          <w:r w:rsidR="00476E26">
            <w:fldChar w:fldCharType="end"/>
          </w:r>
        </w:sdtContent>
      </w:sdt>
      <w:r w:rsidRPr="006D1A4A">
        <w:t>.</w:t>
      </w:r>
    </w:p>
    <w:p w:rsidR="00A74B62" w:rsidRPr="00A74B62" w:rsidRDefault="00A74B62" w:rsidP="001563B8">
      <w:pPr>
        <w:pStyle w:val="Heading2"/>
        <w:numPr>
          <w:ilvl w:val="1"/>
          <w:numId w:val="35"/>
        </w:numPr>
      </w:pPr>
      <w:bookmarkStart w:id="21" w:name="_Toc335596226"/>
      <w:bookmarkStart w:id="22" w:name="_Toc335606081"/>
      <w:bookmarkStart w:id="23" w:name="_Toc340135832"/>
      <w:bookmarkStart w:id="24" w:name="_Toc340497423"/>
      <w:r w:rsidRPr="00A74B62">
        <w:t>Economic Corridor Policy within Agriculture and Rural Development Narrative</w:t>
      </w:r>
      <w:bookmarkEnd w:id="21"/>
      <w:bookmarkEnd w:id="22"/>
      <w:bookmarkEnd w:id="23"/>
      <w:bookmarkEnd w:id="24"/>
    </w:p>
    <w:p w:rsidR="00A74B62" w:rsidRPr="006D1A4A" w:rsidRDefault="00A74B62" w:rsidP="002A1327">
      <w:pPr>
        <w:ind w:firstLine="0"/>
      </w:pPr>
      <w:r>
        <w:t>O</w:t>
      </w:r>
      <w:r w:rsidRPr="008E6404">
        <w:t xml:space="preserve">n the </w:t>
      </w:r>
      <w:r w:rsidR="00362FB9">
        <w:t xml:space="preserve">MP3EI </w:t>
      </w:r>
      <w:r w:rsidRPr="008E6404">
        <w:t xml:space="preserve">implementation </w:t>
      </w:r>
      <w:r w:rsidRPr="006D1A4A">
        <w:t xml:space="preserve">(MP3EI), </w:t>
      </w:r>
      <w:r>
        <w:t xml:space="preserve">several institutions </w:t>
      </w:r>
      <w:r w:rsidRPr="008E6404">
        <w:t xml:space="preserve">have conducted </w:t>
      </w:r>
      <w:r>
        <w:t>studies</w:t>
      </w:r>
      <w:r w:rsidRPr="008E6404">
        <w:t xml:space="preserve"> that </w:t>
      </w:r>
      <w:r>
        <w:t xml:space="preserve">are </w:t>
      </w:r>
      <w:r w:rsidRPr="008E6404">
        <w:t>assessing the projections or trends that would occur</w:t>
      </w:r>
      <w:r w:rsidRPr="006D1A4A">
        <w:t xml:space="preserve">. </w:t>
      </w:r>
      <w:r>
        <w:t>For i</w:t>
      </w:r>
      <w:r>
        <w:t>n</w:t>
      </w:r>
      <w:r>
        <w:t xml:space="preserve">stance, </w:t>
      </w:r>
      <w:r w:rsidRPr="008E6404">
        <w:t>study of changes in land use due to the massive expansion of inves</w:t>
      </w:r>
      <w:r w:rsidRPr="008E6404">
        <w:t>t</w:t>
      </w:r>
      <w:r w:rsidRPr="008E6404">
        <w:t>ment in the plantation</w:t>
      </w:r>
      <w:r>
        <w:t xml:space="preserve"> and forestry</w:t>
      </w:r>
      <w:r w:rsidRPr="008E6404">
        <w:t xml:space="preserve"> sector</w:t>
      </w:r>
      <w:r w:rsidRPr="006D1A4A">
        <w:t xml:space="preserve"> </w:t>
      </w:r>
      <w:sdt>
        <w:sdtPr>
          <w:id w:val="121858903"/>
          <w:citation/>
        </w:sdtPr>
        <w:sdtContent>
          <w:r w:rsidR="00476E26">
            <w:fldChar w:fldCharType="begin"/>
          </w:r>
          <w:r>
            <w:rPr>
              <w:lang w:val="en-US"/>
            </w:rPr>
            <w:instrText xml:space="preserve"> CITATION Tau12 \l 1033 </w:instrText>
          </w:r>
          <w:r w:rsidR="00476E26">
            <w:fldChar w:fldCharType="separate"/>
          </w:r>
          <w:r w:rsidRPr="00A74B62">
            <w:rPr>
              <w:noProof/>
              <w:lang w:val="en-US"/>
            </w:rPr>
            <w:t>(Taufik, 2012)</w:t>
          </w:r>
          <w:r w:rsidR="00476E26">
            <w:fldChar w:fldCharType="end"/>
          </w:r>
        </w:sdtContent>
      </w:sdt>
      <w:r w:rsidRPr="006D1A4A">
        <w:t xml:space="preserve">, </w:t>
      </w:r>
      <w:r>
        <w:t xml:space="preserve">which is studying that </w:t>
      </w:r>
      <w:r>
        <w:lastRenderedPageBreak/>
        <w:t>this policy will not be successful without good cooperation between central and local government</w:t>
      </w:r>
      <w:r>
        <w:rPr>
          <w:rStyle w:val="FootnoteReference"/>
        </w:rPr>
        <w:footnoteReference w:id="3"/>
      </w:r>
      <w:r>
        <w:t>, including an analysis on economic calculation on growth level that will be reached</w:t>
      </w:r>
      <w:r w:rsidRPr="006D1A4A">
        <w:t>.</w:t>
      </w:r>
    </w:p>
    <w:p w:rsidR="00A74B62" w:rsidRDefault="00A74B62" w:rsidP="00A74B62">
      <w:r w:rsidRPr="001D0EAA">
        <w:t>Meanwhile, studies on land grabbing, land concentration and social excl</w:t>
      </w:r>
      <w:r w:rsidRPr="001D0EAA">
        <w:t>u</w:t>
      </w:r>
      <w:r w:rsidRPr="001D0EAA">
        <w:t xml:space="preserve">sion are </w:t>
      </w:r>
      <w:r w:rsidR="00E334B5">
        <w:t>less mentioned i</w:t>
      </w:r>
      <w:r>
        <w:t>n</w:t>
      </w:r>
      <w:r w:rsidR="00E334B5">
        <w:t xml:space="preserve"> relation to</w:t>
      </w:r>
      <w:r>
        <w:t xml:space="preserve"> the issue</w:t>
      </w:r>
      <w:r w:rsidRPr="0006297A">
        <w:t xml:space="preserve"> </w:t>
      </w:r>
      <w:r>
        <w:t xml:space="preserve">of </w:t>
      </w:r>
      <w:r w:rsidRPr="006D1A4A">
        <w:t>regional corridor develo</w:t>
      </w:r>
      <w:r w:rsidRPr="006D1A4A">
        <w:t>p</w:t>
      </w:r>
      <w:r w:rsidRPr="006D1A4A">
        <w:t xml:space="preserve">ment </w:t>
      </w:r>
      <w:r>
        <w:t>policy</w:t>
      </w:r>
      <w:r w:rsidRPr="006D1A4A">
        <w:t xml:space="preserve">. </w:t>
      </w:r>
      <w:r>
        <w:t>The newest studies on l</w:t>
      </w:r>
      <w:r w:rsidRPr="006D1A4A">
        <w:t xml:space="preserve">and </w:t>
      </w:r>
      <w:r>
        <w:t>g</w:t>
      </w:r>
      <w:r w:rsidRPr="006D1A4A">
        <w:t xml:space="preserve">rabbing </w:t>
      </w:r>
      <w:r>
        <w:t xml:space="preserve">have </w:t>
      </w:r>
      <w:r w:rsidRPr="0006297A">
        <w:t>specifically discussed the criticism o</w:t>
      </w:r>
      <w:r>
        <w:t>n</w:t>
      </w:r>
      <w:r w:rsidRPr="0006297A">
        <w:t xml:space="preserve"> the corporate land deals</w:t>
      </w:r>
      <w:r w:rsidRPr="006D1A4A">
        <w:rPr>
          <w:rStyle w:val="FootnoteReference"/>
        </w:rPr>
        <w:footnoteReference w:id="4"/>
      </w:r>
      <w:r>
        <w:t xml:space="preserve"> </w:t>
      </w:r>
      <w:r w:rsidRPr="001944C6">
        <w:t>describe</w:t>
      </w:r>
      <w:r>
        <w:t>d</w:t>
      </w:r>
      <w:r w:rsidRPr="001944C6">
        <w:t xml:space="preserve"> </w:t>
      </w:r>
      <w:r w:rsidR="00E334B5">
        <w:t xml:space="preserve">as </w:t>
      </w:r>
      <w:r w:rsidRPr="001944C6">
        <w:t>a new form of dispo</w:t>
      </w:r>
      <w:r w:rsidRPr="001944C6">
        <w:t>s</w:t>
      </w:r>
      <w:r w:rsidRPr="001944C6">
        <w:t>session, which is due to the massive infrastructure development for the esta</w:t>
      </w:r>
      <w:r w:rsidRPr="001944C6">
        <w:t>b</w:t>
      </w:r>
      <w:r w:rsidRPr="001944C6">
        <w:t xml:space="preserve">lishment of </w:t>
      </w:r>
      <w:r>
        <w:t xml:space="preserve">corridor and of </w:t>
      </w:r>
      <w:r w:rsidRPr="001944C6">
        <w:t>S</w:t>
      </w:r>
      <w:r w:rsidR="00362FB9">
        <w:t>EZ</w:t>
      </w:r>
      <w:r>
        <w:rPr>
          <w:rStyle w:val="FootnoteReference"/>
        </w:rPr>
        <w:footnoteReference w:id="5"/>
      </w:r>
      <w:r>
        <w:t xml:space="preserve"> </w:t>
      </w:r>
      <w:sdt>
        <w:sdtPr>
          <w:id w:val="121858910"/>
          <w:citation/>
        </w:sdtPr>
        <w:sdtContent>
          <w:r w:rsidR="00476E26">
            <w:fldChar w:fldCharType="begin"/>
          </w:r>
          <w:r w:rsidR="00B92024">
            <w:rPr>
              <w:lang w:val="en-US"/>
            </w:rPr>
            <w:instrText xml:space="preserve"> CITATION Ish09 \l 1033 </w:instrText>
          </w:r>
          <w:r w:rsidR="00476E26">
            <w:fldChar w:fldCharType="separate"/>
          </w:r>
          <w:r w:rsidR="00B92024" w:rsidRPr="00B92024">
            <w:rPr>
              <w:noProof/>
              <w:lang w:val="en-US"/>
            </w:rPr>
            <w:t>(Ishida, 2009)</w:t>
          </w:r>
          <w:r w:rsidR="00476E26">
            <w:fldChar w:fldCharType="end"/>
          </w:r>
        </w:sdtContent>
      </w:sdt>
      <w:r w:rsidRPr="006D1A4A">
        <w:t>.</w:t>
      </w:r>
    </w:p>
    <w:p w:rsidR="00A74B62" w:rsidRDefault="00A74B62" w:rsidP="00A74B62">
      <w:r w:rsidRPr="00F45BE0">
        <w:t>This study is therefore important because it is trying to show clearly that the policy of the economic corridor is a result of land grabbing led to land concentration and social exclusion. Furthermore, this study will look at the i</w:t>
      </w:r>
      <w:r w:rsidRPr="00F45BE0">
        <w:t>m</w:t>
      </w:r>
      <w:r w:rsidRPr="00F45BE0">
        <w:t>pact of this development strategy such as what is actually needed by the n</w:t>
      </w:r>
      <w:r w:rsidRPr="00F45BE0">
        <w:t>a</w:t>
      </w:r>
      <w:r w:rsidRPr="00F45BE0">
        <w:t>tion/country, so that the benefits are for the welfare of its people. ‘</w:t>
      </w:r>
      <w:r w:rsidRPr="00F45BE0">
        <w:rPr>
          <w:i/>
        </w:rPr>
        <w:t>Land gra</w:t>
      </w:r>
      <w:r w:rsidRPr="00F45BE0">
        <w:rPr>
          <w:i/>
        </w:rPr>
        <w:t>b</w:t>
      </w:r>
      <w:r w:rsidRPr="00F45BE0">
        <w:rPr>
          <w:i/>
        </w:rPr>
        <w:t>bing is essentially control grabbing</w:t>
      </w:r>
      <w:r w:rsidRPr="00F45BE0">
        <w:t>’</w:t>
      </w:r>
      <w:r w:rsidRPr="00F45BE0">
        <w:rPr>
          <w:noProof/>
          <w:lang w:val="en-US"/>
        </w:rPr>
        <w:t xml:space="preserve"> </w:t>
      </w:r>
      <w:sdt>
        <w:sdtPr>
          <w:rPr>
            <w:noProof/>
            <w:lang w:val="en-US"/>
          </w:rPr>
          <w:id w:val="121858911"/>
          <w:citation/>
        </w:sdtPr>
        <w:sdtContent>
          <w:r w:rsidR="00476E26">
            <w:rPr>
              <w:noProof/>
              <w:lang w:val="en-US"/>
            </w:rPr>
            <w:fldChar w:fldCharType="begin"/>
          </w:r>
          <w:r w:rsidR="00B92024">
            <w:rPr>
              <w:noProof/>
              <w:lang w:val="en-US"/>
            </w:rPr>
            <w:instrText xml:space="preserve"> CITATION Bor12 \m TNI12 \p 2 \l 1033  </w:instrText>
          </w:r>
          <w:r w:rsidR="00476E26">
            <w:rPr>
              <w:noProof/>
              <w:lang w:val="en-US"/>
            </w:rPr>
            <w:fldChar w:fldCharType="separate"/>
          </w:r>
          <w:r w:rsidR="00B92024" w:rsidRPr="00B92024">
            <w:rPr>
              <w:noProof/>
              <w:lang w:val="en-US"/>
            </w:rPr>
            <w:t>(Borras &amp; Franco, 2012; TNI, 2012, p. 2)</w:t>
          </w:r>
          <w:r w:rsidR="00476E26">
            <w:rPr>
              <w:noProof/>
              <w:lang w:val="en-US"/>
            </w:rPr>
            <w:fldChar w:fldCharType="end"/>
          </w:r>
        </w:sdtContent>
      </w:sdt>
      <w:r w:rsidRPr="00F45BE0">
        <w:t xml:space="preserve"> that has not been only deal with the extent of the lands controlled by a small group of people, but more important is how to control the production process of economic development on large-scale land. Economic corridor policy, which emphasizes strategies to improve economic growth based on the capital inte</w:t>
      </w:r>
      <w:r w:rsidRPr="00F45BE0">
        <w:t>r</w:t>
      </w:r>
      <w:r w:rsidRPr="00F45BE0">
        <w:t>est, has been essentially ignored a main target and reason of development itself: people within communities</w:t>
      </w:r>
      <w:r w:rsidR="00C90A87">
        <w:t>.</w:t>
      </w:r>
    </w:p>
    <w:p w:rsidR="00B92024" w:rsidRPr="00B92024" w:rsidRDefault="001563B8" w:rsidP="001563B8">
      <w:pPr>
        <w:pStyle w:val="Heading2"/>
      </w:pPr>
      <w:bookmarkStart w:id="25" w:name="_Toc335596227"/>
      <w:bookmarkStart w:id="26" w:name="_Toc335606082"/>
      <w:bookmarkStart w:id="27" w:name="_Toc340135833"/>
      <w:bookmarkStart w:id="28" w:name="_Toc340497424"/>
      <w:r>
        <w:t xml:space="preserve">1.2. </w:t>
      </w:r>
      <w:r w:rsidR="00B92024" w:rsidRPr="00B92024">
        <w:t>Research Problem and Objective</w:t>
      </w:r>
      <w:bookmarkEnd w:id="25"/>
      <w:bookmarkEnd w:id="26"/>
      <w:bookmarkEnd w:id="27"/>
      <w:bookmarkEnd w:id="28"/>
    </w:p>
    <w:p w:rsidR="00B92024" w:rsidRPr="00B92024" w:rsidRDefault="00B92024" w:rsidP="007D28E3">
      <w:pPr>
        <w:ind w:firstLine="0"/>
        <w:rPr>
          <w:lang w:val="en-US"/>
        </w:rPr>
      </w:pPr>
      <w:r w:rsidRPr="00B92024">
        <w:rPr>
          <w:lang w:val="en-US"/>
        </w:rPr>
        <w:t xml:space="preserve">Despite the claims of the Indonesian government of the economic corridor policy being a good strategy for rural development and economic growth, it leads to land grabbing, followed by land concentration and social </w:t>
      </w:r>
      <w:r w:rsidR="006F31AE">
        <w:rPr>
          <w:lang w:val="en-US"/>
        </w:rPr>
        <w:t>exclusion. Capital and corporations</w:t>
      </w:r>
      <w:r w:rsidRPr="00B92024">
        <w:rPr>
          <w:lang w:val="en-US"/>
        </w:rPr>
        <w:t xml:space="preserve"> take an essential role in the process of corporate land concentration, through the MP3EI policy, i.e. the power of capital with state legitimacy, possibly to transform land control into the hands of a small group. Meanwhile, </w:t>
      </w:r>
      <w:r w:rsidRPr="00B92024">
        <w:t>people are excluded from their land, including through the land transaction process, and they could be integrated into</w:t>
      </w:r>
      <w:r w:rsidRPr="00B92024">
        <w:rPr>
          <w:lang w:val="en-US"/>
        </w:rPr>
        <w:t xml:space="preserve"> particular development project or expelled from their origin area. This dynamics is the main issue in this research.</w:t>
      </w:r>
    </w:p>
    <w:p w:rsidR="00B92024" w:rsidRPr="00B92024" w:rsidRDefault="00B92024" w:rsidP="00B92024">
      <w:pPr>
        <w:rPr>
          <w:lang w:val="en-US"/>
        </w:rPr>
      </w:pPr>
      <w:r w:rsidRPr="00B92024">
        <w:rPr>
          <w:lang w:val="en-US"/>
        </w:rPr>
        <w:t xml:space="preserve">This paper is led by a main research question: </w:t>
      </w:r>
      <w:r w:rsidRPr="00B92024">
        <w:rPr>
          <w:b/>
          <w:i/>
          <w:lang w:val="en-US"/>
        </w:rPr>
        <w:t>“To what extent the cap</w:t>
      </w:r>
      <w:r w:rsidRPr="00B92024">
        <w:rPr>
          <w:b/>
          <w:i/>
          <w:lang w:val="en-US"/>
        </w:rPr>
        <w:t>i</w:t>
      </w:r>
      <w:r w:rsidRPr="00B92024">
        <w:rPr>
          <w:b/>
          <w:i/>
          <w:lang w:val="en-US"/>
        </w:rPr>
        <w:t>tal driven growth in the economic corridor policy in Indonesia lead</w:t>
      </w:r>
      <w:r w:rsidR="00E334B5">
        <w:rPr>
          <w:b/>
          <w:i/>
          <w:lang w:val="en-US"/>
        </w:rPr>
        <w:t>s</w:t>
      </w:r>
      <w:r w:rsidRPr="00B92024">
        <w:rPr>
          <w:b/>
          <w:i/>
          <w:lang w:val="en-US"/>
        </w:rPr>
        <w:t xml:space="preserve"> to land concentration and social exclusion?”</w:t>
      </w:r>
      <w:r w:rsidRPr="00B92024">
        <w:rPr>
          <w:b/>
          <w:lang w:val="en-US"/>
        </w:rPr>
        <w:t xml:space="preserve">. </w:t>
      </w:r>
      <w:r w:rsidRPr="00B92024">
        <w:rPr>
          <w:lang w:val="en-US"/>
        </w:rPr>
        <w:t>To narrow down both data co</w:t>
      </w:r>
      <w:r w:rsidRPr="00B92024">
        <w:rPr>
          <w:lang w:val="en-US"/>
        </w:rPr>
        <w:t>l</w:t>
      </w:r>
      <w:r w:rsidRPr="00B92024">
        <w:rPr>
          <w:lang w:val="en-US"/>
        </w:rPr>
        <w:t>lection and analysis, some specific questions also guide the research:</w:t>
      </w:r>
    </w:p>
    <w:p w:rsidR="00B92024" w:rsidRPr="00B92024" w:rsidRDefault="00B92024" w:rsidP="00B92024">
      <w:pPr>
        <w:numPr>
          <w:ilvl w:val="0"/>
          <w:numId w:val="34"/>
        </w:numPr>
        <w:rPr>
          <w:lang w:val="en-US"/>
        </w:rPr>
      </w:pPr>
      <w:r w:rsidRPr="00B92024">
        <w:rPr>
          <w:lang w:val="en-US"/>
        </w:rPr>
        <w:t xml:space="preserve">What is capital-driven growth and who are the actors involved? </w:t>
      </w:r>
    </w:p>
    <w:p w:rsidR="00B92024" w:rsidRPr="00B92024" w:rsidRDefault="00B92024" w:rsidP="00B92024">
      <w:pPr>
        <w:numPr>
          <w:ilvl w:val="0"/>
          <w:numId w:val="34"/>
        </w:numPr>
      </w:pPr>
      <w:r w:rsidRPr="00B92024">
        <w:rPr>
          <w:lang w:val="en-US"/>
        </w:rPr>
        <w:lastRenderedPageBreak/>
        <w:t>What is the form of land concentration resulting from economic corridor policy? Which groups are involved and with which dynamics this process is taking place?</w:t>
      </w:r>
    </w:p>
    <w:p w:rsidR="00223F53" w:rsidRPr="001563B8" w:rsidRDefault="00B92024" w:rsidP="00B92024">
      <w:pPr>
        <w:numPr>
          <w:ilvl w:val="0"/>
          <w:numId w:val="34"/>
        </w:numPr>
      </w:pPr>
      <w:r w:rsidRPr="00B92024">
        <w:rPr>
          <w:lang w:val="en-US"/>
        </w:rPr>
        <w:t>What are the factors and forms of social exclusion and/or adverse inco</w:t>
      </w:r>
      <w:r w:rsidRPr="00B92024">
        <w:rPr>
          <w:lang w:val="en-US"/>
        </w:rPr>
        <w:t>r</w:t>
      </w:r>
      <w:r w:rsidRPr="00B92024">
        <w:rPr>
          <w:lang w:val="en-US"/>
        </w:rPr>
        <w:t>poration?</w:t>
      </w:r>
    </w:p>
    <w:p w:rsidR="001563B8" w:rsidRPr="001563B8" w:rsidRDefault="001563B8" w:rsidP="001563B8">
      <w:pPr>
        <w:pStyle w:val="Heading2"/>
      </w:pPr>
      <w:bookmarkStart w:id="29" w:name="_Toc340135834"/>
      <w:bookmarkStart w:id="30" w:name="_Toc340497425"/>
      <w:r w:rsidRPr="001563B8">
        <w:t>1.3. Methodology</w:t>
      </w:r>
      <w:bookmarkEnd w:id="29"/>
      <w:bookmarkEnd w:id="30"/>
    </w:p>
    <w:p w:rsidR="001563B8" w:rsidRPr="006D1A4A" w:rsidRDefault="001563B8" w:rsidP="007D28E3">
      <w:pPr>
        <w:ind w:firstLine="0"/>
      </w:pPr>
      <w:r w:rsidRPr="006D1A4A">
        <w:t xml:space="preserve">This study will focus on the grand scheme of economic corridor policy, which leads to land grabbing, land concentration and </w:t>
      </w:r>
      <w:r>
        <w:t xml:space="preserve">social </w:t>
      </w:r>
      <w:r w:rsidRPr="006D1A4A">
        <w:t>exclusion</w:t>
      </w:r>
      <w:r>
        <w:t xml:space="preserve"> and/or adverse incorporation in Java, Indonesia.</w:t>
      </w:r>
      <w:r w:rsidRPr="006D1A4A">
        <w:t xml:space="preserve"> Instead of seeing the economic growth ta</w:t>
      </w:r>
      <w:r w:rsidRPr="006D1A4A">
        <w:t>r</w:t>
      </w:r>
      <w:r w:rsidRPr="006D1A4A">
        <w:t xml:space="preserve">geted in this scheme, this study will focus on the process of the scenario of economic corridor impact </w:t>
      </w:r>
      <w:r>
        <w:t xml:space="preserve">on </w:t>
      </w:r>
      <w:r w:rsidRPr="006D1A4A">
        <w:t xml:space="preserve">land use. A capital-driven model of economic growth includes in this scheme the symptoms of land grabbing as a process within the operation and land concentration and </w:t>
      </w:r>
      <w:r>
        <w:t xml:space="preserve">social </w:t>
      </w:r>
      <w:r w:rsidRPr="006D1A4A">
        <w:t>exclusion will be add</w:t>
      </w:r>
      <w:r w:rsidRPr="006D1A4A">
        <w:t>i</w:t>
      </w:r>
      <w:r w:rsidRPr="006D1A4A">
        <w:t xml:space="preserve">tional results. </w:t>
      </w:r>
    </w:p>
    <w:p w:rsidR="001563B8" w:rsidRPr="006D1A4A" w:rsidRDefault="001563B8" w:rsidP="001563B8">
      <w:r w:rsidRPr="006D1A4A">
        <w:t xml:space="preserve">The first part will see the relationship between economic corridors </w:t>
      </w:r>
      <w:r>
        <w:t xml:space="preserve">policy </w:t>
      </w:r>
      <w:r w:rsidRPr="006D1A4A">
        <w:t>and land grabbing phenomenon.</w:t>
      </w:r>
      <w:r>
        <w:t xml:space="preserve"> D</w:t>
      </w:r>
      <w:r w:rsidRPr="006D1A4A">
        <w:t>ue to different discourse</w:t>
      </w:r>
      <w:r w:rsidR="005E6FA8">
        <w:t>s</w:t>
      </w:r>
      <w:r w:rsidRPr="006D1A4A">
        <w:t xml:space="preserve"> and disciplines, economic corridor concepts </w:t>
      </w:r>
      <w:r w:rsidR="00E334B5">
        <w:t xml:space="preserve">are </w:t>
      </w:r>
      <w:r w:rsidRPr="006D1A4A">
        <w:t>an</w:t>
      </w:r>
      <w:r>
        <w:t>alysed within the</w:t>
      </w:r>
      <w:r w:rsidRPr="006D1A4A">
        <w:t xml:space="preserve"> economics discourse, land grabbing could be </w:t>
      </w:r>
      <w:r>
        <w:t xml:space="preserve">seen </w:t>
      </w:r>
      <w:r w:rsidRPr="006D1A4A">
        <w:t>as political science and agrarian studies discourse. However, both of them address</w:t>
      </w:r>
      <w:r>
        <w:t xml:space="preserve"> to the same object in practice</w:t>
      </w:r>
      <w:r w:rsidRPr="006D1A4A">
        <w:t xml:space="preserve">, which are land and people. Capital-driven </w:t>
      </w:r>
      <w:r>
        <w:t xml:space="preserve">growth </w:t>
      </w:r>
      <w:r w:rsidRPr="006D1A4A">
        <w:t>becomes a key critical analysis.</w:t>
      </w:r>
    </w:p>
    <w:p w:rsidR="001563B8" w:rsidRDefault="001563B8" w:rsidP="001563B8">
      <w:pPr>
        <w:pStyle w:val="Normalfirstparagraph"/>
        <w:ind w:firstLine="450"/>
      </w:pPr>
      <w:r w:rsidRPr="006D1A4A">
        <w:t>It is continued in a second part, where the capital-driven economic growth concept will be used to analyze the three –possibly unexpected- results of economic corridor policy implementation. It also search interlinked and co</w:t>
      </w:r>
      <w:r w:rsidRPr="006D1A4A">
        <w:t>r</w:t>
      </w:r>
      <w:r w:rsidRPr="006D1A4A">
        <w:t>relation between capital driven, which manifest in the building of capital ci</w:t>
      </w:r>
      <w:r w:rsidRPr="006D1A4A">
        <w:t>r</w:t>
      </w:r>
      <w:r w:rsidRPr="006D1A4A">
        <w:t>cuits in economic corridor policy, and land concentration and social exclusion conditions.</w:t>
      </w:r>
    </w:p>
    <w:p w:rsidR="001563B8" w:rsidRPr="00045BE2" w:rsidRDefault="001563B8" w:rsidP="001563B8">
      <w:pPr>
        <w:pStyle w:val="Heading3"/>
      </w:pPr>
      <w:bookmarkStart w:id="31" w:name="_Toc340135835"/>
      <w:bookmarkStart w:id="32" w:name="_Toc340497426"/>
      <w:r w:rsidRPr="006D1A4A">
        <w:t>Method of Data Collection</w:t>
      </w:r>
      <w:bookmarkEnd w:id="31"/>
      <w:bookmarkEnd w:id="32"/>
    </w:p>
    <w:p w:rsidR="001563B8" w:rsidRPr="006D1A4A" w:rsidRDefault="001563B8" w:rsidP="007D28E3">
      <w:pPr>
        <w:ind w:firstLine="0"/>
      </w:pPr>
      <w:r w:rsidRPr="006D1A4A">
        <w:t xml:space="preserve">The method in this research is qualitative. To follow the aims of this research, which are explaining </w:t>
      </w:r>
      <w:r>
        <w:t xml:space="preserve">how </w:t>
      </w:r>
      <w:r w:rsidRPr="006D1A4A">
        <w:t xml:space="preserve">capital driven </w:t>
      </w:r>
      <w:r>
        <w:t>growth</w:t>
      </w:r>
      <w:r w:rsidRPr="006D1A4A">
        <w:t xml:space="preserve">, land grabbing and </w:t>
      </w:r>
      <w:r>
        <w:t>‘</w:t>
      </w:r>
      <w:r w:rsidRPr="006D1A4A">
        <w:t>social e</w:t>
      </w:r>
      <w:r w:rsidRPr="006D1A4A">
        <w:t>x</w:t>
      </w:r>
      <w:r w:rsidRPr="006D1A4A">
        <w:t>clusion</w:t>
      </w:r>
      <w:r>
        <w:t>’</w:t>
      </w:r>
      <w:r w:rsidRPr="006D1A4A">
        <w:t xml:space="preserve">, this research </w:t>
      </w:r>
      <w:r>
        <w:t xml:space="preserve">uses, </w:t>
      </w:r>
      <w:r w:rsidRPr="006D1A4A">
        <w:t>first</w:t>
      </w:r>
      <w:r>
        <w:t>ly,</w:t>
      </w:r>
      <w:r w:rsidRPr="006D1A4A">
        <w:t xml:space="preserve"> </w:t>
      </w:r>
      <w:r>
        <w:t xml:space="preserve">a </w:t>
      </w:r>
      <w:r w:rsidRPr="006D1A4A">
        <w:t>relationship between economic corridor policy and land concentration</w:t>
      </w:r>
      <w:r>
        <w:t xml:space="preserve"> through land grabbing symptoms</w:t>
      </w:r>
      <w:r w:rsidRPr="006D1A4A">
        <w:t>; and second</w:t>
      </w:r>
      <w:r>
        <w:t>ly,</w:t>
      </w:r>
      <w:r w:rsidRPr="006D1A4A">
        <w:t xml:space="preserve"> is the dynamics of capital driven </w:t>
      </w:r>
      <w:r>
        <w:t xml:space="preserve">growth </w:t>
      </w:r>
      <w:r w:rsidRPr="006D1A4A">
        <w:t xml:space="preserve">as main factors and </w:t>
      </w:r>
      <w:r>
        <w:t>‘</w:t>
      </w:r>
      <w:r w:rsidRPr="006D1A4A">
        <w:t>social exclusion</w:t>
      </w:r>
      <w:r>
        <w:t>’</w:t>
      </w:r>
      <w:r w:rsidRPr="006D1A4A">
        <w:t xml:space="preserve"> as an impact. </w:t>
      </w:r>
    </w:p>
    <w:p w:rsidR="001563B8" w:rsidRDefault="001563B8" w:rsidP="001563B8">
      <w:r w:rsidRPr="006D1A4A">
        <w:t>The first set of data will be obtained through secondary data analysis and review. Mainly, as much as documents</w:t>
      </w:r>
      <w:r>
        <w:t xml:space="preserve"> related with economic corridor</w:t>
      </w:r>
      <w:r w:rsidRPr="006D1A4A">
        <w:t xml:space="preserve"> policy and agrarian politics and policy will be examined. For this analysis, the method of</w:t>
      </w:r>
      <w:r>
        <w:t xml:space="preserve"> (partly)</w:t>
      </w:r>
      <w:r w:rsidRPr="006D1A4A">
        <w:t xml:space="preserve"> critical discourse analysis will be essential to see the direction of d</w:t>
      </w:r>
      <w:r w:rsidRPr="006D1A4A">
        <w:t>e</w:t>
      </w:r>
      <w:r w:rsidRPr="006D1A4A">
        <w:t xml:space="preserve">velopment policy </w:t>
      </w:r>
      <w:r w:rsidR="005112CE">
        <w:t>Post-</w:t>
      </w:r>
      <w:r>
        <w:t xml:space="preserve">Suharto’s </w:t>
      </w:r>
      <w:r w:rsidRPr="006D1A4A">
        <w:t>era (1998</w:t>
      </w:r>
      <w:r>
        <w:t xml:space="preserve"> and after</w:t>
      </w:r>
      <w:r w:rsidRPr="006D1A4A">
        <w:t>). In order to have a figure of land grabbing in Indonesia, some data on this issu</w:t>
      </w:r>
      <w:r>
        <w:t>e will be collected and analysed</w:t>
      </w:r>
      <w:r w:rsidRPr="006D1A4A">
        <w:t xml:space="preserve">. It </w:t>
      </w:r>
      <w:r>
        <w:t xml:space="preserve">will be </w:t>
      </w:r>
      <w:r w:rsidRPr="006D1A4A">
        <w:t>related with the data on investment (both foreign and d</w:t>
      </w:r>
      <w:r w:rsidRPr="006D1A4A">
        <w:t>o</w:t>
      </w:r>
      <w:r w:rsidRPr="006D1A4A">
        <w:t xml:space="preserve">mestic investments) that </w:t>
      </w:r>
      <w:r>
        <w:t xml:space="preserve">are </w:t>
      </w:r>
      <w:r w:rsidRPr="006D1A4A">
        <w:t>provided by government or national NGO that concern in this issue.</w:t>
      </w:r>
    </w:p>
    <w:p w:rsidR="001563B8" w:rsidRDefault="001563B8" w:rsidP="001563B8">
      <w:r w:rsidRPr="004F1B1C">
        <w:t xml:space="preserve">The second set of data will </w:t>
      </w:r>
      <w:r>
        <w:t xml:space="preserve">include </w:t>
      </w:r>
      <w:r w:rsidRPr="004F1B1C">
        <w:t>several cases area</w:t>
      </w:r>
      <w:r>
        <w:t>s</w:t>
      </w:r>
      <w:r w:rsidRPr="004F1B1C">
        <w:t xml:space="preserve"> of study, in which capital-driven </w:t>
      </w:r>
      <w:r>
        <w:t xml:space="preserve">policies are </w:t>
      </w:r>
      <w:r w:rsidRPr="004F1B1C">
        <w:t>involve</w:t>
      </w:r>
      <w:r>
        <w:t>d</w:t>
      </w:r>
      <w:r w:rsidRPr="004F1B1C">
        <w:t>. From those specific location</w:t>
      </w:r>
      <w:r>
        <w:t>s</w:t>
      </w:r>
      <w:r w:rsidRPr="004F1B1C">
        <w:t>, this research need</w:t>
      </w:r>
      <w:r>
        <w:t>s</w:t>
      </w:r>
      <w:r w:rsidRPr="004F1B1C">
        <w:t xml:space="preserve"> to collect some information about land use change and demographic </w:t>
      </w:r>
      <w:r w:rsidRPr="004F1B1C">
        <w:lastRenderedPageBreak/>
        <w:t xml:space="preserve">dynamics, such as </w:t>
      </w:r>
      <w:r>
        <w:t xml:space="preserve">from </w:t>
      </w:r>
      <w:r w:rsidRPr="004F1B1C">
        <w:t>official document of land use/landscape change as well as land structure change.</w:t>
      </w:r>
    </w:p>
    <w:p w:rsidR="001563B8" w:rsidRPr="006D1A4A" w:rsidRDefault="001563B8" w:rsidP="001563B8">
      <w:r w:rsidRPr="006D1A4A">
        <w:t>This paper will be divided into 4 chapter</w:t>
      </w:r>
      <w:r>
        <w:t>s</w:t>
      </w:r>
      <w:r w:rsidRPr="006D1A4A">
        <w:t xml:space="preserve">; </w:t>
      </w:r>
      <w:r>
        <w:t>the f</w:t>
      </w:r>
      <w:r w:rsidRPr="006D1A4A">
        <w:t xml:space="preserve">irst chapter will provide a description of the problems of land concentration that is driven by capital (capital-driven land concentration). This part will explain a relation of capital </w:t>
      </w:r>
      <w:r>
        <w:t>circulation</w:t>
      </w:r>
      <w:r w:rsidRPr="006D1A4A">
        <w:t xml:space="preserve"> and land grabbing and the impact </w:t>
      </w:r>
      <w:r>
        <w:t xml:space="preserve">on </w:t>
      </w:r>
      <w:r w:rsidRPr="006D1A4A">
        <w:t>social exclusion in the impl</w:t>
      </w:r>
      <w:r w:rsidRPr="006D1A4A">
        <w:t>e</w:t>
      </w:r>
      <w:r w:rsidRPr="006D1A4A">
        <w:t xml:space="preserve">mentation of economic corridor policy in Indonesia. </w:t>
      </w:r>
      <w:r w:rsidR="005E6FA8">
        <w:t xml:space="preserve">In </w:t>
      </w:r>
      <w:r w:rsidRPr="006D1A4A">
        <w:t xml:space="preserve">the end of this chapter, </w:t>
      </w:r>
      <w:r>
        <w:t xml:space="preserve">there is a </w:t>
      </w:r>
      <w:r w:rsidRPr="006D1A4A">
        <w:t>briefly explanation of significance this research, research objective, methodology as well as structure of this paper are provided.</w:t>
      </w:r>
    </w:p>
    <w:p w:rsidR="001563B8" w:rsidRPr="006D1A4A" w:rsidRDefault="001563B8" w:rsidP="001563B8">
      <w:r>
        <w:t>The s</w:t>
      </w:r>
      <w:r w:rsidRPr="006D1A4A">
        <w:t>econd chapter explain</w:t>
      </w:r>
      <w:r>
        <w:t>s</w:t>
      </w:r>
      <w:r w:rsidRPr="006D1A4A">
        <w:t xml:space="preserve"> about the theory and concept of economic corridor policy and land grabbing phenomenon. Those will be connecting to the explanation of capital-driven as a main analysis in this study. This chapter also explains how Land Grabbing phenomenon leads to land concentration and impact to social exclusion in Economic Corridor Policy implementation.</w:t>
      </w:r>
    </w:p>
    <w:p w:rsidR="001563B8" w:rsidRPr="00223F53" w:rsidRDefault="005E6FA8" w:rsidP="00E334B5">
      <w:pPr>
        <w:ind w:firstLine="450"/>
      </w:pPr>
      <w:r>
        <w:t>N</w:t>
      </w:r>
      <w:r w:rsidR="001563B8">
        <w:t>arrow</w:t>
      </w:r>
      <w:r>
        <w:t>ing</w:t>
      </w:r>
      <w:r w:rsidR="001563B8">
        <w:t xml:space="preserve"> down</w:t>
      </w:r>
      <w:r w:rsidR="001563B8" w:rsidRPr="006D1A4A">
        <w:t xml:space="preserve"> those theories and concepts explained in chapter 2, chapter </w:t>
      </w:r>
      <w:r w:rsidR="001563B8">
        <w:t xml:space="preserve">three will analyse </w:t>
      </w:r>
      <w:r w:rsidR="001563B8" w:rsidRPr="006D1A4A">
        <w:t>a form and work of economic corridor policy and capital-driven on land concentration in Java, Indonesia. This chapter is su</w:t>
      </w:r>
      <w:r w:rsidR="001563B8" w:rsidRPr="006D1A4A">
        <w:t>p</w:t>
      </w:r>
      <w:r w:rsidR="001563B8" w:rsidRPr="006D1A4A">
        <w:t>ported by some relevant data and information about capital mobility and rai</w:t>
      </w:r>
      <w:r w:rsidR="001563B8" w:rsidRPr="006D1A4A">
        <w:t>s</w:t>
      </w:r>
      <w:r w:rsidR="001563B8" w:rsidRPr="006D1A4A">
        <w:t xml:space="preserve">ing some development project held by corporation that will contribute to land concentration. Some briefly cases will </w:t>
      </w:r>
      <w:r w:rsidR="001563B8">
        <w:t xml:space="preserve">be </w:t>
      </w:r>
      <w:r w:rsidR="001563B8" w:rsidRPr="006D1A4A">
        <w:t>provide</w:t>
      </w:r>
      <w:r w:rsidR="001563B8">
        <w:t>d</w:t>
      </w:r>
      <w:r w:rsidR="001563B8" w:rsidRPr="006D1A4A">
        <w:t xml:space="preserve"> to strengthen each explan</w:t>
      </w:r>
      <w:r w:rsidR="001563B8" w:rsidRPr="006D1A4A">
        <w:t>a</w:t>
      </w:r>
      <w:r w:rsidR="001563B8" w:rsidRPr="006D1A4A">
        <w:t xml:space="preserve">tion. </w:t>
      </w:r>
      <w:r w:rsidR="001563B8">
        <w:t>E</w:t>
      </w:r>
      <w:r w:rsidR="001563B8" w:rsidRPr="006D1A4A">
        <w:t xml:space="preserve">conomic corridor policy, particularly in Java is a reconsolidation </w:t>
      </w:r>
      <w:r w:rsidR="001563B8">
        <w:t xml:space="preserve">process </w:t>
      </w:r>
      <w:r w:rsidR="001563B8" w:rsidRPr="006D1A4A">
        <w:t>of some existing development projects and</w:t>
      </w:r>
      <w:r w:rsidR="001563B8">
        <w:t xml:space="preserve"> also </w:t>
      </w:r>
      <w:r w:rsidR="001563B8" w:rsidRPr="006D1A4A">
        <w:t>as a new opportunity for a number of new development projects. Due to that phenomenon, land conce</w:t>
      </w:r>
      <w:r w:rsidR="001563B8" w:rsidRPr="006D1A4A">
        <w:t>n</w:t>
      </w:r>
      <w:r w:rsidR="001563B8" w:rsidRPr="006D1A4A">
        <w:t xml:space="preserve">tration and social exclusion inevitably occur, according to </w:t>
      </w:r>
      <w:r w:rsidR="001563B8">
        <w:t>several predictions and projections, by seeing tendencies that has happened in Java,</w:t>
      </w:r>
      <w:r w:rsidR="001563B8" w:rsidRPr="006D1A4A">
        <w:t xml:space="preserve"> </w:t>
      </w:r>
      <w:r w:rsidR="001563B8">
        <w:t>such as, by examining an indication of land control trends in Java since before the ec</w:t>
      </w:r>
      <w:r w:rsidR="001563B8">
        <w:t>o</w:t>
      </w:r>
      <w:r w:rsidR="001563B8">
        <w:t>nomic corridor implemented and projection during its implementation</w:t>
      </w:r>
      <w:r w:rsidR="001563B8" w:rsidRPr="006D1A4A">
        <w:t xml:space="preserve">. </w:t>
      </w:r>
      <w:r w:rsidR="001563B8">
        <w:t>Data on labour absorption and form of appropriation are also essential to be an</w:t>
      </w:r>
      <w:r w:rsidR="001563B8">
        <w:t>a</w:t>
      </w:r>
      <w:r w:rsidR="001563B8">
        <w:t xml:space="preserve">lyzed and projected during </w:t>
      </w:r>
      <w:r w:rsidR="00362FB9">
        <w:t xml:space="preserve">MP3EI </w:t>
      </w:r>
      <w:r w:rsidR="001563B8">
        <w:t>policy implementation</w:t>
      </w:r>
      <w:r w:rsidR="00362FB9">
        <w:t xml:space="preserve"> in Java</w:t>
      </w:r>
      <w:r w:rsidR="001563B8" w:rsidRPr="006D1A4A">
        <w:t>. The last chapter</w:t>
      </w:r>
      <w:r w:rsidR="001563B8">
        <w:t xml:space="preserve"> (chapter four)</w:t>
      </w:r>
      <w:r>
        <w:t xml:space="preserve"> will draw the</w:t>
      </w:r>
      <w:r w:rsidR="001563B8" w:rsidRPr="006D1A4A">
        <w:t xml:space="preserve"> conclusion.</w:t>
      </w:r>
    </w:p>
    <w:p w:rsidR="00A73DEB" w:rsidRDefault="00A73DEB" w:rsidP="00A73DEB">
      <w:pPr>
        <w:pStyle w:val="Heading1"/>
      </w:pPr>
      <w:bookmarkStart w:id="33" w:name="_Toc340497427"/>
      <w:r w:rsidRPr="00A73DEB">
        <w:lastRenderedPageBreak/>
        <w:t>Chapter 2</w:t>
      </w:r>
      <w:r w:rsidRPr="00A73DEB">
        <w:br/>
      </w:r>
      <w:bookmarkStart w:id="34" w:name="_Toc340135836"/>
      <w:r w:rsidRPr="00A73DEB">
        <w:t>Capital Driven Economic Corridor Policy and Land Concentration</w:t>
      </w:r>
      <w:bookmarkEnd w:id="33"/>
      <w:bookmarkEnd w:id="34"/>
    </w:p>
    <w:p w:rsidR="00A73DEB" w:rsidRDefault="00A73DEB" w:rsidP="00A73DEB">
      <w:pPr>
        <w:pStyle w:val="Normalfirstparagraph"/>
        <w:rPr>
          <w:noProof/>
        </w:rPr>
      </w:pPr>
      <w:bookmarkStart w:id="35" w:name="OLE_LINK39"/>
      <w:bookmarkStart w:id="36" w:name="OLE_LINK40"/>
      <w:r w:rsidRPr="00504F22">
        <w:t>The need for economic</w:t>
      </w:r>
      <w:r w:rsidRPr="00AF529B">
        <w:t xml:space="preserve"> growth improvement meets with speculation chara</w:t>
      </w:r>
      <w:r w:rsidRPr="00AF529B">
        <w:t>c</w:t>
      </w:r>
      <w:r w:rsidRPr="00AF529B">
        <w:t>teristic</w:t>
      </w:r>
      <w:r>
        <w:t>s</w:t>
      </w:r>
      <w:r w:rsidRPr="00AF529B">
        <w:t xml:space="preserve"> of </w:t>
      </w:r>
      <w:r>
        <w:t xml:space="preserve">capitalism </w:t>
      </w:r>
      <w:r w:rsidRPr="00AF529B">
        <w:t>in an arena of policy implementation of (economic) co</w:t>
      </w:r>
      <w:r w:rsidRPr="00AF529B">
        <w:t>r</w:t>
      </w:r>
      <w:r w:rsidRPr="00AF529B">
        <w:t>ridor. Economic growth will be determined by highly production activity in various areas massively with an adequate support of infrastructure means.</w:t>
      </w:r>
      <w:r>
        <w:t xml:space="preserve"> </w:t>
      </w:r>
      <w:r w:rsidRPr="00EB6810">
        <w:t xml:space="preserve">Principally, well-developed infrastructure is the most important, due to </w:t>
      </w:r>
      <w:r>
        <w:t xml:space="preserve">a </w:t>
      </w:r>
      <w:r w:rsidRPr="00EB6810">
        <w:t>tran</w:t>
      </w:r>
      <w:r w:rsidRPr="00EB6810">
        <w:t>s</w:t>
      </w:r>
      <w:r w:rsidRPr="00EB6810">
        <w:t xml:space="preserve">action cost </w:t>
      </w:r>
      <w:r w:rsidR="009D44DB">
        <w:t xml:space="preserve">reduction </w:t>
      </w:r>
      <w:r w:rsidRPr="00EB6810">
        <w:t xml:space="preserve">in </w:t>
      </w:r>
      <w:r>
        <w:t xml:space="preserve">a </w:t>
      </w:r>
      <w:r w:rsidRPr="00EB6810">
        <w:t>production process</w:t>
      </w:r>
      <w:r>
        <w:t xml:space="preserve"> </w:t>
      </w:r>
      <w:sdt>
        <w:sdtPr>
          <w:id w:val="121859019"/>
          <w:citation/>
        </w:sdtPr>
        <w:sdtContent>
          <w:r w:rsidR="00476E26">
            <w:fldChar w:fldCharType="begin"/>
          </w:r>
          <w:r w:rsidR="005112CE">
            <w:rPr>
              <w:lang w:val="en-US"/>
            </w:rPr>
            <w:instrText xml:space="preserve"> CITATION Ell92 \l 1033  \m Sti86</w:instrText>
          </w:r>
          <w:r w:rsidR="00476E26">
            <w:fldChar w:fldCharType="separate"/>
          </w:r>
          <w:r w:rsidR="005112CE" w:rsidRPr="005112CE">
            <w:rPr>
              <w:noProof/>
              <w:lang w:val="en-US"/>
            </w:rPr>
            <w:t>(Ellis, 1992; Stiglitz, 1986)</w:t>
          </w:r>
          <w:r w:rsidR="00476E26">
            <w:fldChar w:fldCharType="end"/>
          </w:r>
        </w:sdtContent>
      </w:sdt>
      <w:r>
        <w:t>. As de</w:t>
      </w:r>
      <w:r w:rsidRPr="00A73DEB">
        <w:t>scribed by Harvey,</w:t>
      </w:r>
      <w:r>
        <w:t xml:space="preserve"> </w:t>
      </w:r>
      <w:r w:rsidRPr="00A73DEB">
        <w:t xml:space="preserve">the capitalism needs two major </w:t>
      </w:r>
      <w:r w:rsidR="009D44DB">
        <w:t xml:space="preserve">components </w:t>
      </w:r>
      <w:r w:rsidRPr="00A73DEB">
        <w:t>in order to find ‘extra means of production’: infrastructure (‘machinery and fixed capital equipment’)</w:t>
      </w:r>
      <w:r>
        <w:t xml:space="preserve"> and various forms of support for production activities (‘intermed</w:t>
      </w:r>
      <w:r>
        <w:t>i</w:t>
      </w:r>
      <w:r>
        <w:t xml:space="preserve">ate products’) </w:t>
      </w:r>
      <w:sdt>
        <w:sdtPr>
          <w:id w:val="121859020"/>
          <w:citation/>
        </w:sdtPr>
        <w:sdtContent>
          <w:r w:rsidR="00476E26">
            <w:fldChar w:fldCharType="begin"/>
          </w:r>
          <w:r w:rsidR="005112CE">
            <w:rPr>
              <w:lang w:val="en-US"/>
            </w:rPr>
            <w:instrText xml:space="preserve"> CITATION Har10 \p 66-67 \t  \l 1033  </w:instrText>
          </w:r>
          <w:r w:rsidR="00476E26">
            <w:fldChar w:fldCharType="separate"/>
          </w:r>
          <w:r w:rsidR="005112CE" w:rsidRPr="005112CE">
            <w:rPr>
              <w:noProof/>
              <w:lang w:val="en-US"/>
            </w:rPr>
            <w:t>(Harvey, 2010, pp. 66-67)</w:t>
          </w:r>
          <w:r w:rsidR="00476E26">
            <w:fldChar w:fldCharType="end"/>
          </w:r>
        </w:sdtContent>
      </w:sdt>
      <w:r>
        <w:t xml:space="preserve">. </w:t>
      </w:r>
      <w:r w:rsidRPr="000A5C99">
        <w:t>In addition, the availability of labour</w:t>
      </w:r>
      <w:r>
        <w:t xml:space="preserve"> is also important. L</w:t>
      </w:r>
      <w:r w:rsidRPr="000A5C99">
        <w:t>abour either mobilized or are available in the surrounding area will also support the process of expanding into other areas</w:t>
      </w:r>
      <w:r>
        <w:t xml:space="preserve"> </w:t>
      </w:r>
      <w:sdt>
        <w:sdtPr>
          <w:id w:val="121859021"/>
          <w:citation/>
        </w:sdtPr>
        <w:sdtContent>
          <w:r w:rsidR="00476E26">
            <w:fldChar w:fldCharType="begin"/>
          </w:r>
          <w:r w:rsidR="005112CE">
            <w:rPr>
              <w:lang w:val="en-US"/>
            </w:rPr>
            <w:instrText xml:space="preserve"> CITATION Gir87 \p 8 \l 1033  </w:instrText>
          </w:r>
          <w:r w:rsidR="00476E26">
            <w:fldChar w:fldCharType="separate"/>
          </w:r>
          <w:r w:rsidR="005112CE" w:rsidRPr="005112CE">
            <w:rPr>
              <w:noProof/>
              <w:lang w:val="en-US"/>
            </w:rPr>
            <w:t>(Girling, 1987, p. 8)</w:t>
          </w:r>
          <w:r w:rsidR="00476E26">
            <w:fldChar w:fldCharType="end"/>
          </w:r>
        </w:sdtContent>
      </w:sdt>
      <w:r>
        <w:t xml:space="preserve">. </w:t>
      </w:r>
      <w:r w:rsidRPr="00EB6810">
        <w:t>Those are needed to ensure the sustainability of capital flows, because capital itself also functions as expansion</w:t>
      </w:r>
      <w:r>
        <w:rPr>
          <w:noProof/>
        </w:rPr>
        <w:t>.</w:t>
      </w:r>
      <w:bookmarkEnd w:id="35"/>
      <w:bookmarkEnd w:id="36"/>
    </w:p>
    <w:p w:rsidR="00A73DEB" w:rsidRDefault="00A73DEB" w:rsidP="00A73DEB">
      <w:bookmarkStart w:id="37" w:name="OLE_LINK41"/>
      <w:bookmarkStart w:id="38" w:name="OLE_LINK42"/>
      <w:r w:rsidRPr="0062305E">
        <w:t xml:space="preserve">Two things that </w:t>
      </w:r>
      <w:r>
        <w:t xml:space="preserve">are </w:t>
      </w:r>
      <w:r w:rsidRPr="0062305E">
        <w:t xml:space="preserve">required and cannot be separated </w:t>
      </w:r>
      <w:r>
        <w:t xml:space="preserve">in capitalist mode of production </w:t>
      </w:r>
      <w:r w:rsidRPr="0062305E">
        <w:t>are land and labour. Strategic location for production activities as well as adequate infrastructure will require vast land and the availability of l</w:t>
      </w:r>
      <w:r w:rsidRPr="0062305E">
        <w:t>a</w:t>
      </w:r>
      <w:r w:rsidRPr="0062305E">
        <w:t>bour supply.</w:t>
      </w:r>
      <w:r>
        <w:t xml:space="preserve"> </w:t>
      </w:r>
      <w:r w:rsidRPr="0062305E">
        <w:t>Economic corridor policy become</w:t>
      </w:r>
      <w:r>
        <w:t>s</w:t>
      </w:r>
      <w:r w:rsidRPr="0062305E">
        <w:t xml:space="preserve"> an embodiment </w:t>
      </w:r>
      <w:r w:rsidR="009D44DB">
        <w:t xml:space="preserve">for the </w:t>
      </w:r>
      <w:r w:rsidRPr="0062305E">
        <w:t>e</w:t>
      </w:r>
      <w:r w:rsidRPr="0062305E">
        <w:t>f</w:t>
      </w:r>
      <w:r w:rsidRPr="0062305E">
        <w:t xml:space="preserve">forts to expand the capital circulation through </w:t>
      </w:r>
      <w:r>
        <w:t xml:space="preserve">a </w:t>
      </w:r>
      <w:r w:rsidRPr="0062305E">
        <w:t>scheme of infrastructure d</w:t>
      </w:r>
      <w:r w:rsidRPr="0062305E">
        <w:t>e</w:t>
      </w:r>
      <w:r w:rsidRPr="0062305E">
        <w:t>velopment, as well as a strategy to fulfil the need of areas</w:t>
      </w:r>
      <w:r>
        <w:t>’</w:t>
      </w:r>
      <w:r w:rsidRPr="0062305E">
        <w:t xml:space="preserve"> expansion within </w:t>
      </w:r>
      <w:r>
        <w:t xml:space="preserve">a </w:t>
      </w:r>
      <w:r w:rsidRPr="0062305E">
        <w:t>capital accumulation framework.</w:t>
      </w:r>
      <w:r>
        <w:t xml:space="preserve"> </w:t>
      </w:r>
      <w:r w:rsidRPr="00FA280A">
        <w:t>Opening new areas and connecting with one another to form a current production and distribution is a comparable scheme with capital circulation's terminology, as explained by David Harvey</w:t>
      </w:r>
      <w:r>
        <w:t xml:space="preserve"> </w:t>
      </w:r>
      <w:sdt>
        <w:sdtPr>
          <w:id w:val="121859022"/>
          <w:citation/>
        </w:sdtPr>
        <w:sdtContent>
          <w:r w:rsidR="00476E26">
            <w:fldChar w:fldCharType="begin"/>
          </w:r>
          <w:r w:rsidR="005112CE">
            <w:rPr>
              <w:lang w:val="en-US"/>
            </w:rPr>
            <w:instrText xml:space="preserve"> CITATION Har03 \n  \t  \m Har05 \n  \t  \m Har10 \n  \t  \l 1033  </w:instrText>
          </w:r>
          <w:r w:rsidR="00476E26">
            <w:fldChar w:fldCharType="separate"/>
          </w:r>
          <w:r w:rsidR="005112CE" w:rsidRPr="005112CE">
            <w:rPr>
              <w:noProof/>
              <w:lang w:val="en-US"/>
            </w:rPr>
            <w:t>(2003; 2005; 2010)</w:t>
          </w:r>
          <w:r w:rsidR="00476E26">
            <w:fldChar w:fldCharType="end"/>
          </w:r>
        </w:sdtContent>
      </w:sdt>
      <w:r w:rsidRPr="00FA280A">
        <w:t xml:space="preserve">. </w:t>
      </w:r>
      <w:r>
        <w:t xml:space="preserve">Throughout </w:t>
      </w:r>
      <w:r w:rsidRPr="00FA280A">
        <w:t>economic growth, economic corridor</w:t>
      </w:r>
      <w:r>
        <w:t>’</w:t>
      </w:r>
      <w:r w:rsidRPr="00FA280A">
        <w:t>s concepts will build an unstoppable of capital circulation through the building of economic growth circuits.</w:t>
      </w:r>
      <w:r>
        <w:t xml:space="preserve"> In this vein, the </w:t>
      </w:r>
      <w:r w:rsidRPr="00905DA4">
        <w:t xml:space="preserve">Economic Corridors deal with the Neoliberal Agrarian Restructuring (NAR) project </w:t>
      </w:r>
      <w:r>
        <w:t xml:space="preserve">as </w:t>
      </w:r>
      <w:r w:rsidRPr="00905DA4">
        <w:t xml:space="preserve">explained by Akram-Lodhi, Kay and Borras </w:t>
      </w:r>
      <w:sdt>
        <w:sdtPr>
          <w:id w:val="121859027"/>
          <w:citation/>
        </w:sdtPr>
        <w:sdtContent>
          <w:r w:rsidR="00476E26">
            <w:fldChar w:fldCharType="begin"/>
          </w:r>
          <w:r w:rsidR="005112CE">
            <w:rPr>
              <w:lang w:val="en-US"/>
            </w:rPr>
            <w:instrText xml:space="preserve"> CITATION Akr09 \p 219 \n  \t  \l 1033  </w:instrText>
          </w:r>
          <w:r w:rsidR="00476E26">
            <w:fldChar w:fldCharType="separate"/>
          </w:r>
          <w:r w:rsidR="005112CE" w:rsidRPr="005112CE">
            <w:rPr>
              <w:noProof/>
              <w:lang w:val="en-US"/>
            </w:rPr>
            <w:t>(2009, p. 219)</w:t>
          </w:r>
          <w:r w:rsidR="00476E26">
            <w:fldChar w:fldCharType="end"/>
          </w:r>
        </w:sdtContent>
      </w:sdt>
      <w:r w:rsidRPr="00905DA4">
        <w:t>.</w:t>
      </w:r>
      <w:r w:rsidR="009D44DB">
        <w:t xml:space="preserve"> The implementation of this economic corridor strategy, particularly the land use changes and the relations of production of the lands then lead to the inevitable land grabbing phenomenon</w:t>
      </w:r>
      <w:r w:rsidRPr="00FA280A">
        <w:t xml:space="preserve">. This was </w:t>
      </w:r>
      <w:r>
        <w:t xml:space="preserve">frequently </w:t>
      </w:r>
      <w:r w:rsidRPr="00FA280A">
        <w:t xml:space="preserve">followed by the involvement of local people </w:t>
      </w:r>
      <w:r>
        <w:t xml:space="preserve">that </w:t>
      </w:r>
      <w:r w:rsidRPr="00FA280A">
        <w:t>were transformed into wor</w:t>
      </w:r>
      <w:r w:rsidRPr="00FA280A">
        <w:t>k</w:t>
      </w:r>
      <w:r w:rsidRPr="00FA280A">
        <w:t xml:space="preserve">ers at project sites on a large scale, </w:t>
      </w:r>
      <w:r>
        <w:t>pos</w:t>
      </w:r>
      <w:r w:rsidR="009D44DB">
        <w:t>sibly</w:t>
      </w:r>
      <w:r>
        <w:t xml:space="preserve"> on a form of </w:t>
      </w:r>
      <w:r w:rsidRPr="00FA280A">
        <w:t>adverse incorporation</w:t>
      </w:r>
      <w:r>
        <w:t xml:space="preserve"> </w:t>
      </w:r>
      <w:sdt>
        <w:sdtPr>
          <w:id w:val="121859028"/>
          <w:citation/>
        </w:sdtPr>
        <w:sdtContent>
          <w:r w:rsidR="00476E26">
            <w:fldChar w:fldCharType="begin"/>
          </w:r>
          <w:r w:rsidR="005112CE">
            <w:rPr>
              <w:lang w:val="en-US"/>
            </w:rPr>
            <w:instrText xml:space="preserve"> CITATION McC10 \l 1033 </w:instrText>
          </w:r>
          <w:r w:rsidR="00E95F66">
            <w:rPr>
              <w:lang w:val="en-US"/>
            </w:rPr>
            <w:instrText xml:space="preserve"> \m Hic07</w:instrText>
          </w:r>
          <w:r w:rsidR="00476E26">
            <w:fldChar w:fldCharType="separate"/>
          </w:r>
          <w:r w:rsidR="00E95F66" w:rsidRPr="00E95F66">
            <w:rPr>
              <w:noProof/>
              <w:lang w:val="en-US"/>
            </w:rPr>
            <w:t>(McCarthy, 2010; Hickey &amp; du Toit, 2007)</w:t>
          </w:r>
          <w:r w:rsidR="00476E26">
            <w:fldChar w:fldCharType="end"/>
          </w:r>
        </w:sdtContent>
      </w:sdt>
      <w:r w:rsidRPr="00FA280A">
        <w:t>.</w:t>
      </w:r>
      <w:bookmarkEnd w:id="37"/>
      <w:bookmarkEnd w:id="38"/>
    </w:p>
    <w:p w:rsidR="00A73DEB" w:rsidRDefault="00A73DEB" w:rsidP="00A73DEB">
      <w:bookmarkStart w:id="39" w:name="OLE_LINK43"/>
      <w:bookmarkStart w:id="40" w:name="OLE_LINK44"/>
      <w:r w:rsidRPr="007445CC">
        <w:t>This study will show the processes of a massive influx of capital deman</w:t>
      </w:r>
      <w:r w:rsidRPr="007445CC">
        <w:t>d</w:t>
      </w:r>
      <w:r w:rsidRPr="007445CC">
        <w:t>ing adequate land area and enough</w:t>
      </w:r>
      <w:r w:rsidR="00C4426B" w:rsidRPr="007445CC">
        <w:t xml:space="preserve"> </w:t>
      </w:r>
      <w:r w:rsidRPr="007445CC">
        <w:t>labour. Java, the Indonesia's most pop</w:t>
      </w:r>
      <w:r w:rsidRPr="007445CC">
        <w:t>u</w:t>
      </w:r>
      <w:r w:rsidRPr="007445CC">
        <w:t>l</w:t>
      </w:r>
      <w:r w:rsidR="009D44DB" w:rsidRPr="007445CC">
        <w:t xml:space="preserve">ated </w:t>
      </w:r>
      <w:r w:rsidRPr="007445CC">
        <w:t>island, was chosen because it had the indications in which the owners of capital look for the availability of land and labour at once.</w:t>
      </w:r>
      <w:r w:rsidR="00C4426B" w:rsidRPr="007445CC">
        <w:t xml:space="preserve"> </w:t>
      </w:r>
      <w:r w:rsidRPr="007445CC">
        <w:t>While Java has b</w:t>
      </w:r>
      <w:r w:rsidRPr="007445CC">
        <w:t>e</w:t>
      </w:r>
      <w:r w:rsidRPr="007445CC">
        <w:t>come a major centre of economic activity in Indonesia, the policy remains a priority economic corridor in the island.</w:t>
      </w:r>
      <w:r w:rsidR="00C4426B" w:rsidRPr="007445CC">
        <w:t xml:space="preserve"> </w:t>
      </w:r>
      <w:r w:rsidRPr="007445CC">
        <w:t>It is a big question mark when co</w:t>
      </w:r>
      <w:r w:rsidRPr="007445CC">
        <w:t>n</w:t>
      </w:r>
      <w:r w:rsidRPr="007445CC">
        <w:t>necting to the economic development of Indonesia as a whole (explained fu</w:t>
      </w:r>
      <w:r w:rsidRPr="007445CC">
        <w:t>r</w:t>
      </w:r>
      <w:r w:rsidRPr="007445CC">
        <w:t>ther in chapter 3), because the other islands in Indonesia should have had more attention than Java.</w:t>
      </w:r>
      <w:r w:rsidR="00C4426B" w:rsidRPr="007445CC">
        <w:t xml:space="preserve"> </w:t>
      </w:r>
      <w:r w:rsidRPr="007445CC">
        <w:t>Here is the start of an analysis</w:t>
      </w:r>
      <w:r w:rsidR="00C4426B" w:rsidRPr="007445CC">
        <w:t xml:space="preserve"> </w:t>
      </w:r>
      <w:r w:rsidRPr="007445CC">
        <w:t>Capital-Driven Economic Corridor Policy, which will explain on the Indonesia’s MP3EI policy impl</w:t>
      </w:r>
      <w:r w:rsidRPr="007445CC">
        <w:t>e</w:t>
      </w:r>
      <w:r w:rsidRPr="007445CC">
        <w:t xml:space="preserve">mented in Java, since the policy can be said not to be motivated for economic </w:t>
      </w:r>
      <w:r w:rsidRPr="007445CC">
        <w:lastRenderedPageBreak/>
        <w:t>development for the people's welfare, but only to look for strategic locations for investment.</w:t>
      </w:r>
      <w:bookmarkEnd w:id="39"/>
      <w:bookmarkEnd w:id="40"/>
      <w:r w:rsidR="00C4426B">
        <w:t xml:space="preserve"> </w:t>
      </w:r>
    </w:p>
    <w:p w:rsidR="00A73DEB" w:rsidRDefault="00C4426B" w:rsidP="00A73DEB">
      <w:r>
        <w:t xml:space="preserve">Searching </w:t>
      </w:r>
      <w:r w:rsidRPr="00CF1AD7">
        <w:t>f</w:t>
      </w:r>
      <w:r>
        <w:t>or</w:t>
      </w:r>
      <w:r w:rsidRPr="00CF1AD7">
        <w:t xml:space="preserve"> strategic location</w:t>
      </w:r>
      <w:r>
        <w:t>s</w:t>
      </w:r>
      <w:r w:rsidRPr="00CF1AD7">
        <w:t xml:space="preserve"> will impact </w:t>
      </w:r>
      <w:r>
        <w:t xml:space="preserve">the </w:t>
      </w:r>
      <w:r w:rsidRPr="00CF1AD7">
        <w:t>practice of land grabbing. Specifically</w:t>
      </w:r>
      <w:r>
        <w:t>,</w:t>
      </w:r>
      <w:r w:rsidRPr="00CF1AD7">
        <w:t xml:space="preserve"> in Java, land grabbing is not only the land acquisition for produ</w:t>
      </w:r>
      <w:r w:rsidRPr="00CF1AD7">
        <w:t>c</w:t>
      </w:r>
      <w:r w:rsidRPr="00CF1AD7">
        <w:t>tion activities, but also for the development of infrastructure (roads, commun</w:t>
      </w:r>
      <w:r w:rsidRPr="00CF1AD7">
        <w:t>i</w:t>
      </w:r>
      <w:r w:rsidRPr="00CF1AD7">
        <w:t xml:space="preserve">cation systems and power installations). </w:t>
      </w:r>
      <w:r>
        <w:t>The f</w:t>
      </w:r>
      <w:r w:rsidRPr="00CF1AD7">
        <w:t>ocus in this paper is how infr</w:t>
      </w:r>
      <w:r w:rsidRPr="00CF1AD7">
        <w:t>a</w:t>
      </w:r>
      <w:r w:rsidRPr="00CF1AD7">
        <w:t xml:space="preserve">structure is then indirectly providing opportunities for the further practice of </w:t>
      </w:r>
      <w:r>
        <w:t xml:space="preserve">land </w:t>
      </w:r>
      <w:r w:rsidRPr="00CF1AD7">
        <w:t xml:space="preserve">grabbing in the surrounding areas. </w:t>
      </w:r>
      <w:r>
        <w:t>Development of i</w:t>
      </w:r>
      <w:r w:rsidRPr="00CF1AD7">
        <w:t>nfrastructure</w:t>
      </w:r>
      <w:r>
        <w:t xml:space="preserve">s – at least on the fixed state’s plans – </w:t>
      </w:r>
      <w:r w:rsidRPr="00CF1AD7">
        <w:t xml:space="preserve">will </w:t>
      </w:r>
      <w:r>
        <w:t xml:space="preserve">be a requirement of business groups when they invited to invest in an area (or country) in order to stimulate the economic growth. Then, development of infrastructures itself can be an object for private investment. In its turn, development of infrastructures will </w:t>
      </w:r>
      <w:r w:rsidRPr="00CF1AD7">
        <w:t>attract more inve</w:t>
      </w:r>
      <w:r w:rsidRPr="00CF1AD7">
        <w:t>s</w:t>
      </w:r>
      <w:r w:rsidRPr="00CF1AD7">
        <w:t>tors to invest their capital with new land transactions. The rise of the land transaction</w:t>
      </w:r>
      <w:r>
        <w:t>s</w:t>
      </w:r>
      <w:r w:rsidRPr="00CF1AD7">
        <w:t xml:space="preserve"> would </w:t>
      </w:r>
      <w:r>
        <w:t xml:space="preserve">most likely </w:t>
      </w:r>
      <w:r w:rsidRPr="00CF1AD7">
        <w:t>then lead to land concentrations in a small group of entrepreneurs.</w:t>
      </w:r>
    </w:p>
    <w:p w:rsidR="002D7117" w:rsidRPr="002D7117" w:rsidRDefault="002D7117" w:rsidP="002D7117">
      <w:bookmarkStart w:id="41" w:name="OLE_LINK45"/>
      <w:bookmarkStart w:id="42" w:name="OLE_LINK46"/>
      <w:r w:rsidRPr="002D7117">
        <w:t>Compensation schemes prepared for the people around will give local people the opportunity to be involved in development projects. Surely, this will be related to their ability and capacity. The concerns are the levels of education and expertise, which are insufficient to meet the criteria to be acceptable in production activities that use high technology. The level of education and e</w:t>
      </w:r>
      <w:r w:rsidRPr="002D7117">
        <w:t>x</w:t>
      </w:r>
      <w:r w:rsidRPr="002D7117">
        <w:t xml:space="preserve">pertise can be a bottleneck, </w:t>
      </w:r>
      <w:r w:rsidR="009D44DB">
        <w:t>that what people gain is a non comparable to what have been taken away from them</w:t>
      </w:r>
      <w:r w:rsidRPr="002D7117">
        <w:t xml:space="preserve">, namely control over a plot of land or their previous livelihood in a small farming sector. Rapid flow of capital into their territory, </w:t>
      </w:r>
      <w:r w:rsidR="009D44DB">
        <w:t xml:space="preserve">forcedly derive them </w:t>
      </w:r>
      <w:r w:rsidRPr="002D7117">
        <w:t>to have no choice but to be involved in</w:t>
      </w:r>
      <w:r w:rsidR="00526EAA">
        <w:t xml:space="preserve"> such scheme</w:t>
      </w:r>
      <w:r w:rsidRPr="002D7117">
        <w:t xml:space="preserve"> even though </w:t>
      </w:r>
      <w:r w:rsidR="00526EAA">
        <w:t>with a very small revenue</w:t>
      </w:r>
      <w:r w:rsidRPr="002D7117">
        <w:t>.</w:t>
      </w:r>
      <w:bookmarkEnd w:id="41"/>
      <w:bookmarkEnd w:id="42"/>
    </w:p>
    <w:p w:rsidR="00C4426B" w:rsidRDefault="00526EAA" w:rsidP="00A73DEB">
      <w:bookmarkStart w:id="43" w:name="OLE_LINK47"/>
      <w:bookmarkStart w:id="44" w:name="OLE_LINK48"/>
      <w:r>
        <w:t>Essentially</w:t>
      </w:r>
      <w:r w:rsidR="002D7117" w:rsidRPr="00207544">
        <w:t>, the practice of economic development in Java will show how capital-driven economic corridor</w:t>
      </w:r>
      <w:r w:rsidR="002D7117">
        <w:t>s work</w:t>
      </w:r>
      <w:r w:rsidR="002D7117" w:rsidRPr="00207544">
        <w:t xml:space="preserve"> </w:t>
      </w:r>
      <w:r>
        <w:t xml:space="preserve">and </w:t>
      </w:r>
      <w:r w:rsidR="002D7117" w:rsidRPr="00207544">
        <w:t xml:space="preserve">that is not intended solely for </w:t>
      </w:r>
      <w:r w:rsidR="002D7117">
        <w:t>‘</w:t>
      </w:r>
      <w:r w:rsidR="002D7117" w:rsidRPr="00207544">
        <w:t>n</w:t>
      </w:r>
      <w:r w:rsidR="002D7117" w:rsidRPr="00207544">
        <w:t>a</w:t>
      </w:r>
      <w:r w:rsidR="002D7117" w:rsidRPr="00207544">
        <w:t>tional economic development</w:t>
      </w:r>
      <w:r w:rsidR="002D7117">
        <w:t xml:space="preserve">’ interest </w:t>
      </w:r>
      <w:r w:rsidR="002D7117" w:rsidRPr="00207544">
        <w:t xml:space="preserve">but rather the formation new spaces for capital to generate </w:t>
      </w:r>
      <w:r w:rsidR="002D7117">
        <w:t xml:space="preserve">a </w:t>
      </w:r>
      <w:r w:rsidR="002D7117" w:rsidRPr="00207544">
        <w:t>new surplus.</w:t>
      </w:r>
      <w:r w:rsidR="002D7117">
        <w:t xml:space="preserve"> </w:t>
      </w:r>
      <w:r w:rsidR="002D7117" w:rsidRPr="00207544">
        <w:t>In practice</w:t>
      </w:r>
      <w:r w:rsidR="002D7117">
        <w:t>,</w:t>
      </w:r>
      <w:r w:rsidR="002D7117" w:rsidRPr="00207544">
        <w:t xml:space="preserve"> it will impact </w:t>
      </w:r>
      <w:r w:rsidR="002D7117">
        <w:t xml:space="preserve">into </w:t>
      </w:r>
      <w:r w:rsidR="002D7117" w:rsidRPr="00207544">
        <w:t>massive land grabbing practices leading to land concentration</w:t>
      </w:r>
      <w:r w:rsidR="002D7117">
        <w:t>,</w:t>
      </w:r>
      <w:r w:rsidR="002D7117" w:rsidRPr="00207544">
        <w:t xml:space="preserve"> and </w:t>
      </w:r>
      <w:r w:rsidR="002D7117">
        <w:t xml:space="preserve">a </w:t>
      </w:r>
      <w:r w:rsidR="002D7117" w:rsidRPr="00207544">
        <w:t>surrounding comm</w:t>
      </w:r>
      <w:r w:rsidR="002D7117" w:rsidRPr="00207544">
        <w:t>u</w:t>
      </w:r>
      <w:r w:rsidR="002D7117" w:rsidRPr="00207544">
        <w:t xml:space="preserve">nity </w:t>
      </w:r>
      <w:r w:rsidR="002D7117">
        <w:t>integrate</w:t>
      </w:r>
      <w:r w:rsidR="00C90A87">
        <w:t>s</w:t>
      </w:r>
      <w:r w:rsidR="002D7117">
        <w:t xml:space="preserve"> into </w:t>
      </w:r>
      <w:r w:rsidR="002D7117" w:rsidRPr="00207544">
        <w:t xml:space="preserve">existing </w:t>
      </w:r>
      <w:r w:rsidR="002D7117">
        <w:t xml:space="preserve">extensive </w:t>
      </w:r>
      <w:r w:rsidR="002D7117" w:rsidRPr="00207544">
        <w:t>production</w:t>
      </w:r>
      <w:r w:rsidR="002D7117">
        <w:t xml:space="preserve"> activities</w:t>
      </w:r>
      <w:r w:rsidR="002D7117" w:rsidRPr="00207544">
        <w:t>.</w:t>
      </w:r>
      <w:r w:rsidR="002D7117">
        <w:t xml:space="preserve"> The rest of this chapter will describe, firstly, theory and concept of the economic corridor as well as its implementation; secondly</w:t>
      </w:r>
      <w:r w:rsidR="002D7117" w:rsidRPr="00EA309A">
        <w:t xml:space="preserve"> is the concept of land grabbing practices leading to land concentration and the process of integrating the local comm</w:t>
      </w:r>
      <w:r w:rsidR="002D7117" w:rsidRPr="00EA309A">
        <w:t>u</w:t>
      </w:r>
      <w:r w:rsidR="002D7117" w:rsidRPr="00EA309A">
        <w:t>nity to be a part in the pr</w:t>
      </w:r>
      <w:r w:rsidR="002D7117">
        <w:t>ocess of large-scale production (adverse incorporation as part of social exclusion).</w:t>
      </w:r>
      <w:bookmarkEnd w:id="43"/>
      <w:bookmarkEnd w:id="44"/>
    </w:p>
    <w:p w:rsidR="002D7117" w:rsidRPr="00A73DEB" w:rsidRDefault="002D7117" w:rsidP="002D7117">
      <w:pPr>
        <w:pStyle w:val="Heading2"/>
      </w:pPr>
      <w:bookmarkStart w:id="45" w:name="_Toc340135837"/>
      <w:bookmarkStart w:id="46" w:name="_Toc340497428"/>
      <w:r>
        <w:rPr>
          <w:lang w:val="en-US"/>
        </w:rPr>
        <w:t xml:space="preserve">2.1. </w:t>
      </w:r>
      <w:r w:rsidRPr="005E0977">
        <w:rPr>
          <w:lang w:val="en-US"/>
        </w:rPr>
        <w:t>Economic Corridor (Policy)</w:t>
      </w:r>
      <w:bookmarkEnd w:id="45"/>
      <w:bookmarkEnd w:id="46"/>
    </w:p>
    <w:p w:rsidR="002D7117" w:rsidRDefault="002D7117" w:rsidP="002D7117">
      <w:pPr>
        <w:pStyle w:val="Heading3"/>
      </w:pPr>
      <w:bookmarkStart w:id="47" w:name="_Toc340135838"/>
      <w:bookmarkStart w:id="48" w:name="_Toc340497429"/>
      <w:r>
        <w:t>Theory and C</w:t>
      </w:r>
      <w:r w:rsidRPr="00F6163B">
        <w:t>oncept</w:t>
      </w:r>
      <w:bookmarkEnd w:id="47"/>
      <w:bookmarkEnd w:id="48"/>
      <w:r>
        <w:t xml:space="preserve"> </w:t>
      </w:r>
    </w:p>
    <w:p w:rsidR="00287BD1" w:rsidRDefault="002D7117" w:rsidP="007D28E3">
      <w:pPr>
        <w:ind w:firstLine="0"/>
      </w:pPr>
      <w:r w:rsidRPr="002D7117">
        <w:t>Economic Corridor is a major step forming part of the regional corridors, which are intended to strengthen cooperation among countries in one partic</w:t>
      </w:r>
      <w:r w:rsidRPr="002D7117">
        <w:t>u</w:t>
      </w:r>
      <w:r w:rsidRPr="002D7117">
        <w:t>lar region.  In essence, the word 'corridor' is the keyword that was then tran</w:t>
      </w:r>
      <w:r w:rsidRPr="002D7117">
        <w:t>s</w:t>
      </w:r>
      <w:r w:rsidRPr="002D7117">
        <w:t>lated in accordance with the priority needs in each country. In accordance with the concept of 'the economic geographic' in which each country would esta</w:t>
      </w:r>
      <w:r w:rsidRPr="002D7117">
        <w:t>b</w:t>
      </w:r>
      <w:r w:rsidRPr="002D7117">
        <w:t>lish policies based on their function and purpose of existing conditions</w:t>
      </w:r>
      <w:r w:rsidR="00287BD1">
        <w:t xml:space="preserve"> </w:t>
      </w:r>
      <w:sdt>
        <w:sdtPr>
          <w:id w:val="121859029"/>
          <w:citation/>
        </w:sdtPr>
        <w:sdtContent>
          <w:r w:rsidR="00476E26">
            <w:fldChar w:fldCharType="begin"/>
          </w:r>
          <w:r w:rsidR="00E95F66">
            <w:rPr>
              <w:lang w:val="en-US"/>
            </w:rPr>
            <w:instrText xml:space="preserve"> CITATION Iso10 \p 334 \l 1033  </w:instrText>
          </w:r>
          <w:r w:rsidR="00476E26">
            <w:fldChar w:fldCharType="separate"/>
          </w:r>
          <w:r w:rsidR="00E95F66" w:rsidRPr="00E95F66">
            <w:rPr>
              <w:noProof/>
              <w:lang w:val="en-US"/>
            </w:rPr>
            <w:t>(Isono, 2010, p. 334)</w:t>
          </w:r>
          <w:r w:rsidR="00476E26">
            <w:fldChar w:fldCharType="end"/>
          </w:r>
        </w:sdtContent>
      </w:sdt>
      <w:r w:rsidRPr="002D7117">
        <w:t>, therefore its implementation requires a different way as a means to achieve the goals of each country</w:t>
      </w:r>
      <w:r w:rsidR="00287BD1">
        <w:t xml:space="preserve"> </w:t>
      </w:r>
      <w:sdt>
        <w:sdtPr>
          <w:id w:val="121859030"/>
          <w:citation/>
        </w:sdtPr>
        <w:sdtContent>
          <w:r w:rsidR="00476E26">
            <w:fldChar w:fldCharType="begin"/>
          </w:r>
          <w:r w:rsidR="00E95F66">
            <w:rPr>
              <w:lang w:val="en-US"/>
            </w:rPr>
            <w:instrText xml:space="preserve"> CITATION Cha03 \l 1033 </w:instrText>
          </w:r>
          <w:r w:rsidR="00476E26">
            <w:fldChar w:fldCharType="separate"/>
          </w:r>
          <w:r w:rsidR="00E95F66" w:rsidRPr="00E95F66">
            <w:rPr>
              <w:noProof/>
              <w:lang w:val="en-US"/>
            </w:rPr>
            <w:t xml:space="preserve">(Chapman, Pratt, Larkham, &amp; Dickins, </w:t>
          </w:r>
          <w:r w:rsidR="00E95F66" w:rsidRPr="00E95F66">
            <w:rPr>
              <w:noProof/>
              <w:lang w:val="en-US"/>
            </w:rPr>
            <w:lastRenderedPageBreak/>
            <w:t>2003)</w:t>
          </w:r>
          <w:r w:rsidR="00476E26">
            <w:fldChar w:fldCharType="end"/>
          </w:r>
        </w:sdtContent>
      </w:sdt>
      <w:r w:rsidRPr="002D7117">
        <w:t xml:space="preserve">. At least, there are three things to understand the concept of 'corridor' here. </w:t>
      </w:r>
      <w:r w:rsidRPr="002D7117">
        <w:rPr>
          <w:i/>
        </w:rPr>
        <w:t>Firstly</w:t>
      </w:r>
      <w:r w:rsidRPr="002D7117">
        <w:t>, to set the infrastructure to connect the areas that have been deve</w:t>
      </w:r>
      <w:r w:rsidRPr="002D7117">
        <w:t>l</w:t>
      </w:r>
      <w:r w:rsidRPr="002D7117">
        <w:t xml:space="preserve">oped </w:t>
      </w:r>
      <w:sdt>
        <w:sdtPr>
          <w:id w:val="121859031"/>
          <w:citation/>
        </w:sdtPr>
        <w:sdtContent>
          <w:r w:rsidR="00476E26">
            <w:fldChar w:fldCharType="begin"/>
          </w:r>
          <w:r w:rsidR="00E95F66">
            <w:rPr>
              <w:lang w:val="en-US"/>
            </w:rPr>
            <w:instrText xml:space="preserve"> CITATION McE \l 1033 </w:instrText>
          </w:r>
          <w:r w:rsidR="00476E26">
            <w:fldChar w:fldCharType="separate"/>
          </w:r>
          <w:r w:rsidR="00E95F66" w:rsidRPr="00E95F66">
            <w:rPr>
              <w:noProof/>
              <w:lang w:val="en-US"/>
            </w:rPr>
            <w:t>(McEldowney &amp; O'Connel, N/A)</w:t>
          </w:r>
          <w:r w:rsidR="00476E26">
            <w:fldChar w:fldCharType="end"/>
          </w:r>
        </w:sdtContent>
      </w:sdt>
      <w:r w:rsidRPr="002D7117">
        <w:t xml:space="preserve"> and also the area that ha</w:t>
      </w:r>
      <w:r w:rsidR="00E334B5">
        <w:t>s</w:t>
      </w:r>
      <w:r w:rsidRPr="002D7117">
        <w:t xml:space="preserve"> been pr</w:t>
      </w:r>
      <w:r w:rsidRPr="002D7117">
        <w:t>o</w:t>
      </w:r>
      <w:r w:rsidRPr="002D7117">
        <w:t xml:space="preserve">jected to be built </w:t>
      </w:r>
      <w:sdt>
        <w:sdtPr>
          <w:id w:val="121859032"/>
          <w:citation/>
        </w:sdtPr>
        <w:sdtContent>
          <w:r w:rsidR="00476E26">
            <w:fldChar w:fldCharType="begin"/>
          </w:r>
          <w:r w:rsidR="00E95F66">
            <w:rPr>
              <w:lang w:val="en-US"/>
            </w:rPr>
            <w:instrText xml:space="preserve"> CITATION Mar \l 1033  \m Cha03</w:instrText>
          </w:r>
          <w:r w:rsidR="00476E26">
            <w:fldChar w:fldCharType="separate"/>
          </w:r>
          <w:r w:rsidR="00E95F66" w:rsidRPr="00E95F66">
            <w:rPr>
              <w:noProof/>
              <w:lang w:val="en-US"/>
            </w:rPr>
            <w:t>(Marrian, N/A; Chapman, Pratt, Larkham, &amp; Dickins, 2003)</w:t>
          </w:r>
          <w:r w:rsidR="00476E26">
            <w:fldChar w:fldCharType="end"/>
          </w:r>
        </w:sdtContent>
      </w:sdt>
      <w:r w:rsidRPr="002D7117">
        <w:t>. S</w:t>
      </w:r>
      <w:r w:rsidRPr="002D7117">
        <w:rPr>
          <w:i/>
        </w:rPr>
        <w:t>econdly</w:t>
      </w:r>
      <w:r w:rsidRPr="002D7117">
        <w:t>, to construct various areas with their respective objectives and special</w:t>
      </w:r>
      <w:r w:rsidRPr="002D7117">
        <w:t>i</w:t>
      </w:r>
      <w:r w:rsidRPr="002D7117">
        <w:t xml:space="preserve">zation, according to its condition and potential </w:t>
      </w:r>
      <w:sdt>
        <w:sdtPr>
          <w:id w:val="121859033"/>
          <w:citation/>
        </w:sdtPr>
        <w:sdtContent>
          <w:r w:rsidR="00476E26">
            <w:fldChar w:fldCharType="begin"/>
          </w:r>
          <w:r w:rsidR="00E95F66">
            <w:rPr>
              <w:lang w:val="en-US"/>
            </w:rPr>
            <w:instrText xml:space="preserve"> CITATION Cha03 \l 1033  \m Ben</w:instrText>
          </w:r>
          <w:r w:rsidR="00476E26">
            <w:fldChar w:fldCharType="separate"/>
          </w:r>
          <w:r w:rsidR="00E95F66" w:rsidRPr="00E95F66">
            <w:rPr>
              <w:noProof/>
              <w:lang w:val="en-US"/>
            </w:rPr>
            <w:t>(Chapman, Pratt, Larkham, &amp; Dickins, 2003; Bender, 2001)</w:t>
          </w:r>
          <w:r w:rsidR="00476E26">
            <w:fldChar w:fldCharType="end"/>
          </w:r>
        </w:sdtContent>
      </w:sdt>
      <w:r w:rsidRPr="002D7117">
        <w:t xml:space="preserve">. </w:t>
      </w:r>
      <w:r w:rsidRPr="002D7117">
        <w:rPr>
          <w:i/>
        </w:rPr>
        <w:t>Thirdly</w:t>
      </w:r>
      <w:r w:rsidRPr="002D7117">
        <w:t xml:space="preserve">, </w:t>
      </w:r>
      <w:r w:rsidR="00526EAA">
        <w:t xml:space="preserve">corridor is </w:t>
      </w:r>
      <w:r w:rsidRPr="002D7117">
        <w:t xml:space="preserve">to accelerate the development process and to increase the rate of growth and to expand employment </w:t>
      </w:r>
      <w:sdt>
        <w:sdtPr>
          <w:id w:val="121859034"/>
          <w:citation/>
        </w:sdtPr>
        <w:sdtContent>
          <w:r w:rsidR="00476E26">
            <w:fldChar w:fldCharType="begin"/>
          </w:r>
          <w:r w:rsidR="00E95F66">
            <w:rPr>
              <w:lang w:val="en-US"/>
            </w:rPr>
            <w:instrText xml:space="preserve"> CITATION Nev06 \m AGI00 \p 2 \l 1033   \m McE</w:instrText>
          </w:r>
          <w:r w:rsidR="00476E26">
            <w:fldChar w:fldCharType="separate"/>
          </w:r>
          <w:r w:rsidR="00E95F66" w:rsidRPr="00E95F66">
            <w:rPr>
              <w:noProof/>
              <w:lang w:val="en-US"/>
            </w:rPr>
            <w:t>(Nevin, 2006; AGIL, 2000, p. 2; McEldowney &amp; O'Connel, N/A)</w:t>
          </w:r>
          <w:r w:rsidR="00476E26">
            <w:fldChar w:fldCharType="end"/>
          </w:r>
        </w:sdtContent>
      </w:sdt>
      <w:r w:rsidRPr="002D7117">
        <w:t>.The ultimate goal is to develop economic activity in areas that have potential and can support ec</w:t>
      </w:r>
      <w:r w:rsidRPr="002D7117">
        <w:t>o</w:t>
      </w:r>
      <w:r w:rsidRPr="002D7117">
        <w:t>nomic growth at national level. To meet these objectives, then it becomes i</w:t>
      </w:r>
      <w:r w:rsidRPr="002D7117">
        <w:t>m</w:t>
      </w:r>
      <w:r w:rsidRPr="002D7117">
        <w:t>portant to develop a remote area that has the potential to be developed, and facilitate the movement of goods, capital and people as a means of main su</w:t>
      </w:r>
      <w:r w:rsidRPr="002D7117">
        <w:t>p</w:t>
      </w:r>
      <w:r w:rsidRPr="002D7117">
        <w:t>porting. In the implementation of a corridor policy, infrastructure development is the main foundation; both means of transportation (land, sea and air) and telecommunications infrastructure.</w:t>
      </w:r>
    </w:p>
    <w:p w:rsidR="00287BD1" w:rsidRDefault="00287BD1" w:rsidP="002D7117">
      <w:r w:rsidRPr="00287BD1">
        <w:t xml:space="preserve">Infrastructure development connects areas that have grown economically and that still need to be given economic development attention. In particular, the areas that are less populated and populated ones, as experienced in South Africa and Mozambique (Maputo corridor), the government have build a direct road between two regions </w:t>
      </w:r>
      <w:sdt>
        <w:sdtPr>
          <w:id w:val="121859037"/>
          <w:citation/>
        </w:sdtPr>
        <w:sdtContent>
          <w:r w:rsidR="00476E26">
            <w:fldChar w:fldCharType="begin"/>
          </w:r>
          <w:r w:rsidR="00E95F66">
            <w:rPr>
              <w:lang w:val="en-US"/>
            </w:rPr>
            <w:instrText xml:space="preserve"> CITATION Mar \l 1033  \m Nev06</w:instrText>
          </w:r>
          <w:r w:rsidR="00476E26">
            <w:fldChar w:fldCharType="separate"/>
          </w:r>
          <w:r w:rsidR="00E95F66" w:rsidRPr="00E95F66">
            <w:rPr>
              <w:noProof/>
              <w:lang w:val="en-US"/>
            </w:rPr>
            <w:t>(Marrian, N/A; Nevin, 2006)</w:t>
          </w:r>
          <w:r w:rsidR="00476E26">
            <w:fldChar w:fldCharType="end"/>
          </w:r>
        </w:sdtContent>
      </w:sdt>
      <w:r w:rsidRPr="00287BD1">
        <w:t>;</w:t>
      </w:r>
      <w:r w:rsidR="00E95F66">
        <w:t xml:space="preserve"> </w:t>
      </w:r>
      <w:r w:rsidRPr="00287BD1">
        <w:t>while in the UK was built an integrated transportation system in the UK’s region to enable an equ</w:t>
      </w:r>
      <w:r w:rsidRPr="00287BD1">
        <w:t>i</w:t>
      </w:r>
      <w:r w:rsidRPr="00287BD1">
        <w:t>table distribution of economic activity growth</w:t>
      </w:r>
      <w:r w:rsidR="00E95F66">
        <w:t xml:space="preserve"> </w:t>
      </w:r>
      <w:sdt>
        <w:sdtPr>
          <w:id w:val="121859038"/>
          <w:citation/>
        </w:sdtPr>
        <w:sdtContent>
          <w:r w:rsidR="00476E26">
            <w:fldChar w:fldCharType="begin"/>
          </w:r>
          <w:r w:rsidR="00E95F66">
            <w:rPr>
              <w:lang w:val="en-US"/>
            </w:rPr>
            <w:instrText xml:space="preserve"> CITATION Cha03 \l 1033 </w:instrText>
          </w:r>
          <w:r w:rsidR="00476E26">
            <w:fldChar w:fldCharType="separate"/>
          </w:r>
          <w:r w:rsidR="00E95F66" w:rsidRPr="00E95F66">
            <w:rPr>
              <w:noProof/>
              <w:lang w:val="en-US"/>
            </w:rPr>
            <w:t>(Chapman, Pratt, Larkham, &amp; Dickins, 2003)</w:t>
          </w:r>
          <w:r w:rsidR="00476E26">
            <w:fldChar w:fldCharType="end"/>
          </w:r>
        </w:sdtContent>
      </w:sdt>
      <w:r w:rsidRPr="00287BD1">
        <w:rPr>
          <w:vertAlign w:val="superscript"/>
        </w:rPr>
        <w:footnoteReference w:id="6"/>
      </w:r>
      <w:r w:rsidRPr="00287BD1">
        <w:t>. In Indonesia where the economic corridor policy that effe</w:t>
      </w:r>
      <w:r w:rsidRPr="00287BD1">
        <w:t>c</w:t>
      </w:r>
      <w:r w:rsidRPr="00287BD1">
        <w:t>tively has started in 2011</w:t>
      </w:r>
      <w:r>
        <w:rPr>
          <w:rStyle w:val="FootnoteReference"/>
        </w:rPr>
        <w:footnoteReference w:id="7"/>
      </w:r>
      <w:r w:rsidRPr="00287BD1">
        <w:t>,</w:t>
      </w:r>
      <w:r>
        <w:t xml:space="preserve"> </w:t>
      </w:r>
      <w:r w:rsidRPr="00287BD1">
        <w:t>it requires development of infrastructure, both roads and communications infrastructure in the six main islands and between the i</w:t>
      </w:r>
      <w:r w:rsidRPr="00287BD1">
        <w:t>s</w:t>
      </w:r>
      <w:r w:rsidRPr="00287BD1">
        <w:t xml:space="preserve">lands </w:t>
      </w:r>
      <w:sdt>
        <w:sdtPr>
          <w:id w:val="121859039"/>
          <w:citation/>
        </w:sdtPr>
        <w:sdtContent>
          <w:r w:rsidR="00476E26">
            <w:fldChar w:fldCharType="begin"/>
          </w:r>
          <w:r w:rsidR="00E95F66">
            <w:rPr>
              <w:lang w:val="en-US"/>
            </w:rPr>
            <w:instrText xml:space="preserve"> CITATION Coo11 \l 1033 </w:instrText>
          </w:r>
          <w:r w:rsidR="00476E26">
            <w:fldChar w:fldCharType="separate"/>
          </w:r>
          <w:r w:rsidR="00E95F66" w:rsidRPr="00E95F66">
            <w:rPr>
              <w:noProof/>
              <w:lang w:val="en-US"/>
            </w:rPr>
            <w:t>(Coordinating Ministry of Economic Affairs, 2011)</w:t>
          </w:r>
          <w:r w:rsidR="00476E26">
            <w:fldChar w:fldCharType="end"/>
          </w:r>
        </w:sdtContent>
      </w:sdt>
      <w:r w:rsidRPr="00287BD1">
        <w:t>.</w:t>
      </w:r>
    </w:p>
    <w:p w:rsidR="00287BD1" w:rsidRDefault="00287BD1" w:rsidP="002D7117">
      <w:r w:rsidRPr="00EF1EC2">
        <w:t xml:space="preserve">Infrastructure development reinforces the establishment of areas based on its function. As in Latin America, there are three kinds </w:t>
      </w:r>
      <w:r>
        <w:t xml:space="preserve">of </w:t>
      </w:r>
      <w:r w:rsidRPr="00EF1EC2">
        <w:t>regions that are inte</w:t>
      </w:r>
      <w:r w:rsidRPr="00EF1EC2">
        <w:t>r</w:t>
      </w:r>
      <w:r w:rsidRPr="00EF1EC2">
        <w:t>linked functionally with each other</w:t>
      </w:r>
      <w:r>
        <w:t>: A</w:t>
      </w:r>
      <w:r w:rsidRPr="00EF1EC2">
        <w:t>reas that serve</w:t>
      </w:r>
      <w:r>
        <w:t xml:space="preserve"> as </w:t>
      </w:r>
      <w:r w:rsidRPr="00DB5499">
        <w:t>a source of raw mater</w:t>
      </w:r>
      <w:r w:rsidRPr="00DB5499">
        <w:t>i</w:t>
      </w:r>
      <w:r w:rsidRPr="00DB5499">
        <w:t>als and services</w:t>
      </w:r>
      <w:r w:rsidRPr="0026590F">
        <w:t xml:space="preserve">, </w:t>
      </w:r>
      <w:r w:rsidRPr="00DB5499">
        <w:t>region</w:t>
      </w:r>
      <w:r>
        <w:t>s that serve</w:t>
      </w:r>
      <w:r w:rsidRPr="00DB5499">
        <w:t xml:space="preserve"> to </w:t>
      </w:r>
      <w:r>
        <w:t>transform</w:t>
      </w:r>
      <w:r w:rsidRPr="00DB5499">
        <w:t xml:space="preserve"> raw materials into value-added products</w:t>
      </w:r>
      <w:r>
        <w:t xml:space="preserve">, and </w:t>
      </w:r>
      <w:r w:rsidRPr="00DB5499">
        <w:t>areas that are fu</w:t>
      </w:r>
      <w:r>
        <w:t>nctioning</w:t>
      </w:r>
      <w:r w:rsidRPr="00DB5499">
        <w:t xml:space="preserve"> for distribution activities through the development of market access for distribution at the national and international</w:t>
      </w:r>
      <w:r>
        <w:t xml:space="preserve"> level </w:t>
      </w:r>
      <w:sdt>
        <w:sdtPr>
          <w:id w:val="121859040"/>
          <w:citation/>
        </w:sdtPr>
        <w:sdtContent>
          <w:r w:rsidR="00476E26">
            <w:fldChar w:fldCharType="begin"/>
          </w:r>
          <w:r w:rsidR="00E95F66">
            <w:rPr>
              <w:lang w:val="en-US"/>
            </w:rPr>
            <w:instrText xml:space="preserve"> CITATION Ben \l 1033 </w:instrText>
          </w:r>
          <w:r w:rsidR="00476E26">
            <w:fldChar w:fldCharType="separate"/>
          </w:r>
          <w:r w:rsidR="00E95F66" w:rsidRPr="00E95F66">
            <w:rPr>
              <w:noProof/>
              <w:lang w:val="en-US"/>
            </w:rPr>
            <w:t>(Bender, 2001)</w:t>
          </w:r>
          <w:r w:rsidR="00476E26">
            <w:fldChar w:fldCharType="end"/>
          </w:r>
        </w:sdtContent>
      </w:sdt>
      <w:r w:rsidRPr="0026590F">
        <w:t xml:space="preserve">. </w:t>
      </w:r>
      <w:r w:rsidRPr="00375E5C">
        <w:t xml:space="preserve">Including for the purpose of </w:t>
      </w:r>
      <w:r>
        <w:t>providing supplies</w:t>
      </w:r>
      <w:r w:rsidRPr="00375E5C">
        <w:t xml:space="preserve"> for the cities that </w:t>
      </w:r>
      <w:r>
        <w:t xml:space="preserve">are </w:t>
      </w:r>
      <w:r w:rsidRPr="00375E5C">
        <w:t>considered as metropolitan</w:t>
      </w:r>
      <w:r w:rsidRPr="00DB5499">
        <w:t xml:space="preserve">, from economic activities </w:t>
      </w:r>
      <w:r>
        <w:t xml:space="preserve">generated </w:t>
      </w:r>
      <w:r w:rsidRPr="00DB5499">
        <w:t>in surrounding areas</w:t>
      </w:r>
      <w:r w:rsidRPr="0026590F">
        <w:t xml:space="preserve">, </w:t>
      </w:r>
      <w:r>
        <w:t xml:space="preserve">as in </w:t>
      </w:r>
      <w:r w:rsidRPr="0026590F">
        <w:t>Belfast Metropolitan Area Plan (BMAP)</w:t>
      </w:r>
      <w:r>
        <w:rPr>
          <w:rStyle w:val="FootnoteReference"/>
        </w:rPr>
        <w:footnoteReference w:id="8"/>
      </w:r>
      <w:r>
        <w:t xml:space="preserve"> </w:t>
      </w:r>
      <w:sdt>
        <w:sdtPr>
          <w:id w:val="121859041"/>
          <w:citation/>
        </w:sdtPr>
        <w:sdtContent>
          <w:r w:rsidR="00476E26">
            <w:fldChar w:fldCharType="begin"/>
          </w:r>
          <w:r w:rsidR="00E95F66">
            <w:rPr>
              <w:lang w:val="en-US"/>
            </w:rPr>
            <w:instrText xml:space="preserve"> CITATION McE \l 1033 </w:instrText>
          </w:r>
          <w:r w:rsidR="00476E26">
            <w:fldChar w:fldCharType="separate"/>
          </w:r>
          <w:r w:rsidR="00E95F66" w:rsidRPr="00E95F66">
            <w:rPr>
              <w:noProof/>
              <w:lang w:val="en-US"/>
            </w:rPr>
            <w:t>(McEldowney &amp; O'Connel, N/A)</w:t>
          </w:r>
          <w:r w:rsidR="00476E26">
            <w:fldChar w:fldCharType="end"/>
          </w:r>
        </w:sdtContent>
      </w:sdt>
      <w:r w:rsidR="00E95F66">
        <w:rPr>
          <w:noProof/>
        </w:rPr>
        <w:t xml:space="preserve"> </w:t>
      </w:r>
      <w:r>
        <w:t xml:space="preserve">as well as to create a huge opportunity for industrial and commercial activities </w:t>
      </w:r>
      <w:sdt>
        <w:sdtPr>
          <w:id w:val="121859042"/>
          <w:citation/>
        </w:sdtPr>
        <w:sdtContent>
          <w:r w:rsidR="00476E26">
            <w:fldChar w:fldCharType="begin"/>
          </w:r>
          <w:r w:rsidR="00E95F66">
            <w:rPr>
              <w:lang w:val="en-US"/>
            </w:rPr>
            <w:instrText xml:space="preserve"> CITATION Nev06 \l 1033 </w:instrText>
          </w:r>
          <w:r w:rsidR="00476E26">
            <w:fldChar w:fldCharType="separate"/>
          </w:r>
          <w:r w:rsidR="00E95F66" w:rsidRPr="00E95F66">
            <w:rPr>
              <w:noProof/>
              <w:lang w:val="en-US"/>
            </w:rPr>
            <w:t>(Nevin, 2006)</w:t>
          </w:r>
          <w:r w:rsidR="00476E26">
            <w:fldChar w:fldCharType="end"/>
          </w:r>
        </w:sdtContent>
      </w:sdt>
      <w:r w:rsidRPr="0026590F">
        <w:t xml:space="preserve">. </w:t>
      </w:r>
      <w:r>
        <w:t xml:space="preserve">In </w:t>
      </w:r>
      <w:r w:rsidRPr="0026590F">
        <w:t xml:space="preserve">Indonesia, MP3EI </w:t>
      </w:r>
      <w:r>
        <w:t>fo</w:t>
      </w:r>
      <w:r>
        <w:t>r</w:t>
      </w:r>
      <w:r>
        <w:t xml:space="preserve">mulates specialization scheme in each </w:t>
      </w:r>
      <w:r w:rsidRPr="0026590F">
        <w:t xml:space="preserve">6 </w:t>
      </w:r>
      <w:r>
        <w:t>main islands</w:t>
      </w:r>
      <w:r w:rsidRPr="0026590F">
        <w:t xml:space="preserve"> (Sumatra, Java, Kalima</w:t>
      </w:r>
      <w:r w:rsidRPr="0026590F">
        <w:t>n</w:t>
      </w:r>
      <w:r w:rsidRPr="0026590F">
        <w:t>tan, Sulawesi</w:t>
      </w:r>
      <w:r>
        <w:t>, Bali-and-Nusa Tenggara, and Papua-</w:t>
      </w:r>
      <w:r w:rsidRPr="0026590F">
        <w:t xml:space="preserve">Maluku) </w:t>
      </w:r>
      <w:r w:rsidRPr="00427ACD">
        <w:t>that then so called as six main islands of economic corridor</w:t>
      </w:r>
      <w:r>
        <w:t xml:space="preserve"> </w:t>
      </w:r>
      <w:sdt>
        <w:sdtPr>
          <w:id w:val="121859045"/>
          <w:citation/>
        </w:sdtPr>
        <w:sdtContent>
          <w:r w:rsidR="00476E26">
            <w:fldChar w:fldCharType="begin"/>
          </w:r>
          <w:r w:rsidR="00E95F66">
            <w:rPr>
              <w:lang w:val="en-US"/>
            </w:rPr>
            <w:instrText xml:space="preserve"> CITATION Coo11 \l 1033 </w:instrText>
          </w:r>
          <w:r w:rsidR="00476E26">
            <w:fldChar w:fldCharType="separate"/>
          </w:r>
          <w:r w:rsidR="00E95F66" w:rsidRPr="00E95F66">
            <w:rPr>
              <w:noProof/>
              <w:lang w:val="en-US"/>
            </w:rPr>
            <w:t>(Coordinating Ministry of Economic Affairs, 2011)</w:t>
          </w:r>
          <w:r w:rsidR="00476E26">
            <w:fldChar w:fldCharType="end"/>
          </w:r>
        </w:sdtContent>
      </w:sdt>
      <w:r w:rsidRPr="0026590F">
        <w:t>.</w:t>
      </w:r>
    </w:p>
    <w:p w:rsidR="00287BD1" w:rsidRDefault="00287BD1" w:rsidP="002D7117">
      <w:r w:rsidRPr="00287BD1">
        <w:lastRenderedPageBreak/>
        <w:t>Development begins by looking at potential linkages between and within regions that leads to an acceleration process to raise a country's economic growth rate. Infrastructure development will also opening job opportunities in targeted areas, because it is followed by an adequate investment strategy through incoming investment and supported by infrastructure facilities that are deserved. It is sometimes defended as an inclusive development strategy, as it allows absorbing a lot of labour as well as opening up new employment</w:t>
      </w:r>
      <w:r>
        <w:t xml:space="preserve"> </w:t>
      </w:r>
      <w:sdt>
        <w:sdtPr>
          <w:id w:val="121859046"/>
          <w:citation/>
        </w:sdtPr>
        <w:sdtContent>
          <w:r w:rsidR="00476E26">
            <w:fldChar w:fldCharType="begin"/>
          </w:r>
          <w:r w:rsidR="00E95F66">
            <w:rPr>
              <w:lang w:val="en-US"/>
            </w:rPr>
            <w:instrText xml:space="preserve"> CITATION Osm02 \l 1033 </w:instrText>
          </w:r>
          <w:r w:rsidR="00E839F8">
            <w:rPr>
              <w:lang w:val="en-US"/>
            </w:rPr>
            <w:instrText xml:space="preserve"> \m McK08 \m Uni11</w:instrText>
          </w:r>
          <w:r w:rsidR="00476E26">
            <w:fldChar w:fldCharType="separate"/>
          </w:r>
          <w:r w:rsidR="00E839F8" w:rsidRPr="00E839F8">
            <w:rPr>
              <w:noProof/>
              <w:lang w:val="en-US"/>
            </w:rPr>
            <w:t>(Osmani, 2002; McKinley, 2008; United Nation Development Programme, 2011)</w:t>
          </w:r>
          <w:r w:rsidR="00476E26">
            <w:fldChar w:fldCharType="end"/>
          </w:r>
        </w:sdtContent>
      </w:sdt>
      <w:r w:rsidRPr="00287BD1">
        <w:t>. Connectedness in some countries in the region also makes the distrib</w:t>
      </w:r>
      <w:r w:rsidRPr="00287BD1">
        <w:t>u</w:t>
      </w:r>
      <w:r w:rsidRPr="00287BD1">
        <w:t>tion and marketing of value-added production will also be well ordered</w:t>
      </w:r>
      <w:r>
        <w:t xml:space="preserve"> </w:t>
      </w:r>
      <w:sdt>
        <w:sdtPr>
          <w:id w:val="121859048"/>
          <w:citation/>
        </w:sdtPr>
        <w:sdtContent>
          <w:r w:rsidR="00476E26">
            <w:fldChar w:fldCharType="begin"/>
          </w:r>
          <w:r w:rsidR="00E839F8">
            <w:rPr>
              <w:lang w:val="en-US"/>
            </w:rPr>
            <w:instrText xml:space="preserve"> CITATION Kum07 \l 1033 </w:instrText>
          </w:r>
          <w:r w:rsidR="00476E26">
            <w:fldChar w:fldCharType="separate"/>
          </w:r>
          <w:r w:rsidR="00E839F8" w:rsidRPr="00E839F8">
            <w:rPr>
              <w:noProof/>
              <w:lang w:val="en-US"/>
            </w:rPr>
            <w:t>(Kumagai, Gokan, Isono, &amp; Keola, 2007)</w:t>
          </w:r>
          <w:r w:rsidR="00476E26">
            <w:fldChar w:fldCharType="end"/>
          </w:r>
        </w:sdtContent>
      </w:sdt>
      <w:r w:rsidRPr="00287BD1">
        <w:t>. So that the target of economic growth and opening up job opportunities can be achieved as the main obje</w:t>
      </w:r>
      <w:r w:rsidRPr="00287BD1">
        <w:t>c</w:t>
      </w:r>
      <w:r w:rsidRPr="00287BD1">
        <w:t>tive of development of this corridor, as well as efforts to raise public capital to be invested as well as the deployment of labour</w:t>
      </w:r>
      <w:r>
        <w:t xml:space="preserve"> </w:t>
      </w:r>
      <w:r w:rsidRPr="00287BD1">
        <w:t xml:space="preserve">in certain areas </w:t>
      </w:r>
      <w:sdt>
        <w:sdtPr>
          <w:id w:val="121859049"/>
          <w:citation/>
        </w:sdtPr>
        <w:sdtContent>
          <w:r w:rsidR="00476E26">
            <w:fldChar w:fldCharType="begin"/>
          </w:r>
          <w:r w:rsidR="00E839F8">
            <w:rPr>
              <w:lang w:val="en-US"/>
            </w:rPr>
            <w:instrText xml:space="preserve"> CITATION Iso10 \l 1033  \m Nev06 \m Fun09</w:instrText>
          </w:r>
          <w:r w:rsidR="00476E26">
            <w:fldChar w:fldCharType="separate"/>
          </w:r>
          <w:r w:rsidR="00E839F8" w:rsidRPr="00E839F8">
            <w:rPr>
              <w:noProof/>
              <w:lang w:val="en-US"/>
            </w:rPr>
            <w:t>(Isono, 2010; Nevin, 2006; Fung, Garcia-Herrero, &amp; Ng, 2009)</w:t>
          </w:r>
          <w:r w:rsidR="00476E26">
            <w:fldChar w:fldCharType="end"/>
          </w:r>
        </w:sdtContent>
      </w:sdt>
      <w:r w:rsidRPr="00287BD1">
        <w:t>. However, reality might be different</w:t>
      </w:r>
      <w:r>
        <w:t xml:space="preserve"> </w:t>
      </w:r>
      <w:r w:rsidRPr="00287BD1">
        <w:t>(it will be explained on the next chapters).</w:t>
      </w:r>
    </w:p>
    <w:p w:rsidR="00287BD1" w:rsidRPr="00F6163B" w:rsidRDefault="00287BD1" w:rsidP="00287BD1">
      <w:pPr>
        <w:pStyle w:val="Heading3"/>
      </w:pPr>
      <w:bookmarkStart w:id="49" w:name="_Toc335596231"/>
      <w:bookmarkStart w:id="50" w:name="_Toc335606086"/>
      <w:bookmarkStart w:id="51" w:name="_Toc340135839"/>
      <w:bookmarkStart w:id="52" w:name="_Toc340497430"/>
      <w:r w:rsidRPr="00F6163B">
        <w:t>Implementation of Economic Corridor Policy</w:t>
      </w:r>
      <w:bookmarkEnd w:id="49"/>
      <w:bookmarkEnd w:id="50"/>
      <w:bookmarkEnd w:id="51"/>
      <w:bookmarkEnd w:id="52"/>
    </w:p>
    <w:p w:rsidR="00287BD1" w:rsidRDefault="00287BD1" w:rsidP="007D28E3">
      <w:pPr>
        <w:ind w:firstLine="0"/>
      </w:pPr>
      <w:r w:rsidRPr="00287BD1">
        <w:t>Here, following Harvey’s argument on the ‘space’ in capitalist mode of produ</w:t>
      </w:r>
      <w:r w:rsidRPr="00287BD1">
        <w:t>c</w:t>
      </w:r>
      <w:r w:rsidRPr="00287BD1">
        <w:t>tion</w:t>
      </w:r>
      <w:r>
        <w:t xml:space="preserve"> </w:t>
      </w:r>
      <w:sdt>
        <w:sdtPr>
          <w:id w:val="121859012"/>
          <w:citation/>
        </w:sdtPr>
        <w:sdtContent>
          <w:r w:rsidR="00476E26">
            <w:fldChar w:fldCharType="begin"/>
          </w:r>
          <w:r w:rsidR="003002DA">
            <w:rPr>
              <w:lang w:val="en-US"/>
            </w:rPr>
            <w:instrText xml:space="preserve"> CITATION Har10 \p 143-155 \t  \m Har01 \p 242-249 \n  \t  \l 1033  </w:instrText>
          </w:r>
          <w:r w:rsidR="00476E26">
            <w:fldChar w:fldCharType="separate"/>
          </w:r>
          <w:r w:rsidR="003002DA" w:rsidRPr="003002DA">
            <w:rPr>
              <w:noProof/>
              <w:lang w:val="en-US"/>
            </w:rPr>
            <w:t>(Harvey, 2010, pp. 143-155; 2001, pp. 242-249)</w:t>
          </w:r>
          <w:r w:rsidR="00476E26">
            <w:fldChar w:fldCharType="end"/>
          </w:r>
        </w:sdtContent>
      </w:sdt>
      <w:r w:rsidRPr="00287BD1">
        <w:t>, economic corridor policy,</w:t>
      </w:r>
      <w:r w:rsidR="003002DA">
        <w:t xml:space="preserve"> </w:t>
      </w:r>
      <w:r w:rsidRPr="00287BD1">
        <w:t>which is part of a regional development,</w:t>
      </w:r>
      <w:r w:rsidR="003002DA">
        <w:t xml:space="preserve"> </w:t>
      </w:r>
      <w:r w:rsidRPr="00287BD1">
        <w:t>will be interpreted as specific</w:t>
      </w:r>
      <w:r w:rsidR="003002DA">
        <w:t xml:space="preserve"> </w:t>
      </w:r>
      <w:r w:rsidRPr="00287BD1">
        <w:t>efforts to create ‘space’ in order to perpetuate the course of circulation of capital in a trajectory of capitalism. Harvey mentioned seven ‘activity spaces’</w:t>
      </w:r>
      <w:r w:rsidR="003002DA">
        <w:t xml:space="preserve"> </w:t>
      </w:r>
      <w:r w:rsidRPr="00287BD1">
        <w:t>that interr</w:t>
      </w:r>
      <w:r w:rsidRPr="00287BD1">
        <w:t>e</w:t>
      </w:r>
      <w:r w:rsidRPr="00287BD1">
        <w:t>lated each other as characteristic of capitalism paths, which are “technology and organizational form, social relation, institutional and administration a</w:t>
      </w:r>
      <w:r w:rsidRPr="00287BD1">
        <w:t>r</w:t>
      </w:r>
      <w:r w:rsidRPr="00287BD1">
        <w:t xml:space="preserve">rangements, production and </w:t>
      </w:r>
      <w:r w:rsidR="003002DA" w:rsidRPr="00287BD1">
        <w:t>labour</w:t>
      </w:r>
      <w:r w:rsidRPr="00287BD1">
        <w:t xml:space="preserve"> processes, relation to the nature, the r</w:t>
      </w:r>
      <w:r w:rsidRPr="00287BD1">
        <w:t>e</w:t>
      </w:r>
      <w:r w:rsidRPr="00287BD1">
        <w:t xml:space="preserve">production of daily life and of the species and ‘mental conception of the world’” </w:t>
      </w:r>
      <w:sdt>
        <w:sdtPr>
          <w:id w:val="121859051"/>
          <w:citation/>
        </w:sdtPr>
        <w:sdtContent>
          <w:r w:rsidR="00476E26">
            <w:fldChar w:fldCharType="begin"/>
          </w:r>
          <w:r w:rsidR="00E839F8">
            <w:rPr>
              <w:lang w:val="en-US"/>
            </w:rPr>
            <w:instrText xml:space="preserve"> CITATION Har10 \p 123 \t  \l 1033  </w:instrText>
          </w:r>
          <w:r w:rsidR="00476E26">
            <w:fldChar w:fldCharType="separate"/>
          </w:r>
          <w:r w:rsidR="00E839F8" w:rsidRPr="00E839F8">
            <w:rPr>
              <w:noProof/>
              <w:lang w:val="en-US"/>
            </w:rPr>
            <w:t>(Harvey, 2010, p. 123)</w:t>
          </w:r>
          <w:r w:rsidR="00476E26">
            <w:fldChar w:fldCharType="end"/>
          </w:r>
        </w:sdtContent>
      </w:sdt>
      <w:r w:rsidRPr="00287BD1">
        <w:t>. Interrelated ‘activity spaces’</w:t>
      </w:r>
      <w:r w:rsidR="003002DA">
        <w:t xml:space="preserve"> </w:t>
      </w:r>
      <w:r w:rsidRPr="00287BD1">
        <w:t>then creates – even establish – a ‘crisis’ (or crises)</w:t>
      </w:r>
      <w:r w:rsidRPr="00287BD1">
        <w:rPr>
          <w:vertAlign w:val="superscript"/>
        </w:rPr>
        <w:footnoteReference w:id="9"/>
      </w:r>
      <w:r w:rsidR="00E839F8">
        <w:t xml:space="preserve"> </w:t>
      </w:r>
      <w:r w:rsidRPr="00287BD1">
        <w:t xml:space="preserve">that important for the continuation of capital accumulation. </w:t>
      </w:r>
      <w:r w:rsidR="00E839F8">
        <w:t xml:space="preserve">Harvey argued that it is because of </w:t>
      </w:r>
      <w:r w:rsidRPr="00287BD1">
        <w:t>different purposes and gap of understanding between one and other activity spaces itself, such as an applic</w:t>
      </w:r>
      <w:r w:rsidRPr="00287BD1">
        <w:t>a</w:t>
      </w:r>
      <w:r w:rsidRPr="00287BD1">
        <w:t xml:space="preserve">tion of new technologies against existing social relations and impact to damage of </w:t>
      </w:r>
      <w:r w:rsidR="003002DA" w:rsidRPr="00287BD1">
        <w:t>labour</w:t>
      </w:r>
      <w:r w:rsidRPr="00287BD1">
        <w:t xml:space="preserve"> organization structure</w:t>
      </w:r>
      <w:r w:rsidR="00E839F8">
        <w:t xml:space="preserve"> </w:t>
      </w:r>
      <w:sdt>
        <w:sdtPr>
          <w:id w:val="121859052"/>
          <w:citation/>
        </w:sdtPr>
        <w:sdtContent>
          <w:r w:rsidR="00476E26">
            <w:fldChar w:fldCharType="begin"/>
          </w:r>
          <w:r w:rsidR="00E839F8">
            <w:rPr>
              <w:lang w:val="en-US"/>
            </w:rPr>
            <w:instrText xml:space="preserve"> CITATION Har10 \p 123-124 \n  \t  \l 1033  </w:instrText>
          </w:r>
          <w:r w:rsidR="00476E26">
            <w:fldChar w:fldCharType="separate"/>
          </w:r>
          <w:r w:rsidR="00E839F8" w:rsidRPr="00E839F8">
            <w:rPr>
              <w:noProof/>
              <w:lang w:val="en-US"/>
            </w:rPr>
            <w:t>(2010, pp. 123-124)</w:t>
          </w:r>
          <w:r w:rsidR="00476E26">
            <w:fldChar w:fldCharType="end"/>
          </w:r>
        </w:sdtContent>
      </w:sdt>
      <w:r w:rsidRPr="00287BD1">
        <w:t>. However, tensions and conflicts among ‘activity spaces’ are an opportunity to be interpreted and then formulated into operational policy, such as policies that can be categorized as the concept of economic corridor and/or regional development corridor that has been described in the previous section</w:t>
      </w:r>
      <w:r w:rsidRPr="00287BD1">
        <w:rPr>
          <w:vertAlign w:val="superscript"/>
        </w:rPr>
        <w:footnoteReference w:id="10"/>
      </w:r>
      <w:r w:rsidRPr="00287BD1">
        <w:t>.</w:t>
      </w:r>
    </w:p>
    <w:p w:rsidR="003002DA" w:rsidRDefault="003002DA" w:rsidP="002D7117">
      <w:r w:rsidRPr="00526EAA">
        <w:lastRenderedPageBreak/>
        <w:t xml:space="preserve">In terms of infrastructure development, both transport infrastructure and communication, capitalists have two things </w:t>
      </w:r>
      <w:r w:rsidR="00772869">
        <w:t xml:space="preserve">in </w:t>
      </w:r>
      <w:r w:rsidRPr="00526EAA">
        <w:t>consideration. They are nece</w:t>
      </w:r>
      <w:r w:rsidRPr="00526EAA">
        <w:t>s</w:t>
      </w:r>
      <w:r w:rsidRPr="00526EAA">
        <w:t>sary to have a machinery provision (with the newest technology) and fixed capital equipment, including factory building and means of transport infr</w:t>
      </w:r>
      <w:r w:rsidRPr="00526EAA">
        <w:t>a</w:t>
      </w:r>
      <w:r w:rsidRPr="00526EAA">
        <w:t xml:space="preserve">structure (road, river, and sea as well as air) to bear production activity </w:t>
      </w:r>
      <w:sdt>
        <w:sdtPr>
          <w:id w:val="121859055"/>
          <w:citation/>
        </w:sdtPr>
        <w:sdtContent>
          <w:r w:rsidR="00476E26" w:rsidRPr="00526EAA">
            <w:fldChar w:fldCharType="begin"/>
          </w:r>
          <w:r w:rsidR="00E839F8" w:rsidRPr="00526EAA">
            <w:rPr>
              <w:lang w:val="en-US"/>
            </w:rPr>
            <w:instrText xml:space="preserve"> CITATION Har10 \p 66-67 \t  \l 1033  </w:instrText>
          </w:r>
          <w:r w:rsidR="00476E26" w:rsidRPr="00526EAA">
            <w:fldChar w:fldCharType="separate"/>
          </w:r>
          <w:r w:rsidR="00E839F8" w:rsidRPr="00526EAA">
            <w:rPr>
              <w:noProof/>
              <w:lang w:val="en-US"/>
            </w:rPr>
            <w:t>(Harvey, 2010, pp. 66-67)</w:t>
          </w:r>
          <w:r w:rsidR="00476E26" w:rsidRPr="00526EAA">
            <w:fldChar w:fldCharType="end"/>
          </w:r>
        </w:sdtContent>
      </w:sdt>
      <w:r w:rsidRPr="00526EAA">
        <w:t>. In order to maintain their capital and its surpluses, capital should continually be circulated, so that infrastructure means is needed in order to get and find a new location for capital circulation. When new loc</w:t>
      </w:r>
      <w:r w:rsidRPr="00526EAA">
        <w:t>a</w:t>
      </w:r>
      <w:r w:rsidRPr="00526EAA">
        <w:t xml:space="preserve">tions collide with the territorial boundaries of a State, then the capitalists will use the authority of the State or even weaken the role of the State in order to maximize the potential of the target area. </w:t>
      </w:r>
      <w:r w:rsidR="00772869">
        <w:t xml:space="preserve">During the </w:t>
      </w:r>
      <w:r w:rsidRPr="00526EAA">
        <w:t xml:space="preserve">time, reading the role of the State becomes </w:t>
      </w:r>
      <w:r w:rsidR="00772869">
        <w:t>easier</w:t>
      </w:r>
      <w:r w:rsidRPr="00526EAA">
        <w:t xml:space="preserve">, whether state becomes </w:t>
      </w:r>
      <w:r w:rsidR="00894653">
        <w:t xml:space="preserve">act as an </w:t>
      </w:r>
      <w:r w:rsidRPr="00526EAA">
        <w:t xml:space="preserve">instrument or will control of circulation of capital </w:t>
      </w:r>
      <w:sdt>
        <w:sdtPr>
          <w:id w:val="121859056"/>
          <w:citation/>
        </w:sdtPr>
        <w:sdtContent>
          <w:r w:rsidR="00476E26" w:rsidRPr="00526EAA">
            <w:fldChar w:fldCharType="begin"/>
          </w:r>
          <w:r w:rsidR="00E839F8" w:rsidRPr="00526EAA">
            <w:rPr>
              <w:lang w:val="en-US"/>
            </w:rPr>
            <w:instrText xml:space="preserve"> CITATION Har10 \p 51 \t  \m Gri96 \t  \l 1033  </w:instrText>
          </w:r>
          <w:r w:rsidR="00476E26" w:rsidRPr="00526EAA">
            <w:fldChar w:fldCharType="separate"/>
          </w:r>
          <w:r w:rsidR="00E839F8" w:rsidRPr="00526EAA">
            <w:rPr>
              <w:noProof/>
              <w:lang w:val="en-US"/>
            </w:rPr>
            <w:t>(Harvey, 2010, p. 51; Grindle, 1996)</w:t>
          </w:r>
          <w:r w:rsidR="00476E26" w:rsidRPr="00526EAA">
            <w:fldChar w:fldCharType="end"/>
          </w:r>
        </w:sdtContent>
      </w:sdt>
      <w:r w:rsidRPr="00526EAA">
        <w:t>.</w:t>
      </w:r>
    </w:p>
    <w:p w:rsidR="003002DA" w:rsidRDefault="00526EAA" w:rsidP="002D7117">
      <w:r>
        <w:t>The most dominant</w:t>
      </w:r>
      <w:r w:rsidR="003002DA" w:rsidRPr="00CE15EF">
        <w:t xml:space="preserve"> hassle in explaining the role of the State in capital ci</w:t>
      </w:r>
      <w:r w:rsidR="003002DA" w:rsidRPr="00CE15EF">
        <w:t>r</w:t>
      </w:r>
      <w:r w:rsidR="003002DA" w:rsidRPr="00CE15EF">
        <w:t>culation is financing</w:t>
      </w:r>
      <w:r>
        <w:t xml:space="preserve"> related</w:t>
      </w:r>
      <w:r w:rsidR="003002DA">
        <w:t xml:space="preserve">. </w:t>
      </w:r>
      <w:r w:rsidR="003002DA" w:rsidRPr="00F92504">
        <w:t>David Harvey uses a terminology of State-Finance nexus</w:t>
      </w:r>
      <w:r w:rsidR="003002DA">
        <w:t xml:space="preserve"> </w:t>
      </w:r>
      <w:sdt>
        <w:sdtPr>
          <w:id w:val="121859016"/>
          <w:citation/>
        </w:sdtPr>
        <w:sdtContent>
          <w:r w:rsidR="00476E26">
            <w:fldChar w:fldCharType="begin"/>
          </w:r>
          <w:r w:rsidR="00E839F8">
            <w:rPr>
              <w:lang w:val="en-US"/>
            </w:rPr>
            <w:instrText xml:space="preserve"> CITATION Har10 \p 51 \n  \t  \l 1033  </w:instrText>
          </w:r>
          <w:r w:rsidR="00476E26">
            <w:fldChar w:fldCharType="separate"/>
          </w:r>
          <w:r w:rsidR="00E839F8" w:rsidRPr="00E839F8">
            <w:rPr>
              <w:noProof/>
              <w:lang w:val="en-US"/>
            </w:rPr>
            <w:t>(2010, p. 51)</w:t>
          </w:r>
          <w:r w:rsidR="00476E26">
            <w:fldChar w:fldCharType="end"/>
          </w:r>
        </w:sdtContent>
      </w:sdt>
      <w:r w:rsidR="003002DA" w:rsidRPr="00F92504">
        <w:t xml:space="preserve">, which is firstly, the main task of state </w:t>
      </w:r>
      <w:r w:rsidR="003002DA">
        <w:t>that manages ben</w:t>
      </w:r>
      <w:r w:rsidR="003002DA">
        <w:t>e</w:t>
      </w:r>
      <w:r w:rsidR="003002DA">
        <w:t>fits from tax</w:t>
      </w:r>
      <w:r w:rsidR="003002DA" w:rsidRPr="00F92504">
        <w:t xml:space="preserve"> revenue of infrastructure development in order to build another public infrastructure for people</w:t>
      </w:r>
      <w:r w:rsidR="003002DA">
        <w:t>. To fulfil</w:t>
      </w:r>
      <w:r w:rsidR="003002DA" w:rsidRPr="00F92504">
        <w:t xml:space="preserve"> this obligation, </w:t>
      </w:r>
      <w:r w:rsidR="003002DA">
        <w:t xml:space="preserve">the </w:t>
      </w:r>
      <w:r w:rsidR="003002DA" w:rsidRPr="00F92504">
        <w:t>state often gives an opportunity to private sectors to monopolize control of that development through various forms of contract</w:t>
      </w:r>
      <w:r w:rsidR="003002DA">
        <w:t>. The Public-Private-Partnership</w:t>
      </w:r>
      <w:r w:rsidR="003002DA">
        <w:rPr>
          <w:rStyle w:val="FootnoteReference"/>
        </w:rPr>
        <w:footnoteReference w:id="11"/>
      </w:r>
      <w:r w:rsidR="003002DA">
        <w:t xml:space="preserve"> concept</w:t>
      </w:r>
      <w:r w:rsidR="00667F2F">
        <w:t xml:space="preserve"> </w:t>
      </w:r>
      <w:r w:rsidR="003002DA" w:rsidRPr="00F92504">
        <w:t>is</w:t>
      </w:r>
      <w:r w:rsidR="003002DA">
        <w:t xml:space="preserve"> the World Bank induced concept</w:t>
      </w:r>
      <w:r w:rsidR="00667F2F">
        <w:t xml:space="preserve"> </w:t>
      </w:r>
      <w:r w:rsidR="003002DA">
        <w:t xml:space="preserve">to </w:t>
      </w:r>
      <w:r w:rsidR="003002DA" w:rsidRPr="00F92504">
        <w:t>accelerat</w:t>
      </w:r>
      <w:r w:rsidR="003002DA">
        <w:t>e</w:t>
      </w:r>
      <w:r w:rsidR="003002DA" w:rsidRPr="00F92504">
        <w:t xml:space="preserve"> process of development</w:t>
      </w:r>
      <w:r w:rsidR="003002DA">
        <w:t xml:space="preserve">, </w:t>
      </w:r>
      <w:r w:rsidR="003002DA" w:rsidRPr="00F92504">
        <w:t>pa</w:t>
      </w:r>
      <w:r w:rsidR="003002DA" w:rsidRPr="00F92504">
        <w:t>r</w:t>
      </w:r>
      <w:r w:rsidR="003002DA" w:rsidRPr="00F92504">
        <w:t>ticularly infrastructure development project, with private sectors involvement</w:t>
      </w:r>
      <w:r w:rsidR="003002DA">
        <w:t xml:space="preserve"> </w:t>
      </w:r>
      <w:sdt>
        <w:sdtPr>
          <w:id w:val="121859017"/>
          <w:citation/>
        </w:sdtPr>
        <w:sdtContent>
          <w:r w:rsidR="00476E26">
            <w:fldChar w:fldCharType="begin"/>
          </w:r>
          <w:r w:rsidR="00A3081A">
            <w:rPr>
              <w:lang w:val="en-US"/>
            </w:rPr>
            <w:instrText xml:space="preserve"> CITATION Wor04 \p 67 \l 1033  </w:instrText>
          </w:r>
          <w:r w:rsidR="00476E26">
            <w:fldChar w:fldCharType="separate"/>
          </w:r>
          <w:r w:rsidR="00A3081A" w:rsidRPr="00A3081A">
            <w:rPr>
              <w:noProof/>
              <w:lang w:val="en-US"/>
            </w:rPr>
            <w:t>(World Bank, 2004, p. 67)</w:t>
          </w:r>
          <w:r w:rsidR="00476E26">
            <w:fldChar w:fldCharType="end"/>
          </w:r>
        </w:sdtContent>
      </w:sdt>
      <w:r w:rsidR="003002DA">
        <w:t>. In this scheme of partnership,</w:t>
      </w:r>
      <w:r w:rsidR="00A3081A">
        <w:t xml:space="preserve"> </w:t>
      </w:r>
      <w:r w:rsidR="003002DA">
        <w:t>the</w:t>
      </w:r>
      <w:r w:rsidR="00A3081A">
        <w:t xml:space="preserve"> </w:t>
      </w:r>
      <w:r w:rsidR="003002DA" w:rsidRPr="00F92504">
        <w:t>state</w:t>
      </w:r>
      <w:r w:rsidR="003002DA">
        <w:t>’s respons</w:t>
      </w:r>
      <w:r w:rsidR="003002DA">
        <w:t>i</w:t>
      </w:r>
      <w:r w:rsidR="003002DA">
        <w:t>bility and shares then</w:t>
      </w:r>
      <w:r w:rsidR="003002DA" w:rsidRPr="00F92504">
        <w:t xml:space="preserve"> is only giving facilities</w:t>
      </w:r>
      <w:r w:rsidR="003002DA">
        <w:t>, including allocate the public/state land,</w:t>
      </w:r>
      <w:r w:rsidR="003002DA" w:rsidRPr="00F92504">
        <w:t xml:space="preserve"> for private sectors who have been granted an agreement to develop infr</w:t>
      </w:r>
      <w:r w:rsidR="003002DA" w:rsidRPr="00F92504">
        <w:t>a</w:t>
      </w:r>
      <w:r w:rsidR="003002DA" w:rsidRPr="00F92504">
        <w:t>structure</w:t>
      </w:r>
      <w:r w:rsidR="003002DA">
        <w:t xml:space="preserve">. These facilities also includes </w:t>
      </w:r>
      <w:r w:rsidR="003002DA" w:rsidRPr="00F92504">
        <w:t>devise various regulations would require people to pay taxes through the use of highway road and other public facilities</w:t>
      </w:r>
      <w:r w:rsidR="003002DA">
        <w:t>.</w:t>
      </w:r>
    </w:p>
    <w:p w:rsidR="00A3081A" w:rsidRDefault="00A3081A" w:rsidP="002D7117">
      <w:r w:rsidRPr="00C63E1E">
        <w:t xml:space="preserve">Secondly, state </w:t>
      </w:r>
      <w:r w:rsidR="00526EAA">
        <w:t>provides security investment. A</w:t>
      </w:r>
      <w:r w:rsidRPr="00C63E1E">
        <w:t xml:space="preserve"> </w:t>
      </w:r>
      <w:r w:rsidR="00526EAA">
        <w:t>number</w:t>
      </w:r>
      <w:r w:rsidRPr="00C63E1E">
        <w:t xml:space="preserve"> of government regulation</w:t>
      </w:r>
      <w:r w:rsidR="001260B5">
        <w:t>s</w:t>
      </w:r>
      <w:r w:rsidRPr="00C63E1E">
        <w:t xml:space="preserve"> is created to make it</w:t>
      </w:r>
      <w:r w:rsidRPr="00D10A08">
        <w:t xml:space="preserve"> easier of investment or even to invite investors to invest their capital </w:t>
      </w:r>
      <w:sdt>
        <w:sdtPr>
          <w:id w:val="121859062"/>
          <w:citation/>
        </w:sdtPr>
        <w:sdtContent>
          <w:r w:rsidR="00476E26">
            <w:fldChar w:fldCharType="begin"/>
          </w:r>
          <w:r w:rsidR="00E839F8">
            <w:rPr>
              <w:lang w:val="en-US"/>
            </w:rPr>
            <w:instrText xml:space="preserve"> CITATION Lal04 \p 1-2 \l 1033  </w:instrText>
          </w:r>
          <w:r w:rsidR="00476E26">
            <w:fldChar w:fldCharType="separate"/>
          </w:r>
          <w:r w:rsidR="00E839F8" w:rsidRPr="00E839F8">
            <w:rPr>
              <w:noProof/>
              <w:lang w:val="en-US"/>
            </w:rPr>
            <w:t>(Lall, 2004, pp. 1-2)</w:t>
          </w:r>
          <w:r w:rsidR="00476E26">
            <w:fldChar w:fldCharType="end"/>
          </w:r>
        </w:sdtContent>
      </w:sdt>
      <w:r>
        <w:t>. As it has happened in Indonesia, since the post-Suharto era, which started on 1998, some laws and regulations on agrarian and natural resources management, investment, labour and taxes or subsidies have been revised or changed toward more appropriate and fit in i</w:t>
      </w:r>
      <w:r>
        <w:t>n</w:t>
      </w:r>
      <w:r>
        <w:t xml:space="preserve">vestment climate </w:t>
      </w:r>
      <w:sdt>
        <w:sdtPr>
          <w:id w:val="121859063"/>
          <w:citation/>
        </w:sdtPr>
        <w:sdtContent>
          <w:r w:rsidR="00476E26">
            <w:fldChar w:fldCharType="begin"/>
          </w:r>
          <w:r w:rsidR="00B24C24">
            <w:rPr>
              <w:lang w:val="en-US"/>
            </w:rPr>
            <w:instrText xml:space="preserve"> CITATION Ros02 \t  \l 1033  </w:instrText>
          </w:r>
          <w:r w:rsidR="00476E26">
            <w:fldChar w:fldCharType="separate"/>
          </w:r>
          <w:r w:rsidR="00B24C24" w:rsidRPr="00B24C24">
            <w:rPr>
              <w:noProof/>
              <w:lang w:val="en-US"/>
            </w:rPr>
            <w:t>(Rosser, 2002)</w:t>
          </w:r>
          <w:r w:rsidR="00476E26">
            <w:fldChar w:fldCharType="end"/>
          </w:r>
        </w:sdtContent>
      </w:sdt>
      <w:r>
        <w:t xml:space="preserve">. It was justified to recover economic growth in Indonesia after economic crises in Asia in 1997-1998, </w:t>
      </w:r>
      <w:r w:rsidRPr="000149B4">
        <w:t>especially to increase and improve economic growth rate</w:t>
      </w:r>
      <w:r>
        <w:t>.</w:t>
      </w:r>
    </w:p>
    <w:p w:rsidR="00A3081A" w:rsidRDefault="00F50D65" w:rsidP="002D7117">
      <w:r w:rsidRPr="00F50D65">
        <w:t>Therefore, the focus of major development under a capitalist agenda, in addition to the development of infrastructure, it is necessarily to develop new urban areas</w:t>
      </w:r>
      <w:r>
        <w:t xml:space="preserve"> </w:t>
      </w:r>
      <w:sdt>
        <w:sdtPr>
          <w:id w:val="121859064"/>
          <w:citation/>
        </w:sdtPr>
        <w:sdtContent>
          <w:r w:rsidR="00476E26">
            <w:fldChar w:fldCharType="begin"/>
          </w:r>
          <w:r w:rsidR="00995C83">
            <w:rPr>
              <w:lang w:val="en-US"/>
            </w:rPr>
            <w:instrText xml:space="preserve"> CITATION Har10 \p 166 \t  \m Har12 \p 6-17 \n  \t  \l 1033  </w:instrText>
          </w:r>
          <w:r w:rsidR="00476E26">
            <w:fldChar w:fldCharType="separate"/>
          </w:r>
          <w:r w:rsidR="00995C83" w:rsidRPr="00995C83">
            <w:rPr>
              <w:noProof/>
              <w:lang w:val="en-US"/>
            </w:rPr>
            <w:t>(Harvey, 2010, p. 166; 2012, pp. 6-17)</w:t>
          </w:r>
          <w:r w:rsidR="00476E26">
            <w:fldChar w:fldCharType="end"/>
          </w:r>
        </w:sdtContent>
      </w:sdt>
      <w:r w:rsidRPr="00F50D65">
        <w:t>. Urban development intends to absorb the labour force from rural areas or to transform rural areas into u</w:t>
      </w:r>
      <w:r w:rsidRPr="00F50D65">
        <w:t>r</w:t>
      </w:r>
      <w:r w:rsidRPr="00F50D65">
        <w:t>ban. The focus of corridor development, either that started from transport co</w:t>
      </w:r>
      <w:r w:rsidRPr="00F50D65">
        <w:t>r</w:t>
      </w:r>
      <w:r w:rsidRPr="00F50D65">
        <w:t>ridor or economic corridor, as it has been framed by the ADB in Asia</w:t>
      </w:r>
      <w:r w:rsidRPr="00F50D65">
        <w:rPr>
          <w:vertAlign w:val="superscript"/>
        </w:rPr>
        <w:footnoteReference w:id="12"/>
      </w:r>
      <w:r w:rsidRPr="00F50D65">
        <w:t xml:space="preserve">, is an effort to create a labour market that is ready to be used in the circulation of </w:t>
      </w:r>
      <w:r w:rsidRPr="00F50D65">
        <w:lastRenderedPageBreak/>
        <w:t>capital. For the state, these are two that development becomes a target for a</w:t>
      </w:r>
      <w:r w:rsidRPr="00F50D65">
        <w:t>c</w:t>
      </w:r>
      <w:r w:rsidRPr="00F50D65">
        <w:t xml:space="preserve">cumulation of surpluses, which generate tax revenues </w:t>
      </w:r>
      <w:sdt>
        <w:sdtPr>
          <w:id w:val="121859067"/>
          <w:citation/>
        </w:sdtPr>
        <w:sdtContent>
          <w:r w:rsidR="00476E26">
            <w:fldChar w:fldCharType="begin"/>
          </w:r>
          <w:r w:rsidR="00995C83">
            <w:rPr>
              <w:lang w:val="en-US"/>
            </w:rPr>
            <w:instrText xml:space="preserve"> CITATION Har10 \p 85 \t  \l 1033  </w:instrText>
          </w:r>
          <w:r w:rsidR="00476E26">
            <w:fldChar w:fldCharType="separate"/>
          </w:r>
          <w:r w:rsidR="00995C83" w:rsidRPr="00995C83">
            <w:rPr>
              <w:noProof/>
              <w:lang w:val="en-US"/>
            </w:rPr>
            <w:t>(Harvey, 2010, p. 85)</w:t>
          </w:r>
          <w:r w:rsidR="00476E26">
            <w:fldChar w:fldCharType="end"/>
          </w:r>
        </w:sdtContent>
      </w:sdt>
      <w:r w:rsidRPr="00F50D65">
        <w:t>. At macro level, the state will perform its productivity due to managing</w:t>
      </w:r>
      <w:r>
        <w:t xml:space="preserve"> </w:t>
      </w:r>
      <w:r w:rsidRPr="00F50D65">
        <w:t>the tax sy</w:t>
      </w:r>
      <w:r w:rsidRPr="00F50D65">
        <w:t>s</w:t>
      </w:r>
      <w:r w:rsidRPr="00F50D65">
        <w:t>tem and impact on state revenues derived from the public</w:t>
      </w:r>
      <w:r w:rsidRPr="00F50D65">
        <w:rPr>
          <w:vertAlign w:val="superscript"/>
        </w:rPr>
        <w:footnoteReference w:id="13"/>
      </w:r>
      <w:r w:rsidRPr="00F50D65">
        <w:t xml:space="preserve"> through state obl</w:t>
      </w:r>
      <w:r w:rsidRPr="00F50D65">
        <w:t>i</w:t>
      </w:r>
      <w:r w:rsidRPr="00F50D65">
        <w:t>gations giving basic services and means of infrastructure and urban develo</w:t>
      </w:r>
      <w:r w:rsidRPr="00F50D65">
        <w:t>p</w:t>
      </w:r>
      <w:r w:rsidRPr="00F50D65">
        <w:t>ment.</w:t>
      </w:r>
    </w:p>
    <w:p w:rsidR="00F50D65" w:rsidRDefault="00F50D65" w:rsidP="00F50D65">
      <w:pPr>
        <w:pStyle w:val="Heading2"/>
        <w:ind w:left="540" w:hanging="540"/>
      </w:pPr>
      <w:bookmarkStart w:id="53" w:name="_Toc340497431"/>
      <w:r>
        <w:t xml:space="preserve">2.2. </w:t>
      </w:r>
      <w:r w:rsidRPr="00F50D65">
        <w:t>Implementation of Economic Corridor Policy and Its Consequences on Land Grabs and Concentration</w:t>
      </w:r>
      <w:bookmarkEnd w:id="53"/>
    </w:p>
    <w:p w:rsidR="00F50D65" w:rsidRDefault="00F50D65" w:rsidP="007D28E3">
      <w:pPr>
        <w:ind w:firstLine="0"/>
      </w:pPr>
      <w:r w:rsidRPr="00A065A0">
        <w:t>The phenomenon of Land Grabbing is marked by two essential changes fo</w:t>
      </w:r>
      <w:r w:rsidRPr="00A065A0">
        <w:t>l</w:t>
      </w:r>
      <w:r w:rsidRPr="00A065A0">
        <w:t xml:space="preserve">lowing the extraction of agrarian resources on a large scale, which are land use change and change of production relation on a production activity </w:t>
      </w:r>
      <w:sdt>
        <w:sdtPr>
          <w:id w:val="121859068"/>
          <w:citation/>
        </w:sdtPr>
        <w:sdtContent>
          <w:r w:rsidR="00476E26">
            <w:fldChar w:fldCharType="begin"/>
          </w:r>
          <w:r w:rsidR="00995C83">
            <w:rPr>
              <w:lang w:val="en-US"/>
            </w:rPr>
            <w:instrText xml:space="preserve"> CITATION Bor12 \t  \m Bor111 \n  \t  \m Bor10 \n  \t  \l 1033   \m Bor11</w:instrText>
          </w:r>
          <w:r w:rsidR="00476E26">
            <w:fldChar w:fldCharType="separate"/>
          </w:r>
          <w:r w:rsidR="00995C83" w:rsidRPr="00995C83">
            <w:rPr>
              <w:noProof/>
              <w:lang w:val="en-US"/>
            </w:rPr>
            <w:t>(Borras &amp; Franco, 2012; 2011; 2010; Borras, Franco, Kay, &amp; Spoor, 2011)</w:t>
          </w:r>
          <w:r w:rsidR="00476E26">
            <w:fldChar w:fldCharType="end"/>
          </w:r>
        </w:sdtContent>
      </w:sdt>
      <w:r>
        <w:t xml:space="preserve">. </w:t>
      </w:r>
      <w:r w:rsidRPr="00F138C2">
        <w:t>A develo</w:t>
      </w:r>
      <w:r w:rsidRPr="00F138C2">
        <w:t>p</w:t>
      </w:r>
      <w:r w:rsidRPr="00F138C2">
        <w:t>ment strategy that uses economic corridor policy, as explained above, generates land grabbing</w:t>
      </w:r>
      <w:r>
        <w:t xml:space="preserve"> </w:t>
      </w:r>
      <w:r w:rsidRPr="00F138C2">
        <w:t>that relate to those two main changes.</w:t>
      </w:r>
      <w:r>
        <w:t xml:space="preserve"> This section will focus on discussion of land grabbing concept led to land concentration started with d</w:t>
      </w:r>
      <w:r>
        <w:t>e</w:t>
      </w:r>
      <w:r>
        <w:t xml:space="preserve">velopment of vital means, which is infrastructure development. </w:t>
      </w:r>
      <w:r w:rsidRPr="00F138C2">
        <w:t>Then, it will describe how land concentration will influence surrounding community social livelihood</w:t>
      </w:r>
      <w:r>
        <w:t>.</w:t>
      </w:r>
    </w:p>
    <w:p w:rsidR="00F50D65" w:rsidRDefault="00F50D65" w:rsidP="002D7117">
      <w:r w:rsidRPr="00AF529B">
        <w:t xml:space="preserve">In economic corridor policy, three things that possibly </w:t>
      </w:r>
      <w:r>
        <w:t xml:space="preserve">need to </w:t>
      </w:r>
      <w:r w:rsidRPr="00AF529B">
        <w:t>be exa</w:t>
      </w:r>
      <w:r w:rsidRPr="00AF529B">
        <w:t>m</w:t>
      </w:r>
      <w:r w:rsidRPr="00AF529B">
        <w:t xml:space="preserve">ined as a mark of </w:t>
      </w:r>
      <w:r>
        <w:t xml:space="preserve">occurring </w:t>
      </w:r>
      <w:r w:rsidRPr="00AF529B">
        <w:t>land gabbing</w:t>
      </w:r>
      <w:r>
        <w:t xml:space="preserve"> are (a) </w:t>
      </w:r>
      <w:r w:rsidRPr="006D1A4A">
        <w:t>large-scale land and capital i</w:t>
      </w:r>
      <w:r w:rsidRPr="006D1A4A">
        <w:t>n</w:t>
      </w:r>
      <w:r w:rsidRPr="006D1A4A">
        <w:t xml:space="preserve">tensive investments, </w:t>
      </w:r>
      <w:r>
        <w:t xml:space="preserve">(b) </w:t>
      </w:r>
      <w:r w:rsidRPr="006D1A4A">
        <w:t>lack of government budget to cost development pr</w:t>
      </w:r>
      <w:r w:rsidRPr="006D1A4A">
        <w:t>o</w:t>
      </w:r>
      <w:r w:rsidRPr="006D1A4A">
        <w:t xml:space="preserve">jects, </w:t>
      </w:r>
      <w:r>
        <w:t xml:space="preserve">and (c) </w:t>
      </w:r>
      <w:r w:rsidRPr="006D1A4A">
        <w:t xml:space="preserve">the imperative role of corporate capital. </w:t>
      </w:r>
      <w:r>
        <w:t xml:space="preserve">Corporations will search </w:t>
      </w:r>
      <w:r w:rsidRPr="001E0D89">
        <w:t>new location</w:t>
      </w:r>
      <w:r>
        <w:t>s</w:t>
      </w:r>
      <w:r w:rsidRPr="001E0D89">
        <w:t xml:space="preserve"> of agrarian resources </w:t>
      </w:r>
      <w:r>
        <w:t xml:space="preserve">in order </w:t>
      </w:r>
      <w:r w:rsidRPr="001E0D89">
        <w:t xml:space="preserve">to </w:t>
      </w:r>
      <w:r>
        <w:t>invest/</w:t>
      </w:r>
      <w:r w:rsidRPr="001E0D89">
        <w:t>reinvest their capital</w:t>
      </w:r>
      <w:r>
        <w:t xml:space="preserve">. While lacks of government budget for development often become a reason for private capital </w:t>
      </w:r>
      <w:r w:rsidR="00E334B5">
        <w:t xml:space="preserve">to </w:t>
      </w:r>
      <w:r>
        <w:t>wish to work and get into a country. For the government it is solving their problems in order to accomplish their duty to do the develo</w:t>
      </w:r>
      <w:r>
        <w:t>p</w:t>
      </w:r>
      <w:r>
        <w:t xml:space="preserve">ment. Then they will </w:t>
      </w:r>
      <w:r w:rsidRPr="00063FBC">
        <w:t>provide</w:t>
      </w:r>
      <w:r>
        <w:t xml:space="preserve"> certain </w:t>
      </w:r>
      <w:r w:rsidRPr="00063FBC">
        <w:t>regulation</w:t>
      </w:r>
      <w:r>
        <w:t>s</w:t>
      </w:r>
      <w:r w:rsidRPr="00063FBC">
        <w:t xml:space="preserve"> and mechanism</w:t>
      </w:r>
      <w:r>
        <w:t>s</w:t>
      </w:r>
      <w:r w:rsidRPr="00063FBC">
        <w:t xml:space="preserve"> for inves</w:t>
      </w:r>
      <w:r w:rsidRPr="00063FBC">
        <w:t>t</w:t>
      </w:r>
      <w:r w:rsidRPr="00063FBC">
        <w:t>ment</w:t>
      </w:r>
      <w:r>
        <w:t xml:space="preserve"> as well as physical infrastructure means or plans for infrastructure deve</w:t>
      </w:r>
      <w:r>
        <w:t>l</w:t>
      </w:r>
      <w:r>
        <w:t>opment that private investors are possibly to involve.</w:t>
      </w:r>
    </w:p>
    <w:p w:rsidR="00F50D65" w:rsidRDefault="00F50D65" w:rsidP="002D7117">
      <w:bookmarkStart w:id="54" w:name="OLE_LINK3"/>
      <w:bookmarkStart w:id="55" w:name="OLE_LINK4"/>
      <w:bookmarkStart w:id="56" w:name="OLE_LINK49"/>
      <w:bookmarkStart w:id="57" w:name="OLE_LINK50"/>
      <w:r w:rsidRPr="00F50D65">
        <w:t>It is very interesting to see how the state provides opportunities for the private sector to take over the full development of physical infrastructure.</w:t>
      </w:r>
      <w:bookmarkEnd w:id="54"/>
      <w:bookmarkEnd w:id="55"/>
      <w:r>
        <w:t xml:space="preserve"> </w:t>
      </w:r>
      <w:r w:rsidRPr="00F50D65">
        <w:t xml:space="preserve">This is related to the analysis of the phenomenon of land grabbing is a deprivation of access and control </w:t>
      </w:r>
      <w:sdt>
        <w:sdtPr>
          <w:id w:val="121859074"/>
          <w:citation/>
        </w:sdtPr>
        <w:sdtContent>
          <w:r w:rsidR="00476E26">
            <w:fldChar w:fldCharType="begin"/>
          </w:r>
          <w:r w:rsidR="00995C83">
            <w:rPr>
              <w:lang w:val="en-US"/>
            </w:rPr>
            <w:instrText xml:space="preserve"> CITATION TNI12 \p 2 \l 1033  </w:instrText>
          </w:r>
          <w:r w:rsidR="00476E26">
            <w:fldChar w:fldCharType="separate"/>
          </w:r>
          <w:r w:rsidR="00995C83" w:rsidRPr="00995C83">
            <w:rPr>
              <w:noProof/>
              <w:lang w:val="en-US"/>
            </w:rPr>
            <w:t>(TNI, 2012, p. 2)</w:t>
          </w:r>
          <w:r w:rsidR="00476E26">
            <w:fldChar w:fldCharType="end"/>
          </w:r>
        </w:sdtContent>
      </w:sdt>
      <w:r w:rsidRPr="00F50D65">
        <w:t>. The reason for the lack of a budget for the construction of transportation facilities requires</w:t>
      </w:r>
      <w:r>
        <w:t xml:space="preserve"> </w:t>
      </w:r>
      <w:r w:rsidRPr="00F50D65">
        <w:t xml:space="preserve">an acceleration process by inviting investors </w:t>
      </w:r>
      <w:sdt>
        <w:sdtPr>
          <w:id w:val="121859075"/>
          <w:citation/>
        </w:sdtPr>
        <w:sdtContent>
          <w:r w:rsidR="00476E26">
            <w:fldChar w:fldCharType="begin"/>
          </w:r>
          <w:r w:rsidR="00995C83">
            <w:rPr>
              <w:lang w:val="en-US"/>
            </w:rPr>
            <w:instrText xml:space="preserve"> CITATION Kum07 \l 1033 </w:instrText>
          </w:r>
          <w:r w:rsidR="00476E26">
            <w:fldChar w:fldCharType="separate"/>
          </w:r>
          <w:r w:rsidR="00995C83" w:rsidRPr="00995C83">
            <w:rPr>
              <w:noProof/>
              <w:lang w:val="en-US"/>
            </w:rPr>
            <w:t>(Kumagai, Gokan, Isono, &amp; Keola, 2007)</w:t>
          </w:r>
          <w:r w:rsidR="00476E26">
            <w:fldChar w:fldCharType="end"/>
          </w:r>
        </w:sdtContent>
      </w:sdt>
      <w:r w:rsidRPr="00F50D65">
        <w:t xml:space="preserve"> through Public-Private Partnership scheme. In fact, the investors’ mind-set is merely</w:t>
      </w:r>
      <w:r>
        <w:t xml:space="preserve"> </w:t>
      </w:r>
      <w:r w:rsidRPr="00F50D65">
        <w:t>related to economic calculations to get a surplus on the infrastructures’ constructions. Speculation in the concept of investment in infrastructure is followed by the calculation of exposure new chambers of production after the establishment an adequate infrastructure facility</w:t>
      </w:r>
      <w:r>
        <w:t xml:space="preserve"> </w:t>
      </w:r>
      <w:sdt>
        <w:sdtPr>
          <w:id w:val="121859128"/>
          <w:citation/>
        </w:sdtPr>
        <w:sdtContent>
          <w:r w:rsidR="00476E26">
            <w:fldChar w:fldCharType="begin"/>
          </w:r>
          <w:r w:rsidR="00995C83">
            <w:rPr>
              <w:lang w:val="en-US"/>
            </w:rPr>
            <w:instrText xml:space="preserve"> CITATION Har10 \p 162 \t  \l 1033  </w:instrText>
          </w:r>
          <w:r w:rsidR="00476E26">
            <w:fldChar w:fldCharType="separate"/>
          </w:r>
          <w:r w:rsidR="00995C83" w:rsidRPr="00995C83">
            <w:rPr>
              <w:noProof/>
              <w:lang w:val="en-US"/>
            </w:rPr>
            <w:t>(Harvey, 2010, p. 162)</w:t>
          </w:r>
          <w:r w:rsidR="00476E26">
            <w:fldChar w:fldCharType="end"/>
          </w:r>
        </w:sdtContent>
      </w:sdt>
      <w:r w:rsidRPr="00F50D65">
        <w:t xml:space="preserve">. Areas with well-infrastructure facilities, in fact, would be easier to be accessed, which means </w:t>
      </w:r>
      <w:r w:rsidRPr="00F50D65">
        <w:lastRenderedPageBreak/>
        <w:t>the control and arrangement of resources, e.g. land, within those areas would be easier being transferred to the capital forces (local, national and foreign i</w:t>
      </w:r>
      <w:r w:rsidRPr="00F50D65">
        <w:t>n</w:t>
      </w:r>
      <w:r w:rsidRPr="00F50D65">
        <w:t>vestors) a</w:t>
      </w:r>
      <w:r w:rsidR="00894653">
        <w:t>s well. Those lands are possibly</w:t>
      </w:r>
      <w:r w:rsidRPr="00F50D65">
        <w:t xml:space="preserve"> a public land or state land, or even private land belongs to local people. </w:t>
      </w:r>
      <w:bookmarkEnd w:id="56"/>
      <w:bookmarkEnd w:id="57"/>
      <w:r>
        <w:t xml:space="preserve">In other words, </w:t>
      </w:r>
      <w:r w:rsidRPr="00F50D65">
        <w:t>expansion of the co</w:t>
      </w:r>
      <w:r w:rsidRPr="00F50D65">
        <w:t>m</w:t>
      </w:r>
      <w:r w:rsidRPr="00F50D65">
        <w:t>mercial interests is not just limited to the land required for the construction of infrastructure, but extends to the surrounding areas, which possibly lead to the land speculation, change of land value and land use within the areas.</w:t>
      </w:r>
    </w:p>
    <w:p w:rsidR="00F50D65" w:rsidRDefault="00FE690C" w:rsidP="002D7117">
      <w:bookmarkStart w:id="58" w:name="OLE_LINK7"/>
      <w:bookmarkStart w:id="59" w:name="OLE_LINK8"/>
      <w:r w:rsidRPr="00FE690C">
        <w:t>Role of the state is significant in the process of the land concentration by</w:t>
      </w:r>
      <w:r>
        <w:t xml:space="preserve"> corporations, particularly through the allocation of state or public land</w:t>
      </w:r>
      <w:bookmarkEnd w:id="58"/>
      <w:bookmarkEnd w:id="59"/>
      <w:r>
        <w:t xml:space="preserve">s for commercial purposes. </w:t>
      </w:r>
      <w:bookmarkStart w:id="60" w:name="OLE_LINK9"/>
      <w:bookmarkStart w:id="61" w:name="OLE_LINK10"/>
      <w:r>
        <w:t>In Indonesia, both national and local governments make easy transfer over the state/public lands control to the corporations. This f</w:t>
      </w:r>
      <w:r>
        <w:t>a</w:t>
      </w:r>
      <w:r>
        <w:t>cilitation is</w:t>
      </w:r>
      <w:r w:rsidRPr="004E43B4">
        <w:t xml:space="preserve"> not only limited to the application process </w:t>
      </w:r>
      <w:r>
        <w:t xml:space="preserve">of concession over the land targeted for development of highly </w:t>
      </w:r>
      <w:r w:rsidRPr="004E43B4">
        <w:t>economic activity</w:t>
      </w:r>
      <w:r>
        <w:t xml:space="preserve"> purposes, such as permit for plantation, mining or leisure places as well as tourism areas. </w:t>
      </w:r>
      <w:r w:rsidR="00F31A17">
        <w:t>S</w:t>
      </w:r>
      <w:r>
        <w:t>ince the New Order era until now, the government and the parliament revise many regulations and laws related to the land and natural resource control, spatial zoning, and location permits in order to facilitate business interest to control the lands for investment.</w:t>
      </w:r>
      <w:bookmarkEnd w:id="60"/>
      <w:bookmarkEnd w:id="61"/>
    </w:p>
    <w:p w:rsidR="00125FFC" w:rsidRDefault="00FE690C" w:rsidP="002D7117">
      <w:bookmarkStart w:id="62" w:name="OLE_LINK13"/>
      <w:bookmarkStart w:id="63" w:name="OLE_LINK14"/>
      <w:r w:rsidRPr="00F175D3">
        <w:t xml:space="preserve">Labour issues </w:t>
      </w:r>
      <w:r>
        <w:t xml:space="preserve">are also </w:t>
      </w:r>
      <w:r w:rsidRPr="00F175D3">
        <w:t>important in the expansion. As David Harvey e</w:t>
      </w:r>
      <w:r w:rsidRPr="00F175D3">
        <w:t>x</w:t>
      </w:r>
      <w:r w:rsidRPr="00F175D3">
        <w:t xml:space="preserve">plained that capitalism strategy is also talking about people mobilization and transforming them into proletarian, the main target is peasant groups and rural inhabitants </w:t>
      </w:r>
      <w:bookmarkEnd w:id="62"/>
      <w:bookmarkEnd w:id="63"/>
      <w:sdt>
        <w:sdtPr>
          <w:id w:val="121860847"/>
          <w:citation/>
        </w:sdtPr>
        <w:sdtContent>
          <w:r w:rsidR="00476E26">
            <w:fldChar w:fldCharType="begin"/>
          </w:r>
          <w:r w:rsidR="00F31A17">
            <w:rPr>
              <w:lang w:val="en-US"/>
            </w:rPr>
            <w:instrText xml:space="preserve"> CITATION Har10 \p 60 \n  \t  \l 1033  </w:instrText>
          </w:r>
          <w:r w:rsidR="00476E26">
            <w:fldChar w:fldCharType="separate"/>
          </w:r>
          <w:r w:rsidR="00F31A17" w:rsidRPr="00F31A17">
            <w:rPr>
              <w:noProof/>
              <w:lang w:val="en-US"/>
            </w:rPr>
            <w:t>(2010, p. 60)</w:t>
          </w:r>
          <w:r w:rsidR="00476E26">
            <w:fldChar w:fldCharType="end"/>
          </w:r>
        </w:sdtContent>
      </w:sdt>
      <w:r w:rsidRPr="00F175D3">
        <w:t xml:space="preserve">. </w:t>
      </w:r>
      <w:bookmarkStart w:id="64" w:name="OLE_LINK15"/>
      <w:bookmarkStart w:id="65" w:name="OLE_LINK16"/>
      <w:r w:rsidRPr="00485390">
        <w:t>As already revealed by Karl Marx that the existence of non-human technology that will do not mean anything, because actually human labour was the most prolific</w:t>
      </w:r>
      <w:r>
        <w:t xml:space="preserve"> </w:t>
      </w:r>
      <w:sdt>
        <w:sdtPr>
          <w:id w:val="121860848"/>
          <w:citation/>
        </w:sdtPr>
        <w:sdtContent>
          <w:r w:rsidR="00476E26">
            <w:fldChar w:fldCharType="begin"/>
          </w:r>
          <w:r>
            <w:rPr>
              <w:lang w:val="en-US"/>
            </w:rPr>
            <w:instrText xml:space="preserve"> CITATION Gir87 \p 5-8 \l 1033  </w:instrText>
          </w:r>
          <w:r w:rsidR="00476E26">
            <w:fldChar w:fldCharType="separate"/>
          </w:r>
          <w:r w:rsidRPr="00FE690C">
            <w:rPr>
              <w:noProof/>
              <w:lang w:val="en-US"/>
            </w:rPr>
            <w:t>(Girling, 1987, pp. 5-8)</w:t>
          </w:r>
          <w:r w:rsidR="00476E26">
            <w:fldChar w:fldCharType="end"/>
          </w:r>
        </w:sdtContent>
      </w:sdt>
      <w:r w:rsidRPr="00F175D3">
        <w:t xml:space="preserve">. </w:t>
      </w:r>
      <w:bookmarkEnd w:id="64"/>
      <w:bookmarkEnd w:id="65"/>
      <w:r w:rsidRPr="00485390">
        <w:t xml:space="preserve">Thus, arrangement of labour is very important, including inserting them into the labour market regimes </w:t>
      </w:r>
      <w:sdt>
        <w:sdtPr>
          <w:id w:val="121860849"/>
          <w:citation/>
        </w:sdtPr>
        <w:sdtContent>
          <w:r w:rsidR="00476E26">
            <w:fldChar w:fldCharType="begin"/>
          </w:r>
          <w:r>
            <w:rPr>
              <w:lang w:val="en-US"/>
            </w:rPr>
            <w:instrText xml:space="preserve"> CITATION Har10 \p 58 \t  \l 1033  </w:instrText>
          </w:r>
          <w:r w:rsidR="00476E26">
            <w:fldChar w:fldCharType="separate"/>
          </w:r>
          <w:r w:rsidRPr="00FE690C">
            <w:rPr>
              <w:noProof/>
              <w:lang w:val="en-US"/>
            </w:rPr>
            <w:t>(Harvey, 2010, p. 58)</w:t>
          </w:r>
          <w:r w:rsidR="00476E26">
            <w:fldChar w:fldCharType="end"/>
          </w:r>
        </w:sdtContent>
      </w:sdt>
      <w:r w:rsidRPr="00F175D3">
        <w:t xml:space="preserve">. </w:t>
      </w:r>
      <w:bookmarkStart w:id="66" w:name="OLE_LINK17"/>
      <w:bookmarkStart w:id="67" w:name="OLE_LINK18"/>
      <w:r w:rsidRPr="00F175D3">
        <w:t>In terms of a process of fulfilling a condition of capital investment, it will be enough to run through a huge amount of labour availability.</w:t>
      </w:r>
      <w:bookmarkEnd w:id="66"/>
      <w:bookmarkEnd w:id="67"/>
      <w:r w:rsidRPr="00F175D3">
        <w:t xml:space="preserve"> Due to that development, local people will lose their agricultural land or other land</w:t>
      </w:r>
      <w:r>
        <w:t>s that use for socio-cultural-and ecological purposes</w:t>
      </w:r>
      <w:r w:rsidRPr="00F175D3">
        <w:t xml:space="preserve">, and they will be </w:t>
      </w:r>
      <w:r>
        <w:t xml:space="preserve">transformed </w:t>
      </w:r>
      <w:r w:rsidRPr="00F175D3">
        <w:t>into wage labours that are ready to work on various development projects.</w:t>
      </w:r>
    </w:p>
    <w:p w:rsidR="00F50D65" w:rsidRDefault="00125FFC" w:rsidP="002D7117">
      <w:r w:rsidRPr="00125FFC">
        <w:t>Local people involvement in the development projects with a labour ma</w:t>
      </w:r>
      <w:r w:rsidRPr="00125FFC">
        <w:t>r</w:t>
      </w:r>
      <w:r w:rsidRPr="00125FFC">
        <w:t>ket scheme is crucial to analyse in order to see the ‘adverse incorporation’ ph</w:t>
      </w:r>
      <w:r w:rsidRPr="00125FFC">
        <w:t>e</w:t>
      </w:r>
      <w:r w:rsidRPr="00125FFC">
        <w:t xml:space="preserve">nomenon. </w:t>
      </w:r>
      <w:r>
        <w:t>Ac</w:t>
      </w:r>
      <w:r w:rsidR="00F31A17">
        <w:t>cording to Hickey and du Toit, ‘a</w:t>
      </w:r>
      <w:r w:rsidRPr="00125FFC">
        <w:t xml:space="preserve">dverse incorporation’ is </w:t>
      </w:r>
      <w:r>
        <w:t>“</w:t>
      </w:r>
      <w:r w:rsidRPr="00125FFC">
        <w:rPr>
          <w:i/>
          <w:lang w:val="en-US"/>
        </w:rPr>
        <w:t>captures the ways in which localized livelihood strategies are enabled and constrained by economic, s</w:t>
      </w:r>
      <w:r w:rsidRPr="00125FFC">
        <w:rPr>
          <w:i/>
          <w:lang w:val="en-US"/>
        </w:rPr>
        <w:t>o</w:t>
      </w:r>
      <w:r w:rsidRPr="00125FFC">
        <w:rPr>
          <w:i/>
          <w:lang w:val="en-US"/>
        </w:rPr>
        <w:t>cial and political relations over both time and space, in that they operate over lengthy periods and within cycles, and at multiple spatial levels, from local to global. These relations are dr</w:t>
      </w:r>
      <w:r w:rsidRPr="00125FFC">
        <w:rPr>
          <w:i/>
          <w:lang w:val="en-US"/>
        </w:rPr>
        <w:t>i</w:t>
      </w:r>
      <w:r w:rsidRPr="00125FFC">
        <w:rPr>
          <w:i/>
          <w:lang w:val="en-US"/>
        </w:rPr>
        <w:t>ven by inequalities of power</w:t>
      </w:r>
      <w:r w:rsidRPr="00125FFC">
        <w:rPr>
          <w:lang w:val="en-US"/>
        </w:rPr>
        <w:t>.</w:t>
      </w:r>
      <w:r>
        <w:rPr>
          <w:lang w:val="en-US"/>
        </w:rPr>
        <w:t>”</w:t>
      </w:r>
      <w:r w:rsidRPr="00125FFC">
        <w:rPr>
          <w:lang w:val="en-US"/>
        </w:rPr>
        <w:t xml:space="preserve"> </w:t>
      </w:r>
      <w:sdt>
        <w:sdtPr>
          <w:rPr>
            <w:lang w:val="en-US"/>
          </w:rPr>
          <w:id w:val="121859129"/>
          <w:citation/>
        </w:sdtPr>
        <w:sdtContent>
          <w:r w:rsidR="00476E26">
            <w:rPr>
              <w:lang w:val="en-US"/>
            </w:rPr>
            <w:fldChar w:fldCharType="begin"/>
          </w:r>
          <w:r w:rsidR="00F31A17">
            <w:rPr>
              <w:lang w:val="en-US"/>
            </w:rPr>
            <w:instrText xml:space="preserve"> CITATION Hic07 \p 2-3 \n  \t  \l 1033  </w:instrText>
          </w:r>
          <w:r w:rsidR="00476E26">
            <w:rPr>
              <w:lang w:val="en-US"/>
            </w:rPr>
            <w:fldChar w:fldCharType="separate"/>
          </w:r>
          <w:r w:rsidR="00F31A17" w:rsidRPr="00F31A17">
            <w:rPr>
              <w:noProof/>
              <w:lang w:val="en-US"/>
            </w:rPr>
            <w:t>(2007, pp. 2-3)</w:t>
          </w:r>
          <w:r w:rsidR="00476E26">
            <w:rPr>
              <w:lang w:val="en-US"/>
            </w:rPr>
            <w:fldChar w:fldCharType="end"/>
          </w:r>
        </w:sdtContent>
      </w:sdt>
      <w:r w:rsidRPr="00125FFC">
        <w:t>. In this sense, ‘adverse incorporation’ phenomena can be seen as kind of social exclusion that has not only occurred in the form of total eviction of the local people from their land. Even after people lost their control over land, they are possible to involve in the newly large-scale commercial projects as the wage labour or contractual farmers with limited – frequently have no</w:t>
      </w:r>
      <w:r w:rsidR="00772869">
        <w:t xml:space="preserve"> more</w:t>
      </w:r>
      <w:r w:rsidRPr="00125FFC">
        <w:t xml:space="preserve"> – freedom to live along with their appropr</w:t>
      </w:r>
      <w:r w:rsidRPr="00125FFC">
        <w:t>i</w:t>
      </w:r>
      <w:r w:rsidRPr="00125FFC">
        <w:t xml:space="preserve">ate social life </w:t>
      </w:r>
      <w:sdt>
        <w:sdtPr>
          <w:id w:val="121859130"/>
          <w:citation/>
        </w:sdtPr>
        <w:sdtContent>
          <w:r w:rsidR="00476E26">
            <w:fldChar w:fldCharType="begin"/>
          </w:r>
          <w:r>
            <w:rPr>
              <w:lang w:val="en-US"/>
            </w:rPr>
            <w:instrText xml:space="preserve"> CITATION McC10 \m Sen00 \p 17 \m TNI12 \p 11 \l 1033  </w:instrText>
          </w:r>
          <w:r w:rsidR="00476E26">
            <w:fldChar w:fldCharType="separate"/>
          </w:r>
          <w:r w:rsidRPr="00125FFC">
            <w:rPr>
              <w:noProof/>
              <w:lang w:val="en-US"/>
            </w:rPr>
            <w:t>(McCarthy, 2010; Sen, 2000, p. 17; TNI, 2012, p. 11)</w:t>
          </w:r>
          <w:r w:rsidR="00476E26">
            <w:fldChar w:fldCharType="end"/>
          </w:r>
        </w:sdtContent>
      </w:sdt>
      <w:r w:rsidRPr="00125FFC">
        <w:t>. So even though economic corridor policy is targeted to absorb a great number of e</w:t>
      </w:r>
      <w:r w:rsidRPr="00125FFC">
        <w:t>m</w:t>
      </w:r>
      <w:r w:rsidRPr="00125FFC">
        <w:t xml:space="preserve">ployment as well as open a new job opportunity (as mention in the “inclusive development strategy”), it is possible bring out the social exclusion symptoms </w:t>
      </w:r>
      <w:sdt>
        <w:sdtPr>
          <w:id w:val="121859137"/>
          <w:citation/>
        </w:sdtPr>
        <w:sdtContent>
          <w:r w:rsidR="00476E26">
            <w:fldChar w:fldCharType="begin"/>
          </w:r>
          <w:r>
            <w:rPr>
              <w:lang w:val="en-US"/>
            </w:rPr>
            <w:instrText xml:space="preserve"> CITATION Uni11 \p 87 \l 1033  </w:instrText>
          </w:r>
          <w:r w:rsidR="00476E26">
            <w:fldChar w:fldCharType="separate"/>
          </w:r>
          <w:r w:rsidRPr="00125FFC">
            <w:rPr>
              <w:noProof/>
              <w:lang w:val="en-US"/>
            </w:rPr>
            <w:t>(United Nation Development Programme, 2011, p. 87)</w:t>
          </w:r>
          <w:r w:rsidR="00476E26">
            <w:fldChar w:fldCharType="end"/>
          </w:r>
        </w:sdtContent>
      </w:sdt>
      <w:r w:rsidRPr="00125FFC">
        <w:t>.</w:t>
      </w:r>
    </w:p>
    <w:p w:rsidR="00FE690C" w:rsidRDefault="00FE690C" w:rsidP="002D7117">
      <w:r w:rsidRPr="00FE690C">
        <w:t>According to Hickey and du Toit, social exclusion</w:t>
      </w:r>
      <w:r>
        <w:t xml:space="preserve"> </w:t>
      </w:r>
      <w:r w:rsidRPr="00FE690C">
        <w:t xml:space="preserve">refers to </w:t>
      </w:r>
      <w:r w:rsidRPr="00FE690C">
        <w:rPr>
          <w:lang w:val="en-US"/>
        </w:rPr>
        <w:t>‘</w:t>
      </w:r>
      <w:r w:rsidRPr="00772869">
        <w:rPr>
          <w:i/>
          <w:lang w:val="en-US"/>
        </w:rPr>
        <w:t xml:space="preserve">the process through which individuals or groups are wholly or partially excluded from society in which </w:t>
      </w:r>
      <w:r w:rsidRPr="00772869">
        <w:rPr>
          <w:i/>
          <w:lang w:val="en-US"/>
        </w:rPr>
        <w:lastRenderedPageBreak/>
        <w:t>they live</w:t>
      </w:r>
      <w:r w:rsidRPr="00FE690C">
        <w:rPr>
          <w:lang w:val="en-US"/>
        </w:rPr>
        <w:t xml:space="preserve">’ </w:t>
      </w:r>
      <w:sdt>
        <w:sdtPr>
          <w:rPr>
            <w:lang w:val="en-US"/>
          </w:rPr>
          <w:id w:val="121860855"/>
          <w:citation/>
        </w:sdtPr>
        <w:sdtContent>
          <w:r w:rsidR="00476E26">
            <w:rPr>
              <w:lang w:val="en-US"/>
            </w:rPr>
            <w:fldChar w:fldCharType="begin"/>
          </w:r>
          <w:r>
            <w:rPr>
              <w:lang w:val="en-US"/>
            </w:rPr>
            <w:instrText xml:space="preserve"> CITATION Hic07 \p 2-3 \n  \t  \l 1033  </w:instrText>
          </w:r>
          <w:r w:rsidR="00476E26">
            <w:rPr>
              <w:lang w:val="en-US"/>
            </w:rPr>
            <w:fldChar w:fldCharType="separate"/>
          </w:r>
          <w:r w:rsidRPr="00FE690C">
            <w:rPr>
              <w:noProof/>
              <w:lang w:val="en-US"/>
            </w:rPr>
            <w:t>(2007, pp. 2-3)</w:t>
          </w:r>
          <w:r w:rsidR="00476E26">
            <w:rPr>
              <w:lang w:val="en-US"/>
            </w:rPr>
            <w:fldChar w:fldCharType="end"/>
          </w:r>
        </w:sdtContent>
      </w:sdt>
      <w:r w:rsidRPr="00FE690C">
        <w:rPr>
          <w:lang w:val="en-US"/>
        </w:rPr>
        <w:t>. In this instance, social exclusion regards to availability or unavailability or being limited someone’s access over resources for liveli</w:t>
      </w:r>
      <w:r w:rsidRPr="00FE690C">
        <w:rPr>
          <w:lang w:val="en-US"/>
        </w:rPr>
        <w:t>h</w:t>
      </w:r>
      <w:r w:rsidRPr="00FE690C">
        <w:rPr>
          <w:lang w:val="en-US"/>
        </w:rPr>
        <w:t>ood within a society.</w:t>
      </w:r>
      <w:r w:rsidRPr="00FE690C">
        <w:t>In agrarian-based society social exclusion simply means the lost or limited access to the land and/or other natural resources through various mechanisms</w:t>
      </w:r>
      <w:r w:rsidRPr="00FE690C">
        <w:rPr>
          <w:vertAlign w:val="superscript"/>
        </w:rPr>
        <w:footnoteReference w:id="14"/>
      </w:r>
      <w:r w:rsidRPr="00FE690C">
        <w:t xml:space="preserve">. This process of exclusion occurs when (a) already-existing access to land is maintain by the exclusion of other potential users; (b) people lose the land; and (c) people who totally </w:t>
      </w:r>
      <w:r w:rsidR="00894653">
        <w:t xml:space="preserve">have </w:t>
      </w:r>
      <w:r w:rsidRPr="00FE690C">
        <w:t>lack access and are pr</w:t>
      </w:r>
      <w:r w:rsidRPr="00FE690C">
        <w:t>e</w:t>
      </w:r>
      <w:r w:rsidRPr="00FE690C">
        <w:t xml:space="preserve">vented from getting it </w:t>
      </w:r>
      <w:sdt>
        <w:sdtPr>
          <w:id w:val="121860856"/>
          <w:citation/>
        </w:sdtPr>
        <w:sdtContent>
          <w:r w:rsidR="00476E26">
            <w:fldChar w:fldCharType="begin"/>
          </w:r>
          <w:r>
            <w:rPr>
              <w:lang w:val="en-US"/>
            </w:rPr>
            <w:instrText xml:space="preserve"> CITATION Hal11 \p 7-8 \l 1033  </w:instrText>
          </w:r>
          <w:r w:rsidR="00476E26">
            <w:fldChar w:fldCharType="separate"/>
          </w:r>
          <w:r w:rsidRPr="00FE690C">
            <w:rPr>
              <w:noProof/>
              <w:lang w:val="en-US"/>
            </w:rPr>
            <w:t>(Hall, Hirsch, &amp; Li, 2011, pp. 7-8)</w:t>
          </w:r>
          <w:r w:rsidR="00476E26">
            <w:fldChar w:fldCharType="end"/>
          </w:r>
        </w:sdtContent>
      </w:sdt>
      <w:r w:rsidRPr="00FE690C">
        <w:t>. As Derek Hall, Philip Hirsch and Tania Li argue</w:t>
      </w:r>
      <w:r>
        <w:t xml:space="preserve"> </w:t>
      </w:r>
      <w:r w:rsidRPr="00FE690C">
        <w:t xml:space="preserve">then that in land issues, power is the main element of exclusion, in which covers four elements of power: regulation, force, the market, and legitimacy </w:t>
      </w:r>
      <w:sdt>
        <w:sdtPr>
          <w:id w:val="121860857"/>
          <w:citation/>
        </w:sdtPr>
        <w:sdtContent>
          <w:r w:rsidR="00476E26">
            <w:fldChar w:fldCharType="begin"/>
          </w:r>
          <w:r>
            <w:rPr>
              <w:lang w:val="en-US"/>
            </w:rPr>
            <w:instrText xml:space="preserve"> CITATION Hal11 \p 15-18 \n  \t  \l 1033  </w:instrText>
          </w:r>
          <w:r w:rsidR="00476E26">
            <w:fldChar w:fldCharType="separate"/>
          </w:r>
          <w:r w:rsidRPr="00FE690C">
            <w:rPr>
              <w:noProof/>
              <w:lang w:val="en-US"/>
            </w:rPr>
            <w:t>(2011, pp. 15-18)</w:t>
          </w:r>
          <w:r w:rsidR="00476E26">
            <w:fldChar w:fldCharType="end"/>
          </w:r>
        </w:sdtContent>
      </w:sdt>
      <w:r w:rsidRPr="00FE690C">
        <w:t>. They also explained that all the r</w:t>
      </w:r>
      <w:r w:rsidRPr="00FE690C">
        <w:t>e</w:t>
      </w:r>
      <w:r w:rsidRPr="00FE690C">
        <w:t>sponses cannot stand-alone or one of them will either be influencing or i</w:t>
      </w:r>
      <w:r w:rsidRPr="00FE690C">
        <w:t>m</w:t>
      </w:r>
      <w:r w:rsidRPr="00FE690C">
        <w:t>pacting to another.</w:t>
      </w:r>
    </w:p>
    <w:p w:rsidR="00125FFC" w:rsidRDefault="00FE690C" w:rsidP="00125FFC">
      <w:bookmarkStart w:id="68" w:name="OLE_LINK29"/>
      <w:bookmarkStart w:id="69" w:name="OLE_LINK30"/>
      <w:r>
        <w:t xml:space="preserve">In the context of existence of the development projects within a society, social exclusion can be find in two ways: local people lost their land for the projects, and/or their (local people) only have limited </w:t>
      </w:r>
      <w:r w:rsidR="00125FFC" w:rsidRPr="009D69D4">
        <w:t>access to gain a job o</w:t>
      </w:r>
      <w:r w:rsidR="00125FFC" w:rsidRPr="009D69D4">
        <w:t>p</w:t>
      </w:r>
      <w:r w:rsidR="00125FFC" w:rsidRPr="009D69D4">
        <w:t>portunity in that development projects, as well as an access to earn a deserve wages.</w:t>
      </w:r>
      <w:r w:rsidR="00125FFC">
        <w:t xml:space="preserve"> </w:t>
      </w:r>
      <w:r w:rsidR="00125FFC" w:rsidRPr="004653E9">
        <w:t>Generally, local people will only have an opportunity to work according to their skill and because of their minimum ability or skill; therefore, the job that possible to be had is limited in a low-wage labour work.</w:t>
      </w:r>
      <w:r w:rsidR="00125FFC">
        <w:t xml:space="preserve"> When they have a higher skill, they should compete with other workers who are coming or sent from out of their area. However, both options are indicating that local people only have an access to earn minimum access, which is as a low wages labour, than having an opportunity to collect further surpluses from those economic activities </w:t>
      </w:r>
      <w:sdt>
        <w:sdtPr>
          <w:id w:val="121859138"/>
          <w:citation/>
        </w:sdtPr>
        <w:sdtContent>
          <w:r w:rsidR="00476E26">
            <w:fldChar w:fldCharType="begin"/>
          </w:r>
          <w:r w:rsidR="00125FFC">
            <w:rPr>
              <w:lang w:val="en-US"/>
            </w:rPr>
            <w:instrText xml:space="preserve"> CITATION Rib03 \l 1033 </w:instrText>
          </w:r>
          <w:r w:rsidR="00476E26">
            <w:fldChar w:fldCharType="separate"/>
          </w:r>
          <w:r w:rsidR="00125FFC" w:rsidRPr="00125FFC">
            <w:rPr>
              <w:noProof/>
              <w:lang w:val="en-US"/>
            </w:rPr>
            <w:t>(Ribot &amp; Peluso, 2003)</w:t>
          </w:r>
          <w:r w:rsidR="00476E26">
            <w:fldChar w:fldCharType="end"/>
          </w:r>
        </w:sdtContent>
      </w:sdt>
      <w:bookmarkEnd w:id="68"/>
      <w:bookmarkEnd w:id="69"/>
      <w:r w:rsidR="00125FFC">
        <w:rPr>
          <w:noProof/>
        </w:rPr>
        <w:t>.</w:t>
      </w:r>
    </w:p>
    <w:p w:rsidR="00125FFC" w:rsidRDefault="00A6092E" w:rsidP="00125FFC">
      <w:bookmarkStart w:id="70" w:name="OLE_LINK35"/>
      <w:bookmarkStart w:id="71" w:name="OLE_LINK36"/>
      <w:r>
        <w:t>Social exclusion (including ‘adverse incorporation’) occurs in the impl</w:t>
      </w:r>
      <w:r>
        <w:t>e</w:t>
      </w:r>
      <w:r>
        <w:t>mentation of economic corridor policy will explain the so-called ‘relative po</w:t>
      </w:r>
      <w:r>
        <w:t>v</w:t>
      </w:r>
      <w:r>
        <w:t xml:space="preserve">erty’, which is in line with or a continuity of inequality condition. Hickey and du Toit theorizing that ‘relative poverty’ occurs due to the policy target only addressed to improve the rate of economic growth performance at a national level </w:t>
      </w:r>
      <w:sdt>
        <w:sdtPr>
          <w:id w:val="121860858"/>
          <w:citation/>
        </w:sdtPr>
        <w:sdtContent>
          <w:r w:rsidR="00476E26">
            <w:fldChar w:fldCharType="begin"/>
          </w:r>
          <w:r w:rsidR="00F31A17">
            <w:rPr>
              <w:lang w:val="en-US"/>
            </w:rPr>
            <w:instrText xml:space="preserve"> CITATION Hic07 \p 1 \n  \t  \l 1033  </w:instrText>
          </w:r>
          <w:r w:rsidR="00476E26">
            <w:fldChar w:fldCharType="separate"/>
          </w:r>
          <w:r w:rsidR="00F31A17" w:rsidRPr="00F31A17">
            <w:rPr>
              <w:noProof/>
              <w:lang w:val="en-US"/>
            </w:rPr>
            <w:t>(2007, p. 1)</w:t>
          </w:r>
          <w:r w:rsidR="00476E26">
            <w:fldChar w:fldCharType="end"/>
          </w:r>
        </w:sdtContent>
      </w:sdt>
      <w:r>
        <w:t>. When an economic activity grows generated from infrastru</w:t>
      </w:r>
      <w:r>
        <w:t>c</w:t>
      </w:r>
      <w:r>
        <w:t>ture development followed by large-scale control over surrounding lands/areas for commercial/business interest, the rate of economic growth will increase just on the paper. Nevertheless, socio and economic im</w:t>
      </w:r>
      <w:r w:rsidR="00772869">
        <w:t>pacts in society will show</w:t>
      </w:r>
      <w:r>
        <w:t xml:space="preserve"> the opposite way. I</w:t>
      </w:r>
      <w:r w:rsidRPr="00D25CD2">
        <w:t xml:space="preserve">nequality </w:t>
      </w:r>
      <w:r>
        <w:t xml:space="preserve">access </w:t>
      </w:r>
      <w:r w:rsidRPr="00D25CD2">
        <w:t>to a deserve</w:t>
      </w:r>
      <w:r>
        <w:t>d</w:t>
      </w:r>
      <w:r w:rsidRPr="00D25CD2">
        <w:t xml:space="preserve"> wages and even more to gain surpluses by local people is not equal compare to </w:t>
      </w:r>
      <w:r>
        <w:t xml:space="preserve">the </w:t>
      </w:r>
      <w:r w:rsidRPr="00D25CD2">
        <w:t xml:space="preserve">surpluses earned by </w:t>
      </w:r>
      <w:r>
        <w:t xml:space="preserve">corporations </w:t>
      </w:r>
      <w:r w:rsidRPr="00D25CD2">
        <w:t>through their investment project</w:t>
      </w:r>
      <w:r>
        <w:t>s</w:t>
      </w:r>
      <w:r w:rsidRPr="00D25CD2">
        <w:t>.</w:t>
      </w:r>
      <w:r>
        <w:t xml:space="preserve"> </w:t>
      </w:r>
      <w:r w:rsidRPr="00D25CD2">
        <w:t>Inequality of land</w:t>
      </w:r>
      <w:r>
        <w:t>holding</w:t>
      </w:r>
      <w:r w:rsidRPr="00D25CD2">
        <w:t xml:space="preserve"> structure explains an inequality in a higher level, due to the transfer of the land use and ownership and control of land to the small groups, such as entrepr</w:t>
      </w:r>
      <w:r w:rsidRPr="00D25CD2">
        <w:t>e</w:t>
      </w:r>
      <w:r w:rsidRPr="00D25CD2">
        <w:t xml:space="preserve">neurs, who have capital </w:t>
      </w:r>
      <w:sdt>
        <w:sdtPr>
          <w:id w:val="3040574"/>
          <w:citation/>
        </w:sdtPr>
        <w:sdtContent>
          <w:r w:rsidR="00B168AD">
            <w:fldChar w:fldCharType="begin"/>
          </w:r>
          <w:r w:rsidR="00B168AD">
            <w:rPr>
              <w:lang w:val="en-US"/>
            </w:rPr>
            <w:instrText xml:space="preserve"> CITATION Bor10 \t  \l 1033  </w:instrText>
          </w:r>
          <w:r w:rsidR="00B168AD">
            <w:fldChar w:fldCharType="separate"/>
          </w:r>
          <w:r w:rsidR="00B168AD" w:rsidRPr="00B168AD">
            <w:rPr>
              <w:noProof/>
              <w:lang w:val="en-US"/>
            </w:rPr>
            <w:t>(Borras &amp; Franco, 2010)</w:t>
          </w:r>
          <w:r w:rsidR="00B168AD">
            <w:fldChar w:fldCharType="end"/>
          </w:r>
        </w:sdtContent>
      </w:sdt>
      <w:r>
        <w:t>.</w:t>
      </w:r>
      <w:bookmarkEnd w:id="70"/>
      <w:bookmarkEnd w:id="71"/>
      <w:r w:rsidR="00772869">
        <w:t xml:space="preserve"> </w:t>
      </w:r>
      <w:r>
        <w:t>Therefore the i</w:t>
      </w:r>
      <w:bookmarkStart w:id="72" w:name="_GoBack"/>
      <w:bookmarkEnd w:id="72"/>
      <w:r>
        <w:t>mplement</w:t>
      </w:r>
      <w:r>
        <w:t>a</w:t>
      </w:r>
      <w:r>
        <w:t>tion of economic corridors policy that strongly lead to land concentration or large-scale land control by the corporate will make the existing unequal lan</w:t>
      </w:r>
      <w:r>
        <w:t>d</w:t>
      </w:r>
      <w:r>
        <w:t>holding structure in Indon</w:t>
      </w:r>
      <w:r w:rsidR="00894653">
        <w:t>esia worse</w:t>
      </w:r>
      <w:r>
        <w:t>.</w:t>
      </w:r>
    </w:p>
    <w:p w:rsidR="00811427" w:rsidRDefault="00811427" w:rsidP="00125FFC"/>
    <w:p w:rsidR="00811427" w:rsidRDefault="00811427" w:rsidP="00811427">
      <w:pPr>
        <w:pStyle w:val="Heading1"/>
      </w:pPr>
      <w:bookmarkStart w:id="73" w:name="_Toc340497432"/>
      <w:bookmarkStart w:id="74" w:name="_Toc335596234"/>
      <w:bookmarkStart w:id="75" w:name="_Toc340135841"/>
      <w:r>
        <w:lastRenderedPageBreak/>
        <w:t>Chapter 3</w:t>
      </w:r>
      <w:r>
        <w:br/>
      </w:r>
      <w:r w:rsidRPr="00D53ACC">
        <w:rPr>
          <w:lang w:val="en-US"/>
        </w:rPr>
        <w:t>Economic Corridor Policy, C</w:t>
      </w:r>
      <w:r w:rsidRPr="00D53ACC">
        <w:rPr>
          <w:lang w:val="id-ID"/>
        </w:rPr>
        <w:t xml:space="preserve">apital-driven </w:t>
      </w:r>
      <w:r w:rsidRPr="00D53ACC">
        <w:rPr>
          <w:lang w:val="en-US"/>
        </w:rPr>
        <w:t xml:space="preserve">Growth, and </w:t>
      </w:r>
      <w:r w:rsidRPr="00D53ACC">
        <w:rPr>
          <w:lang w:val="id-ID"/>
        </w:rPr>
        <w:t xml:space="preserve">Land </w:t>
      </w:r>
      <w:r w:rsidRPr="00D53ACC">
        <w:rPr>
          <w:lang w:val="en-US"/>
        </w:rPr>
        <w:t>C</w:t>
      </w:r>
      <w:r w:rsidRPr="00D53ACC">
        <w:rPr>
          <w:lang w:val="id-ID"/>
        </w:rPr>
        <w:t xml:space="preserve">oncentration </w:t>
      </w:r>
      <w:r w:rsidRPr="00D53ACC">
        <w:rPr>
          <w:lang w:val="en-US"/>
        </w:rPr>
        <w:t xml:space="preserve">in </w:t>
      </w:r>
      <w:r w:rsidRPr="00D53ACC">
        <w:rPr>
          <w:lang w:val="id-ID"/>
        </w:rPr>
        <w:t xml:space="preserve">Java, </w:t>
      </w:r>
      <w:r w:rsidRPr="00D53ACC">
        <w:rPr>
          <w:lang w:val="en-US"/>
        </w:rPr>
        <w:t>Indonesia</w:t>
      </w:r>
      <w:bookmarkEnd w:id="73"/>
    </w:p>
    <w:p w:rsidR="00811427" w:rsidRPr="00811427" w:rsidRDefault="007E7A4E" w:rsidP="007D28E3">
      <w:pPr>
        <w:pStyle w:val="Normalfirstparagraph"/>
      </w:pPr>
      <w:bookmarkStart w:id="76" w:name="OLE_LINK51"/>
      <w:r w:rsidRPr="00811427">
        <w:t>To analyze a Java Economic Corridor (JEC) policy, it is necessary to scrutinize how Indonesia has been as a potential location target of investment. Since the New Order era</w:t>
      </w:r>
      <w:r>
        <w:t xml:space="preserve"> and after lot of obstacles have</w:t>
      </w:r>
      <w:r w:rsidRPr="00811427">
        <w:t xml:space="preserve"> existed and tried to be dismissed until the Economic Corridor Policy </w:t>
      </w:r>
      <w:r w:rsidR="00E334B5">
        <w:t>was</w:t>
      </w:r>
      <w:r w:rsidRPr="00811427">
        <w:t xml:space="preserve"> regulated </w:t>
      </w:r>
      <w:r>
        <w:t xml:space="preserve">by </w:t>
      </w:r>
      <w:r w:rsidRPr="00811427">
        <w:t>the end of 2011. Ho</w:t>
      </w:r>
      <w:r w:rsidRPr="00811427">
        <w:t>w</w:t>
      </w:r>
      <w:r w:rsidRPr="00811427">
        <w:t xml:space="preserve">ever, it does not mean that no capital has been working in Indonesia, at the same time, the broad wave of </w:t>
      </w:r>
      <w:r>
        <w:t xml:space="preserve">neoliberal </w:t>
      </w:r>
      <w:r w:rsidRPr="00811427">
        <w:t xml:space="preserve">capitalism </w:t>
      </w:r>
      <w:r>
        <w:t xml:space="preserve">agendas </w:t>
      </w:r>
      <w:r w:rsidRPr="00811427">
        <w:t xml:space="preserve">has been trying to omit all of barriers or at least to be minimized. In </w:t>
      </w:r>
      <w:r>
        <w:t>Indonesia’s experience, cap</w:t>
      </w:r>
      <w:r>
        <w:t>i</w:t>
      </w:r>
      <w:r>
        <w:t>talist used the crisis condition in order to change the Indonesia’s social, politics and economics circumstances, including some changes after the 1997 Asia f</w:t>
      </w:r>
      <w:r>
        <w:t>i</w:t>
      </w:r>
      <w:r>
        <w:t>nancial crisis until the establishment of liberal democracy in 2004</w:t>
      </w:r>
      <w:r w:rsidRPr="00811427">
        <w:t xml:space="preserve">. </w:t>
      </w:r>
      <w:r>
        <w:t>L</w:t>
      </w:r>
      <w:r w:rsidRPr="00811427">
        <w:t xml:space="preserve">ater, it has continued to limit the state’s intervention in the economic development. </w:t>
      </w:r>
      <w:r>
        <w:t>E</w:t>
      </w:r>
      <w:r>
        <w:t>n</w:t>
      </w:r>
      <w:r>
        <w:t>couraging</w:t>
      </w:r>
      <w:r w:rsidRPr="00811427">
        <w:t xml:space="preserve"> democratic system is essential</w:t>
      </w:r>
      <w:r>
        <w:t>. I</w:t>
      </w:r>
      <w:r w:rsidRPr="00811427">
        <w:t xml:space="preserve">t makes openness conditions </w:t>
      </w:r>
      <w:r>
        <w:t xml:space="preserve">that </w:t>
      </w:r>
      <w:r w:rsidRPr="00811427">
        <w:t>everyone can take an opportunity to involve in economic activities</w:t>
      </w:r>
      <w:r>
        <w:t>; while the liberalism treats the corporate entities equal to the individual</w:t>
      </w:r>
      <w:r w:rsidRPr="00811427">
        <w:t xml:space="preserve">. </w:t>
      </w:r>
      <w:r>
        <w:t xml:space="preserve">Then liberal economy was strengthened as well since that time. </w:t>
      </w:r>
      <w:r w:rsidRPr="00811427">
        <w:t>Afterward, the main phys</w:t>
      </w:r>
      <w:r w:rsidRPr="00811427">
        <w:t>i</w:t>
      </w:r>
      <w:r w:rsidRPr="00811427">
        <w:t xml:space="preserve">cal problem of Indonesia, </w:t>
      </w:r>
      <w:r>
        <w:t>the</w:t>
      </w:r>
      <w:r w:rsidRPr="00811427">
        <w:t xml:space="preserve"> infrastructure, can be straightened up. The n</w:t>
      </w:r>
      <w:r w:rsidRPr="00811427">
        <w:t>a</w:t>
      </w:r>
      <w:r w:rsidRPr="00811427">
        <w:t xml:space="preserve">tional framework of economic corridor policy (MP3EI), in </w:t>
      </w:r>
      <w:r>
        <w:t xml:space="preserve">the </w:t>
      </w:r>
      <w:r w:rsidRPr="00811427">
        <w:t>essence, is to ease capital flows. The private sector involvements are important by the acce</w:t>
      </w:r>
      <w:r w:rsidRPr="00811427">
        <w:t>l</w:t>
      </w:r>
      <w:r w:rsidRPr="00811427">
        <w:t>eration of economic development</w:t>
      </w:r>
      <w:r w:rsidR="00E334B5">
        <w:t xml:space="preserve"> reason, even on the other side</w:t>
      </w:r>
      <w:r w:rsidRPr="00811427">
        <w:t>, it will occur a privatization in various sectors.</w:t>
      </w:r>
    </w:p>
    <w:p w:rsidR="00811427" w:rsidRDefault="00811427" w:rsidP="00811427">
      <w:pPr>
        <w:pStyle w:val="Normalfirstparagraph"/>
        <w:ind w:firstLine="450"/>
      </w:pPr>
      <w:r w:rsidRPr="00811427">
        <w:t>The financial crisis that hit Asia in the late 1990s has lowered the inves</w:t>
      </w:r>
      <w:r w:rsidRPr="00811427">
        <w:t>t</w:t>
      </w:r>
      <w:r w:rsidRPr="00811427">
        <w:t xml:space="preserve">ment growth, either domestic investment or foreign investment. Especially in 1997, almost all countries in Asia experienced a difficult time in the economic development, including Indonesia </w:t>
      </w:r>
      <w:sdt>
        <w:sdtPr>
          <w:id w:val="121859183"/>
          <w:citation/>
        </w:sdtPr>
        <w:sdtContent>
          <w:r w:rsidR="00476E26">
            <w:fldChar w:fldCharType="begin"/>
          </w:r>
          <w:r w:rsidR="006F31AE">
            <w:rPr>
              <w:lang w:val="en-US"/>
            </w:rPr>
            <w:instrText xml:space="preserve"> CITATION Mol08 \p 335 \l 1033  </w:instrText>
          </w:r>
          <w:r w:rsidR="00476E26">
            <w:fldChar w:fldCharType="separate"/>
          </w:r>
          <w:r w:rsidR="006F31AE" w:rsidRPr="006F31AE">
            <w:rPr>
              <w:noProof/>
              <w:lang w:val="en-US"/>
            </w:rPr>
            <w:t>(Molnar &amp; Lesher, 2008, p. 335)</w:t>
          </w:r>
          <w:r w:rsidR="00476E26">
            <w:fldChar w:fldCharType="end"/>
          </w:r>
        </w:sdtContent>
      </w:sdt>
      <w:r w:rsidRPr="00811427">
        <w:t xml:space="preserve">. </w:t>
      </w:r>
      <w:r w:rsidR="001D2198">
        <w:t>In the d</w:t>
      </w:r>
      <w:r w:rsidRPr="00811427">
        <w:t>ata provided by the Bank of Indonesia, the decrease in domestic investment was 50%, while foreign investment has dramatically decreased nearly 70% in 1998, and it has happened in a few years after. However, it had recovered in 2000 and drastically jumped in 2007</w:t>
      </w:r>
      <w:r w:rsidRPr="00811427">
        <w:rPr>
          <w:vertAlign w:val="superscript"/>
        </w:rPr>
        <w:footnoteReference w:id="15"/>
      </w:r>
      <w:r w:rsidRPr="00811427">
        <w:t>, which the value has exceeded the existing i</w:t>
      </w:r>
      <w:r w:rsidRPr="00811427">
        <w:t>n</w:t>
      </w:r>
      <w:r w:rsidRPr="00811427">
        <w:t xml:space="preserve">vestments’ value in the period before the crisis in 1997 (Graph 3.1.). </w:t>
      </w:r>
      <w:r w:rsidR="001260B5">
        <w:t>A</w:t>
      </w:r>
      <w:r w:rsidRPr="00811427">
        <w:t>t the time, Indonesia was one of the countries that experiencing an enormous co</w:t>
      </w:r>
      <w:r w:rsidRPr="00811427">
        <w:t>l</w:t>
      </w:r>
      <w:r w:rsidRPr="00811427">
        <w:t xml:space="preserve">lapse </w:t>
      </w:r>
      <w:r w:rsidR="001D2198">
        <w:t xml:space="preserve">that has </w:t>
      </w:r>
      <w:r w:rsidRPr="00811427">
        <w:t xml:space="preserve">been closing a number of financial institutions and an inability to pay debt </w:t>
      </w:r>
      <w:sdt>
        <w:sdtPr>
          <w:id w:val="121859184"/>
          <w:citation/>
        </w:sdtPr>
        <w:sdtContent>
          <w:r w:rsidR="00476E26">
            <w:fldChar w:fldCharType="begin"/>
          </w:r>
          <w:r w:rsidR="005C430C">
            <w:rPr>
              <w:lang w:val="en-US"/>
            </w:rPr>
            <w:instrText xml:space="preserve"> CITATION Rob04 \p 6 \t  \m Ros02 \p viii \t  \m Ros04 \n  \t  \l 1033  </w:instrText>
          </w:r>
          <w:r w:rsidR="00476E26">
            <w:fldChar w:fldCharType="separate"/>
          </w:r>
          <w:r w:rsidR="005C430C" w:rsidRPr="005C430C">
            <w:rPr>
              <w:noProof/>
              <w:lang w:val="en-US"/>
            </w:rPr>
            <w:t>(Robison &amp; Hadiz, 2004, p. 6; Rosser, 2002, p. viii; 2004)</w:t>
          </w:r>
          <w:r w:rsidR="00476E26">
            <w:fldChar w:fldCharType="end"/>
          </w:r>
        </w:sdtContent>
      </w:sdt>
      <w:r w:rsidRPr="00811427">
        <w:t>.</w:t>
      </w:r>
      <w:bookmarkEnd w:id="76"/>
    </w:p>
    <w:p w:rsidR="005C430C" w:rsidRDefault="005C430C" w:rsidP="005C430C">
      <w:pPr>
        <w:keepNext/>
        <w:jc w:val="center"/>
      </w:pPr>
      <w:bookmarkStart w:id="77" w:name="_Toc340133889"/>
    </w:p>
    <w:bookmarkEnd w:id="74"/>
    <w:bookmarkEnd w:id="75"/>
    <w:bookmarkEnd w:id="77"/>
    <w:p w:rsidR="00153C61" w:rsidRPr="00153C61" w:rsidRDefault="005007C9" w:rsidP="00153C61">
      <w:pPr>
        <w:pStyle w:val="Caption"/>
        <w:keepNext/>
        <w:spacing w:after="0"/>
      </w:pPr>
      <w:r>
        <w:br w:type="page"/>
      </w:r>
    </w:p>
    <w:p w:rsidR="00767AB5" w:rsidRDefault="00767AB5" w:rsidP="00767AB5">
      <w:pPr>
        <w:pStyle w:val="Caption"/>
        <w:keepNext/>
      </w:pPr>
      <w:bookmarkStart w:id="78" w:name="_Toc340618345"/>
      <w:r>
        <w:t>Figure 3.</w:t>
      </w:r>
      <w:fldSimple w:instr=" SEQ Figure \* ARABIC ">
        <w:r>
          <w:rPr>
            <w:noProof/>
          </w:rPr>
          <w:t>1</w:t>
        </w:r>
      </w:fldSimple>
      <w:r>
        <w:t>.</w:t>
      </w:r>
      <w:r>
        <w:br/>
        <w:t>Domestic and Foreign Investment in Indonesia (1994-2007)</w:t>
      </w:r>
      <w:bookmarkEnd w:id="78"/>
    </w:p>
    <w:tbl>
      <w:tblPr>
        <w:tblW w:w="9720" w:type="dxa"/>
        <w:tblInd w:w="-882" w:type="dxa"/>
        <w:tblLayout w:type="fixed"/>
        <w:tblLook w:val="04A0"/>
      </w:tblPr>
      <w:tblGrid>
        <w:gridCol w:w="4590"/>
        <w:gridCol w:w="5130"/>
      </w:tblGrid>
      <w:tr w:rsidR="001E1EFE" w:rsidRPr="006036E6" w:rsidTr="005007C9">
        <w:trPr>
          <w:trHeight w:val="4230"/>
        </w:trPr>
        <w:tc>
          <w:tcPr>
            <w:tcW w:w="4590" w:type="dxa"/>
          </w:tcPr>
          <w:p w:rsidR="001E1EFE" w:rsidRPr="006036E6" w:rsidRDefault="001E1EFE" w:rsidP="00DC769D">
            <w:pPr>
              <w:spacing w:after="0"/>
              <w:ind w:firstLine="0"/>
              <w:jc w:val="center"/>
            </w:pPr>
            <w:r>
              <w:rPr>
                <w:noProof/>
                <w:lang w:val="en-US" w:eastAsia="en-US"/>
              </w:rPr>
              <w:drawing>
                <wp:inline distT="0" distB="0" distL="0" distR="0">
                  <wp:extent cx="2779563" cy="2493034"/>
                  <wp:effectExtent l="19050" t="0" r="20787" b="2516"/>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5130" w:type="dxa"/>
          </w:tcPr>
          <w:p w:rsidR="001E1EFE" w:rsidRPr="006036E6" w:rsidRDefault="001E1EFE" w:rsidP="00DC769D">
            <w:pPr>
              <w:spacing w:after="0"/>
              <w:ind w:firstLine="29"/>
              <w:jc w:val="center"/>
            </w:pPr>
            <w:r>
              <w:rPr>
                <w:noProof/>
                <w:lang w:val="en-US" w:eastAsia="en-US"/>
              </w:rPr>
              <w:drawing>
                <wp:inline distT="0" distB="0" distL="0" distR="0">
                  <wp:extent cx="2948916" cy="2491129"/>
                  <wp:effectExtent l="19050" t="0" r="22884" b="4421"/>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E1EFE" w:rsidRPr="006036E6" w:rsidRDefault="001E1EFE" w:rsidP="00DC769D">
            <w:pPr>
              <w:spacing w:after="0"/>
              <w:jc w:val="center"/>
            </w:pPr>
          </w:p>
        </w:tc>
      </w:tr>
    </w:tbl>
    <w:p w:rsidR="001E1EFE" w:rsidRPr="005007C9" w:rsidRDefault="005007C9" w:rsidP="005007C9">
      <w:pPr>
        <w:ind w:firstLine="0"/>
        <w:rPr>
          <w:rFonts w:ascii="Arial" w:hAnsi="Arial" w:cs="Arial"/>
          <w:b/>
          <w:sz w:val="16"/>
          <w:szCs w:val="16"/>
        </w:rPr>
      </w:pPr>
      <w:r w:rsidRPr="005007C9">
        <w:rPr>
          <w:rFonts w:ascii="Arial" w:hAnsi="Arial" w:cs="Arial"/>
          <w:i/>
          <w:sz w:val="16"/>
          <w:szCs w:val="16"/>
        </w:rPr>
        <w:t>Source:</w:t>
      </w:r>
      <w:r w:rsidRPr="005007C9">
        <w:rPr>
          <w:rFonts w:ascii="Arial" w:hAnsi="Arial" w:cs="Arial"/>
          <w:sz w:val="16"/>
          <w:szCs w:val="16"/>
        </w:rPr>
        <w:t xml:space="preserve"> </w:t>
      </w:r>
      <w:r w:rsidRPr="005007C9">
        <w:rPr>
          <w:rFonts w:ascii="Arial" w:hAnsi="Arial" w:cs="Arial"/>
          <w:i/>
          <w:sz w:val="16"/>
          <w:szCs w:val="16"/>
          <w:lang w:val="en-US"/>
        </w:rPr>
        <w:t xml:space="preserve">Compiled from Yearly Report of Bank Indonesia 1998/99, table 12  and 14  </w:t>
      </w:r>
      <w:sdt>
        <w:sdtPr>
          <w:rPr>
            <w:rFonts w:ascii="Arial" w:hAnsi="Arial" w:cs="Arial"/>
            <w:i/>
            <w:sz w:val="16"/>
            <w:szCs w:val="16"/>
            <w:lang w:val="en-US"/>
          </w:rPr>
          <w:id w:val="121859492"/>
          <w:citation/>
        </w:sdtPr>
        <w:sdtContent>
          <w:r w:rsidR="00476E26">
            <w:rPr>
              <w:rFonts w:ascii="Arial" w:hAnsi="Arial" w:cs="Arial"/>
              <w:i/>
              <w:sz w:val="16"/>
              <w:szCs w:val="16"/>
              <w:lang w:val="en-US"/>
            </w:rPr>
            <w:fldChar w:fldCharType="begin"/>
          </w:r>
          <w:r>
            <w:rPr>
              <w:rFonts w:ascii="Arial" w:hAnsi="Arial" w:cs="Arial"/>
              <w:i/>
              <w:sz w:val="16"/>
              <w:szCs w:val="16"/>
              <w:lang w:val="en-US"/>
            </w:rPr>
            <w:instrText xml:space="preserve"> CITATION Ban99 \p "170, 172" \n  \t  \l 1033  </w:instrText>
          </w:r>
          <w:r w:rsidR="00476E26">
            <w:rPr>
              <w:rFonts w:ascii="Arial" w:hAnsi="Arial" w:cs="Arial"/>
              <w:i/>
              <w:sz w:val="16"/>
              <w:szCs w:val="16"/>
              <w:lang w:val="en-US"/>
            </w:rPr>
            <w:fldChar w:fldCharType="separate"/>
          </w:r>
          <w:r w:rsidRPr="005007C9">
            <w:rPr>
              <w:rFonts w:ascii="Arial" w:hAnsi="Arial" w:cs="Arial"/>
              <w:noProof/>
              <w:sz w:val="16"/>
              <w:szCs w:val="16"/>
              <w:lang w:val="en-US"/>
            </w:rPr>
            <w:t>(1999, pp. 170, 172)</w:t>
          </w:r>
          <w:r w:rsidR="00476E26">
            <w:rPr>
              <w:rFonts w:ascii="Arial" w:hAnsi="Arial" w:cs="Arial"/>
              <w:i/>
              <w:sz w:val="16"/>
              <w:szCs w:val="16"/>
              <w:lang w:val="en-US"/>
            </w:rPr>
            <w:fldChar w:fldCharType="end"/>
          </w:r>
        </w:sdtContent>
      </w:sdt>
      <w:r w:rsidRPr="005007C9">
        <w:rPr>
          <w:rFonts w:ascii="Arial" w:hAnsi="Arial" w:cs="Arial"/>
          <w:i/>
          <w:sz w:val="16"/>
          <w:szCs w:val="16"/>
          <w:lang w:val="en-US"/>
        </w:rPr>
        <w:t xml:space="preserve">, Yearly Report of Bank Indonesia 2001, table 11 and 12 </w:t>
      </w:r>
      <w:sdt>
        <w:sdtPr>
          <w:rPr>
            <w:rFonts w:ascii="Arial" w:hAnsi="Arial" w:cs="Arial"/>
            <w:i/>
            <w:sz w:val="16"/>
            <w:szCs w:val="16"/>
            <w:lang w:val="en-US"/>
          </w:rPr>
          <w:id w:val="121859493"/>
          <w:citation/>
        </w:sdtPr>
        <w:sdtContent>
          <w:r w:rsidR="00476E26">
            <w:rPr>
              <w:rFonts w:ascii="Arial" w:hAnsi="Arial" w:cs="Arial"/>
              <w:i/>
              <w:sz w:val="16"/>
              <w:szCs w:val="16"/>
              <w:lang w:val="en-US"/>
            </w:rPr>
            <w:fldChar w:fldCharType="begin"/>
          </w:r>
          <w:r>
            <w:rPr>
              <w:rFonts w:ascii="Arial" w:hAnsi="Arial" w:cs="Arial"/>
              <w:i/>
              <w:sz w:val="16"/>
              <w:szCs w:val="16"/>
              <w:lang w:val="en-US"/>
            </w:rPr>
            <w:instrText xml:space="preserve"> CITATION Ban01 \p 272-273 \n  \t  \l 1033  </w:instrText>
          </w:r>
          <w:r w:rsidR="00476E26">
            <w:rPr>
              <w:rFonts w:ascii="Arial" w:hAnsi="Arial" w:cs="Arial"/>
              <w:i/>
              <w:sz w:val="16"/>
              <w:szCs w:val="16"/>
              <w:lang w:val="en-US"/>
            </w:rPr>
            <w:fldChar w:fldCharType="separate"/>
          </w:r>
          <w:r w:rsidRPr="005007C9">
            <w:rPr>
              <w:rFonts w:ascii="Arial" w:hAnsi="Arial" w:cs="Arial"/>
              <w:noProof/>
              <w:sz w:val="16"/>
              <w:szCs w:val="16"/>
              <w:lang w:val="en-US"/>
            </w:rPr>
            <w:t>(2002, pp. 272-273)</w:t>
          </w:r>
          <w:r w:rsidR="00476E26">
            <w:rPr>
              <w:rFonts w:ascii="Arial" w:hAnsi="Arial" w:cs="Arial"/>
              <w:i/>
              <w:sz w:val="16"/>
              <w:szCs w:val="16"/>
              <w:lang w:val="en-US"/>
            </w:rPr>
            <w:fldChar w:fldCharType="end"/>
          </w:r>
        </w:sdtContent>
      </w:sdt>
      <w:r w:rsidRPr="005007C9">
        <w:rPr>
          <w:rFonts w:ascii="Arial" w:hAnsi="Arial" w:cs="Arial"/>
          <w:i/>
          <w:sz w:val="16"/>
          <w:szCs w:val="16"/>
          <w:lang w:val="en-US"/>
        </w:rPr>
        <w:t>, Yearly Report of Bank Indonesia 2002, table 9 and 11</w:t>
      </w:r>
      <w:sdt>
        <w:sdtPr>
          <w:rPr>
            <w:rFonts w:ascii="Arial" w:hAnsi="Arial" w:cs="Arial"/>
            <w:i/>
            <w:sz w:val="16"/>
            <w:szCs w:val="16"/>
            <w:lang w:val="en-US"/>
          </w:rPr>
          <w:id w:val="121859494"/>
          <w:citation/>
        </w:sdtPr>
        <w:sdtContent>
          <w:r w:rsidR="00476E26">
            <w:rPr>
              <w:rFonts w:ascii="Arial" w:hAnsi="Arial" w:cs="Arial"/>
              <w:i/>
              <w:sz w:val="16"/>
              <w:szCs w:val="16"/>
              <w:lang w:val="en-US"/>
            </w:rPr>
            <w:fldChar w:fldCharType="begin"/>
          </w:r>
          <w:r>
            <w:rPr>
              <w:rFonts w:ascii="Arial" w:hAnsi="Arial" w:cs="Arial"/>
              <w:i/>
              <w:sz w:val="16"/>
              <w:szCs w:val="16"/>
              <w:lang w:val="en-US"/>
            </w:rPr>
            <w:instrText xml:space="preserve"> CITATION Ban03 \p "303, 305" \n  \t  \l 1033  </w:instrText>
          </w:r>
          <w:r w:rsidR="00476E26">
            <w:rPr>
              <w:rFonts w:ascii="Arial" w:hAnsi="Arial" w:cs="Arial"/>
              <w:i/>
              <w:sz w:val="16"/>
              <w:szCs w:val="16"/>
              <w:lang w:val="en-US"/>
            </w:rPr>
            <w:fldChar w:fldCharType="separate"/>
          </w:r>
          <w:r>
            <w:rPr>
              <w:rFonts w:ascii="Arial" w:hAnsi="Arial" w:cs="Arial"/>
              <w:i/>
              <w:noProof/>
              <w:sz w:val="16"/>
              <w:szCs w:val="16"/>
              <w:lang w:val="en-US"/>
            </w:rPr>
            <w:t xml:space="preserve"> </w:t>
          </w:r>
          <w:r w:rsidRPr="005007C9">
            <w:rPr>
              <w:rFonts w:ascii="Arial" w:hAnsi="Arial" w:cs="Arial"/>
              <w:noProof/>
              <w:sz w:val="16"/>
              <w:szCs w:val="16"/>
              <w:lang w:val="en-US"/>
            </w:rPr>
            <w:t>(2003, pp. 303, 305)</w:t>
          </w:r>
          <w:r w:rsidR="00476E26">
            <w:rPr>
              <w:rFonts w:ascii="Arial" w:hAnsi="Arial" w:cs="Arial"/>
              <w:i/>
              <w:sz w:val="16"/>
              <w:szCs w:val="16"/>
              <w:lang w:val="en-US"/>
            </w:rPr>
            <w:fldChar w:fldCharType="end"/>
          </w:r>
        </w:sdtContent>
      </w:sdt>
      <w:r w:rsidRPr="005007C9">
        <w:rPr>
          <w:rFonts w:ascii="Arial" w:hAnsi="Arial" w:cs="Arial"/>
          <w:i/>
          <w:sz w:val="16"/>
          <w:szCs w:val="16"/>
          <w:lang w:val="en-US"/>
        </w:rPr>
        <w:t xml:space="preserve">, Yearly Report of Bank Indonesia 2003, table 9 and 11 </w:t>
      </w:r>
      <w:sdt>
        <w:sdtPr>
          <w:rPr>
            <w:rFonts w:ascii="Arial" w:hAnsi="Arial" w:cs="Arial"/>
            <w:i/>
            <w:sz w:val="16"/>
            <w:szCs w:val="16"/>
            <w:lang w:val="en-US"/>
          </w:rPr>
          <w:id w:val="121859495"/>
          <w:citation/>
        </w:sdtPr>
        <w:sdtContent>
          <w:r w:rsidR="00476E26">
            <w:rPr>
              <w:rFonts w:ascii="Arial" w:hAnsi="Arial" w:cs="Arial"/>
              <w:i/>
              <w:sz w:val="16"/>
              <w:szCs w:val="16"/>
              <w:lang w:val="en-US"/>
            </w:rPr>
            <w:fldChar w:fldCharType="begin"/>
          </w:r>
          <w:r>
            <w:rPr>
              <w:rFonts w:ascii="Arial" w:hAnsi="Arial" w:cs="Arial"/>
              <w:i/>
              <w:sz w:val="16"/>
              <w:szCs w:val="16"/>
              <w:lang w:val="en-US"/>
            </w:rPr>
            <w:instrText xml:space="preserve"> CITATION Ban04 \p "291, 293" \n  \t  \l 1033  </w:instrText>
          </w:r>
          <w:r w:rsidR="00476E26">
            <w:rPr>
              <w:rFonts w:ascii="Arial" w:hAnsi="Arial" w:cs="Arial"/>
              <w:i/>
              <w:sz w:val="16"/>
              <w:szCs w:val="16"/>
              <w:lang w:val="en-US"/>
            </w:rPr>
            <w:fldChar w:fldCharType="separate"/>
          </w:r>
          <w:r w:rsidRPr="005007C9">
            <w:rPr>
              <w:rFonts w:ascii="Arial" w:hAnsi="Arial" w:cs="Arial"/>
              <w:noProof/>
              <w:sz w:val="16"/>
              <w:szCs w:val="16"/>
              <w:lang w:val="en-US"/>
            </w:rPr>
            <w:t>(2004, pp. 291, 293)</w:t>
          </w:r>
          <w:r w:rsidR="00476E26">
            <w:rPr>
              <w:rFonts w:ascii="Arial" w:hAnsi="Arial" w:cs="Arial"/>
              <w:i/>
              <w:sz w:val="16"/>
              <w:szCs w:val="16"/>
              <w:lang w:val="en-US"/>
            </w:rPr>
            <w:fldChar w:fldCharType="end"/>
          </w:r>
        </w:sdtContent>
      </w:sdt>
      <w:r w:rsidRPr="005007C9">
        <w:rPr>
          <w:rFonts w:ascii="Arial" w:hAnsi="Arial" w:cs="Arial"/>
          <w:i/>
          <w:sz w:val="16"/>
          <w:szCs w:val="16"/>
          <w:lang w:val="en-US"/>
        </w:rPr>
        <w:t xml:space="preserve">, and Yearly Report of Bank Indonesia 2007, table 9 and 11 </w:t>
      </w:r>
      <w:sdt>
        <w:sdtPr>
          <w:rPr>
            <w:rFonts w:ascii="Arial" w:hAnsi="Arial" w:cs="Arial"/>
            <w:i/>
            <w:sz w:val="16"/>
            <w:szCs w:val="16"/>
            <w:lang w:val="en-US"/>
          </w:rPr>
          <w:id w:val="121859496"/>
          <w:citation/>
        </w:sdtPr>
        <w:sdtContent>
          <w:r w:rsidR="00476E26">
            <w:rPr>
              <w:rFonts w:ascii="Arial" w:hAnsi="Arial" w:cs="Arial"/>
              <w:i/>
              <w:sz w:val="16"/>
              <w:szCs w:val="16"/>
              <w:lang w:val="en-US"/>
            </w:rPr>
            <w:fldChar w:fldCharType="begin"/>
          </w:r>
          <w:r>
            <w:rPr>
              <w:rFonts w:ascii="Arial" w:hAnsi="Arial" w:cs="Arial"/>
              <w:i/>
              <w:sz w:val="16"/>
              <w:szCs w:val="16"/>
              <w:lang w:val="en-US"/>
            </w:rPr>
            <w:instrText xml:space="preserve"> CITATION Ban08 \p "223, 225" \n  \t  \l 1033  </w:instrText>
          </w:r>
          <w:r w:rsidR="00476E26">
            <w:rPr>
              <w:rFonts w:ascii="Arial" w:hAnsi="Arial" w:cs="Arial"/>
              <w:i/>
              <w:sz w:val="16"/>
              <w:szCs w:val="16"/>
              <w:lang w:val="en-US"/>
            </w:rPr>
            <w:fldChar w:fldCharType="separate"/>
          </w:r>
          <w:r w:rsidRPr="005007C9">
            <w:rPr>
              <w:rFonts w:ascii="Arial" w:hAnsi="Arial" w:cs="Arial"/>
              <w:noProof/>
              <w:sz w:val="16"/>
              <w:szCs w:val="16"/>
              <w:lang w:val="en-US"/>
            </w:rPr>
            <w:t>(2008, pp. 223, 225)</w:t>
          </w:r>
          <w:r w:rsidR="00476E26">
            <w:rPr>
              <w:rFonts w:ascii="Arial" w:hAnsi="Arial" w:cs="Arial"/>
              <w:i/>
              <w:sz w:val="16"/>
              <w:szCs w:val="16"/>
              <w:lang w:val="en-US"/>
            </w:rPr>
            <w:fldChar w:fldCharType="end"/>
          </w:r>
        </w:sdtContent>
      </w:sdt>
      <w:r>
        <w:rPr>
          <w:rFonts w:ascii="Arial" w:hAnsi="Arial" w:cs="Arial"/>
          <w:i/>
          <w:sz w:val="16"/>
          <w:szCs w:val="16"/>
          <w:lang w:val="en-US"/>
        </w:rPr>
        <w:t>.</w:t>
      </w:r>
    </w:p>
    <w:p w:rsidR="001E1EFE" w:rsidRDefault="001E1EFE" w:rsidP="001E1EFE">
      <w:pPr>
        <w:pStyle w:val="tablesourcenote0"/>
        <w:rPr>
          <w:i/>
        </w:rPr>
      </w:pPr>
    </w:p>
    <w:p w:rsidR="005007C9" w:rsidRPr="00AE145F" w:rsidRDefault="005007C9" w:rsidP="005007C9">
      <w:pPr>
        <w:rPr>
          <w:bCs/>
          <w:szCs w:val="22"/>
          <w:lang w:val="en-US"/>
        </w:rPr>
      </w:pPr>
      <w:bookmarkStart w:id="79" w:name="OLE_LINK52"/>
      <w:bookmarkStart w:id="80" w:name="OLE_LINK53"/>
      <w:r w:rsidRPr="00AE145F">
        <w:rPr>
          <w:bCs/>
          <w:szCs w:val="22"/>
          <w:lang w:val="en-US"/>
        </w:rPr>
        <w:t>In fact, during the crisis in Asian countries, seen from an investment fi</w:t>
      </w:r>
      <w:r w:rsidRPr="00AE145F">
        <w:rPr>
          <w:bCs/>
          <w:szCs w:val="22"/>
          <w:lang w:val="en-US"/>
        </w:rPr>
        <w:t>g</w:t>
      </w:r>
      <w:r w:rsidRPr="00AE145F">
        <w:rPr>
          <w:bCs/>
          <w:szCs w:val="22"/>
          <w:lang w:val="en-US"/>
        </w:rPr>
        <w:t xml:space="preserve">ure </w:t>
      </w:r>
      <w:r w:rsidR="00141503">
        <w:rPr>
          <w:bCs/>
          <w:szCs w:val="22"/>
          <w:lang w:val="en-US"/>
        </w:rPr>
        <w:t>above</w:t>
      </w:r>
      <w:r w:rsidRPr="00AE145F">
        <w:rPr>
          <w:bCs/>
          <w:szCs w:val="22"/>
          <w:lang w:val="en-US"/>
        </w:rPr>
        <w:t xml:space="preserve">, it has not shown </w:t>
      </w:r>
      <w:r w:rsidR="001D2198">
        <w:rPr>
          <w:bCs/>
          <w:szCs w:val="22"/>
          <w:lang w:val="en-US"/>
        </w:rPr>
        <w:t xml:space="preserve">such long </w:t>
      </w:r>
      <w:r w:rsidRPr="00AE145F">
        <w:rPr>
          <w:bCs/>
          <w:szCs w:val="22"/>
          <w:lang w:val="en-US"/>
        </w:rPr>
        <w:t>difficult condition. What has really ha</w:t>
      </w:r>
      <w:r w:rsidRPr="00AE145F">
        <w:rPr>
          <w:bCs/>
          <w:szCs w:val="22"/>
          <w:lang w:val="en-US"/>
        </w:rPr>
        <w:t>p</w:t>
      </w:r>
      <w:r w:rsidRPr="00AE145F">
        <w:rPr>
          <w:bCs/>
          <w:szCs w:val="22"/>
          <w:lang w:val="en-US"/>
        </w:rPr>
        <w:t>pened in Indonesia since the end period of 1990s, until now? A narrowing analysis regarding a political event of 1998 will be argued as a piece of scenario within a bigger mainstream to change social, economic and political order in Indonesia.  Even though the common analysis of that event was political o</w:t>
      </w:r>
      <w:r w:rsidRPr="00AE145F">
        <w:rPr>
          <w:bCs/>
          <w:szCs w:val="22"/>
          <w:lang w:val="en-US"/>
        </w:rPr>
        <w:t>c</w:t>
      </w:r>
      <w:r w:rsidRPr="00AE145F">
        <w:rPr>
          <w:bCs/>
          <w:szCs w:val="22"/>
          <w:lang w:val="en-US"/>
        </w:rPr>
        <w:t xml:space="preserve">currence to subvert New Order Regime </w:t>
      </w:r>
      <w:sdt>
        <w:sdtPr>
          <w:rPr>
            <w:bCs/>
            <w:szCs w:val="22"/>
            <w:lang w:val="en-US"/>
          </w:rPr>
          <w:id w:val="121859497"/>
          <w:citation/>
        </w:sdtPr>
        <w:sdtContent>
          <w:r w:rsidR="00476E26">
            <w:rPr>
              <w:bCs/>
              <w:szCs w:val="22"/>
              <w:lang w:val="en-US"/>
            </w:rPr>
            <w:fldChar w:fldCharType="begin"/>
          </w:r>
          <w:r>
            <w:rPr>
              <w:bCs/>
              <w:szCs w:val="22"/>
              <w:lang w:val="en-US"/>
            </w:rPr>
            <w:instrText xml:space="preserve"> CITATION Nym06 \p 1-2 \l 1033   \m Luh01 \m For98 \m Ari99</w:instrText>
          </w:r>
          <w:r w:rsidR="00476E26">
            <w:rPr>
              <w:bCs/>
              <w:szCs w:val="22"/>
              <w:lang w:val="en-US"/>
            </w:rPr>
            <w:fldChar w:fldCharType="separate"/>
          </w:r>
          <w:r w:rsidRPr="005007C9">
            <w:rPr>
              <w:noProof/>
              <w:szCs w:val="22"/>
              <w:lang w:val="en-US"/>
            </w:rPr>
            <w:t>(Nyman, 2006, pp. 1-2; Luhulima, 2001; Forrester &amp; May, 1998; Aritonang, 1999)</w:t>
          </w:r>
          <w:r w:rsidR="00476E26">
            <w:rPr>
              <w:bCs/>
              <w:szCs w:val="22"/>
              <w:lang w:val="en-US"/>
            </w:rPr>
            <w:fldChar w:fldCharType="end"/>
          </w:r>
        </w:sdtContent>
      </w:sdt>
      <w:r w:rsidRPr="00AE145F">
        <w:rPr>
          <w:bCs/>
          <w:szCs w:val="22"/>
          <w:lang w:val="en-US"/>
        </w:rPr>
        <w:t xml:space="preserve"> by a global econom</w:t>
      </w:r>
      <w:r w:rsidR="001D2198">
        <w:rPr>
          <w:bCs/>
          <w:szCs w:val="22"/>
          <w:lang w:val="en-US"/>
        </w:rPr>
        <w:t>ic analysis, it is considered</w:t>
      </w:r>
      <w:r w:rsidRPr="00AE145F">
        <w:rPr>
          <w:bCs/>
          <w:szCs w:val="22"/>
          <w:lang w:val="en-US"/>
        </w:rPr>
        <w:t xml:space="preserve"> as a process of laying back or realignment social, economic and political order in Indonesia, in order to create a liberal democracy circumstance that possibly for investment or capital flows works more freely.</w:t>
      </w:r>
      <w:bookmarkEnd w:id="79"/>
      <w:bookmarkEnd w:id="80"/>
      <w:r w:rsidRPr="00AE145F">
        <w:rPr>
          <w:bCs/>
          <w:szCs w:val="22"/>
          <w:lang w:val="en-US"/>
        </w:rPr>
        <w:t xml:space="preserve"> </w:t>
      </w:r>
    </w:p>
    <w:p w:rsidR="005007C9" w:rsidRPr="00AE145F" w:rsidRDefault="005007C9" w:rsidP="005007C9">
      <w:pPr>
        <w:rPr>
          <w:bCs/>
          <w:szCs w:val="22"/>
          <w:lang w:val="en-US"/>
        </w:rPr>
      </w:pPr>
      <w:bookmarkStart w:id="81" w:name="OLE_LINK54"/>
      <w:bookmarkStart w:id="82" w:name="OLE_LINK55"/>
      <w:r w:rsidRPr="00AE145F">
        <w:rPr>
          <w:bCs/>
          <w:szCs w:val="22"/>
          <w:lang w:val="en-US"/>
        </w:rPr>
        <w:t xml:space="preserve">In Indonesia, based on some analyzes, liberal economic policies have been implemented since the New Order Government, in the mid of 1980s </w:t>
      </w:r>
      <w:sdt>
        <w:sdtPr>
          <w:rPr>
            <w:bCs/>
            <w:szCs w:val="22"/>
            <w:lang w:val="en-US"/>
          </w:rPr>
          <w:id w:val="121859501"/>
          <w:citation/>
        </w:sdtPr>
        <w:sdtContent>
          <w:r w:rsidR="00476E26">
            <w:rPr>
              <w:bCs/>
              <w:szCs w:val="22"/>
              <w:lang w:val="en-US"/>
            </w:rPr>
            <w:fldChar w:fldCharType="begin"/>
          </w:r>
          <w:r>
            <w:rPr>
              <w:bCs/>
              <w:szCs w:val="22"/>
              <w:lang w:val="en-US"/>
            </w:rPr>
            <w:instrText xml:space="preserve"> CITATION Ros02 \p 3-4 \t  \m Mal02 \p 36-38 \l 1033  </w:instrText>
          </w:r>
          <w:r w:rsidR="00476E26">
            <w:rPr>
              <w:bCs/>
              <w:szCs w:val="22"/>
              <w:lang w:val="en-US"/>
            </w:rPr>
            <w:fldChar w:fldCharType="separate"/>
          </w:r>
          <w:r w:rsidRPr="005007C9">
            <w:rPr>
              <w:noProof/>
              <w:szCs w:val="22"/>
              <w:lang w:val="en-US"/>
            </w:rPr>
            <w:t>(Rosser, 2002, pp. 3-4; Mallarangeng, 2002, pp. 36-38)</w:t>
          </w:r>
          <w:r w:rsidR="00476E26">
            <w:rPr>
              <w:bCs/>
              <w:szCs w:val="22"/>
              <w:lang w:val="en-US"/>
            </w:rPr>
            <w:fldChar w:fldCharType="end"/>
          </w:r>
        </w:sdtContent>
      </w:sdt>
      <w:r w:rsidRPr="00AE145F">
        <w:rPr>
          <w:bCs/>
          <w:szCs w:val="22"/>
          <w:lang w:val="en-US"/>
        </w:rPr>
        <w:t xml:space="preserve">. The government of Indonesia has followed a suggestion from World Bank, which was necessary to directing economic policy more open to foreign investment and began eliminating some market protections </w:t>
      </w:r>
      <w:sdt>
        <w:sdtPr>
          <w:rPr>
            <w:bCs/>
            <w:szCs w:val="22"/>
            <w:lang w:val="en-US"/>
          </w:rPr>
          <w:id w:val="121859504"/>
          <w:citation/>
        </w:sdtPr>
        <w:sdtContent>
          <w:r w:rsidR="00476E26">
            <w:rPr>
              <w:bCs/>
              <w:szCs w:val="22"/>
              <w:lang w:val="en-US"/>
            </w:rPr>
            <w:fldChar w:fldCharType="begin"/>
          </w:r>
          <w:r w:rsidR="00850727">
            <w:rPr>
              <w:bCs/>
              <w:szCs w:val="22"/>
              <w:lang w:val="en-US"/>
            </w:rPr>
            <w:instrText xml:space="preserve"> CITATION Bac10 \p 71 \l 1033  </w:instrText>
          </w:r>
          <w:r w:rsidR="00476E26">
            <w:rPr>
              <w:bCs/>
              <w:szCs w:val="22"/>
              <w:lang w:val="en-US"/>
            </w:rPr>
            <w:fldChar w:fldCharType="separate"/>
          </w:r>
          <w:r w:rsidR="00850727" w:rsidRPr="00850727">
            <w:rPr>
              <w:noProof/>
              <w:szCs w:val="22"/>
              <w:lang w:val="en-US"/>
            </w:rPr>
            <w:t>(Bachriadi, 2010, p. 71)</w:t>
          </w:r>
          <w:r w:rsidR="00476E26">
            <w:rPr>
              <w:bCs/>
              <w:szCs w:val="22"/>
              <w:lang w:val="en-US"/>
            </w:rPr>
            <w:fldChar w:fldCharType="end"/>
          </w:r>
        </w:sdtContent>
      </w:sdt>
      <w:r w:rsidRPr="00AE145F">
        <w:rPr>
          <w:bCs/>
          <w:szCs w:val="22"/>
          <w:lang w:val="en-US"/>
        </w:rPr>
        <w:t>. However, it was difficult to be i</w:t>
      </w:r>
      <w:r w:rsidRPr="00AE145F">
        <w:rPr>
          <w:bCs/>
          <w:szCs w:val="22"/>
          <w:lang w:val="en-US"/>
        </w:rPr>
        <w:t>m</w:t>
      </w:r>
      <w:r w:rsidRPr="00AE145F">
        <w:rPr>
          <w:bCs/>
          <w:szCs w:val="22"/>
          <w:lang w:val="en-US"/>
        </w:rPr>
        <w:t>plemented in the New Order era, because, Suharto, President of Republic I</w:t>
      </w:r>
      <w:r w:rsidRPr="00AE145F">
        <w:rPr>
          <w:bCs/>
          <w:szCs w:val="22"/>
          <w:lang w:val="en-US"/>
        </w:rPr>
        <w:t>n</w:t>
      </w:r>
      <w:r w:rsidRPr="00AE145F">
        <w:rPr>
          <w:bCs/>
          <w:szCs w:val="22"/>
          <w:lang w:val="en-US"/>
        </w:rPr>
        <w:t>donesia at that time, actually did not want a system suggested by World Bank. Suharto preferred to choose his cronies to control economic development in Indonesia, rather than to be equally opened and controlled by public. Thus, the advice given by the World Bank was running by a half-hearted; such as dereg</w:t>
      </w:r>
      <w:r w:rsidRPr="00AE145F">
        <w:rPr>
          <w:bCs/>
          <w:szCs w:val="22"/>
          <w:lang w:val="en-US"/>
        </w:rPr>
        <w:t>u</w:t>
      </w:r>
      <w:r w:rsidRPr="00AE145F">
        <w:rPr>
          <w:bCs/>
          <w:szCs w:val="22"/>
          <w:lang w:val="en-US"/>
        </w:rPr>
        <w:t>lation that was not fully implemented, still exists an uncertainty of law in ec</w:t>
      </w:r>
      <w:r w:rsidRPr="00AE145F">
        <w:rPr>
          <w:bCs/>
          <w:szCs w:val="22"/>
          <w:lang w:val="en-US"/>
        </w:rPr>
        <w:t>o</w:t>
      </w:r>
      <w:r w:rsidRPr="00AE145F">
        <w:rPr>
          <w:bCs/>
          <w:szCs w:val="22"/>
          <w:lang w:val="en-US"/>
        </w:rPr>
        <w:t xml:space="preserve">nomic sectors, and the most important is policies in the banking sector led to a policy that gives freedom to the family and his cronies to dominate Indonesia’s capital resources </w:t>
      </w:r>
      <w:sdt>
        <w:sdtPr>
          <w:rPr>
            <w:bCs/>
            <w:szCs w:val="22"/>
            <w:lang w:val="en-US"/>
          </w:rPr>
          <w:id w:val="121859505"/>
          <w:citation/>
        </w:sdtPr>
        <w:sdtContent>
          <w:r w:rsidR="00476E26">
            <w:rPr>
              <w:bCs/>
              <w:szCs w:val="22"/>
              <w:lang w:val="en-US"/>
            </w:rPr>
            <w:fldChar w:fldCharType="begin"/>
          </w:r>
          <w:r w:rsidR="00850727">
            <w:rPr>
              <w:bCs/>
              <w:szCs w:val="22"/>
              <w:lang w:val="en-US"/>
            </w:rPr>
            <w:instrText xml:space="preserve"> CITATION Rob98 \t  \m Rob04 \t  \m Ros04 \t  \m The02 \p 213-214 \l 1033  </w:instrText>
          </w:r>
          <w:r w:rsidR="00476E26">
            <w:rPr>
              <w:bCs/>
              <w:szCs w:val="22"/>
              <w:lang w:val="en-US"/>
            </w:rPr>
            <w:fldChar w:fldCharType="separate"/>
          </w:r>
          <w:r w:rsidR="00850727" w:rsidRPr="00850727">
            <w:rPr>
              <w:noProof/>
              <w:szCs w:val="22"/>
              <w:lang w:val="en-US"/>
            </w:rPr>
            <w:t>(Robison &amp; Rosser, 1998; Robison &amp; Hadiz, 2004; Rosser, 2004; Thee, 2002, pp. 213-214)</w:t>
          </w:r>
          <w:r w:rsidR="00476E26">
            <w:rPr>
              <w:bCs/>
              <w:szCs w:val="22"/>
              <w:lang w:val="en-US"/>
            </w:rPr>
            <w:fldChar w:fldCharType="end"/>
          </w:r>
        </w:sdtContent>
      </w:sdt>
      <w:bookmarkEnd w:id="81"/>
      <w:bookmarkEnd w:id="82"/>
      <w:r w:rsidRPr="00AE145F">
        <w:rPr>
          <w:bCs/>
          <w:szCs w:val="22"/>
          <w:lang w:val="en-US"/>
        </w:rPr>
        <w:t xml:space="preserve">. </w:t>
      </w:r>
    </w:p>
    <w:p w:rsidR="00811427" w:rsidRDefault="005007C9" w:rsidP="005007C9">
      <w:pPr>
        <w:rPr>
          <w:bCs/>
          <w:szCs w:val="22"/>
          <w:lang w:val="en-US"/>
        </w:rPr>
      </w:pPr>
      <w:r w:rsidRPr="00AE145F">
        <w:rPr>
          <w:bCs/>
          <w:szCs w:val="22"/>
          <w:lang w:val="en-US"/>
        </w:rPr>
        <w:lastRenderedPageBreak/>
        <w:t>The condition in 1980s until just before 1997</w:t>
      </w:r>
      <w:r w:rsidR="00141503">
        <w:rPr>
          <w:bCs/>
          <w:szCs w:val="22"/>
          <w:lang w:val="en-US"/>
        </w:rPr>
        <w:t>, however,</w:t>
      </w:r>
      <w:r w:rsidRPr="00AE145F">
        <w:rPr>
          <w:bCs/>
          <w:szCs w:val="22"/>
          <w:lang w:val="en-US"/>
        </w:rPr>
        <w:t xml:space="preserve"> was incompatible condition with </w:t>
      </w:r>
      <w:r w:rsidR="00141503">
        <w:rPr>
          <w:bCs/>
          <w:szCs w:val="22"/>
          <w:lang w:val="en-US"/>
        </w:rPr>
        <w:t xml:space="preserve">neoliberal </w:t>
      </w:r>
      <w:r w:rsidRPr="00AE145F">
        <w:rPr>
          <w:bCs/>
          <w:szCs w:val="22"/>
          <w:lang w:val="en-US"/>
        </w:rPr>
        <w:t xml:space="preserve">capitalism, because of economic control was widely in elite groups and Suharto's cronies as well as still much state intervention in economic sectors. By seeing a side of economic growth performance in the two decades could be seen as an adequate condition (see in Table 3. 1.), but what was needed is efficient ownership, either individually or corporative, in order to create more economic spaces to circulate capital </w:t>
      </w:r>
      <w:sdt>
        <w:sdtPr>
          <w:rPr>
            <w:bCs/>
            <w:szCs w:val="22"/>
            <w:lang w:val="en-US"/>
          </w:rPr>
          <w:id w:val="121859515"/>
          <w:citation/>
        </w:sdtPr>
        <w:sdtContent>
          <w:r w:rsidR="00476E26">
            <w:rPr>
              <w:bCs/>
              <w:szCs w:val="22"/>
              <w:lang w:val="en-US"/>
            </w:rPr>
            <w:fldChar w:fldCharType="begin"/>
          </w:r>
          <w:r w:rsidR="00850727">
            <w:rPr>
              <w:bCs/>
              <w:szCs w:val="22"/>
              <w:lang w:val="en-US"/>
            </w:rPr>
            <w:instrText xml:space="preserve"> CITATION Har05 \p 64-66 \t  \l 1033  </w:instrText>
          </w:r>
          <w:r w:rsidR="00476E26">
            <w:rPr>
              <w:bCs/>
              <w:szCs w:val="22"/>
              <w:lang w:val="en-US"/>
            </w:rPr>
            <w:fldChar w:fldCharType="separate"/>
          </w:r>
          <w:r w:rsidR="00850727" w:rsidRPr="00850727">
            <w:rPr>
              <w:noProof/>
              <w:szCs w:val="22"/>
              <w:lang w:val="en-US"/>
            </w:rPr>
            <w:t>(Harvey, 2005, pp. 64-66)</w:t>
          </w:r>
          <w:r w:rsidR="00476E26">
            <w:rPr>
              <w:bCs/>
              <w:szCs w:val="22"/>
              <w:lang w:val="en-US"/>
            </w:rPr>
            <w:fldChar w:fldCharType="end"/>
          </w:r>
        </w:sdtContent>
      </w:sdt>
      <w:r w:rsidRPr="00AE145F">
        <w:rPr>
          <w:bCs/>
          <w:szCs w:val="22"/>
          <w:lang w:val="en-US"/>
        </w:rPr>
        <w:t xml:space="preserve">. It was indicated by an agrarian structure </w:t>
      </w:r>
      <w:r w:rsidR="00141503">
        <w:rPr>
          <w:bCs/>
          <w:szCs w:val="22"/>
          <w:lang w:val="en-US"/>
        </w:rPr>
        <w:t xml:space="preserve">and the structure of business </w:t>
      </w:r>
      <w:r w:rsidRPr="00AE145F">
        <w:rPr>
          <w:bCs/>
          <w:szCs w:val="22"/>
          <w:lang w:val="en-US"/>
        </w:rPr>
        <w:t>in Indonesia, which was dominated by corporate groups, namely business group that has been strong linked to elite power. Meanwhile, existing policies has been directed to strengthen the economic power of the minority groups, thus become an obstacle of capital movement toward surplus generated.</w:t>
      </w:r>
    </w:p>
    <w:p w:rsidR="00C81A74" w:rsidRDefault="001410DD" w:rsidP="00C81A74">
      <w:pPr>
        <w:pStyle w:val="tabletitle"/>
        <w:spacing w:before="240"/>
      </w:pPr>
      <w:bookmarkStart w:id="83" w:name="_Toc193704952"/>
      <w:bookmarkStart w:id="84" w:name="_Toc340133877"/>
      <w:bookmarkStart w:id="85" w:name="_Toc340654622"/>
      <w:r>
        <w:t>Table 3.1.</w:t>
      </w:r>
      <w:r>
        <w:br/>
      </w:r>
      <w:r w:rsidRPr="007570C5">
        <w:t xml:space="preserve"> </w:t>
      </w:r>
      <w:bookmarkEnd w:id="83"/>
      <w:r w:rsidRPr="00EA43A0">
        <w:t>Economic Growth in Indonesia, 1965-1996</w:t>
      </w:r>
      <w:r>
        <w:t xml:space="preserve"> (</w:t>
      </w:r>
      <w:r w:rsidRPr="00EA43A0">
        <w:t>Average Annual Growth Rate (%)</w:t>
      </w:r>
      <w:r>
        <w:t>)</w:t>
      </w:r>
      <w:bookmarkEnd w:id="84"/>
      <w:bookmarkEnd w:id="8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1350"/>
        <w:gridCol w:w="1350"/>
        <w:gridCol w:w="1260"/>
      </w:tblGrid>
      <w:tr w:rsidR="001410DD" w:rsidRPr="00AE145F" w:rsidTr="005B67BF">
        <w:trPr>
          <w:jc w:val="center"/>
        </w:trPr>
        <w:tc>
          <w:tcPr>
            <w:tcW w:w="2178" w:type="dxa"/>
            <w:tcBorders>
              <w:top w:val="nil"/>
              <w:left w:val="nil"/>
            </w:tcBorders>
          </w:tcPr>
          <w:p w:rsidR="001410DD" w:rsidRPr="00AE145F" w:rsidRDefault="001410DD" w:rsidP="005B67BF">
            <w:pPr>
              <w:pStyle w:val="tablesourcenote0"/>
              <w:rPr>
                <w:rFonts w:cs="Arial"/>
                <w:sz w:val="18"/>
                <w:szCs w:val="18"/>
                <w:lang w:val="en-US"/>
              </w:rPr>
            </w:pPr>
          </w:p>
        </w:tc>
        <w:tc>
          <w:tcPr>
            <w:tcW w:w="1350" w:type="dxa"/>
          </w:tcPr>
          <w:p w:rsidR="001410DD" w:rsidRPr="00AE145F" w:rsidRDefault="001410DD" w:rsidP="005B67BF">
            <w:pPr>
              <w:pStyle w:val="tablesourcenote0"/>
              <w:jc w:val="center"/>
              <w:rPr>
                <w:rFonts w:cs="Arial"/>
                <w:b/>
                <w:sz w:val="18"/>
                <w:szCs w:val="18"/>
                <w:lang w:val="en-US"/>
              </w:rPr>
            </w:pPr>
            <w:r w:rsidRPr="00AE145F">
              <w:rPr>
                <w:rFonts w:cs="Arial"/>
                <w:b/>
                <w:sz w:val="18"/>
                <w:szCs w:val="18"/>
                <w:lang w:val="en-US"/>
              </w:rPr>
              <w:t>1965/1980</w:t>
            </w:r>
          </w:p>
        </w:tc>
        <w:tc>
          <w:tcPr>
            <w:tcW w:w="1350" w:type="dxa"/>
          </w:tcPr>
          <w:p w:rsidR="001410DD" w:rsidRPr="00AE145F" w:rsidRDefault="001410DD" w:rsidP="005B67BF">
            <w:pPr>
              <w:pStyle w:val="tablesourcenote0"/>
              <w:jc w:val="center"/>
              <w:rPr>
                <w:rFonts w:cs="Arial"/>
                <w:b/>
                <w:sz w:val="18"/>
                <w:szCs w:val="18"/>
                <w:lang w:val="en-US"/>
              </w:rPr>
            </w:pPr>
            <w:r w:rsidRPr="00AE145F">
              <w:rPr>
                <w:rFonts w:cs="Arial"/>
                <w:b/>
                <w:sz w:val="18"/>
                <w:szCs w:val="18"/>
                <w:lang w:val="en-US"/>
              </w:rPr>
              <w:t>1980-1990</w:t>
            </w:r>
          </w:p>
        </w:tc>
        <w:tc>
          <w:tcPr>
            <w:tcW w:w="1260" w:type="dxa"/>
          </w:tcPr>
          <w:p w:rsidR="001410DD" w:rsidRPr="00AE145F" w:rsidRDefault="001410DD" w:rsidP="005B67BF">
            <w:pPr>
              <w:pStyle w:val="tablesourcenote0"/>
              <w:jc w:val="center"/>
              <w:rPr>
                <w:rFonts w:cs="Arial"/>
                <w:b/>
                <w:sz w:val="18"/>
                <w:szCs w:val="18"/>
                <w:lang w:val="en-US"/>
              </w:rPr>
            </w:pPr>
            <w:r w:rsidRPr="00AE145F">
              <w:rPr>
                <w:rFonts w:cs="Arial"/>
                <w:b/>
                <w:sz w:val="18"/>
                <w:szCs w:val="18"/>
                <w:lang w:val="en-US"/>
              </w:rPr>
              <w:t>1990/1996</w:t>
            </w:r>
          </w:p>
        </w:tc>
      </w:tr>
      <w:tr w:rsidR="001410DD" w:rsidRPr="00AE145F" w:rsidTr="005B67BF">
        <w:trPr>
          <w:jc w:val="center"/>
        </w:trPr>
        <w:tc>
          <w:tcPr>
            <w:tcW w:w="2178" w:type="dxa"/>
          </w:tcPr>
          <w:p w:rsidR="001410DD" w:rsidRPr="00AE145F" w:rsidRDefault="001410DD" w:rsidP="005B67BF">
            <w:pPr>
              <w:pStyle w:val="tablesourcenote0"/>
              <w:rPr>
                <w:rFonts w:cs="Arial"/>
                <w:b/>
                <w:sz w:val="18"/>
                <w:szCs w:val="18"/>
                <w:lang w:val="en-US"/>
              </w:rPr>
            </w:pPr>
            <w:r w:rsidRPr="00AE145F">
              <w:rPr>
                <w:rFonts w:cs="Arial"/>
                <w:b/>
                <w:sz w:val="18"/>
                <w:szCs w:val="18"/>
                <w:lang w:val="en-US"/>
              </w:rPr>
              <w:t>GDP</w:t>
            </w:r>
          </w:p>
        </w:tc>
        <w:tc>
          <w:tcPr>
            <w:tcW w:w="1350" w:type="dxa"/>
          </w:tcPr>
          <w:p w:rsidR="001410DD" w:rsidRPr="00AE145F" w:rsidRDefault="001410DD" w:rsidP="005B67BF">
            <w:pPr>
              <w:pStyle w:val="tablesourcenote0"/>
              <w:rPr>
                <w:rFonts w:cs="Arial"/>
                <w:sz w:val="18"/>
                <w:szCs w:val="18"/>
                <w:lang w:val="en-US"/>
              </w:rPr>
            </w:pPr>
            <w:r w:rsidRPr="00AE145F">
              <w:rPr>
                <w:rFonts w:cs="Arial"/>
                <w:sz w:val="18"/>
                <w:szCs w:val="18"/>
                <w:lang w:val="en-US"/>
              </w:rPr>
              <w:t>7.0</w:t>
            </w:r>
          </w:p>
        </w:tc>
        <w:tc>
          <w:tcPr>
            <w:tcW w:w="1350" w:type="dxa"/>
          </w:tcPr>
          <w:p w:rsidR="001410DD" w:rsidRPr="00AE145F" w:rsidRDefault="001410DD" w:rsidP="005B67BF">
            <w:pPr>
              <w:pStyle w:val="tablesourcenote0"/>
              <w:rPr>
                <w:rFonts w:cs="Arial"/>
                <w:sz w:val="18"/>
                <w:szCs w:val="18"/>
                <w:lang w:val="en-US"/>
              </w:rPr>
            </w:pPr>
            <w:r w:rsidRPr="00AE145F">
              <w:rPr>
                <w:rFonts w:cs="Arial"/>
                <w:sz w:val="18"/>
                <w:szCs w:val="18"/>
                <w:lang w:val="en-US"/>
              </w:rPr>
              <w:t>6.1</w:t>
            </w:r>
          </w:p>
        </w:tc>
        <w:tc>
          <w:tcPr>
            <w:tcW w:w="1260" w:type="dxa"/>
          </w:tcPr>
          <w:p w:rsidR="001410DD" w:rsidRPr="00AE145F" w:rsidRDefault="001410DD" w:rsidP="005B67BF">
            <w:pPr>
              <w:pStyle w:val="tablesourcenote0"/>
              <w:rPr>
                <w:rFonts w:cs="Arial"/>
                <w:sz w:val="18"/>
                <w:szCs w:val="18"/>
                <w:lang w:val="en-US"/>
              </w:rPr>
            </w:pPr>
            <w:r w:rsidRPr="00AE145F">
              <w:rPr>
                <w:rFonts w:cs="Arial"/>
                <w:sz w:val="18"/>
                <w:szCs w:val="18"/>
                <w:lang w:val="en-US"/>
              </w:rPr>
              <w:t>7.7</w:t>
            </w:r>
          </w:p>
        </w:tc>
      </w:tr>
      <w:tr w:rsidR="001410DD" w:rsidRPr="00AE145F" w:rsidTr="005B67BF">
        <w:trPr>
          <w:jc w:val="center"/>
        </w:trPr>
        <w:tc>
          <w:tcPr>
            <w:tcW w:w="2178" w:type="dxa"/>
          </w:tcPr>
          <w:p w:rsidR="001410DD" w:rsidRPr="00AE145F" w:rsidRDefault="001410DD" w:rsidP="005B67BF">
            <w:pPr>
              <w:pStyle w:val="tablesourcenote0"/>
              <w:rPr>
                <w:rFonts w:cs="Arial"/>
                <w:b/>
                <w:sz w:val="18"/>
                <w:szCs w:val="18"/>
                <w:lang w:val="en-US"/>
              </w:rPr>
            </w:pPr>
            <w:r w:rsidRPr="00AE145F">
              <w:rPr>
                <w:rFonts w:cs="Arial"/>
                <w:b/>
                <w:sz w:val="18"/>
                <w:szCs w:val="18"/>
                <w:lang w:val="en-US"/>
              </w:rPr>
              <w:t>Agriculture</w:t>
            </w:r>
          </w:p>
        </w:tc>
        <w:tc>
          <w:tcPr>
            <w:tcW w:w="1350" w:type="dxa"/>
          </w:tcPr>
          <w:p w:rsidR="001410DD" w:rsidRPr="00AE145F" w:rsidRDefault="001410DD" w:rsidP="005B67BF">
            <w:pPr>
              <w:pStyle w:val="tablesourcenote0"/>
              <w:rPr>
                <w:rFonts w:cs="Arial"/>
                <w:sz w:val="18"/>
                <w:szCs w:val="18"/>
                <w:lang w:val="en-US"/>
              </w:rPr>
            </w:pPr>
            <w:r w:rsidRPr="00AE145F">
              <w:rPr>
                <w:rFonts w:cs="Arial"/>
                <w:sz w:val="18"/>
                <w:szCs w:val="18"/>
                <w:lang w:val="en-US"/>
              </w:rPr>
              <w:t>4.3</w:t>
            </w:r>
          </w:p>
        </w:tc>
        <w:tc>
          <w:tcPr>
            <w:tcW w:w="1350" w:type="dxa"/>
          </w:tcPr>
          <w:p w:rsidR="001410DD" w:rsidRPr="00AE145F" w:rsidRDefault="001410DD" w:rsidP="005B67BF">
            <w:pPr>
              <w:pStyle w:val="tablesourcenote0"/>
              <w:rPr>
                <w:rFonts w:cs="Arial"/>
                <w:sz w:val="18"/>
                <w:szCs w:val="18"/>
                <w:lang w:val="en-US"/>
              </w:rPr>
            </w:pPr>
            <w:r w:rsidRPr="00AE145F">
              <w:rPr>
                <w:rFonts w:cs="Arial"/>
                <w:sz w:val="18"/>
                <w:szCs w:val="18"/>
                <w:lang w:val="en-US"/>
              </w:rPr>
              <w:t>3.4</w:t>
            </w:r>
          </w:p>
        </w:tc>
        <w:tc>
          <w:tcPr>
            <w:tcW w:w="1260" w:type="dxa"/>
          </w:tcPr>
          <w:p w:rsidR="001410DD" w:rsidRPr="00AE145F" w:rsidRDefault="001410DD" w:rsidP="005B67BF">
            <w:pPr>
              <w:pStyle w:val="tablesourcenote0"/>
              <w:rPr>
                <w:rFonts w:cs="Arial"/>
                <w:sz w:val="18"/>
                <w:szCs w:val="18"/>
                <w:lang w:val="en-US"/>
              </w:rPr>
            </w:pPr>
            <w:r w:rsidRPr="00AE145F">
              <w:rPr>
                <w:rFonts w:cs="Arial"/>
                <w:sz w:val="18"/>
                <w:szCs w:val="18"/>
                <w:lang w:val="en-US"/>
              </w:rPr>
              <w:t>2.8</w:t>
            </w:r>
          </w:p>
        </w:tc>
      </w:tr>
      <w:tr w:rsidR="001410DD" w:rsidRPr="00AE145F" w:rsidTr="005B67BF">
        <w:trPr>
          <w:jc w:val="center"/>
        </w:trPr>
        <w:tc>
          <w:tcPr>
            <w:tcW w:w="2178" w:type="dxa"/>
          </w:tcPr>
          <w:p w:rsidR="001410DD" w:rsidRPr="00AE145F" w:rsidRDefault="001410DD" w:rsidP="005B67BF">
            <w:pPr>
              <w:pStyle w:val="tablesourcenote0"/>
              <w:rPr>
                <w:rFonts w:cs="Arial"/>
                <w:b/>
                <w:sz w:val="18"/>
                <w:szCs w:val="18"/>
                <w:lang w:val="en-US"/>
              </w:rPr>
            </w:pPr>
            <w:r w:rsidRPr="00AE145F">
              <w:rPr>
                <w:rFonts w:cs="Arial"/>
                <w:b/>
                <w:sz w:val="18"/>
                <w:szCs w:val="18"/>
                <w:lang w:val="en-US"/>
              </w:rPr>
              <w:t>Industry</w:t>
            </w:r>
          </w:p>
        </w:tc>
        <w:tc>
          <w:tcPr>
            <w:tcW w:w="1350" w:type="dxa"/>
          </w:tcPr>
          <w:p w:rsidR="001410DD" w:rsidRPr="00AE145F" w:rsidRDefault="001410DD" w:rsidP="005B67BF">
            <w:pPr>
              <w:pStyle w:val="tablesourcenote0"/>
              <w:rPr>
                <w:rFonts w:cs="Arial"/>
                <w:sz w:val="18"/>
                <w:szCs w:val="18"/>
                <w:lang w:val="en-US"/>
              </w:rPr>
            </w:pPr>
            <w:r w:rsidRPr="00AE145F">
              <w:rPr>
                <w:rFonts w:cs="Arial"/>
                <w:sz w:val="18"/>
                <w:szCs w:val="18"/>
                <w:lang w:val="en-US"/>
              </w:rPr>
              <w:t>11.9</w:t>
            </w:r>
          </w:p>
        </w:tc>
        <w:tc>
          <w:tcPr>
            <w:tcW w:w="1350" w:type="dxa"/>
          </w:tcPr>
          <w:p w:rsidR="001410DD" w:rsidRPr="00AE145F" w:rsidRDefault="001410DD" w:rsidP="005B67BF">
            <w:pPr>
              <w:pStyle w:val="tablesourcenote0"/>
              <w:rPr>
                <w:rFonts w:cs="Arial"/>
                <w:sz w:val="18"/>
                <w:szCs w:val="18"/>
                <w:lang w:val="en-US"/>
              </w:rPr>
            </w:pPr>
            <w:r w:rsidRPr="00AE145F">
              <w:rPr>
                <w:rFonts w:cs="Arial"/>
                <w:sz w:val="18"/>
                <w:szCs w:val="18"/>
                <w:lang w:val="en-US"/>
              </w:rPr>
              <w:t>6.9</w:t>
            </w:r>
          </w:p>
        </w:tc>
        <w:tc>
          <w:tcPr>
            <w:tcW w:w="1260" w:type="dxa"/>
          </w:tcPr>
          <w:p w:rsidR="001410DD" w:rsidRPr="00AE145F" w:rsidRDefault="001410DD" w:rsidP="005B67BF">
            <w:pPr>
              <w:pStyle w:val="tablesourcenote0"/>
              <w:rPr>
                <w:rFonts w:cs="Arial"/>
                <w:sz w:val="18"/>
                <w:szCs w:val="18"/>
                <w:lang w:val="en-US"/>
              </w:rPr>
            </w:pPr>
            <w:r w:rsidRPr="00AE145F">
              <w:rPr>
                <w:rFonts w:cs="Arial"/>
                <w:sz w:val="18"/>
                <w:szCs w:val="18"/>
                <w:lang w:val="en-US"/>
              </w:rPr>
              <w:t>10.2</w:t>
            </w:r>
          </w:p>
        </w:tc>
      </w:tr>
      <w:tr w:rsidR="001410DD" w:rsidRPr="00AE145F" w:rsidTr="005B67BF">
        <w:trPr>
          <w:jc w:val="center"/>
        </w:trPr>
        <w:tc>
          <w:tcPr>
            <w:tcW w:w="2178" w:type="dxa"/>
          </w:tcPr>
          <w:p w:rsidR="001410DD" w:rsidRPr="00AE145F" w:rsidRDefault="001410DD" w:rsidP="005B67BF">
            <w:pPr>
              <w:pStyle w:val="tablesourcenote0"/>
              <w:rPr>
                <w:rFonts w:cs="Arial"/>
                <w:b/>
                <w:sz w:val="18"/>
                <w:szCs w:val="18"/>
                <w:lang w:val="en-US"/>
              </w:rPr>
            </w:pPr>
            <w:r w:rsidRPr="00AE145F">
              <w:rPr>
                <w:rFonts w:cs="Arial"/>
                <w:b/>
                <w:sz w:val="18"/>
                <w:szCs w:val="18"/>
                <w:lang w:val="en-US"/>
              </w:rPr>
              <w:t>Manufacturing</w:t>
            </w:r>
          </w:p>
        </w:tc>
        <w:tc>
          <w:tcPr>
            <w:tcW w:w="1350" w:type="dxa"/>
          </w:tcPr>
          <w:p w:rsidR="001410DD" w:rsidRPr="00AE145F" w:rsidRDefault="001410DD" w:rsidP="005B67BF">
            <w:pPr>
              <w:pStyle w:val="tablesourcenote0"/>
              <w:rPr>
                <w:rFonts w:cs="Arial"/>
                <w:sz w:val="18"/>
                <w:szCs w:val="18"/>
                <w:lang w:val="en-US"/>
              </w:rPr>
            </w:pPr>
            <w:r w:rsidRPr="00AE145F">
              <w:rPr>
                <w:rFonts w:cs="Arial"/>
                <w:sz w:val="18"/>
                <w:szCs w:val="18"/>
                <w:lang w:val="en-US"/>
              </w:rPr>
              <w:t>12.0</w:t>
            </w:r>
          </w:p>
        </w:tc>
        <w:tc>
          <w:tcPr>
            <w:tcW w:w="1350" w:type="dxa"/>
          </w:tcPr>
          <w:p w:rsidR="001410DD" w:rsidRPr="00AE145F" w:rsidRDefault="001410DD" w:rsidP="005B67BF">
            <w:pPr>
              <w:pStyle w:val="tablesourcenote0"/>
              <w:rPr>
                <w:rFonts w:cs="Arial"/>
                <w:sz w:val="18"/>
                <w:szCs w:val="18"/>
                <w:lang w:val="en-US"/>
              </w:rPr>
            </w:pPr>
            <w:r w:rsidRPr="00AE145F">
              <w:rPr>
                <w:rFonts w:cs="Arial"/>
                <w:sz w:val="18"/>
                <w:szCs w:val="18"/>
                <w:lang w:val="en-US"/>
              </w:rPr>
              <w:t>12.6</w:t>
            </w:r>
          </w:p>
        </w:tc>
        <w:tc>
          <w:tcPr>
            <w:tcW w:w="1260" w:type="dxa"/>
          </w:tcPr>
          <w:p w:rsidR="001410DD" w:rsidRPr="00AE145F" w:rsidRDefault="001410DD" w:rsidP="005B67BF">
            <w:pPr>
              <w:pStyle w:val="tablesourcenote0"/>
              <w:rPr>
                <w:rFonts w:cs="Arial"/>
                <w:sz w:val="18"/>
                <w:szCs w:val="18"/>
                <w:lang w:val="en-US"/>
              </w:rPr>
            </w:pPr>
            <w:r w:rsidRPr="00AE145F">
              <w:rPr>
                <w:rFonts w:cs="Arial"/>
                <w:sz w:val="18"/>
                <w:szCs w:val="18"/>
                <w:lang w:val="en-US"/>
              </w:rPr>
              <w:t>11.1</w:t>
            </w:r>
          </w:p>
        </w:tc>
      </w:tr>
      <w:tr w:rsidR="001410DD" w:rsidRPr="00AE145F" w:rsidTr="005B67BF">
        <w:trPr>
          <w:jc w:val="center"/>
        </w:trPr>
        <w:tc>
          <w:tcPr>
            <w:tcW w:w="2178" w:type="dxa"/>
          </w:tcPr>
          <w:p w:rsidR="001410DD" w:rsidRPr="00AE145F" w:rsidRDefault="001410DD" w:rsidP="005B67BF">
            <w:pPr>
              <w:pStyle w:val="tablesourcenote0"/>
              <w:rPr>
                <w:rFonts w:cs="Arial"/>
                <w:b/>
                <w:sz w:val="18"/>
                <w:szCs w:val="18"/>
                <w:lang w:val="en-US"/>
              </w:rPr>
            </w:pPr>
            <w:r w:rsidRPr="00AE145F">
              <w:rPr>
                <w:rFonts w:cs="Arial"/>
                <w:b/>
                <w:sz w:val="18"/>
                <w:szCs w:val="18"/>
                <w:lang w:val="en-US"/>
              </w:rPr>
              <w:t>Services</w:t>
            </w:r>
          </w:p>
        </w:tc>
        <w:tc>
          <w:tcPr>
            <w:tcW w:w="1350" w:type="dxa"/>
          </w:tcPr>
          <w:p w:rsidR="001410DD" w:rsidRPr="00AE145F" w:rsidRDefault="001410DD" w:rsidP="005B67BF">
            <w:pPr>
              <w:pStyle w:val="tablesourcenote0"/>
              <w:rPr>
                <w:rFonts w:cs="Arial"/>
                <w:sz w:val="18"/>
                <w:szCs w:val="18"/>
                <w:lang w:val="en-US"/>
              </w:rPr>
            </w:pPr>
            <w:r w:rsidRPr="00AE145F">
              <w:rPr>
                <w:rFonts w:cs="Arial"/>
                <w:sz w:val="18"/>
                <w:szCs w:val="18"/>
                <w:lang w:val="en-US"/>
              </w:rPr>
              <w:t>7.3</w:t>
            </w:r>
          </w:p>
        </w:tc>
        <w:tc>
          <w:tcPr>
            <w:tcW w:w="1350" w:type="dxa"/>
          </w:tcPr>
          <w:p w:rsidR="001410DD" w:rsidRPr="00AE145F" w:rsidRDefault="001410DD" w:rsidP="005B67BF">
            <w:pPr>
              <w:pStyle w:val="tablesourcenote0"/>
              <w:rPr>
                <w:rFonts w:cs="Arial"/>
                <w:sz w:val="18"/>
                <w:szCs w:val="18"/>
                <w:lang w:val="en-US"/>
              </w:rPr>
            </w:pPr>
            <w:r w:rsidRPr="00AE145F">
              <w:rPr>
                <w:rFonts w:cs="Arial"/>
                <w:sz w:val="18"/>
                <w:szCs w:val="18"/>
                <w:lang w:val="en-US"/>
              </w:rPr>
              <w:t>7.0</w:t>
            </w:r>
          </w:p>
        </w:tc>
        <w:tc>
          <w:tcPr>
            <w:tcW w:w="1260" w:type="dxa"/>
          </w:tcPr>
          <w:p w:rsidR="001410DD" w:rsidRPr="00AE145F" w:rsidRDefault="001410DD" w:rsidP="005B67BF">
            <w:pPr>
              <w:pStyle w:val="tablesourcenote0"/>
              <w:rPr>
                <w:rFonts w:cs="Arial"/>
                <w:sz w:val="18"/>
                <w:szCs w:val="18"/>
                <w:lang w:val="en-US"/>
              </w:rPr>
            </w:pPr>
            <w:r w:rsidRPr="00AE145F">
              <w:rPr>
                <w:rFonts w:cs="Arial"/>
                <w:sz w:val="18"/>
                <w:szCs w:val="18"/>
                <w:lang w:val="en-US"/>
              </w:rPr>
              <w:t>7.4</w:t>
            </w:r>
          </w:p>
        </w:tc>
      </w:tr>
    </w:tbl>
    <w:p w:rsidR="00850727" w:rsidRPr="00850727" w:rsidRDefault="00850727" w:rsidP="00850727">
      <w:pPr>
        <w:pStyle w:val="tablesourcenote0"/>
        <w:ind w:firstLine="425"/>
        <w:rPr>
          <w:i/>
        </w:rPr>
      </w:pPr>
      <w:r w:rsidRPr="00850727">
        <w:rPr>
          <w:i/>
        </w:rPr>
        <w:t xml:space="preserve">     Source: </w:t>
      </w:r>
      <w:r w:rsidRPr="00850727">
        <w:rPr>
          <w:i/>
          <w:lang w:val="en-US"/>
        </w:rPr>
        <w:t xml:space="preserve">Thee, 2002 </w:t>
      </w:r>
      <w:sdt>
        <w:sdtPr>
          <w:rPr>
            <w:i/>
            <w:lang w:val="en-US"/>
          </w:rPr>
          <w:id w:val="121859739"/>
          <w:citation/>
        </w:sdtPr>
        <w:sdtContent>
          <w:r w:rsidR="00476E26" w:rsidRPr="00850727">
            <w:rPr>
              <w:i/>
              <w:lang w:val="en-US"/>
            </w:rPr>
            <w:fldChar w:fldCharType="begin"/>
          </w:r>
          <w:r w:rsidRPr="00850727">
            <w:rPr>
              <w:i/>
              <w:lang w:val="en-US"/>
            </w:rPr>
            <w:instrText xml:space="preserve"> CITATION The02 \p 198 \n  \y  \t  \l 1033  </w:instrText>
          </w:r>
          <w:r w:rsidR="00476E26" w:rsidRPr="00850727">
            <w:rPr>
              <w:i/>
              <w:lang w:val="en-US"/>
            </w:rPr>
            <w:fldChar w:fldCharType="separate"/>
          </w:r>
          <w:r w:rsidRPr="00850727">
            <w:rPr>
              <w:i/>
              <w:noProof/>
              <w:lang w:val="en-US"/>
            </w:rPr>
            <w:t>(p. 198)</w:t>
          </w:r>
          <w:r w:rsidR="00476E26" w:rsidRPr="00850727">
            <w:rPr>
              <w:i/>
              <w:lang w:val="en-US"/>
            </w:rPr>
            <w:fldChar w:fldCharType="end"/>
          </w:r>
        </w:sdtContent>
      </w:sdt>
    </w:p>
    <w:p w:rsidR="00850727" w:rsidRPr="00DD1540" w:rsidRDefault="00850727" w:rsidP="00850727">
      <w:pPr>
        <w:rPr>
          <w:lang w:val="en-US"/>
        </w:rPr>
      </w:pPr>
    </w:p>
    <w:p w:rsidR="00850727" w:rsidRPr="00AE145F" w:rsidRDefault="00E334B5" w:rsidP="00850727">
      <w:pPr>
        <w:rPr>
          <w:lang w:val="en-US"/>
        </w:rPr>
      </w:pPr>
      <w:r>
        <w:t>The l</w:t>
      </w:r>
      <w:r w:rsidR="0024235A" w:rsidRPr="0024235A">
        <w:t>iberal view on the role of the state is quite simply, which should do security of economic activities in order to create profitable activities with a f</w:t>
      </w:r>
      <w:r w:rsidR="0024235A" w:rsidRPr="0024235A">
        <w:t>a</w:t>
      </w:r>
      <w:r w:rsidR="0024235A" w:rsidRPr="0024235A">
        <w:t>vourable investment climate could run well. Thus, state only appears for law enforcement and institution building needed to ease capital circulation. While, during the Suharto</w:t>
      </w:r>
      <w:r w:rsidR="0019605B">
        <w:t>,</w:t>
      </w:r>
      <w:r w:rsidR="0024235A" w:rsidRPr="0024235A">
        <w:t xml:space="preserve"> the state’s authority </w:t>
      </w:r>
      <w:r w:rsidR="0019605B">
        <w:t xml:space="preserve">of </w:t>
      </w:r>
      <w:r w:rsidR="0024235A" w:rsidRPr="0024235A">
        <w:t>monopoly in law enforcement and institutional arrangement to build the circuit for capital were widen and misled to the involvement and control the economy itself. Even more the Suharto regime has distributed this economic power limited to his cronies, as well at the same time this regime strengthened the bureaucratic rent seeking mech</w:t>
      </w:r>
      <w:r w:rsidR="0024235A" w:rsidRPr="0024235A">
        <w:t>a</w:t>
      </w:r>
      <w:r w:rsidR="0024235A" w:rsidRPr="0024235A">
        <w:t>nism within the state bureaucracy machines. Within this condition, competition atmosphere is not fully conducive, particularly for foreign capital. Due to some potential sectors to invest that had not fully opened for foreign investment, or they had not been able to be fully operated, such as mining, forestry, agricu</w:t>
      </w:r>
      <w:r w:rsidR="0024235A" w:rsidRPr="0024235A">
        <w:t>l</w:t>
      </w:r>
      <w:r w:rsidR="0024235A" w:rsidRPr="0024235A">
        <w:t>ture sectors and food production that considered as the biggest potential for investors to circulate their capital and generate surpluses</w:t>
      </w:r>
      <w:r w:rsidR="0019605B">
        <w:rPr>
          <w:lang w:val="en-US"/>
        </w:rPr>
        <w:t>.</w:t>
      </w:r>
    </w:p>
    <w:p w:rsidR="00850727" w:rsidRPr="00AE145F" w:rsidRDefault="0019605B" w:rsidP="00850727">
      <w:pPr>
        <w:rPr>
          <w:lang w:val="en-US"/>
        </w:rPr>
      </w:pPr>
      <w:r w:rsidRPr="0019605B">
        <w:t xml:space="preserve">Therefore, there was a small room and opportunity for capitalist to change the economic situation in Indonesia, either </w:t>
      </w:r>
      <w:r>
        <w:t xml:space="preserve">to </w:t>
      </w:r>
      <w:r w:rsidRPr="0019605B">
        <w:t>change the monopoly system and rent-seeking bureaucracy that already running or to replace the authorita</w:t>
      </w:r>
      <w:r w:rsidRPr="0019605B">
        <w:t>r</w:t>
      </w:r>
      <w:r w:rsidRPr="0019605B">
        <w:t>ian-bureaucratic regime. Establishment of a democratic system was needed, because it was assumed having better understanding for the meaning of co</w:t>
      </w:r>
      <w:r w:rsidRPr="0019605B">
        <w:t>m</w:t>
      </w:r>
      <w:r w:rsidRPr="0019605B">
        <w:t>petition; free trade and foreign involvement in Indonesian’s economic deve</w:t>
      </w:r>
      <w:r w:rsidRPr="0019605B">
        <w:t>l</w:t>
      </w:r>
      <w:r w:rsidRPr="0019605B">
        <w:t>opment. Because of that, the Asian financial crises in 1997 could be the best path to overhaul an existing order, while the capitalist thought that it was an important part for the resumption of open spaces or a process for the form</w:t>
      </w:r>
      <w:r w:rsidRPr="0019605B">
        <w:t>a</w:t>
      </w:r>
      <w:r w:rsidRPr="0019605B">
        <w:t xml:space="preserve">tion of the new capital circuits </w:t>
      </w:r>
      <w:sdt>
        <w:sdtPr>
          <w:id w:val="5032856"/>
          <w:citation/>
        </w:sdtPr>
        <w:sdtContent>
          <w:r w:rsidR="00476E26">
            <w:fldChar w:fldCharType="begin"/>
          </w:r>
          <w:r>
            <w:rPr>
              <w:lang w:val="en-US"/>
            </w:rPr>
            <w:instrText xml:space="preserve"> CITATION Har10 \p 50 \t  \l 1033  </w:instrText>
          </w:r>
          <w:r w:rsidR="00476E26">
            <w:fldChar w:fldCharType="separate"/>
          </w:r>
          <w:r w:rsidRPr="0019605B">
            <w:rPr>
              <w:noProof/>
              <w:lang w:val="en-US"/>
            </w:rPr>
            <w:t>(Harvey, 2010, p. 50)</w:t>
          </w:r>
          <w:r w:rsidR="00476E26">
            <w:fldChar w:fldCharType="end"/>
          </w:r>
        </w:sdtContent>
      </w:sdt>
      <w:r w:rsidRPr="0019605B">
        <w:t>. Chaotic situation in I</w:t>
      </w:r>
      <w:r w:rsidRPr="0019605B">
        <w:t>n</w:t>
      </w:r>
      <w:r w:rsidRPr="0019605B">
        <w:t xml:space="preserve">donesia at that time also led to the resignation of President Suharto's leadership </w:t>
      </w:r>
      <w:r w:rsidRPr="0019605B">
        <w:lastRenderedPageBreak/>
        <w:t xml:space="preserve">and political change from authoritarian regime to democracy occurred, called the </w:t>
      </w:r>
      <w:r w:rsidRPr="0019605B">
        <w:rPr>
          <w:i/>
        </w:rPr>
        <w:t>Reformasi</w:t>
      </w:r>
      <w:r w:rsidRPr="0019605B">
        <w:t xml:space="preserve"> 1998’s events.</w:t>
      </w:r>
      <w:r w:rsidR="00850727" w:rsidRPr="00AE145F">
        <w:rPr>
          <w:lang w:val="en-US"/>
        </w:rPr>
        <w:t xml:space="preserve"> </w:t>
      </w:r>
    </w:p>
    <w:p w:rsidR="00850727" w:rsidRPr="00AE145F" w:rsidRDefault="0019605B" w:rsidP="00850727">
      <w:pPr>
        <w:rPr>
          <w:lang w:val="en-US"/>
        </w:rPr>
      </w:pPr>
      <w:r w:rsidRPr="00C847D2">
        <w:t>The next important milestone was in 2004, after the first direct president election, which has generated a new characteristic of democracy and economic development in Indonesia and has performed a significant level of economic growth in 2007 (Table 3.1.). A new government led by Presiden Soesilo Ba</w:t>
      </w:r>
      <w:r w:rsidRPr="00C847D2">
        <w:t>m</w:t>
      </w:r>
      <w:r w:rsidRPr="00C847D2">
        <w:t>bang Yudhoyono (SBY) and vice president Jusuf Kalla (JK) have been consi</w:t>
      </w:r>
      <w:r w:rsidRPr="00C847D2">
        <w:t>d</w:t>
      </w:r>
      <w:r w:rsidRPr="00C847D2">
        <w:t>ered as a couple that has more understanding of an importance of fully open economic development in order to establish a free market economy.</w:t>
      </w:r>
      <w:r w:rsidR="00850727" w:rsidRPr="00AE145F">
        <w:rPr>
          <w:lang w:val="en-US"/>
        </w:rPr>
        <w:t xml:space="preserve"> </w:t>
      </w:r>
    </w:p>
    <w:p w:rsidR="00850727" w:rsidRDefault="0019605B" w:rsidP="00850727">
      <w:pPr>
        <w:rPr>
          <w:lang w:val="en-US"/>
        </w:rPr>
      </w:pPr>
      <w:r w:rsidRPr="00C847D2">
        <w:t>The story along 1980-1990s economy has also affected to agrarian cond</w:t>
      </w:r>
      <w:r w:rsidRPr="00C847D2">
        <w:t>i</w:t>
      </w:r>
      <w:r w:rsidRPr="00C847D2">
        <w:t>tion in Indonesia: Groups of conglomerate, mostly are Suharto’s cronies, co</w:t>
      </w:r>
      <w:r w:rsidRPr="00C847D2">
        <w:t>n</w:t>
      </w:r>
      <w:r w:rsidRPr="00C847D2">
        <w:t>trolled the land and agrarian resources in various form land concentration for the so-called ‘development’ of large-scale plantations, forestry, mining, inclu</w:t>
      </w:r>
      <w:r w:rsidRPr="00C847D2">
        <w:t>d</w:t>
      </w:r>
      <w:r w:rsidRPr="00C847D2">
        <w:t>ing land control over development of luxurious housing and golf course.</w:t>
      </w:r>
    </w:p>
    <w:p w:rsidR="001410DD" w:rsidRDefault="001410DD" w:rsidP="00071A0A">
      <w:pPr>
        <w:pStyle w:val="tabletitle"/>
        <w:spacing w:before="240"/>
      </w:pPr>
      <w:bookmarkStart w:id="86" w:name="_Toc340133878"/>
      <w:bookmarkStart w:id="87" w:name="_Toc340654623"/>
      <w:r>
        <w:t>Table 3.2.</w:t>
      </w:r>
      <w:r>
        <w:br/>
      </w:r>
      <w:r w:rsidRPr="007570C5">
        <w:t xml:space="preserve"> </w:t>
      </w:r>
      <w:bookmarkEnd w:id="86"/>
      <w:r w:rsidR="00141503" w:rsidRPr="003E1743">
        <w:t xml:space="preserve">General Overview of </w:t>
      </w:r>
      <w:r w:rsidR="00141503">
        <w:t xml:space="preserve">on Land Concentration and Control by Corporate Groups </w:t>
      </w:r>
      <w:r w:rsidR="00141503" w:rsidRPr="003E1743">
        <w:t>in Indonesia</w:t>
      </w:r>
      <w:bookmarkEnd w:id="8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4"/>
        <w:gridCol w:w="1047"/>
        <w:gridCol w:w="1196"/>
        <w:gridCol w:w="988"/>
        <w:gridCol w:w="2731"/>
      </w:tblGrid>
      <w:tr w:rsidR="001410DD" w:rsidRPr="00014FB6" w:rsidTr="00B168AD">
        <w:tc>
          <w:tcPr>
            <w:tcW w:w="1915" w:type="dxa"/>
            <w:vAlign w:val="center"/>
          </w:tcPr>
          <w:p w:rsidR="001410DD" w:rsidRPr="00014FB6" w:rsidRDefault="001410DD" w:rsidP="005B67BF">
            <w:pPr>
              <w:pStyle w:val="tablesourcenote0"/>
              <w:rPr>
                <w:rFonts w:cs="Arial"/>
                <w:b/>
                <w:sz w:val="18"/>
                <w:szCs w:val="18"/>
                <w:lang w:val="en-US"/>
              </w:rPr>
            </w:pPr>
            <w:r w:rsidRPr="00014FB6">
              <w:rPr>
                <w:rFonts w:cs="Arial"/>
                <w:b/>
                <w:sz w:val="18"/>
                <w:szCs w:val="18"/>
                <w:lang w:val="en-US"/>
              </w:rPr>
              <w:t>Land Allocation</w:t>
            </w:r>
          </w:p>
        </w:tc>
        <w:tc>
          <w:tcPr>
            <w:tcW w:w="1073" w:type="dxa"/>
            <w:vAlign w:val="center"/>
          </w:tcPr>
          <w:p w:rsidR="001410DD" w:rsidRPr="00014FB6" w:rsidRDefault="001410DD" w:rsidP="00B168AD">
            <w:pPr>
              <w:pStyle w:val="tablesourcenote0"/>
              <w:jc w:val="center"/>
              <w:rPr>
                <w:rFonts w:cs="Arial"/>
                <w:b/>
                <w:sz w:val="18"/>
                <w:szCs w:val="18"/>
                <w:lang w:val="en-US"/>
              </w:rPr>
            </w:pPr>
            <w:r w:rsidRPr="00014FB6">
              <w:rPr>
                <w:rFonts w:cs="Arial"/>
                <w:b/>
                <w:sz w:val="18"/>
                <w:szCs w:val="18"/>
                <w:lang w:val="en-US"/>
              </w:rPr>
              <w:t>Total Land Allocated</w:t>
            </w:r>
          </w:p>
          <w:p w:rsidR="001410DD" w:rsidRPr="00014FB6" w:rsidRDefault="001410DD" w:rsidP="00B168AD">
            <w:pPr>
              <w:pStyle w:val="tablesourcenote0"/>
              <w:jc w:val="center"/>
              <w:rPr>
                <w:rFonts w:cs="Arial"/>
                <w:b/>
                <w:sz w:val="18"/>
                <w:szCs w:val="18"/>
                <w:lang w:val="en-US"/>
              </w:rPr>
            </w:pPr>
            <w:r w:rsidRPr="00014FB6">
              <w:rPr>
                <w:rFonts w:cs="Arial"/>
                <w:b/>
                <w:sz w:val="18"/>
                <w:szCs w:val="18"/>
                <w:lang w:val="en-US"/>
              </w:rPr>
              <w:t>(ha)</w:t>
            </w:r>
          </w:p>
        </w:tc>
        <w:tc>
          <w:tcPr>
            <w:tcW w:w="1208" w:type="dxa"/>
            <w:vAlign w:val="center"/>
          </w:tcPr>
          <w:p w:rsidR="001410DD" w:rsidRPr="00014FB6" w:rsidRDefault="001410DD" w:rsidP="00B168AD">
            <w:pPr>
              <w:pStyle w:val="tablesourcenote0"/>
              <w:jc w:val="center"/>
              <w:rPr>
                <w:rFonts w:cs="Arial"/>
                <w:b/>
                <w:sz w:val="18"/>
                <w:szCs w:val="18"/>
                <w:lang w:val="en-US"/>
              </w:rPr>
            </w:pPr>
            <w:r w:rsidRPr="00014FB6">
              <w:rPr>
                <w:rFonts w:cs="Arial"/>
                <w:b/>
                <w:sz w:val="18"/>
                <w:szCs w:val="18"/>
                <w:lang w:val="en-US"/>
              </w:rPr>
              <w:t>Number of Companies</w:t>
            </w:r>
          </w:p>
        </w:tc>
        <w:tc>
          <w:tcPr>
            <w:tcW w:w="991" w:type="dxa"/>
            <w:vAlign w:val="center"/>
          </w:tcPr>
          <w:p w:rsidR="001410DD" w:rsidRPr="00014FB6" w:rsidRDefault="001410DD" w:rsidP="00B168AD">
            <w:pPr>
              <w:pStyle w:val="tablesourcenote0"/>
              <w:jc w:val="center"/>
              <w:rPr>
                <w:rFonts w:cs="Arial"/>
                <w:b/>
                <w:sz w:val="18"/>
                <w:szCs w:val="18"/>
                <w:lang w:val="en-US"/>
              </w:rPr>
            </w:pPr>
            <w:r w:rsidRPr="00014FB6">
              <w:rPr>
                <w:rFonts w:cs="Arial"/>
                <w:b/>
                <w:sz w:val="18"/>
                <w:szCs w:val="18"/>
                <w:lang w:val="en-US"/>
              </w:rPr>
              <w:t>Average Land Holdings (000 ha)</w:t>
            </w:r>
          </w:p>
        </w:tc>
        <w:tc>
          <w:tcPr>
            <w:tcW w:w="4389" w:type="dxa"/>
            <w:vAlign w:val="center"/>
          </w:tcPr>
          <w:p w:rsidR="001410DD" w:rsidRPr="00014FB6" w:rsidRDefault="001410DD" w:rsidP="00B168AD">
            <w:pPr>
              <w:pStyle w:val="tablesourcenote0"/>
              <w:jc w:val="center"/>
              <w:rPr>
                <w:rFonts w:cs="Arial"/>
                <w:b/>
                <w:sz w:val="18"/>
                <w:szCs w:val="18"/>
                <w:lang w:val="en-US"/>
              </w:rPr>
            </w:pPr>
            <w:r w:rsidRPr="00014FB6">
              <w:rPr>
                <w:rFonts w:cs="Arial"/>
                <w:b/>
                <w:sz w:val="18"/>
                <w:szCs w:val="18"/>
                <w:lang w:val="en-US"/>
              </w:rPr>
              <w:t>Notes</w:t>
            </w:r>
          </w:p>
        </w:tc>
      </w:tr>
      <w:tr w:rsidR="001410DD" w:rsidRPr="00014FB6" w:rsidTr="005B67BF">
        <w:trPr>
          <w:trHeight w:val="1583"/>
        </w:trPr>
        <w:tc>
          <w:tcPr>
            <w:tcW w:w="1915"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Large scale extractive forestry resources projects</w:t>
            </w:r>
          </w:p>
          <w:p w:rsidR="001410DD" w:rsidRPr="00014FB6" w:rsidRDefault="001410DD" w:rsidP="005B67BF">
            <w:pPr>
              <w:pStyle w:val="tablesourcenote0"/>
              <w:rPr>
                <w:rFonts w:cs="Arial"/>
                <w:sz w:val="18"/>
                <w:szCs w:val="18"/>
                <w:lang w:val="en-US"/>
              </w:rPr>
            </w:pPr>
            <w:r w:rsidRPr="00014FB6">
              <w:rPr>
                <w:rFonts w:cs="Arial"/>
                <w:sz w:val="18"/>
                <w:szCs w:val="18"/>
                <w:lang w:val="en-US"/>
              </w:rPr>
              <w:t>(by 1999)</w:t>
            </w: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(2005)</w:t>
            </w:r>
          </w:p>
        </w:tc>
        <w:tc>
          <w:tcPr>
            <w:tcW w:w="1073" w:type="dxa"/>
          </w:tcPr>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 xml:space="preserve">61.6 M </w:t>
            </w: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28 M</w:t>
            </w:r>
          </w:p>
        </w:tc>
        <w:tc>
          <w:tcPr>
            <w:tcW w:w="1208" w:type="dxa"/>
          </w:tcPr>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420</w:t>
            </w: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285</w:t>
            </w:r>
          </w:p>
        </w:tc>
        <w:tc>
          <w:tcPr>
            <w:tcW w:w="991" w:type="dxa"/>
          </w:tcPr>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146.6</w:t>
            </w: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99.3</w:t>
            </w:r>
          </w:p>
        </w:tc>
        <w:tc>
          <w:tcPr>
            <w:tcW w:w="4389"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12 groups of companies controlled 16.7 million ha (34.8%)</w:t>
            </w:r>
          </w:p>
          <w:p w:rsidR="001410DD" w:rsidRPr="00014FB6" w:rsidRDefault="001410DD" w:rsidP="005B67BF">
            <w:pPr>
              <w:pStyle w:val="tablesourcenote0"/>
              <w:rPr>
                <w:rFonts w:cs="Arial"/>
                <w:sz w:val="18"/>
                <w:szCs w:val="18"/>
                <w:lang w:val="en-US"/>
              </w:rPr>
            </w:pPr>
            <w:r w:rsidRPr="00014FB6">
              <w:rPr>
                <w:rFonts w:cs="Arial"/>
                <w:sz w:val="18"/>
                <w:szCs w:val="18"/>
                <w:lang w:val="en-US"/>
              </w:rPr>
              <w:t>These included a state-owned forestry company, PT Perhutani that have been controlling over 2.5 million ha Forest Land in Java</w:t>
            </w:r>
          </w:p>
        </w:tc>
      </w:tr>
      <w:tr w:rsidR="001410DD" w:rsidRPr="00014FB6" w:rsidTr="005B67BF">
        <w:tc>
          <w:tcPr>
            <w:tcW w:w="1915"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 xml:space="preserve">Large scale mining projects </w:t>
            </w: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(by 1999)</w:t>
            </w: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(by 2011)</w:t>
            </w:r>
          </w:p>
        </w:tc>
        <w:tc>
          <w:tcPr>
            <w:tcW w:w="1073" w:type="dxa"/>
          </w:tcPr>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264.7 M</w:t>
            </w: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64.2 M</w:t>
            </w:r>
          </w:p>
        </w:tc>
        <w:tc>
          <w:tcPr>
            <w:tcW w:w="1208" w:type="dxa"/>
          </w:tcPr>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555</w:t>
            </w: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375</w:t>
            </w:r>
          </w:p>
        </w:tc>
        <w:tc>
          <w:tcPr>
            <w:tcW w:w="991" w:type="dxa"/>
          </w:tcPr>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477</w:t>
            </w: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171.2</w:t>
            </w:r>
          </w:p>
        </w:tc>
        <w:tc>
          <w:tcPr>
            <w:tcW w:w="4389" w:type="dxa"/>
          </w:tcPr>
          <w:p w:rsidR="001410DD" w:rsidRPr="00014FB6" w:rsidRDefault="001410DD" w:rsidP="00E334B5">
            <w:pPr>
              <w:pStyle w:val="tablesourcenote0"/>
              <w:rPr>
                <w:rFonts w:cs="Arial"/>
                <w:sz w:val="18"/>
                <w:szCs w:val="18"/>
                <w:lang w:val="en-US"/>
              </w:rPr>
            </w:pPr>
            <w:r w:rsidRPr="00014FB6">
              <w:rPr>
                <w:rFonts w:cs="Arial"/>
                <w:sz w:val="18"/>
                <w:szCs w:val="18"/>
                <w:lang w:val="en-US"/>
              </w:rPr>
              <w:t>Total land allocated for large-scale mining exploration and exploitation here is based on accumulative concession areas provided for each company as recorded by the Investment Coordination Board (BKPM). This indicates that concessions had (1) the potential to overlap with land allocation for other purposes; (2) mining concessions are only based on potential of underground operations without recognizing the total land area used by the mine. Data for the actual land used by these mining operations is not available.</w:t>
            </w:r>
          </w:p>
        </w:tc>
      </w:tr>
      <w:tr w:rsidR="001410DD" w:rsidRPr="00014FB6" w:rsidTr="005B67BF">
        <w:tc>
          <w:tcPr>
            <w:tcW w:w="1915"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Large scale plantation projects</w:t>
            </w:r>
          </w:p>
          <w:p w:rsidR="001410DD" w:rsidRPr="00014FB6" w:rsidRDefault="001410DD" w:rsidP="005B67BF">
            <w:pPr>
              <w:pStyle w:val="tablesourcenote0"/>
              <w:rPr>
                <w:rFonts w:cs="Arial"/>
                <w:sz w:val="18"/>
                <w:szCs w:val="18"/>
                <w:lang w:val="en-US"/>
              </w:rPr>
            </w:pPr>
            <w:r w:rsidRPr="00014FB6">
              <w:rPr>
                <w:rFonts w:cs="Arial"/>
                <w:sz w:val="18"/>
                <w:szCs w:val="18"/>
                <w:lang w:val="en-US"/>
              </w:rPr>
              <w:t>(by 2000)</w:t>
            </w:r>
          </w:p>
        </w:tc>
        <w:tc>
          <w:tcPr>
            <w:tcW w:w="1073" w:type="dxa"/>
          </w:tcPr>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3.52 M</w:t>
            </w:r>
          </w:p>
        </w:tc>
        <w:tc>
          <w:tcPr>
            <w:tcW w:w="1208" w:type="dxa"/>
          </w:tcPr>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2,178</w:t>
            </w:r>
          </w:p>
        </w:tc>
        <w:tc>
          <w:tcPr>
            <w:tcW w:w="991" w:type="dxa"/>
          </w:tcPr>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16</w:t>
            </w:r>
          </w:p>
        </w:tc>
        <w:tc>
          <w:tcPr>
            <w:tcW w:w="4389"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New development of oil palm plantations; up to 2002 around 6M ha has been allocating for oil palm, GoI plans to expand up to 20M ha in 2015 for oil palm plantations</w:t>
            </w:r>
          </w:p>
        </w:tc>
      </w:tr>
      <w:tr w:rsidR="001410DD" w:rsidRPr="00014FB6" w:rsidTr="005B67BF">
        <w:tc>
          <w:tcPr>
            <w:tcW w:w="1915"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 xml:space="preserve">New towns and luxury housing development projects of 10 big </w:t>
            </w:r>
            <w:r w:rsidRPr="00014FB6">
              <w:rPr>
                <w:rFonts w:cs="Arial"/>
                <w:sz w:val="18"/>
                <w:szCs w:val="18"/>
                <w:lang w:val="en-US"/>
              </w:rPr>
              <w:lastRenderedPageBreak/>
              <w:t>conglomerates only in “the Jabodetabek area” (1998)</w:t>
            </w:r>
          </w:p>
        </w:tc>
        <w:tc>
          <w:tcPr>
            <w:tcW w:w="1073"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lastRenderedPageBreak/>
              <w:t>65,434</w:t>
            </w:r>
          </w:p>
        </w:tc>
        <w:tc>
          <w:tcPr>
            <w:tcW w:w="1208"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10 holding property companies</w:t>
            </w:r>
          </w:p>
        </w:tc>
        <w:tc>
          <w:tcPr>
            <w:tcW w:w="991"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6.5</w:t>
            </w:r>
          </w:p>
        </w:tc>
        <w:tc>
          <w:tcPr>
            <w:tcW w:w="4389"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 xml:space="preserve">Jabodetabek, a metropolitan area around Jakarta, which is part of three provinces (DKI Jakarta, West Java and </w:t>
            </w:r>
            <w:r w:rsidRPr="00014FB6">
              <w:rPr>
                <w:rFonts w:cs="Arial"/>
                <w:sz w:val="18"/>
                <w:szCs w:val="18"/>
                <w:lang w:val="en-US"/>
              </w:rPr>
              <w:lastRenderedPageBreak/>
              <w:t>Banten).</w:t>
            </w:r>
          </w:p>
          <w:p w:rsidR="001410DD" w:rsidRPr="00014FB6" w:rsidRDefault="001410DD" w:rsidP="005B67BF">
            <w:pPr>
              <w:pStyle w:val="tablesourcenote0"/>
              <w:rPr>
                <w:rFonts w:cs="Arial"/>
                <w:sz w:val="18"/>
                <w:szCs w:val="18"/>
                <w:lang w:val="en-US"/>
              </w:rPr>
            </w:pPr>
          </w:p>
          <w:p w:rsidR="001410DD" w:rsidRPr="00014FB6" w:rsidRDefault="001410DD" w:rsidP="005B67BF">
            <w:pPr>
              <w:pStyle w:val="tablesourcenote0"/>
              <w:rPr>
                <w:rFonts w:cs="Arial"/>
                <w:sz w:val="18"/>
                <w:szCs w:val="18"/>
                <w:lang w:val="en-US"/>
              </w:rPr>
            </w:pPr>
            <w:r w:rsidRPr="00014FB6">
              <w:rPr>
                <w:rFonts w:cs="Arial"/>
                <w:sz w:val="18"/>
                <w:szCs w:val="18"/>
                <w:lang w:val="en-US"/>
              </w:rPr>
              <w:t>The result study of the department of City Plan and Real Estate Tarumanegara University (2011: 28), new towns in Metropolitan area of Jakarta or Jabodetabek have been controlled by 5 holding property companies (Bakrieland Development, Sinarmas Land, Jaya Real Property (Pembangunan Jaya), Lippo Group and Ciputra Group).</w:t>
            </w:r>
          </w:p>
        </w:tc>
      </w:tr>
      <w:tr w:rsidR="001410DD" w:rsidRPr="00014FB6" w:rsidTr="005B67BF">
        <w:tc>
          <w:tcPr>
            <w:tcW w:w="1915"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lastRenderedPageBreak/>
              <w:t>Golf Course (Jabodetabek area only, in 1995)</w:t>
            </w:r>
          </w:p>
        </w:tc>
        <w:tc>
          <w:tcPr>
            <w:tcW w:w="1073"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11,200</w:t>
            </w:r>
          </w:p>
        </w:tc>
        <w:tc>
          <w:tcPr>
            <w:tcW w:w="1208"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32</w:t>
            </w:r>
          </w:p>
        </w:tc>
        <w:tc>
          <w:tcPr>
            <w:tcW w:w="991"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0.4</w:t>
            </w:r>
          </w:p>
        </w:tc>
        <w:tc>
          <w:tcPr>
            <w:tcW w:w="4389"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By 2000, 119 golf club companies and courses had been developed throughout Indonesia.</w:t>
            </w:r>
          </w:p>
        </w:tc>
      </w:tr>
      <w:tr w:rsidR="001410DD" w:rsidRPr="00014FB6" w:rsidTr="005B67BF">
        <w:tc>
          <w:tcPr>
            <w:tcW w:w="1915"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Large scale industrial estate projects (by 1998)</w:t>
            </w:r>
          </w:p>
        </w:tc>
        <w:tc>
          <w:tcPr>
            <w:tcW w:w="1073"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25,254</w:t>
            </w:r>
          </w:p>
        </w:tc>
        <w:tc>
          <w:tcPr>
            <w:tcW w:w="1208"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74</w:t>
            </w:r>
          </w:p>
        </w:tc>
        <w:tc>
          <w:tcPr>
            <w:tcW w:w="991" w:type="dxa"/>
          </w:tcPr>
          <w:p w:rsidR="001410DD" w:rsidRPr="00014FB6" w:rsidRDefault="001410DD" w:rsidP="005B67BF">
            <w:pPr>
              <w:pStyle w:val="tablesourcenote0"/>
              <w:rPr>
                <w:rFonts w:cs="Arial"/>
                <w:sz w:val="18"/>
                <w:szCs w:val="18"/>
                <w:lang w:val="en-US"/>
              </w:rPr>
            </w:pPr>
            <w:r w:rsidRPr="00014FB6">
              <w:rPr>
                <w:rFonts w:cs="Arial"/>
                <w:sz w:val="18"/>
                <w:szCs w:val="18"/>
                <w:lang w:val="en-US"/>
              </w:rPr>
              <w:t>0.3</w:t>
            </w:r>
          </w:p>
        </w:tc>
        <w:tc>
          <w:tcPr>
            <w:tcW w:w="4389" w:type="dxa"/>
          </w:tcPr>
          <w:p w:rsidR="001410DD" w:rsidRPr="00014FB6" w:rsidRDefault="001410DD" w:rsidP="005B67BF">
            <w:pPr>
              <w:pStyle w:val="tablesourcenote0"/>
              <w:rPr>
                <w:rFonts w:cs="Arial"/>
                <w:sz w:val="18"/>
                <w:szCs w:val="18"/>
                <w:lang w:val="en-US"/>
              </w:rPr>
            </w:pPr>
          </w:p>
        </w:tc>
      </w:tr>
    </w:tbl>
    <w:p w:rsidR="002809E1" w:rsidRPr="004D2C80" w:rsidRDefault="004D2C80" w:rsidP="004D2C80">
      <w:pPr>
        <w:ind w:firstLine="0"/>
        <w:rPr>
          <w:rFonts w:ascii="Arial" w:hAnsi="Arial" w:cs="Arial"/>
          <w:b/>
          <w:sz w:val="16"/>
          <w:szCs w:val="16"/>
        </w:rPr>
      </w:pPr>
      <w:r w:rsidRPr="004D2C80">
        <w:rPr>
          <w:rFonts w:ascii="Arial" w:hAnsi="Arial" w:cs="Arial"/>
          <w:i/>
          <w:sz w:val="16"/>
          <w:szCs w:val="16"/>
        </w:rPr>
        <w:t>Source:</w:t>
      </w:r>
      <w:r w:rsidRPr="004D2C80">
        <w:rPr>
          <w:rFonts w:ascii="Arial" w:hAnsi="Arial" w:cs="Arial"/>
          <w:sz w:val="16"/>
          <w:szCs w:val="16"/>
        </w:rPr>
        <w:t xml:space="preserve"> </w:t>
      </w:r>
      <w:r w:rsidRPr="004D2C80">
        <w:rPr>
          <w:rFonts w:ascii="Arial" w:hAnsi="Arial" w:cs="Arial"/>
          <w:sz w:val="16"/>
          <w:szCs w:val="16"/>
          <w:lang w:val="en-US"/>
        </w:rPr>
        <w:t xml:space="preserve">Bachriadi &amp; Wiradi, 2011 </w:t>
      </w:r>
      <w:sdt>
        <w:sdtPr>
          <w:rPr>
            <w:rFonts w:ascii="Arial" w:hAnsi="Arial" w:cs="Arial"/>
            <w:sz w:val="16"/>
            <w:szCs w:val="16"/>
            <w:lang w:val="en-US"/>
          </w:rPr>
          <w:id w:val="121859908"/>
          <w:citation/>
        </w:sdtPr>
        <w:sdtContent>
          <w:r w:rsidR="00476E26">
            <w:rPr>
              <w:rFonts w:ascii="Arial" w:hAnsi="Arial" w:cs="Arial"/>
              <w:sz w:val="16"/>
              <w:szCs w:val="16"/>
              <w:lang w:val="en-US"/>
            </w:rPr>
            <w:fldChar w:fldCharType="begin"/>
          </w:r>
          <w:r>
            <w:rPr>
              <w:rFonts w:ascii="Arial" w:hAnsi="Arial" w:cs="Arial"/>
              <w:sz w:val="16"/>
              <w:szCs w:val="16"/>
              <w:lang w:val="en-US"/>
            </w:rPr>
            <w:instrText xml:space="preserve"> CITATION Bac11 \p 9-14 \n  \y  \t  \l 1033  </w:instrText>
          </w:r>
          <w:r w:rsidR="00476E26">
            <w:rPr>
              <w:rFonts w:ascii="Arial" w:hAnsi="Arial" w:cs="Arial"/>
              <w:sz w:val="16"/>
              <w:szCs w:val="16"/>
              <w:lang w:val="en-US"/>
            </w:rPr>
            <w:fldChar w:fldCharType="separate"/>
          </w:r>
          <w:r w:rsidRPr="004D2C80">
            <w:rPr>
              <w:rFonts w:ascii="Arial" w:hAnsi="Arial" w:cs="Arial"/>
              <w:noProof/>
              <w:sz w:val="16"/>
              <w:szCs w:val="16"/>
              <w:lang w:val="en-US"/>
            </w:rPr>
            <w:t>(pp. 9-14)</w:t>
          </w:r>
          <w:r w:rsidR="00476E26">
            <w:rPr>
              <w:rFonts w:ascii="Arial" w:hAnsi="Arial" w:cs="Arial"/>
              <w:sz w:val="16"/>
              <w:szCs w:val="16"/>
              <w:lang w:val="en-US"/>
            </w:rPr>
            <w:fldChar w:fldCharType="end"/>
          </w:r>
        </w:sdtContent>
      </w:sdt>
      <w:r w:rsidRPr="004D2C80">
        <w:rPr>
          <w:rFonts w:ascii="Arial" w:hAnsi="Arial" w:cs="Arial"/>
          <w:sz w:val="16"/>
          <w:szCs w:val="16"/>
          <w:lang w:val="en-US"/>
        </w:rPr>
        <w:t xml:space="preserve">; Bachriadi, 2010 </w:t>
      </w:r>
      <w:sdt>
        <w:sdtPr>
          <w:rPr>
            <w:rFonts w:ascii="Arial" w:hAnsi="Arial" w:cs="Arial"/>
            <w:sz w:val="16"/>
            <w:szCs w:val="16"/>
            <w:lang w:val="en-US"/>
          </w:rPr>
          <w:id w:val="121859909"/>
          <w:citation/>
        </w:sdtPr>
        <w:sdtContent>
          <w:r w:rsidR="00476E26">
            <w:rPr>
              <w:rFonts w:ascii="Arial" w:hAnsi="Arial" w:cs="Arial"/>
              <w:sz w:val="16"/>
              <w:szCs w:val="16"/>
              <w:lang w:val="en-US"/>
            </w:rPr>
            <w:fldChar w:fldCharType="begin"/>
          </w:r>
          <w:r>
            <w:rPr>
              <w:rFonts w:ascii="Arial" w:hAnsi="Arial" w:cs="Arial"/>
              <w:sz w:val="16"/>
              <w:szCs w:val="16"/>
              <w:lang w:val="en-US"/>
            </w:rPr>
            <w:instrText xml:space="preserve"> CITATION Bac10 \p 54 \n  \y  \t  \l 1033  </w:instrText>
          </w:r>
          <w:r w:rsidR="00476E26">
            <w:rPr>
              <w:rFonts w:ascii="Arial" w:hAnsi="Arial" w:cs="Arial"/>
              <w:sz w:val="16"/>
              <w:szCs w:val="16"/>
              <w:lang w:val="en-US"/>
            </w:rPr>
            <w:fldChar w:fldCharType="separate"/>
          </w:r>
          <w:r w:rsidRPr="004D2C80">
            <w:rPr>
              <w:rFonts w:ascii="Arial" w:hAnsi="Arial" w:cs="Arial"/>
              <w:noProof/>
              <w:sz w:val="16"/>
              <w:szCs w:val="16"/>
              <w:lang w:val="en-US"/>
            </w:rPr>
            <w:t>(p. 54)</w:t>
          </w:r>
          <w:r w:rsidR="00476E26">
            <w:rPr>
              <w:rFonts w:ascii="Arial" w:hAnsi="Arial" w:cs="Arial"/>
              <w:sz w:val="16"/>
              <w:szCs w:val="16"/>
              <w:lang w:val="en-US"/>
            </w:rPr>
            <w:fldChar w:fldCharType="end"/>
          </w:r>
        </w:sdtContent>
      </w:sdt>
      <w:r>
        <w:rPr>
          <w:rFonts w:ascii="Arial" w:hAnsi="Arial" w:cs="Arial"/>
          <w:sz w:val="16"/>
          <w:szCs w:val="16"/>
          <w:lang w:val="en-US"/>
        </w:rPr>
        <w:t xml:space="preserve"> and </w:t>
      </w:r>
      <w:r w:rsidRPr="004D2C80">
        <w:rPr>
          <w:rFonts w:ascii="Arial" w:hAnsi="Arial" w:cs="Arial"/>
          <w:i/>
          <w:sz w:val="16"/>
          <w:szCs w:val="16"/>
          <w:lang w:val="en-US"/>
        </w:rPr>
        <w:t>his</w:t>
      </w:r>
      <w:r>
        <w:rPr>
          <w:rFonts w:ascii="Arial" w:hAnsi="Arial" w:cs="Arial"/>
          <w:sz w:val="16"/>
          <w:szCs w:val="16"/>
          <w:lang w:val="en-US"/>
        </w:rPr>
        <w:t xml:space="preserve"> </w:t>
      </w:r>
      <w:r w:rsidRPr="004D2C80">
        <w:rPr>
          <w:rFonts w:ascii="Arial" w:hAnsi="Arial" w:cs="Arial"/>
          <w:i/>
          <w:sz w:val="16"/>
          <w:szCs w:val="16"/>
          <w:lang w:val="en-US"/>
        </w:rPr>
        <w:t xml:space="preserve">update version </w:t>
      </w:r>
      <w:sdt>
        <w:sdtPr>
          <w:rPr>
            <w:rFonts w:ascii="Arial" w:hAnsi="Arial" w:cs="Arial"/>
            <w:sz w:val="16"/>
            <w:szCs w:val="16"/>
            <w:lang w:val="en-US"/>
          </w:rPr>
          <w:id w:val="121859910"/>
          <w:citation/>
        </w:sdtPr>
        <w:sdtContent>
          <w:r w:rsidR="00476E26">
            <w:rPr>
              <w:rFonts w:ascii="Arial" w:hAnsi="Arial" w:cs="Arial"/>
              <w:sz w:val="16"/>
              <w:szCs w:val="16"/>
              <w:lang w:val="en-US"/>
            </w:rPr>
            <w:fldChar w:fldCharType="begin"/>
          </w:r>
          <w:r>
            <w:rPr>
              <w:rFonts w:ascii="Arial" w:hAnsi="Arial" w:cs="Arial"/>
              <w:sz w:val="16"/>
              <w:szCs w:val="16"/>
              <w:lang w:val="en-US"/>
            </w:rPr>
            <w:instrText xml:space="preserve"> CITATION Bac12 \n  \t  \l 1033  </w:instrText>
          </w:r>
          <w:r w:rsidR="00476E26">
            <w:rPr>
              <w:rFonts w:ascii="Arial" w:hAnsi="Arial" w:cs="Arial"/>
              <w:sz w:val="16"/>
              <w:szCs w:val="16"/>
              <w:lang w:val="en-US"/>
            </w:rPr>
            <w:fldChar w:fldCharType="separate"/>
          </w:r>
          <w:r w:rsidRPr="004D2C80">
            <w:rPr>
              <w:rFonts w:ascii="Arial" w:hAnsi="Arial" w:cs="Arial"/>
              <w:noProof/>
              <w:sz w:val="16"/>
              <w:szCs w:val="16"/>
              <w:lang w:val="en-US"/>
            </w:rPr>
            <w:t>(2012)</w:t>
          </w:r>
          <w:r w:rsidR="00476E26">
            <w:rPr>
              <w:rFonts w:ascii="Arial" w:hAnsi="Arial" w:cs="Arial"/>
              <w:sz w:val="16"/>
              <w:szCs w:val="16"/>
              <w:lang w:val="en-US"/>
            </w:rPr>
            <w:fldChar w:fldCharType="end"/>
          </w:r>
        </w:sdtContent>
      </w:sdt>
    </w:p>
    <w:p w:rsidR="004D2C80" w:rsidRDefault="00141503" w:rsidP="00371444">
      <w:pPr>
        <w:spacing w:before="240"/>
      </w:pPr>
      <w:r>
        <w:t>It is a strong contrast to compare figure of land controlled by corporations in the ’80-‘90s in Indonesia as mentioned in table 3.2 above with land co</w:t>
      </w:r>
      <w:r>
        <w:t>n</w:t>
      </w:r>
      <w:r>
        <w:t xml:space="preserve">trolled by peasant households on the same period. </w:t>
      </w:r>
      <w:r w:rsidRPr="00BB13F2">
        <w:t xml:space="preserve">According to BPS data, </w:t>
      </w:r>
      <w:r>
        <w:t>from 1983 to 2003, total land controlled by the peasants in Indonesia is less than 22 million hectares (1983: 16.8 million ha; 1993: 17.1 million ha; and 2003: 21.5 million ha). While, in the same period, total number of peasant hous</w:t>
      </w:r>
      <w:r>
        <w:t>e</w:t>
      </w:r>
      <w:r>
        <w:t>holds increased: from 23.8 million households in 1983 to</w:t>
      </w:r>
      <w:r w:rsidR="007F0F2E">
        <w:t xml:space="preserve"> </w:t>
      </w:r>
      <w:r>
        <w:t>30.2 million in 1993, and 37.7 million in 2003 (Table 3.3). Growth of the land available for small cultivators always lower than growth of the peasants As the result, from time to time, average land control by peasant is still less than 1 hectare per hous</w:t>
      </w:r>
      <w:r>
        <w:t>e</w:t>
      </w:r>
      <w:r>
        <w:t>hold and number of small peasants and landless had increased. It is should bear on mind that is not all the peasants is landholders (only 79% in 1983, 70% in 1993, and 64% in 2003); some of them are landless. So in the same period percentage of absolute-landless peasants has increased; from 21% in 1983 to 30% in 1993, and 36% in 2003.</w:t>
      </w:r>
    </w:p>
    <w:p w:rsidR="001410DD" w:rsidRDefault="001410DD" w:rsidP="00071A0A">
      <w:pPr>
        <w:pStyle w:val="tabletitle"/>
        <w:spacing w:before="240"/>
      </w:pPr>
      <w:bookmarkStart w:id="88" w:name="_Toc340654624"/>
      <w:r>
        <w:t>Table 3.3.</w:t>
      </w:r>
      <w:r>
        <w:br/>
      </w:r>
      <w:r w:rsidRPr="007570C5">
        <w:t xml:space="preserve"> </w:t>
      </w:r>
      <w:r w:rsidR="00141503">
        <w:t xml:space="preserve">Peasant’s Landholding Structure </w:t>
      </w:r>
      <w:r w:rsidR="00141503" w:rsidRPr="00E60782">
        <w:t>in Indonesia, 1983-200</w:t>
      </w:r>
      <w:r w:rsidR="00141503">
        <w:t>0</w:t>
      </w:r>
      <w:bookmarkEnd w:id="88"/>
    </w:p>
    <w:tbl>
      <w:tblPr>
        <w:tblW w:w="0" w:type="auto"/>
        <w:jc w:val="center"/>
        <w:tblInd w:w="-2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96"/>
        <w:gridCol w:w="772"/>
        <w:gridCol w:w="772"/>
        <w:gridCol w:w="772"/>
      </w:tblGrid>
      <w:tr w:rsidR="00071A0A" w:rsidRPr="006655D7" w:rsidTr="000F00DD">
        <w:trPr>
          <w:jc w:val="center"/>
        </w:trPr>
        <w:tc>
          <w:tcPr>
            <w:tcW w:w="4596" w:type="dxa"/>
            <w:tcBorders>
              <w:top w:val="single" w:sz="4" w:space="0" w:color="auto"/>
              <w:left w:val="single" w:sz="4" w:space="0" w:color="auto"/>
              <w:bottom w:val="single" w:sz="4" w:space="0" w:color="auto"/>
              <w:right w:val="single" w:sz="4" w:space="0" w:color="auto"/>
            </w:tcBorders>
          </w:tcPr>
          <w:p w:rsidR="00071A0A" w:rsidRPr="006655D7" w:rsidRDefault="00071A0A" w:rsidP="00C81A74">
            <w:pPr>
              <w:pStyle w:val="tablesourcenote0"/>
              <w:rPr>
                <w:rFonts w:cs="Arial"/>
                <w:sz w:val="18"/>
                <w:szCs w:val="18"/>
                <w:lang w:val="en-US"/>
              </w:rPr>
            </w:pPr>
          </w:p>
        </w:tc>
        <w:tc>
          <w:tcPr>
            <w:tcW w:w="772" w:type="dxa"/>
            <w:tcBorders>
              <w:left w:val="single" w:sz="4" w:space="0" w:color="auto"/>
            </w:tcBorders>
            <w:vAlign w:val="center"/>
          </w:tcPr>
          <w:p w:rsidR="00071A0A" w:rsidRPr="006655D7" w:rsidRDefault="00071A0A" w:rsidP="00C81A74">
            <w:pPr>
              <w:pStyle w:val="tablesourcenote0"/>
              <w:jc w:val="center"/>
              <w:rPr>
                <w:rFonts w:cs="Arial"/>
                <w:b/>
                <w:sz w:val="18"/>
                <w:szCs w:val="18"/>
                <w:lang w:val="en-US"/>
              </w:rPr>
            </w:pPr>
            <w:r w:rsidRPr="006655D7">
              <w:rPr>
                <w:rFonts w:cs="Arial"/>
                <w:b/>
                <w:sz w:val="18"/>
                <w:szCs w:val="18"/>
                <w:lang w:val="en-US"/>
              </w:rPr>
              <w:t>1983</w:t>
            </w:r>
          </w:p>
        </w:tc>
        <w:tc>
          <w:tcPr>
            <w:tcW w:w="772" w:type="dxa"/>
            <w:vAlign w:val="center"/>
          </w:tcPr>
          <w:p w:rsidR="00071A0A" w:rsidRPr="006655D7" w:rsidRDefault="00071A0A" w:rsidP="00C81A74">
            <w:pPr>
              <w:pStyle w:val="tablesourcenote0"/>
              <w:jc w:val="center"/>
              <w:rPr>
                <w:rFonts w:cs="Arial"/>
                <w:b/>
                <w:sz w:val="18"/>
                <w:szCs w:val="18"/>
                <w:lang w:val="en-US"/>
              </w:rPr>
            </w:pPr>
            <w:r w:rsidRPr="006655D7">
              <w:rPr>
                <w:rFonts w:cs="Arial"/>
                <w:b/>
                <w:sz w:val="18"/>
                <w:szCs w:val="18"/>
                <w:lang w:val="en-US"/>
              </w:rPr>
              <w:t>1993</w:t>
            </w:r>
          </w:p>
        </w:tc>
        <w:tc>
          <w:tcPr>
            <w:tcW w:w="772" w:type="dxa"/>
            <w:vAlign w:val="center"/>
          </w:tcPr>
          <w:p w:rsidR="00071A0A" w:rsidRPr="006655D7" w:rsidRDefault="00071A0A" w:rsidP="00C81A74">
            <w:pPr>
              <w:pStyle w:val="tablesourcenote0"/>
              <w:jc w:val="center"/>
              <w:rPr>
                <w:rFonts w:cs="Arial"/>
                <w:b/>
                <w:sz w:val="18"/>
                <w:szCs w:val="18"/>
                <w:lang w:val="en-US"/>
              </w:rPr>
            </w:pPr>
            <w:r w:rsidRPr="006655D7">
              <w:rPr>
                <w:rFonts w:cs="Arial"/>
                <w:b/>
                <w:sz w:val="18"/>
                <w:szCs w:val="18"/>
                <w:lang w:val="en-US"/>
              </w:rPr>
              <w:t>2000</w:t>
            </w:r>
          </w:p>
        </w:tc>
      </w:tr>
      <w:tr w:rsidR="000F00DD" w:rsidRPr="006655D7" w:rsidTr="000F00DD">
        <w:trPr>
          <w:jc w:val="center"/>
        </w:trPr>
        <w:tc>
          <w:tcPr>
            <w:tcW w:w="4596" w:type="dxa"/>
            <w:tcBorders>
              <w:top w:val="single" w:sz="4" w:space="0" w:color="auto"/>
            </w:tcBorders>
            <w:shd w:val="clear" w:color="auto" w:fill="auto"/>
          </w:tcPr>
          <w:p w:rsidR="000F00DD" w:rsidRPr="006655D7" w:rsidRDefault="000F00DD" w:rsidP="00C81A74">
            <w:pPr>
              <w:pStyle w:val="tablesourcenote0"/>
              <w:rPr>
                <w:rFonts w:cs="Arial"/>
                <w:sz w:val="18"/>
                <w:szCs w:val="18"/>
                <w:lang w:val="en-US"/>
              </w:rPr>
            </w:pPr>
            <w:r>
              <w:rPr>
                <w:rFonts w:cs="Arial"/>
                <w:sz w:val="18"/>
                <w:szCs w:val="18"/>
                <w:lang w:val="en-US"/>
              </w:rPr>
              <w:t>Total land holds by peasant landholders (million ha)</w:t>
            </w:r>
          </w:p>
        </w:tc>
        <w:tc>
          <w:tcPr>
            <w:tcW w:w="772" w:type="dxa"/>
            <w:shd w:val="clear" w:color="auto" w:fill="auto"/>
            <w:vAlign w:val="center"/>
          </w:tcPr>
          <w:p w:rsidR="000F00DD" w:rsidRPr="006655D7" w:rsidRDefault="000F00DD" w:rsidP="00C81A74">
            <w:pPr>
              <w:pStyle w:val="tablesourcenote0"/>
              <w:jc w:val="center"/>
              <w:rPr>
                <w:rFonts w:cs="Arial"/>
                <w:sz w:val="18"/>
                <w:szCs w:val="18"/>
                <w:lang w:val="en-US"/>
              </w:rPr>
            </w:pPr>
            <w:r>
              <w:rPr>
                <w:rFonts w:cs="Arial"/>
                <w:sz w:val="18"/>
                <w:szCs w:val="18"/>
                <w:lang w:val="en-US"/>
              </w:rPr>
              <w:t>16.8</w:t>
            </w:r>
          </w:p>
        </w:tc>
        <w:tc>
          <w:tcPr>
            <w:tcW w:w="772" w:type="dxa"/>
            <w:shd w:val="clear" w:color="auto" w:fill="auto"/>
            <w:vAlign w:val="center"/>
          </w:tcPr>
          <w:p w:rsidR="000F00DD" w:rsidRPr="006655D7" w:rsidRDefault="000F00DD" w:rsidP="00C81A74">
            <w:pPr>
              <w:pStyle w:val="tablesourcenote0"/>
              <w:jc w:val="center"/>
              <w:rPr>
                <w:rFonts w:cs="Arial"/>
                <w:sz w:val="18"/>
                <w:szCs w:val="18"/>
                <w:lang w:val="en-US"/>
              </w:rPr>
            </w:pPr>
            <w:r>
              <w:rPr>
                <w:rFonts w:cs="Arial"/>
                <w:sz w:val="18"/>
                <w:szCs w:val="18"/>
                <w:lang w:val="en-US"/>
              </w:rPr>
              <w:t>17</w:t>
            </w:r>
            <w:r w:rsidRPr="006655D7">
              <w:rPr>
                <w:rFonts w:cs="Arial"/>
                <w:sz w:val="18"/>
                <w:szCs w:val="18"/>
                <w:lang w:val="en-US"/>
              </w:rPr>
              <w:t>.</w:t>
            </w:r>
            <w:r>
              <w:rPr>
                <w:rFonts w:cs="Arial"/>
                <w:sz w:val="18"/>
                <w:szCs w:val="18"/>
                <w:lang w:val="en-US"/>
              </w:rPr>
              <w:t>1</w:t>
            </w:r>
          </w:p>
        </w:tc>
        <w:tc>
          <w:tcPr>
            <w:tcW w:w="772" w:type="dxa"/>
            <w:shd w:val="clear" w:color="auto" w:fill="auto"/>
            <w:vAlign w:val="center"/>
          </w:tcPr>
          <w:p w:rsidR="000F00DD" w:rsidRPr="006655D7" w:rsidRDefault="000F00DD" w:rsidP="00C81A74">
            <w:pPr>
              <w:pStyle w:val="tablesourcenote0"/>
              <w:jc w:val="center"/>
              <w:rPr>
                <w:rFonts w:cs="Arial"/>
                <w:sz w:val="18"/>
                <w:szCs w:val="18"/>
                <w:lang w:val="en-US"/>
              </w:rPr>
            </w:pPr>
            <w:r>
              <w:rPr>
                <w:rFonts w:cs="Arial"/>
                <w:sz w:val="18"/>
                <w:szCs w:val="18"/>
                <w:lang w:val="en-US"/>
              </w:rPr>
              <w:t>21.5</w:t>
            </w:r>
          </w:p>
        </w:tc>
      </w:tr>
      <w:tr w:rsidR="00071A0A" w:rsidRPr="006655D7" w:rsidTr="000F00DD">
        <w:trPr>
          <w:jc w:val="center"/>
        </w:trPr>
        <w:tc>
          <w:tcPr>
            <w:tcW w:w="4596" w:type="dxa"/>
          </w:tcPr>
          <w:p w:rsidR="00071A0A" w:rsidRPr="006655D7" w:rsidRDefault="00071A0A" w:rsidP="00C81A74">
            <w:pPr>
              <w:pStyle w:val="tablesourcenote0"/>
              <w:rPr>
                <w:rFonts w:cs="Arial"/>
                <w:sz w:val="18"/>
                <w:szCs w:val="18"/>
                <w:lang w:val="en-US"/>
              </w:rPr>
            </w:pPr>
            <w:r w:rsidRPr="006655D7">
              <w:rPr>
                <w:rFonts w:cs="Arial"/>
                <w:sz w:val="18"/>
                <w:szCs w:val="18"/>
                <w:lang w:val="en-US"/>
              </w:rPr>
              <w:t>Total number of farm households (million)</w:t>
            </w:r>
          </w:p>
        </w:tc>
        <w:tc>
          <w:tcPr>
            <w:tcW w:w="772" w:type="dxa"/>
            <w:vAlign w:val="center"/>
          </w:tcPr>
          <w:p w:rsidR="00071A0A" w:rsidRPr="006655D7" w:rsidRDefault="00071A0A" w:rsidP="00C81A74">
            <w:pPr>
              <w:pStyle w:val="tablesourcenote0"/>
              <w:jc w:val="center"/>
              <w:rPr>
                <w:rFonts w:cs="Arial"/>
                <w:sz w:val="18"/>
                <w:szCs w:val="18"/>
                <w:lang w:val="en-US"/>
              </w:rPr>
            </w:pPr>
            <w:r w:rsidRPr="006655D7">
              <w:rPr>
                <w:rFonts w:cs="Arial"/>
                <w:sz w:val="18"/>
                <w:szCs w:val="18"/>
                <w:lang w:val="en-US"/>
              </w:rPr>
              <w:t>23.8</w:t>
            </w:r>
          </w:p>
        </w:tc>
        <w:tc>
          <w:tcPr>
            <w:tcW w:w="772" w:type="dxa"/>
            <w:vAlign w:val="center"/>
          </w:tcPr>
          <w:p w:rsidR="00071A0A" w:rsidRPr="006655D7" w:rsidRDefault="00071A0A" w:rsidP="00C81A74">
            <w:pPr>
              <w:pStyle w:val="tablesourcenote0"/>
              <w:jc w:val="center"/>
              <w:rPr>
                <w:rFonts w:cs="Arial"/>
                <w:sz w:val="18"/>
                <w:szCs w:val="18"/>
                <w:lang w:val="en-US"/>
              </w:rPr>
            </w:pPr>
            <w:r w:rsidRPr="006655D7">
              <w:rPr>
                <w:rFonts w:cs="Arial"/>
                <w:sz w:val="18"/>
                <w:szCs w:val="18"/>
                <w:lang w:val="en-US"/>
              </w:rPr>
              <w:t>30.2</w:t>
            </w:r>
          </w:p>
        </w:tc>
        <w:tc>
          <w:tcPr>
            <w:tcW w:w="772" w:type="dxa"/>
            <w:vAlign w:val="center"/>
          </w:tcPr>
          <w:p w:rsidR="00071A0A" w:rsidRPr="006655D7" w:rsidRDefault="00071A0A" w:rsidP="00C81A74">
            <w:pPr>
              <w:pStyle w:val="tablesourcenote0"/>
              <w:jc w:val="center"/>
              <w:rPr>
                <w:rFonts w:cs="Arial"/>
                <w:sz w:val="18"/>
                <w:szCs w:val="18"/>
                <w:lang w:val="en-US"/>
              </w:rPr>
            </w:pPr>
            <w:r w:rsidRPr="006655D7">
              <w:rPr>
                <w:rFonts w:cs="Arial"/>
                <w:sz w:val="18"/>
                <w:szCs w:val="18"/>
                <w:lang w:val="en-US"/>
              </w:rPr>
              <w:t>37.7</w:t>
            </w:r>
          </w:p>
        </w:tc>
      </w:tr>
      <w:tr w:rsidR="00071A0A" w:rsidRPr="006655D7" w:rsidTr="000F00DD">
        <w:trPr>
          <w:jc w:val="center"/>
        </w:trPr>
        <w:tc>
          <w:tcPr>
            <w:tcW w:w="4596" w:type="dxa"/>
          </w:tcPr>
          <w:p w:rsidR="00071A0A" w:rsidRPr="006655D7" w:rsidRDefault="00071A0A" w:rsidP="00C81A74">
            <w:pPr>
              <w:pStyle w:val="tablesourcenote0"/>
              <w:rPr>
                <w:rFonts w:cs="Arial"/>
                <w:sz w:val="18"/>
                <w:szCs w:val="18"/>
                <w:lang w:val="en-US"/>
              </w:rPr>
            </w:pPr>
            <w:r w:rsidRPr="006655D7">
              <w:rPr>
                <w:rFonts w:cs="Arial"/>
                <w:sz w:val="18"/>
                <w:szCs w:val="18"/>
                <w:lang w:val="en-US"/>
              </w:rPr>
              <w:t>% of ‘Peasant landholders’</w:t>
            </w:r>
          </w:p>
        </w:tc>
        <w:tc>
          <w:tcPr>
            <w:tcW w:w="772" w:type="dxa"/>
            <w:vAlign w:val="center"/>
          </w:tcPr>
          <w:p w:rsidR="00071A0A" w:rsidRPr="006655D7" w:rsidRDefault="00071A0A" w:rsidP="00C81A74">
            <w:pPr>
              <w:pStyle w:val="tablesourcenote0"/>
              <w:jc w:val="center"/>
              <w:rPr>
                <w:rFonts w:cs="Arial"/>
                <w:sz w:val="18"/>
                <w:szCs w:val="18"/>
                <w:lang w:val="en-US"/>
              </w:rPr>
            </w:pPr>
            <w:r w:rsidRPr="006655D7">
              <w:rPr>
                <w:rFonts w:cs="Arial"/>
                <w:sz w:val="18"/>
                <w:szCs w:val="18"/>
                <w:lang w:val="en-US"/>
              </w:rPr>
              <w:t>78.9</w:t>
            </w:r>
          </w:p>
        </w:tc>
        <w:tc>
          <w:tcPr>
            <w:tcW w:w="772" w:type="dxa"/>
            <w:vAlign w:val="center"/>
          </w:tcPr>
          <w:p w:rsidR="00071A0A" w:rsidRPr="006655D7" w:rsidRDefault="00071A0A" w:rsidP="00C81A74">
            <w:pPr>
              <w:pStyle w:val="tablesourcenote0"/>
              <w:jc w:val="center"/>
              <w:rPr>
                <w:rFonts w:cs="Arial"/>
                <w:sz w:val="18"/>
                <w:szCs w:val="18"/>
                <w:lang w:val="en-US"/>
              </w:rPr>
            </w:pPr>
            <w:r w:rsidRPr="006655D7">
              <w:rPr>
                <w:rFonts w:cs="Arial"/>
                <w:sz w:val="18"/>
                <w:szCs w:val="18"/>
                <w:lang w:val="en-US"/>
              </w:rPr>
              <w:t>70.0</w:t>
            </w:r>
          </w:p>
        </w:tc>
        <w:tc>
          <w:tcPr>
            <w:tcW w:w="772" w:type="dxa"/>
            <w:vAlign w:val="center"/>
          </w:tcPr>
          <w:p w:rsidR="00071A0A" w:rsidRPr="006655D7" w:rsidRDefault="00071A0A" w:rsidP="00C81A74">
            <w:pPr>
              <w:pStyle w:val="tablesourcenote0"/>
              <w:jc w:val="center"/>
              <w:rPr>
                <w:rFonts w:cs="Arial"/>
                <w:sz w:val="18"/>
                <w:szCs w:val="18"/>
                <w:lang w:val="en-US"/>
              </w:rPr>
            </w:pPr>
            <w:r w:rsidRPr="006655D7">
              <w:rPr>
                <w:rFonts w:cs="Arial"/>
                <w:sz w:val="18"/>
                <w:szCs w:val="18"/>
                <w:lang w:val="en-US"/>
              </w:rPr>
              <w:t>64.5</w:t>
            </w:r>
          </w:p>
        </w:tc>
      </w:tr>
      <w:tr w:rsidR="00071A0A" w:rsidRPr="006655D7" w:rsidTr="000F00DD">
        <w:trPr>
          <w:jc w:val="center"/>
        </w:trPr>
        <w:tc>
          <w:tcPr>
            <w:tcW w:w="4596" w:type="dxa"/>
          </w:tcPr>
          <w:p w:rsidR="00071A0A" w:rsidRPr="006655D7" w:rsidRDefault="00071A0A" w:rsidP="00C81A74">
            <w:pPr>
              <w:pStyle w:val="tablesourcenote0"/>
              <w:rPr>
                <w:rFonts w:cs="Arial"/>
                <w:sz w:val="18"/>
                <w:szCs w:val="18"/>
                <w:lang w:val="en-US"/>
              </w:rPr>
            </w:pPr>
            <w:r w:rsidRPr="006655D7">
              <w:rPr>
                <w:rFonts w:cs="Arial"/>
                <w:sz w:val="18"/>
                <w:szCs w:val="18"/>
                <w:lang w:val="en-US"/>
              </w:rPr>
              <w:t>% of Absolute-Landless</w:t>
            </w:r>
          </w:p>
        </w:tc>
        <w:tc>
          <w:tcPr>
            <w:tcW w:w="772" w:type="dxa"/>
            <w:vAlign w:val="center"/>
          </w:tcPr>
          <w:p w:rsidR="00071A0A" w:rsidRPr="006655D7" w:rsidRDefault="00071A0A" w:rsidP="00C81A74">
            <w:pPr>
              <w:pStyle w:val="tablesourcenote0"/>
              <w:jc w:val="center"/>
              <w:rPr>
                <w:rFonts w:cs="Arial"/>
                <w:sz w:val="18"/>
                <w:szCs w:val="18"/>
                <w:lang w:val="en-US"/>
              </w:rPr>
            </w:pPr>
            <w:r w:rsidRPr="006655D7">
              <w:rPr>
                <w:rFonts w:cs="Arial"/>
                <w:sz w:val="18"/>
                <w:szCs w:val="18"/>
                <w:lang w:val="en-US"/>
              </w:rPr>
              <w:t>21.1</w:t>
            </w:r>
          </w:p>
        </w:tc>
        <w:tc>
          <w:tcPr>
            <w:tcW w:w="772" w:type="dxa"/>
            <w:vAlign w:val="center"/>
          </w:tcPr>
          <w:p w:rsidR="00071A0A" w:rsidRPr="006655D7" w:rsidRDefault="00071A0A" w:rsidP="00C81A74">
            <w:pPr>
              <w:pStyle w:val="tablesourcenote0"/>
              <w:jc w:val="center"/>
              <w:rPr>
                <w:rFonts w:cs="Arial"/>
                <w:sz w:val="18"/>
                <w:szCs w:val="18"/>
                <w:lang w:val="en-US"/>
              </w:rPr>
            </w:pPr>
            <w:r w:rsidRPr="006655D7">
              <w:rPr>
                <w:rFonts w:cs="Arial"/>
                <w:sz w:val="18"/>
                <w:szCs w:val="18"/>
                <w:lang w:val="en-US"/>
              </w:rPr>
              <w:t>30.0</w:t>
            </w:r>
          </w:p>
        </w:tc>
        <w:tc>
          <w:tcPr>
            <w:tcW w:w="772" w:type="dxa"/>
            <w:vAlign w:val="center"/>
          </w:tcPr>
          <w:p w:rsidR="00071A0A" w:rsidRPr="006655D7" w:rsidRDefault="00071A0A" w:rsidP="00C81A74">
            <w:pPr>
              <w:pStyle w:val="tablesourcenote0"/>
              <w:jc w:val="center"/>
              <w:rPr>
                <w:rFonts w:cs="Arial"/>
                <w:sz w:val="18"/>
                <w:szCs w:val="18"/>
                <w:lang w:val="en-US"/>
              </w:rPr>
            </w:pPr>
            <w:r w:rsidRPr="006655D7">
              <w:rPr>
                <w:rFonts w:cs="Arial"/>
                <w:sz w:val="18"/>
                <w:szCs w:val="18"/>
                <w:lang w:val="en-US"/>
              </w:rPr>
              <w:t>35.5</w:t>
            </w:r>
          </w:p>
        </w:tc>
      </w:tr>
    </w:tbl>
    <w:p w:rsidR="004D2C80" w:rsidRDefault="000F00DD" w:rsidP="000F00DD">
      <w:pPr>
        <w:pStyle w:val="tablesourcenote0"/>
        <w:spacing w:after="200"/>
        <w:rPr>
          <w:lang w:val="en-US"/>
        </w:rPr>
      </w:pPr>
      <w:r>
        <w:rPr>
          <w:i/>
        </w:rPr>
        <w:t xml:space="preserve">     </w:t>
      </w:r>
      <w:r w:rsidR="004D2C80" w:rsidRPr="00D34CE3">
        <w:rPr>
          <w:i/>
        </w:rPr>
        <w:t>Source:</w:t>
      </w:r>
      <w:r w:rsidR="004D2C80" w:rsidRPr="00D34CE3">
        <w:t xml:space="preserve"> </w:t>
      </w:r>
      <w:r w:rsidR="004D2C80">
        <w:rPr>
          <w:lang w:val="en-US"/>
        </w:rPr>
        <w:t>Bachriadi &amp; Wiradi, 2011</w:t>
      </w:r>
      <w:r w:rsidR="004D2C80" w:rsidRPr="006655D7">
        <w:rPr>
          <w:lang w:val="en-US"/>
        </w:rPr>
        <w:t xml:space="preserve"> </w:t>
      </w:r>
      <w:sdt>
        <w:sdtPr>
          <w:rPr>
            <w:lang w:val="en-US"/>
          </w:rPr>
          <w:id w:val="121859997"/>
          <w:citation/>
        </w:sdtPr>
        <w:sdtContent>
          <w:r w:rsidR="00476E26">
            <w:rPr>
              <w:lang w:val="en-US"/>
            </w:rPr>
            <w:fldChar w:fldCharType="begin"/>
          </w:r>
          <w:r>
            <w:rPr>
              <w:lang w:val="en-US"/>
            </w:rPr>
            <w:instrText xml:space="preserve"> CITATION Bac11 \p 15 \n  \y  \t  \l 1033  </w:instrText>
          </w:r>
          <w:r w:rsidR="00476E26">
            <w:rPr>
              <w:lang w:val="en-US"/>
            </w:rPr>
            <w:fldChar w:fldCharType="separate"/>
          </w:r>
          <w:r w:rsidRPr="000F00DD">
            <w:rPr>
              <w:noProof/>
              <w:lang w:val="en-US"/>
            </w:rPr>
            <w:t>(p. 15)</w:t>
          </w:r>
          <w:r w:rsidR="00476E26">
            <w:rPr>
              <w:lang w:val="en-US"/>
            </w:rPr>
            <w:fldChar w:fldCharType="end"/>
          </w:r>
        </w:sdtContent>
      </w:sdt>
    </w:p>
    <w:p w:rsidR="004A732C" w:rsidRDefault="004A732C" w:rsidP="004A732C">
      <w:pPr>
        <w:pStyle w:val="Maptitle"/>
        <w:spacing w:after="100"/>
        <w:ind w:firstLine="432"/>
        <w:jc w:val="both"/>
        <w:rPr>
          <w:rFonts w:ascii="Garamond" w:hAnsi="Garamond"/>
          <w:b w:val="0"/>
          <w:sz w:val="24"/>
          <w:lang w:val="en-US"/>
        </w:rPr>
      </w:pPr>
      <w:bookmarkStart w:id="89" w:name="_Toc340436323"/>
      <w:r w:rsidRPr="006655D7">
        <w:rPr>
          <w:rFonts w:ascii="Garamond" w:hAnsi="Garamond"/>
          <w:b w:val="0"/>
          <w:sz w:val="24"/>
          <w:lang w:val="en-US"/>
        </w:rPr>
        <w:t>The next problem</w:t>
      </w:r>
      <w:r w:rsidR="007A4E02">
        <w:rPr>
          <w:rFonts w:ascii="Garamond" w:hAnsi="Garamond"/>
          <w:b w:val="0"/>
          <w:sz w:val="24"/>
          <w:lang w:val="en-US"/>
        </w:rPr>
        <w:t xml:space="preserve"> after regime change, from authoritarian-bureaucratic regime to democracy, and an openness Indonesia economic to free investment and competition</w:t>
      </w:r>
      <w:r w:rsidRPr="006655D7">
        <w:rPr>
          <w:rFonts w:ascii="Garamond" w:hAnsi="Garamond"/>
          <w:b w:val="0"/>
          <w:sz w:val="24"/>
          <w:lang w:val="en-US"/>
        </w:rPr>
        <w:t xml:space="preserve"> is how to </w:t>
      </w:r>
      <w:r w:rsidR="007A4E02">
        <w:rPr>
          <w:rFonts w:ascii="Garamond" w:hAnsi="Garamond"/>
          <w:b w:val="0"/>
          <w:sz w:val="24"/>
          <w:lang w:val="en-US"/>
        </w:rPr>
        <w:t xml:space="preserve">recover </w:t>
      </w:r>
      <w:r w:rsidR="00416F01">
        <w:rPr>
          <w:rFonts w:ascii="Garamond" w:hAnsi="Garamond"/>
          <w:b w:val="0"/>
          <w:sz w:val="24"/>
          <w:lang w:val="en-US"/>
        </w:rPr>
        <w:t xml:space="preserve">inadequate </w:t>
      </w:r>
      <w:r w:rsidRPr="006655D7">
        <w:rPr>
          <w:rFonts w:ascii="Garamond" w:hAnsi="Garamond"/>
          <w:b w:val="0"/>
          <w:sz w:val="24"/>
          <w:lang w:val="en-US"/>
        </w:rPr>
        <w:t>infrastructure condition. Meanwhile, in order to reach areas that have the potential of natural resources for investment activities</w:t>
      </w:r>
      <w:r w:rsidR="007A4E02">
        <w:rPr>
          <w:rFonts w:ascii="Garamond" w:hAnsi="Garamond"/>
          <w:b w:val="0"/>
          <w:sz w:val="24"/>
          <w:lang w:val="en-US"/>
        </w:rPr>
        <w:t xml:space="preserve"> and to support the production-distribution activities</w:t>
      </w:r>
      <w:r w:rsidRPr="006655D7">
        <w:rPr>
          <w:rFonts w:ascii="Garamond" w:hAnsi="Garamond"/>
          <w:b w:val="0"/>
          <w:sz w:val="24"/>
          <w:lang w:val="en-US"/>
        </w:rPr>
        <w:t>, a well-constructed infrastructure becomes main precondition</w:t>
      </w:r>
      <w:r w:rsidR="00502613">
        <w:rPr>
          <w:rFonts w:ascii="Garamond" w:hAnsi="Garamond"/>
          <w:b w:val="0"/>
          <w:sz w:val="24"/>
          <w:lang w:val="en-US"/>
        </w:rPr>
        <w:t>.</w:t>
      </w:r>
      <w:r w:rsidRPr="006655D7">
        <w:rPr>
          <w:rFonts w:ascii="Garamond" w:hAnsi="Garamond"/>
          <w:b w:val="0"/>
          <w:sz w:val="24"/>
          <w:lang w:val="en-US"/>
        </w:rPr>
        <w:t xml:space="preserve"> Among the </w:t>
      </w:r>
      <w:r w:rsidRPr="006655D7">
        <w:rPr>
          <w:rFonts w:ascii="Garamond" w:hAnsi="Garamond"/>
          <w:b w:val="0"/>
          <w:sz w:val="24"/>
          <w:lang w:val="en-US"/>
        </w:rPr>
        <w:lastRenderedPageBreak/>
        <w:t>ASEAN countries, World Bank reported in 2005 that Indonesia’s ranking for various kinds</w:t>
      </w:r>
      <w:r w:rsidR="00416F01">
        <w:rPr>
          <w:rFonts w:ascii="Garamond" w:hAnsi="Garamond"/>
          <w:b w:val="0"/>
          <w:sz w:val="24"/>
          <w:lang w:val="en-US"/>
        </w:rPr>
        <w:t xml:space="preserve"> of infrastructure was </w:t>
      </w:r>
      <w:r w:rsidRPr="006655D7">
        <w:rPr>
          <w:rFonts w:ascii="Garamond" w:hAnsi="Garamond"/>
          <w:b w:val="0"/>
          <w:sz w:val="24"/>
          <w:lang w:val="en-US"/>
        </w:rPr>
        <w:t>around 8 to 12 of 11-12 ASEAN countries.</w:t>
      </w:r>
      <w:bookmarkEnd w:id="89"/>
    </w:p>
    <w:p w:rsidR="001410DD" w:rsidRDefault="001410DD" w:rsidP="005A2BC4">
      <w:pPr>
        <w:pStyle w:val="tabletitle"/>
        <w:spacing w:before="120"/>
      </w:pPr>
      <w:bookmarkStart w:id="90" w:name="_Toc340654625"/>
      <w:r>
        <w:t>Table 3.4.</w:t>
      </w:r>
      <w:r>
        <w:br/>
      </w:r>
      <w:r w:rsidRPr="007570C5">
        <w:t xml:space="preserve"> </w:t>
      </w:r>
      <w:r w:rsidRPr="003E1743">
        <w:t>Infrastructure Performance</w:t>
      </w:r>
      <w:bookmarkEnd w:id="9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6"/>
        <w:gridCol w:w="1233"/>
        <w:gridCol w:w="2649"/>
      </w:tblGrid>
      <w:tr w:rsidR="001410DD" w:rsidRPr="006655D7" w:rsidTr="005B67BF">
        <w:trPr>
          <w:jc w:val="center"/>
        </w:trPr>
        <w:tc>
          <w:tcPr>
            <w:tcW w:w="3156" w:type="dxa"/>
          </w:tcPr>
          <w:p w:rsidR="001410DD" w:rsidRPr="006655D7" w:rsidRDefault="001410DD" w:rsidP="005B67BF">
            <w:pPr>
              <w:pStyle w:val="tablesourcenote0"/>
              <w:jc w:val="center"/>
              <w:rPr>
                <w:rFonts w:cs="Arial"/>
                <w:b/>
                <w:sz w:val="18"/>
                <w:szCs w:val="18"/>
                <w:lang w:val="en-US"/>
              </w:rPr>
            </w:pPr>
            <w:r w:rsidRPr="006655D7">
              <w:rPr>
                <w:rFonts w:cs="Arial"/>
                <w:b/>
                <w:sz w:val="18"/>
                <w:szCs w:val="18"/>
                <w:lang w:val="en-US"/>
              </w:rPr>
              <w:t>Indicator</w:t>
            </w:r>
          </w:p>
        </w:tc>
        <w:tc>
          <w:tcPr>
            <w:tcW w:w="1233" w:type="dxa"/>
          </w:tcPr>
          <w:p w:rsidR="001410DD" w:rsidRPr="006655D7" w:rsidRDefault="001410DD" w:rsidP="005B67BF">
            <w:pPr>
              <w:pStyle w:val="tablesourcenote0"/>
              <w:rPr>
                <w:rFonts w:cs="Arial"/>
                <w:b/>
                <w:sz w:val="18"/>
                <w:szCs w:val="18"/>
                <w:lang w:val="en-US"/>
              </w:rPr>
            </w:pPr>
            <w:r w:rsidRPr="006655D7">
              <w:rPr>
                <w:rFonts w:cs="Arial"/>
                <w:b/>
                <w:sz w:val="18"/>
                <w:szCs w:val="18"/>
                <w:lang w:val="en-US"/>
              </w:rPr>
              <w:t>Indonesia</w:t>
            </w:r>
          </w:p>
        </w:tc>
        <w:tc>
          <w:tcPr>
            <w:tcW w:w="2649" w:type="dxa"/>
          </w:tcPr>
          <w:p w:rsidR="001410DD" w:rsidRPr="006655D7" w:rsidRDefault="001410DD" w:rsidP="005B67BF">
            <w:pPr>
              <w:pStyle w:val="tablesourcenote0"/>
              <w:jc w:val="center"/>
              <w:rPr>
                <w:rFonts w:cs="Arial"/>
                <w:b/>
                <w:sz w:val="18"/>
                <w:szCs w:val="18"/>
                <w:lang w:val="en-US"/>
              </w:rPr>
            </w:pPr>
            <w:r w:rsidRPr="006655D7">
              <w:rPr>
                <w:rFonts w:cs="Arial"/>
                <w:b/>
                <w:sz w:val="18"/>
                <w:szCs w:val="18"/>
                <w:lang w:val="en-US"/>
              </w:rPr>
              <w:t>ASEAN Regional Ranking</w:t>
            </w:r>
          </w:p>
        </w:tc>
      </w:tr>
      <w:tr w:rsidR="001410DD" w:rsidRPr="006655D7" w:rsidTr="005B67BF">
        <w:trPr>
          <w:jc w:val="center"/>
        </w:trPr>
        <w:tc>
          <w:tcPr>
            <w:tcW w:w="3156" w:type="dxa"/>
          </w:tcPr>
          <w:p w:rsidR="001410DD" w:rsidRPr="006655D7" w:rsidRDefault="001410DD" w:rsidP="005B67BF">
            <w:pPr>
              <w:pStyle w:val="tablesourcenote0"/>
              <w:rPr>
                <w:rFonts w:cs="Arial"/>
                <w:sz w:val="18"/>
                <w:szCs w:val="18"/>
                <w:lang w:val="en-US"/>
              </w:rPr>
            </w:pPr>
            <w:r w:rsidRPr="006655D7">
              <w:rPr>
                <w:rFonts w:cs="Arial"/>
                <w:sz w:val="18"/>
                <w:szCs w:val="18"/>
                <w:lang w:val="en-US"/>
              </w:rPr>
              <w:t>Electrification Rates (%)</w:t>
            </w:r>
          </w:p>
        </w:tc>
        <w:tc>
          <w:tcPr>
            <w:tcW w:w="1233" w:type="dxa"/>
          </w:tcPr>
          <w:p w:rsidR="001410DD" w:rsidRPr="006655D7" w:rsidRDefault="001410DD" w:rsidP="005B67BF">
            <w:pPr>
              <w:pStyle w:val="tablesourcenote0"/>
              <w:jc w:val="center"/>
              <w:rPr>
                <w:rFonts w:cs="Arial"/>
                <w:sz w:val="18"/>
                <w:szCs w:val="18"/>
                <w:lang w:val="en-US"/>
              </w:rPr>
            </w:pPr>
            <w:r w:rsidRPr="006655D7">
              <w:rPr>
                <w:rFonts w:cs="Arial"/>
                <w:sz w:val="18"/>
                <w:szCs w:val="18"/>
                <w:lang w:val="en-US"/>
              </w:rPr>
              <w:t>53</w:t>
            </w:r>
          </w:p>
        </w:tc>
        <w:tc>
          <w:tcPr>
            <w:tcW w:w="2649" w:type="dxa"/>
          </w:tcPr>
          <w:p w:rsidR="001410DD" w:rsidRPr="006655D7" w:rsidRDefault="001410DD" w:rsidP="005B67BF">
            <w:pPr>
              <w:pStyle w:val="tablesourcenote0"/>
              <w:jc w:val="center"/>
              <w:rPr>
                <w:rFonts w:cs="Arial"/>
                <w:sz w:val="18"/>
                <w:szCs w:val="18"/>
                <w:lang w:val="en-US"/>
              </w:rPr>
            </w:pPr>
            <w:r w:rsidRPr="006655D7">
              <w:rPr>
                <w:rFonts w:cs="Arial"/>
                <w:sz w:val="18"/>
                <w:szCs w:val="18"/>
                <w:lang w:val="en-US"/>
              </w:rPr>
              <w:t>11 out of 12</w:t>
            </w:r>
          </w:p>
        </w:tc>
      </w:tr>
      <w:tr w:rsidR="001410DD" w:rsidRPr="006655D7" w:rsidTr="005B67BF">
        <w:trPr>
          <w:jc w:val="center"/>
        </w:trPr>
        <w:tc>
          <w:tcPr>
            <w:tcW w:w="3156" w:type="dxa"/>
          </w:tcPr>
          <w:p w:rsidR="001410DD" w:rsidRPr="006655D7" w:rsidRDefault="001410DD" w:rsidP="005B67BF">
            <w:pPr>
              <w:pStyle w:val="tablesourcenote0"/>
              <w:rPr>
                <w:rFonts w:cs="Arial"/>
                <w:sz w:val="18"/>
                <w:szCs w:val="18"/>
                <w:lang w:val="en-US"/>
              </w:rPr>
            </w:pPr>
            <w:r w:rsidRPr="006655D7">
              <w:rPr>
                <w:rFonts w:cs="Arial"/>
                <w:sz w:val="18"/>
                <w:szCs w:val="18"/>
                <w:lang w:val="en-US"/>
              </w:rPr>
              <w:t>Fixed Telephone Lines (%)</w:t>
            </w:r>
          </w:p>
        </w:tc>
        <w:tc>
          <w:tcPr>
            <w:tcW w:w="1233" w:type="dxa"/>
          </w:tcPr>
          <w:p w:rsidR="001410DD" w:rsidRPr="006655D7" w:rsidRDefault="001410DD" w:rsidP="005B67BF">
            <w:pPr>
              <w:pStyle w:val="tablesourcenote0"/>
              <w:jc w:val="center"/>
              <w:rPr>
                <w:rFonts w:cs="Arial"/>
                <w:sz w:val="18"/>
                <w:szCs w:val="18"/>
                <w:lang w:val="en-US"/>
              </w:rPr>
            </w:pPr>
            <w:r w:rsidRPr="006655D7">
              <w:rPr>
                <w:rFonts w:cs="Arial"/>
                <w:sz w:val="18"/>
                <w:szCs w:val="18"/>
                <w:lang w:val="en-US"/>
              </w:rPr>
              <w:t>4</w:t>
            </w:r>
          </w:p>
        </w:tc>
        <w:tc>
          <w:tcPr>
            <w:tcW w:w="2649" w:type="dxa"/>
          </w:tcPr>
          <w:p w:rsidR="001410DD" w:rsidRPr="006655D7" w:rsidRDefault="001410DD" w:rsidP="005B67BF">
            <w:pPr>
              <w:pStyle w:val="tablesourcenote0"/>
              <w:jc w:val="center"/>
              <w:rPr>
                <w:rFonts w:cs="Arial"/>
                <w:sz w:val="18"/>
                <w:szCs w:val="18"/>
                <w:lang w:val="en-US"/>
              </w:rPr>
            </w:pPr>
            <w:r w:rsidRPr="006655D7">
              <w:rPr>
                <w:rFonts w:cs="Arial"/>
                <w:sz w:val="18"/>
                <w:szCs w:val="18"/>
                <w:lang w:val="en-US"/>
              </w:rPr>
              <w:t>12 out of 12</w:t>
            </w:r>
          </w:p>
        </w:tc>
      </w:tr>
      <w:tr w:rsidR="001410DD" w:rsidRPr="006655D7" w:rsidTr="005B67BF">
        <w:trPr>
          <w:jc w:val="center"/>
        </w:trPr>
        <w:tc>
          <w:tcPr>
            <w:tcW w:w="3156" w:type="dxa"/>
          </w:tcPr>
          <w:p w:rsidR="001410DD" w:rsidRPr="006655D7" w:rsidRDefault="001410DD" w:rsidP="005B67BF">
            <w:pPr>
              <w:pStyle w:val="tablesourcenote0"/>
              <w:rPr>
                <w:rFonts w:cs="Arial"/>
                <w:sz w:val="18"/>
                <w:szCs w:val="18"/>
                <w:lang w:val="en-US"/>
              </w:rPr>
            </w:pPr>
            <w:r w:rsidRPr="006655D7">
              <w:rPr>
                <w:rFonts w:cs="Arial"/>
                <w:sz w:val="18"/>
                <w:szCs w:val="18"/>
                <w:lang w:val="en-US"/>
              </w:rPr>
              <w:t>Mobile subscribers (%)</w:t>
            </w:r>
          </w:p>
        </w:tc>
        <w:tc>
          <w:tcPr>
            <w:tcW w:w="1233" w:type="dxa"/>
          </w:tcPr>
          <w:p w:rsidR="001410DD" w:rsidRPr="006655D7" w:rsidRDefault="001410DD" w:rsidP="005B67BF">
            <w:pPr>
              <w:pStyle w:val="tablesourcenote0"/>
              <w:jc w:val="center"/>
              <w:rPr>
                <w:rFonts w:cs="Arial"/>
                <w:sz w:val="18"/>
                <w:szCs w:val="18"/>
                <w:lang w:val="en-US"/>
              </w:rPr>
            </w:pPr>
            <w:r w:rsidRPr="006655D7">
              <w:rPr>
                <w:rFonts w:cs="Arial"/>
                <w:sz w:val="18"/>
                <w:szCs w:val="18"/>
                <w:lang w:val="en-US"/>
              </w:rPr>
              <w:t>5</w:t>
            </w:r>
          </w:p>
        </w:tc>
        <w:tc>
          <w:tcPr>
            <w:tcW w:w="2649" w:type="dxa"/>
          </w:tcPr>
          <w:p w:rsidR="001410DD" w:rsidRPr="006655D7" w:rsidRDefault="001410DD" w:rsidP="005B67BF">
            <w:pPr>
              <w:pStyle w:val="tablesourcenote0"/>
              <w:jc w:val="center"/>
              <w:rPr>
                <w:rFonts w:cs="Arial"/>
                <w:sz w:val="18"/>
                <w:szCs w:val="18"/>
                <w:lang w:val="en-US"/>
              </w:rPr>
            </w:pPr>
            <w:r w:rsidRPr="006655D7">
              <w:rPr>
                <w:rFonts w:cs="Arial"/>
                <w:sz w:val="18"/>
                <w:szCs w:val="18"/>
                <w:lang w:val="en-US"/>
              </w:rPr>
              <w:t>9 out of 12</w:t>
            </w:r>
          </w:p>
        </w:tc>
      </w:tr>
      <w:tr w:rsidR="001410DD" w:rsidRPr="006655D7" w:rsidTr="005B67BF">
        <w:trPr>
          <w:jc w:val="center"/>
        </w:trPr>
        <w:tc>
          <w:tcPr>
            <w:tcW w:w="3156" w:type="dxa"/>
          </w:tcPr>
          <w:p w:rsidR="001410DD" w:rsidRPr="006655D7" w:rsidRDefault="001410DD" w:rsidP="005B67BF">
            <w:pPr>
              <w:pStyle w:val="tablesourcenote0"/>
              <w:rPr>
                <w:rFonts w:cs="Arial"/>
                <w:sz w:val="18"/>
                <w:szCs w:val="18"/>
                <w:lang w:val="en-US"/>
              </w:rPr>
            </w:pPr>
            <w:r w:rsidRPr="006655D7">
              <w:rPr>
                <w:rFonts w:cs="Arial"/>
                <w:sz w:val="18"/>
                <w:szCs w:val="18"/>
                <w:lang w:val="en-US"/>
              </w:rPr>
              <w:t>Access to improve sanitation (%)</w:t>
            </w:r>
          </w:p>
        </w:tc>
        <w:tc>
          <w:tcPr>
            <w:tcW w:w="1233" w:type="dxa"/>
          </w:tcPr>
          <w:p w:rsidR="001410DD" w:rsidRPr="006655D7" w:rsidRDefault="001410DD" w:rsidP="005B67BF">
            <w:pPr>
              <w:pStyle w:val="tablesourcenote0"/>
              <w:jc w:val="center"/>
              <w:rPr>
                <w:rFonts w:cs="Arial"/>
                <w:sz w:val="18"/>
                <w:szCs w:val="18"/>
                <w:lang w:val="en-US"/>
              </w:rPr>
            </w:pPr>
            <w:r w:rsidRPr="006655D7">
              <w:rPr>
                <w:rFonts w:cs="Arial"/>
                <w:sz w:val="18"/>
                <w:szCs w:val="18"/>
                <w:lang w:val="en-US"/>
              </w:rPr>
              <w:t>55</w:t>
            </w:r>
          </w:p>
        </w:tc>
        <w:tc>
          <w:tcPr>
            <w:tcW w:w="2649" w:type="dxa"/>
          </w:tcPr>
          <w:p w:rsidR="001410DD" w:rsidRPr="006655D7" w:rsidRDefault="001410DD" w:rsidP="005B67BF">
            <w:pPr>
              <w:pStyle w:val="tablesourcenote0"/>
              <w:jc w:val="center"/>
              <w:rPr>
                <w:rFonts w:cs="Arial"/>
                <w:sz w:val="18"/>
                <w:szCs w:val="18"/>
                <w:lang w:val="en-US"/>
              </w:rPr>
            </w:pPr>
            <w:r w:rsidRPr="006655D7">
              <w:rPr>
                <w:rFonts w:cs="Arial"/>
                <w:sz w:val="18"/>
                <w:szCs w:val="18"/>
                <w:lang w:val="en-US"/>
              </w:rPr>
              <w:t>7 out of 11</w:t>
            </w:r>
          </w:p>
        </w:tc>
      </w:tr>
      <w:tr w:rsidR="001410DD" w:rsidRPr="006655D7" w:rsidTr="005B67BF">
        <w:trPr>
          <w:jc w:val="center"/>
        </w:trPr>
        <w:tc>
          <w:tcPr>
            <w:tcW w:w="3156" w:type="dxa"/>
          </w:tcPr>
          <w:p w:rsidR="001410DD" w:rsidRPr="006655D7" w:rsidRDefault="001410DD" w:rsidP="005B67BF">
            <w:pPr>
              <w:pStyle w:val="tablesourcenote0"/>
              <w:rPr>
                <w:rFonts w:cs="Arial"/>
                <w:sz w:val="18"/>
                <w:szCs w:val="18"/>
                <w:lang w:val="en-US"/>
              </w:rPr>
            </w:pPr>
            <w:r w:rsidRPr="006655D7">
              <w:rPr>
                <w:rFonts w:cs="Arial"/>
                <w:sz w:val="18"/>
                <w:szCs w:val="18"/>
                <w:lang w:val="en-US"/>
              </w:rPr>
              <w:t>Access to improve water (%)</w:t>
            </w:r>
          </w:p>
        </w:tc>
        <w:tc>
          <w:tcPr>
            <w:tcW w:w="1233" w:type="dxa"/>
          </w:tcPr>
          <w:p w:rsidR="001410DD" w:rsidRPr="006655D7" w:rsidRDefault="001410DD" w:rsidP="005B67BF">
            <w:pPr>
              <w:pStyle w:val="tablesourcenote0"/>
              <w:jc w:val="center"/>
              <w:rPr>
                <w:rFonts w:cs="Arial"/>
                <w:sz w:val="18"/>
                <w:szCs w:val="18"/>
                <w:lang w:val="en-US"/>
              </w:rPr>
            </w:pPr>
            <w:r w:rsidRPr="006655D7">
              <w:rPr>
                <w:rFonts w:cs="Arial"/>
                <w:sz w:val="18"/>
                <w:szCs w:val="18"/>
                <w:lang w:val="en-US"/>
              </w:rPr>
              <w:t>78</w:t>
            </w:r>
          </w:p>
        </w:tc>
        <w:tc>
          <w:tcPr>
            <w:tcW w:w="2649" w:type="dxa"/>
          </w:tcPr>
          <w:p w:rsidR="001410DD" w:rsidRPr="006655D7" w:rsidRDefault="001410DD" w:rsidP="005B67BF">
            <w:pPr>
              <w:pStyle w:val="tablesourcenote0"/>
              <w:jc w:val="center"/>
              <w:rPr>
                <w:rFonts w:cs="Arial"/>
                <w:sz w:val="18"/>
                <w:szCs w:val="18"/>
                <w:lang w:val="en-US"/>
              </w:rPr>
            </w:pPr>
            <w:r w:rsidRPr="006655D7">
              <w:rPr>
                <w:rFonts w:cs="Arial"/>
                <w:sz w:val="18"/>
                <w:szCs w:val="18"/>
                <w:lang w:val="en-US"/>
              </w:rPr>
              <w:t>7 out of 11</w:t>
            </w:r>
          </w:p>
        </w:tc>
      </w:tr>
      <w:tr w:rsidR="001410DD" w:rsidRPr="006655D7" w:rsidTr="005B67BF">
        <w:trPr>
          <w:jc w:val="center"/>
        </w:trPr>
        <w:tc>
          <w:tcPr>
            <w:tcW w:w="3156" w:type="dxa"/>
          </w:tcPr>
          <w:p w:rsidR="001410DD" w:rsidRPr="006655D7" w:rsidRDefault="001410DD" w:rsidP="005B67BF">
            <w:pPr>
              <w:pStyle w:val="tablesourcenote0"/>
              <w:rPr>
                <w:rFonts w:cs="Arial"/>
                <w:sz w:val="18"/>
                <w:szCs w:val="18"/>
                <w:lang w:val="en-US"/>
              </w:rPr>
            </w:pPr>
            <w:r w:rsidRPr="006655D7">
              <w:rPr>
                <w:rFonts w:cs="Arial"/>
                <w:sz w:val="18"/>
                <w:szCs w:val="18"/>
                <w:lang w:val="en-US"/>
              </w:rPr>
              <w:t>Road network (Km / 1000 pop.)</w:t>
            </w:r>
          </w:p>
        </w:tc>
        <w:tc>
          <w:tcPr>
            <w:tcW w:w="1233" w:type="dxa"/>
          </w:tcPr>
          <w:p w:rsidR="001410DD" w:rsidRPr="006655D7" w:rsidRDefault="001410DD" w:rsidP="005B67BF">
            <w:pPr>
              <w:pStyle w:val="tablesourcenote0"/>
              <w:jc w:val="center"/>
              <w:rPr>
                <w:rFonts w:cs="Arial"/>
                <w:sz w:val="18"/>
                <w:szCs w:val="18"/>
                <w:lang w:val="en-US"/>
              </w:rPr>
            </w:pPr>
            <w:r w:rsidRPr="006655D7">
              <w:rPr>
                <w:rFonts w:cs="Arial"/>
                <w:sz w:val="18"/>
                <w:szCs w:val="18"/>
                <w:lang w:val="en-US"/>
              </w:rPr>
              <w:t>1.7</w:t>
            </w:r>
          </w:p>
        </w:tc>
        <w:tc>
          <w:tcPr>
            <w:tcW w:w="2649" w:type="dxa"/>
          </w:tcPr>
          <w:p w:rsidR="001410DD" w:rsidRPr="006655D7" w:rsidRDefault="001410DD" w:rsidP="005B67BF">
            <w:pPr>
              <w:pStyle w:val="tablesourcenote0"/>
              <w:jc w:val="center"/>
              <w:rPr>
                <w:rFonts w:cs="Arial"/>
                <w:sz w:val="18"/>
                <w:szCs w:val="18"/>
                <w:lang w:val="en-US"/>
              </w:rPr>
            </w:pPr>
            <w:r w:rsidRPr="006655D7">
              <w:rPr>
                <w:rFonts w:cs="Arial"/>
                <w:sz w:val="18"/>
                <w:szCs w:val="18"/>
                <w:lang w:val="en-US"/>
              </w:rPr>
              <w:t>8 out of 12</w:t>
            </w:r>
          </w:p>
        </w:tc>
      </w:tr>
    </w:tbl>
    <w:p w:rsidR="004A732C" w:rsidRPr="00D34CE3" w:rsidRDefault="004A732C" w:rsidP="004A732C">
      <w:pPr>
        <w:pStyle w:val="tablesourcenote0"/>
      </w:pPr>
      <w:r>
        <w:rPr>
          <w:i/>
        </w:rPr>
        <w:t xml:space="preserve">   </w:t>
      </w:r>
      <w:r w:rsidRPr="00D34CE3">
        <w:rPr>
          <w:i/>
        </w:rPr>
        <w:t>Source:</w:t>
      </w:r>
      <w:r w:rsidRPr="00D34CE3">
        <w:t xml:space="preserve"> </w:t>
      </w:r>
      <w:r w:rsidRPr="006655D7">
        <w:rPr>
          <w:i/>
          <w:lang w:val="en-US"/>
        </w:rPr>
        <w:t xml:space="preserve">World Bank </w:t>
      </w:r>
      <w:sdt>
        <w:sdtPr>
          <w:rPr>
            <w:i/>
            <w:lang w:val="en-US"/>
          </w:rPr>
          <w:id w:val="121859998"/>
          <w:citation/>
        </w:sdtPr>
        <w:sdtContent>
          <w:r w:rsidR="00D75BEB">
            <w:rPr>
              <w:i/>
              <w:lang w:val="en-US"/>
            </w:rPr>
            <w:fldChar w:fldCharType="begin"/>
          </w:r>
          <w:r w:rsidR="00D75BEB">
            <w:rPr>
              <w:i/>
              <w:lang w:val="en-US"/>
            </w:rPr>
            <w:instrText xml:space="preserve"> CITATION Wor04 \n  \t  \l 1033  </w:instrText>
          </w:r>
          <w:r w:rsidR="00D75BEB">
            <w:rPr>
              <w:i/>
              <w:lang w:val="en-US"/>
            </w:rPr>
            <w:fldChar w:fldCharType="separate"/>
          </w:r>
          <w:r w:rsidR="00D75BEB" w:rsidRPr="00D75BEB">
            <w:rPr>
              <w:noProof/>
              <w:lang w:val="en-US"/>
            </w:rPr>
            <w:t>(2004)</w:t>
          </w:r>
          <w:r w:rsidR="00D75BEB">
            <w:rPr>
              <w:i/>
              <w:lang w:val="en-US"/>
            </w:rPr>
            <w:fldChar w:fldCharType="end"/>
          </w:r>
        </w:sdtContent>
      </w:sdt>
    </w:p>
    <w:p w:rsidR="004A732C" w:rsidRDefault="004A732C" w:rsidP="004A732C">
      <w:pPr>
        <w:ind w:firstLine="450"/>
        <w:rPr>
          <w:rFonts w:cs="Arial"/>
          <w:b/>
        </w:rPr>
      </w:pPr>
    </w:p>
    <w:p w:rsidR="004A732C" w:rsidRPr="006655D7" w:rsidRDefault="004A732C" w:rsidP="004A732C">
      <w:pPr>
        <w:pStyle w:val="Maptitle"/>
        <w:spacing w:after="100"/>
        <w:ind w:firstLine="432"/>
        <w:jc w:val="both"/>
        <w:rPr>
          <w:rFonts w:ascii="Garamond" w:hAnsi="Garamond"/>
          <w:b w:val="0"/>
          <w:sz w:val="24"/>
          <w:lang w:val="en-US"/>
        </w:rPr>
      </w:pPr>
      <w:bookmarkStart w:id="91" w:name="_Toc340436324"/>
      <w:r w:rsidRPr="006655D7">
        <w:rPr>
          <w:rFonts w:ascii="Garamond" w:hAnsi="Garamond"/>
          <w:b w:val="0"/>
          <w:sz w:val="24"/>
          <w:lang w:val="en-US"/>
        </w:rPr>
        <w:t>The World Bank analysis that has been used by the government of SBY-JK and has been tried making various efforts to fix infrastructure condition</w:t>
      </w:r>
      <w:r w:rsidRPr="006655D7">
        <w:rPr>
          <w:rFonts w:ascii="Garamond" w:hAnsi="Garamond"/>
          <w:b w:val="0"/>
          <w:sz w:val="24"/>
          <w:vertAlign w:val="superscript"/>
          <w:lang w:val="en-US"/>
        </w:rPr>
        <w:footnoteReference w:id="16"/>
      </w:r>
      <w:r w:rsidRPr="006655D7">
        <w:rPr>
          <w:rFonts w:ascii="Garamond" w:hAnsi="Garamond"/>
          <w:b w:val="0"/>
          <w:sz w:val="24"/>
          <w:lang w:val="en-US"/>
        </w:rPr>
        <w:t xml:space="preserve">. Their efforts can be interpreted in two aspects that both are mutually supportive. </w:t>
      </w:r>
      <w:r w:rsidR="00BA5C43" w:rsidRPr="006655D7">
        <w:rPr>
          <w:rFonts w:ascii="Garamond" w:hAnsi="Garamond"/>
          <w:b w:val="0"/>
          <w:sz w:val="24"/>
          <w:lang w:val="en-US"/>
        </w:rPr>
        <w:t>Firstly</w:t>
      </w:r>
      <w:r w:rsidRPr="006655D7">
        <w:rPr>
          <w:rFonts w:ascii="Garamond" w:hAnsi="Garamond"/>
          <w:b w:val="0"/>
          <w:sz w:val="24"/>
          <w:lang w:val="en-US"/>
        </w:rPr>
        <w:t xml:space="preserve"> and mainly is actually to facilitate a flow of investment for production process, and secondly is to improve the infrastructure condition itself. By those two double aspects, a scheme of Public-Private-Partnership (PPP)</w:t>
      </w:r>
      <w:r w:rsidRPr="006655D7">
        <w:rPr>
          <w:rFonts w:ascii="Garamond" w:hAnsi="Garamond"/>
          <w:b w:val="0"/>
          <w:sz w:val="24"/>
          <w:vertAlign w:val="superscript"/>
          <w:lang w:val="en-US"/>
        </w:rPr>
        <w:footnoteReference w:id="17"/>
      </w:r>
      <w:r w:rsidRPr="006655D7">
        <w:rPr>
          <w:rFonts w:ascii="Garamond" w:hAnsi="Garamond"/>
          <w:b w:val="0"/>
          <w:sz w:val="24"/>
          <w:lang w:val="en-US"/>
        </w:rPr>
        <w:t xml:space="preserve"> becomes stronger. Processes of infrastructure development and improvement are not only faster because of </w:t>
      </w:r>
      <w:r w:rsidR="00416F01">
        <w:rPr>
          <w:rFonts w:ascii="Garamond" w:hAnsi="Garamond"/>
          <w:b w:val="0"/>
          <w:sz w:val="24"/>
          <w:lang w:val="en-US"/>
        </w:rPr>
        <w:t xml:space="preserve">the financial support flows </w:t>
      </w:r>
      <w:r w:rsidRPr="006655D7">
        <w:rPr>
          <w:rFonts w:ascii="Garamond" w:hAnsi="Garamond"/>
          <w:b w:val="0"/>
          <w:sz w:val="24"/>
          <w:lang w:val="en-US"/>
        </w:rPr>
        <w:t>from private sector, investments for production will be also created</w:t>
      </w:r>
      <w:r w:rsidR="00416F01">
        <w:rPr>
          <w:rFonts w:ascii="Garamond" w:hAnsi="Garamond"/>
          <w:b w:val="0"/>
          <w:sz w:val="24"/>
          <w:lang w:val="en-US"/>
        </w:rPr>
        <w:t xml:space="preserve"> </w:t>
      </w:r>
      <w:r w:rsidR="00416F01" w:rsidRPr="006655D7">
        <w:rPr>
          <w:rFonts w:ascii="Garamond" w:hAnsi="Garamond"/>
          <w:b w:val="0"/>
          <w:sz w:val="24"/>
          <w:lang w:val="en-US"/>
        </w:rPr>
        <w:t>further</w:t>
      </w:r>
      <w:r w:rsidRPr="006655D7">
        <w:rPr>
          <w:rFonts w:ascii="Garamond" w:hAnsi="Garamond"/>
          <w:b w:val="0"/>
          <w:sz w:val="24"/>
          <w:lang w:val="en-US"/>
        </w:rPr>
        <w:t>, then automatically will be opening new economic activity spaces.</w:t>
      </w:r>
      <w:bookmarkEnd w:id="91"/>
    </w:p>
    <w:p w:rsidR="004A732C" w:rsidRDefault="004A732C" w:rsidP="004A732C">
      <w:pPr>
        <w:ind w:firstLine="450"/>
        <w:rPr>
          <w:lang w:val="en-US"/>
        </w:rPr>
      </w:pPr>
      <w:r w:rsidRPr="004A732C">
        <w:rPr>
          <w:lang w:val="en-US"/>
        </w:rPr>
        <w:t>Legalization of a new economic development policy (MP3EI)</w:t>
      </w:r>
      <w:r w:rsidRPr="004A732C">
        <w:rPr>
          <w:vertAlign w:val="superscript"/>
          <w:lang w:val="en-US"/>
        </w:rPr>
        <w:footnoteReference w:id="18"/>
      </w:r>
      <w:r w:rsidRPr="004A732C">
        <w:rPr>
          <w:lang w:val="en-US"/>
        </w:rPr>
        <w:t xml:space="preserve"> is a culm</w:t>
      </w:r>
      <w:r w:rsidRPr="004A732C">
        <w:rPr>
          <w:lang w:val="en-US"/>
        </w:rPr>
        <w:t>i</w:t>
      </w:r>
      <w:r w:rsidRPr="004A732C">
        <w:rPr>
          <w:lang w:val="en-US"/>
        </w:rPr>
        <w:t>nation of various efforts to infrastructure development combined with ma</w:t>
      </w:r>
      <w:r w:rsidRPr="004A732C">
        <w:rPr>
          <w:lang w:val="en-US"/>
        </w:rPr>
        <w:t>p</w:t>
      </w:r>
      <w:r w:rsidRPr="004A732C">
        <w:rPr>
          <w:lang w:val="en-US"/>
        </w:rPr>
        <w:t>ping areas that are having potential to be exploited. This policy emphasizes an economic corridor concept are intended to connect areas as a center of ec</w:t>
      </w:r>
      <w:r w:rsidRPr="004A732C">
        <w:rPr>
          <w:lang w:val="en-US"/>
        </w:rPr>
        <w:t>o</w:t>
      </w:r>
      <w:r w:rsidRPr="004A732C">
        <w:rPr>
          <w:lang w:val="en-US"/>
        </w:rPr>
        <w:t>nomic activities to areas as a source of production. The MP3EI has a main ta</w:t>
      </w:r>
      <w:r w:rsidRPr="004A732C">
        <w:rPr>
          <w:lang w:val="en-US"/>
        </w:rPr>
        <w:t>r</w:t>
      </w:r>
      <w:r w:rsidRPr="004A732C">
        <w:rPr>
          <w:lang w:val="en-US"/>
        </w:rPr>
        <w:t xml:space="preserve">get to stabilize Indonesia’s economic growth between 6% </w:t>
      </w:r>
      <w:r w:rsidR="00502613">
        <w:rPr>
          <w:lang w:val="en-US"/>
        </w:rPr>
        <w:t xml:space="preserve">and </w:t>
      </w:r>
      <w:r w:rsidRPr="004A732C">
        <w:rPr>
          <w:lang w:val="en-US"/>
        </w:rPr>
        <w:t xml:space="preserve">9% </w:t>
      </w:r>
      <w:sdt>
        <w:sdtPr>
          <w:rPr>
            <w:lang w:val="en-US"/>
          </w:rPr>
          <w:id w:val="121860002"/>
          <w:citation/>
        </w:sdtPr>
        <w:sdtContent>
          <w:r w:rsidR="00476E26">
            <w:rPr>
              <w:lang w:val="en-US"/>
            </w:rPr>
            <w:fldChar w:fldCharType="begin"/>
          </w:r>
          <w:r>
            <w:rPr>
              <w:lang w:val="en-US"/>
            </w:rPr>
            <w:instrText xml:space="preserve"> CITATION Coo11 \l 1033 </w:instrText>
          </w:r>
          <w:r w:rsidR="00476E26">
            <w:rPr>
              <w:lang w:val="en-US"/>
            </w:rPr>
            <w:fldChar w:fldCharType="separate"/>
          </w:r>
          <w:r w:rsidRPr="004A732C">
            <w:rPr>
              <w:noProof/>
              <w:lang w:val="en-US"/>
            </w:rPr>
            <w:t>(Coordinating Ministry of Economic Affairs, 2011)</w:t>
          </w:r>
          <w:r w:rsidR="00476E26">
            <w:rPr>
              <w:lang w:val="en-US"/>
            </w:rPr>
            <w:fldChar w:fldCharType="end"/>
          </w:r>
        </w:sdtContent>
      </w:sdt>
      <w:r w:rsidRPr="004A732C">
        <w:rPr>
          <w:lang w:val="en-US"/>
        </w:rPr>
        <w:t>, through an equal deve</w:t>
      </w:r>
      <w:r w:rsidRPr="004A732C">
        <w:rPr>
          <w:lang w:val="en-US"/>
        </w:rPr>
        <w:t>l</w:t>
      </w:r>
      <w:r w:rsidRPr="004A732C">
        <w:rPr>
          <w:lang w:val="en-US"/>
        </w:rPr>
        <w:t xml:space="preserve">opment in a whole area of Indonesia that divided into six corridors </w:t>
      </w:r>
      <w:r w:rsidR="001260B5">
        <w:rPr>
          <w:lang w:val="en-US"/>
        </w:rPr>
        <w:t>in MP3EI</w:t>
      </w:r>
      <w:r w:rsidRPr="004A732C">
        <w:rPr>
          <w:lang w:val="en-US"/>
        </w:rPr>
        <w:t>. There is two others strategy that includes in this policy, which is a development of the national connectivity system (locally and internationally)</w:t>
      </w:r>
      <w:r w:rsidRPr="004A732C">
        <w:rPr>
          <w:vertAlign w:val="superscript"/>
          <w:lang w:val="en-US"/>
        </w:rPr>
        <w:footnoteReference w:id="19"/>
      </w:r>
      <w:r w:rsidRPr="004A732C">
        <w:rPr>
          <w:lang w:val="en-US"/>
        </w:rPr>
        <w:t xml:space="preserve"> and stren</w:t>
      </w:r>
      <w:r w:rsidRPr="004A732C">
        <w:rPr>
          <w:lang w:val="en-US"/>
        </w:rPr>
        <w:t>g</w:t>
      </w:r>
      <w:r w:rsidRPr="004A732C">
        <w:rPr>
          <w:lang w:val="en-US"/>
        </w:rPr>
        <w:lastRenderedPageBreak/>
        <w:t xml:space="preserve">thening human-resource capacity and national science </w:t>
      </w:r>
      <w:r w:rsidR="00071A0A">
        <w:rPr>
          <w:lang w:val="en-US"/>
        </w:rPr>
        <w:t>and</w:t>
      </w:r>
      <w:r w:rsidRPr="004A732C">
        <w:rPr>
          <w:lang w:val="en-US"/>
        </w:rPr>
        <w:t xml:space="preserve"> technology to su</w:t>
      </w:r>
      <w:r w:rsidRPr="004A732C">
        <w:rPr>
          <w:lang w:val="en-US"/>
        </w:rPr>
        <w:t>p</w:t>
      </w:r>
      <w:r w:rsidRPr="004A732C">
        <w:rPr>
          <w:lang w:val="en-US"/>
        </w:rPr>
        <w:t>port the development of eight main programs, which consist of 22 main ec</w:t>
      </w:r>
      <w:r w:rsidRPr="004A732C">
        <w:rPr>
          <w:lang w:val="en-US"/>
        </w:rPr>
        <w:t>o</w:t>
      </w:r>
      <w:r w:rsidRPr="004A732C">
        <w:rPr>
          <w:lang w:val="en-US"/>
        </w:rPr>
        <w:t>nomic activities</w:t>
      </w:r>
      <w:r w:rsidRPr="004A732C">
        <w:rPr>
          <w:vertAlign w:val="superscript"/>
          <w:lang w:val="en-US"/>
        </w:rPr>
        <w:footnoteReference w:id="20"/>
      </w:r>
      <w:r w:rsidRPr="004A732C">
        <w:rPr>
          <w:lang w:val="en-US"/>
        </w:rPr>
        <w:t>.</w:t>
      </w:r>
    </w:p>
    <w:p w:rsidR="004A732C" w:rsidRDefault="004A732C" w:rsidP="004A732C">
      <w:pPr>
        <w:ind w:firstLine="450"/>
        <w:rPr>
          <w:lang w:val="en-US"/>
        </w:rPr>
      </w:pPr>
    </w:p>
    <w:p w:rsidR="004A732C" w:rsidRDefault="004A732C" w:rsidP="004A732C">
      <w:pPr>
        <w:pStyle w:val="Caption"/>
        <w:keepNext/>
        <w:spacing w:after="0"/>
      </w:pPr>
      <w:bookmarkStart w:id="92" w:name="_Toc340436325"/>
      <w:r>
        <w:t>Map 3.</w:t>
      </w:r>
      <w:fldSimple w:instr=" SEQ Map \* ARABIC ">
        <w:r>
          <w:rPr>
            <w:noProof/>
          </w:rPr>
          <w:t>1</w:t>
        </w:r>
      </w:fldSimple>
      <w:r>
        <w:t>.</w:t>
      </w:r>
      <w:bookmarkEnd w:id="92"/>
    </w:p>
    <w:p w:rsidR="004A732C" w:rsidRDefault="004A732C" w:rsidP="004A732C">
      <w:pPr>
        <w:pStyle w:val="Maptitle"/>
      </w:pPr>
      <w:bookmarkStart w:id="93" w:name="_Toc340436326"/>
      <w:r>
        <w:t>Economic Corridor Map</w:t>
      </w:r>
      <w:bookmarkEnd w:id="93"/>
    </w:p>
    <w:p w:rsidR="004A732C" w:rsidRDefault="004A732C" w:rsidP="004A732C">
      <w:pPr>
        <w:pStyle w:val="Maptitle"/>
        <w:spacing w:after="100"/>
        <w:ind w:left="-720"/>
        <w:jc w:val="both"/>
      </w:pPr>
      <w:r>
        <w:rPr>
          <w:noProof/>
          <w:lang w:val="en-US" w:eastAsia="en-US"/>
        </w:rPr>
        <w:drawing>
          <wp:inline distT="0" distB="0" distL="0" distR="0">
            <wp:extent cx="5760105" cy="2441275"/>
            <wp:effectExtent l="1905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5761847" cy="2442013"/>
                    </a:xfrm>
                    <a:prstGeom prst="rect">
                      <a:avLst/>
                    </a:prstGeom>
                    <a:noFill/>
                    <a:ln w="9525">
                      <a:noFill/>
                      <a:miter lim="800000"/>
                      <a:headEnd/>
                      <a:tailEnd/>
                    </a:ln>
                  </pic:spPr>
                </pic:pic>
              </a:graphicData>
            </a:graphic>
          </wp:inline>
        </w:drawing>
      </w:r>
    </w:p>
    <w:p w:rsidR="004A732C" w:rsidRPr="00D34CE3" w:rsidRDefault="004A732C" w:rsidP="004A732C">
      <w:pPr>
        <w:pStyle w:val="tablesourcenote0"/>
      </w:pPr>
      <w:r w:rsidRPr="00D34CE3">
        <w:rPr>
          <w:i/>
        </w:rPr>
        <w:t>Source:</w:t>
      </w:r>
      <w:r w:rsidRPr="00D34CE3">
        <w:t xml:space="preserve"> </w:t>
      </w:r>
      <w:r w:rsidRPr="006655D7">
        <w:rPr>
          <w:i/>
          <w:lang w:val="en-US"/>
        </w:rPr>
        <w:t xml:space="preserve">Coordinating Ministry for Economic Affairs </w:t>
      </w:r>
      <w:sdt>
        <w:sdtPr>
          <w:rPr>
            <w:i/>
            <w:lang w:val="en-US"/>
          </w:rPr>
          <w:id w:val="121860003"/>
          <w:citation/>
        </w:sdtPr>
        <w:sdtContent>
          <w:r w:rsidR="00476E26">
            <w:rPr>
              <w:i/>
              <w:lang w:val="en-US"/>
            </w:rPr>
            <w:fldChar w:fldCharType="begin"/>
          </w:r>
          <w:r>
            <w:rPr>
              <w:i/>
              <w:lang w:val="en-US"/>
            </w:rPr>
            <w:instrText xml:space="preserve"> CITATION Coo11 \p 46 \n  \t  \l 1033  </w:instrText>
          </w:r>
          <w:r w:rsidR="00476E26">
            <w:rPr>
              <w:i/>
              <w:lang w:val="en-US"/>
            </w:rPr>
            <w:fldChar w:fldCharType="separate"/>
          </w:r>
          <w:r w:rsidRPr="004A732C">
            <w:rPr>
              <w:noProof/>
              <w:lang w:val="en-US"/>
            </w:rPr>
            <w:t>(2011, p. 46)</w:t>
          </w:r>
          <w:r w:rsidR="00476E26">
            <w:rPr>
              <w:i/>
              <w:lang w:val="en-US"/>
            </w:rPr>
            <w:fldChar w:fldCharType="end"/>
          </w:r>
        </w:sdtContent>
      </w:sdt>
    </w:p>
    <w:p w:rsidR="004A732C" w:rsidRDefault="004A732C" w:rsidP="004A732C">
      <w:pPr>
        <w:ind w:firstLine="450"/>
        <w:rPr>
          <w:rFonts w:cs="Arial"/>
        </w:rPr>
      </w:pPr>
    </w:p>
    <w:p w:rsidR="004A732C" w:rsidRDefault="00416F01" w:rsidP="004A732C">
      <w:r>
        <w:t xml:space="preserve">Each </w:t>
      </w:r>
      <w:r w:rsidR="0068062E">
        <w:t>corridor</w:t>
      </w:r>
      <w:r w:rsidR="007A4E02">
        <w:t>, based on its resources and the existing development pote</w:t>
      </w:r>
      <w:r w:rsidR="007A4E02">
        <w:t>n</w:t>
      </w:r>
      <w:r w:rsidR="007A4E02">
        <w:t>tials,</w:t>
      </w:r>
      <w:r>
        <w:t xml:space="preserve"> has</w:t>
      </w:r>
      <w:r w:rsidR="004A732C" w:rsidRPr="008F3716">
        <w:t xml:space="preserve"> </w:t>
      </w:r>
      <w:r w:rsidR="00E334B5">
        <w:t>its</w:t>
      </w:r>
      <w:r>
        <w:t xml:space="preserve"> own</w:t>
      </w:r>
      <w:r w:rsidR="004A732C" w:rsidRPr="008F3716">
        <w:t xml:space="preserve"> </w:t>
      </w:r>
      <w:r w:rsidR="007A4E02">
        <w:t xml:space="preserve">development </w:t>
      </w:r>
      <w:r w:rsidR="004A732C" w:rsidRPr="008F3716">
        <w:t>theme</w:t>
      </w:r>
      <w:r w:rsidR="0068062E">
        <w:t>.</w:t>
      </w:r>
      <w:r w:rsidR="00BE0CDA">
        <w:t xml:space="preserve"> </w:t>
      </w:r>
      <w:r w:rsidR="004A732C" w:rsidRPr="008F3716">
        <w:rPr>
          <w:bCs/>
        </w:rPr>
        <w:t>Sumatra Economic Corridor</w:t>
      </w:r>
      <w:r w:rsidR="004A732C" w:rsidRPr="008F3716">
        <w:t xml:space="preserve"> as a “centre for production and processing of natural resources and as nation’s energy r</w:t>
      </w:r>
      <w:r w:rsidR="004A732C" w:rsidRPr="008F3716">
        <w:t>e</w:t>
      </w:r>
      <w:r w:rsidR="004A732C" w:rsidRPr="008F3716">
        <w:t xml:space="preserve">serves”; </w:t>
      </w:r>
      <w:r w:rsidR="004A732C" w:rsidRPr="008F3716">
        <w:rPr>
          <w:bCs/>
        </w:rPr>
        <w:t>Java Economic Corridor</w:t>
      </w:r>
      <w:r w:rsidR="004A732C" w:rsidRPr="008F3716">
        <w:t xml:space="preserve"> as a “driver for national industry and service provision”;</w:t>
      </w:r>
      <w:r w:rsidR="004A732C" w:rsidRPr="008F3716">
        <w:rPr>
          <w:bCs/>
        </w:rPr>
        <w:t xml:space="preserve"> Kalimantan Economic Corridor</w:t>
      </w:r>
      <w:r w:rsidR="004A732C" w:rsidRPr="008F3716">
        <w:t xml:space="preserve"> as a “centre for production and processing of national mining and energy reserves”; </w:t>
      </w:r>
      <w:r w:rsidR="004A732C" w:rsidRPr="008F3716">
        <w:rPr>
          <w:bCs/>
        </w:rPr>
        <w:t>Sulawesi Economic Corr</w:t>
      </w:r>
      <w:r w:rsidR="004A732C" w:rsidRPr="008F3716">
        <w:rPr>
          <w:bCs/>
        </w:rPr>
        <w:t>i</w:t>
      </w:r>
      <w:r w:rsidR="004A732C" w:rsidRPr="008F3716">
        <w:rPr>
          <w:bCs/>
        </w:rPr>
        <w:t>dor</w:t>
      </w:r>
      <w:r w:rsidR="004A732C" w:rsidRPr="008F3716">
        <w:t xml:space="preserve"> as a “centre for production and processing of national agricultural, plant</w:t>
      </w:r>
      <w:r w:rsidR="004A732C" w:rsidRPr="008F3716">
        <w:t>a</w:t>
      </w:r>
      <w:r w:rsidR="004A732C" w:rsidRPr="008F3716">
        <w:t xml:space="preserve">tion, fishery, oil &amp; gas, and mining”; </w:t>
      </w:r>
      <w:r w:rsidR="004A732C" w:rsidRPr="008F3716">
        <w:rPr>
          <w:bCs/>
        </w:rPr>
        <w:t>Bali – Nusa Tenggara Economic Corridor</w:t>
      </w:r>
      <w:r w:rsidR="004A732C" w:rsidRPr="008F3716">
        <w:t xml:space="preserve"> as a “gateway for to</w:t>
      </w:r>
      <w:r w:rsidR="004A732C">
        <w:t>urism and national food support</w:t>
      </w:r>
      <w:r w:rsidR="004A732C" w:rsidRPr="008F3716">
        <w:t>”; and</w:t>
      </w:r>
      <w:r w:rsidR="004A732C" w:rsidRPr="008F3716">
        <w:rPr>
          <w:bCs/>
        </w:rPr>
        <w:t xml:space="preserve"> Papua –</w:t>
      </w:r>
      <w:r w:rsidR="004A732C">
        <w:rPr>
          <w:bCs/>
        </w:rPr>
        <w:t xml:space="preserve"> </w:t>
      </w:r>
      <w:r w:rsidR="004A732C" w:rsidRPr="008F3716">
        <w:rPr>
          <w:bCs/>
        </w:rPr>
        <w:t>Maluku</w:t>
      </w:r>
      <w:r w:rsidR="004A732C">
        <w:rPr>
          <w:bCs/>
        </w:rPr>
        <w:t>’s islands</w:t>
      </w:r>
      <w:r w:rsidR="004A732C" w:rsidRPr="008F3716">
        <w:rPr>
          <w:bCs/>
        </w:rPr>
        <w:t xml:space="preserve"> Economic Corridor</w:t>
      </w:r>
      <w:r w:rsidR="004A732C" w:rsidRPr="008F3716">
        <w:t xml:space="preserve"> as a “centre for development of food, fisheries, energy, and national mining” </w:t>
      </w:r>
      <w:sdt>
        <w:sdtPr>
          <w:id w:val="121860004"/>
          <w:citation/>
        </w:sdtPr>
        <w:sdtContent>
          <w:r w:rsidR="00476E26">
            <w:fldChar w:fldCharType="begin"/>
          </w:r>
          <w:r w:rsidR="004A732C">
            <w:rPr>
              <w:lang w:val="en-US"/>
            </w:rPr>
            <w:instrText xml:space="preserve"> CITATION Coo11 \p 46-47 \l 1033  </w:instrText>
          </w:r>
          <w:r w:rsidR="00476E26">
            <w:fldChar w:fldCharType="separate"/>
          </w:r>
          <w:r w:rsidR="004A732C" w:rsidRPr="004A732C">
            <w:rPr>
              <w:noProof/>
              <w:lang w:val="en-US"/>
            </w:rPr>
            <w:t>(Coordinating Ministry of Economic Affairs, 2011, pp. 46-47)</w:t>
          </w:r>
          <w:r w:rsidR="00476E26">
            <w:fldChar w:fldCharType="end"/>
          </w:r>
        </w:sdtContent>
      </w:sdt>
      <w:r w:rsidR="004A732C" w:rsidRPr="008F3716">
        <w:t>.</w:t>
      </w:r>
    </w:p>
    <w:p w:rsidR="002557C4" w:rsidRPr="00DC769D" w:rsidRDefault="00DC769D" w:rsidP="00DC769D">
      <w:pPr>
        <w:pStyle w:val="Heading2"/>
        <w:ind w:left="540" w:hanging="540"/>
      </w:pPr>
      <w:bookmarkStart w:id="94" w:name="_Toc335596235"/>
      <w:bookmarkStart w:id="95" w:name="_Toc335606089"/>
      <w:bookmarkStart w:id="96" w:name="_Toc340135842"/>
      <w:bookmarkStart w:id="97" w:name="_Toc340497433"/>
      <w:r w:rsidRPr="00DC769D">
        <w:t xml:space="preserve">3.1. </w:t>
      </w:r>
      <w:r w:rsidR="002557C4" w:rsidRPr="00DC769D">
        <w:t>The Island of Java as a Main Economic Development Area in Indonesia</w:t>
      </w:r>
      <w:bookmarkEnd w:id="94"/>
      <w:bookmarkEnd w:id="95"/>
      <w:bookmarkEnd w:id="96"/>
      <w:bookmarkEnd w:id="97"/>
    </w:p>
    <w:p w:rsidR="002557C4" w:rsidRDefault="002557C4" w:rsidP="00071A0A">
      <w:pPr>
        <w:ind w:firstLine="0"/>
      </w:pPr>
      <w:r w:rsidRPr="00A26BFF">
        <w:t xml:space="preserve">Java Island </w:t>
      </w:r>
      <w:r w:rsidR="00BE0CDA">
        <w:t>has</w:t>
      </w:r>
      <w:r w:rsidRPr="00A26BFF">
        <w:t xml:space="preserve"> the </w:t>
      </w:r>
      <w:r w:rsidR="00BE0CDA">
        <w:t xml:space="preserve">highest </w:t>
      </w:r>
      <w:r w:rsidRPr="00A26BFF">
        <w:t>priority in economic corridor policy, yet Java n</w:t>
      </w:r>
      <w:r w:rsidRPr="00A26BFF">
        <w:t>a</w:t>
      </w:r>
      <w:r w:rsidRPr="00A26BFF">
        <w:t xml:space="preserve">tionally remains as the biggest contributor for macro growth </w:t>
      </w:r>
      <w:r w:rsidR="00DA19AF">
        <w:t xml:space="preserve">at national </w:t>
      </w:r>
      <w:r w:rsidRPr="00A26BFF">
        <w:t xml:space="preserve">level. </w:t>
      </w:r>
      <w:r>
        <w:lastRenderedPageBreak/>
        <w:t>Undoubtedly, Java can be reliable to maintain Indonesia’s growth between 6</w:t>
      </w:r>
      <w:r w:rsidR="007F554F">
        <w:t xml:space="preserve"> and </w:t>
      </w:r>
      <w:r>
        <w:t xml:space="preserve">9%, because Java has </w:t>
      </w:r>
      <w:r w:rsidR="0068062E">
        <w:t xml:space="preserve">attracted </w:t>
      </w:r>
      <w:r w:rsidR="007F554F">
        <w:t xml:space="preserve">a </w:t>
      </w:r>
      <w:r>
        <w:t xml:space="preserve">huge of investment and investors, </w:t>
      </w:r>
      <w:r w:rsidR="0068062E">
        <w:t xml:space="preserve">has </w:t>
      </w:r>
      <w:r w:rsidR="007F554F">
        <w:t xml:space="preserve">been </w:t>
      </w:r>
      <w:r w:rsidR="0068062E">
        <w:t xml:space="preserve">the </w:t>
      </w:r>
      <w:r>
        <w:t>density population and relatively adequate infrastructure (compared to other i</w:t>
      </w:r>
      <w:r>
        <w:t>s</w:t>
      </w:r>
      <w:r>
        <w:t>lands).</w:t>
      </w:r>
      <w:r w:rsidRPr="00A26BFF">
        <w:t xml:space="preserve"> </w:t>
      </w:r>
      <w:r>
        <w:t xml:space="preserve">It explains that the policy do not address an equal of social and people welfare in Indonesia. </w:t>
      </w:r>
    </w:p>
    <w:p w:rsidR="002557C4" w:rsidRPr="00A32C16" w:rsidRDefault="002557C4" w:rsidP="002557C4">
      <w:pPr>
        <w:pStyle w:val="Maptitle"/>
        <w:spacing w:after="100"/>
        <w:ind w:firstLine="432"/>
        <w:jc w:val="both"/>
        <w:rPr>
          <w:rFonts w:ascii="Garamond" w:hAnsi="Garamond"/>
          <w:b w:val="0"/>
          <w:sz w:val="24"/>
          <w:lang w:val="en-US"/>
        </w:rPr>
      </w:pPr>
      <w:bookmarkStart w:id="98" w:name="_Toc340436327"/>
      <w:r w:rsidRPr="00A32C16">
        <w:rPr>
          <w:rFonts w:ascii="Garamond" w:hAnsi="Garamond"/>
          <w:b w:val="0"/>
          <w:sz w:val="24"/>
          <w:lang w:val="en-US"/>
        </w:rPr>
        <w:t xml:space="preserve">In the framework of Indonesia economic development, Java is the most important island, </w:t>
      </w:r>
      <w:r w:rsidR="0068062E">
        <w:rPr>
          <w:rFonts w:ascii="Garamond" w:hAnsi="Garamond"/>
          <w:b w:val="0"/>
          <w:sz w:val="24"/>
          <w:lang w:val="en-US"/>
        </w:rPr>
        <w:t xml:space="preserve">eventually </w:t>
      </w:r>
      <w:r w:rsidRPr="00A32C16">
        <w:rPr>
          <w:rFonts w:ascii="Garamond" w:hAnsi="Garamond"/>
          <w:b w:val="0"/>
          <w:sz w:val="24"/>
          <w:lang w:val="en-US"/>
        </w:rPr>
        <w:t xml:space="preserve">since </w:t>
      </w:r>
      <w:r w:rsidR="001D57C4">
        <w:rPr>
          <w:rFonts w:ascii="Garamond" w:hAnsi="Garamond"/>
          <w:b w:val="0"/>
          <w:sz w:val="24"/>
          <w:lang w:val="en-US"/>
        </w:rPr>
        <w:t>the independence</w:t>
      </w:r>
      <w:r w:rsidRPr="00A32C16">
        <w:rPr>
          <w:rFonts w:ascii="Garamond" w:hAnsi="Garamond"/>
          <w:b w:val="0"/>
          <w:sz w:val="24"/>
          <w:lang w:val="en-US"/>
        </w:rPr>
        <w:t xml:space="preserve">, </w:t>
      </w:r>
      <w:r w:rsidR="0068062E">
        <w:rPr>
          <w:rFonts w:ascii="Garamond" w:hAnsi="Garamond"/>
          <w:b w:val="0"/>
          <w:sz w:val="24"/>
          <w:lang w:val="en-US"/>
        </w:rPr>
        <w:t xml:space="preserve">the </w:t>
      </w:r>
      <w:r w:rsidRPr="00A32C16">
        <w:rPr>
          <w:rFonts w:ascii="Garamond" w:hAnsi="Garamond"/>
          <w:b w:val="0"/>
          <w:sz w:val="24"/>
          <w:lang w:val="en-US"/>
        </w:rPr>
        <w:t>island</w:t>
      </w:r>
      <w:r w:rsidR="0068062E">
        <w:rPr>
          <w:rFonts w:ascii="Garamond" w:hAnsi="Garamond"/>
          <w:b w:val="0"/>
          <w:sz w:val="24"/>
          <w:lang w:val="en-US"/>
        </w:rPr>
        <w:t>’s</w:t>
      </w:r>
      <w:r w:rsidRPr="00A32C16">
        <w:rPr>
          <w:rFonts w:ascii="Garamond" w:hAnsi="Garamond"/>
          <w:b w:val="0"/>
          <w:sz w:val="24"/>
          <w:lang w:val="en-US"/>
        </w:rPr>
        <w:t xml:space="preserve"> development has dominated Indonesian economy. </w:t>
      </w:r>
      <w:r w:rsidR="001D57C4">
        <w:rPr>
          <w:rFonts w:ascii="Garamond" w:hAnsi="Garamond"/>
          <w:b w:val="0"/>
          <w:sz w:val="24"/>
          <w:lang w:val="en-US"/>
        </w:rPr>
        <w:t>Currently t</w:t>
      </w:r>
      <w:r w:rsidRPr="00A32C16">
        <w:rPr>
          <w:rFonts w:ascii="Garamond" w:hAnsi="Garamond"/>
          <w:b w:val="0"/>
          <w:sz w:val="24"/>
          <w:lang w:val="en-US"/>
        </w:rPr>
        <w:t xml:space="preserve">his </w:t>
      </w:r>
      <w:r w:rsidR="00DB0438">
        <w:rPr>
          <w:rFonts w:ascii="Garamond" w:hAnsi="Garamond"/>
          <w:b w:val="0"/>
          <w:sz w:val="24"/>
          <w:lang w:val="en-US"/>
        </w:rPr>
        <w:t xml:space="preserve">has been </w:t>
      </w:r>
      <w:r w:rsidRPr="00A32C16">
        <w:rPr>
          <w:rFonts w:ascii="Garamond" w:hAnsi="Garamond"/>
          <w:b w:val="0"/>
          <w:sz w:val="24"/>
          <w:lang w:val="en-US"/>
        </w:rPr>
        <w:t xml:space="preserve">demonstrated by the contribution of national GDP form that exceeds 50% from Java’s island in </w:t>
      </w:r>
      <w:r w:rsidRPr="001D57C4">
        <w:rPr>
          <w:rFonts w:ascii="Garamond" w:hAnsi="Garamond"/>
          <w:b w:val="0"/>
          <w:sz w:val="24"/>
          <w:lang w:val="en-US"/>
        </w:rPr>
        <w:t>2008</w:t>
      </w:r>
      <w:r w:rsidR="001D57C4" w:rsidRPr="001D57C4">
        <w:rPr>
          <w:rFonts w:ascii="Garamond" w:hAnsi="Garamond"/>
          <w:b w:val="0"/>
          <w:sz w:val="24"/>
          <w:lang w:val="en-US"/>
        </w:rPr>
        <w:t>-</w:t>
      </w:r>
      <w:r w:rsidRPr="001D57C4">
        <w:rPr>
          <w:rFonts w:ascii="Garamond" w:hAnsi="Garamond"/>
          <w:b w:val="0"/>
          <w:sz w:val="24"/>
          <w:lang w:val="en-US"/>
        </w:rPr>
        <w:t>2010</w:t>
      </w:r>
      <w:r w:rsidR="001D57C4" w:rsidRPr="001D57C4">
        <w:rPr>
          <w:rFonts w:ascii="Garamond" w:hAnsi="Garamond"/>
          <w:b w:val="0"/>
          <w:sz w:val="24"/>
          <w:lang w:val="en-US"/>
        </w:rPr>
        <w:t>, which</w:t>
      </w:r>
      <w:r w:rsidRPr="001D57C4">
        <w:rPr>
          <w:rFonts w:ascii="Garamond" w:hAnsi="Garamond"/>
          <w:b w:val="0"/>
          <w:sz w:val="24"/>
          <w:lang w:val="en-US"/>
        </w:rPr>
        <w:t xml:space="preserve"> respectively </w:t>
      </w:r>
      <w:r w:rsidR="001D57C4" w:rsidRPr="001D57C4">
        <w:rPr>
          <w:rFonts w:ascii="Garamond" w:hAnsi="Garamond"/>
          <w:b w:val="0"/>
          <w:sz w:val="24"/>
          <w:lang w:val="en-US"/>
        </w:rPr>
        <w:t xml:space="preserve">was </w:t>
      </w:r>
      <w:r w:rsidRPr="001D57C4">
        <w:rPr>
          <w:rFonts w:ascii="Garamond" w:hAnsi="Garamond"/>
          <w:b w:val="0"/>
          <w:sz w:val="24"/>
          <w:lang w:val="en-US"/>
        </w:rPr>
        <w:t xml:space="preserve">57.7%, 58.6% and 58% </w:t>
      </w:r>
      <w:sdt>
        <w:sdtPr>
          <w:rPr>
            <w:rFonts w:ascii="Garamond" w:hAnsi="Garamond"/>
            <w:b w:val="0"/>
            <w:sz w:val="24"/>
            <w:lang w:val="en-US"/>
          </w:rPr>
          <w:id w:val="121860184"/>
          <w:citation/>
        </w:sdtPr>
        <w:sdtContent>
          <w:r w:rsidR="00476E26" w:rsidRPr="001D57C4">
            <w:rPr>
              <w:rFonts w:ascii="Garamond" w:hAnsi="Garamond"/>
              <w:b w:val="0"/>
              <w:sz w:val="24"/>
              <w:lang w:val="en-US"/>
            </w:rPr>
            <w:fldChar w:fldCharType="begin"/>
          </w:r>
          <w:r w:rsidR="001D57C4" w:rsidRPr="001D57C4">
            <w:rPr>
              <w:rFonts w:ascii="Garamond" w:hAnsi="Garamond"/>
              <w:b w:val="0"/>
              <w:sz w:val="24"/>
              <w:lang w:val="en-US"/>
            </w:rPr>
            <w:instrText xml:space="preserve"> CITATION BPS10 \p 17 \y  \t  \m BPS11 \p 20 \n  \y  \t  \l 1033  </w:instrText>
          </w:r>
          <w:r w:rsidR="00476E26" w:rsidRPr="001D57C4">
            <w:rPr>
              <w:rFonts w:ascii="Garamond" w:hAnsi="Garamond"/>
              <w:b w:val="0"/>
              <w:sz w:val="24"/>
              <w:lang w:val="en-US"/>
            </w:rPr>
            <w:fldChar w:fldCharType="separate"/>
          </w:r>
          <w:r w:rsidR="001D57C4" w:rsidRPr="001D57C4">
            <w:rPr>
              <w:rFonts w:ascii="Garamond" w:hAnsi="Garamond"/>
              <w:b w:val="0"/>
              <w:noProof/>
              <w:sz w:val="24"/>
              <w:lang w:val="en-US"/>
            </w:rPr>
            <w:t>(BPS, p. 17; p. 20)</w:t>
          </w:r>
          <w:r w:rsidR="00476E26" w:rsidRPr="001D57C4">
            <w:rPr>
              <w:rFonts w:ascii="Garamond" w:hAnsi="Garamond"/>
              <w:b w:val="0"/>
              <w:sz w:val="24"/>
              <w:lang w:val="en-US"/>
            </w:rPr>
            <w:fldChar w:fldCharType="end"/>
          </w:r>
        </w:sdtContent>
      </w:sdt>
      <w:r w:rsidRPr="001D57C4">
        <w:rPr>
          <w:rFonts w:ascii="Garamond" w:hAnsi="Garamond"/>
          <w:b w:val="0"/>
          <w:sz w:val="24"/>
          <w:lang w:val="en-US"/>
        </w:rPr>
        <w:t>). Developments of capital-intensive industries are centered in Java, by</w:t>
      </w:r>
      <w:r w:rsidRPr="00A32C16">
        <w:rPr>
          <w:rFonts w:ascii="Garamond" w:hAnsi="Garamond"/>
          <w:b w:val="0"/>
          <w:sz w:val="24"/>
          <w:lang w:val="en-US"/>
        </w:rPr>
        <w:t xml:space="preserve"> relying on the supply of raw materials from other islands. To support the ability of Java as the heart of Indonesia's economic development, infrastructure development in Java precedes the other islands in Indonesia. The framework of this development would have an impact to employment, which is also very high in Java, and distribution of population that are relatively concentrated in Java</w:t>
      </w:r>
      <w:r w:rsidR="001D57C4">
        <w:rPr>
          <w:rFonts w:ascii="Garamond" w:hAnsi="Garamond"/>
          <w:b w:val="0"/>
          <w:sz w:val="24"/>
          <w:lang w:val="en-US"/>
        </w:rPr>
        <w:t xml:space="preserve"> (around 60% of the Indonesia’s total population)</w:t>
      </w:r>
      <w:r w:rsidRPr="00A32C16">
        <w:rPr>
          <w:rFonts w:ascii="Garamond" w:hAnsi="Garamond"/>
          <w:b w:val="0"/>
          <w:sz w:val="24"/>
          <w:lang w:val="en-US"/>
        </w:rPr>
        <w:t xml:space="preserve">. Meanwhile, gradually, a dynamic of land use in Java tends to be allocated for large-scale industries, either manufactures or agro-industries and large-scale plantations. At the end, with excellent soil conditions for fulfillment of national food supply, Java has started to change its development scheme to be a national food-processing area. </w:t>
      </w:r>
      <w:r w:rsidR="00947C0E" w:rsidRPr="00646EE9">
        <w:rPr>
          <w:rFonts w:ascii="Garamond" w:hAnsi="Garamond"/>
          <w:b w:val="0"/>
          <w:sz w:val="24"/>
        </w:rPr>
        <w:t xml:space="preserve">In fact, Java for a long period </w:t>
      </w:r>
      <w:r w:rsidR="00DB0438">
        <w:rPr>
          <w:rFonts w:ascii="Garamond" w:hAnsi="Garamond"/>
          <w:b w:val="0"/>
          <w:sz w:val="24"/>
        </w:rPr>
        <w:t>has become</w:t>
      </w:r>
      <w:r w:rsidR="00947C0E" w:rsidRPr="00646EE9">
        <w:rPr>
          <w:rFonts w:ascii="Garamond" w:hAnsi="Garamond"/>
          <w:b w:val="0"/>
          <w:sz w:val="24"/>
        </w:rPr>
        <w:t xml:space="preserve"> </w:t>
      </w:r>
      <w:r w:rsidR="00947C0E">
        <w:rPr>
          <w:rFonts w:ascii="Garamond" w:hAnsi="Garamond"/>
          <w:b w:val="0"/>
          <w:sz w:val="24"/>
        </w:rPr>
        <w:t xml:space="preserve">a </w:t>
      </w:r>
      <w:r w:rsidR="00947C0E" w:rsidRPr="00646EE9">
        <w:rPr>
          <w:rFonts w:ascii="Garamond" w:hAnsi="Garamond"/>
          <w:b w:val="0"/>
          <w:sz w:val="24"/>
        </w:rPr>
        <w:t>main contributor to the foodstuff</w:t>
      </w:r>
      <w:r w:rsidR="00DA19AF">
        <w:rPr>
          <w:rFonts w:ascii="Garamond" w:hAnsi="Garamond"/>
          <w:b w:val="0"/>
          <w:sz w:val="24"/>
        </w:rPr>
        <w:t>s production in Indonesia. This</w:t>
      </w:r>
      <w:r w:rsidR="00947C0E" w:rsidRPr="00646EE9">
        <w:rPr>
          <w:rFonts w:ascii="Garamond" w:hAnsi="Garamond"/>
          <w:b w:val="0"/>
          <w:sz w:val="24"/>
        </w:rPr>
        <w:t xml:space="preserve"> tendency has given consequences to the land control and land holding structure in Java.</w:t>
      </w:r>
      <w:bookmarkEnd w:id="98"/>
    </w:p>
    <w:p w:rsidR="004A732C" w:rsidRDefault="002557C4" w:rsidP="002557C4">
      <w:pPr>
        <w:ind w:firstLine="450"/>
        <w:rPr>
          <w:lang w:val="en-US"/>
        </w:rPr>
      </w:pPr>
      <w:r w:rsidRPr="002557C4">
        <w:rPr>
          <w:lang w:val="en-US"/>
        </w:rPr>
        <w:t xml:space="preserve">According to data collected by the </w:t>
      </w:r>
      <w:r w:rsidR="001D57C4">
        <w:rPr>
          <w:lang w:val="en-US"/>
        </w:rPr>
        <w:t xml:space="preserve">Ministry of </w:t>
      </w:r>
      <w:r w:rsidRPr="002557C4">
        <w:rPr>
          <w:lang w:val="en-US"/>
        </w:rPr>
        <w:t>Trade</w:t>
      </w:r>
      <w:r w:rsidR="001D57C4">
        <w:rPr>
          <w:lang w:val="en-US"/>
        </w:rPr>
        <w:t xml:space="preserve"> and Industry</w:t>
      </w:r>
      <w:r w:rsidRPr="002557C4">
        <w:rPr>
          <w:lang w:val="en-US"/>
        </w:rPr>
        <w:t xml:space="preserve">, at least there is 78% of all numbers of companies in Indonesia located in Java (Table 3.5.). Even </w:t>
      </w:r>
      <w:r w:rsidR="001D57C4">
        <w:rPr>
          <w:lang w:val="en-US"/>
        </w:rPr>
        <w:t>since 1998, a number of industrial</w:t>
      </w:r>
      <w:r w:rsidRPr="002557C4">
        <w:rPr>
          <w:lang w:val="en-US"/>
        </w:rPr>
        <w:t xml:space="preserve"> projects in Java have always been over 60% of all Indonesia’s industries, and always increased up to 66% in 2006</w:t>
      </w:r>
      <w:r w:rsidRPr="002557C4">
        <w:rPr>
          <w:vertAlign w:val="superscript"/>
          <w:lang w:val="en-US"/>
        </w:rPr>
        <w:footnoteReference w:id="21"/>
      </w:r>
      <w:r w:rsidRPr="002557C4">
        <w:rPr>
          <w:lang w:val="en-US"/>
        </w:rPr>
        <w:t>.</w:t>
      </w:r>
    </w:p>
    <w:p w:rsidR="00DC769D" w:rsidRDefault="007A2022" w:rsidP="00371444">
      <w:pPr>
        <w:pStyle w:val="Caption"/>
        <w:spacing w:before="240"/>
      </w:pPr>
      <w:bookmarkStart w:id="99" w:name="_Toc340133881"/>
      <w:r>
        <w:br w:type="page"/>
      </w:r>
      <w:bookmarkStart w:id="100" w:name="_Toc340654626"/>
      <w:r w:rsidR="00DC769D">
        <w:lastRenderedPageBreak/>
        <w:t>Table 3.</w:t>
      </w:r>
      <w:fldSimple w:instr=" SEQ Table \* ARABIC ">
        <w:r w:rsidR="00DC769D">
          <w:rPr>
            <w:noProof/>
          </w:rPr>
          <w:t>5</w:t>
        </w:r>
      </w:fldSimple>
      <w:r w:rsidR="00DC769D">
        <w:t>.</w:t>
      </w:r>
      <w:r w:rsidR="00DC769D">
        <w:br/>
      </w:r>
      <w:bookmarkEnd w:id="99"/>
      <w:r w:rsidR="00947C0E">
        <w:rPr>
          <w:rStyle w:val="apple-converted-space"/>
          <w:rFonts w:cs="Arial"/>
          <w:color w:val="222222"/>
          <w:szCs w:val="18"/>
          <w:shd w:val="clear" w:color="auto" w:fill="FFFFFF"/>
        </w:rPr>
        <w:t> </w:t>
      </w:r>
      <w:r w:rsidR="00947C0E">
        <w:rPr>
          <w:rFonts w:cs="Arial"/>
          <w:color w:val="222222"/>
          <w:szCs w:val="18"/>
          <w:shd w:val="clear" w:color="auto" w:fill="FFFFFF"/>
        </w:rPr>
        <w:t>Number of Agriculture and Non-Agriculture Industry in Java</w:t>
      </w:r>
      <w:bookmarkEnd w:id="10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2160"/>
        <w:gridCol w:w="1350"/>
        <w:gridCol w:w="1350"/>
        <w:gridCol w:w="1350"/>
      </w:tblGrid>
      <w:tr w:rsidR="00DC769D" w:rsidRPr="00A32C16" w:rsidTr="00DC769D">
        <w:trPr>
          <w:jc w:val="center"/>
        </w:trPr>
        <w:tc>
          <w:tcPr>
            <w:tcW w:w="738" w:type="dxa"/>
            <w:vMerge w:val="restart"/>
            <w:vAlign w:val="center"/>
          </w:tcPr>
          <w:p w:rsidR="00DC769D" w:rsidRPr="00A32C16" w:rsidRDefault="00DC769D" w:rsidP="00DC769D">
            <w:pPr>
              <w:pStyle w:val="tablesourcenote0"/>
              <w:jc w:val="center"/>
              <w:rPr>
                <w:rFonts w:cs="Arial"/>
                <w:b/>
                <w:sz w:val="18"/>
                <w:szCs w:val="18"/>
                <w:lang w:val="en-US"/>
              </w:rPr>
            </w:pPr>
            <w:r w:rsidRPr="00A32C16">
              <w:rPr>
                <w:rFonts w:cs="Arial"/>
                <w:b/>
                <w:sz w:val="18"/>
                <w:szCs w:val="18"/>
                <w:lang w:val="en-US"/>
              </w:rPr>
              <w:t>No.</w:t>
            </w:r>
          </w:p>
        </w:tc>
        <w:tc>
          <w:tcPr>
            <w:tcW w:w="2160" w:type="dxa"/>
            <w:vMerge w:val="restart"/>
            <w:vAlign w:val="center"/>
          </w:tcPr>
          <w:p w:rsidR="00DC769D" w:rsidRPr="00A32C16" w:rsidRDefault="00DC769D" w:rsidP="00DC769D">
            <w:pPr>
              <w:pStyle w:val="tablesourcenote0"/>
              <w:jc w:val="center"/>
              <w:rPr>
                <w:rFonts w:cs="Arial"/>
                <w:b/>
                <w:sz w:val="18"/>
                <w:szCs w:val="18"/>
                <w:lang w:val="en-US"/>
              </w:rPr>
            </w:pPr>
            <w:r w:rsidRPr="00A32C16">
              <w:rPr>
                <w:rFonts w:cs="Arial"/>
                <w:b/>
                <w:sz w:val="18"/>
                <w:szCs w:val="18"/>
                <w:lang w:val="en-US"/>
              </w:rPr>
              <w:t>Province</w:t>
            </w:r>
          </w:p>
        </w:tc>
        <w:tc>
          <w:tcPr>
            <w:tcW w:w="2700" w:type="dxa"/>
            <w:gridSpan w:val="2"/>
            <w:vAlign w:val="center"/>
          </w:tcPr>
          <w:p w:rsidR="00DC769D" w:rsidRPr="00A32C16" w:rsidRDefault="00947C0E" w:rsidP="00DC769D">
            <w:pPr>
              <w:pStyle w:val="tablesourcenote0"/>
              <w:jc w:val="center"/>
              <w:rPr>
                <w:rFonts w:cs="Arial"/>
                <w:b/>
                <w:sz w:val="18"/>
                <w:szCs w:val="18"/>
                <w:lang w:val="en-US"/>
              </w:rPr>
            </w:pPr>
            <w:r>
              <w:rPr>
                <w:rFonts w:cs="Arial"/>
                <w:b/>
                <w:sz w:val="18"/>
                <w:szCs w:val="18"/>
                <w:lang w:val="en-US"/>
              </w:rPr>
              <w:t>Sector</w:t>
            </w:r>
          </w:p>
        </w:tc>
        <w:tc>
          <w:tcPr>
            <w:tcW w:w="1350" w:type="dxa"/>
            <w:vMerge w:val="restart"/>
            <w:vAlign w:val="center"/>
          </w:tcPr>
          <w:p w:rsidR="00DC769D" w:rsidRPr="00A32C16" w:rsidRDefault="00DC769D" w:rsidP="00DC769D">
            <w:pPr>
              <w:pStyle w:val="tablesourcenote0"/>
              <w:jc w:val="center"/>
              <w:rPr>
                <w:rFonts w:cs="Arial"/>
                <w:b/>
                <w:sz w:val="18"/>
                <w:szCs w:val="18"/>
                <w:lang w:val="en-US"/>
              </w:rPr>
            </w:pPr>
            <w:r w:rsidRPr="00A32C16">
              <w:rPr>
                <w:rFonts w:cs="Arial"/>
                <w:b/>
                <w:sz w:val="18"/>
                <w:szCs w:val="18"/>
                <w:lang w:val="en-US"/>
              </w:rPr>
              <w:t>Total</w:t>
            </w:r>
          </w:p>
        </w:tc>
      </w:tr>
      <w:tr w:rsidR="00DC769D" w:rsidRPr="00A32C16" w:rsidTr="00DC769D">
        <w:trPr>
          <w:jc w:val="center"/>
        </w:trPr>
        <w:tc>
          <w:tcPr>
            <w:tcW w:w="738" w:type="dxa"/>
            <w:vMerge/>
            <w:vAlign w:val="center"/>
          </w:tcPr>
          <w:p w:rsidR="00DC769D" w:rsidRPr="00A32C16" w:rsidRDefault="00DC769D" w:rsidP="00DC769D">
            <w:pPr>
              <w:pStyle w:val="tablesourcenote0"/>
              <w:jc w:val="center"/>
              <w:rPr>
                <w:rFonts w:cs="Arial"/>
                <w:b/>
                <w:sz w:val="18"/>
                <w:szCs w:val="18"/>
                <w:lang w:val="en-US"/>
              </w:rPr>
            </w:pPr>
          </w:p>
        </w:tc>
        <w:tc>
          <w:tcPr>
            <w:tcW w:w="2160" w:type="dxa"/>
            <w:vMerge/>
            <w:vAlign w:val="center"/>
          </w:tcPr>
          <w:p w:rsidR="00DC769D" w:rsidRPr="00A32C16" w:rsidRDefault="00DC769D" w:rsidP="00DC769D">
            <w:pPr>
              <w:pStyle w:val="tablesourcenote0"/>
              <w:jc w:val="center"/>
              <w:rPr>
                <w:rFonts w:cs="Arial"/>
                <w:b/>
                <w:sz w:val="18"/>
                <w:szCs w:val="18"/>
                <w:lang w:val="en-US"/>
              </w:rPr>
            </w:pPr>
          </w:p>
        </w:tc>
        <w:tc>
          <w:tcPr>
            <w:tcW w:w="1350" w:type="dxa"/>
            <w:vAlign w:val="center"/>
          </w:tcPr>
          <w:p w:rsidR="00DC769D" w:rsidRPr="00A32C16" w:rsidRDefault="00947C0E" w:rsidP="00947C0E">
            <w:pPr>
              <w:pStyle w:val="tablesourcenote0"/>
              <w:jc w:val="center"/>
              <w:rPr>
                <w:rFonts w:cs="Arial"/>
                <w:b/>
                <w:sz w:val="18"/>
                <w:szCs w:val="18"/>
                <w:lang w:val="en-US"/>
              </w:rPr>
            </w:pPr>
            <w:r>
              <w:rPr>
                <w:rFonts w:cs="Arial"/>
                <w:b/>
                <w:sz w:val="18"/>
                <w:szCs w:val="18"/>
                <w:lang w:val="en-US"/>
              </w:rPr>
              <w:t>Non-Agriculture</w:t>
            </w:r>
          </w:p>
        </w:tc>
        <w:tc>
          <w:tcPr>
            <w:tcW w:w="1350" w:type="dxa"/>
            <w:vAlign w:val="center"/>
          </w:tcPr>
          <w:p w:rsidR="00DC769D" w:rsidRPr="00A32C16" w:rsidRDefault="00947C0E" w:rsidP="00DC769D">
            <w:pPr>
              <w:pStyle w:val="tablesourcenote0"/>
              <w:jc w:val="center"/>
              <w:rPr>
                <w:rFonts w:cs="Arial"/>
                <w:b/>
                <w:sz w:val="18"/>
                <w:szCs w:val="18"/>
                <w:lang w:val="en-US"/>
              </w:rPr>
            </w:pPr>
            <w:r>
              <w:rPr>
                <w:rFonts w:cs="Arial"/>
                <w:b/>
                <w:sz w:val="18"/>
                <w:szCs w:val="18"/>
                <w:lang w:val="en-US"/>
              </w:rPr>
              <w:t>Agriculture</w:t>
            </w:r>
          </w:p>
        </w:tc>
        <w:tc>
          <w:tcPr>
            <w:tcW w:w="1350" w:type="dxa"/>
            <w:vMerge/>
          </w:tcPr>
          <w:p w:rsidR="00DC769D" w:rsidRPr="00A32C16" w:rsidRDefault="00DC769D" w:rsidP="00DC769D">
            <w:pPr>
              <w:pStyle w:val="tablesourcenote0"/>
              <w:rPr>
                <w:rFonts w:cs="Arial"/>
                <w:sz w:val="18"/>
                <w:szCs w:val="18"/>
                <w:lang w:val="en-US"/>
              </w:rPr>
            </w:pPr>
          </w:p>
        </w:tc>
      </w:tr>
      <w:tr w:rsidR="00DC769D" w:rsidRPr="00A32C16" w:rsidTr="00DC769D">
        <w:trPr>
          <w:jc w:val="center"/>
        </w:trPr>
        <w:tc>
          <w:tcPr>
            <w:tcW w:w="738" w:type="dxa"/>
          </w:tcPr>
          <w:p w:rsidR="00DC769D" w:rsidRPr="00A32C16" w:rsidRDefault="00DC769D" w:rsidP="00DC769D">
            <w:pPr>
              <w:pStyle w:val="tablesourcenote0"/>
              <w:rPr>
                <w:rFonts w:cs="Arial"/>
                <w:sz w:val="18"/>
                <w:szCs w:val="18"/>
                <w:lang w:val="en-US"/>
              </w:rPr>
            </w:pPr>
            <w:r w:rsidRPr="00A32C16">
              <w:rPr>
                <w:rFonts w:cs="Arial"/>
                <w:sz w:val="18"/>
                <w:szCs w:val="18"/>
                <w:lang w:val="en-US"/>
              </w:rPr>
              <w:t>1</w:t>
            </w:r>
          </w:p>
        </w:tc>
        <w:tc>
          <w:tcPr>
            <w:tcW w:w="2160" w:type="dxa"/>
          </w:tcPr>
          <w:p w:rsidR="00DC769D" w:rsidRPr="00A32C16" w:rsidRDefault="00DC769D" w:rsidP="00DC769D">
            <w:pPr>
              <w:pStyle w:val="tablesourcenote0"/>
              <w:rPr>
                <w:rFonts w:cs="Arial"/>
                <w:sz w:val="18"/>
                <w:szCs w:val="18"/>
                <w:lang w:val="en-US"/>
              </w:rPr>
            </w:pPr>
            <w:r w:rsidRPr="00A32C16">
              <w:rPr>
                <w:rFonts w:cs="Arial"/>
                <w:sz w:val="18"/>
                <w:szCs w:val="18"/>
                <w:lang w:val="en-US"/>
              </w:rPr>
              <w:t>Banten</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177</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3</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180</w:t>
            </w:r>
          </w:p>
        </w:tc>
      </w:tr>
      <w:tr w:rsidR="00DC769D" w:rsidRPr="00A32C16" w:rsidTr="00DC769D">
        <w:trPr>
          <w:jc w:val="center"/>
        </w:trPr>
        <w:tc>
          <w:tcPr>
            <w:tcW w:w="738" w:type="dxa"/>
          </w:tcPr>
          <w:p w:rsidR="00DC769D" w:rsidRPr="00A32C16" w:rsidRDefault="00DC769D" w:rsidP="00DC769D">
            <w:pPr>
              <w:pStyle w:val="tablesourcenote0"/>
              <w:rPr>
                <w:rFonts w:cs="Arial"/>
                <w:sz w:val="18"/>
                <w:szCs w:val="18"/>
                <w:lang w:val="en-US"/>
              </w:rPr>
            </w:pPr>
            <w:r w:rsidRPr="00A32C16">
              <w:rPr>
                <w:rFonts w:cs="Arial"/>
                <w:sz w:val="18"/>
                <w:szCs w:val="18"/>
                <w:lang w:val="en-US"/>
              </w:rPr>
              <w:t>2</w:t>
            </w:r>
          </w:p>
        </w:tc>
        <w:tc>
          <w:tcPr>
            <w:tcW w:w="2160" w:type="dxa"/>
          </w:tcPr>
          <w:p w:rsidR="00DC769D" w:rsidRPr="00A32C16" w:rsidRDefault="00DC769D" w:rsidP="00DC769D">
            <w:pPr>
              <w:pStyle w:val="tablesourcenote0"/>
              <w:rPr>
                <w:rFonts w:cs="Arial"/>
                <w:sz w:val="18"/>
                <w:szCs w:val="18"/>
                <w:lang w:val="en-US"/>
              </w:rPr>
            </w:pPr>
            <w:r w:rsidRPr="00A32C16">
              <w:rPr>
                <w:rFonts w:cs="Arial"/>
                <w:sz w:val="18"/>
                <w:szCs w:val="18"/>
                <w:lang w:val="en-US"/>
              </w:rPr>
              <w:t>DI Yogyakarta</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34</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1</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35</w:t>
            </w:r>
          </w:p>
        </w:tc>
      </w:tr>
      <w:tr w:rsidR="00DC769D" w:rsidRPr="00A32C16" w:rsidTr="00DC769D">
        <w:trPr>
          <w:jc w:val="center"/>
        </w:trPr>
        <w:tc>
          <w:tcPr>
            <w:tcW w:w="738" w:type="dxa"/>
          </w:tcPr>
          <w:p w:rsidR="00DC769D" w:rsidRPr="00A32C16" w:rsidRDefault="00DC769D" w:rsidP="00DC769D">
            <w:pPr>
              <w:pStyle w:val="tablesourcenote0"/>
              <w:rPr>
                <w:rFonts w:cs="Arial"/>
                <w:sz w:val="18"/>
                <w:szCs w:val="18"/>
                <w:lang w:val="en-US"/>
              </w:rPr>
            </w:pPr>
            <w:r w:rsidRPr="00A32C16">
              <w:rPr>
                <w:rFonts w:cs="Arial"/>
                <w:sz w:val="18"/>
                <w:szCs w:val="18"/>
                <w:lang w:val="en-US"/>
              </w:rPr>
              <w:t>3</w:t>
            </w:r>
          </w:p>
        </w:tc>
        <w:tc>
          <w:tcPr>
            <w:tcW w:w="2160" w:type="dxa"/>
          </w:tcPr>
          <w:p w:rsidR="00DC769D" w:rsidRPr="00A32C16" w:rsidRDefault="00DC769D" w:rsidP="00DC769D">
            <w:pPr>
              <w:pStyle w:val="tablesourcenote0"/>
              <w:rPr>
                <w:rFonts w:cs="Arial"/>
                <w:sz w:val="18"/>
                <w:szCs w:val="18"/>
                <w:lang w:val="en-US"/>
              </w:rPr>
            </w:pPr>
            <w:r w:rsidRPr="00A32C16">
              <w:rPr>
                <w:rFonts w:cs="Arial"/>
                <w:sz w:val="18"/>
                <w:szCs w:val="18"/>
                <w:lang w:val="en-US"/>
              </w:rPr>
              <w:t>DKI Jakarta</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100</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0</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100</w:t>
            </w:r>
          </w:p>
        </w:tc>
      </w:tr>
      <w:tr w:rsidR="00DC769D" w:rsidRPr="00A32C16" w:rsidTr="00DC769D">
        <w:trPr>
          <w:jc w:val="center"/>
        </w:trPr>
        <w:tc>
          <w:tcPr>
            <w:tcW w:w="738" w:type="dxa"/>
          </w:tcPr>
          <w:p w:rsidR="00DC769D" w:rsidRPr="00A32C16" w:rsidRDefault="00DC769D" w:rsidP="00DC769D">
            <w:pPr>
              <w:pStyle w:val="tablesourcenote0"/>
              <w:rPr>
                <w:rFonts w:cs="Arial"/>
                <w:sz w:val="18"/>
                <w:szCs w:val="18"/>
                <w:lang w:val="en-US"/>
              </w:rPr>
            </w:pPr>
            <w:r w:rsidRPr="00A32C16">
              <w:rPr>
                <w:rFonts w:cs="Arial"/>
                <w:sz w:val="18"/>
                <w:szCs w:val="18"/>
                <w:lang w:val="en-US"/>
              </w:rPr>
              <w:t>4</w:t>
            </w:r>
          </w:p>
        </w:tc>
        <w:tc>
          <w:tcPr>
            <w:tcW w:w="2160" w:type="dxa"/>
          </w:tcPr>
          <w:p w:rsidR="00DC769D" w:rsidRPr="00A32C16" w:rsidRDefault="00DC769D" w:rsidP="00DC769D">
            <w:pPr>
              <w:pStyle w:val="tablesourcenote0"/>
              <w:rPr>
                <w:rFonts w:cs="Arial"/>
                <w:sz w:val="18"/>
                <w:szCs w:val="18"/>
                <w:lang w:val="en-US"/>
              </w:rPr>
            </w:pPr>
            <w:r w:rsidRPr="00A32C16">
              <w:rPr>
                <w:rFonts w:cs="Arial"/>
                <w:sz w:val="18"/>
                <w:szCs w:val="18"/>
                <w:lang w:val="en-US"/>
              </w:rPr>
              <w:t>West Java</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310</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14</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324</w:t>
            </w:r>
          </w:p>
        </w:tc>
      </w:tr>
      <w:tr w:rsidR="00DC769D" w:rsidRPr="00A32C16" w:rsidTr="00DC769D">
        <w:trPr>
          <w:jc w:val="center"/>
        </w:trPr>
        <w:tc>
          <w:tcPr>
            <w:tcW w:w="738" w:type="dxa"/>
          </w:tcPr>
          <w:p w:rsidR="00DC769D" w:rsidRPr="00A32C16" w:rsidRDefault="00DC769D" w:rsidP="00DC769D">
            <w:pPr>
              <w:pStyle w:val="tablesourcenote0"/>
              <w:rPr>
                <w:rFonts w:cs="Arial"/>
                <w:sz w:val="18"/>
                <w:szCs w:val="18"/>
                <w:lang w:val="en-US"/>
              </w:rPr>
            </w:pPr>
            <w:r w:rsidRPr="00A32C16">
              <w:rPr>
                <w:rFonts w:cs="Arial"/>
                <w:sz w:val="18"/>
                <w:szCs w:val="18"/>
                <w:lang w:val="en-US"/>
              </w:rPr>
              <w:t>5</w:t>
            </w:r>
          </w:p>
        </w:tc>
        <w:tc>
          <w:tcPr>
            <w:tcW w:w="2160" w:type="dxa"/>
          </w:tcPr>
          <w:p w:rsidR="00DC769D" w:rsidRPr="00A32C16" w:rsidRDefault="00DC769D" w:rsidP="00DC769D">
            <w:pPr>
              <w:pStyle w:val="tablesourcenote0"/>
              <w:rPr>
                <w:rFonts w:cs="Arial"/>
                <w:sz w:val="18"/>
                <w:szCs w:val="18"/>
                <w:lang w:val="en-US"/>
              </w:rPr>
            </w:pPr>
            <w:r w:rsidRPr="00A32C16">
              <w:rPr>
                <w:rFonts w:cs="Arial"/>
                <w:sz w:val="18"/>
                <w:szCs w:val="18"/>
                <w:lang w:val="en-US"/>
              </w:rPr>
              <w:t>Central Java</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89</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14</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103</w:t>
            </w:r>
          </w:p>
        </w:tc>
      </w:tr>
      <w:tr w:rsidR="00DC769D" w:rsidRPr="00A32C16" w:rsidTr="00DC769D">
        <w:trPr>
          <w:jc w:val="center"/>
        </w:trPr>
        <w:tc>
          <w:tcPr>
            <w:tcW w:w="738" w:type="dxa"/>
          </w:tcPr>
          <w:p w:rsidR="00DC769D" w:rsidRPr="00A32C16" w:rsidRDefault="00DC769D" w:rsidP="00DC769D">
            <w:pPr>
              <w:pStyle w:val="tablesourcenote0"/>
              <w:rPr>
                <w:rFonts w:cs="Arial"/>
                <w:sz w:val="18"/>
                <w:szCs w:val="18"/>
                <w:lang w:val="en-US"/>
              </w:rPr>
            </w:pPr>
            <w:r w:rsidRPr="00A32C16">
              <w:rPr>
                <w:rFonts w:cs="Arial"/>
                <w:sz w:val="18"/>
                <w:szCs w:val="18"/>
                <w:lang w:val="en-US"/>
              </w:rPr>
              <w:t>6</w:t>
            </w:r>
          </w:p>
        </w:tc>
        <w:tc>
          <w:tcPr>
            <w:tcW w:w="2160" w:type="dxa"/>
          </w:tcPr>
          <w:p w:rsidR="00DC769D" w:rsidRPr="00A32C16" w:rsidRDefault="00DC769D" w:rsidP="00DC769D">
            <w:pPr>
              <w:pStyle w:val="tablesourcenote0"/>
              <w:rPr>
                <w:rFonts w:cs="Arial"/>
                <w:sz w:val="18"/>
                <w:szCs w:val="18"/>
                <w:lang w:val="en-US"/>
              </w:rPr>
            </w:pPr>
            <w:r w:rsidRPr="00A32C16">
              <w:rPr>
                <w:rFonts w:cs="Arial"/>
                <w:sz w:val="18"/>
                <w:szCs w:val="18"/>
                <w:lang w:val="en-US"/>
              </w:rPr>
              <w:t>East Java</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455</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21</w:t>
            </w:r>
          </w:p>
        </w:tc>
        <w:tc>
          <w:tcPr>
            <w:tcW w:w="1350" w:type="dxa"/>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476</w:t>
            </w:r>
          </w:p>
        </w:tc>
      </w:tr>
      <w:tr w:rsidR="00DC769D" w:rsidRPr="00A32C16" w:rsidTr="00DC769D">
        <w:trPr>
          <w:jc w:val="center"/>
        </w:trPr>
        <w:tc>
          <w:tcPr>
            <w:tcW w:w="738" w:type="dxa"/>
          </w:tcPr>
          <w:p w:rsidR="00DC769D" w:rsidRPr="00A32C16" w:rsidRDefault="00DC769D" w:rsidP="00DC769D">
            <w:pPr>
              <w:pStyle w:val="tablesourcenote0"/>
              <w:rPr>
                <w:rFonts w:cs="Arial"/>
                <w:sz w:val="18"/>
                <w:szCs w:val="18"/>
                <w:lang w:val="en-US"/>
              </w:rPr>
            </w:pPr>
          </w:p>
        </w:tc>
        <w:tc>
          <w:tcPr>
            <w:tcW w:w="2160" w:type="dxa"/>
            <w:shd w:val="clear" w:color="auto" w:fill="BFBFBF"/>
          </w:tcPr>
          <w:p w:rsidR="00DC769D" w:rsidRPr="00A32C16" w:rsidRDefault="00DC769D" w:rsidP="00DC769D">
            <w:pPr>
              <w:pStyle w:val="tablesourcenote0"/>
              <w:rPr>
                <w:rFonts w:cs="Arial"/>
                <w:sz w:val="18"/>
                <w:szCs w:val="18"/>
                <w:lang w:val="en-US"/>
              </w:rPr>
            </w:pPr>
            <w:r w:rsidRPr="00A32C16">
              <w:rPr>
                <w:rFonts w:cs="Arial"/>
                <w:sz w:val="18"/>
                <w:szCs w:val="18"/>
                <w:lang w:val="en-US"/>
              </w:rPr>
              <w:t>Total in Java</w:t>
            </w:r>
          </w:p>
        </w:tc>
        <w:tc>
          <w:tcPr>
            <w:tcW w:w="1350" w:type="dxa"/>
            <w:shd w:val="clear" w:color="auto" w:fill="BFBFBF"/>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1165</w:t>
            </w:r>
          </w:p>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(78.72%)</w:t>
            </w:r>
          </w:p>
        </w:tc>
        <w:tc>
          <w:tcPr>
            <w:tcW w:w="1350" w:type="dxa"/>
            <w:shd w:val="clear" w:color="auto" w:fill="BFBFBF"/>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53</w:t>
            </w:r>
          </w:p>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(66.25%)</w:t>
            </w:r>
          </w:p>
        </w:tc>
        <w:tc>
          <w:tcPr>
            <w:tcW w:w="1350" w:type="dxa"/>
            <w:shd w:val="clear" w:color="auto" w:fill="BFBFBF"/>
            <w:vAlign w:val="center"/>
          </w:tcPr>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1,218</w:t>
            </w:r>
          </w:p>
          <w:p w:rsidR="00DC769D" w:rsidRPr="00A32C16" w:rsidRDefault="00DC769D" w:rsidP="00DC769D">
            <w:pPr>
              <w:pStyle w:val="tablesourcenote0"/>
              <w:jc w:val="right"/>
              <w:rPr>
                <w:rFonts w:cs="Arial"/>
                <w:sz w:val="18"/>
                <w:szCs w:val="18"/>
                <w:lang w:val="en-US"/>
              </w:rPr>
            </w:pPr>
            <w:r w:rsidRPr="00A32C16">
              <w:rPr>
                <w:rFonts w:cs="Arial"/>
                <w:sz w:val="18"/>
                <w:szCs w:val="18"/>
                <w:lang w:val="en-US"/>
              </w:rPr>
              <w:t>(78.08%)</w:t>
            </w:r>
          </w:p>
        </w:tc>
      </w:tr>
      <w:tr w:rsidR="00DC769D" w:rsidRPr="00A32C16" w:rsidTr="00DC769D">
        <w:trPr>
          <w:jc w:val="center"/>
        </w:trPr>
        <w:tc>
          <w:tcPr>
            <w:tcW w:w="738" w:type="dxa"/>
          </w:tcPr>
          <w:p w:rsidR="00DC769D" w:rsidRPr="00A32C16" w:rsidRDefault="00DC769D" w:rsidP="00DC769D">
            <w:pPr>
              <w:pStyle w:val="tablesourcenote0"/>
              <w:rPr>
                <w:rFonts w:cs="Arial"/>
                <w:sz w:val="18"/>
                <w:szCs w:val="18"/>
                <w:lang w:val="en-US"/>
              </w:rPr>
            </w:pPr>
          </w:p>
        </w:tc>
        <w:tc>
          <w:tcPr>
            <w:tcW w:w="2160" w:type="dxa"/>
          </w:tcPr>
          <w:p w:rsidR="00DC769D" w:rsidRPr="00A32C16" w:rsidRDefault="00DC769D" w:rsidP="00DC769D">
            <w:pPr>
              <w:pStyle w:val="tablesourcenote0"/>
              <w:rPr>
                <w:rFonts w:cs="Arial"/>
                <w:b/>
                <w:sz w:val="18"/>
                <w:szCs w:val="18"/>
                <w:lang w:val="en-US"/>
              </w:rPr>
            </w:pPr>
            <w:r w:rsidRPr="00A32C16">
              <w:rPr>
                <w:rFonts w:cs="Arial"/>
                <w:b/>
                <w:sz w:val="18"/>
                <w:szCs w:val="18"/>
                <w:lang w:val="en-US"/>
              </w:rPr>
              <w:t>Total in Indonesia</w:t>
            </w:r>
          </w:p>
        </w:tc>
        <w:tc>
          <w:tcPr>
            <w:tcW w:w="1350" w:type="dxa"/>
            <w:vAlign w:val="center"/>
          </w:tcPr>
          <w:p w:rsidR="00DC769D" w:rsidRPr="00A32C16" w:rsidRDefault="00DC769D" w:rsidP="00DC769D">
            <w:pPr>
              <w:pStyle w:val="tablesourcenote0"/>
              <w:jc w:val="right"/>
              <w:rPr>
                <w:rFonts w:cs="Arial"/>
                <w:b/>
                <w:sz w:val="18"/>
                <w:szCs w:val="18"/>
                <w:lang w:val="en-US"/>
              </w:rPr>
            </w:pPr>
            <w:r w:rsidRPr="00A32C16">
              <w:rPr>
                <w:rFonts w:cs="Arial"/>
                <w:b/>
                <w:sz w:val="18"/>
                <w:szCs w:val="18"/>
                <w:lang w:val="en-US"/>
              </w:rPr>
              <w:t>1,480</w:t>
            </w:r>
          </w:p>
        </w:tc>
        <w:tc>
          <w:tcPr>
            <w:tcW w:w="1350" w:type="dxa"/>
            <w:vAlign w:val="center"/>
          </w:tcPr>
          <w:p w:rsidR="00DC769D" w:rsidRPr="00A32C16" w:rsidRDefault="00DC769D" w:rsidP="00DC769D">
            <w:pPr>
              <w:pStyle w:val="tablesourcenote0"/>
              <w:jc w:val="right"/>
              <w:rPr>
                <w:rFonts w:cs="Arial"/>
                <w:b/>
                <w:sz w:val="18"/>
                <w:szCs w:val="18"/>
                <w:lang w:val="en-US"/>
              </w:rPr>
            </w:pPr>
            <w:r w:rsidRPr="00A32C16">
              <w:rPr>
                <w:rFonts w:cs="Arial"/>
                <w:b/>
                <w:sz w:val="18"/>
                <w:szCs w:val="18"/>
                <w:lang w:val="en-US"/>
              </w:rPr>
              <w:t>80</w:t>
            </w:r>
          </w:p>
        </w:tc>
        <w:tc>
          <w:tcPr>
            <w:tcW w:w="1350" w:type="dxa"/>
            <w:vAlign w:val="center"/>
          </w:tcPr>
          <w:p w:rsidR="00DC769D" w:rsidRPr="00A32C16" w:rsidRDefault="00DC769D" w:rsidP="00DC769D">
            <w:pPr>
              <w:pStyle w:val="tablesourcenote0"/>
              <w:jc w:val="right"/>
              <w:rPr>
                <w:rFonts w:cs="Arial"/>
                <w:b/>
                <w:sz w:val="18"/>
                <w:szCs w:val="18"/>
                <w:lang w:val="en-US"/>
              </w:rPr>
            </w:pPr>
            <w:r w:rsidRPr="00A32C16">
              <w:rPr>
                <w:rFonts w:cs="Arial"/>
                <w:b/>
                <w:sz w:val="18"/>
                <w:szCs w:val="18"/>
                <w:lang w:val="en-US"/>
              </w:rPr>
              <w:t>1,560</w:t>
            </w:r>
          </w:p>
        </w:tc>
      </w:tr>
    </w:tbl>
    <w:p w:rsidR="00DC769D" w:rsidRPr="00D34CE3" w:rsidRDefault="00DC769D" w:rsidP="00DC769D">
      <w:pPr>
        <w:pStyle w:val="tablesourcenote0"/>
        <w:ind w:left="270"/>
      </w:pPr>
      <w:r w:rsidRPr="00D34CE3">
        <w:rPr>
          <w:i/>
        </w:rPr>
        <w:t>Source:</w:t>
      </w:r>
      <w:r w:rsidRPr="00D34CE3">
        <w:t xml:space="preserve"> </w:t>
      </w:r>
      <w:hyperlink r:id="rId18" w:history="1">
        <w:r w:rsidRPr="00A32C16">
          <w:rPr>
            <w:rStyle w:val="Hyperlink"/>
            <w:i/>
            <w:lang w:val="en-US"/>
          </w:rPr>
          <w:t>http://www.kemenperin.go.id/direktori-perusahaan?what=Industri&amp;prov=0</w:t>
        </w:r>
      </w:hyperlink>
      <w:r w:rsidRPr="00A32C16">
        <w:rPr>
          <w:i/>
          <w:lang w:val="en-US"/>
        </w:rPr>
        <w:t xml:space="preserve"> and </w:t>
      </w:r>
      <w:hyperlink r:id="rId19" w:history="1">
        <w:r w:rsidRPr="00A32C16">
          <w:rPr>
            <w:rStyle w:val="Hyperlink"/>
            <w:i/>
            <w:lang w:val="en-US"/>
          </w:rPr>
          <w:t>http://www.kemenperin.go.id/direktori-perusahaan?what=pertanian&amp;prov=0</w:t>
        </w:r>
      </w:hyperlink>
      <w:r w:rsidRPr="00A32C16">
        <w:rPr>
          <w:i/>
          <w:lang w:val="en-US"/>
        </w:rPr>
        <w:t xml:space="preserve"> (accessed on September 3, 2012)</w:t>
      </w:r>
    </w:p>
    <w:p w:rsidR="00DC769D" w:rsidRDefault="00DC769D" w:rsidP="00DC769D">
      <w:pPr>
        <w:pStyle w:val="Maptitle"/>
        <w:spacing w:after="100"/>
        <w:ind w:firstLine="432"/>
        <w:jc w:val="left"/>
        <w:rPr>
          <w:rFonts w:ascii="Garamond" w:hAnsi="Garamond"/>
          <w:b w:val="0"/>
          <w:sz w:val="24"/>
        </w:rPr>
      </w:pPr>
    </w:p>
    <w:p w:rsidR="00DC769D" w:rsidRDefault="00DC769D" w:rsidP="00DC769D">
      <w:pPr>
        <w:pStyle w:val="Maptitle"/>
        <w:spacing w:after="100"/>
        <w:ind w:firstLine="432"/>
        <w:jc w:val="both"/>
        <w:rPr>
          <w:rFonts w:ascii="Garamond" w:hAnsi="Garamond"/>
          <w:b w:val="0"/>
          <w:sz w:val="24"/>
          <w:lang w:val="en-US"/>
        </w:rPr>
      </w:pPr>
      <w:bookmarkStart w:id="101" w:name="_Toc340436328"/>
      <w:r w:rsidRPr="00A32C16">
        <w:rPr>
          <w:rFonts w:ascii="Garamond" w:hAnsi="Garamond"/>
          <w:b w:val="0"/>
          <w:sz w:val="24"/>
          <w:lang w:val="en-US"/>
        </w:rPr>
        <w:t xml:space="preserve">Similarly, </w:t>
      </w:r>
      <w:r w:rsidR="0068062E">
        <w:rPr>
          <w:rFonts w:ascii="Garamond" w:hAnsi="Garamond"/>
          <w:b w:val="0"/>
          <w:sz w:val="24"/>
          <w:lang w:val="en-US"/>
        </w:rPr>
        <w:t xml:space="preserve">in </w:t>
      </w:r>
      <w:r w:rsidRPr="00A32C16">
        <w:rPr>
          <w:rFonts w:ascii="Garamond" w:hAnsi="Garamond"/>
          <w:b w:val="0"/>
          <w:sz w:val="24"/>
          <w:lang w:val="en-US"/>
        </w:rPr>
        <w:t xml:space="preserve">the value of investment, </w:t>
      </w:r>
      <w:r w:rsidR="0068062E">
        <w:rPr>
          <w:rFonts w:ascii="Garamond" w:hAnsi="Garamond"/>
          <w:b w:val="0"/>
          <w:sz w:val="24"/>
          <w:lang w:val="en-US"/>
        </w:rPr>
        <w:t xml:space="preserve">both </w:t>
      </w:r>
      <w:r w:rsidRPr="00A32C16">
        <w:rPr>
          <w:rFonts w:ascii="Garamond" w:hAnsi="Garamond"/>
          <w:b w:val="0"/>
          <w:sz w:val="24"/>
          <w:lang w:val="en-US"/>
        </w:rPr>
        <w:t xml:space="preserve">domestic and foreign, since 2008 to 2010, each percentage </w:t>
      </w:r>
      <w:r w:rsidR="00DB0438">
        <w:rPr>
          <w:rFonts w:ascii="Garamond" w:hAnsi="Garamond"/>
          <w:b w:val="0"/>
          <w:sz w:val="24"/>
          <w:lang w:val="en-US"/>
        </w:rPr>
        <w:t>was</w:t>
      </w:r>
      <w:r w:rsidRPr="00A32C16">
        <w:rPr>
          <w:rFonts w:ascii="Garamond" w:hAnsi="Garamond"/>
          <w:b w:val="0"/>
          <w:sz w:val="24"/>
          <w:lang w:val="en-US"/>
        </w:rPr>
        <w:t xml:space="preserve"> more than 50% located in Java. Although percentage of the number of projects and value of inve</w:t>
      </w:r>
      <w:r w:rsidR="00DB0438">
        <w:rPr>
          <w:rFonts w:ascii="Garamond" w:hAnsi="Garamond"/>
          <w:b w:val="0"/>
          <w:sz w:val="24"/>
          <w:lang w:val="en-US"/>
        </w:rPr>
        <w:t>stment in 2010 had declined, those</w:t>
      </w:r>
      <w:r w:rsidRPr="00A32C16">
        <w:rPr>
          <w:rFonts w:ascii="Garamond" w:hAnsi="Garamond"/>
          <w:b w:val="0"/>
          <w:sz w:val="24"/>
          <w:lang w:val="en-US"/>
        </w:rPr>
        <w:t xml:space="preserve"> number</w:t>
      </w:r>
      <w:r w:rsidR="00DB0438">
        <w:rPr>
          <w:rFonts w:ascii="Garamond" w:hAnsi="Garamond"/>
          <w:b w:val="0"/>
          <w:sz w:val="24"/>
          <w:lang w:val="en-US"/>
        </w:rPr>
        <w:t>s</w:t>
      </w:r>
      <w:r w:rsidRPr="00A32C16">
        <w:rPr>
          <w:rFonts w:ascii="Garamond" w:hAnsi="Garamond"/>
          <w:b w:val="0"/>
          <w:sz w:val="24"/>
          <w:lang w:val="en-US"/>
        </w:rPr>
        <w:t xml:space="preserve"> had risen significantly. The number of </w:t>
      </w:r>
      <w:r w:rsidR="0068062E">
        <w:rPr>
          <w:rFonts w:ascii="Garamond" w:hAnsi="Garamond"/>
          <w:b w:val="0"/>
          <w:sz w:val="24"/>
          <w:lang w:val="en-US"/>
        </w:rPr>
        <w:t>d</w:t>
      </w:r>
      <w:r w:rsidRPr="00A32C16">
        <w:rPr>
          <w:rFonts w:ascii="Garamond" w:hAnsi="Garamond"/>
          <w:b w:val="0"/>
          <w:sz w:val="24"/>
          <w:lang w:val="en-US"/>
        </w:rPr>
        <w:t>omestic direct investment projects in 2010 was 397 projects (of 875 projects in Indonesia)</w:t>
      </w:r>
      <w:r w:rsidR="001D57C4">
        <w:rPr>
          <w:rFonts w:ascii="Garamond" w:hAnsi="Garamond"/>
          <w:b w:val="0"/>
          <w:sz w:val="24"/>
          <w:lang w:val="en-US"/>
        </w:rPr>
        <w:t xml:space="preserve">; it was </w:t>
      </w:r>
      <w:r w:rsidRPr="00A32C16">
        <w:rPr>
          <w:rFonts w:ascii="Garamond" w:hAnsi="Garamond"/>
          <w:b w:val="0"/>
          <w:sz w:val="24"/>
          <w:lang w:val="en-US"/>
        </w:rPr>
        <w:t>only 179 and 174 (of 239 and 248 projects</w:t>
      </w:r>
      <w:r w:rsidR="00C101B7">
        <w:rPr>
          <w:rFonts w:ascii="Garamond" w:hAnsi="Garamond"/>
          <w:b w:val="0"/>
          <w:sz w:val="24"/>
          <w:lang w:val="en-US"/>
        </w:rPr>
        <w:t xml:space="preserve"> in Indonesia</w:t>
      </w:r>
      <w:r w:rsidRPr="00A32C16">
        <w:rPr>
          <w:rFonts w:ascii="Garamond" w:hAnsi="Garamond"/>
          <w:b w:val="0"/>
          <w:sz w:val="24"/>
          <w:lang w:val="en-US"/>
        </w:rPr>
        <w:t>) in 2008 and 2009.</w:t>
      </w:r>
      <w:bookmarkEnd w:id="101"/>
      <w:r w:rsidR="00C101B7">
        <w:rPr>
          <w:rFonts w:ascii="Garamond" w:hAnsi="Garamond"/>
          <w:b w:val="0"/>
          <w:sz w:val="24"/>
          <w:lang w:val="en-US"/>
        </w:rPr>
        <w:t xml:space="preserve"> Of these investment figures</w:t>
      </w:r>
      <w:r w:rsidR="00C101B7" w:rsidRPr="00A32C16">
        <w:rPr>
          <w:rFonts w:ascii="Garamond" w:hAnsi="Garamond"/>
          <w:b w:val="0"/>
          <w:sz w:val="24"/>
          <w:lang w:val="en-US"/>
        </w:rPr>
        <w:t xml:space="preserve">, the value of foreign investments operating in Java was </w:t>
      </w:r>
      <w:r w:rsidR="00C101B7">
        <w:rPr>
          <w:rFonts w:ascii="Garamond" w:hAnsi="Garamond"/>
          <w:b w:val="0"/>
          <w:sz w:val="24"/>
          <w:lang w:val="en-US"/>
        </w:rPr>
        <w:t xml:space="preserve">more than </w:t>
      </w:r>
      <w:r w:rsidR="00C101B7" w:rsidRPr="00A32C16">
        <w:rPr>
          <w:rFonts w:ascii="Garamond" w:hAnsi="Garamond"/>
          <w:b w:val="0"/>
          <w:sz w:val="24"/>
          <w:lang w:val="en-US"/>
        </w:rPr>
        <w:t>70% of the total investment in Indonesia in the period 2008 to 2010</w:t>
      </w:r>
      <w:r w:rsidR="00C101B7" w:rsidRPr="00425021">
        <w:rPr>
          <w:rFonts w:ascii="Garamond" w:hAnsi="Garamond"/>
          <w:b w:val="0"/>
          <w:sz w:val="24"/>
          <w:lang w:val="en-US"/>
        </w:rPr>
        <w:t>.</w:t>
      </w:r>
      <w:r w:rsidR="00C101B7">
        <w:rPr>
          <w:rFonts w:ascii="Garamond" w:hAnsi="Garamond"/>
          <w:b w:val="0"/>
          <w:sz w:val="24"/>
          <w:lang w:val="en-US"/>
        </w:rPr>
        <w:t xml:space="preserve"> </w:t>
      </w:r>
      <w:r w:rsidR="00C101B7">
        <w:rPr>
          <w:rFonts w:ascii="Garamond" w:hAnsi="Garamond"/>
          <w:b w:val="0"/>
          <w:sz w:val="24"/>
        </w:rPr>
        <w:t>It is not surprising</w:t>
      </w:r>
      <w:r w:rsidR="00DB0438">
        <w:rPr>
          <w:rFonts w:ascii="Garamond" w:hAnsi="Garamond"/>
          <w:b w:val="0"/>
          <w:sz w:val="24"/>
        </w:rPr>
        <w:t>,</w:t>
      </w:r>
      <w:r w:rsidR="00C101B7">
        <w:rPr>
          <w:rFonts w:ascii="Garamond" w:hAnsi="Garamond"/>
          <w:b w:val="0"/>
          <w:sz w:val="24"/>
        </w:rPr>
        <w:t xml:space="preserve"> </w:t>
      </w:r>
      <w:r w:rsidR="00C101B7" w:rsidRPr="00425021">
        <w:rPr>
          <w:rFonts w:ascii="Garamond" w:hAnsi="Garamond"/>
          <w:b w:val="0"/>
          <w:sz w:val="24"/>
        </w:rPr>
        <w:t>in 2009</w:t>
      </w:r>
      <w:r w:rsidR="00C101B7">
        <w:rPr>
          <w:rFonts w:ascii="Garamond" w:hAnsi="Garamond"/>
          <w:b w:val="0"/>
          <w:sz w:val="24"/>
        </w:rPr>
        <w:t xml:space="preserve">, 95% of </w:t>
      </w:r>
      <w:r w:rsidR="00C101B7" w:rsidRPr="00FF7235">
        <w:rPr>
          <w:rFonts w:ascii="Garamond" w:hAnsi="Garamond"/>
          <w:b w:val="0"/>
          <w:sz w:val="24"/>
        </w:rPr>
        <w:t xml:space="preserve">the </w:t>
      </w:r>
      <w:r w:rsidR="00C101B7">
        <w:rPr>
          <w:rFonts w:ascii="Garamond" w:hAnsi="Garamond"/>
          <w:b w:val="0"/>
          <w:sz w:val="24"/>
        </w:rPr>
        <w:t xml:space="preserve">total </w:t>
      </w:r>
      <w:r w:rsidR="00C101B7" w:rsidRPr="00FF7235">
        <w:rPr>
          <w:rFonts w:ascii="Garamond" w:hAnsi="Garamond"/>
          <w:b w:val="0"/>
          <w:sz w:val="24"/>
        </w:rPr>
        <w:t xml:space="preserve">value </w:t>
      </w:r>
      <w:r w:rsidR="00C101B7">
        <w:rPr>
          <w:rFonts w:ascii="Garamond" w:hAnsi="Garamond"/>
          <w:b w:val="0"/>
          <w:sz w:val="24"/>
        </w:rPr>
        <w:t xml:space="preserve">of foreign investment </w:t>
      </w:r>
      <w:r w:rsidR="00C101B7" w:rsidRPr="00FF7235">
        <w:rPr>
          <w:rFonts w:ascii="Garamond" w:hAnsi="Garamond"/>
          <w:b w:val="0"/>
          <w:sz w:val="24"/>
        </w:rPr>
        <w:t xml:space="preserve">was </w:t>
      </w:r>
      <w:r w:rsidR="00C101B7">
        <w:rPr>
          <w:rFonts w:ascii="Garamond" w:hAnsi="Garamond"/>
          <w:b w:val="0"/>
          <w:sz w:val="24"/>
        </w:rPr>
        <w:t xml:space="preserve">recorded </w:t>
      </w:r>
      <w:r w:rsidR="00C101B7" w:rsidRPr="00FF7235">
        <w:rPr>
          <w:rFonts w:ascii="Garamond" w:hAnsi="Garamond"/>
          <w:b w:val="0"/>
          <w:sz w:val="24"/>
        </w:rPr>
        <w:t xml:space="preserve">operated in Java. It was caused by economic crises in developed countries that resulted </w:t>
      </w:r>
      <w:r w:rsidR="00C101B7">
        <w:rPr>
          <w:rFonts w:ascii="Garamond" w:hAnsi="Garamond"/>
          <w:b w:val="0"/>
          <w:sz w:val="24"/>
        </w:rPr>
        <w:t xml:space="preserve">many investments in other islands, primarily on the </w:t>
      </w:r>
      <w:r w:rsidR="00C101B7" w:rsidRPr="00FF7235">
        <w:rPr>
          <w:rFonts w:ascii="Garamond" w:hAnsi="Garamond"/>
          <w:b w:val="0"/>
          <w:sz w:val="24"/>
        </w:rPr>
        <w:t>mining and plantation sectors</w:t>
      </w:r>
      <w:r w:rsidR="00C101B7">
        <w:rPr>
          <w:rFonts w:ascii="Garamond" w:hAnsi="Garamond"/>
          <w:b w:val="0"/>
          <w:sz w:val="24"/>
        </w:rPr>
        <w:t>,</w:t>
      </w:r>
      <w:r w:rsidR="00C101B7" w:rsidRPr="00FF7235">
        <w:rPr>
          <w:rFonts w:ascii="Garamond" w:hAnsi="Garamond"/>
          <w:b w:val="0"/>
          <w:sz w:val="24"/>
        </w:rPr>
        <w:t xml:space="preserve"> has </w:t>
      </w:r>
      <w:r w:rsidR="00C101B7">
        <w:rPr>
          <w:rFonts w:ascii="Garamond" w:hAnsi="Garamond"/>
          <w:b w:val="0"/>
          <w:sz w:val="24"/>
        </w:rPr>
        <w:t>reduced</w:t>
      </w:r>
      <w:r w:rsidR="00C101B7" w:rsidRPr="00FF7235">
        <w:rPr>
          <w:rFonts w:ascii="Garamond" w:hAnsi="Garamond"/>
          <w:b w:val="0"/>
          <w:sz w:val="24"/>
        </w:rPr>
        <w:t>.</w:t>
      </w:r>
    </w:p>
    <w:p w:rsidR="00DC769D" w:rsidRDefault="00DC769D" w:rsidP="00071A0A">
      <w:pPr>
        <w:pStyle w:val="Caption"/>
        <w:spacing w:before="240"/>
      </w:pPr>
      <w:bookmarkStart w:id="102" w:name="_Toc340133882"/>
      <w:bookmarkStart w:id="103" w:name="_Toc340654627"/>
      <w:r>
        <w:t>Table 3.</w:t>
      </w:r>
      <w:fldSimple w:instr=" SEQ Table \* ARABIC ">
        <w:r>
          <w:rPr>
            <w:noProof/>
          </w:rPr>
          <w:t>6</w:t>
        </w:r>
      </w:fldSimple>
      <w:r>
        <w:t>.</w:t>
      </w:r>
      <w:r>
        <w:br/>
      </w:r>
      <w:r w:rsidRPr="007570C5">
        <w:t xml:space="preserve"> </w:t>
      </w:r>
      <w:r w:rsidRPr="007E41C0">
        <w:t>Investment in Java, 2008-2010</w:t>
      </w:r>
      <w:bookmarkEnd w:id="102"/>
      <w:bookmarkEnd w:id="103"/>
    </w:p>
    <w:tbl>
      <w:tblPr>
        <w:tblW w:w="84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7"/>
        <w:gridCol w:w="904"/>
        <w:gridCol w:w="917"/>
        <w:gridCol w:w="938"/>
        <w:gridCol w:w="917"/>
        <w:gridCol w:w="1079"/>
        <w:gridCol w:w="988"/>
      </w:tblGrid>
      <w:tr w:rsidR="00912844" w:rsidRPr="00A32C16" w:rsidTr="00D75BEB">
        <w:tc>
          <w:tcPr>
            <w:tcW w:w="2717" w:type="dxa"/>
            <w:vMerge w:val="restart"/>
            <w:vAlign w:val="center"/>
          </w:tcPr>
          <w:p w:rsidR="00912844" w:rsidRPr="00E13B0A" w:rsidRDefault="00912844" w:rsidP="00BA362D">
            <w:pPr>
              <w:pStyle w:val="tablesourcenote0"/>
              <w:jc w:val="center"/>
              <w:rPr>
                <w:rFonts w:cs="Arial"/>
                <w:b/>
                <w:sz w:val="18"/>
                <w:szCs w:val="18"/>
                <w:lang w:val="en-US"/>
              </w:rPr>
            </w:pPr>
            <w:r w:rsidRPr="00E13B0A">
              <w:rPr>
                <w:rFonts w:cs="Arial"/>
                <w:b/>
                <w:sz w:val="18"/>
                <w:szCs w:val="18"/>
                <w:lang w:val="en-US"/>
              </w:rPr>
              <w:t>Origin of Investment</w:t>
            </w:r>
          </w:p>
        </w:tc>
        <w:tc>
          <w:tcPr>
            <w:tcW w:w="1821" w:type="dxa"/>
            <w:gridSpan w:val="2"/>
            <w:vAlign w:val="center"/>
          </w:tcPr>
          <w:p w:rsidR="00912844" w:rsidRPr="00A32C16" w:rsidRDefault="00912844" w:rsidP="00BA362D">
            <w:pPr>
              <w:pStyle w:val="tablesourcenote0"/>
              <w:jc w:val="center"/>
              <w:rPr>
                <w:rFonts w:cs="Arial"/>
                <w:b/>
                <w:sz w:val="18"/>
                <w:szCs w:val="18"/>
                <w:lang w:val="en-US"/>
              </w:rPr>
            </w:pPr>
            <w:r w:rsidRPr="00A32C16">
              <w:rPr>
                <w:rFonts w:cs="Arial"/>
                <w:b/>
                <w:sz w:val="18"/>
                <w:szCs w:val="18"/>
                <w:lang w:val="en-US"/>
              </w:rPr>
              <w:t>2008</w:t>
            </w:r>
          </w:p>
        </w:tc>
        <w:tc>
          <w:tcPr>
            <w:tcW w:w="1855" w:type="dxa"/>
            <w:gridSpan w:val="2"/>
            <w:vAlign w:val="center"/>
          </w:tcPr>
          <w:p w:rsidR="00912844" w:rsidRPr="00A32C16" w:rsidRDefault="00912844" w:rsidP="00BA362D">
            <w:pPr>
              <w:pStyle w:val="tablesourcenote0"/>
              <w:jc w:val="center"/>
              <w:rPr>
                <w:rFonts w:cs="Arial"/>
                <w:b/>
                <w:sz w:val="18"/>
                <w:szCs w:val="18"/>
                <w:lang w:val="en-US"/>
              </w:rPr>
            </w:pPr>
            <w:r w:rsidRPr="00A32C16">
              <w:rPr>
                <w:rFonts w:cs="Arial"/>
                <w:b/>
                <w:sz w:val="18"/>
                <w:szCs w:val="18"/>
                <w:lang w:val="en-US"/>
              </w:rPr>
              <w:t>2009</w:t>
            </w:r>
          </w:p>
        </w:tc>
        <w:tc>
          <w:tcPr>
            <w:tcW w:w="2067" w:type="dxa"/>
            <w:gridSpan w:val="2"/>
            <w:vAlign w:val="center"/>
          </w:tcPr>
          <w:p w:rsidR="00912844" w:rsidRPr="00A32C16" w:rsidRDefault="00912844" w:rsidP="00BA362D">
            <w:pPr>
              <w:pStyle w:val="tablesourcenote0"/>
              <w:jc w:val="center"/>
              <w:rPr>
                <w:rFonts w:cs="Arial"/>
                <w:b/>
                <w:sz w:val="18"/>
                <w:szCs w:val="18"/>
                <w:lang w:val="en-US"/>
              </w:rPr>
            </w:pPr>
            <w:r w:rsidRPr="00A32C16">
              <w:rPr>
                <w:rFonts w:cs="Arial"/>
                <w:b/>
                <w:sz w:val="18"/>
                <w:szCs w:val="18"/>
                <w:lang w:val="en-US"/>
              </w:rPr>
              <w:t>2010</w:t>
            </w:r>
          </w:p>
        </w:tc>
      </w:tr>
      <w:tr w:rsidR="00912844" w:rsidRPr="00A32C16" w:rsidTr="00D75BEB">
        <w:tc>
          <w:tcPr>
            <w:tcW w:w="2717" w:type="dxa"/>
            <w:vMerge/>
            <w:vAlign w:val="center"/>
          </w:tcPr>
          <w:p w:rsidR="00912844" w:rsidRPr="00A32C16" w:rsidRDefault="00912844" w:rsidP="00BA362D">
            <w:pPr>
              <w:pStyle w:val="tablesourcenote0"/>
              <w:rPr>
                <w:rFonts w:cs="Arial"/>
                <w:sz w:val="18"/>
                <w:szCs w:val="18"/>
                <w:lang w:val="en-US"/>
              </w:rPr>
            </w:pPr>
          </w:p>
        </w:tc>
        <w:tc>
          <w:tcPr>
            <w:tcW w:w="904" w:type="dxa"/>
            <w:vAlign w:val="center"/>
          </w:tcPr>
          <w:p w:rsidR="00912844" w:rsidRPr="00A32C16" w:rsidRDefault="00912844" w:rsidP="00BA362D">
            <w:pPr>
              <w:pStyle w:val="tablesourcenote0"/>
              <w:jc w:val="center"/>
              <w:rPr>
                <w:rFonts w:cs="Arial"/>
                <w:b/>
                <w:sz w:val="18"/>
                <w:szCs w:val="18"/>
                <w:lang w:val="en-US"/>
              </w:rPr>
            </w:pPr>
            <w:r w:rsidRPr="00A32C16">
              <w:rPr>
                <w:rFonts w:cs="Arial"/>
                <w:sz w:val="18"/>
                <w:szCs w:val="18"/>
                <w:lang w:val="en-US"/>
              </w:rPr>
              <w:t>Projects</w:t>
            </w:r>
          </w:p>
        </w:tc>
        <w:tc>
          <w:tcPr>
            <w:tcW w:w="917" w:type="dxa"/>
            <w:vAlign w:val="center"/>
          </w:tcPr>
          <w:p w:rsidR="00912844" w:rsidRPr="00A32C16" w:rsidRDefault="00912844" w:rsidP="00BA362D">
            <w:pPr>
              <w:pStyle w:val="tablesourcenote0"/>
              <w:jc w:val="center"/>
              <w:rPr>
                <w:rFonts w:cs="Arial"/>
                <w:b/>
                <w:sz w:val="18"/>
                <w:szCs w:val="18"/>
                <w:lang w:val="en-US"/>
              </w:rPr>
            </w:pPr>
            <w:r w:rsidRPr="00A32C16">
              <w:rPr>
                <w:rFonts w:cs="Arial"/>
                <w:sz w:val="18"/>
                <w:szCs w:val="18"/>
                <w:lang w:val="en-US"/>
              </w:rPr>
              <w:t xml:space="preserve">Value </w:t>
            </w:r>
          </w:p>
        </w:tc>
        <w:tc>
          <w:tcPr>
            <w:tcW w:w="938" w:type="dxa"/>
            <w:vAlign w:val="center"/>
          </w:tcPr>
          <w:p w:rsidR="00912844" w:rsidRPr="00A32C16" w:rsidRDefault="00912844" w:rsidP="00BA362D">
            <w:pPr>
              <w:pStyle w:val="tablesourcenote0"/>
              <w:jc w:val="center"/>
              <w:rPr>
                <w:rFonts w:cs="Arial"/>
                <w:b/>
                <w:sz w:val="18"/>
                <w:szCs w:val="18"/>
                <w:lang w:val="en-US"/>
              </w:rPr>
            </w:pPr>
            <w:r w:rsidRPr="00A32C16">
              <w:rPr>
                <w:rFonts w:cs="Arial"/>
                <w:sz w:val="18"/>
                <w:szCs w:val="18"/>
                <w:lang w:val="en-US"/>
              </w:rPr>
              <w:t>Projects</w:t>
            </w:r>
          </w:p>
        </w:tc>
        <w:tc>
          <w:tcPr>
            <w:tcW w:w="917" w:type="dxa"/>
            <w:vAlign w:val="center"/>
          </w:tcPr>
          <w:p w:rsidR="00912844" w:rsidRPr="00A32C16" w:rsidRDefault="00912844" w:rsidP="00BA362D">
            <w:pPr>
              <w:pStyle w:val="tablesourcenote0"/>
              <w:jc w:val="center"/>
              <w:rPr>
                <w:rFonts w:cs="Arial"/>
                <w:b/>
                <w:sz w:val="18"/>
                <w:szCs w:val="18"/>
                <w:lang w:val="en-US"/>
              </w:rPr>
            </w:pPr>
            <w:r w:rsidRPr="00A32C16">
              <w:rPr>
                <w:rFonts w:cs="Arial"/>
                <w:sz w:val="18"/>
                <w:szCs w:val="18"/>
                <w:lang w:val="en-US"/>
              </w:rPr>
              <w:t xml:space="preserve">Value </w:t>
            </w:r>
          </w:p>
        </w:tc>
        <w:tc>
          <w:tcPr>
            <w:tcW w:w="1079" w:type="dxa"/>
            <w:vAlign w:val="center"/>
          </w:tcPr>
          <w:p w:rsidR="00912844" w:rsidRPr="00A32C16" w:rsidRDefault="00912844" w:rsidP="00BA362D">
            <w:pPr>
              <w:pStyle w:val="tablesourcenote0"/>
              <w:jc w:val="center"/>
              <w:rPr>
                <w:rFonts w:cs="Arial"/>
                <w:b/>
                <w:sz w:val="18"/>
                <w:szCs w:val="18"/>
                <w:lang w:val="en-US"/>
              </w:rPr>
            </w:pPr>
            <w:r w:rsidRPr="00A32C16">
              <w:rPr>
                <w:rFonts w:cs="Arial"/>
                <w:sz w:val="18"/>
                <w:szCs w:val="18"/>
                <w:lang w:val="en-US"/>
              </w:rPr>
              <w:t>Projects</w:t>
            </w:r>
          </w:p>
        </w:tc>
        <w:tc>
          <w:tcPr>
            <w:tcW w:w="988" w:type="dxa"/>
            <w:vAlign w:val="center"/>
          </w:tcPr>
          <w:p w:rsidR="00912844" w:rsidRPr="00A32C16" w:rsidRDefault="00912844" w:rsidP="00BA362D">
            <w:pPr>
              <w:pStyle w:val="tablesourcenote0"/>
              <w:jc w:val="center"/>
              <w:rPr>
                <w:rFonts w:cs="Arial"/>
                <w:b/>
                <w:sz w:val="18"/>
                <w:szCs w:val="18"/>
                <w:lang w:val="en-US"/>
              </w:rPr>
            </w:pPr>
            <w:r w:rsidRPr="00A32C16">
              <w:rPr>
                <w:rFonts w:cs="Arial"/>
                <w:sz w:val="18"/>
                <w:szCs w:val="18"/>
                <w:lang w:val="en-US"/>
              </w:rPr>
              <w:t xml:space="preserve">Value </w:t>
            </w:r>
          </w:p>
        </w:tc>
      </w:tr>
      <w:tr w:rsidR="00912844" w:rsidRPr="00912844" w:rsidTr="00D75BEB">
        <w:tc>
          <w:tcPr>
            <w:tcW w:w="2717" w:type="dxa"/>
            <w:vAlign w:val="center"/>
          </w:tcPr>
          <w:p w:rsidR="00912844" w:rsidRPr="00912844" w:rsidRDefault="00912844" w:rsidP="00BA362D">
            <w:pPr>
              <w:pStyle w:val="tablesourcenote0"/>
              <w:rPr>
                <w:rFonts w:cs="Arial"/>
                <w:sz w:val="18"/>
                <w:szCs w:val="18"/>
                <w:lang w:val="en-US"/>
              </w:rPr>
            </w:pPr>
            <w:r w:rsidRPr="00912844">
              <w:rPr>
                <w:rFonts w:cs="Arial"/>
                <w:sz w:val="18"/>
                <w:szCs w:val="18"/>
                <w:lang w:val="en-US"/>
              </w:rPr>
              <w:t>Domestic</w:t>
            </w:r>
            <w:r w:rsidRPr="00912844">
              <w:rPr>
                <w:rFonts w:cs="Arial"/>
                <w:lang w:val="en-US"/>
              </w:rPr>
              <w:t>(</w:t>
            </w:r>
            <w:r w:rsidRPr="00912844">
              <w:rPr>
                <w:rFonts w:cs="Arial"/>
                <w:i/>
                <w:lang w:val="en-US"/>
              </w:rPr>
              <w:t>value in Billion Rupiah</w:t>
            </w:r>
            <w:r w:rsidRPr="00912844">
              <w:rPr>
                <w:rFonts w:cs="Arial"/>
                <w:lang w:val="en-US"/>
              </w:rPr>
              <w:t>)</w:t>
            </w:r>
          </w:p>
        </w:tc>
        <w:tc>
          <w:tcPr>
            <w:tcW w:w="904" w:type="dxa"/>
            <w:vAlign w:val="center"/>
          </w:tcPr>
          <w:p w:rsidR="00912844" w:rsidRPr="00912844" w:rsidRDefault="00912844" w:rsidP="00BA362D">
            <w:pPr>
              <w:pStyle w:val="tablesourcenote0"/>
              <w:jc w:val="center"/>
              <w:rPr>
                <w:rFonts w:cs="Arial"/>
                <w:sz w:val="18"/>
                <w:szCs w:val="18"/>
                <w:lang w:val="en-US"/>
              </w:rPr>
            </w:pPr>
            <w:r w:rsidRPr="00912844">
              <w:rPr>
                <w:rFonts w:cs="Arial"/>
                <w:sz w:val="18"/>
                <w:szCs w:val="18"/>
                <w:lang w:val="en-US"/>
              </w:rPr>
              <w:t>183</w:t>
            </w:r>
          </w:p>
        </w:tc>
        <w:tc>
          <w:tcPr>
            <w:tcW w:w="917" w:type="dxa"/>
            <w:vAlign w:val="center"/>
          </w:tcPr>
          <w:p w:rsidR="00912844" w:rsidRPr="00912844" w:rsidRDefault="00912844" w:rsidP="00BA362D">
            <w:pPr>
              <w:pStyle w:val="tablesourcenote0"/>
              <w:jc w:val="center"/>
              <w:rPr>
                <w:rFonts w:cs="Arial"/>
                <w:sz w:val="18"/>
                <w:szCs w:val="18"/>
                <w:lang w:val="en-US"/>
              </w:rPr>
            </w:pPr>
            <w:r w:rsidRPr="00912844">
              <w:rPr>
                <w:rFonts w:cs="Arial"/>
                <w:sz w:val="18"/>
                <w:szCs w:val="18"/>
                <w:lang w:val="en-US"/>
              </w:rPr>
              <w:t>12,230.5</w:t>
            </w:r>
          </w:p>
        </w:tc>
        <w:tc>
          <w:tcPr>
            <w:tcW w:w="938" w:type="dxa"/>
            <w:vAlign w:val="center"/>
          </w:tcPr>
          <w:p w:rsidR="00912844" w:rsidRPr="00912844" w:rsidRDefault="00912844" w:rsidP="00BA362D">
            <w:pPr>
              <w:pStyle w:val="tablesourcenote0"/>
              <w:jc w:val="center"/>
              <w:rPr>
                <w:rFonts w:cs="Arial"/>
                <w:sz w:val="18"/>
                <w:szCs w:val="18"/>
                <w:lang w:val="en-US"/>
              </w:rPr>
            </w:pPr>
            <w:r w:rsidRPr="00912844">
              <w:rPr>
                <w:rFonts w:cs="Arial"/>
                <w:sz w:val="18"/>
                <w:szCs w:val="18"/>
                <w:lang w:val="en-US"/>
              </w:rPr>
              <w:t>174</w:t>
            </w:r>
          </w:p>
        </w:tc>
        <w:tc>
          <w:tcPr>
            <w:tcW w:w="917" w:type="dxa"/>
            <w:vAlign w:val="center"/>
          </w:tcPr>
          <w:p w:rsidR="00912844" w:rsidRPr="00912844" w:rsidRDefault="00912844" w:rsidP="00BA362D">
            <w:pPr>
              <w:pStyle w:val="tablesourcenote0"/>
              <w:jc w:val="center"/>
              <w:rPr>
                <w:rFonts w:cs="Arial"/>
                <w:sz w:val="18"/>
                <w:szCs w:val="18"/>
                <w:lang w:val="en-US"/>
              </w:rPr>
            </w:pPr>
            <w:r w:rsidRPr="00912844">
              <w:rPr>
                <w:rFonts w:cs="Arial"/>
                <w:sz w:val="18"/>
                <w:szCs w:val="18"/>
                <w:lang w:val="en-US"/>
              </w:rPr>
              <w:t>25,766.6</w:t>
            </w:r>
          </w:p>
        </w:tc>
        <w:tc>
          <w:tcPr>
            <w:tcW w:w="1079" w:type="dxa"/>
            <w:vAlign w:val="center"/>
          </w:tcPr>
          <w:p w:rsidR="00912844" w:rsidRPr="00912844" w:rsidRDefault="00912844" w:rsidP="00BA362D">
            <w:pPr>
              <w:pStyle w:val="tablesourcenote0"/>
              <w:jc w:val="center"/>
              <w:rPr>
                <w:rFonts w:cs="Arial"/>
                <w:sz w:val="18"/>
                <w:szCs w:val="18"/>
                <w:lang w:val="en-US"/>
              </w:rPr>
            </w:pPr>
            <w:r w:rsidRPr="00912844">
              <w:rPr>
                <w:rFonts w:cs="Arial"/>
                <w:sz w:val="18"/>
                <w:szCs w:val="18"/>
                <w:lang w:val="en-US"/>
              </w:rPr>
              <w:t>397</w:t>
            </w:r>
          </w:p>
        </w:tc>
        <w:tc>
          <w:tcPr>
            <w:tcW w:w="988" w:type="dxa"/>
            <w:vAlign w:val="center"/>
          </w:tcPr>
          <w:p w:rsidR="00912844" w:rsidRPr="00912844" w:rsidRDefault="00912844" w:rsidP="00BA362D">
            <w:pPr>
              <w:pStyle w:val="tablesourcenote0"/>
              <w:jc w:val="center"/>
              <w:rPr>
                <w:rFonts w:cs="Arial"/>
                <w:sz w:val="18"/>
                <w:szCs w:val="18"/>
                <w:lang w:val="en-US"/>
              </w:rPr>
            </w:pPr>
            <w:r w:rsidRPr="00912844">
              <w:rPr>
                <w:rFonts w:cs="Arial"/>
                <w:sz w:val="18"/>
                <w:szCs w:val="18"/>
                <w:lang w:val="en-US"/>
              </w:rPr>
              <w:t>35,136.4</w:t>
            </w:r>
          </w:p>
        </w:tc>
      </w:tr>
      <w:tr w:rsidR="00912844" w:rsidRPr="00A32C16" w:rsidTr="00D75BEB">
        <w:tc>
          <w:tcPr>
            <w:tcW w:w="2717" w:type="dxa"/>
            <w:vAlign w:val="center"/>
          </w:tcPr>
          <w:p w:rsidR="00912844" w:rsidRPr="00A32C16" w:rsidRDefault="00912844" w:rsidP="00BA362D">
            <w:pPr>
              <w:pStyle w:val="tablesourcenote0"/>
              <w:rPr>
                <w:rFonts w:cs="Arial"/>
                <w:sz w:val="18"/>
                <w:szCs w:val="18"/>
                <w:lang w:val="en-US"/>
              </w:rPr>
            </w:pPr>
            <w:r>
              <w:rPr>
                <w:rFonts w:cs="Arial"/>
                <w:sz w:val="18"/>
                <w:szCs w:val="18"/>
                <w:lang w:val="en-US"/>
              </w:rPr>
              <w:t>Foreign</w:t>
            </w:r>
            <w:r w:rsidRPr="0079577C">
              <w:rPr>
                <w:rFonts w:cs="Arial"/>
                <w:lang w:val="en-US"/>
              </w:rPr>
              <w:t>(</w:t>
            </w:r>
            <w:r w:rsidRPr="0079577C">
              <w:rPr>
                <w:rFonts w:cs="Arial"/>
                <w:i/>
                <w:lang w:val="en-US"/>
              </w:rPr>
              <w:t>value in Million USD</w:t>
            </w:r>
            <w:r w:rsidRPr="0079577C">
              <w:rPr>
                <w:rFonts w:cs="Arial"/>
                <w:lang w:val="en-US"/>
              </w:rPr>
              <w:t>)</w:t>
            </w:r>
          </w:p>
        </w:tc>
        <w:tc>
          <w:tcPr>
            <w:tcW w:w="904" w:type="dxa"/>
            <w:vAlign w:val="center"/>
          </w:tcPr>
          <w:p w:rsidR="00912844" w:rsidRPr="00A32C16" w:rsidRDefault="00912844" w:rsidP="00BA362D">
            <w:pPr>
              <w:pStyle w:val="tablesourcenote0"/>
              <w:jc w:val="center"/>
              <w:rPr>
                <w:rFonts w:cs="Arial"/>
                <w:sz w:val="18"/>
                <w:szCs w:val="18"/>
                <w:lang w:val="en-US"/>
              </w:rPr>
            </w:pPr>
            <w:r>
              <w:rPr>
                <w:rFonts w:cs="Arial"/>
                <w:sz w:val="18"/>
                <w:szCs w:val="18"/>
                <w:lang w:val="en-US"/>
              </w:rPr>
              <w:t>947</w:t>
            </w:r>
          </w:p>
        </w:tc>
        <w:tc>
          <w:tcPr>
            <w:tcW w:w="917" w:type="dxa"/>
            <w:vAlign w:val="center"/>
          </w:tcPr>
          <w:p w:rsidR="00912844" w:rsidRPr="00A32C16" w:rsidRDefault="00912844" w:rsidP="00BA362D">
            <w:pPr>
              <w:pStyle w:val="tablesourcenote0"/>
              <w:jc w:val="center"/>
              <w:rPr>
                <w:rFonts w:cs="Arial"/>
                <w:sz w:val="18"/>
                <w:szCs w:val="18"/>
                <w:lang w:val="en-US"/>
              </w:rPr>
            </w:pPr>
            <w:r>
              <w:rPr>
                <w:rFonts w:cs="Arial"/>
                <w:sz w:val="18"/>
                <w:szCs w:val="18"/>
                <w:lang w:val="en-US"/>
              </w:rPr>
              <w:t>14,871.4</w:t>
            </w:r>
          </w:p>
        </w:tc>
        <w:tc>
          <w:tcPr>
            <w:tcW w:w="938" w:type="dxa"/>
            <w:vAlign w:val="center"/>
          </w:tcPr>
          <w:p w:rsidR="00912844" w:rsidRPr="00A32C16" w:rsidRDefault="00912844" w:rsidP="00BA362D">
            <w:pPr>
              <w:pStyle w:val="tablesourcenote0"/>
              <w:jc w:val="center"/>
              <w:rPr>
                <w:rFonts w:cs="Arial"/>
                <w:sz w:val="18"/>
                <w:szCs w:val="18"/>
                <w:lang w:val="en-US"/>
              </w:rPr>
            </w:pPr>
            <w:r>
              <w:rPr>
                <w:rFonts w:cs="Arial"/>
                <w:sz w:val="18"/>
                <w:szCs w:val="18"/>
                <w:lang w:val="en-US"/>
              </w:rPr>
              <w:t>946</w:t>
            </w:r>
          </w:p>
        </w:tc>
        <w:tc>
          <w:tcPr>
            <w:tcW w:w="917" w:type="dxa"/>
            <w:vAlign w:val="center"/>
          </w:tcPr>
          <w:p w:rsidR="00912844" w:rsidRPr="00A32C16" w:rsidRDefault="00912844" w:rsidP="00BA362D">
            <w:pPr>
              <w:pStyle w:val="tablesourcenote0"/>
              <w:jc w:val="center"/>
              <w:rPr>
                <w:rFonts w:cs="Arial"/>
                <w:sz w:val="18"/>
                <w:szCs w:val="18"/>
                <w:lang w:val="en-US"/>
              </w:rPr>
            </w:pPr>
            <w:r>
              <w:rPr>
                <w:rFonts w:cs="Arial"/>
                <w:sz w:val="18"/>
                <w:szCs w:val="18"/>
                <w:lang w:val="en-US"/>
              </w:rPr>
              <w:t>9,370.5</w:t>
            </w:r>
          </w:p>
        </w:tc>
        <w:tc>
          <w:tcPr>
            <w:tcW w:w="1079" w:type="dxa"/>
            <w:vAlign w:val="center"/>
          </w:tcPr>
          <w:p w:rsidR="00912844" w:rsidRPr="00A32C16" w:rsidRDefault="00912844" w:rsidP="00BA362D">
            <w:pPr>
              <w:pStyle w:val="tablesourcenote0"/>
              <w:jc w:val="center"/>
              <w:rPr>
                <w:rFonts w:cs="Arial"/>
                <w:sz w:val="18"/>
                <w:szCs w:val="18"/>
                <w:lang w:val="en-US"/>
              </w:rPr>
            </w:pPr>
            <w:r>
              <w:rPr>
                <w:rFonts w:cs="Arial"/>
                <w:sz w:val="18"/>
                <w:szCs w:val="18"/>
                <w:lang w:val="en-US"/>
              </w:rPr>
              <w:t>1,976</w:t>
            </w:r>
          </w:p>
        </w:tc>
        <w:tc>
          <w:tcPr>
            <w:tcW w:w="988" w:type="dxa"/>
            <w:vAlign w:val="center"/>
          </w:tcPr>
          <w:p w:rsidR="00912844" w:rsidRPr="00A32C16" w:rsidRDefault="00912844" w:rsidP="00BA362D">
            <w:pPr>
              <w:pStyle w:val="tablesourcenote0"/>
              <w:jc w:val="center"/>
              <w:rPr>
                <w:rFonts w:cs="Arial"/>
                <w:sz w:val="18"/>
                <w:szCs w:val="18"/>
                <w:lang w:val="en-US"/>
              </w:rPr>
            </w:pPr>
            <w:r>
              <w:rPr>
                <w:rFonts w:cs="Arial"/>
                <w:sz w:val="18"/>
                <w:szCs w:val="18"/>
                <w:lang w:val="en-US"/>
              </w:rPr>
              <w:t>11,498.7</w:t>
            </w:r>
          </w:p>
        </w:tc>
      </w:tr>
    </w:tbl>
    <w:p w:rsidR="00DC769D" w:rsidRPr="00D34CE3" w:rsidRDefault="00DC769D" w:rsidP="00DC769D">
      <w:pPr>
        <w:pStyle w:val="tablesourcenote0"/>
      </w:pPr>
      <w:r w:rsidRPr="00D34CE3">
        <w:rPr>
          <w:i/>
        </w:rPr>
        <w:t>Source:</w:t>
      </w:r>
      <w:r w:rsidRPr="00D34CE3">
        <w:t xml:space="preserve"> </w:t>
      </w:r>
      <w:r w:rsidRPr="00A32C16">
        <w:rPr>
          <w:i/>
          <w:lang w:val="en-US"/>
        </w:rPr>
        <w:t>Statistical Yearbook of Indonesia 2011, Table 11.2.2. and 11.2.4.</w:t>
      </w:r>
      <w:sdt>
        <w:sdtPr>
          <w:rPr>
            <w:i/>
            <w:lang w:val="en-US"/>
          </w:rPr>
          <w:id w:val="5033456"/>
          <w:citation/>
        </w:sdtPr>
        <w:sdtContent>
          <w:r w:rsidR="00476E26">
            <w:rPr>
              <w:i/>
              <w:lang w:val="en-US"/>
            </w:rPr>
            <w:fldChar w:fldCharType="begin"/>
          </w:r>
          <w:r w:rsidR="00DA19AF">
            <w:rPr>
              <w:i/>
              <w:lang w:val="en-US"/>
            </w:rPr>
            <w:instrText xml:space="preserve"> CITATION Sta12 \p 390-392 \n  \y  \t  \l 1033  </w:instrText>
          </w:r>
          <w:r w:rsidR="00476E26">
            <w:rPr>
              <w:i/>
              <w:lang w:val="en-US"/>
            </w:rPr>
            <w:fldChar w:fldCharType="separate"/>
          </w:r>
          <w:r w:rsidR="00DA19AF">
            <w:rPr>
              <w:i/>
              <w:noProof/>
              <w:lang w:val="en-US"/>
            </w:rPr>
            <w:t xml:space="preserve"> </w:t>
          </w:r>
          <w:r w:rsidR="00DA19AF" w:rsidRPr="00DA19AF">
            <w:rPr>
              <w:noProof/>
              <w:lang w:val="en-US"/>
            </w:rPr>
            <w:t>(pp. 390-392)</w:t>
          </w:r>
          <w:r w:rsidR="00476E26">
            <w:rPr>
              <w:i/>
              <w:lang w:val="en-US"/>
            </w:rPr>
            <w:fldChar w:fldCharType="end"/>
          </w:r>
        </w:sdtContent>
      </w:sdt>
      <w:r w:rsidRPr="00A32C16">
        <w:rPr>
          <w:i/>
          <w:lang w:val="en-US"/>
        </w:rPr>
        <w:t xml:space="preserve"> </w:t>
      </w:r>
    </w:p>
    <w:p w:rsidR="00DC769D" w:rsidRDefault="00DC769D" w:rsidP="00DC769D">
      <w:pPr>
        <w:pStyle w:val="Maptitle"/>
        <w:spacing w:after="100"/>
        <w:jc w:val="both"/>
        <w:rPr>
          <w:rFonts w:ascii="Garamond" w:hAnsi="Garamond"/>
          <w:b w:val="0"/>
          <w:sz w:val="24"/>
          <w:lang w:val="en-US"/>
        </w:rPr>
      </w:pPr>
    </w:p>
    <w:p w:rsidR="00DC769D" w:rsidRDefault="00DA19AF" w:rsidP="00DC769D">
      <w:pPr>
        <w:pStyle w:val="Maptitle"/>
        <w:spacing w:after="100"/>
        <w:ind w:firstLine="432"/>
        <w:jc w:val="both"/>
        <w:rPr>
          <w:rFonts w:ascii="Garamond" w:hAnsi="Garamond"/>
          <w:b w:val="0"/>
          <w:sz w:val="24"/>
          <w:lang w:val="en-US"/>
        </w:rPr>
      </w:pPr>
      <w:r w:rsidRPr="00DA19AF">
        <w:rPr>
          <w:rFonts w:ascii="Garamond" w:hAnsi="Garamond"/>
          <w:b w:val="0"/>
          <w:sz w:val="24"/>
        </w:rPr>
        <w:t xml:space="preserve">Investment in infrastructure construction has become main reasons for development in Java since 1980s. Up to 2010, even though Java is the smallest island of the five biggest islands in Indonesia, percentage of road constructions in Java was around 24% of whole constructions in Indonesia </w:t>
      </w:r>
      <w:sdt>
        <w:sdtPr>
          <w:rPr>
            <w:rFonts w:ascii="Garamond" w:hAnsi="Garamond"/>
            <w:b w:val="0"/>
            <w:sz w:val="24"/>
          </w:rPr>
          <w:id w:val="5033445"/>
          <w:citation/>
        </w:sdtPr>
        <w:sdtContent>
          <w:r w:rsidR="00476E26" w:rsidRPr="00476E26">
            <w:rPr>
              <w:rFonts w:ascii="Garamond" w:hAnsi="Garamond"/>
              <w:b w:val="0"/>
              <w:sz w:val="24"/>
            </w:rPr>
            <w:fldChar w:fldCharType="begin"/>
          </w:r>
          <w:r w:rsidRPr="00DA19AF">
            <w:rPr>
              <w:rFonts w:ascii="Garamond" w:hAnsi="Garamond"/>
              <w:b w:val="0"/>
              <w:sz w:val="24"/>
              <w:lang w:val="en-US"/>
            </w:rPr>
            <w:instrText xml:space="preserve"> CITATION Sta12 \p 348-350 \l 1033  </w:instrText>
          </w:r>
          <w:r w:rsidR="00476E26" w:rsidRPr="00476E26">
            <w:rPr>
              <w:rFonts w:ascii="Garamond" w:hAnsi="Garamond"/>
              <w:b w:val="0"/>
              <w:sz w:val="24"/>
            </w:rPr>
            <w:fldChar w:fldCharType="separate"/>
          </w:r>
          <w:r w:rsidRPr="00DA19AF">
            <w:rPr>
              <w:rFonts w:ascii="Garamond" w:hAnsi="Garamond"/>
              <w:b w:val="0"/>
              <w:sz w:val="24"/>
              <w:lang w:val="en-US"/>
            </w:rPr>
            <w:t>(Statistik Indonesia, 2012, pp. 348-350)</w:t>
          </w:r>
          <w:r w:rsidR="00476E26" w:rsidRPr="00DA19AF">
            <w:rPr>
              <w:rFonts w:ascii="Garamond" w:hAnsi="Garamond"/>
              <w:b w:val="0"/>
              <w:sz w:val="24"/>
              <w:lang w:val="en-US"/>
            </w:rPr>
            <w:fldChar w:fldCharType="end"/>
          </w:r>
        </w:sdtContent>
      </w:sdt>
      <w:r w:rsidRPr="00DA19AF">
        <w:rPr>
          <w:rFonts w:ascii="Garamond" w:hAnsi="Garamond"/>
          <w:b w:val="0"/>
          <w:sz w:val="24"/>
        </w:rPr>
        <w:t xml:space="preserve">. It is also infrastructure to connect areas separated by river that were more intensive developed in Java, than other islands such as Kalimantan that are having more river watershed areas. Since 1970s, there have been 1,725 bridges of 3,810 constructed in Indonesia, and until 2009, almost 25% of bridges developed in Java </w:t>
      </w:r>
      <w:sdt>
        <w:sdtPr>
          <w:rPr>
            <w:rFonts w:ascii="Garamond" w:hAnsi="Garamond"/>
            <w:b w:val="0"/>
            <w:sz w:val="24"/>
          </w:rPr>
          <w:id w:val="5033443"/>
          <w:citation/>
        </w:sdtPr>
        <w:sdtContent>
          <w:r w:rsidR="00476E26" w:rsidRPr="00476E26">
            <w:rPr>
              <w:rFonts w:ascii="Garamond" w:hAnsi="Garamond"/>
              <w:b w:val="0"/>
              <w:sz w:val="24"/>
            </w:rPr>
            <w:fldChar w:fldCharType="begin"/>
          </w:r>
          <w:r w:rsidRPr="00DA19AF">
            <w:rPr>
              <w:rFonts w:ascii="Garamond" w:hAnsi="Garamond"/>
              <w:b w:val="0"/>
              <w:sz w:val="24"/>
              <w:lang w:val="en-US"/>
            </w:rPr>
            <w:instrText xml:space="preserve"> CITATION Dep09 \l 1033 </w:instrText>
          </w:r>
          <w:r w:rsidR="00476E26" w:rsidRPr="00476E26">
            <w:rPr>
              <w:rFonts w:ascii="Garamond" w:hAnsi="Garamond"/>
              <w:b w:val="0"/>
              <w:sz w:val="24"/>
            </w:rPr>
            <w:fldChar w:fldCharType="separate"/>
          </w:r>
          <w:r w:rsidRPr="00DA19AF">
            <w:rPr>
              <w:rFonts w:ascii="Garamond" w:hAnsi="Garamond"/>
              <w:b w:val="0"/>
              <w:sz w:val="24"/>
              <w:lang w:val="en-US"/>
            </w:rPr>
            <w:t>(Department of Public Work, 2009)</w:t>
          </w:r>
          <w:r w:rsidR="00476E26" w:rsidRPr="00DA19AF">
            <w:rPr>
              <w:rFonts w:ascii="Garamond" w:hAnsi="Garamond"/>
              <w:b w:val="0"/>
              <w:sz w:val="24"/>
              <w:lang w:val="en-US"/>
            </w:rPr>
            <w:fldChar w:fldCharType="end"/>
          </w:r>
        </w:sdtContent>
      </w:sdt>
      <w:r w:rsidRPr="00DA19AF">
        <w:rPr>
          <w:rFonts w:ascii="Garamond" w:hAnsi="Garamond"/>
          <w:b w:val="0"/>
          <w:sz w:val="24"/>
        </w:rPr>
        <w:t>. As well as telecommunication and electricity facilities, among other islands in Indonesia, since 1970s, Java Island had priority.</w:t>
      </w:r>
    </w:p>
    <w:p w:rsidR="00DC769D" w:rsidRDefault="00C101B7" w:rsidP="00DC769D">
      <w:r>
        <w:lastRenderedPageBreak/>
        <w:t>Economic c</w:t>
      </w:r>
      <w:r w:rsidR="00DC769D">
        <w:t>ondit</w:t>
      </w:r>
      <w:r w:rsidR="00362FB9">
        <w:t>ions of Java Island attract job</w:t>
      </w:r>
      <w:r w:rsidR="00DC769D">
        <w:t>seekers in Indonesia</w:t>
      </w:r>
      <w:r w:rsidR="00DC769D" w:rsidRPr="007C1270">
        <w:t xml:space="preserve">. </w:t>
      </w:r>
      <w:r w:rsidR="00DC769D">
        <w:t>An assumption that Java Island has more job opportunities, based on a brief d</w:t>
      </w:r>
      <w:r w:rsidR="00DC769D">
        <w:t>e</w:t>
      </w:r>
      <w:r w:rsidR="00DC769D">
        <w:t>scription above, is relevant</w:t>
      </w:r>
      <w:r w:rsidR="00DC769D" w:rsidRPr="007C1270">
        <w:t xml:space="preserve">. </w:t>
      </w:r>
      <w:r w:rsidR="00DC769D">
        <w:t>A huge job opportunity in agro-industry and manufactures become a magnet and generate Java Islands as the most pop</w:t>
      </w:r>
      <w:r w:rsidR="00DC769D">
        <w:t>u</w:t>
      </w:r>
      <w:r w:rsidR="00DC769D">
        <w:t>lated island in Indonesia</w:t>
      </w:r>
      <w:r w:rsidR="00DC769D" w:rsidRPr="007C1270">
        <w:t xml:space="preserve">. </w:t>
      </w:r>
      <w:r>
        <w:t>T</w:t>
      </w:r>
      <w:r w:rsidR="00871692">
        <w:t>able 3.7</w:t>
      </w:r>
      <w:r w:rsidR="00DC769D">
        <w:t>.</w:t>
      </w:r>
      <w:r>
        <w:t xml:space="preserve"> below shows</w:t>
      </w:r>
      <w:r w:rsidR="00DC769D">
        <w:t xml:space="preserve"> more than 50% of Indon</w:t>
      </w:r>
      <w:r w:rsidR="00DC769D">
        <w:t>e</w:t>
      </w:r>
      <w:r w:rsidR="00DC769D">
        <w:t>sia’s population has living in Java and more than 60% of Indonesia’s labour was absorbed in Java. Nevertheless, labour absorption in non-agriculture se</w:t>
      </w:r>
      <w:r w:rsidR="00DC769D">
        <w:t>c</w:t>
      </w:r>
      <w:r w:rsidR="00DC769D">
        <w:t xml:space="preserve">tors has not strongly increased; it was only moving around 65% to 70%. </w:t>
      </w:r>
      <w:r w:rsidR="00DC769D" w:rsidRPr="006D7D86">
        <w:t>On the other hands, a gr</w:t>
      </w:r>
      <w:r w:rsidR="00DC769D">
        <w:t>adually increase has happened to</w:t>
      </w:r>
      <w:r w:rsidR="00DC769D" w:rsidRPr="006D7D86">
        <w:t xml:space="preserve"> the number of people who work for agriculture sectors between 2006 and 2010. It has existed b</w:t>
      </w:r>
      <w:r w:rsidR="00DC769D" w:rsidRPr="006D7D86">
        <w:t>e</w:t>
      </w:r>
      <w:r w:rsidR="00DC769D" w:rsidRPr="006D7D86">
        <w:t>cause of land conversion from ag</w:t>
      </w:r>
      <w:r w:rsidR="00DC769D">
        <w:t>riculture land to other purpose,</w:t>
      </w:r>
      <w:r w:rsidR="00DC769D" w:rsidRPr="006D7D86">
        <w:t xml:space="preserve"> mainly indu</w:t>
      </w:r>
      <w:r w:rsidR="00DC769D" w:rsidRPr="006D7D86">
        <w:t>s</w:t>
      </w:r>
      <w:r w:rsidR="00DC769D" w:rsidRPr="006D7D86">
        <w:t>trial area.</w:t>
      </w:r>
    </w:p>
    <w:p w:rsidR="00DC769D" w:rsidRDefault="00871692" w:rsidP="00371444">
      <w:pPr>
        <w:pStyle w:val="tabletitle"/>
        <w:spacing w:before="240"/>
      </w:pPr>
      <w:bookmarkStart w:id="104" w:name="_Toc340133884"/>
      <w:bookmarkStart w:id="105" w:name="_Toc340654628"/>
      <w:r>
        <w:t>Table 3.7</w:t>
      </w:r>
      <w:r w:rsidR="00DC769D">
        <w:t>.</w:t>
      </w:r>
      <w:r w:rsidR="00DC769D">
        <w:br/>
      </w:r>
      <w:r w:rsidR="00DC769D" w:rsidRPr="007570C5">
        <w:t xml:space="preserve"> </w:t>
      </w:r>
      <w:bookmarkEnd w:id="104"/>
      <w:r w:rsidRPr="00871692">
        <w:rPr>
          <w:rFonts w:cs="Calibri"/>
          <w:bCs/>
          <w:color w:val="000000"/>
        </w:rPr>
        <w:t>Percentage of Java’s Population and Labour Forces of the Total Numbers in Indonesia’s</w:t>
      </w:r>
      <w:bookmarkEnd w:id="105"/>
    </w:p>
    <w:tbl>
      <w:tblPr>
        <w:tblW w:w="8280" w:type="dxa"/>
        <w:jc w:val="center"/>
        <w:tblInd w:w="108" w:type="dxa"/>
        <w:tblLook w:val="04A0"/>
      </w:tblPr>
      <w:tblGrid>
        <w:gridCol w:w="3060"/>
        <w:gridCol w:w="990"/>
        <w:gridCol w:w="990"/>
        <w:gridCol w:w="990"/>
        <w:gridCol w:w="1170"/>
        <w:gridCol w:w="1080"/>
      </w:tblGrid>
      <w:tr w:rsidR="00DC769D" w:rsidRPr="003F0E2C" w:rsidTr="00DC769D">
        <w:trPr>
          <w:trHeight w:val="300"/>
          <w:jc w:val="center"/>
        </w:trPr>
        <w:tc>
          <w:tcPr>
            <w:tcW w:w="3060" w:type="dxa"/>
            <w:tcBorders>
              <w:top w:val="nil"/>
              <w:left w:val="nil"/>
              <w:bottom w:val="nil"/>
              <w:right w:val="nil"/>
            </w:tcBorders>
            <w:shd w:val="clear" w:color="auto" w:fill="auto"/>
            <w:noWrap/>
            <w:vAlign w:val="bottom"/>
            <w:hideMark/>
          </w:tcPr>
          <w:p w:rsidR="00DC769D" w:rsidRPr="003F0E2C" w:rsidRDefault="00DC769D" w:rsidP="00DC769D">
            <w:pPr>
              <w:pStyle w:val="tablesourcenote0"/>
              <w:rPr>
                <w:rFonts w:cs="Arial"/>
                <w:sz w:val="18"/>
                <w:szCs w:val="18"/>
                <w:lang w:val="en-US"/>
              </w:rPr>
            </w:pPr>
          </w:p>
        </w:tc>
        <w:tc>
          <w:tcPr>
            <w:tcW w:w="990" w:type="dxa"/>
            <w:tcBorders>
              <w:top w:val="single" w:sz="4" w:space="0" w:color="auto"/>
              <w:left w:val="single" w:sz="4" w:space="0" w:color="auto"/>
              <w:bottom w:val="nil"/>
              <w:right w:val="single" w:sz="4" w:space="0" w:color="auto"/>
            </w:tcBorders>
            <w:shd w:val="clear" w:color="auto" w:fill="auto"/>
            <w:noWrap/>
            <w:vAlign w:val="bottom"/>
            <w:hideMark/>
          </w:tcPr>
          <w:p w:rsidR="00DC769D" w:rsidRPr="003F0E2C" w:rsidRDefault="00DC769D" w:rsidP="00DC769D">
            <w:pPr>
              <w:pStyle w:val="tablesourcenote0"/>
              <w:rPr>
                <w:rFonts w:cs="Arial"/>
                <w:b/>
                <w:bCs/>
                <w:sz w:val="18"/>
                <w:szCs w:val="18"/>
                <w:lang w:val="en-US"/>
              </w:rPr>
            </w:pPr>
            <w:r w:rsidRPr="003F0E2C">
              <w:rPr>
                <w:rFonts w:cs="Arial"/>
                <w:b/>
                <w:bCs/>
                <w:sz w:val="18"/>
                <w:szCs w:val="18"/>
                <w:lang w:val="en-US"/>
              </w:rPr>
              <w:t>2006</w:t>
            </w:r>
          </w:p>
        </w:tc>
        <w:tc>
          <w:tcPr>
            <w:tcW w:w="990" w:type="dxa"/>
            <w:tcBorders>
              <w:top w:val="single" w:sz="4" w:space="0" w:color="auto"/>
              <w:left w:val="nil"/>
              <w:bottom w:val="nil"/>
              <w:right w:val="single" w:sz="4" w:space="0" w:color="auto"/>
            </w:tcBorders>
            <w:shd w:val="clear" w:color="auto" w:fill="auto"/>
            <w:noWrap/>
            <w:vAlign w:val="bottom"/>
            <w:hideMark/>
          </w:tcPr>
          <w:p w:rsidR="00DC769D" w:rsidRPr="003F0E2C" w:rsidRDefault="00DC769D" w:rsidP="00DC769D">
            <w:pPr>
              <w:pStyle w:val="tablesourcenote0"/>
              <w:rPr>
                <w:rFonts w:cs="Arial"/>
                <w:b/>
                <w:bCs/>
                <w:sz w:val="18"/>
                <w:szCs w:val="18"/>
                <w:lang w:val="en-US"/>
              </w:rPr>
            </w:pPr>
            <w:r w:rsidRPr="003F0E2C">
              <w:rPr>
                <w:rFonts w:cs="Arial"/>
                <w:b/>
                <w:bCs/>
                <w:sz w:val="18"/>
                <w:szCs w:val="18"/>
                <w:lang w:val="en-US"/>
              </w:rPr>
              <w:t>2007</w:t>
            </w:r>
          </w:p>
        </w:tc>
        <w:tc>
          <w:tcPr>
            <w:tcW w:w="990" w:type="dxa"/>
            <w:tcBorders>
              <w:top w:val="single" w:sz="4" w:space="0" w:color="auto"/>
              <w:left w:val="nil"/>
              <w:bottom w:val="nil"/>
              <w:right w:val="single" w:sz="4" w:space="0" w:color="auto"/>
            </w:tcBorders>
            <w:shd w:val="clear" w:color="auto" w:fill="auto"/>
            <w:noWrap/>
            <w:vAlign w:val="bottom"/>
            <w:hideMark/>
          </w:tcPr>
          <w:p w:rsidR="00DC769D" w:rsidRPr="003F0E2C" w:rsidRDefault="00DC769D" w:rsidP="00DC769D">
            <w:pPr>
              <w:pStyle w:val="tablesourcenote0"/>
              <w:rPr>
                <w:rFonts w:cs="Arial"/>
                <w:b/>
                <w:bCs/>
                <w:sz w:val="18"/>
                <w:szCs w:val="18"/>
                <w:lang w:val="en-US"/>
              </w:rPr>
            </w:pPr>
            <w:r w:rsidRPr="003F0E2C">
              <w:rPr>
                <w:rFonts w:cs="Arial"/>
                <w:b/>
                <w:bCs/>
                <w:sz w:val="18"/>
                <w:szCs w:val="18"/>
                <w:lang w:val="en-US"/>
              </w:rPr>
              <w:t>2008</w:t>
            </w:r>
          </w:p>
        </w:tc>
        <w:tc>
          <w:tcPr>
            <w:tcW w:w="1170" w:type="dxa"/>
            <w:tcBorders>
              <w:top w:val="single" w:sz="4" w:space="0" w:color="auto"/>
              <w:left w:val="nil"/>
              <w:bottom w:val="nil"/>
              <w:right w:val="single" w:sz="4" w:space="0" w:color="auto"/>
            </w:tcBorders>
            <w:shd w:val="clear" w:color="auto" w:fill="auto"/>
            <w:noWrap/>
            <w:vAlign w:val="bottom"/>
            <w:hideMark/>
          </w:tcPr>
          <w:p w:rsidR="00DC769D" w:rsidRPr="003F0E2C" w:rsidRDefault="00DC769D" w:rsidP="00DC769D">
            <w:pPr>
              <w:pStyle w:val="tablesourcenote0"/>
              <w:rPr>
                <w:rFonts w:cs="Arial"/>
                <w:b/>
                <w:bCs/>
                <w:sz w:val="18"/>
                <w:szCs w:val="18"/>
                <w:lang w:val="en-US"/>
              </w:rPr>
            </w:pPr>
            <w:r w:rsidRPr="003F0E2C">
              <w:rPr>
                <w:rFonts w:cs="Arial"/>
                <w:b/>
                <w:bCs/>
                <w:sz w:val="18"/>
                <w:szCs w:val="18"/>
                <w:lang w:val="en-US"/>
              </w:rPr>
              <w:t>2009</w:t>
            </w:r>
          </w:p>
        </w:tc>
        <w:tc>
          <w:tcPr>
            <w:tcW w:w="1080" w:type="dxa"/>
            <w:tcBorders>
              <w:top w:val="single" w:sz="4" w:space="0" w:color="auto"/>
              <w:left w:val="nil"/>
              <w:bottom w:val="nil"/>
              <w:right w:val="single" w:sz="4" w:space="0" w:color="auto"/>
            </w:tcBorders>
            <w:shd w:val="clear" w:color="auto" w:fill="auto"/>
            <w:noWrap/>
            <w:vAlign w:val="bottom"/>
            <w:hideMark/>
          </w:tcPr>
          <w:p w:rsidR="00DC769D" w:rsidRPr="003F0E2C" w:rsidRDefault="00DC769D" w:rsidP="00DC769D">
            <w:pPr>
              <w:pStyle w:val="tablesourcenote0"/>
              <w:rPr>
                <w:rFonts w:cs="Arial"/>
                <w:b/>
                <w:bCs/>
                <w:sz w:val="18"/>
                <w:szCs w:val="18"/>
                <w:lang w:val="en-US"/>
              </w:rPr>
            </w:pPr>
            <w:r w:rsidRPr="003F0E2C">
              <w:rPr>
                <w:rFonts w:cs="Arial"/>
                <w:b/>
                <w:bCs/>
                <w:sz w:val="18"/>
                <w:szCs w:val="18"/>
                <w:lang w:val="en-US"/>
              </w:rPr>
              <w:t>2010</w:t>
            </w:r>
          </w:p>
        </w:tc>
      </w:tr>
      <w:tr w:rsidR="00DC769D" w:rsidRPr="003F0E2C" w:rsidTr="00DC769D">
        <w:trPr>
          <w:trHeight w:val="300"/>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69D" w:rsidRPr="003F0E2C" w:rsidRDefault="00DC769D" w:rsidP="00DC769D">
            <w:pPr>
              <w:pStyle w:val="tablesourcenote0"/>
              <w:rPr>
                <w:rFonts w:cs="Arial"/>
                <w:b/>
                <w:bCs/>
                <w:sz w:val="18"/>
                <w:szCs w:val="18"/>
                <w:lang w:val="en-US"/>
              </w:rPr>
            </w:pPr>
            <w:r w:rsidRPr="003F0E2C">
              <w:rPr>
                <w:rFonts w:cs="Arial"/>
                <w:b/>
                <w:bCs/>
                <w:sz w:val="18"/>
                <w:szCs w:val="18"/>
                <w:lang w:val="en-US"/>
              </w:rPr>
              <w:t xml:space="preserve">Population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DC769D" w:rsidRPr="003F0E2C" w:rsidRDefault="00DC769D" w:rsidP="00DC769D">
            <w:pPr>
              <w:pStyle w:val="tablesourcenote0"/>
              <w:rPr>
                <w:rFonts w:cs="Arial"/>
                <w:sz w:val="18"/>
                <w:szCs w:val="18"/>
                <w:lang w:val="en-US"/>
              </w:rPr>
            </w:pPr>
            <w:r w:rsidRPr="003F0E2C">
              <w:rPr>
                <w:rFonts w:cs="Arial"/>
                <w:sz w:val="18"/>
                <w:szCs w:val="18"/>
                <w:lang w:val="en-US"/>
              </w:rPr>
              <w:t>58.44</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DC769D" w:rsidRPr="003F0E2C" w:rsidRDefault="00DC769D" w:rsidP="00871692">
            <w:pPr>
              <w:pStyle w:val="tablesourcenote0"/>
              <w:rPr>
                <w:rFonts w:cs="Arial"/>
                <w:sz w:val="18"/>
                <w:szCs w:val="18"/>
                <w:lang w:val="en-US"/>
              </w:rPr>
            </w:pPr>
            <w:r w:rsidRPr="003F0E2C">
              <w:rPr>
                <w:rFonts w:cs="Arial"/>
                <w:sz w:val="18"/>
                <w:szCs w:val="18"/>
                <w:lang w:val="en-US"/>
              </w:rPr>
              <w:t>58.44</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DC769D" w:rsidRPr="003F0E2C" w:rsidRDefault="00DC769D" w:rsidP="00DC769D">
            <w:pPr>
              <w:pStyle w:val="tablesourcenote0"/>
              <w:rPr>
                <w:rFonts w:cs="Arial"/>
                <w:sz w:val="18"/>
                <w:szCs w:val="18"/>
                <w:lang w:val="en-US"/>
              </w:rPr>
            </w:pPr>
            <w:r w:rsidRPr="003F0E2C">
              <w:rPr>
                <w:rFonts w:cs="Arial"/>
                <w:sz w:val="18"/>
                <w:szCs w:val="18"/>
                <w:lang w:val="en-US"/>
              </w:rPr>
              <w:t>58.44</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DC769D" w:rsidRPr="003F0E2C" w:rsidRDefault="00DC769D" w:rsidP="00871692">
            <w:pPr>
              <w:pStyle w:val="tablesourcenote0"/>
              <w:rPr>
                <w:rFonts w:cs="Arial"/>
                <w:sz w:val="18"/>
                <w:szCs w:val="18"/>
                <w:lang w:val="en-US"/>
              </w:rPr>
            </w:pPr>
            <w:r w:rsidRPr="003F0E2C">
              <w:rPr>
                <w:rFonts w:cs="Arial"/>
                <w:sz w:val="18"/>
                <w:szCs w:val="18"/>
                <w:lang w:val="en-US"/>
              </w:rPr>
              <w:t>58.44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C769D" w:rsidRPr="003F0E2C" w:rsidRDefault="00DC769D" w:rsidP="00DC769D">
            <w:pPr>
              <w:pStyle w:val="tablesourcenote0"/>
              <w:rPr>
                <w:rFonts w:cs="Arial"/>
                <w:sz w:val="18"/>
                <w:szCs w:val="18"/>
                <w:lang w:val="en-US"/>
              </w:rPr>
            </w:pPr>
            <w:r w:rsidRPr="003F0E2C">
              <w:rPr>
                <w:rFonts w:cs="Arial"/>
                <w:sz w:val="18"/>
                <w:szCs w:val="18"/>
                <w:lang w:val="en-US"/>
              </w:rPr>
              <w:t>57.49</w:t>
            </w:r>
          </w:p>
        </w:tc>
      </w:tr>
      <w:tr w:rsidR="00DC769D" w:rsidRPr="003F0E2C" w:rsidTr="00DC769D">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DC769D" w:rsidRPr="003F0E2C" w:rsidRDefault="00871692" w:rsidP="00DC769D">
            <w:pPr>
              <w:pStyle w:val="tablesourcenote0"/>
              <w:rPr>
                <w:rFonts w:cs="Arial"/>
                <w:b/>
                <w:bCs/>
                <w:sz w:val="18"/>
                <w:szCs w:val="18"/>
                <w:lang w:val="en-US"/>
              </w:rPr>
            </w:pPr>
            <w:r>
              <w:rPr>
                <w:rFonts w:cs="Arial"/>
                <w:b/>
                <w:bCs/>
                <w:sz w:val="18"/>
                <w:szCs w:val="18"/>
                <w:lang w:val="en-US"/>
              </w:rPr>
              <w:t>Total Labor Forces</w:t>
            </w:r>
          </w:p>
        </w:tc>
        <w:tc>
          <w:tcPr>
            <w:tcW w:w="990" w:type="dxa"/>
            <w:tcBorders>
              <w:top w:val="nil"/>
              <w:left w:val="nil"/>
              <w:bottom w:val="single" w:sz="4" w:space="0" w:color="auto"/>
              <w:right w:val="single" w:sz="4" w:space="0" w:color="auto"/>
            </w:tcBorders>
            <w:shd w:val="clear" w:color="auto" w:fill="auto"/>
            <w:noWrap/>
            <w:vAlign w:val="bottom"/>
            <w:hideMark/>
          </w:tcPr>
          <w:p w:rsidR="00DC769D" w:rsidRPr="003F0E2C" w:rsidRDefault="00DC769D" w:rsidP="00871692">
            <w:pPr>
              <w:pStyle w:val="tablesourcenote0"/>
              <w:rPr>
                <w:rFonts w:cs="Arial"/>
                <w:sz w:val="18"/>
                <w:szCs w:val="18"/>
                <w:lang w:val="en-US"/>
              </w:rPr>
            </w:pPr>
            <w:r w:rsidRPr="003F0E2C">
              <w:rPr>
                <w:rFonts w:cs="Arial"/>
                <w:sz w:val="18"/>
                <w:szCs w:val="18"/>
                <w:lang w:val="en-US"/>
              </w:rPr>
              <w:t>68.84</w:t>
            </w:r>
          </w:p>
        </w:tc>
        <w:tc>
          <w:tcPr>
            <w:tcW w:w="990" w:type="dxa"/>
            <w:tcBorders>
              <w:top w:val="nil"/>
              <w:left w:val="nil"/>
              <w:bottom w:val="single" w:sz="4" w:space="0" w:color="auto"/>
              <w:right w:val="single" w:sz="4" w:space="0" w:color="auto"/>
            </w:tcBorders>
            <w:shd w:val="clear" w:color="auto" w:fill="auto"/>
            <w:noWrap/>
            <w:vAlign w:val="bottom"/>
            <w:hideMark/>
          </w:tcPr>
          <w:p w:rsidR="00DC769D" w:rsidRPr="003F0E2C" w:rsidRDefault="00DC769D" w:rsidP="00871692">
            <w:pPr>
              <w:pStyle w:val="tablesourcenote0"/>
              <w:rPr>
                <w:rFonts w:cs="Arial"/>
                <w:sz w:val="18"/>
                <w:szCs w:val="18"/>
                <w:lang w:val="en-US"/>
              </w:rPr>
            </w:pPr>
            <w:r w:rsidRPr="003F0E2C">
              <w:rPr>
                <w:rFonts w:cs="Arial"/>
                <w:sz w:val="18"/>
                <w:szCs w:val="18"/>
                <w:lang w:val="en-US"/>
              </w:rPr>
              <w:t>66.36</w:t>
            </w:r>
          </w:p>
        </w:tc>
        <w:tc>
          <w:tcPr>
            <w:tcW w:w="990" w:type="dxa"/>
            <w:tcBorders>
              <w:top w:val="nil"/>
              <w:left w:val="nil"/>
              <w:bottom w:val="single" w:sz="4" w:space="0" w:color="auto"/>
              <w:right w:val="single" w:sz="4" w:space="0" w:color="auto"/>
            </w:tcBorders>
            <w:shd w:val="clear" w:color="auto" w:fill="auto"/>
            <w:noWrap/>
            <w:vAlign w:val="bottom"/>
            <w:hideMark/>
          </w:tcPr>
          <w:p w:rsidR="00DC769D" w:rsidRPr="003F0E2C" w:rsidRDefault="00DC769D" w:rsidP="00871692">
            <w:pPr>
              <w:pStyle w:val="tablesourcenote0"/>
              <w:rPr>
                <w:rFonts w:cs="Arial"/>
                <w:sz w:val="18"/>
                <w:szCs w:val="18"/>
                <w:lang w:val="en-US"/>
              </w:rPr>
            </w:pPr>
            <w:r w:rsidRPr="003F0E2C">
              <w:rPr>
                <w:rFonts w:cs="Arial"/>
                <w:sz w:val="18"/>
                <w:szCs w:val="18"/>
                <w:lang w:val="en-US"/>
              </w:rPr>
              <w:t>69.16</w:t>
            </w:r>
          </w:p>
        </w:tc>
        <w:tc>
          <w:tcPr>
            <w:tcW w:w="1170" w:type="dxa"/>
            <w:tcBorders>
              <w:top w:val="nil"/>
              <w:left w:val="nil"/>
              <w:bottom w:val="single" w:sz="4" w:space="0" w:color="auto"/>
              <w:right w:val="single" w:sz="4" w:space="0" w:color="auto"/>
            </w:tcBorders>
            <w:shd w:val="clear" w:color="auto" w:fill="auto"/>
            <w:noWrap/>
            <w:vAlign w:val="bottom"/>
            <w:hideMark/>
          </w:tcPr>
          <w:p w:rsidR="00DC769D" w:rsidRPr="003F0E2C" w:rsidRDefault="00DC769D" w:rsidP="00871692">
            <w:pPr>
              <w:pStyle w:val="tablesourcenote0"/>
              <w:rPr>
                <w:rFonts w:cs="Arial"/>
                <w:sz w:val="18"/>
                <w:szCs w:val="18"/>
                <w:lang w:val="en-US"/>
              </w:rPr>
            </w:pPr>
            <w:r w:rsidRPr="003F0E2C">
              <w:rPr>
                <w:rFonts w:cs="Arial"/>
                <w:sz w:val="18"/>
                <w:szCs w:val="18"/>
                <w:lang w:val="en-US"/>
              </w:rPr>
              <w:t>65.03</w:t>
            </w:r>
          </w:p>
        </w:tc>
        <w:tc>
          <w:tcPr>
            <w:tcW w:w="1080" w:type="dxa"/>
            <w:tcBorders>
              <w:top w:val="nil"/>
              <w:left w:val="nil"/>
              <w:bottom w:val="single" w:sz="4" w:space="0" w:color="auto"/>
              <w:right w:val="single" w:sz="4" w:space="0" w:color="auto"/>
            </w:tcBorders>
            <w:shd w:val="clear" w:color="auto" w:fill="auto"/>
            <w:noWrap/>
            <w:vAlign w:val="bottom"/>
            <w:hideMark/>
          </w:tcPr>
          <w:p w:rsidR="00DC769D" w:rsidRPr="003F0E2C" w:rsidRDefault="00DC769D" w:rsidP="00871692">
            <w:pPr>
              <w:pStyle w:val="tablesourcenote0"/>
              <w:rPr>
                <w:rFonts w:cs="Arial"/>
                <w:sz w:val="18"/>
                <w:szCs w:val="18"/>
                <w:lang w:val="en-US"/>
              </w:rPr>
            </w:pPr>
            <w:r w:rsidRPr="003F0E2C">
              <w:rPr>
                <w:rFonts w:cs="Arial"/>
                <w:sz w:val="18"/>
                <w:szCs w:val="18"/>
                <w:lang w:val="en-US"/>
              </w:rPr>
              <w:t>64.22</w:t>
            </w:r>
          </w:p>
        </w:tc>
      </w:tr>
      <w:tr w:rsidR="00DC769D" w:rsidRPr="003F0E2C" w:rsidTr="00DC769D">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DC769D" w:rsidRPr="003F0E2C" w:rsidRDefault="00871692" w:rsidP="00DC769D">
            <w:pPr>
              <w:pStyle w:val="tablesourcenote0"/>
              <w:rPr>
                <w:rFonts w:cs="Arial"/>
                <w:b/>
                <w:bCs/>
                <w:sz w:val="18"/>
                <w:szCs w:val="18"/>
                <w:lang w:val="en-US"/>
              </w:rPr>
            </w:pPr>
            <w:r>
              <w:rPr>
                <w:rFonts w:cs="Arial"/>
                <w:b/>
                <w:bCs/>
                <w:sz w:val="18"/>
                <w:szCs w:val="18"/>
                <w:lang w:val="en-US"/>
              </w:rPr>
              <w:t>Agriculture Labor</w:t>
            </w:r>
            <w:r w:rsidR="00DC769D" w:rsidRPr="003F0E2C">
              <w:rPr>
                <w:rFonts w:cs="Arial"/>
                <w:b/>
                <w:bCs/>
                <w:sz w:val="18"/>
                <w:szCs w:val="18"/>
                <w:lang w:val="en-US"/>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rsidR="00DC769D" w:rsidRPr="003F0E2C" w:rsidRDefault="00DC769D" w:rsidP="00871692">
            <w:pPr>
              <w:pStyle w:val="tablesourcenote0"/>
              <w:rPr>
                <w:rFonts w:cs="Arial"/>
                <w:sz w:val="18"/>
                <w:szCs w:val="18"/>
                <w:lang w:val="en-US"/>
              </w:rPr>
            </w:pPr>
            <w:r w:rsidRPr="003F0E2C">
              <w:rPr>
                <w:rFonts w:cs="Arial"/>
                <w:sz w:val="18"/>
                <w:szCs w:val="18"/>
                <w:lang w:val="en-US"/>
              </w:rPr>
              <w:t>66.74</w:t>
            </w:r>
          </w:p>
        </w:tc>
        <w:tc>
          <w:tcPr>
            <w:tcW w:w="990" w:type="dxa"/>
            <w:tcBorders>
              <w:top w:val="nil"/>
              <w:left w:val="nil"/>
              <w:bottom w:val="single" w:sz="4" w:space="0" w:color="auto"/>
              <w:right w:val="single" w:sz="4" w:space="0" w:color="auto"/>
            </w:tcBorders>
            <w:shd w:val="clear" w:color="auto" w:fill="auto"/>
            <w:noWrap/>
            <w:vAlign w:val="bottom"/>
            <w:hideMark/>
          </w:tcPr>
          <w:p w:rsidR="00DC769D" w:rsidRPr="003F0E2C" w:rsidRDefault="00DC769D" w:rsidP="00871692">
            <w:pPr>
              <w:pStyle w:val="tablesourcenote0"/>
              <w:rPr>
                <w:rFonts w:cs="Arial"/>
                <w:sz w:val="18"/>
                <w:szCs w:val="18"/>
                <w:lang w:val="en-US"/>
              </w:rPr>
            </w:pPr>
            <w:r w:rsidRPr="003F0E2C">
              <w:rPr>
                <w:rFonts w:cs="Arial"/>
                <w:sz w:val="18"/>
                <w:szCs w:val="18"/>
                <w:lang w:val="en-US"/>
              </w:rPr>
              <w:t>65.39</w:t>
            </w:r>
          </w:p>
        </w:tc>
        <w:tc>
          <w:tcPr>
            <w:tcW w:w="990" w:type="dxa"/>
            <w:tcBorders>
              <w:top w:val="nil"/>
              <w:left w:val="nil"/>
              <w:bottom w:val="single" w:sz="4" w:space="0" w:color="auto"/>
              <w:right w:val="single" w:sz="4" w:space="0" w:color="auto"/>
            </w:tcBorders>
            <w:shd w:val="clear" w:color="auto" w:fill="auto"/>
            <w:noWrap/>
            <w:vAlign w:val="bottom"/>
            <w:hideMark/>
          </w:tcPr>
          <w:p w:rsidR="00DC769D" w:rsidRPr="003F0E2C" w:rsidRDefault="00DC769D" w:rsidP="00871692">
            <w:pPr>
              <w:pStyle w:val="tablesourcenote0"/>
              <w:rPr>
                <w:rFonts w:cs="Arial"/>
                <w:sz w:val="18"/>
                <w:szCs w:val="18"/>
                <w:lang w:val="en-US"/>
              </w:rPr>
            </w:pPr>
            <w:r w:rsidRPr="003F0E2C">
              <w:rPr>
                <w:rFonts w:cs="Arial"/>
                <w:sz w:val="18"/>
                <w:szCs w:val="18"/>
                <w:lang w:val="en-US"/>
              </w:rPr>
              <w:t>64.92</w:t>
            </w:r>
          </w:p>
        </w:tc>
        <w:tc>
          <w:tcPr>
            <w:tcW w:w="1170" w:type="dxa"/>
            <w:tcBorders>
              <w:top w:val="nil"/>
              <w:left w:val="nil"/>
              <w:bottom w:val="single" w:sz="4" w:space="0" w:color="auto"/>
              <w:right w:val="single" w:sz="4" w:space="0" w:color="auto"/>
            </w:tcBorders>
            <w:shd w:val="clear" w:color="auto" w:fill="auto"/>
            <w:noWrap/>
            <w:vAlign w:val="bottom"/>
            <w:hideMark/>
          </w:tcPr>
          <w:p w:rsidR="00DC769D" w:rsidRPr="003F0E2C" w:rsidRDefault="00DC769D" w:rsidP="00871692">
            <w:pPr>
              <w:pStyle w:val="tablesourcenote0"/>
              <w:rPr>
                <w:rFonts w:cs="Arial"/>
                <w:sz w:val="18"/>
                <w:szCs w:val="18"/>
                <w:lang w:val="en-US"/>
              </w:rPr>
            </w:pPr>
            <w:r w:rsidRPr="003F0E2C">
              <w:rPr>
                <w:rFonts w:cs="Arial"/>
                <w:sz w:val="18"/>
                <w:szCs w:val="18"/>
                <w:lang w:val="en-US"/>
              </w:rPr>
              <w:t>58.94</w:t>
            </w:r>
          </w:p>
        </w:tc>
        <w:tc>
          <w:tcPr>
            <w:tcW w:w="1080" w:type="dxa"/>
            <w:tcBorders>
              <w:top w:val="nil"/>
              <w:left w:val="nil"/>
              <w:bottom w:val="single" w:sz="4" w:space="0" w:color="auto"/>
              <w:right w:val="single" w:sz="4" w:space="0" w:color="auto"/>
            </w:tcBorders>
            <w:shd w:val="clear" w:color="auto" w:fill="auto"/>
            <w:noWrap/>
            <w:vAlign w:val="bottom"/>
            <w:hideMark/>
          </w:tcPr>
          <w:p w:rsidR="00DC769D" w:rsidRPr="003F0E2C" w:rsidRDefault="00DC769D" w:rsidP="00871692">
            <w:pPr>
              <w:pStyle w:val="tablesourcenote0"/>
              <w:rPr>
                <w:rFonts w:cs="Arial"/>
                <w:sz w:val="18"/>
                <w:szCs w:val="18"/>
                <w:lang w:val="en-US"/>
              </w:rPr>
            </w:pPr>
            <w:r w:rsidRPr="003F0E2C">
              <w:rPr>
                <w:rFonts w:cs="Arial"/>
                <w:sz w:val="18"/>
                <w:szCs w:val="18"/>
                <w:lang w:val="en-US"/>
              </w:rPr>
              <w:t>58.03</w:t>
            </w:r>
          </w:p>
        </w:tc>
      </w:tr>
      <w:tr w:rsidR="00DC769D" w:rsidRPr="003F0E2C" w:rsidTr="00DC769D">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DC769D" w:rsidRPr="003F0E2C" w:rsidRDefault="00DC769D" w:rsidP="00871692">
            <w:pPr>
              <w:pStyle w:val="tablesourcenote0"/>
              <w:rPr>
                <w:rFonts w:cs="Arial"/>
                <w:b/>
                <w:bCs/>
                <w:sz w:val="18"/>
                <w:szCs w:val="18"/>
                <w:lang w:val="en-US"/>
              </w:rPr>
            </w:pPr>
            <w:r w:rsidRPr="003F0E2C">
              <w:rPr>
                <w:rFonts w:cs="Arial"/>
                <w:b/>
                <w:bCs/>
                <w:sz w:val="18"/>
                <w:szCs w:val="18"/>
                <w:lang w:val="en-US"/>
              </w:rPr>
              <w:t>Non-Agriculture Labor</w:t>
            </w:r>
          </w:p>
        </w:tc>
        <w:tc>
          <w:tcPr>
            <w:tcW w:w="990" w:type="dxa"/>
            <w:tcBorders>
              <w:top w:val="nil"/>
              <w:left w:val="nil"/>
              <w:bottom w:val="single" w:sz="4" w:space="0" w:color="auto"/>
              <w:right w:val="single" w:sz="4" w:space="0" w:color="auto"/>
            </w:tcBorders>
            <w:shd w:val="clear" w:color="auto" w:fill="auto"/>
            <w:noWrap/>
            <w:vAlign w:val="bottom"/>
            <w:hideMark/>
          </w:tcPr>
          <w:p w:rsidR="00DC769D" w:rsidRPr="003F0E2C" w:rsidRDefault="00DC769D" w:rsidP="00871692">
            <w:pPr>
              <w:pStyle w:val="tablesourcenote0"/>
              <w:rPr>
                <w:rFonts w:cs="Arial"/>
                <w:sz w:val="18"/>
                <w:szCs w:val="18"/>
                <w:lang w:val="en-US"/>
              </w:rPr>
            </w:pPr>
            <w:r w:rsidRPr="003F0E2C">
              <w:rPr>
                <w:rFonts w:cs="Arial"/>
                <w:sz w:val="18"/>
                <w:szCs w:val="18"/>
                <w:lang w:val="en-US"/>
              </w:rPr>
              <w:t>69.37</w:t>
            </w:r>
          </w:p>
        </w:tc>
        <w:tc>
          <w:tcPr>
            <w:tcW w:w="990" w:type="dxa"/>
            <w:tcBorders>
              <w:top w:val="nil"/>
              <w:left w:val="nil"/>
              <w:bottom w:val="single" w:sz="4" w:space="0" w:color="auto"/>
              <w:right w:val="single" w:sz="4" w:space="0" w:color="auto"/>
            </w:tcBorders>
            <w:shd w:val="clear" w:color="auto" w:fill="auto"/>
            <w:noWrap/>
            <w:vAlign w:val="bottom"/>
            <w:hideMark/>
          </w:tcPr>
          <w:p w:rsidR="00DC769D" w:rsidRPr="003F0E2C" w:rsidRDefault="00DC769D" w:rsidP="00DC769D">
            <w:pPr>
              <w:pStyle w:val="tablesourcenote0"/>
              <w:rPr>
                <w:rFonts w:cs="Arial"/>
                <w:sz w:val="18"/>
                <w:szCs w:val="18"/>
                <w:lang w:val="en-US"/>
              </w:rPr>
            </w:pPr>
            <w:r w:rsidRPr="003F0E2C">
              <w:rPr>
                <w:rFonts w:cs="Arial"/>
                <w:sz w:val="18"/>
                <w:szCs w:val="18"/>
                <w:lang w:val="en-US"/>
              </w:rPr>
              <w:t>66.60</w:t>
            </w:r>
          </w:p>
        </w:tc>
        <w:tc>
          <w:tcPr>
            <w:tcW w:w="990" w:type="dxa"/>
            <w:tcBorders>
              <w:top w:val="nil"/>
              <w:left w:val="nil"/>
              <w:bottom w:val="single" w:sz="4" w:space="0" w:color="auto"/>
              <w:right w:val="single" w:sz="4" w:space="0" w:color="auto"/>
            </w:tcBorders>
            <w:shd w:val="clear" w:color="auto" w:fill="auto"/>
            <w:noWrap/>
            <w:vAlign w:val="bottom"/>
            <w:hideMark/>
          </w:tcPr>
          <w:p w:rsidR="00DC769D" w:rsidRPr="003F0E2C" w:rsidRDefault="00DC769D" w:rsidP="00871692">
            <w:pPr>
              <w:pStyle w:val="tablesourcenote0"/>
              <w:rPr>
                <w:rFonts w:cs="Arial"/>
                <w:sz w:val="18"/>
                <w:szCs w:val="18"/>
                <w:lang w:val="en-US"/>
              </w:rPr>
            </w:pPr>
            <w:r w:rsidRPr="003F0E2C">
              <w:rPr>
                <w:rFonts w:cs="Arial"/>
                <w:sz w:val="18"/>
                <w:szCs w:val="18"/>
                <w:lang w:val="en-US"/>
              </w:rPr>
              <w:t>70.26</w:t>
            </w:r>
          </w:p>
        </w:tc>
        <w:tc>
          <w:tcPr>
            <w:tcW w:w="1170" w:type="dxa"/>
            <w:tcBorders>
              <w:top w:val="nil"/>
              <w:left w:val="nil"/>
              <w:bottom w:val="single" w:sz="4" w:space="0" w:color="auto"/>
              <w:right w:val="single" w:sz="4" w:space="0" w:color="auto"/>
            </w:tcBorders>
            <w:shd w:val="clear" w:color="auto" w:fill="auto"/>
            <w:noWrap/>
            <w:vAlign w:val="bottom"/>
            <w:hideMark/>
          </w:tcPr>
          <w:p w:rsidR="00DC769D" w:rsidRPr="003F0E2C" w:rsidRDefault="00DC769D" w:rsidP="00DC769D">
            <w:pPr>
              <w:pStyle w:val="tablesourcenote0"/>
              <w:rPr>
                <w:rFonts w:cs="Arial"/>
                <w:sz w:val="18"/>
                <w:szCs w:val="18"/>
                <w:lang w:val="en-US"/>
              </w:rPr>
            </w:pPr>
            <w:r w:rsidRPr="003F0E2C">
              <w:rPr>
                <w:rFonts w:cs="Arial"/>
                <w:sz w:val="18"/>
                <w:szCs w:val="18"/>
                <w:lang w:val="en-US"/>
              </w:rPr>
              <w:t>66.76</w:t>
            </w:r>
          </w:p>
        </w:tc>
        <w:tc>
          <w:tcPr>
            <w:tcW w:w="1080" w:type="dxa"/>
            <w:tcBorders>
              <w:top w:val="nil"/>
              <w:left w:val="nil"/>
              <w:bottom w:val="single" w:sz="4" w:space="0" w:color="auto"/>
              <w:right w:val="single" w:sz="4" w:space="0" w:color="auto"/>
            </w:tcBorders>
            <w:shd w:val="clear" w:color="auto" w:fill="auto"/>
            <w:noWrap/>
            <w:vAlign w:val="bottom"/>
            <w:hideMark/>
          </w:tcPr>
          <w:p w:rsidR="00DC769D" w:rsidRPr="003F0E2C" w:rsidRDefault="00DC769D" w:rsidP="00871692">
            <w:pPr>
              <w:pStyle w:val="tablesourcenote0"/>
              <w:rPr>
                <w:rFonts w:cs="Arial"/>
                <w:sz w:val="18"/>
                <w:szCs w:val="18"/>
                <w:lang w:val="en-US"/>
              </w:rPr>
            </w:pPr>
            <w:r w:rsidRPr="003F0E2C">
              <w:rPr>
                <w:rFonts w:cs="Arial"/>
                <w:sz w:val="18"/>
                <w:szCs w:val="18"/>
                <w:lang w:val="en-US"/>
              </w:rPr>
              <w:t>65.73</w:t>
            </w:r>
          </w:p>
        </w:tc>
      </w:tr>
    </w:tbl>
    <w:p w:rsidR="00DC769D" w:rsidRPr="00D34CE3" w:rsidRDefault="00DC769D" w:rsidP="00DC769D">
      <w:pPr>
        <w:pStyle w:val="tablesourcenote0"/>
      </w:pPr>
      <w:r w:rsidRPr="00D34CE3">
        <w:rPr>
          <w:i/>
        </w:rPr>
        <w:t>Source:</w:t>
      </w:r>
      <w:r w:rsidRPr="00D34CE3">
        <w:t xml:space="preserve"> </w:t>
      </w:r>
      <w:r w:rsidRPr="003F0E2C">
        <w:rPr>
          <w:i/>
          <w:lang w:val="en-US"/>
        </w:rPr>
        <w:t>Calculated from Trends of Selected Socio-Economy Indicators of Indonesia</w:t>
      </w:r>
      <w:r>
        <w:rPr>
          <w:i/>
          <w:lang w:val="en-US"/>
        </w:rPr>
        <w:t xml:space="preserve"> 2011</w:t>
      </w:r>
      <w:r w:rsidRPr="003F0E2C">
        <w:rPr>
          <w:i/>
          <w:lang w:val="en-US"/>
        </w:rPr>
        <w:t xml:space="preserve">, Table 2.3. </w:t>
      </w:r>
      <w:sdt>
        <w:sdtPr>
          <w:rPr>
            <w:i/>
            <w:lang w:val="en-US"/>
          </w:rPr>
          <w:id w:val="121860882"/>
          <w:citation/>
        </w:sdtPr>
        <w:sdtContent>
          <w:r w:rsidR="00476E26">
            <w:rPr>
              <w:i/>
              <w:lang w:val="en-US"/>
            </w:rPr>
            <w:fldChar w:fldCharType="begin"/>
          </w:r>
          <w:r w:rsidR="005A2BC4">
            <w:rPr>
              <w:i/>
              <w:lang w:val="en-US"/>
            </w:rPr>
            <w:instrText xml:space="preserve"> CITATION BPS11 \p 13 \n  \y  \t  \l 1033  </w:instrText>
          </w:r>
          <w:r w:rsidR="00476E26">
            <w:rPr>
              <w:i/>
              <w:lang w:val="en-US"/>
            </w:rPr>
            <w:fldChar w:fldCharType="separate"/>
          </w:r>
          <w:r w:rsidR="005A2BC4" w:rsidRPr="005A2BC4">
            <w:rPr>
              <w:noProof/>
              <w:lang w:val="en-US"/>
            </w:rPr>
            <w:t>(p. 13)</w:t>
          </w:r>
          <w:r w:rsidR="00476E26">
            <w:rPr>
              <w:i/>
              <w:lang w:val="en-US"/>
            </w:rPr>
            <w:fldChar w:fldCharType="end"/>
          </w:r>
        </w:sdtContent>
      </w:sdt>
      <w:r w:rsidRPr="003F0E2C">
        <w:rPr>
          <w:i/>
          <w:lang w:val="en-US"/>
        </w:rPr>
        <w:t xml:space="preserve">; Labor Force Statistics 2006, Table 17.5. </w:t>
      </w:r>
      <w:sdt>
        <w:sdtPr>
          <w:rPr>
            <w:i/>
            <w:lang w:val="en-US"/>
          </w:rPr>
          <w:id w:val="121860883"/>
          <w:citation/>
        </w:sdtPr>
        <w:sdtContent>
          <w:r w:rsidR="00476E26">
            <w:rPr>
              <w:i/>
              <w:lang w:val="en-US"/>
            </w:rPr>
            <w:fldChar w:fldCharType="begin"/>
          </w:r>
          <w:r w:rsidR="005A2BC4">
            <w:rPr>
              <w:i/>
              <w:lang w:val="en-US"/>
            </w:rPr>
            <w:instrText xml:space="preserve"> CITATION Sta07 \p 91 \n  \y  \t  \l 1033  </w:instrText>
          </w:r>
          <w:r w:rsidR="00476E26">
            <w:rPr>
              <w:i/>
              <w:lang w:val="en-US"/>
            </w:rPr>
            <w:fldChar w:fldCharType="separate"/>
          </w:r>
          <w:r w:rsidR="005A2BC4" w:rsidRPr="005A2BC4">
            <w:rPr>
              <w:noProof/>
              <w:lang w:val="en-US"/>
            </w:rPr>
            <w:t>(p. 91)</w:t>
          </w:r>
          <w:r w:rsidR="00476E26">
            <w:rPr>
              <w:i/>
              <w:lang w:val="en-US"/>
            </w:rPr>
            <w:fldChar w:fldCharType="end"/>
          </w:r>
        </w:sdtContent>
      </w:sdt>
      <w:r w:rsidRPr="003F0E2C">
        <w:rPr>
          <w:i/>
          <w:lang w:val="en-US"/>
        </w:rPr>
        <w:t xml:space="preserve">; 2007, Table 17.1. </w:t>
      </w:r>
      <w:sdt>
        <w:sdtPr>
          <w:rPr>
            <w:i/>
            <w:lang w:val="en-US"/>
          </w:rPr>
          <w:id w:val="121860884"/>
          <w:citation/>
        </w:sdtPr>
        <w:sdtContent>
          <w:r w:rsidR="00476E26">
            <w:rPr>
              <w:i/>
              <w:lang w:val="en-US"/>
            </w:rPr>
            <w:fldChar w:fldCharType="begin"/>
          </w:r>
          <w:r w:rsidR="005A2BC4">
            <w:rPr>
              <w:i/>
              <w:lang w:val="en-US"/>
            </w:rPr>
            <w:instrText xml:space="preserve"> CITATION Sta08 \p 90 \n  \y  \t  \l 1033  </w:instrText>
          </w:r>
          <w:r w:rsidR="00476E26">
            <w:rPr>
              <w:i/>
              <w:lang w:val="en-US"/>
            </w:rPr>
            <w:fldChar w:fldCharType="separate"/>
          </w:r>
          <w:r w:rsidR="005A2BC4" w:rsidRPr="005A2BC4">
            <w:rPr>
              <w:noProof/>
              <w:lang w:val="en-US"/>
            </w:rPr>
            <w:t>(p. 90)</w:t>
          </w:r>
          <w:r w:rsidR="00476E26">
            <w:rPr>
              <w:i/>
              <w:lang w:val="en-US"/>
            </w:rPr>
            <w:fldChar w:fldCharType="end"/>
          </w:r>
        </w:sdtContent>
      </w:sdt>
      <w:r w:rsidRPr="003F0E2C">
        <w:rPr>
          <w:i/>
          <w:lang w:val="en-US"/>
        </w:rPr>
        <w:t xml:space="preserve">; 2008, Table 12.1. </w:t>
      </w:r>
      <w:sdt>
        <w:sdtPr>
          <w:rPr>
            <w:i/>
            <w:lang w:val="en-US"/>
          </w:rPr>
          <w:id w:val="121860885"/>
          <w:citation/>
        </w:sdtPr>
        <w:sdtContent>
          <w:r w:rsidR="00476E26">
            <w:rPr>
              <w:i/>
              <w:lang w:val="en-US"/>
            </w:rPr>
            <w:fldChar w:fldCharType="begin"/>
          </w:r>
          <w:r w:rsidR="005A2BC4">
            <w:rPr>
              <w:i/>
              <w:lang w:val="en-US"/>
            </w:rPr>
            <w:instrText xml:space="preserve"> CITATION Sta09 \p 90 \n  \y  \t  \l 1033  </w:instrText>
          </w:r>
          <w:r w:rsidR="00476E26">
            <w:rPr>
              <w:i/>
              <w:lang w:val="en-US"/>
            </w:rPr>
            <w:fldChar w:fldCharType="separate"/>
          </w:r>
          <w:r w:rsidR="005A2BC4" w:rsidRPr="005A2BC4">
            <w:rPr>
              <w:noProof/>
              <w:lang w:val="en-US"/>
            </w:rPr>
            <w:t>(p. 90)</w:t>
          </w:r>
          <w:r w:rsidR="00476E26">
            <w:rPr>
              <w:i/>
              <w:lang w:val="en-US"/>
            </w:rPr>
            <w:fldChar w:fldCharType="end"/>
          </w:r>
        </w:sdtContent>
      </w:sdt>
      <w:r w:rsidRPr="003F0E2C">
        <w:rPr>
          <w:i/>
          <w:lang w:val="en-US"/>
        </w:rPr>
        <w:t xml:space="preserve">; 2009, Table 12.1. </w:t>
      </w:r>
      <w:sdt>
        <w:sdtPr>
          <w:rPr>
            <w:i/>
            <w:lang w:val="en-US"/>
          </w:rPr>
          <w:id w:val="121860886"/>
          <w:citation/>
        </w:sdtPr>
        <w:sdtContent>
          <w:r w:rsidR="00476E26">
            <w:rPr>
              <w:i/>
              <w:lang w:val="en-US"/>
            </w:rPr>
            <w:fldChar w:fldCharType="begin"/>
          </w:r>
          <w:r w:rsidR="005A2BC4">
            <w:rPr>
              <w:i/>
              <w:lang w:val="en-US"/>
            </w:rPr>
            <w:instrText xml:space="preserve"> CITATION Sta10 \p 92 \n  \y  \t  \l 1033  </w:instrText>
          </w:r>
          <w:r w:rsidR="00476E26">
            <w:rPr>
              <w:i/>
              <w:lang w:val="en-US"/>
            </w:rPr>
            <w:fldChar w:fldCharType="separate"/>
          </w:r>
          <w:r w:rsidR="005A2BC4" w:rsidRPr="005A2BC4">
            <w:rPr>
              <w:noProof/>
              <w:lang w:val="en-US"/>
            </w:rPr>
            <w:t>(p. 92)</w:t>
          </w:r>
          <w:r w:rsidR="00476E26">
            <w:rPr>
              <w:i/>
              <w:lang w:val="en-US"/>
            </w:rPr>
            <w:fldChar w:fldCharType="end"/>
          </w:r>
        </w:sdtContent>
      </w:sdt>
      <w:r w:rsidRPr="003F0E2C">
        <w:rPr>
          <w:i/>
          <w:lang w:val="en-US"/>
        </w:rPr>
        <w:t xml:space="preserve">; 2010, Table 12.1. </w:t>
      </w:r>
      <w:sdt>
        <w:sdtPr>
          <w:rPr>
            <w:i/>
            <w:lang w:val="en-US"/>
          </w:rPr>
          <w:id w:val="121860887"/>
          <w:citation/>
        </w:sdtPr>
        <w:sdtContent>
          <w:r w:rsidR="00476E26">
            <w:rPr>
              <w:i/>
              <w:lang w:val="en-US"/>
            </w:rPr>
            <w:fldChar w:fldCharType="begin"/>
          </w:r>
          <w:r w:rsidR="005A2BC4">
            <w:rPr>
              <w:i/>
              <w:lang w:val="en-US"/>
            </w:rPr>
            <w:instrText xml:space="preserve"> CITATION Sta11 \p 92 \n  \y  \t  \l 1033  </w:instrText>
          </w:r>
          <w:r w:rsidR="00476E26">
            <w:rPr>
              <w:i/>
              <w:lang w:val="en-US"/>
            </w:rPr>
            <w:fldChar w:fldCharType="separate"/>
          </w:r>
          <w:r w:rsidR="005A2BC4" w:rsidRPr="005A2BC4">
            <w:rPr>
              <w:noProof/>
              <w:lang w:val="en-US"/>
            </w:rPr>
            <w:t>(p. 92)</w:t>
          </w:r>
          <w:r w:rsidR="00476E26">
            <w:rPr>
              <w:i/>
              <w:lang w:val="en-US"/>
            </w:rPr>
            <w:fldChar w:fldCharType="end"/>
          </w:r>
        </w:sdtContent>
      </w:sdt>
      <w:r w:rsidRPr="003F0E2C">
        <w:rPr>
          <w:i/>
          <w:lang w:val="en-US"/>
        </w:rPr>
        <w:t>.</w:t>
      </w:r>
    </w:p>
    <w:p w:rsidR="00DC769D" w:rsidRDefault="00DC769D" w:rsidP="00DC769D">
      <w:pPr>
        <w:pStyle w:val="Maptitle"/>
        <w:spacing w:after="100"/>
        <w:ind w:firstLine="432"/>
        <w:jc w:val="both"/>
        <w:rPr>
          <w:rFonts w:ascii="Garamond" w:hAnsi="Garamond"/>
          <w:b w:val="0"/>
          <w:sz w:val="24"/>
        </w:rPr>
      </w:pPr>
    </w:p>
    <w:p w:rsidR="007A2022" w:rsidRDefault="00DC769D" w:rsidP="007A2022">
      <w:pPr>
        <w:pStyle w:val="Maptitle"/>
        <w:spacing w:after="100"/>
        <w:ind w:firstLine="432"/>
        <w:jc w:val="both"/>
        <w:rPr>
          <w:rFonts w:ascii="Garamond" w:hAnsi="Garamond"/>
          <w:b w:val="0"/>
          <w:sz w:val="24"/>
          <w:lang w:val="en-US"/>
        </w:rPr>
      </w:pPr>
      <w:bookmarkStart w:id="106" w:name="_Toc340436332"/>
      <w:r w:rsidRPr="003F0E2C">
        <w:rPr>
          <w:rFonts w:ascii="Garamond" w:hAnsi="Garamond"/>
          <w:b w:val="0"/>
          <w:sz w:val="24"/>
          <w:lang w:val="en-US"/>
        </w:rPr>
        <w:t xml:space="preserve">The tendency of land use in Java, for more or less 20 years since 1983 </w:t>
      </w:r>
      <w:r w:rsidR="00C101B7">
        <w:rPr>
          <w:rFonts w:ascii="Garamond" w:hAnsi="Garamond"/>
          <w:b w:val="0"/>
          <w:sz w:val="24"/>
          <w:lang w:val="en-US"/>
        </w:rPr>
        <w:t xml:space="preserve">to 2000 has reflected that </w:t>
      </w:r>
      <w:r w:rsidRPr="003F0E2C">
        <w:rPr>
          <w:rFonts w:ascii="Garamond" w:hAnsi="Garamond"/>
          <w:b w:val="0"/>
          <w:sz w:val="24"/>
          <w:lang w:val="en-US"/>
        </w:rPr>
        <w:t xml:space="preserve">land allocation for industrial activities and development of a new area for housing </w:t>
      </w:r>
      <w:r w:rsidR="00C101B7">
        <w:rPr>
          <w:rFonts w:ascii="Garamond" w:hAnsi="Garamond"/>
          <w:b w:val="0"/>
          <w:sz w:val="24"/>
          <w:lang w:val="en-US"/>
        </w:rPr>
        <w:t>had increase</w:t>
      </w:r>
      <w:r w:rsidRPr="003F0E2C">
        <w:rPr>
          <w:rFonts w:ascii="Garamond" w:hAnsi="Garamond"/>
          <w:b w:val="0"/>
          <w:sz w:val="24"/>
          <w:lang w:val="en-US"/>
        </w:rPr>
        <w:t>, but for people agricultur</w:t>
      </w:r>
      <w:r w:rsidR="00C101B7">
        <w:rPr>
          <w:rFonts w:ascii="Garamond" w:hAnsi="Garamond"/>
          <w:b w:val="0"/>
          <w:sz w:val="24"/>
          <w:lang w:val="en-US"/>
        </w:rPr>
        <w:t>al</w:t>
      </w:r>
      <w:r w:rsidRPr="003F0E2C">
        <w:rPr>
          <w:rFonts w:ascii="Garamond" w:hAnsi="Garamond"/>
          <w:b w:val="0"/>
          <w:sz w:val="24"/>
          <w:lang w:val="en-US"/>
        </w:rPr>
        <w:t xml:space="preserve"> land and </w:t>
      </w:r>
      <w:r w:rsidRPr="00C101B7">
        <w:rPr>
          <w:rFonts w:ascii="Garamond" w:hAnsi="Garamond"/>
          <w:b w:val="0"/>
          <w:sz w:val="24"/>
          <w:lang w:val="en-US"/>
        </w:rPr>
        <w:t>large plantation were relatively stable</w:t>
      </w:r>
      <w:r w:rsidR="00C101B7" w:rsidRPr="00C101B7">
        <w:rPr>
          <w:rFonts w:ascii="Garamond" w:hAnsi="Garamond"/>
          <w:b w:val="0"/>
          <w:sz w:val="24"/>
          <w:lang w:val="en-US"/>
        </w:rPr>
        <w:t xml:space="preserve"> </w:t>
      </w:r>
      <w:sdt>
        <w:sdtPr>
          <w:rPr>
            <w:rFonts w:ascii="Garamond" w:hAnsi="Garamond"/>
            <w:b w:val="0"/>
            <w:sz w:val="24"/>
            <w:lang w:val="en-US"/>
          </w:rPr>
          <w:id w:val="5033438"/>
          <w:citation/>
        </w:sdtPr>
        <w:sdtContent>
          <w:r w:rsidR="00476E26" w:rsidRPr="00C101B7">
            <w:rPr>
              <w:rFonts w:ascii="Garamond" w:hAnsi="Garamond"/>
              <w:b w:val="0"/>
              <w:sz w:val="24"/>
              <w:lang w:val="en-US"/>
            </w:rPr>
            <w:fldChar w:fldCharType="begin"/>
          </w:r>
          <w:r w:rsidR="00C101B7" w:rsidRPr="00C101B7">
            <w:rPr>
              <w:rFonts w:ascii="Garamond" w:hAnsi="Garamond"/>
              <w:b w:val="0"/>
              <w:sz w:val="24"/>
              <w:lang w:val="en-US"/>
            </w:rPr>
            <w:instrText xml:space="preserve"> CITATION Bac11 \p 37 \t  \l 1033  </w:instrText>
          </w:r>
          <w:r w:rsidR="00476E26" w:rsidRPr="00C101B7">
            <w:rPr>
              <w:rFonts w:ascii="Garamond" w:hAnsi="Garamond"/>
              <w:b w:val="0"/>
              <w:sz w:val="24"/>
              <w:lang w:val="en-US"/>
            </w:rPr>
            <w:fldChar w:fldCharType="separate"/>
          </w:r>
          <w:r w:rsidR="00C101B7" w:rsidRPr="00C101B7">
            <w:rPr>
              <w:rFonts w:ascii="Garamond" w:hAnsi="Garamond"/>
              <w:b w:val="0"/>
              <w:noProof/>
              <w:sz w:val="24"/>
              <w:lang w:val="en-US"/>
            </w:rPr>
            <w:t>(Bachriadi &amp; Wiradi, 2011, p. 37)</w:t>
          </w:r>
          <w:r w:rsidR="00476E26" w:rsidRPr="00C101B7">
            <w:rPr>
              <w:rFonts w:ascii="Garamond" w:hAnsi="Garamond"/>
              <w:b w:val="0"/>
              <w:sz w:val="24"/>
              <w:lang w:val="en-US"/>
            </w:rPr>
            <w:fldChar w:fldCharType="end"/>
          </w:r>
        </w:sdtContent>
      </w:sdt>
      <w:r w:rsidRPr="00C101B7">
        <w:rPr>
          <w:rFonts w:ascii="Garamond" w:hAnsi="Garamond"/>
          <w:b w:val="0"/>
          <w:sz w:val="24"/>
          <w:lang w:val="en-US"/>
        </w:rPr>
        <w:t>.</w:t>
      </w:r>
      <w:r w:rsidRPr="003F0E2C">
        <w:rPr>
          <w:rFonts w:ascii="Garamond" w:hAnsi="Garamond"/>
          <w:b w:val="0"/>
          <w:sz w:val="24"/>
          <w:lang w:val="en-US"/>
        </w:rPr>
        <w:t xml:space="preserve"> However, paddy harvest areas in Indonesia have declined since 1990s impacted to declining of paddy production</w:t>
      </w:r>
      <w:r w:rsidR="00B125E6">
        <w:rPr>
          <w:rStyle w:val="FootnoteReference"/>
          <w:b w:val="0"/>
          <w:lang w:val="en-US"/>
        </w:rPr>
        <w:footnoteReference w:id="22"/>
      </w:r>
      <w:r w:rsidRPr="003F0E2C">
        <w:rPr>
          <w:rFonts w:ascii="Garamond" w:hAnsi="Garamond"/>
          <w:b w:val="0"/>
          <w:sz w:val="24"/>
          <w:lang w:val="en-US"/>
        </w:rPr>
        <w:t xml:space="preserve">. </w:t>
      </w:r>
      <w:r w:rsidR="00B125E6" w:rsidRPr="00B125E6">
        <w:rPr>
          <w:rFonts w:ascii="Garamond" w:hAnsi="Garamond"/>
          <w:b w:val="0"/>
          <w:sz w:val="24"/>
          <w:lang w:val="en-US"/>
        </w:rPr>
        <w:t>In earlier 1990s, almost 50% of harvest areas in Indonesia have located in Java, which has been covering 50% of national production. Some studies, in 1995, demonstrated that 22.6 thousand hectares of agricultural land in Java were converted to non-agricultural land. In fact, the conversion from agricultural land into non agriculture purposes in Java already happened since the ‘80s: For instance, from 1986 to 1989, paddy field areas in Java had declined by 2.3% yearly</w:t>
      </w:r>
      <w:r w:rsidRPr="005A2BC4">
        <w:rPr>
          <w:rFonts w:ascii="Garamond" w:hAnsi="Garamond"/>
          <w:b w:val="0"/>
          <w:sz w:val="24"/>
          <w:lang w:val="en-US"/>
        </w:rPr>
        <w:t xml:space="preserve"> </w:t>
      </w:r>
      <w:sdt>
        <w:sdtPr>
          <w:rPr>
            <w:rFonts w:ascii="Garamond" w:hAnsi="Garamond"/>
            <w:b w:val="0"/>
            <w:sz w:val="24"/>
            <w:lang w:val="en-US"/>
          </w:rPr>
          <w:id w:val="121860888"/>
          <w:citation/>
        </w:sdtPr>
        <w:sdtContent>
          <w:r w:rsidR="00476E26" w:rsidRPr="005A2BC4">
            <w:rPr>
              <w:rFonts w:ascii="Garamond" w:hAnsi="Garamond"/>
              <w:b w:val="0"/>
              <w:sz w:val="24"/>
              <w:lang w:val="en-US"/>
            </w:rPr>
            <w:fldChar w:fldCharType="begin"/>
          </w:r>
          <w:r w:rsidR="005A2BC4" w:rsidRPr="005A2BC4">
            <w:rPr>
              <w:rFonts w:ascii="Garamond" w:hAnsi="Garamond"/>
              <w:b w:val="0"/>
              <w:sz w:val="24"/>
              <w:lang w:val="en-US"/>
            </w:rPr>
            <w:instrText xml:space="preserve"> CITATION Bac11 \p 35 \t  \l 1033  </w:instrText>
          </w:r>
          <w:r w:rsidR="00476E26" w:rsidRPr="005A2BC4">
            <w:rPr>
              <w:rFonts w:ascii="Garamond" w:hAnsi="Garamond"/>
              <w:b w:val="0"/>
              <w:sz w:val="24"/>
              <w:lang w:val="en-US"/>
            </w:rPr>
            <w:fldChar w:fldCharType="separate"/>
          </w:r>
          <w:r w:rsidR="005A2BC4" w:rsidRPr="005A2BC4">
            <w:rPr>
              <w:rFonts w:ascii="Garamond" w:hAnsi="Garamond"/>
              <w:b w:val="0"/>
              <w:noProof/>
              <w:sz w:val="24"/>
              <w:lang w:val="en-US"/>
            </w:rPr>
            <w:t>(Bachriadi &amp; Wiradi, 2011, p. 35)</w:t>
          </w:r>
          <w:r w:rsidR="00476E26" w:rsidRPr="005A2BC4">
            <w:rPr>
              <w:rFonts w:ascii="Garamond" w:hAnsi="Garamond"/>
              <w:b w:val="0"/>
              <w:sz w:val="24"/>
              <w:lang w:val="en-US"/>
            </w:rPr>
            <w:fldChar w:fldCharType="end"/>
          </w:r>
        </w:sdtContent>
      </w:sdt>
      <w:r w:rsidR="005A2BC4" w:rsidRPr="005A2BC4">
        <w:rPr>
          <w:rFonts w:ascii="Garamond" w:hAnsi="Garamond"/>
          <w:b w:val="0"/>
          <w:sz w:val="24"/>
          <w:lang w:val="en-US"/>
        </w:rPr>
        <w:t>.</w:t>
      </w:r>
      <w:bookmarkEnd w:id="106"/>
    </w:p>
    <w:p w:rsidR="00DC769D" w:rsidRPr="007A2022" w:rsidRDefault="00871692" w:rsidP="007A2022">
      <w:pPr>
        <w:pStyle w:val="Maptitle"/>
        <w:spacing w:after="100"/>
        <w:ind w:firstLine="432"/>
        <w:jc w:val="both"/>
        <w:rPr>
          <w:rFonts w:ascii="Garamond" w:hAnsi="Garamond"/>
          <w:b w:val="0"/>
          <w:sz w:val="24"/>
          <w:lang w:val="en-US"/>
        </w:rPr>
      </w:pPr>
      <w:r w:rsidRPr="007A2022">
        <w:rPr>
          <w:rFonts w:ascii="Garamond" w:hAnsi="Garamond"/>
          <w:b w:val="0"/>
          <w:sz w:val="24"/>
        </w:rPr>
        <w:t xml:space="preserve">According to ARC’s data </w:t>
      </w:r>
      <w:sdt>
        <w:sdtPr>
          <w:rPr>
            <w:rFonts w:ascii="Garamond" w:hAnsi="Garamond"/>
            <w:b w:val="0"/>
            <w:sz w:val="24"/>
          </w:rPr>
          <w:id w:val="5033457"/>
          <w:citation/>
        </w:sdtPr>
        <w:sdtContent>
          <w:r w:rsidR="00476E26" w:rsidRPr="007A2022">
            <w:rPr>
              <w:rFonts w:ascii="Garamond" w:hAnsi="Garamond"/>
              <w:b w:val="0"/>
              <w:sz w:val="24"/>
            </w:rPr>
            <w:fldChar w:fldCharType="begin"/>
          </w:r>
          <w:r w:rsidRPr="007A2022">
            <w:rPr>
              <w:rFonts w:ascii="Garamond" w:hAnsi="Garamond"/>
              <w:b w:val="0"/>
              <w:sz w:val="24"/>
              <w:lang w:val="en-US"/>
            </w:rPr>
            <w:instrText xml:space="preserve"> CITATION ARC11 \l 1033 </w:instrText>
          </w:r>
          <w:r w:rsidR="00476E26" w:rsidRPr="007A2022">
            <w:rPr>
              <w:rFonts w:ascii="Garamond" w:hAnsi="Garamond"/>
              <w:b w:val="0"/>
              <w:sz w:val="24"/>
            </w:rPr>
            <w:fldChar w:fldCharType="separate"/>
          </w:r>
          <w:r w:rsidRPr="007A2022">
            <w:rPr>
              <w:rFonts w:ascii="Garamond" w:hAnsi="Garamond"/>
              <w:b w:val="0"/>
              <w:noProof/>
              <w:sz w:val="24"/>
              <w:lang w:val="en-US"/>
            </w:rPr>
            <w:t>(ARC, 2011)</w:t>
          </w:r>
          <w:r w:rsidR="00476E26" w:rsidRPr="007A2022">
            <w:rPr>
              <w:rFonts w:ascii="Garamond" w:hAnsi="Garamond"/>
              <w:b w:val="0"/>
              <w:sz w:val="24"/>
            </w:rPr>
            <w:fldChar w:fldCharType="end"/>
          </w:r>
        </w:sdtContent>
      </w:sdt>
      <w:r w:rsidRPr="007A2022">
        <w:rPr>
          <w:rFonts w:ascii="Garamond" w:hAnsi="Garamond"/>
          <w:b w:val="0"/>
          <w:sz w:val="24"/>
        </w:rPr>
        <w:t xml:space="preserve">, the </w:t>
      </w:r>
      <w:r w:rsidRPr="007A2022">
        <w:rPr>
          <w:rFonts w:ascii="Garamond" w:hAnsi="Garamond"/>
          <w:b w:val="0"/>
          <w:i/>
          <w:sz w:val="24"/>
        </w:rPr>
        <w:t>Gini</w:t>
      </w:r>
      <w:r w:rsidRPr="007A2022">
        <w:rPr>
          <w:rFonts w:ascii="Garamond" w:hAnsi="Garamond"/>
          <w:b w:val="0"/>
          <w:sz w:val="24"/>
        </w:rPr>
        <w:t xml:space="preserve"> Coefficient of land control by peasant households in the six provinces in Java, as calculated from the 2003 Agricultural Census data, are around 0.45 to 0.66  (DKI Jakarta: 0.66, West Java: 0.53, East Java: 0.49, Banten: 0.48, Central Java: 0.46, and DIY: 0.45). Compared to </w:t>
      </w:r>
      <w:r w:rsidRPr="007A2022">
        <w:rPr>
          <w:rFonts w:ascii="Garamond" w:hAnsi="Garamond"/>
          <w:b w:val="0"/>
          <w:i/>
          <w:sz w:val="24"/>
        </w:rPr>
        <w:t>Gini</w:t>
      </w:r>
      <w:r w:rsidRPr="007A2022">
        <w:rPr>
          <w:rFonts w:ascii="Garamond" w:hAnsi="Garamond"/>
          <w:b w:val="0"/>
          <w:sz w:val="24"/>
        </w:rPr>
        <w:t xml:space="preserve"> Coefficient of the two similar censuses results conducted in 1973 and 1983 as calculated by Booth, which were 0.49 and 0.47 </w:t>
      </w:r>
      <w:sdt>
        <w:sdtPr>
          <w:rPr>
            <w:rFonts w:ascii="Garamond" w:hAnsi="Garamond"/>
            <w:b w:val="0"/>
            <w:sz w:val="24"/>
          </w:rPr>
          <w:id w:val="5033458"/>
          <w:citation/>
        </w:sdtPr>
        <w:sdtContent>
          <w:r w:rsidR="00476E26" w:rsidRPr="007A2022">
            <w:rPr>
              <w:rFonts w:ascii="Garamond" w:hAnsi="Garamond"/>
              <w:b w:val="0"/>
              <w:sz w:val="24"/>
            </w:rPr>
            <w:fldChar w:fldCharType="begin"/>
          </w:r>
          <w:r w:rsidRPr="007A2022">
            <w:rPr>
              <w:rFonts w:ascii="Garamond" w:hAnsi="Garamond"/>
              <w:b w:val="0"/>
              <w:sz w:val="24"/>
              <w:lang w:val="en-US"/>
            </w:rPr>
            <w:instrText xml:space="preserve"> CITATION Boo88 \p 59 \l 1033  </w:instrText>
          </w:r>
          <w:r w:rsidR="00476E26" w:rsidRPr="007A2022">
            <w:rPr>
              <w:rFonts w:ascii="Garamond" w:hAnsi="Garamond"/>
              <w:b w:val="0"/>
              <w:sz w:val="24"/>
            </w:rPr>
            <w:fldChar w:fldCharType="separate"/>
          </w:r>
          <w:r w:rsidRPr="007A2022">
            <w:rPr>
              <w:rFonts w:ascii="Garamond" w:hAnsi="Garamond"/>
              <w:b w:val="0"/>
              <w:noProof/>
              <w:sz w:val="24"/>
              <w:lang w:val="en-US"/>
            </w:rPr>
            <w:t>(Booth, 1988, p. 59)</w:t>
          </w:r>
          <w:r w:rsidR="00476E26" w:rsidRPr="007A2022">
            <w:rPr>
              <w:rFonts w:ascii="Garamond" w:hAnsi="Garamond"/>
              <w:b w:val="0"/>
              <w:sz w:val="24"/>
            </w:rPr>
            <w:fldChar w:fldCharType="end"/>
          </w:r>
        </w:sdtContent>
      </w:sdt>
      <w:r w:rsidRPr="007A2022">
        <w:rPr>
          <w:rFonts w:ascii="Garamond" w:hAnsi="Garamond"/>
          <w:b w:val="0"/>
          <w:sz w:val="24"/>
        </w:rPr>
        <w:t xml:space="preserve">, it reflects stagnant inequality conditions in Java </w:t>
      </w:r>
      <w:sdt>
        <w:sdtPr>
          <w:rPr>
            <w:rFonts w:ascii="Garamond" w:hAnsi="Garamond"/>
            <w:b w:val="0"/>
            <w:sz w:val="24"/>
          </w:rPr>
          <w:id w:val="5033459"/>
          <w:citation/>
        </w:sdtPr>
        <w:sdtContent>
          <w:r w:rsidR="00476E26" w:rsidRPr="007A2022">
            <w:rPr>
              <w:rFonts w:ascii="Garamond" w:hAnsi="Garamond"/>
              <w:b w:val="0"/>
              <w:sz w:val="24"/>
            </w:rPr>
            <w:fldChar w:fldCharType="begin"/>
          </w:r>
          <w:r w:rsidRPr="007A2022">
            <w:rPr>
              <w:rFonts w:ascii="Garamond" w:hAnsi="Garamond"/>
              <w:b w:val="0"/>
              <w:sz w:val="24"/>
              <w:lang w:val="en-US"/>
            </w:rPr>
            <w:instrText xml:space="preserve"> CITATION Bac11 \p 18 \t  \l 1033  </w:instrText>
          </w:r>
          <w:r w:rsidR="00476E26" w:rsidRPr="007A2022">
            <w:rPr>
              <w:rFonts w:ascii="Garamond" w:hAnsi="Garamond"/>
              <w:b w:val="0"/>
              <w:sz w:val="24"/>
            </w:rPr>
            <w:fldChar w:fldCharType="separate"/>
          </w:r>
          <w:r w:rsidRPr="007A2022">
            <w:rPr>
              <w:rFonts w:ascii="Garamond" w:hAnsi="Garamond"/>
              <w:b w:val="0"/>
              <w:noProof/>
              <w:sz w:val="24"/>
              <w:lang w:val="en-US"/>
            </w:rPr>
            <w:t>(Bachriadi &amp; Wiradi, 2011, p. 18)</w:t>
          </w:r>
          <w:r w:rsidR="00476E26" w:rsidRPr="007A2022">
            <w:rPr>
              <w:rFonts w:ascii="Garamond" w:hAnsi="Garamond"/>
              <w:b w:val="0"/>
              <w:sz w:val="24"/>
            </w:rPr>
            <w:fldChar w:fldCharType="end"/>
          </w:r>
        </w:sdtContent>
      </w:sdt>
      <w:r w:rsidRPr="007A2022">
        <w:rPr>
          <w:rFonts w:ascii="Garamond" w:hAnsi="Garamond"/>
          <w:b w:val="0"/>
          <w:sz w:val="24"/>
        </w:rPr>
        <w:t xml:space="preserve">. Therefore, since 1970s, development strategy </w:t>
      </w:r>
      <w:r w:rsidRPr="007A2022">
        <w:rPr>
          <w:rFonts w:ascii="Garamond" w:hAnsi="Garamond"/>
          <w:b w:val="0"/>
          <w:sz w:val="24"/>
        </w:rPr>
        <w:lastRenderedPageBreak/>
        <w:t>implemented in Java has had no impact to reduce inequality of land control by peasant households in this island.</w:t>
      </w:r>
    </w:p>
    <w:p w:rsidR="00502422" w:rsidRPr="003F0E2C" w:rsidRDefault="00502422" w:rsidP="00502422">
      <w:pPr>
        <w:pStyle w:val="Heading2"/>
      </w:pPr>
      <w:bookmarkStart w:id="107" w:name="_Toc335596236"/>
      <w:bookmarkStart w:id="108" w:name="_Toc335606090"/>
      <w:bookmarkStart w:id="109" w:name="_Toc340135843"/>
      <w:bookmarkStart w:id="110" w:name="_Toc340497434"/>
      <w:r>
        <w:t xml:space="preserve">3.2. </w:t>
      </w:r>
      <w:r w:rsidRPr="003F0E2C">
        <w:t>Java</w:t>
      </w:r>
      <w:r>
        <w:t>’s</w:t>
      </w:r>
      <w:r w:rsidRPr="003F0E2C">
        <w:t xml:space="preserve"> Economic Corridor in MP3EI </w:t>
      </w:r>
      <w:bookmarkEnd w:id="107"/>
      <w:r w:rsidRPr="003F0E2C">
        <w:t>Policy</w:t>
      </w:r>
      <w:bookmarkEnd w:id="108"/>
      <w:bookmarkEnd w:id="109"/>
      <w:bookmarkEnd w:id="110"/>
    </w:p>
    <w:p w:rsidR="00502422" w:rsidRDefault="00765D4D" w:rsidP="00BA362D">
      <w:pPr>
        <w:pStyle w:val="Maptitle"/>
        <w:spacing w:after="100"/>
        <w:jc w:val="both"/>
        <w:rPr>
          <w:iCs/>
        </w:rPr>
      </w:pPr>
      <w:bookmarkStart w:id="111" w:name="_Toc340436335"/>
      <w:r w:rsidRPr="00765D4D">
        <w:rPr>
          <w:rFonts w:ascii="Garamond" w:hAnsi="Garamond"/>
          <w:b w:val="0"/>
          <w:sz w:val="24"/>
          <w:lang w:val="en-US"/>
        </w:rPr>
        <w:t xml:space="preserve">One of the corridors in MP3EI is Java Economic Corridor (JEC) directed to development of “Driver for National Industry and Services Provision.” </w:t>
      </w:r>
      <w:r>
        <w:rPr>
          <w:rFonts w:ascii="Garamond" w:hAnsi="Garamond"/>
          <w:b w:val="0"/>
          <w:sz w:val="24"/>
          <w:lang w:val="en-US"/>
        </w:rPr>
        <w:t>In practice t</w:t>
      </w:r>
      <w:r w:rsidR="00502422" w:rsidRPr="00765D4D">
        <w:rPr>
          <w:rFonts w:ascii="Garamond" w:hAnsi="Garamond"/>
          <w:b w:val="0"/>
          <w:sz w:val="24"/>
          <w:lang w:val="en-US"/>
        </w:rPr>
        <w:t>he</w:t>
      </w:r>
      <w:r w:rsidR="00502422" w:rsidRPr="003F0E2C">
        <w:rPr>
          <w:rFonts w:ascii="Garamond" w:hAnsi="Garamond"/>
          <w:b w:val="0"/>
          <w:sz w:val="24"/>
          <w:lang w:val="en-US"/>
        </w:rPr>
        <w:t xml:space="preserve"> JEC can be seen as a</w:t>
      </w:r>
      <w:r w:rsidR="00BA362D">
        <w:rPr>
          <w:rFonts w:ascii="Garamond" w:hAnsi="Garamond"/>
          <w:b w:val="0"/>
          <w:sz w:val="24"/>
          <w:lang w:val="en-US"/>
        </w:rPr>
        <w:t xml:space="preserve">n effort of the business community </w:t>
      </w:r>
      <w:r w:rsidR="00502422" w:rsidRPr="003F0E2C">
        <w:rPr>
          <w:rFonts w:ascii="Garamond" w:hAnsi="Garamond"/>
          <w:b w:val="0"/>
          <w:sz w:val="24"/>
          <w:lang w:val="en-US"/>
        </w:rPr>
        <w:t>to convince provincial government</w:t>
      </w:r>
      <w:r w:rsidR="00BA362D">
        <w:rPr>
          <w:rFonts w:ascii="Garamond" w:hAnsi="Garamond"/>
          <w:b w:val="0"/>
          <w:sz w:val="24"/>
          <w:lang w:val="en-US"/>
        </w:rPr>
        <w:t>s</w:t>
      </w:r>
      <w:r w:rsidR="00502422" w:rsidRPr="003F0E2C">
        <w:rPr>
          <w:rFonts w:ascii="Garamond" w:hAnsi="Garamond"/>
          <w:b w:val="0"/>
          <w:sz w:val="24"/>
          <w:lang w:val="en-US"/>
        </w:rPr>
        <w:t xml:space="preserve"> in facilitating investments. Likewise the MP3EI in national level, the JEC does not prioritize </w:t>
      </w:r>
      <w:r w:rsidR="0068062E">
        <w:rPr>
          <w:rFonts w:ascii="Garamond" w:hAnsi="Garamond"/>
          <w:b w:val="0"/>
          <w:sz w:val="24"/>
          <w:lang w:val="en-US"/>
        </w:rPr>
        <w:t xml:space="preserve">the </w:t>
      </w:r>
      <w:r w:rsidR="00502422" w:rsidRPr="003F0E2C">
        <w:rPr>
          <w:rFonts w:ascii="Garamond" w:hAnsi="Garamond"/>
          <w:b w:val="0"/>
          <w:sz w:val="24"/>
          <w:lang w:val="en-US"/>
        </w:rPr>
        <w:t>lack of attenti</w:t>
      </w:r>
      <w:r w:rsidR="0068062E">
        <w:rPr>
          <w:rFonts w:ascii="Garamond" w:hAnsi="Garamond"/>
          <w:b w:val="0"/>
          <w:sz w:val="24"/>
          <w:lang w:val="en-US"/>
        </w:rPr>
        <w:t>ve</w:t>
      </w:r>
      <w:r w:rsidR="00502422" w:rsidRPr="003F0E2C">
        <w:rPr>
          <w:rFonts w:ascii="Garamond" w:hAnsi="Garamond"/>
          <w:b w:val="0"/>
          <w:sz w:val="24"/>
          <w:lang w:val="en-US"/>
        </w:rPr>
        <w:t xml:space="preserve"> areas. The form of </w:t>
      </w:r>
      <w:r w:rsidR="00502422">
        <w:rPr>
          <w:rFonts w:ascii="Garamond" w:hAnsi="Garamond"/>
          <w:b w:val="0"/>
          <w:sz w:val="24"/>
          <w:lang w:val="en-US"/>
        </w:rPr>
        <w:t xml:space="preserve">focused </w:t>
      </w:r>
      <w:r w:rsidR="00502422" w:rsidRPr="003F0E2C">
        <w:rPr>
          <w:rFonts w:ascii="Garamond" w:hAnsi="Garamond"/>
          <w:b w:val="0"/>
          <w:sz w:val="24"/>
          <w:lang w:val="en-US"/>
        </w:rPr>
        <w:t xml:space="preserve">investments area (KPI) connects various cities that have had investment’s flows and the investors have faced kinds of legal and technical problems. Through the JEC planning, all of the KPI’s </w:t>
      </w:r>
      <w:r w:rsidR="00BA362D">
        <w:rPr>
          <w:rFonts w:ascii="Garamond" w:hAnsi="Garamond"/>
          <w:b w:val="0"/>
          <w:sz w:val="24"/>
          <w:lang w:val="en-US"/>
        </w:rPr>
        <w:t xml:space="preserve">areas </w:t>
      </w:r>
      <w:r w:rsidR="00502422" w:rsidRPr="003F0E2C">
        <w:rPr>
          <w:rFonts w:ascii="Garamond" w:hAnsi="Garamond"/>
          <w:b w:val="0"/>
          <w:sz w:val="24"/>
          <w:lang w:val="en-US"/>
        </w:rPr>
        <w:t xml:space="preserve">will be well-connected to the five cities </w:t>
      </w:r>
      <w:r w:rsidR="00BA362D">
        <w:rPr>
          <w:rFonts w:ascii="Garamond" w:hAnsi="Garamond"/>
          <w:b w:val="0"/>
          <w:sz w:val="24"/>
          <w:lang w:val="en-US"/>
        </w:rPr>
        <w:t xml:space="preserve">(Jakarta, Bandung, Semarang, Jogjakarta and Surabaya) </w:t>
      </w:r>
      <w:r w:rsidR="00502422" w:rsidRPr="003F0E2C">
        <w:rPr>
          <w:rFonts w:ascii="Garamond" w:hAnsi="Garamond"/>
          <w:b w:val="0"/>
          <w:sz w:val="24"/>
          <w:lang w:val="en-US"/>
        </w:rPr>
        <w:t>as center of economic activities in Java as well as to the port and airport that has framing in MP3EI.</w:t>
      </w:r>
      <w:bookmarkEnd w:id="111"/>
      <w:r w:rsidR="00BA362D">
        <w:rPr>
          <w:rFonts w:ascii="Garamond" w:hAnsi="Garamond"/>
          <w:b w:val="0"/>
          <w:sz w:val="24"/>
          <w:lang w:val="en-US"/>
        </w:rPr>
        <w:t xml:space="preserve"> These </w:t>
      </w:r>
      <w:r w:rsidR="00502422" w:rsidRPr="00BA362D">
        <w:rPr>
          <w:rFonts w:ascii="Garamond" w:hAnsi="Garamond"/>
          <w:b w:val="0"/>
          <w:iCs/>
          <w:sz w:val="24"/>
        </w:rPr>
        <w:t xml:space="preserve">five leading cities covering six main economic activities, there are food and beverage, textile, shipping, defence equipment, transportation and ICT, plus two non-economic activities, which are oil and gas, and steel, as well as one development area, </w:t>
      </w:r>
      <w:r w:rsidR="00502422" w:rsidRPr="00B168AD">
        <w:rPr>
          <w:rFonts w:ascii="Garamond" w:hAnsi="Garamond"/>
          <w:b w:val="0"/>
          <w:i/>
          <w:iCs/>
          <w:sz w:val="24"/>
        </w:rPr>
        <w:t>Jabodetabek</w:t>
      </w:r>
      <w:r w:rsidR="00502422" w:rsidRPr="00BA362D">
        <w:rPr>
          <w:rFonts w:ascii="Garamond" w:hAnsi="Garamond"/>
          <w:b w:val="0"/>
          <w:iCs/>
          <w:sz w:val="24"/>
        </w:rPr>
        <w:t xml:space="preserve"> area </w:t>
      </w:r>
      <w:sdt>
        <w:sdtPr>
          <w:rPr>
            <w:rFonts w:ascii="Garamond" w:hAnsi="Garamond"/>
            <w:b w:val="0"/>
            <w:iCs/>
            <w:sz w:val="24"/>
          </w:rPr>
          <w:id w:val="121860895"/>
          <w:citation/>
        </w:sdtPr>
        <w:sdtContent>
          <w:r w:rsidR="00476E26" w:rsidRPr="00BA362D">
            <w:rPr>
              <w:rFonts w:ascii="Garamond" w:hAnsi="Garamond"/>
              <w:b w:val="0"/>
              <w:iCs/>
              <w:sz w:val="24"/>
            </w:rPr>
            <w:fldChar w:fldCharType="begin"/>
          </w:r>
          <w:r w:rsidR="00502422" w:rsidRPr="00BA362D">
            <w:rPr>
              <w:rFonts w:ascii="Garamond" w:hAnsi="Garamond"/>
              <w:b w:val="0"/>
              <w:iCs/>
              <w:sz w:val="24"/>
              <w:lang w:val="en-US"/>
            </w:rPr>
            <w:instrText xml:space="preserve"> CITATION Tim12 \p 5 \l 1033  </w:instrText>
          </w:r>
          <w:r w:rsidR="00476E26" w:rsidRPr="00BA362D">
            <w:rPr>
              <w:rFonts w:ascii="Garamond" w:hAnsi="Garamond"/>
              <w:b w:val="0"/>
              <w:iCs/>
              <w:sz w:val="24"/>
            </w:rPr>
            <w:fldChar w:fldCharType="separate"/>
          </w:r>
          <w:r w:rsidR="00502422" w:rsidRPr="00BA362D">
            <w:rPr>
              <w:rFonts w:ascii="Garamond" w:hAnsi="Garamond"/>
              <w:b w:val="0"/>
              <w:noProof/>
              <w:sz w:val="24"/>
              <w:lang w:val="en-US"/>
            </w:rPr>
            <w:t>(Tim Kerja MP3EI Jawa, 2012, p. 5)</w:t>
          </w:r>
          <w:r w:rsidR="00476E26" w:rsidRPr="00BA362D">
            <w:rPr>
              <w:rFonts w:ascii="Garamond" w:hAnsi="Garamond"/>
              <w:b w:val="0"/>
              <w:iCs/>
              <w:sz w:val="24"/>
            </w:rPr>
            <w:fldChar w:fldCharType="end"/>
          </w:r>
        </w:sdtContent>
      </w:sdt>
      <w:r w:rsidR="00502422" w:rsidRPr="00BA362D">
        <w:rPr>
          <w:rFonts w:ascii="Garamond" w:hAnsi="Garamond"/>
          <w:b w:val="0"/>
          <w:iCs/>
          <w:sz w:val="24"/>
        </w:rPr>
        <w:t>. As stated in planning document, JEC has the greatest indication of investment value, which is 32% from the total investment indication needs in MP3EI</w:t>
      </w:r>
      <w:r w:rsidR="00502422" w:rsidRPr="00BA362D">
        <w:rPr>
          <w:rStyle w:val="FootnoteReference"/>
          <w:b w:val="0"/>
          <w:iCs/>
          <w:sz w:val="24"/>
        </w:rPr>
        <w:footnoteReference w:id="23"/>
      </w:r>
      <w:r w:rsidR="00502422" w:rsidRPr="00BA362D">
        <w:rPr>
          <w:rFonts w:ascii="Garamond" w:hAnsi="Garamond"/>
          <w:b w:val="0"/>
          <w:iCs/>
          <w:sz w:val="24"/>
        </w:rPr>
        <w:t xml:space="preserve">. With a land area that is smaller than the other corridors, the biggest indication of investment value in Java demonstrates a density of an investment in Java with the MP3EI. As the whole target of MP3EI, JEC expects to gain its GDP around 13%, which is similar with a target that has planned in </w:t>
      </w:r>
      <w:r w:rsidR="00BA362D">
        <w:rPr>
          <w:rFonts w:ascii="Garamond" w:hAnsi="Garamond"/>
          <w:b w:val="0"/>
          <w:iCs/>
          <w:sz w:val="24"/>
        </w:rPr>
        <w:t xml:space="preserve">the </w:t>
      </w:r>
      <w:r w:rsidR="00502422" w:rsidRPr="00BA362D">
        <w:rPr>
          <w:rFonts w:ascii="Garamond" w:hAnsi="Garamond"/>
          <w:b w:val="0"/>
          <w:iCs/>
          <w:sz w:val="24"/>
        </w:rPr>
        <w:t>Long and Medium</w:t>
      </w:r>
      <w:r w:rsidR="002F7669" w:rsidRPr="00BA362D">
        <w:rPr>
          <w:rFonts w:ascii="Garamond" w:hAnsi="Garamond"/>
          <w:b w:val="0"/>
          <w:iCs/>
          <w:sz w:val="24"/>
        </w:rPr>
        <w:t>-</w:t>
      </w:r>
      <w:r w:rsidR="00502422" w:rsidRPr="00BA362D">
        <w:rPr>
          <w:rFonts w:ascii="Garamond" w:hAnsi="Garamond"/>
          <w:b w:val="0"/>
          <w:iCs/>
          <w:sz w:val="24"/>
        </w:rPr>
        <w:t xml:space="preserve">Term </w:t>
      </w:r>
      <w:r w:rsidR="002F7669" w:rsidRPr="00BA362D">
        <w:rPr>
          <w:rFonts w:ascii="Garamond" w:hAnsi="Garamond"/>
          <w:b w:val="0"/>
          <w:iCs/>
          <w:sz w:val="24"/>
        </w:rPr>
        <w:t xml:space="preserve">of National </w:t>
      </w:r>
      <w:r w:rsidR="00502422" w:rsidRPr="00BA362D">
        <w:rPr>
          <w:rFonts w:ascii="Garamond" w:hAnsi="Garamond"/>
          <w:b w:val="0"/>
          <w:iCs/>
          <w:sz w:val="24"/>
        </w:rPr>
        <w:t>Planning (RJPMN) 2010-2014</w:t>
      </w:r>
      <w:r w:rsidR="00502422" w:rsidRPr="00BA362D">
        <w:rPr>
          <w:rStyle w:val="FootnoteReference"/>
          <w:b w:val="0"/>
          <w:iCs/>
          <w:sz w:val="24"/>
        </w:rPr>
        <w:footnoteReference w:id="24"/>
      </w:r>
      <w:r w:rsidR="00502422" w:rsidRPr="00BA362D">
        <w:rPr>
          <w:rFonts w:ascii="Garamond" w:hAnsi="Garamond"/>
          <w:b w:val="0"/>
          <w:iCs/>
          <w:sz w:val="24"/>
        </w:rPr>
        <w:t>.</w:t>
      </w:r>
    </w:p>
    <w:p w:rsidR="00502422" w:rsidRDefault="00BA362D" w:rsidP="00502422">
      <w:pPr>
        <w:rPr>
          <w:iCs/>
        </w:rPr>
      </w:pPr>
      <w:r w:rsidRPr="004842CC">
        <w:rPr>
          <w:iCs/>
        </w:rPr>
        <w:t>JEC formulates series of projects that includes in National Program, MP3EI. There are two main activities, development of real sectors and infr</w:t>
      </w:r>
      <w:r w:rsidRPr="004842CC">
        <w:rPr>
          <w:iCs/>
        </w:rPr>
        <w:t>a</w:t>
      </w:r>
      <w:r w:rsidRPr="004842CC">
        <w:rPr>
          <w:iCs/>
        </w:rPr>
        <w:t xml:space="preserve">structure. </w:t>
      </w:r>
      <w:r w:rsidRPr="00FF71B3">
        <w:rPr>
          <w:iCs/>
        </w:rPr>
        <w:t>To be able to achieve a very high commitment from the private se</w:t>
      </w:r>
      <w:r w:rsidRPr="00FF71B3">
        <w:rPr>
          <w:iCs/>
        </w:rPr>
        <w:t>c</w:t>
      </w:r>
      <w:r w:rsidRPr="00FF71B3">
        <w:rPr>
          <w:iCs/>
        </w:rPr>
        <w:t xml:space="preserve">tor, </w:t>
      </w:r>
      <w:r>
        <w:rPr>
          <w:iCs/>
        </w:rPr>
        <w:t xml:space="preserve">besides doing the so-called ‘debottlenecking’ regulations, </w:t>
      </w:r>
      <w:r w:rsidRPr="00FF71B3">
        <w:rPr>
          <w:iCs/>
        </w:rPr>
        <w:t>government is required and</w:t>
      </w:r>
      <w:r>
        <w:rPr>
          <w:iCs/>
        </w:rPr>
        <w:t xml:space="preserve"> obliged to build adequate infrastructure facilities to running i</w:t>
      </w:r>
      <w:r>
        <w:rPr>
          <w:iCs/>
        </w:rPr>
        <w:t>n</w:t>
      </w:r>
      <w:r>
        <w:rPr>
          <w:iCs/>
        </w:rPr>
        <w:t xml:space="preserve">dustry in the real sectors. It is also part of a whole framework of MP3EI that is connectivity building inter and within corridors, including in JEC. </w:t>
      </w:r>
      <w:r w:rsidRPr="001D4765">
        <w:rPr>
          <w:iCs/>
        </w:rPr>
        <w:t>Likewise, the demands put forward by the private sector</w:t>
      </w:r>
      <w:r>
        <w:rPr>
          <w:iCs/>
        </w:rPr>
        <w:t xml:space="preserve"> where such commitments will be accomplished if infrastructure facilities, such as roads, ports, railways, and ele</w:t>
      </w:r>
      <w:r>
        <w:rPr>
          <w:iCs/>
        </w:rPr>
        <w:t>c</w:t>
      </w:r>
      <w:r>
        <w:rPr>
          <w:iCs/>
        </w:rPr>
        <w:t>tricity are already available. In fact, a</w:t>
      </w:r>
      <w:r w:rsidRPr="004842CC">
        <w:rPr>
          <w:iCs/>
        </w:rPr>
        <w:t xml:space="preserve">n acceleration scheme has occurred in JEC, because a number of projects in the real sector and infrastructure are an existing plan and only to do a process of alignment with MP3EI. </w:t>
      </w:r>
      <w:r>
        <w:rPr>
          <w:iCs/>
        </w:rPr>
        <w:t>A distinction</w:t>
      </w:r>
      <w:r w:rsidRPr="004842CC">
        <w:rPr>
          <w:iCs/>
        </w:rPr>
        <w:t xml:space="preserve"> between the planning that is already underway and the MP3EI presence in Java </w:t>
      </w:r>
      <w:r w:rsidRPr="004842CC">
        <w:rPr>
          <w:iCs/>
        </w:rPr>
        <w:lastRenderedPageBreak/>
        <w:t xml:space="preserve">is </w:t>
      </w:r>
      <w:r>
        <w:rPr>
          <w:iCs/>
        </w:rPr>
        <w:t xml:space="preserve">new </w:t>
      </w:r>
      <w:r w:rsidRPr="004842CC">
        <w:rPr>
          <w:iCs/>
        </w:rPr>
        <w:t>industrial activit</w:t>
      </w:r>
      <w:r>
        <w:rPr>
          <w:iCs/>
        </w:rPr>
        <w:t>ies</w:t>
      </w:r>
      <w:r w:rsidRPr="004842CC">
        <w:rPr>
          <w:iCs/>
        </w:rPr>
        <w:t xml:space="preserve"> in the real sector gaining more support from the government, especially to support licensing and other necessary means</w:t>
      </w:r>
      <w:r>
        <w:rPr>
          <w:iCs/>
        </w:rPr>
        <w:t>.</w:t>
      </w:r>
    </w:p>
    <w:p w:rsidR="00BA362D" w:rsidRDefault="00BA362D" w:rsidP="00502422">
      <w:pPr>
        <w:rPr>
          <w:iCs/>
        </w:rPr>
      </w:pPr>
      <w:r w:rsidRPr="00BA362D">
        <w:rPr>
          <w:iCs/>
        </w:rPr>
        <w:t>On the origin program plan for the 15 years mission (2011-2025), the fund and investments needed for the first five years of JEC implementation (2011-2014) is around 1,290 trillion rupiah, which is the biggest fund and investment needed among the all corridors. Of this total amount, around 66.4% (856 tri</w:t>
      </w:r>
      <w:r w:rsidRPr="00BA362D">
        <w:rPr>
          <w:iCs/>
        </w:rPr>
        <w:t>l</w:t>
      </w:r>
      <w:r w:rsidR="001F6B97">
        <w:rPr>
          <w:iCs/>
        </w:rPr>
        <w:t>lion</w:t>
      </w:r>
      <w:r w:rsidRPr="00BA362D">
        <w:rPr>
          <w:iCs/>
        </w:rPr>
        <w:t xml:space="preserve"> rupiah) is needed to develop the infrastructure facilities and the rest or 33.6% (around 4</w:t>
      </w:r>
      <w:r w:rsidR="001F6B97">
        <w:rPr>
          <w:iCs/>
        </w:rPr>
        <w:t>46 trillion</w:t>
      </w:r>
      <w:r w:rsidRPr="00BA362D">
        <w:rPr>
          <w:iCs/>
        </w:rPr>
        <w:t xml:space="preserve"> rupiah) is needed to develop the main industries </w:t>
      </w:r>
      <w:sdt>
        <w:sdtPr>
          <w:rPr>
            <w:iCs/>
          </w:rPr>
          <w:id w:val="5033465"/>
          <w:citation/>
        </w:sdtPr>
        <w:sdtContent>
          <w:r w:rsidR="00476E26" w:rsidRPr="00BA362D">
            <w:rPr>
              <w:iCs/>
            </w:rPr>
            <w:fldChar w:fldCharType="begin"/>
          </w:r>
          <w:r w:rsidRPr="00BA362D">
            <w:rPr>
              <w:iCs/>
              <w:lang w:val="en-US"/>
            </w:rPr>
            <w:instrText xml:space="preserve"> CITATION Coo11 \p "49 and 92" \l 1033  </w:instrText>
          </w:r>
          <w:r w:rsidR="00476E26" w:rsidRPr="00BA362D">
            <w:rPr>
              <w:iCs/>
            </w:rPr>
            <w:fldChar w:fldCharType="separate"/>
          </w:r>
          <w:r w:rsidRPr="00BA362D">
            <w:rPr>
              <w:iCs/>
              <w:lang w:val="en-US"/>
            </w:rPr>
            <w:t>(Coordinating Ministry of Economic Affairs, 2011, p. 49 and 92)</w:t>
          </w:r>
          <w:r w:rsidR="00476E26" w:rsidRPr="00BA362D">
            <w:rPr>
              <w:iCs/>
            </w:rPr>
            <w:fldChar w:fldCharType="end"/>
          </w:r>
        </w:sdtContent>
      </w:sdt>
      <w:r w:rsidRPr="00BA362D">
        <w:rPr>
          <w:iCs/>
        </w:rPr>
        <w:t>. While on the ongoing implementation report, in May 2012, the JEC Committee had r</w:t>
      </w:r>
      <w:r w:rsidRPr="00BA362D">
        <w:rPr>
          <w:iCs/>
        </w:rPr>
        <w:t>e</w:t>
      </w:r>
      <w:r w:rsidRPr="00BA362D">
        <w:rPr>
          <w:iCs/>
        </w:rPr>
        <w:t>ported that commitment of investment and fund for the main industries in this co</w:t>
      </w:r>
      <w:r w:rsidR="001F6B97">
        <w:rPr>
          <w:iCs/>
        </w:rPr>
        <w:t>rridor declined to 260 trillion</w:t>
      </w:r>
      <w:r w:rsidRPr="00BA362D">
        <w:rPr>
          <w:iCs/>
        </w:rPr>
        <w:t xml:space="preserve"> rupiah (eq</w:t>
      </w:r>
      <w:r w:rsidR="001F6B97">
        <w:rPr>
          <w:iCs/>
        </w:rPr>
        <w:t>uivalent with around 26 billion</w:t>
      </w:r>
      <w:r w:rsidRPr="00BA362D">
        <w:rPr>
          <w:iCs/>
        </w:rPr>
        <w:t xml:space="preserve"> USD). This commitment came from various sources: government budget (APBN/APBD), state-owned enterprises (SoE), private sector and joint fun</w:t>
      </w:r>
      <w:r w:rsidRPr="00BA362D">
        <w:rPr>
          <w:iCs/>
        </w:rPr>
        <w:t>d</w:t>
      </w:r>
      <w:r w:rsidRPr="00BA362D">
        <w:rPr>
          <w:iCs/>
        </w:rPr>
        <w:t>ing between government and private sectors. The biggest committed funding proportion is the private sectors, which is 54 % (Table 3.</w:t>
      </w:r>
      <w:r w:rsidR="007A2022">
        <w:rPr>
          <w:iCs/>
        </w:rPr>
        <w:t>8</w:t>
      </w:r>
      <w:r w:rsidRPr="00BA362D">
        <w:rPr>
          <w:iCs/>
        </w:rPr>
        <w:t>.). On the contrary, fund and investment for infrastructure projects increased from 44</w:t>
      </w:r>
      <w:r w:rsidR="001F6B97">
        <w:rPr>
          <w:iCs/>
        </w:rPr>
        <w:t>6 trillion</w:t>
      </w:r>
      <w:r w:rsidRPr="00BA362D">
        <w:rPr>
          <w:iCs/>
        </w:rPr>
        <w:t xml:space="preserve"> rupiah on the </w:t>
      </w:r>
      <w:r w:rsidR="001F6B97">
        <w:rPr>
          <w:iCs/>
        </w:rPr>
        <w:t>original plan to 1,200 trillion</w:t>
      </w:r>
      <w:r w:rsidRPr="00BA362D">
        <w:rPr>
          <w:iCs/>
        </w:rPr>
        <w:t xml:space="preserve"> rupiah: 33% came from gover</w:t>
      </w:r>
      <w:r w:rsidRPr="00BA362D">
        <w:rPr>
          <w:iCs/>
        </w:rPr>
        <w:t>n</w:t>
      </w:r>
      <w:r w:rsidRPr="00BA362D">
        <w:rPr>
          <w:iCs/>
        </w:rPr>
        <w:t>ment budget and SoE investment, 28% from PPP scheme, 35% from fully pr</w:t>
      </w:r>
      <w:r w:rsidRPr="00BA362D">
        <w:rPr>
          <w:iCs/>
        </w:rPr>
        <w:t>i</w:t>
      </w:r>
      <w:r w:rsidRPr="00BA362D">
        <w:rPr>
          <w:iCs/>
        </w:rPr>
        <w:t xml:space="preserve">vate investment, and the rest (4%) is still on the negotiation process </w:t>
      </w:r>
      <w:sdt>
        <w:sdtPr>
          <w:rPr>
            <w:iCs/>
          </w:rPr>
          <w:id w:val="5033466"/>
          <w:citation/>
        </w:sdtPr>
        <w:sdtContent>
          <w:r w:rsidR="00476E26" w:rsidRPr="00BA362D">
            <w:rPr>
              <w:iCs/>
            </w:rPr>
            <w:fldChar w:fldCharType="begin"/>
          </w:r>
          <w:r w:rsidRPr="00BA362D">
            <w:rPr>
              <w:iCs/>
              <w:lang w:val="en-US"/>
            </w:rPr>
            <w:instrText xml:space="preserve"> CITATION Tim12 \p 9 \l 1033  </w:instrText>
          </w:r>
          <w:r w:rsidR="00476E26" w:rsidRPr="00BA362D">
            <w:rPr>
              <w:iCs/>
            </w:rPr>
            <w:fldChar w:fldCharType="separate"/>
          </w:r>
          <w:r w:rsidRPr="00BA362D">
            <w:rPr>
              <w:iCs/>
              <w:lang w:val="en-US"/>
            </w:rPr>
            <w:t>(Tim Ke</w:t>
          </w:r>
          <w:r w:rsidRPr="00BA362D">
            <w:rPr>
              <w:iCs/>
              <w:lang w:val="en-US"/>
            </w:rPr>
            <w:t>r</w:t>
          </w:r>
          <w:r w:rsidRPr="00BA362D">
            <w:rPr>
              <w:iCs/>
              <w:lang w:val="en-US"/>
            </w:rPr>
            <w:t>ja MP3EI Jawa, 2012, p. 9)</w:t>
          </w:r>
          <w:r w:rsidR="00476E26" w:rsidRPr="00BA362D">
            <w:rPr>
              <w:iCs/>
            </w:rPr>
            <w:fldChar w:fldCharType="end"/>
          </w:r>
        </w:sdtContent>
      </w:sdt>
      <w:r>
        <w:rPr>
          <w:iCs/>
        </w:rPr>
        <w:t>.</w:t>
      </w:r>
    </w:p>
    <w:p w:rsidR="00502422" w:rsidRDefault="007A2022" w:rsidP="00B05B5E">
      <w:pPr>
        <w:pStyle w:val="tabletitle"/>
        <w:spacing w:before="240"/>
      </w:pPr>
      <w:bookmarkStart w:id="112" w:name="_Toc340133886"/>
      <w:bookmarkStart w:id="113" w:name="_Toc340654629"/>
      <w:r>
        <w:t>Table 3.8</w:t>
      </w:r>
      <w:r w:rsidR="00502422">
        <w:br/>
      </w:r>
      <w:r w:rsidR="00502422" w:rsidRPr="007570C5">
        <w:t xml:space="preserve"> </w:t>
      </w:r>
      <w:r w:rsidR="00BA362D">
        <w:t xml:space="preserve">Committed </w:t>
      </w:r>
      <w:r w:rsidR="00BA362D">
        <w:rPr>
          <w:iCs/>
          <w:noProof/>
        </w:rPr>
        <w:t xml:space="preserve">Investment on the </w:t>
      </w:r>
      <w:r w:rsidR="00502422" w:rsidRPr="00582DAF">
        <w:rPr>
          <w:iCs/>
          <w:noProof/>
        </w:rPr>
        <w:t xml:space="preserve">Main Economic Activities in </w:t>
      </w:r>
      <w:r w:rsidR="00502422">
        <w:rPr>
          <w:iCs/>
          <w:noProof/>
        </w:rPr>
        <w:t>JEC</w:t>
      </w:r>
      <w:bookmarkEnd w:id="112"/>
      <w:r w:rsidR="00BA362D">
        <w:rPr>
          <w:iCs/>
          <w:noProof/>
        </w:rPr>
        <w:t>, up to May 2012</w:t>
      </w:r>
      <w:bookmarkEnd w:id="113"/>
    </w:p>
    <w:tbl>
      <w:tblPr>
        <w:tblW w:w="8574" w:type="dxa"/>
        <w:jc w:val="center"/>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
        <w:gridCol w:w="2061"/>
        <w:gridCol w:w="1052"/>
        <w:gridCol w:w="1350"/>
        <w:gridCol w:w="990"/>
        <w:gridCol w:w="1080"/>
        <w:gridCol w:w="1080"/>
        <w:gridCol w:w="952"/>
      </w:tblGrid>
      <w:tr w:rsidR="00502422" w:rsidRPr="003F0E2C" w:rsidTr="001F6B97">
        <w:trPr>
          <w:gridBefore w:val="1"/>
          <w:wBefore w:w="9" w:type="dxa"/>
          <w:jc w:val="center"/>
        </w:trPr>
        <w:tc>
          <w:tcPr>
            <w:tcW w:w="2061" w:type="dxa"/>
            <w:vMerge w:val="restart"/>
            <w:vAlign w:val="center"/>
          </w:tcPr>
          <w:p w:rsidR="00502422" w:rsidRPr="003F0E2C" w:rsidRDefault="00502422" w:rsidP="005B67BF">
            <w:pPr>
              <w:pStyle w:val="tablesourcenote0"/>
              <w:jc w:val="center"/>
              <w:rPr>
                <w:rFonts w:cs="Arial"/>
                <w:b/>
                <w:iCs/>
                <w:sz w:val="18"/>
                <w:szCs w:val="18"/>
                <w:lang w:val="en-US"/>
              </w:rPr>
            </w:pPr>
            <w:r w:rsidRPr="003F0E2C">
              <w:rPr>
                <w:rFonts w:cs="Arial"/>
                <w:b/>
                <w:iCs/>
                <w:sz w:val="18"/>
                <w:szCs w:val="18"/>
                <w:lang w:val="en-US"/>
              </w:rPr>
              <w:t>Main Economic Activities</w:t>
            </w:r>
          </w:p>
        </w:tc>
        <w:tc>
          <w:tcPr>
            <w:tcW w:w="1052" w:type="dxa"/>
            <w:vMerge w:val="restart"/>
            <w:vAlign w:val="center"/>
          </w:tcPr>
          <w:p w:rsidR="00502422" w:rsidRPr="003F0E2C" w:rsidRDefault="008D627B" w:rsidP="005B67BF">
            <w:pPr>
              <w:pStyle w:val="tablesourcenote0"/>
              <w:jc w:val="center"/>
              <w:rPr>
                <w:rFonts w:cs="Arial"/>
                <w:b/>
                <w:iCs/>
                <w:sz w:val="18"/>
                <w:szCs w:val="18"/>
                <w:lang w:val="en-US"/>
              </w:rPr>
            </w:pPr>
            <w:r>
              <w:rPr>
                <w:rFonts w:cs="Arial"/>
                <w:b/>
                <w:iCs/>
                <w:sz w:val="18"/>
                <w:szCs w:val="18"/>
                <w:lang w:val="en-US"/>
              </w:rPr>
              <w:t>Number</w:t>
            </w:r>
            <w:r w:rsidR="00502422" w:rsidRPr="003F0E2C">
              <w:rPr>
                <w:rFonts w:cs="Arial"/>
                <w:b/>
                <w:iCs/>
                <w:sz w:val="18"/>
                <w:szCs w:val="18"/>
                <w:lang w:val="en-US"/>
              </w:rPr>
              <w:t xml:space="preserve"> of Projects</w:t>
            </w:r>
          </w:p>
        </w:tc>
        <w:tc>
          <w:tcPr>
            <w:tcW w:w="1350" w:type="dxa"/>
            <w:vMerge w:val="restart"/>
            <w:vAlign w:val="center"/>
          </w:tcPr>
          <w:p w:rsidR="00502422" w:rsidRPr="003F0E2C" w:rsidRDefault="008D627B" w:rsidP="008D627B">
            <w:pPr>
              <w:pStyle w:val="tablesourcenote0"/>
              <w:jc w:val="center"/>
              <w:rPr>
                <w:rFonts w:cs="Arial"/>
                <w:b/>
                <w:iCs/>
                <w:sz w:val="18"/>
                <w:szCs w:val="18"/>
                <w:lang w:val="en-US"/>
              </w:rPr>
            </w:pPr>
            <w:r>
              <w:rPr>
                <w:rFonts w:cs="Arial"/>
                <w:b/>
                <w:iCs/>
                <w:sz w:val="18"/>
                <w:szCs w:val="18"/>
                <w:lang w:val="en-US"/>
              </w:rPr>
              <w:t xml:space="preserve">Committed Value of </w:t>
            </w:r>
            <w:r w:rsidR="00502422" w:rsidRPr="003F0E2C">
              <w:rPr>
                <w:rFonts w:cs="Arial"/>
                <w:b/>
                <w:iCs/>
                <w:sz w:val="18"/>
                <w:szCs w:val="18"/>
                <w:lang w:val="en-US"/>
              </w:rPr>
              <w:t>Investment (</w:t>
            </w:r>
            <w:r>
              <w:rPr>
                <w:rFonts w:cs="Arial"/>
                <w:b/>
                <w:iCs/>
                <w:sz w:val="18"/>
                <w:szCs w:val="18"/>
                <w:lang w:val="en-US"/>
              </w:rPr>
              <w:t>B</w:t>
            </w:r>
            <w:r w:rsidR="00502422" w:rsidRPr="003F0E2C">
              <w:rPr>
                <w:rFonts w:cs="Arial"/>
                <w:b/>
                <w:iCs/>
                <w:sz w:val="18"/>
                <w:szCs w:val="18"/>
                <w:lang w:val="en-US"/>
              </w:rPr>
              <w:t xml:space="preserve">illion </w:t>
            </w:r>
            <w:r>
              <w:rPr>
                <w:rFonts w:cs="Arial"/>
                <w:b/>
                <w:iCs/>
                <w:sz w:val="18"/>
                <w:szCs w:val="18"/>
                <w:lang w:val="en-US"/>
              </w:rPr>
              <w:t>IDR</w:t>
            </w:r>
            <w:r w:rsidR="00502422" w:rsidRPr="003F0E2C">
              <w:rPr>
                <w:rFonts w:cs="Arial"/>
                <w:b/>
                <w:iCs/>
                <w:sz w:val="18"/>
                <w:szCs w:val="18"/>
                <w:lang w:val="en-US"/>
              </w:rPr>
              <w:t>)</w:t>
            </w:r>
          </w:p>
        </w:tc>
        <w:tc>
          <w:tcPr>
            <w:tcW w:w="4102" w:type="dxa"/>
            <w:gridSpan w:val="4"/>
            <w:vAlign w:val="center"/>
          </w:tcPr>
          <w:p w:rsidR="00502422" w:rsidRPr="003F0E2C" w:rsidRDefault="00502422" w:rsidP="008D627B">
            <w:pPr>
              <w:pStyle w:val="tablesourcenote0"/>
              <w:jc w:val="center"/>
              <w:rPr>
                <w:rFonts w:cs="Arial"/>
                <w:b/>
                <w:iCs/>
                <w:sz w:val="18"/>
                <w:szCs w:val="18"/>
                <w:lang w:val="en-US"/>
              </w:rPr>
            </w:pPr>
            <w:r w:rsidRPr="003F0E2C">
              <w:rPr>
                <w:rFonts w:cs="Arial"/>
                <w:b/>
                <w:iCs/>
                <w:sz w:val="18"/>
                <w:szCs w:val="18"/>
                <w:lang w:val="en-US"/>
              </w:rPr>
              <w:t xml:space="preserve">Commitment (Billion </w:t>
            </w:r>
            <w:r w:rsidR="008D627B">
              <w:rPr>
                <w:rFonts w:cs="Arial"/>
                <w:b/>
                <w:iCs/>
                <w:sz w:val="18"/>
                <w:szCs w:val="18"/>
                <w:lang w:val="en-US"/>
              </w:rPr>
              <w:t>IDR</w:t>
            </w:r>
            <w:r w:rsidRPr="003F0E2C">
              <w:rPr>
                <w:rFonts w:cs="Arial"/>
                <w:b/>
                <w:iCs/>
                <w:sz w:val="18"/>
                <w:szCs w:val="18"/>
                <w:lang w:val="en-US"/>
              </w:rPr>
              <w:t>)</w:t>
            </w:r>
          </w:p>
        </w:tc>
      </w:tr>
      <w:tr w:rsidR="00502422" w:rsidRPr="003F0E2C" w:rsidTr="001F6B97">
        <w:trPr>
          <w:gridBefore w:val="1"/>
          <w:wBefore w:w="9" w:type="dxa"/>
          <w:jc w:val="center"/>
        </w:trPr>
        <w:tc>
          <w:tcPr>
            <w:tcW w:w="2061" w:type="dxa"/>
            <w:vMerge/>
            <w:vAlign w:val="center"/>
          </w:tcPr>
          <w:p w:rsidR="00502422" w:rsidRPr="003F0E2C" w:rsidRDefault="00502422" w:rsidP="005B67BF">
            <w:pPr>
              <w:pStyle w:val="tablesourcenote0"/>
              <w:rPr>
                <w:rFonts w:cs="Arial"/>
                <w:b/>
                <w:iCs/>
                <w:sz w:val="18"/>
                <w:szCs w:val="18"/>
                <w:lang w:val="en-US"/>
              </w:rPr>
            </w:pPr>
          </w:p>
        </w:tc>
        <w:tc>
          <w:tcPr>
            <w:tcW w:w="1052" w:type="dxa"/>
            <w:vMerge/>
            <w:vAlign w:val="center"/>
          </w:tcPr>
          <w:p w:rsidR="00502422" w:rsidRPr="003F0E2C" w:rsidRDefault="00502422" w:rsidP="005B67BF">
            <w:pPr>
              <w:pStyle w:val="tablesourcenote0"/>
              <w:rPr>
                <w:rFonts w:cs="Arial"/>
                <w:b/>
                <w:iCs/>
                <w:sz w:val="18"/>
                <w:szCs w:val="18"/>
                <w:lang w:val="en-US"/>
              </w:rPr>
            </w:pPr>
          </w:p>
        </w:tc>
        <w:tc>
          <w:tcPr>
            <w:tcW w:w="1350" w:type="dxa"/>
            <w:vMerge/>
            <w:vAlign w:val="center"/>
          </w:tcPr>
          <w:p w:rsidR="00502422" w:rsidRPr="003F0E2C" w:rsidRDefault="00502422" w:rsidP="005B67BF">
            <w:pPr>
              <w:pStyle w:val="tablesourcenote0"/>
              <w:rPr>
                <w:rFonts w:cs="Arial"/>
                <w:b/>
                <w:iCs/>
                <w:sz w:val="18"/>
                <w:szCs w:val="18"/>
                <w:lang w:val="en-US"/>
              </w:rPr>
            </w:pPr>
          </w:p>
        </w:tc>
        <w:tc>
          <w:tcPr>
            <w:tcW w:w="990" w:type="dxa"/>
            <w:vAlign w:val="center"/>
          </w:tcPr>
          <w:p w:rsidR="00502422" w:rsidRPr="003F0E2C" w:rsidRDefault="00502422" w:rsidP="005B67BF">
            <w:pPr>
              <w:pStyle w:val="tablesourcenote0"/>
              <w:jc w:val="center"/>
              <w:rPr>
                <w:rFonts w:cs="Arial"/>
                <w:b/>
                <w:iCs/>
                <w:sz w:val="18"/>
                <w:szCs w:val="18"/>
                <w:lang w:val="en-US"/>
              </w:rPr>
            </w:pPr>
            <w:r w:rsidRPr="003F0E2C">
              <w:rPr>
                <w:rFonts w:cs="Arial"/>
                <w:b/>
                <w:iCs/>
                <w:sz w:val="18"/>
                <w:szCs w:val="18"/>
                <w:lang w:val="en-US"/>
              </w:rPr>
              <w:t>Govern-ment</w:t>
            </w:r>
          </w:p>
        </w:tc>
        <w:tc>
          <w:tcPr>
            <w:tcW w:w="1080" w:type="dxa"/>
            <w:vAlign w:val="center"/>
          </w:tcPr>
          <w:p w:rsidR="00502422" w:rsidRPr="003F0E2C" w:rsidRDefault="00502422" w:rsidP="005B67BF">
            <w:pPr>
              <w:pStyle w:val="tablesourcenote0"/>
              <w:jc w:val="center"/>
              <w:rPr>
                <w:rFonts w:cs="Arial"/>
                <w:b/>
                <w:iCs/>
                <w:sz w:val="18"/>
                <w:szCs w:val="18"/>
                <w:lang w:val="en-US"/>
              </w:rPr>
            </w:pPr>
            <w:r w:rsidRPr="003F0E2C">
              <w:rPr>
                <w:rFonts w:cs="Arial"/>
                <w:b/>
                <w:iCs/>
                <w:sz w:val="18"/>
                <w:szCs w:val="18"/>
                <w:lang w:val="en-US"/>
              </w:rPr>
              <w:t>SoE</w:t>
            </w:r>
          </w:p>
        </w:tc>
        <w:tc>
          <w:tcPr>
            <w:tcW w:w="1080" w:type="dxa"/>
            <w:vAlign w:val="center"/>
          </w:tcPr>
          <w:p w:rsidR="00502422" w:rsidRPr="003F0E2C" w:rsidRDefault="00502422" w:rsidP="005B67BF">
            <w:pPr>
              <w:pStyle w:val="tablesourcenote0"/>
              <w:jc w:val="center"/>
              <w:rPr>
                <w:rFonts w:cs="Arial"/>
                <w:b/>
                <w:iCs/>
                <w:sz w:val="18"/>
                <w:szCs w:val="18"/>
                <w:lang w:val="en-US"/>
              </w:rPr>
            </w:pPr>
            <w:r w:rsidRPr="003F0E2C">
              <w:rPr>
                <w:rFonts w:cs="Arial"/>
                <w:b/>
                <w:iCs/>
                <w:sz w:val="18"/>
                <w:szCs w:val="18"/>
                <w:lang w:val="en-US"/>
              </w:rPr>
              <w:t>Private</w:t>
            </w:r>
          </w:p>
        </w:tc>
        <w:tc>
          <w:tcPr>
            <w:tcW w:w="952" w:type="dxa"/>
            <w:vAlign w:val="center"/>
          </w:tcPr>
          <w:p w:rsidR="00502422" w:rsidRPr="003F0E2C" w:rsidRDefault="00502422" w:rsidP="005B67BF">
            <w:pPr>
              <w:pStyle w:val="tablesourcenote0"/>
              <w:jc w:val="center"/>
              <w:rPr>
                <w:rFonts w:cs="Arial"/>
                <w:b/>
                <w:iCs/>
                <w:sz w:val="18"/>
                <w:szCs w:val="18"/>
                <w:lang w:val="en-US"/>
              </w:rPr>
            </w:pPr>
            <w:r w:rsidRPr="003F0E2C">
              <w:rPr>
                <w:rFonts w:cs="Arial"/>
                <w:b/>
                <w:iCs/>
                <w:sz w:val="18"/>
                <w:szCs w:val="18"/>
                <w:lang w:val="en-US"/>
              </w:rPr>
              <w:t>Joint Funding</w:t>
            </w:r>
          </w:p>
        </w:tc>
      </w:tr>
      <w:tr w:rsidR="008D627B" w:rsidRPr="003F0E2C" w:rsidTr="001F6B97">
        <w:trPr>
          <w:jc w:val="center"/>
        </w:trPr>
        <w:tc>
          <w:tcPr>
            <w:tcW w:w="2070" w:type="dxa"/>
            <w:gridSpan w:val="2"/>
            <w:vAlign w:val="center"/>
          </w:tcPr>
          <w:p w:rsidR="008D627B" w:rsidRDefault="008D627B" w:rsidP="00767AB5">
            <w:pPr>
              <w:pStyle w:val="tablesourcenote0"/>
              <w:spacing w:after="0"/>
              <w:rPr>
                <w:rFonts w:cs="Arial"/>
                <w:iCs/>
                <w:sz w:val="18"/>
                <w:szCs w:val="18"/>
                <w:lang w:val="en-US"/>
              </w:rPr>
            </w:pPr>
            <w:r w:rsidRPr="003F0E2C">
              <w:rPr>
                <w:rFonts w:cs="Arial"/>
                <w:iCs/>
                <w:sz w:val="18"/>
                <w:szCs w:val="18"/>
                <w:lang w:val="en-US"/>
              </w:rPr>
              <w:t>Food and Beverage</w:t>
            </w:r>
          </w:p>
        </w:tc>
        <w:tc>
          <w:tcPr>
            <w:tcW w:w="1052" w:type="dxa"/>
            <w:vAlign w:val="center"/>
          </w:tcPr>
          <w:p w:rsidR="008D627B" w:rsidRDefault="008D627B" w:rsidP="00767AB5">
            <w:pPr>
              <w:pStyle w:val="tablesourcenote0"/>
              <w:spacing w:after="0"/>
              <w:jc w:val="center"/>
              <w:rPr>
                <w:rFonts w:cs="Arial"/>
                <w:iCs/>
                <w:sz w:val="18"/>
                <w:szCs w:val="18"/>
                <w:lang w:val="en-US"/>
              </w:rPr>
            </w:pPr>
            <w:r w:rsidRPr="003F0E2C">
              <w:rPr>
                <w:rFonts w:cs="Arial"/>
                <w:iCs/>
                <w:sz w:val="18"/>
                <w:szCs w:val="18"/>
                <w:lang w:val="en-US"/>
              </w:rPr>
              <w:t>42</w:t>
            </w:r>
          </w:p>
        </w:tc>
        <w:tc>
          <w:tcPr>
            <w:tcW w:w="135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26,109</w:t>
            </w:r>
          </w:p>
        </w:tc>
        <w:tc>
          <w:tcPr>
            <w:tcW w:w="99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c>
          <w:tcPr>
            <w:tcW w:w="108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c>
          <w:tcPr>
            <w:tcW w:w="108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26,109</w:t>
            </w:r>
          </w:p>
        </w:tc>
        <w:tc>
          <w:tcPr>
            <w:tcW w:w="952"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r>
      <w:tr w:rsidR="008D627B" w:rsidRPr="003F0E2C" w:rsidTr="001F6B97">
        <w:trPr>
          <w:jc w:val="center"/>
        </w:trPr>
        <w:tc>
          <w:tcPr>
            <w:tcW w:w="2070" w:type="dxa"/>
            <w:gridSpan w:val="2"/>
            <w:vAlign w:val="center"/>
          </w:tcPr>
          <w:p w:rsidR="008D627B" w:rsidRDefault="001F6B97" w:rsidP="00767AB5">
            <w:pPr>
              <w:pStyle w:val="tablesourcenote0"/>
              <w:spacing w:after="0"/>
              <w:rPr>
                <w:rFonts w:cs="Arial"/>
                <w:iCs/>
                <w:sz w:val="18"/>
                <w:szCs w:val="18"/>
                <w:lang w:val="en-US"/>
              </w:rPr>
            </w:pPr>
            <w:r>
              <w:rPr>
                <w:rFonts w:cs="Arial"/>
                <w:iCs/>
                <w:sz w:val="18"/>
                <w:szCs w:val="18"/>
                <w:lang w:val="en-US"/>
              </w:rPr>
              <w:t>Defens</w:t>
            </w:r>
            <w:r w:rsidR="008D627B" w:rsidRPr="003F0E2C">
              <w:rPr>
                <w:rFonts w:cs="Arial"/>
                <w:iCs/>
                <w:sz w:val="18"/>
                <w:szCs w:val="18"/>
                <w:lang w:val="en-US"/>
              </w:rPr>
              <w:t>e Equipment</w:t>
            </w:r>
          </w:p>
        </w:tc>
        <w:tc>
          <w:tcPr>
            <w:tcW w:w="1052" w:type="dxa"/>
            <w:vAlign w:val="center"/>
          </w:tcPr>
          <w:p w:rsidR="008D627B" w:rsidRDefault="008D627B" w:rsidP="00767AB5">
            <w:pPr>
              <w:pStyle w:val="tablesourcenote0"/>
              <w:spacing w:after="0"/>
              <w:jc w:val="center"/>
              <w:rPr>
                <w:rFonts w:cs="Arial"/>
                <w:iCs/>
                <w:sz w:val="18"/>
                <w:szCs w:val="18"/>
                <w:lang w:val="en-US"/>
              </w:rPr>
            </w:pPr>
            <w:r w:rsidRPr="003F0E2C">
              <w:rPr>
                <w:rFonts w:cs="Arial"/>
                <w:iCs/>
                <w:sz w:val="18"/>
                <w:szCs w:val="18"/>
                <w:lang w:val="en-US"/>
              </w:rPr>
              <w:t>14</w:t>
            </w:r>
          </w:p>
        </w:tc>
        <w:tc>
          <w:tcPr>
            <w:tcW w:w="135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1,663.6</w:t>
            </w:r>
          </w:p>
        </w:tc>
        <w:tc>
          <w:tcPr>
            <w:tcW w:w="99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c>
          <w:tcPr>
            <w:tcW w:w="108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1,099.6</w:t>
            </w:r>
          </w:p>
        </w:tc>
        <w:tc>
          <w:tcPr>
            <w:tcW w:w="108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564</w:t>
            </w:r>
          </w:p>
        </w:tc>
        <w:tc>
          <w:tcPr>
            <w:tcW w:w="952"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r>
      <w:tr w:rsidR="008D627B" w:rsidRPr="003F0E2C" w:rsidTr="001F6B97">
        <w:trPr>
          <w:jc w:val="center"/>
        </w:trPr>
        <w:tc>
          <w:tcPr>
            <w:tcW w:w="2070" w:type="dxa"/>
            <w:gridSpan w:val="2"/>
            <w:vAlign w:val="center"/>
          </w:tcPr>
          <w:p w:rsidR="008D627B" w:rsidRDefault="008D627B" w:rsidP="00767AB5">
            <w:pPr>
              <w:pStyle w:val="tablesourcenote0"/>
              <w:spacing w:after="0"/>
              <w:rPr>
                <w:rFonts w:cs="Arial"/>
                <w:iCs/>
                <w:sz w:val="18"/>
                <w:szCs w:val="18"/>
                <w:lang w:val="en-US"/>
              </w:rPr>
            </w:pPr>
            <w:r w:rsidRPr="003F0E2C">
              <w:rPr>
                <w:rFonts w:cs="Arial"/>
                <w:iCs/>
                <w:sz w:val="18"/>
                <w:szCs w:val="18"/>
                <w:lang w:val="en-US"/>
              </w:rPr>
              <w:t>Textile</w:t>
            </w:r>
          </w:p>
        </w:tc>
        <w:tc>
          <w:tcPr>
            <w:tcW w:w="1052" w:type="dxa"/>
            <w:vAlign w:val="center"/>
          </w:tcPr>
          <w:p w:rsidR="008D627B" w:rsidRDefault="008D627B" w:rsidP="00767AB5">
            <w:pPr>
              <w:pStyle w:val="tablesourcenote0"/>
              <w:spacing w:after="0"/>
              <w:jc w:val="center"/>
              <w:rPr>
                <w:rFonts w:cs="Arial"/>
                <w:iCs/>
                <w:sz w:val="18"/>
                <w:szCs w:val="18"/>
                <w:lang w:val="en-US"/>
              </w:rPr>
            </w:pPr>
            <w:r w:rsidRPr="003F0E2C">
              <w:rPr>
                <w:rFonts w:cs="Arial"/>
                <w:iCs/>
                <w:sz w:val="18"/>
                <w:szCs w:val="18"/>
                <w:lang w:val="en-US"/>
              </w:rPr>
              <w:t>23</w:t>
            </w:r>
          </w:p>
        </w:tc>
        <w:tc>
          <w:tcPr>
            <w:tcW w:w="135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12,080</w:t>
            </w:r>
          </w:p>
        </w:tc>
        <w:tc>
          <w:tcPr>
            <w:tcW w:w="99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c>
          <w:tcPr>
            <w:tcW w:w="108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c>
          <w:tcPr>
            <w:tcW w:w="108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12,080</w:t>
            </w:r>
          </w:p>
        </w:tc>
        <w:tc>
          <w:tcPr>
            <w:tcW w:w="952"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r>
      <w:tr w:rsidR="008D627B" w:rsidRPr="003F0E2C" w:rsidTr="001F6B97">
        <w:trPr>
          <w:jc w:val="center"/>
        </w:trPr>
        <w:tc>
          <w:tcPr>
            <w:tcW w:w="2070" w:type="dxa"/>
            <w:gridSpan w:val="2"/>
            <w:vAlign w:val="center"/>
          </w:tcPr>
          <w:p w:rsidR="008D627B" w:rsidRDefault="008D627B" w:rsidP="00767AB5">
            <w:pPr>
              <w:pStyle w:val="tablesourcenote0"/>
              <w:spacing w:after="0"/>
              <w:rPr>
                <w:rFonts w:cs="Arial"/>
                <w:iCs/>
                <w:sz w:val="18"/>
                <w:szCs w:val="18"/>
                <w:lang w:val="en-US"/>
              </w:rPr>
            </w:pPr>
            <w:r w:rsidRPr="003F0E2C">
              <w:rPr>
                <w:rFonts w:cs="Arial"/>
                <w:iCs/>
                <w:sz w:val="18"/>
                <w:szCs w:val="18"/>
                <w:lang w:val="en-US"/>
              </w:rPr>
              <w:t>Transportation</w:t>
            </w:r>
          </w:p>
        </w:tc>
        <w:tc>
          <w:tcPr>
            <w:tcW w:w="1052" w:type="dxa"/>
            <w:vAlign w:val="center"/>
          </w:tcPr>
          <w:p w:rsidR="008D627B" w:rsidRDefault="008D627B" w:rsidP="00767AB5">
            <w:pPr>
              <w:pStyle w:val="tablesourcenote0"/>
              <w:spacing w:after="0"/>
              <w:jc w:val="center"/>
              <w:rPr>
                <w:rFonts w:cs="Arial"/>
                <w:iCs/>
                <w:sz w:val="18"/>
                <w:szCs w:val="18"/>
                <w:lang w:val="en-US"/>
              </w:rPr>
            </w:pPr>
            <w:r w:rsidRPr="003F0E2C">
              <w:rPr>
                <w:rFonts w:cs="Arial"/>
                <w:iCs/>
                <w:sz w:val="18"/>
                <w:szCs w:val="18"/>
                <w:lang w:val="en-US"/>
              </w:rPr>
              <w:t>3</w:t>
            </w:r>
          </w:p>
        </w:tc>
        <w:tc>
          <w:tcPr>
            <w:tcW w:w="135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36,405</w:t>
            </w:r>
          </w:p>
        </w:tc>
        <w:tc>
          <w:tcPr>
            <w:tcW w:w="99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c>
          <w:tcPr>
            <w:tcW w:w="108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c>
          <w:tcPr>
            <w:tcW w:w="108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36,405</w:t>
            </w:r>
          </w:p>
        </w:tc>
        <w:tc>
          <w:tcPr>
            <w:tcW w:w="952"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r>
      <w:tr w:rsidR="008D627B" w:rsidRPr="003F0E2C" w:rsidTr="001F6B97">
        <w:trPr>
          <w:jc w:val="center"/>
        </w:trPr>
        <w:tc>
          <w:tcPr>
            <w:tcW w:w="2070" w:type="dxa"/>
            <w:gridSpan w:val="2"/>
            <w:vAlign w:val="center"/>
          </w:tcPr>
          <w:p w:rsidR="008D627B" w:rsidRDefault="008D627B" w:rsidP="00767AB5">
            <w:pPr>
              <w:pStyle w:val="tablesourcenote0"/>
              <w:spacing w:after="0"/>
              <w:rPr>
                <w:rFonts w:cs="Arial"/>
                <w:iCs/>
                <w:sz w:val="18"/>
                <w:szCs w:val="18"/>
                <w:lang w:val="en-US"/>
              </w:rPr>
            </w:pPr>
            <w:r w:rsidRPr="003F0E2C">
              <w:rPr>
                <w:rFonts w:cs="Arial"/>
                <w:iCs/>
                <w:sz w:val="18"/>
                <w:szCs w:val="18"/>
                <w:lang w:val="en-US"/>
              </w:rPr>
              <w:t>Shipping</w:t>
            </w:r>
          </w:p>
        </w:tc>
        <w:tc>
          <w:tcPr>
            <w:tcW w:w="1052" w:type="dxa"/>
            <w:vAlign w:val="center"/>
          </w:tcPr>
          <w:p w:rsidR="008D627B" w:rsidRDefault="008D627B" w:rsidP="00767AB5">
            <w:pPr>
              <w:pStyle w:val="tablesourcenote0"/>
              <w:spacing w:after="0"/>
              <w:jc w:val="center"/>
              <w:rPr>
                <w:rFonts w:cs="Arial"/>
                <w:iCs/>
                <w:sz w:val="18"/>
                <w:szCs w:val="18"/>
                <w:lang w:val="en-US"/>
              </w:rPr>
            </w:pPr>
            <w:r w:rsidRPr="003F0E2C">
              <w:rPr>
                <w:rFonts w:cs="Arial"/>
                <w:iCs/>
                <w:sz w:val="18"/>
                <w:szCs w:val="18"/>
                <w:lang w:val="en-US"/>
              </w:rPr>
              <w:t>5</w:t>
            </w:r>
          </w:p>
        </w:tc>
        <w:tc>
          <w:tcPr>
            <w:tcW w:w="135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809,0</w:t>
            </w:r>
          </w:p>
        </w:tc>
        <w:tc>
          <w:tcPr>
            <w:tcW w:w="99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c>
          <w:tcPr>
            <w:tcW w:w="108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c>
          <w:tcPr>
            <w:tcW w:w="108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809</w:t>
            </w:r>
          </w:p>
        </w:tc>
        <w:tc>
          <w:tcPr>
            <w:tcW w:w="952"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r>
      <w:tr w:rsidR="008D627B" w:rsidRPr="003F0E2C" w:rsidTr="001F6B97">
        <w:trPr>
          <w:jc w:val="center"/>
        </w:trPr>
        <w:tc>
          <w:tcPr>
            <w:tcW w:w="2070" w:type="dxa"/>
            <w:gridSpan w:val="2"/>
            <w:vAlign w:val="center"/>
          </w:tcPr>
          <w:p w:rsidR="008D627B" w:rsidRDefault="008D627B" w:rsidP="00767AB5">
            <w:pPr>
              <w:pStyle w:val="tablesourcenote0"/>
              <w:spacing w:after="0"/>
              <w:rPr>
                <w:rFonts w:cs="Arial"/>
                <w:iCs/>
                <w:sz w:val="18"/>
                <w:szCs w:val="18"/>
                <w:lang w:val="en-US"/>
              </w:rPr>
            </w:pPr>
            <w:r w:rsidRPr="003F0E2C">
              <w:rPr>
                <w:rFonts w:cs="Arial"/>
                <w:iCs/>
                <w:sz w:val="18"/>
                <w:szCs w:val="18"/>
                <w:lang w:val="en-US"/>
              </w:rPr>
              <w:t>ICT</w:t>
            </w:r>
          </w:p>
        </w:tc>
        <w:tc>
          <w:tcPr>
            <w:tcW w:w="1052" w:type="dxa"/>
            <w:vAlign w:val="center"/>
          </w:tcPr>
          <w:p w:rsidR="008D627B" w:rsidRDefault="008D627B" w:rsidP="00767AB5">
            <w:pPr>
              <w:pStyle w:val="tablesourcenote0"/>
              <w:spacing w:after="0"/>
              <w:jc w:val="center"/>
              <w:rPr>
                <w:rFonts w:cs="Arial"/>
                <w:iCs/>
                <w:sz w:val="18"/>
                <w:szCs w:val="18"/>
                <w:lang w:val="en-US"/>
              </w:rPr>
            </w:pPr>
            <w:r w:rsidRPr="003F0E2C">
              <w:rPr>
                <w:rFonts w:cs="Arial"/>
                <w:iCs/>
                <w:sz w:val="18"/>
                <w:szCs w:val="18"/>
                <w:lang w:val="en-US"/>
              </w:rPr>
              <w:t>2</w:t>
            </w:r>
          </w:p>
        </w:tc>
        <w:tc>
          <w:tcPr>
            <w:tcW w:w="135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163</w:t>
            </w:r>
          </w:p>
        </w:tc>
        <w:tc>
          <w:tcPr>
            <w:tcW w:w="99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63</w:t>
            </w:r>
          </w:p>
        </w:tc>
        <w:tc>
          <w:tcPr>
            <w:tcW w:w="108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c>
          <w:tcPr>
            <w:tcW w:w="108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100</w:t>
            </w:r>
          </w:p>
        </w:tc>
        <w:tc>
          <w:tcPr>
            <w:tcW w:w="952"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r>
      <w:tr w:rsidR="008D627B" w:rsidRPr="003F0E2C" w:rsidTr="001F6B97">
        <w:trPr>
          <w:jc w:val="center"/>
        </w:trPr>
        <w:tc>
          <w:tcPr>
            <w:tcW w:w="2070" w:type="dxa"/>
            <w:gridSpan w:val="2"/>
            <w:vAlign w:val="center"/>
          </w:tcPr>
          <w:p w:rsidR="008D627B" w:rsidRDefault="008D627B" w:rsidP="00767AB5">
            <w:pPr>
              <w:pStyle w:val="tablesourcenote0"/>
              <w:spacing w:after="0"/>
              <w:rPr>
                <w:rFonts w:cs="Arial"/>
                <w:iCs/>
                <w:sz w:val="18"/>
                <w:szCs w:val="18"/>
                <w:lang w:val="en-US"/>
              </w:rPr>
            </w:pPr>
            <w:r w:rsidRPr="003F0E2C">
              <w:rPr>
                <w:rFonts w:cs="Arial"/>
                <w:iCs/>
                <w:sz w:val="18"/>
                <w:szCs w:val="18"/>
                <w:lang w:val="en-US"/>
              </w:rPr>
              <w:t>Steel</w:t>
            </w:r>
          </w:p>
        </w:tc>
        <w:tc>
          <w:tcPr>
            <w:tcW w:w="1052" w:type="dxa"/>
            <w:vAlign w:val="center"/>
          </w:tcPr>
          <w:p w:rsidR="008D627B" w:rsidRDefault="008D627B" w:rsidP="00767AB5">
            <w:pPr>
              <w:pStyle w:val="tablesourcenote0"/>
              <w:spacing w:after="0"/>
              <w:jc w:val="center"/>
              <w:rPr>
                <w:rFonts w:cs="Arial"/>
                <w:iCs/>
                <w:sz w:val="18"/>
                <w:szCs w:val="18"/>
                <w:lang w:val="en-US"/>
              </w:rPr>
            </w:pPr>
            <w:r w:rsidRPr="003F0E2C">
              <w:rPr>
                <w:rFonts w:cs="Arial"/>
                <w:iCs/>
                <w:sz w:val="18"/>
                <w:szCs w:val="18"/>
                <w:lang w:val="en-US"/>
              </w:rPr>
              <w:t>18</w:t>
            </w:r>
          </w:p>
        </w:tc>
        <w:tc>
          <w:tcPr>
            <w:tcW w:w="135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7,252</w:t>
            </w:r>
          </w:p>
        </w:tc>
        <w:tc>
          <w:tcPr>
            <w:tcW w:w="99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c>
          <w:tcPr>
            <w:tcW w:w="108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c>
          <w:tcPr>
            <w:tcW w:w="108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7,252</w:t>
            </w:r>
          </w:p>
        </w:tc>
        <w:tc>
          <w:tcPr>
            <w:tcW w:w="952"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r>
      <w:tr w:rsidR="008D627B" w:rsidRPr="003F0E2C" w:rsidTr="001F6B97">
        <w:trPr>
          <w:jc w:val="center"/>
        </w:trPr>
        <w:tc>
          <w:tcPr>
            <w:tcW w:w="2070" w:type="dxa"/>
            <w:gridSpan w:val="2"/>
            <w:vAlign w:val="center"/>
          </w:tcPr>
          <w:p w:rsidR="008D627B" w:rsidRDefault="008D627B" w:rsidP="00767AB5">
            <w:pPr>
              <w:pStyle w:val="tablesourcenote0"/>
              <w:spacing w:after="0"/>
              <w:rPr>
                <w:rFonts w:cs="Arial"/>
                <w:iCs/>
                <w:sz w:val="18"/>
                <w:szCs w:val="18"/>
                <w:lang w:val="en-US"/>
              </w:rPr>
            </w:pPr>
            <w:r w:rsidRPr="003F0E2C">
              <w:rPr>
                <w:rFonts w:cs="Arial"/>
                <w:iCs/>
                <w:sz w:val="18"/>
                <w:szCs w:val="18"/>
                <w:lang w:val="en-US"/>
              </w:rPr>
              <w:t>Oil and Gas</w:t>
            </w:r>
          </w:p>
        </w:tc>
        <w:tc>
          <w:tcPr>
            <w:tcW w:w="1052" w:type="dxa"/>
            <w:vAlign w:val="center"/>
          </w:tcPr>
          <w:p w:rsidR="008D627B" w:rsidRDefault="008D627B" w:rsidP="00767AB5">
            <w:pPr>
              <w:pStyle w:val="tablesourcenote0"/>
              <w:spacing w:after="0"/>
              <w:jc w:val="center"/>
              <w:rPr>
                <w:rFonts w:cs="Arial"/>
                <w:iCs/>
                <w:sz w:val="18"/>
                <w:szCs w:val="18"/>
                <w:lang w:val="en-US"/>
              </w:rPr>
            </w:pPr>
            <w:r w:rsidRPr="003F0E2C">
              <w:rPr>
                <w:rFonts w:cs="Arial"/>
                <w:iCs/>
                <w:sz w:val="18"/>
                <w:szCs w:val="18"/>
                <w:lang w:val="en-US"/>
              </w:rPr>
              <w:t>8</w:t>
            </w:r>
          </w:p>
        </w:tc>
        <w:tc>
          <w:tcPr>
            <w:tcW w:w="135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175,186</w:t>
            </w:r>
          </w:p>
        </w:tc>
        <w:tc>
          <w:tcPr>
            <w:tcW w:w="99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w:t>
            </w:r>
          </w:p>
        </w:tc>
        <w:tc>
          <w:tcPr>
            <w:tcW w:w="108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116,066.8</w:t>
            </w:r>
          </w:p>
        </w:tc>
        <w:tc>
          <w:tcPr>
            <w:tcW w:w="1080"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57,199</w:t>
            </w:r>
          </w:p>
        </w:tc>
        <w:tc>
          <w:tcPr>
            <w:tcW w:w="952" w:type="dxa"/>
            <w:vAlign w:val="center"/>
          </w:tcPr>
          <w:p w:rsidR="008D627B" w:rsidRDefault="008D627B" w:rsidP="00767AB5">
            <w:pPr>
              <w:pStyle w:val="tablesourcenote0"/>
              <w:spacing w:after="0"/>
              <w:jc w:val="right"/>
              <w:rPr>
                <w:rFonts w:cs="Arial"/>
                <w:iCs/>
                <w:sz w:val="18"/>
                <w:szCs w:val="18"/>
                <w:lang w:val="en-US"/>
              </w:rPr>
            </w:pPr>
            <w:r w:rsidRPr="003F0E2C">
              <w:rPr>
                <w:rFonts w:cs="Arial"/>
                <w:iCs/>
                <w:sz w:val="18"/>
                <w:szCs w:val="18"/>
                <w:lang w:val="en-US"/>
              </w:rPr>
              <w:t>1,920</w:t>
            </w:r>
          </w:p>
        </w:tc>
      </w:tr>
      <w:tr w:rsidR="00502422" w:rsidRPr="002F7669" w:rsidTr="001F6B97">
        <w:trPr>
          <w:gridBefore w:val="1"/>
          <w:wBefore w:w="9" w:type="dxa"/>
          <w:jc w:val="center"/>
        </w:trPr>
        <w:tc>
          <w:tcPr>
            <w:tcW w:w="2061" w:type="dxa"/>
            <w:vAlign w:val="center"/>
          </w:tcPr>
          <w:p w:rsidR="00502422" w:rsidRPr="002F7669" w:rsidRDefault="00502422" w:rsidP="005B67BF">
            <w:pPr>
              <w:pStyle w:val="tablesourcenote0"/>
              <w:rPr>
                <w:rFonts w:cs="Arial"/>
                <w:iCs/>
                <w:sz w:val="18"/>
                <w:szCs w:val="18"/>
                <w:lang w:val="en-US"/>
              </w:rPr>
            </w:pPr>
            <w:r w:rsidRPr="002F7669">
              <w:rPr>
                <w:rFonts w:cs="Arial"/>
                <w:iCs/>
                <w:sz w:val="18"/>
                <w:szCs w:val="18"/>
                <w:lang w:val="en-US"/>
              </w:rPr>
              <w:t>Total Commitments</w:t>
            </w:r>
          </w:p>
        </w:tc>
        <w:tc>
          <w:tcPr>
            <w:tcW w:w="1052" w:type="dxa"/>
            <w:vAlign w:val="center"/>
          </w:tcPr>
          <w:p w:rsidR="00502422" w:rsidRPr="002F7669" w:rsidRDefault="00502422" w:rsidP="005B67BF">
            <w:pPr>
              <w:pStyle w:val="tablesourcenote0"/>
              <w:jc w:val="center"/>
              <w:rPr>
                <w:rFonts w:cs="Arial"/>
                <w:iCs/>
                <w:sz w:val="18"/>
                <w:szCs w:val="18"/>
                <w:lang w:val="en-US"/>
              </w:rPr>
            </w:pPr>
            <w:r w:rsidRPr="002F7669">
              <w:rPr>
                <w:rFonts w:cs="Arial"/>
                <w:iCs/>
                <w:sz w:val="18"/>
                <w:szCs w:val="18"/>
                <w:lang w:val="en-US"/>
              </w:rPr>
              <w:t>115</w:t>
            </w:r>
          </w:p>
        </w:tc>
        <w:tc>
          <w:tcPr>
            <w:tcW w:w="1350" w:type="dxa"/>
            <w:vAlign w:val="center"/>
          </w:tcPr>
          <w:p w:rsidR="00502422" w:rsidRPr="002F7669" w:rsidRDefault="00502422" w:rsidP="005B67BF">
            <w:pPr>
              <w:pStyle w:val="tablesourcenote0"/>
              <w:jc w:val="right"/>
              <w:rPr>
                <w:rFonts w:cs="Arial"/>
                <w:iCs/>
                <w:sz w:val="18"/>
                <w:szCs w:val="18"/>
                <w:lang w:val="en-US"/>
              </w:rPr>
            </w:pPr>
            <w:r w:rsidRPr="002F7669">
              <w:rPr>
                <w:rFonts w:cs="Arial"/>
                <w:iCs/>
                <w:sz w:val="18"/>
                <w:szCs w:val="18"/>
                <w:lang w:val="en-US"/>
              </w:rPr>
              <w:t>259,667.6</w:t>
            </w:r>
          </w:p>
        </w:tc>
        <w:tc>
          <w:tcPr>
            <w:tcW w:w="990" w:type="dxa"/>
            <w:vAlign w:val="center"/>
          </w:tcPr>
          <w:p w:rsidR="00502422" w:rsidRPr="002F7669" w:rsidRDefault="00502422" w:rsidP="005B67BF">
            <w:pPr>
              <w:pStyle w:val="tablesourcenote0"/>
              <w:jc w:val="right"/>
              <w:rPr>
                <w:rFonts w:cs="Arial"/>
                <w:iCs/>
                <w:sz w:val="18"/>
                <w:szCs w:val="18"/>
                <w:lang w:val="en-US"/>
              </w:rPr>
            </w:pPr>
            <w:r w:rsidRPr="002F7669">
              <w:rPr>
                <w:rFonts w:cs="Arial"/>
                <w:iCs/>
                <w:sz w:val="18"/>
                <w:szCs w:val="18"/>
                <w:lang w:val="en-US"/>
              </w:rPr>
              <w:t>63</w:t>
            </w:r>
          </w:p>
        </w:tc>
        <w:tc>
          <w:tcPr>
            <w:tcW w:w="1080" w:type="dxa"/>
            <w:vAlign w:val="center"/>
          </w:tcPr>
          <w:p w:rsidR="00502422" w:rsidRPr="002F7669" w:rsidRDefault="00502422" w:rsidP="005B67BF">
            <w:pPr>
              <w:pStyle w:val="tablesourcenote0"/>
              <w:jc w:val="right"/>
              <w:rPr>
                <w:rFonts w:cs="Arial"/>
                <w:iCs/>
                <w:sz w:val="18"/>
                <w:szCs w:val="18"/>
                <w:lang w:val="en-US"/>
              </w:rPr>
            </w:pPr>
            <w:r w:rsidRPr="002F7669">
              <w:rPr>
                <w:rFonts w:cs="Arial"/>
                <w:iCs/>
                <w:sz w:val="18"/>
                <w:szCs w:val="18"/>
                <w:lang w:val="en-US"/>
              </w:rPr>
              <w:t>117,166.4</w:t>
            </w:r>
          </w:p>
        </w:tc>
        <w:tc>
          <w:tcPr>
            <w:tcW w:w="1080" w:type="dxa"/>
            <w:vAlign w:val="center"/>
          </w:tcPr>
          <w:p w:rsidR="00502422" w:rsidRPr="002F7669" w:rsidRDefault="00502422" w:rsidP="005B67BF">
            <w:pPr>
              <w:pStyle w:val="tablesourcenote0"/>
              <w:jc w:val="right"/>
              <w:rPr>
                <w:rFonts w:cs="Arial"/>
                <w:iCs/>
                <w:sz w:val="18"/>
                <w:szCs w:val="18"/>
                <w:lang w:val="en-US"/>
              </w:rPr>
            </w:pPr>
            <w:r w:rsidRPr="002F7669">
              <w:rPr>
                <w:rFonts w:cs="Arial"/>
                <w:iCs/>
                <w:sz w:val="18"/>
                <w:szCs w:val="18"/>
                <w:lang w:val="en-US"/>
              </w:rPr>
              <w:t>140,518</w:t>
            </w:r>
          </w:p>
        </w:tc>
        <w:tc>
          <w:tcPr>
            <w:tcW w:w="952" w:type="dxa"/>
            <w:vAlign w:val="center"/>
          </w:tcPr>
          <w:p w:rsidR="00502422" w:rsidRPr="002F7669" w:rsidRDefault="00502422" w:rsidP="005B67BF">
            <w:pPr>
              <w:pStyle w:val="tablesourcenote0"/>
              <w:jc w:val="right"/>
              <w:rPr>
                <w:rFonts w:cs="Arial"/>
                <w:iCs/>
                <w:sz w:val="18"/>
                <w:szCs w:val="18"/>
                <w:lang w:val="en-US"/>
              </w:rPr>
            </w:pPr>
            <w:r w:rsidRPr="002F7669">
              <w:rPr>
                <w:rFonts w:cs="Arial"/>
                <w:iCs/>
                <w:sz w:val="18"/>
                <w:szCs w:val="18"/>
                <w:lang w:val="en-US"/>
              </w:rPr>
              <w:t>1,920</w:t>
            </w:r>
          </w:p>
        </w:tc>
      </w:tr>
      <w:tr w:rsidR="00502422" w:rsidRPr="003F0E2C" w:rsidTr="001F6B97">
        <w:trPr>
          <w:gridBefore w:val="1"/>
          <w:wBefore w:w="9" w:type="dxa"/>
          <w:jc w:val="center"/>
        </w:trPr>
        <w:tc>
          <w:tcPr>
            <w:tcW w:w="4463" w:type="dxa"/>
            <w:gridSpan w:val="3"/>
            <w:vAlign w:val="center"/>
          </w:tcPr>
          <w:p w:rsidR="00502422" w:rsidRPr="003F0E2C" w:rsidRDefault="00502422" w:rsidP="005B67BF">
            <w:pPr>
              <w:pStyle w:val="tablesourcenote0"/>
              <w:jc w:val="center"/>
              <w:rPr>
                <w:rFonts w:cs="Arial"/>
                <w:b/>
                <w:iCs/>
                <w:sz w:val="18"/>
                <w:szCs w:val="18"/>
                <w:lang w:val="en-US"/>
              </w:rPr>
            </w:pPr>
            <w:r w:rsidRPr="003F0E2C">
              <w:rPr>
                <w:rFonts w:cs="Arial"/>
                <w:b/>
                <w:iCs/>
                <w:sz w:val="18"/>
                <w:szCs w:val="18"/>
                <w:lang w:val="en-US"/>
              </w:rPr>
              <w:t>%</w:t>
            </w:r>
          </w:p>
        </w:tc>
        <w:tc>
          <w:tcPr>
            <w:tcW w:w="990" w:type="dxa"/>
            <w:vAlign w:val="center"/>
          </w:tcPr>
          <w:p w:rsidR="00502422" w:rsidRPr="003F0E2C" w:rsidRDefault="00502422" w:rsidP="005B67BF">
            <w:pPr>
              <w:pStyle w:val="tablesourcenote0"/>
              <w:jc w:val="center"/>
              <w:rPr>
                <w:rFonts w:cs="Arial"/>
                <w:b/>
                <w:iCs/>
                <w:sz w:val="18"/>
                <w:szCs w:val="18"/>
                <w:lang w:val="en-US"/>
              </w:rPr>
            </w:pPr>
            <w:r w:rsidRPr="003F0E2C">
              <w:rPr>
                <w:rFonts w:cs="Arial"/>
                <w:b/>
                <w:iCs/>
                <w:sz w:val="18"/>
                <w:szCs w:val="18"/>
                <w:lang w:val="en-US"/>
              </w:rPr>
              <w:t>0.02%</w:t>
            </w:r>
          </w:p>
        </w:tc>
        <w:tc>
          <w:tcPr>
            <w:tcW w:w="1080" w:type="dxa"/>
            <w:vAlign w:val="center"/>
          </w:tcPr>
          <w:p w:rsidR="00502422" w:rsidRPr="003F0E2C" w:rsidRDefault="00502422" w:rsidP="005B67BF">
            <w:pPr>
              <w:pStyle w:val="tablesourcenote0"/>
              <w:jc w:val="center"/>
              <w:rPr>
                <w:rFonts w:cs="Arial"/>
                <w:b/>
                <w:iCs/>
                <w:sz w:val="18"/>
                <w:szCs w:val="18"/>
                <w:lang w:val="en-US"/>
              </w:rPr>
            </w:pPr>
            <w:r w:rsidRPr="003F0E2C">
              <w:rPr>
                <w:rFonts w:cs="Arial"/>
                <w:b/>
                <w:iCs/>
                <w:sz w:val="18"/>
                <w:szCs w:val="18"/>
                <w:lang w:val="en-US"/>
              </w:rPr>
              <w:t>45.12%</w:t>
            </w:r>
          </w:p>
        </w:tc>
        <w:tc>
          <w:tcPr>
            <w:tcW w:w="1080" w:type="dxa"/>
            <w:vAlign w:val="center"/>
          </w:tcPr>
          <w:p w:rsidR="00502422" w:rsidRPr="003F0E2C" w:rsidRDefault="00502422" w:rsidP="005B67BF">
            <w:pPr>
              <w:pStyle w:val="tablesourcenote0"/>
              <w:jc w:val="center"/>
              <w:rPr>
                <w:rFonts w:cs="Arial"/>
                <w:b/>
                <w:iCs/>
                <w:sz w:val="18"/>
                <w:szCs w:val="18"/>
                <w:lang w:val="en-US"/>
              </w:rPr>
            </w:pPr>
            <w:r w:rsidRPr="003F0E2C">
              <w:rPr>
                <w:rFonts w:cs="Arial"/>
                <w:b/>
                <w:iCs/>
                <w:sz w:val="18"/>
                <w:szCs w:val="18"/>
                <w:lang w:val="en-US"/>
              </w:rPr>
              <w:t>54.11%</w:t>
            </w:r>
          </w:p>
        </w:tc>
        <w:tc>
          <w:tcPr>
            <w:tcW w:w="952" w:type="dxa"/>
            <w:vAlign w:val="center"/>
          </w:tcPr>
          <w:p w:rsidR="00502422" w:rsidRPr="003F0E2C" w:rsidRDefault="00502422" w:rsidP="005B67BF">
            <w:pPr>
              <w:pStyle w:val="tablesourcenote0"/>
              <w:jc w:val="center"/>
              <w:rPr>
                <w:rFonts w:cs="Arial"/>
                <w:b/>
                <w:iCs/>
                <w:sz w:val="18"/>
                <w:szCs w:val="18"/>
                <w:lang w:val="en-US"/>
              </w:rPr>
            </w:pPr>
            <w:r w:rsidRPr="003F0E2C">
              <w:rPr>
                <w:rFonts w:cs="Arial"/>
                <w:b/>
                <w:iCs/>
                <w:sz w:val="18"/>
                <w:szCs w:val="18"/>
                <w:lang w:val="en-US"/>
              </w:rPr>
              <w:t>0.74%</w:t>
            </w:r>
          </w:p>
        </w:tc>
      </w:tr>
    </w:tbl>
    <w:p w:rsidR="00502422" w:rsidRPr="003F0E2C" w:rsidRDefault="00502422" w:rsidP="00502422">
      <w:pPr>
        <w:pStyle w:val="tablesourcenote0"/>
        <w:rPr>
          <w:iCs/>
          <w:lang w:val="en-US"/>
        </w:rPr>
      </w:pPr>
      <w:r w:rsidRPr="00D34CE3">
        <w:rPr>
          <w:i/>
        </w:rPr>
        <w:t>Source:</w:t>
      </w:r>
      <w:r w:rsidRPr="00D34CE3">
        <w:t xml:space="preserve"> </w:t>
      </w:r>
      <w:r>
        <w:rPr>
          <w:i/>
          <w:lang w:val="en-US"/>
        </w:rPr>
        <w:t>Tim Kerja MP3EI Jawa</w:t>
      </w:r>
      <w:r w:rsidRPr="003F0E2C">
        <w:rPr>
          <w:i/>
          <w:lang w:val="en-US"/>
        </w:rPr>
        <w:t xml:space="preserve"> </w:t>
      </w:r>
      <w:sdt>
        <w:sdtPr>
          <w:rPr>
            <w:i/>
            <w:lang w:val="en-US"/>
          </w:rPr>
          <w:id w:val="121860976"/>
          <w:citation/>
        </w:sdtPr>
        <w:sdtContent>
          <w:r w:rsidR="00476E26">
            <w:rPr>
              <w:i/>
              <w:lang w:val="en-US"/>
            </w:rPr>
            <w:fldChar w:fldCharType="begin"/>
          </w:r>
          <w:r w:rsidR="008D627B">
            <w:rPr>
              <w:i/>
              <w:lang w:val="en-US"/>
            </w:rPr>
            <w:instrText xml:space="preserve"> CITATION Tim12 \p 7 \n  \t  \l 1033  </w:instrText>
          </w:r>
          <w:r w:rsidR="00476E26">
            <w:rPr>
              <w:i/>
              <w:lang w:val="en-US"/>
            </w:rPr>
            <w:fldChar w:fldCharType="separate"/>
          </w:r>
          <w:r w:rsidR="008D627B" w:rsidRPr="008D627B">
            <w:rPr>
              <w:noProof/>
              <w:lang w:val="en-US"/>
            </w:rPr>
            <w:t>(2012, p. 7)</w:t>
          </w:r>
          <w:r w:rsidR="00476E26">
            <w:rPr>
              <w:i/>
              <w:lang w:val="en-US"/>
            </w:rPr>
            <w:fldChar w:fldCharType="end"/>
          </w:r>
        </w:sdtContent>
      </w:sdt>
    </w:p>
    <w:p w:rsidR="00502422" w:rsidRPr="00D34CE3" w:rsidRDefault="00502422" w:rsidP="00502422">
      <w:pPr>
        <w:pStyle w:val="tablesourcenote0"/>
      </w:pPr>
    </w:p>
    <w:p w:rsidR="00502422" w:rsidRDefault="008D627B" w:rsidP="00502422">
      <w:pPr>
        <w:rPr>
          <w:iCs/>
        </w:rPr>
      </w:pPr>
      <w:r w:rsidRPr="008661A2">
        <w:rPr>
          <w:iCs/>
        </w:rPr>
        <w:t xml:space="preserve">The construction of infrastructure facilities in JEC is aimed to develop some </w:t>
      </w:r>
      <w:r>
        <w:rPr>
          <w:iCs/>
        </w:rPr>
        <w:t>areas</w:t>
      </w:r>
      <w:r w:rsidRPr="008661A2">
        <w:rPr>
          <w:iCs/>
        </w:rPr>
        <w:t xml:space="preserve"> in Java that targeted as </w:t>
      </w:r>
      <w:r>
        <w:rPr>
          <w:iCs/>
        </w:rPr>
        <w:t xml:space="preserve">“focused investment area” or </w:t>
      </w:r>
      <w:r w:rsidRPr="008661A2">
        <w:rPr>
          <w:iCs/>
        </w:rPr>
        <w:t xml:space="preserve">KPI </w:t>
      </w:r>
      <w:r>
        <w:rPr>
          <w:iCs/>
        </w:rPr>
        <w:t>(‘</w:t>
      </w:r>
      <w:r w:rsidRPr="001F6B97">
        <w:rPr>
          <w:i/>
          <w:iCs/>
        </w:rPr>
        <w:t>Kaw</w:t>
      </w:r>
      <w:r w:rsidRPr="001F6B97">
        <w:rPr>
          <w:i/>
          <w:iCs/>
        </w:rPr>
        <w:t>a</w:t>
      </w:r>
      <w:r w:rsidRPr="001F6B97">
        <w:rPr>
          <w:i/>
          <w:iCs/>
        </w:rPr>
        <w:t>san Perhatian Investasi’</w:t>
      </w:r>
      <w:r>
        <w:rPr>
          <w:iCs/>
        </w:rPr>
        <w:t xml:space="preserve">) </w:t>
      </w:r>
      <w:r w:rsidRPr="008661A2">
        <w:rPr>
          <w:iCs/>
        </w:rPr>
        <w:t>and to connect them</w:t>
      </w:r>
      <w:r>
        <w:rPr>
          <w:iCs/>
        </w:rPr>
        <w:t xml:space="preserve">. </w:t>
      </w:r>
      <w:r w:rsidR="00502422">
        <w:rPr>
          <w:iCs/>
        </w:rPr>
        <w:t xml:space="preserve"> </w:t>
      </w:r>
    </w:p>
    <w:p w:rsidR="00502422" w:rsidRDefault="00502422" w:rsidP="00502422">
      <w:pPr>
        <w:pStyle w:val="Maptitle"/>
        <w:spacing w:after="100"/>
        <w:ind w:firstLine="432"/>
        <w:jc w:val="both"/>
        <w:rPr>
          <w:rFonts w:ascii="Garamond" w:hAnsi="Garamond"/>
          <w:b w:val="0"/>
          <w:iCs/>
          <w:sz w:val="24"/>
        </w:rPr>
      </w:pPr>
      <w:bookmarkStart w:id="114" w:name="_Toc340436337"/>
      <w:r w:rsidRPr="00D27F07">
        <w:rPr>
          <w:rFonts w:ascii="Garamond" w:hAnsi="Garamond"/>
          <w:b w:val="0"/>
          <w:iCs/>
          <w:sz w:val="24"/>
        </w:rPr>
        <w:t xml:space="preserve">KPI is a term for some cities in Java Island that are having a real sector capacity to be developed as main economic activity areas, including </w:t>
      </w:r>
      <w:r w:rsidRPr="001F6B97">
        <w:rPr>
          <w:rFonts w:ascii="Garamond" w:hAnsi="Garamond"/>
          <w:b w:val="0"/>
          <w:i/>
          <w:iCs/>
          <w:sz w:val="24"/>
        </w:rPr>
        <w:t>Jabodetabek</w:t>
      </w:r>
      <w:r w:rsidRPr="00D27F07">
        <w:rPr>
          <w:rFonts w:ascii="Garamond" w:hAnsi="Garamond"/>
          <w:b w:val="0"/>
          <w:iCs/>
          <w:sz w:val="24"/>
        </w:rPr>
        <w:t xml:space="preserve"> area and few cities that has a potential for oil and gas as part of non-economic activities. There are 34 </w:t>
      </w:r>
      <w:r w:rsidR="008D627B">
        <w:rPr>
          <w:rFonts w:ascii="Garamond" w:hAnsi="Garamond"/>
          <w:b w:val="0"/>
          <w:iCs/>
          <w:sz w:val="24"/>
        </w:rPr>
        <w:t>areas</w:t>
      </w:r>
      <w:r w:rsidRPr="00D27F07">
        <w:rPr>
          <w:rFonts w:ascii="Garamond" w:hAnsi="Garamond"/>
          <w:b w:val="0"/>
          <w:iCs/>
          <w:sz w:val="24"/>
        </w:rPr>
        <w:t xml:space="preserve"> that have been identified as KPI that scattered </w:t>
      </w:r>
      <w:r w:rsidRPr="00D27F07">
        <w:rPr>
          <w:rFonts w:ascii="Garamond" w:hAnsi="Garamond"/>
          <w:b w:val="0"/>
          <w:iCs/>
          <w:sz w:val="24"/>
        </w:rPr>
        <w:lastRenderedPageBreak/>
        <w:t>throughout the provinces in Java</w:t>
      </w:r>
      <w:r w:rsidRPr="00D27F07">
        <w:rPr>
          <w:rStyle w:val="FootnoteReference"/>
          <w:b w:val="0"/>
          <w:iCs/>
          <w:sz w:val="24"/>
        </w:rPr>
        <w:footnoteReference w:id="25"/>
      </w:r>
      <w:r w:rsidRPr="00D27F07">
        <w:rPr>
          <w:rFonts w:ascii="Garamond" w:hAnsi="Garamond"/>
          <w:b w:val="0"/>
          <w:iCs/>
          <w:sz w:val="24"/>
        </w:rPr>
        <w:t xml:space="preserve">. Judging from its background, the existences in those areas are not a newly formed </w:t>
      </w:r>
      <w:r w:rsidR="0068062E">
        <w:rPr>
          <w:rFonts w:ascii="Garamond" w:hAnsi="Garamond"/>
          <w:b w:val="0"/>
          <w:iCs/>
          <w:sz w:val="24"/>
        </w:rPr>
        <w:t>scheme</w:t>
      </w:r>
      <w:r w:rsidRPr="00D27F07">
        <w:rPr>
          <w:rFonts w:ascii="Garamond" w:hAnsi="Garamond"/>
          <w:b w:val="0"/>
          <w:iCs/>
          <w:sz w:val="24"/>
        </w:rPr>
        <w:t xml:space="preserve">, but the industry has been established and has developed their economic activities before MP3EI </w:t>
      </w:r>
      <w:r w:rsidR="0068062E">
        <w:rPr>
          <w:rFonts w:ascii="Garamond" w:hAnsi="Garamond"/>
          <w:b w:val="0"/>
          <w:iCs/>
          <w:sz w:val="24"/>
        </w:rPr>
        <w:t>was designed</w:t>
      </w:r>
      <w:r w:rsidRPr="00D27F07">
        <w:rPr>
          <w:rFonts w:ascii="Garamond" w:hAnsi="Garamond"/>
          <w:b w:val="0"/>
          <w:iCs/>
          <w:sz w:val="24"/>
        </w:rPr>
        <w:t xml:space="preserve"> as a national policy in Indonesia.</w:t>
      </w:r>
      <w:bookmarkEnd w:id="114"/>
    </w:p>
    <w:p w:rsidR="00502422" w:rsidRDefault="007A2022" w:rsidP="00071A0A">
      <w:pPr>
        <w:pStyle w:val="tabletitle"/>
        <w:spacing w:before="240"/>
      </w:pPr>
      <w:bookmarkStart w:id="115" w:name="_Toc340133887"/>
      <w:bookmarkStart w:id="116" w:name="_Toc340654630"/>
      <w:r>
        <w:t>Table 3.9</w:t>
      </w:r>
      <w:r w:rsidR="00502422">
        <w:t>.</w:t>
      </w:r>
      <w:r w:rsidR="00502422">
        <w:br/>
      </w:r>
      <w:r w:rsidR="00502422" w:rsidRPr="007570C5">
        <w:t xml:space="preserve"> </w:t>
      </w:r>
      <w:r w:rsidR="00A54577">
        <w:rPr>
          <w:iCs/>
        </w:rPr>
        <w:t>Focused Investment Areas (</w:t>
      </w:r>
      <w:r w:rsidR="002F7669">
        <w:rPr>
          <w:iCs/>
        </w:rPr>
        <w:t>KPI</w:t>
      </w:r>
      <w:r w:rsidR="00A54577">
        <w:rPr>
          <w:iCs/>
        </w:rPr>
        <w:t>)</w:t>
      </w:r>
      <w:r w:rsidR="00502422">
        <w:rPr>
          <w:iCs/>
        </w:rPr>
        <w:t xml:space="preserve"> by Main Economic Activity in Java</w:t>
      </w:r>
      <w:bookmarkEnd w:id="115"/>
      <w:bookmarkEnd w:id="116"/>
    </w:p>
    <w:tbl>
      <w:tblPr>
        <w:tblW w:w="8254" w:type="dxa"/>
        <w:jc w:val="center"/>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5"/>
        <w:gridCol w:w="2160"/>
        <w:gridCol w:w="899"/>
        <w:gridCol w:w="900"/>
        <w:gridCol w:w="990"/>
        <w:gridCol w:w="900"/>
        <w:gridCol w:w="900"/>
        <w:gridCol w:w="900"/>
      </w:tblGrid>
      <w:tr w:rsidR="00502422" w:rsidRPr="00D27F07" w:rsidTr="008C1878">
        <w:trPr>
          <w:jc w:val="center"/>
        </w:trPr>
        <w:tc>
          <w:tcPr>
            <w:tcW w:w="605" w:type="dxa"/>
            <w:vMerge w:val="restart"/>
            <w:vAlign w:val="center"/>
          </w:tcPr>
          <w:p w:rsidR="00502422" w:rsidRPr="00D27F07" w:rsidRDefault="00502422" w:rsidP="005B67BF">
            <w:pPr>
              <w:pStyle w:val="tablesourcenote0"/>
              <w:rPr>
                <w:rFonts w:cs="Arial"/>
                <w:b/>
                <w:iCs/>
                <w:sz w:val="18"/>
                <w:szCs w:val="18"/>
                <w:lang w:val="en-US"/>
              </w:rPr>
            </w:pPr>
            <w:r w:rsidRPr="00D27F07">
              <w:rPr>
                <w:rFonts w:cs="Arial"/>
                <w:b/>
                <w:iCs/>
                <w:sz w:val="18"/>
                <w:szCs w:val="18"/>
                <w:lang w:val="en-US"/>
              </w:rPr>
              <w:t>No.</w:t>
            </w:r>
          </w:p>
        </w:tc>
        <w:tc>
          <w:tcPr>
            <w:tcW w:w="2160" w:type="dxa"/>
            <w:vMerge w:val="restart"/>
            <w:vAlign w:val="center"/>
          </w:tcPr>
          <w:p w:rsidR="00502422" w:rsidRPr="00D27F07" w:rsidRDefault="00502422" w:rsidP="008C1878">
            <w:pPr>
              <w:pStyle w:val="tablesourcenote0"/>
              <w:jc w:val="center"/>
              <w:rPr>
                <w:rFonts w:cs="Arial"/>
                <w:b/>
                <w:iCs/>
                <w:sz w:val="18"/>
                <w:szCs w:val="18"/>
                <w:lang w:val="en-US"/>
              </w:rPr>
            </w:pPr>
            <w:r w:rsidRPr="00D27F07">
              <w:rPr>
                <w:rFonts w:cs="Arial"/>
                <w:b/>
                <w:iCs/>
                <w:sz w:val="18"/>
                <w:szCs w:val="18"/>
                <w:lang w:val="en-US"/>
              </w:rPr>
              <w:t>Main Economic Activity</w:t>
            </w:r>
          </w:p>
        </w:tc>
        <w:tc>
          <w:tcPr>
            <w:tcW w:w="4589" w:type="dxa"/>
            <w:gridSpan w:val="5"/>
            <w:vAlign w:val="center"/>
          </w:tcPr>
          <w:p w:rsidR="00502422" w:rsidRPr="00D27F07" w:rsidRDefault="002F7669" w:rsidP="002F7669">
            <w:pPr>
              <w:pStyle w:val="tablesourcenote0"/>
              <w:jc w:val="center"/>
              <w:rPr>
                <w:rFonts w:cs="Arial"/>
                <w:b/>
                <w:iCs/>
                <w:sz w:val="18"/>
                <w:szCs w:val="18"/>
                <w:lang w:val="en-US"/>
              </w:rPr>
            </w:pPr>
            <w:r>
              <w:rPr>
                <w:rFonts w:cs="Arial"/>
                <w:b/>
                <w:iCs/>
                <w:sz w:val="18"/>
                <w:szCs w:val="18"/>
                <w:lang w:val="en-US"/>
              </w:rPr>
              <w:t xml:space="preserve">Focused </w:t>
            </w:r>
            <w:r w:rsidR="00502422" w:rsidRPr="00D27F07">
              <w:rPr>
                <w:rFonts w:cs="Arial"/>
                <w:b/>
                <w:iCs/>
                <w:sz w:val="18"/>
                <w:szCs w:val="18"/>
                <w:lang w:val="en-US"/>
              </w:rPr>
              <w:t xml:space="preserve">Investment </w:t>
            </w:r>
            <w:r>
              <w:rPr>
                <w:rFonts w:cs="Arial"/>
                <w:b/>
                <w:iCs/>
                <w:sz w:val="18"/>
                <w:szCs w:val="18"/>
                <w:lang w:val="en-US"/>
              </w:rPr>
              <w:t xml:space="preserve">Areas </w:t>
            </w:r>
            <w:r w:rsidR="00502422" w:rsidRPr="00D27F07">
              <w:rPr>
                <w:rFonts w:cs="Arial"/>
                <w:b/>
                <w:iCs/>
                <w:sz w:val="18"/>
                <w:szCs w:val="18"/>
                <w:lang w:val="en-US"/>
              </w:rPr>
              <w:t>(KPI)</w:t>
            </w:r>
          </w:p>
        </w:tc>
        <w:tc>
          <w:tcPr>
            <w:tcW w:w="900" w:type="dxa"/>
            <w:vMerge w:val="restart"/>
            <w:vAlign w:val="center"/>
          </w:tcPr>
          <w:p w:rsidR="00502422" w:rsidRPr="00D27F07" w:rsidRDefault="00502422" w:rsidP="005B67BF">
            <w:pPr>
              <w:pStyle w:val="tablesourcenote0"/>
              <w:jc w:val="center"/>
              <w:rPr>
                <w:rFonts w:cs="Arial"/>
                <w:b/>
                <w:iCs/>
                <w:sz w:val="18"/>
                <w:szCs w:val="18"/>
                <w:lang w:val="en-US"/>
              </w:rPr>
            </w:pPr>
            <w:r w:rsidRPr="00D27F07">
              <w:rPr>
                <w:rFonts w:cs="Arial"/>
                <w:b/>
                <w:iCs/>
                <w:sz w:val="18"/>
                <w:szCs w:val="18"/>
                <w:lang w:val="en-US"/>
              </w:rPr>
              <w:t>Total</w:t>
            </w:r>
          </w:p>
        </w:tc>
      </w:tr>
      <w:tr w:rsidR="00502422" w:rsidRPr="00D27F07" w:rsidTr="005B67BF">
        <w:trPr>
          <w:jc w:val="center"/>
        </w:trPr>
        <w:tc>
          <w:tcPr>
            <w:tcW w:w="605" w:type="dxa"/>
            <w:vMerge/>
          </w:tcPr>
          <w:p w:rsidR="00502422" w:rsidRPr="00D27F07" w:rsidRDefault="00502422" w:rsidP="005B67BF">
            <w:pPr>
              <w:pStyle w:val="tablesourcenote0"/>
              <w:rPr>
                <w:rFonts w:cs="Arial"/>
                <w:iCs/>
                <w:sz w:val="18"/>
                <w:szCs w:val="18"/>
                <w:lang w:val="en-US"/>
              </w:rPr>
            </w:pPr>
          </w:p>
        </w:tc>
        <w:tc>
          <w:tcPr>
            <w:tcW w:w="2160" w:type="dxa"/>
            <w:vMerge/>
          </w:tcPr>
          <w:p w:rsidR="00502422" w:rsidRPr="00D27F07" w:rsidRDefault="00502422" w:rsidP="005B67BF">
            <w:pPr>
              <w:pStyle w:val="tablesourcenote0"/>
              <w:rPr>
                <w:rFonts w:cs="Arial"/>
                <w:iCs/>
                <w:sz w:val="18"/>
                <w:szCs w:val="18"/>
                <w:lang w:val="en-US"/>
              </w:rPr>
            </w:pPr>
          </w:p>
        </w:tc>
        <w:tc>
          <w:tcPr>
            <w:tcW w:w="899" w:type="dxa"/>
            <w:vAlign w:val="center"/>
          </w:tcPr>
          <w:p w:rsidR="00502422" w:rsidRPr="00D27F07" w:rsidRDefault="00502422" w:rsidP="005B67BF">
            <w:pPr>
              <w:pStyle w:val="tablesourcenote0"/>
              <w:jc w:val="center"/>
              <w:rPr>
                <w:rFonts w:cs="Arial"/>
                <w:b/>
                <w:iCs/>
                <w:sz w:val="18"/>
                <w:szCs w:val="18"/>
                <w:lang w:val="en-US"/>
              </w:rPr>
            </w:pPr>
            <w:r w:rsidRPr="00D27F07">
              <w:rPr>
                <w:rFonts w:cs="Arial"/>
                <w:b/>
                <w:iCs/>
                <w:sz w:val="18"/>
                <w:szCs w:val="18"/>
                <w:lang w:val="en-US"/>
              </w:rPr>
              <w:t>West Java</w:t>
            </w:r>
          </w:p>
        </w:tc>
        <w:tc>
          <w:tcPr>
            <w:tcW w:w="900" w:type="dxa"/>
            <w:vAlign w:val="center"/>
          </w:tcPr>
          <w:p w:rsidR="00502422" w:rsidRPr="00D27F07" w:rsidRDefault="00502422" w:rsidP="005B67BF">
            <w:pPr>
              <w:pStyle w:val="tablesourcenote0"/>
              <w:jc w:val="center"/>
              <w:rPr>
                <w:rFonts w:cs="Arial"/>
                <w:b/>
                <w:iCs/>
                <w:sz w:val="18"/>
                <w:szCs w:val="18"/>
                <w:lang w:val="en-US"/>
              </w:rPr>
            </w:pPr>
            <w:r w:rsidRPr="00D27F07">
              <w:rPr>
                <w:rFonts w:cs="Arial"/>
                <w:b/>
                <w:iCs/>
                <w:sz w:val="18"/>
                <w:szCs w:val="18"/>
                <w:lang w:val="en-US"/>
              </w:rPr>
              <w:t>DKI Jakarta</w:t>
            </w:r>
          </w:p>
        </w:tc>
        <w:tc>
          <w:tcPr>
            <w:tcW w:w="990" w:type="dxa"/>
            <w:vAlign w:val="center"/>
          </w:tcPr>
          <w:p w:rsidR="00502422" w:rsidRPr="00D27F07" w:rsidRDefault="00502422" w:rsidP="005B67BF">
            <w:pPr>
              <w:pStyle w:val="tablesourcenote0"/>
              <w:jc w:val="center"/>
              <w:rPr>
                <w:rFonts w:cs="Arial"/>
                <w:b/>
                <w:iCs/>
                <w:sz w:val="18"/>
                <w:szCs w:val="18"/>
                <w:lang w:val="en-US"/>
              </w:rPr>
            </w:pPr>
            <w:r w:rsidRPr="00D27F07">
              <w:rPr>
                <w:rFonts w:cs="Arial"/>
                <w:b/>
                <w:iCs/>
                <w:sz w:val="18"/>
                <w:szCs w:val="18"/>
                <w:lang w:val="en-US"/>
              </w:rPr>
              <w:t>Banten</w:t>
            </w:r>
          </w:p>
        </w:tc>
        <w:tc>
          <w:tcPr>
            <w:tcW w:w="900" w:type="dxa"/>
            <w:vAlign w:val="center"/>
          </w:tcPr>
          <w:p w:rsidR="00502422" w:rsidRPr="00D27F07" w:rsidRDefault="00502422" w:rsidP="005B67BF">
            <w:pPr>
              <w:pStyle w:val="tablesourcenote0"/>
              <w:jc w:val="center"/>
              <w:rPr>
                <w:rFonts w:cs="Arial"/>
                <w:b/>
                <w:iCs/>
                <w:sz w:val="18"/>
                <w:szCs w:val="18"/>
                <w:lang w:val="en-US"/>
              </w:rPr>
            </w:pPr>
            <w:r w:rsidRPr="00D27F07">
              <w:rPr>
                <w:rFonts w:cs="Arial"/>
                <w:b/>
                <w:iCs/>
                <w:sz w:val="18"/>
                <w:szCs w:val="18"/>
                <w:lang w:val="en-US"/>
              </w:rPr>
              <w:t>Central Java</w:t>
            </w:r>
          </w:p>
        </w:tc>
        <w:tc>
          <w:tcPr>
            <w:tcW w:w="900" w:type="dxa"/>
            <w:vAlign w:val="center"/>
          </w:tcPr>
          <w:p w:rsidR="00502422" w:rsidRPr="00D27F07" w:rsidRDefault="00502422" w:rsidP="005B67BF">
            <w:pPr>
              <w:pStyle w:val="tablesourcenote0"/>
              <w:jc w:val="center"/>
              <w:rPr>
                <w:rFonts w:cs="Arial"/>
                <w:b/>
                <w:iCs/>
                <w:sz w:val="18"/>
                <w:szCs w:val="18"/>
                <w:lang w:val="en-US"/>
              </w:rPr>
            </w:pPr>
            <w:r w:rsidRPr="00D27F07">
              <w:rPr>
                <w:rFonts w:cs="Arial"/>
                <w:b/>
                <w:iCs/>
                <w:sz w:val="18"/>
                <w:szCs w:val="18"/>
                <w:lang w:val="en-US"/>
              </w:rPr>
              <w:t>East Java</w:t>
            </w:r>
          </w:p>
        </w:tc>
        <w:tc>
          <w:tcPr>
            <w:tcW w:w="900" w:type="dxa"/>
            <w:vMerge/>
            <w:vAlign w:val="center"/>
          </w:tcPr>
          <w:p w:rsidR="00502422" w:rsidRPr="00D27F07" w:rsidRDefault="00502422" w:rsidP="005B67BF">
            <w:pPr>
              <w:pStyle w:val="tablesourcenote0"/>
              <w:jc w:val="center"/>
              <w:rPr>
                <w:rFonts w:cs="Arial"/>
                <w:iCs/>
                <w:sz w:val="18"/>
                <w:szCs w:val="18"/>
                <w:lang w:val="en-US"/>
              </w:rPr>
            </w:pPr>
          </w:p>
        </w:tc>
      </w:tr>
      <w:tr w:rsidR="00502422" w:rsidRPr="00D27F07" w:rsidTr="005B67BF">
        <w:trPr>
          <w:jc w:val="center"/>
        </w:trPr>
        <w:tc>
          <w:tcPr>
            <w:tcW w:w="605" w:type="dxa"/>
          </w:tcPr>
          <w:p w:rsidR="00502422" w:rsidRPr="00D27F07" w:rsidRDefault="00502422" w:rsidP="005B67BF">
            <w:pPr>
              <w:pStyle w:val="tablesourcenote0"/>
              <w:rPr>
                <w:rFonts w:cs="Arial"/>
                <w:iCs/>
                <w:sz w:val="18"/>
                <w:szCs w:val="18"/>
                <w:lang w:val="en-US"/>
              </w:rPr>
            </w:pPr>
            <w:r w:rsidRPr="00D27F07">
              <w:rPr>
                <w:rFonts w:cs="Arial"/>
                <w:iCs/>
                <w:sz w:val="18"/>
                <w:szCs w:val="18"/>
                <w:lang w:val="en-US"/>
              </w:rPr>
              <w:t>1.</w:t>
            </w:r>
          </w:p>
        </w:tc>
        <w:tc>
          <w:tcPr>
            <w:tcW w:w="2160" w:type="dxa"/>
          </w:tcPr>
          <w:p w:rsidR="00502422" w:rsidRPr="00D27F07" w:rsidRDefault="00502422" w:rsidP="005B67BF">
            <w:pPr>
              <w:pStyle w:val="tablesourcenote0"/>
              <w:rPr>
                <w:rFonts w:cs="Arial"/>
                <w:iCs/>
                <w:sz w:val="18"/>
                <w:szCs w:val="18"/>
                <w:lang w:val="en-US"/>
              </w:rPr>
            </w:pPr>
            <w:r w:rsidRPr="00D27F07">
              <w:rPr>
                <w:rFonts w:cs="Arial"/>
                <w:iCs/>
                <w:sz w:val="18"/>
                <w:szCs w:val="18"/>
                <w:lang w:val="en-US"/>
              </w:rPr>
              <w:t>Food and beverage</w:t>
            </w:r>
          </w:p>
        </w:tc>
        <w:tc>
          <w:tcPr>
            <w:tcW w:w="899"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6</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1</w:t>
            </w:r>
          </w:p>
        </w:tc>
        <w:tc>
          <w:tcPr>
            <w:tcW w:w="99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3</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4</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7</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21 KPI</w:t>
            </w:r>
          </w:p>
        </w:tc>
      </w:tr>
      <w:tr w:rsidR="00502422" w:rsidRPr="00D27F07" w:rsidTr="005B67BF">
        <w:trPr>
          <w:jc w:val="center"/>
        </w:trPr>
        <w:tc>
          <w:tcPr>
            <w:tcW w:w="605" w:type="dxa"/>
          </w:tcPr>
          <w:p w:rsidR="00502422" w:rsidRPr="00D27F07" w:rsidRDefault="00502422" w:rsidP="005B67BF">
            <w:pPr>
              <w:pStyle w:val="tablesourcenote0"/>
              <w:rPr>
                <w:rFonts w:cs="Arial"/>
                <w:iCs/>
                <w:sz w:val="18"/>
                <w:szCs w:val="18"/>
                <w:lang w:val="en-US"/>
              </w:rPr>
            </w:pPr>
            <w:r w:rsidRPr="00D27F07">
              <w:rPr>
                <w:rFonts w:cs="Arial"/>
                <w:iCs/>
                <w:sz w:val="18"/>
                <w:szCs w:val="18"/>
                <w:lang w:val="en-US"/>
              </w:rPr>
              <w:t>2.</w:t>
            </w:r>
          </w:p>
        </w:tc>
        <w:tc>
          <w:tcPr>
            <w:tcW w:w="2160" w:type="dxa"/>
          </w:tcPr>
          <w:p w:rsidR="00502422" w:rsidRPr="00D27F07" w:rsidRDefault="00502422" w:rsidP="005B67BF">
            <w:pPr>
              <w:pStyle w:val="tablesourcenote0"/>
              <w:rPr>
                <w:rFonts w:cs="Arial"/>
                <w:iCs/>
                <w:sz w:val="18"/>
                <w:szCs w:val="18"/>
                <w:lang w:val="en-US"/>
              </w:rPr>
            </w:pPr>
            <w:r w:rsidRPr="00D27F07">
              <w:rPr>
                <w:rFonts w:cs="Arial"/>
                <w:iCs/>
                <w:sz w:val="18"/>
                <w:szCs w:val="18"/>
                <w:lang w:val="en-US"/>
              </w:rPr>
              <w:t>Textile</w:t>
            </w:r>
          </w:p>
        </w:tc>
        <w:tc>
          <w:tcPr>
            <w:tcW w:w="899"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7</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9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1</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2</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10 KPI</w:t>
            </w:r>
          </w:p>
        </w:tc>
      </w:tr>
      <w:tr w:rsidR="00502422" w:rsidRPr="00D27F07" w:rsidTr="005B67BF">
        <w:trPr>
          <w:jc w:val="center"/>
        </w:trPr>
        <w:tc>
          <w:tcPr>
            <w:tcW w:w="605" w:type="dxa"/>
          </w:tcPr>
          <w:p w:rsidR="00502422" w:rsidRPr="00D27F07" w:rsidRDefault="00502422" w:rsidP="005B67BF">
            <w:pPr>
              <w:pStyle w:val="tablesourcenote0"/>
              <w:rPr>
                <w:rFonts w:cs="Arial"/>
                <w:iCs/>
                <w:sz w:val="18"/>
                <w:szCs w:val="18"/>
                <w:lang w:val="en-US"/>
              </w:rPr>
            </w:pPr>
            <w:r w:rsidRPr="00D27F07">
              <w:rPr>
                <w:rFonts w:cs="Arial"/>
                <w:iCs/>
                <w:sz w:val="18"/>
                <w:szCs w:val="18"/>
                <w:lang w:val="en-US"/>
              </w:rPr>
              <w:t>3.</w:t>
            </w:r>
          </w:p>
        </w:tc>
        <w:tc>
          <w:tcPr>
            <w:tcW w:w="2160" w:type="dxa"/>
          </w:tcPr>
          <w:p w:rsidR="00502422" w:rsidRPr="00D27F07" w:rsidRDefault="00502422" w:rsidP="005B67BF">
            <w:pPr>
              <w:pStyle w:val="tablesourcenote0"/>
              <w:rPr>
                <w:rFonts w:cs="Arial"/>
                <w:iCs/>
                <w:sz w:val="18"/>
                <w:szCs w:val="18"/>
                <w:lang w:val="en-US"/>
              </w:rPr>
            </w:pPr>
            <w:r w:rsidRPr="00D27F07">
              <w:rPr>
                <w:rFonts w:cs="Arial"/>
                <w:iCs/>
                <w:sz w:val="18"/>
                <w:szCs w:val="18"/>
                <w:lang w:val="en-US"/>
              </w:rPr>
              <w:t>Shipping</w:t>
            </w:r>
          </w:p>
        </w:tc>
        <w:tc>
          <w:tcPr>
            <w:tcW w:w="899"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1</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9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1</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2 KPI</w:t>
            </w:r>
          </w:p>
        </w:tc>
      </w:tr>
      <w:tr w:rsidR="00502422" w:rsidRPr="00D27F07" w:rsidTr="005B67BF">
        <w:trPr>
          <w:jc w:val="center"/>
        </w:trPr>
        <w:tc>
          <w:tcPr>
            <w:tcW w:w="605" w:type="dxa"/>
          </w:tcPr>
          <w:p w:rsidR="00502422" w:rsidRPr="00D27F07" w:rsidRDefault="00502422" w:rsidP="005B67BF">
            <w:pPr>
              <w:pStyle w:val="tablesourcenote0"/>
              <w:rPr>
                <w:rFonts w:cs="Arial"/>
                <w:iCs/>
                <w:sz w:val="18"/>
                <w:szCs w:val="18"/>
                <w:lang w:val="en-US"/>
              </w:rPr>
            </w:pPr>
            <w:r w:rsidRPr="00D27F07">
              <w:rPr>
                <w:rFonts w:cs="Arial"/>
                <w:iCs/>
                <w:sz w:val="18"/>
                <w:szCs w:val="18"/>
                <w:lang w:val="en-US"/>
              </w:rPr>
              <w:t>4.</w:t>
            </w:r>
          </w:p>
        </w:tc>
        <w:tc>
          <w:tcPr>
            <w:tcW w:w="2160" w:type="dxa"/>
          </w:tcPr>
          <w:p w:rsidR="00502422" w:rsidRPr="00D27F07" w:rsidRDefault="00502422" w:rsidP="005B67BF">
            <w:pPr>
              <w:pStyle w:val="tablesourcenote0"/>
              <w:rPr>
                <w:rFonts w:cs="Arial"/>
                <w:iCs/>
                <w:sz w:val="18"/>
                <w:szCs w:val="18"/>
                <w:lang w:val="en-US"/>
              </w:rPr>
            </w:pPr>
            <w:r w:rsidRPr="00D27F07">
              <w:rPr>
                <w:rFonts w:cs="Arial"/>
                <w:iCs/>
                <w:sz w:val="18"/>
                <w:szCs w:val="18"/>
                <w:lang w:val="en-US"/>
              </w:rPr>
              <w:t>Defense equipment</w:t>
            </w:r>
          </w:p>
        </w:tc>
        <w:tc>
          <w:tcPr>
            <w:tcW w:w="899"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2</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9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2 KPI</w:t>
            </w:r>
          </w:p>
        </w:tc>
      </w:tr>
      <w:tr w:rsidR="00502422" w:rsidRPr="00D27F07" w:rsidTr="005B67BF">
        <w:trPr>
          <w:jc w:val="center"/>
        </w:trPr>
        <w:tc>
          <w:tcPr>
            <w:tcW w:w="605" w:type="dxa"/>
          </w:tcPr>
          <w:p w:rsidR="00502422" w:rsidRPr="00D27F07" w:rsidRDefault="00502422" w:rsidP="005B67BF">
            <w:pPr>
              <w:pStyle w:val="tablesourcenote0"/>
              <w:rPr>
                <w:rFonts w:cs="Arial"/>
                <w:iCs/>
                <w:sz w:val="18"/>
                <w:szCs w:val="18"/>
                <w:lang w:val="en-US"/>
              </w:rPr>
            </w:pPr>
            <w:r w:rsidRPr="00D27F07">
              <w:rPr>
                <w:rFonts w:cs="Arial"/>
                <w:iCs/>
                <w:sz w:val="18"/>
                <w:szCs w:val="18"/>
                <w:lang w:val="en-US"/>
              </w:rPr>
              <w:t>5.</w:t>
            </w:r>
          </w:p>
        </w:tc>
        <w:tc>
          <w:tcPr>
            <w:tcW w:w="2160" w:type="dxa"/>
          </w:tcPr>
          <w:p w:rsidR="00502422" w:rsidRPr="00D27F07" w:rsidRDefault="00502422" w:rsidP="005B67BF">
            <w:pPr>
              <w:pStyle w:val="tablesourcenote0"/>
              <w:rPr>
                <w:rFonts w:cs="Arial"/>
                <w:iCs/>
                <w:sz w:val="18"/>
                <w:szCs w:val="18"/>
                <w:lang w:val="en-US"/>
              </w:rPr>
            </w:pPr>
            <w:r w:rsidRPr="00D27F07">
              <w:rPr>
                <w:rFonts w:cs="Arial"/>
                <w:iCs/>
                <w:sz w:val="18"/>
                <w:szCs w:val="18"/>
                <w:lang w:val="en-US"/>
              </w:rPr>
              <w:t xml:space="preserve">Transportation Equipment  </w:t>
            </w:r>
          </w:p>
        </w:tc>
        <w:tc>
          <w:tcPr>
            <w:tcW w:w="899"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4</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1</w:t>
            </w:r>
          </w:p>
        </w:tc>
        <w:tc>
          <w:tcPr>
            <w:tcW w:w="99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1</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6 KPI</w:t>
            </w:r>
          </w:p>
        </w:tc>
      </w:tr>
      <w:tr w:rsidR="00502422" w:rsidRPr="00D27F07" w:rsidTr="005B67BF">
        <w:trPr>
          <w:jc w:val="center"/>
        </w:trPr>
        <w:tc>
          <w:tcPr>
            <w:tcW w:w="605" w:type="dxa"/>
          </w:tcPr>
          <w:p w:rsidR="00502422" w:rsidRPr="00D27F07" w:rsidRDefault="00502422" w:rsidP="005B67BF">
            <w:pPr>
              <w:pStyle w:val="tablesourcenote0"/>
              <w:rPr>
                <w:rFonts w:cs="Arial"/>
                <w:iCs/>
                <w:sz w:val="18"/>
                <w:szCs w:val="18"/>
                <w:lang w:val="en-US"/>
              </w:rPr>
            </w:pPr>
            <w:r w:rsidRPr="00D27F07">
              <w:rPr>
                <w:rFonts w:cs="Arial"/>
                <w:iCs/>
                <w:sz w:val="18"/>
                <w:szCs w:val="18"/>
                <w:lang w:val="en-US"/>
              </w:rPr>
              <w:t>6.</w:t>
            </w:r>
          </w:p>
        </w:tc>
        <w:tc>
          <w:tcPr>
            <w:tcW w:w="2160" w:type="dxa"/>
          </w:tcPr>
          <w:p w:rsidR="00502422" w:rsidRPr="00D27F07" w:rsidRDefault="00502422" w:rsidP="005B67BF">
            <w:pPr>
              <w:pStyle w:val="tablesourcenote0"/>
              <w:rPr>
                <w:rFonts w:cs="Arial"/>
                <w:iCs/>
                <w:sz w:val="18"/>
                <w:szCs w:val="18"/>
                <w:lang w:val="en-US"/>
              </w:rPr>
            </w:pPr>
            <w:r w:rsidRPr="00D27F07">
              <w:rPr>
                <w:rFonts w:cs="Arial"/>
                <w:iCs/>
                <w:sz w:val="18"/>
                <w:szCs w:val="18"/>
                <w:lang w:val="en-US"/>
              </w:rPr>
              <w:t>ICT</w:t>
            </w:r>
          </w:p>
        </w:tc>
        <w:tc>
          <w:tcPr>
            <w:tcW w:w="899"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2</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9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2 KPI</w:t>
            </w:r>
          </w:p>
        </w:tc>
      </w:tr>
      <w:tr w:rsidR="00502422" w:rsidRPr="00D27F07" w:rsidTr="005B67BF">
        <w:trPr>
          <w:jc w:val="center"/>
        </w:trPr>
        <w:tc>
          <w:tcPr>
            <w:tcW w:w="605" w:type="dxa"/>
          </w:tcPr>
          <w:p w:rsidR="00502422" w:rsidRPr="00D27F07" w:rsidRDefault="00502422" w:rsidP="005B67BF">
            <w:pPr>
              <w:pStyle w:val="tablesourcenote0"/>
              <w:rPr>
                <w:rFonts w:cs="Arial"/>
                <w:iCs/>
                <w:sz w:val="18"/>
                <w:szCs w:val="18"/>
                <w:lang w:val="en-US"/>
              </w:rPr>
            </w:pPr>
            <w:r w:rsidRPr="00D27F07">
              <w:rPr>
                <w:rFonts w:cs="Arial"/>
                <w:iCs/>
                <w:sz w:val="18"/>
                <w:szCs w:val="18"/>
                <w:lang w:val="en-US"/>
              </w:rPr>
              <w:t>7.</w:t>
            </w:r>
          </w:p>
        </w:tc>
        <w:tc>
          <w:tcPr>
            <w:tcW w:w="2160" w:type="dxa"/>
          </w:tcPr>
          <w:p w:rsidR="00502422" w:rsidRPr="00D27F07" w:rsidRDefault="00502422" w:rsidP="005B67BF">
            <w:pPr>
              <w:pStyle w:val="tablesourcenote0"/>
              <w:rPr>
                <w:rFonts w:cs="Arial"/>
                <w:iCs/>
                <w:sz w:val="18"/>
                <w:szCs w:val="18"/>
                <w:lang w:val="en-US"/>
              </w:rPr>
            </w:pPr>
            <w:r w:rsidRPr="00D27F07">
              <w:rPr>
                <w:rFonts w:cs="Arial"/>
                <w:iCs/>
                <w:sz w:val="18"/>
                <w:szCs w:val="18"/>
                <w:lang w:val="en-US"/>
              </w:rPr>
              <w:t>Oil and Gas</w:t>
            </w:r>
          </w:p>
        </w:tc>
        <w:tc>
          <w:tcPr>
            <w:tcW w:w="899"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1</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9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1</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w:t>
            </w:r>
          </w:p>
        </w:tc>
        <w:tc>
          <w:tcPr>
            <w:tcW w:w="900" w:type="dxa"/>
            <w:vAlign w:val="center"/>
          </w:tcPr>
          <w:p w:rsidR="00502422" w:rsidRPr="00D27F07" w:rsidRDefault="00502422" w:rsidP="005B67BF">
            <w:pPr>
              <w:pStyle w:val="tablesourcenote0"/>
              <w:jc w:val="center"/>
              <w:rPr>
                <w:rFonts w:cs="Arial"/>
                <w:iCs/>
                <w:sz w:val="18"/>
                <w:szCs w:val="18"/>
                <w:lang w:val="en-US"/>
              </w:rPr>
            </w:pPr>
            <w:r w:rsidRPr="00D27F07">
              <w:rPr>
                <w:rFonts w:cs="Arial"/>
                <w:iCs/>
                <w:sz w:val="18"/>
                <w:szCs w:val="18"/>
                <w:lang w:val="en-US"/>
              </w:rPr>
              <w:t>2 KPI</w:t>
            </w:r>
          </w:p>
        </w:tc>
      </w:tr>
    </w:tbl>
    <w:p w:rsidR="00502422" w:rsidRPr="00D34CE3" w:rsidRDefault="00502422" w:rsidP="00502422">
      <w:pPr>
        <w:pStyle w:val="tablesourcenote0"/>
      </w:pPr>
      <w:r w:rsidRPr="00D34CE3">
        <w:rPr>
          <w:i/>
        </w:rPr>
        <w:t>Source:</w:t>
      </w:r>
      <w:r w:rsidRPr="00D34CE3">
        <w:t xml:space="preserve"> </w:t>
      </w:r>
      <w:r w:rsidRPr="00D27F07">
        <w:rPr>
          <w:i/>
          <w:iCs/>
          <w:lang w:val="en-US"/>
        </w:rPr>
        <w:t xml:space="preserve">Result of Coordination Meeting, Java Economic Corridor Team </w:t>
      </w:r>
      <w:sdt>
        <w:sdtPr>
          <w:rPr>
            <w:i/>
            <w:iCs/>
            <w:lang w:val="en-US"/>
          </w:rPr>
          <w:id w:val="121860977"/>
          <w:citation/>
        </w:sdtPr>
        <w:sdtContent>
          <w:r w:rsidR="00476E26">
            <w:rPr>
              <w:i/>
              <w:iCs/>
              <w:lang w:val="en-US"/>
            </w:rPr>
            <w:fldChar w:fldCharType="begin"/>
          </w:r>
          <w:r w:rsidR="005B67BF">
            <w:rPr>
              <w:i/>
              <w:iCs/>
              <w:lang w:val="en-US"/>
            </w:rPr>
            <w:instrText xml:space="preserve"> CITATION Tim12 \p 44-55 \n  \t  \l 1033  </w:instrText>
          </w:r>
          <w:r w:rsidR="00476E26">
            <w:rPr>
              <w:i/>
              <w:iCs/>
              <w:lang w:val="en-US"/>
            </w:rPr>
            <w:fldChar w:fldCharType="separate"/>
          </w:r>
          <w:r w:rsidR="005B67BF" w:rsidRPr="005B67BF">
            <w:rPr>
              <w:noProof/>
              <w:lang w:val="en-US"/>
            </w:rPr>
            <w:t>(2012, pp. 44-55)</w:t>
          </w:r>
          <w:r w:rsidR="00476E26">
            <w:rPr>
              <w:i/>
              <w:iCs/>
              <w:lang w:val="en-US"/>
            </w:rPr>
            <w:fldChar w:fldCharType="end"/>
          </w:r>
        </w:sdtContent>
      </w:sdt>
    </w:p>
    <w:p w:rsidR="00502422" w:rsidRDefault="00502422" w:rsidP="00502422">
      <w:pPr>
        <w:pStyle w:val="Maptitle"/>
        <w:spacing w:after="100"/>
        <w:ind w:firstLine="432"/>
        <w:jc w:val="both"/>
        <w:rPr>
          <w:rFonts w:ascii="Garamond" w:hAnsi="Garamond"/>
          <w:b w:val="0"/>
          <w:sz w:val="24"/>
        </w:rPr>
      </w:pPr>
    </w:p>
    <w:p w:rsidR="00502422" w:rsidRDefault="00A54577" w:rsidP="00502422">
      <w:pPr>
        <w:pStyle w:val="Maptitle"/>
        <w:spacing w:after="100"/>
        <w:ind w:firstLine="432"/>
        <w:jc w:val="both"/>
        <w:rPr>
          <w:rFonts w:ascii="Garamond" w:hAnsi="Garamond"/>
          <w:b w:val="0"/>
          <w:iCs/>
          <w:sz w:val="24"/>
          <w:lang w:val="en-US"/>
        </w:rPr>
      </w:pPr>
      <w:bookmarkStart w:id="117" w:name="_Toc340436338"/>
      <w:r>
        <w:rPr>
          <w:rFonts w:ascii="Garamond" w:hAnsi="Garamond"/>
          <w:b w:val="0"/>
          <w:iCs/>
          <w:sz w:val="24"/>
          <w:lang w:val="en-US"/>
        </w:rPr>
        <w:t>The main target of i</w:t>
      </w:r>
      <w:r w:rsidRPr="00D27F07">
        <w:rPr>
          <w:rFonts w:ascii="Garamond" w:hAnsi="Garamond"/>
          <w:b w:val="0"/>
          <w:iCs/>
          <w:sz w:val="24"/>
          <w:lang w:val="en-US"/>
        </w:rPr>
        <w:t>nfrastructure</w:t>
      </w:r>
      <w:r>
        <w:rPr>
          <w:rFonts w:ascii="Garamond" w:hAnsi="Garamond"/>
          <w:b w:val="0"/>
          <w:iCs/>
          <w:sz w:val="24"/>
          <w:lang w:val="en-US"/>
        </w:rPr>
        <w:t xml:space="preserve">s </w:t>
      </w:r>
      <w:r w:rsidRPr="00D27F07">
        <w:rPr>
          <w:rFonts w:ascii="Garamond" w:hAnsi="Garamond"/>
          <w:b w:val="0"/>
          <w:iCs/>
          <w:sz w:val="24"/>
          <w:lang w:val="en-US"/>
        </w:rPr>
        <w:t xml:space="preserve">development </w:t>
      </w:r>
      <w:r>
        <w:rPr>
          <w:rFonts w:ascii="Garamond" w:hAnsi="Garamond"/>
          <w:b w:val="0"/>
          <w:iCs/>
          <w:sz w:val="24"/>
          <w:lang w:val="en-US"/>
        </w:rPr>
        <w:t xml:space="preserve">in JEC </w:t>
      </w:r>
      <w:r w:rsidRPr="00D27F07">
        <w:rPr>
          <w:rFonts w:ascii="Garamond" w:hAnsi="Garamond"/>
          <w:b w:val="0"/>
          <w:iCs/>
          <w:sz w:val="24"/>
          <w:lang w:val="en-US"/>
        </w:rPr>
        <w:t>is to connect or to facilitate industries in between and within the KPI</w:t>
      </w:r>
      <w:r>
        <w:rPr>
          <w:rFonts w:ascii="Garamond" w:hAnsi="Garamond"/>
          <w:b w:val="0"/>
          <w:iCs/>
          <w:sz w:val="24"/>
          <w:lang w:val="en-US"/>
        </w:rPr>
        <w:t>s</w:t>
      </w:r>
      <w:r w:rsidRPr="00D27F07">
        <w:rPr>
          <w:rFonts w:ascii="Garamond" w:hAnsi="Garamond"/>
          <w:b w:val="0"/>
          <w:iCs/>
          <w:sz w:val="24"/>
          <w:lang w:val="en-US"/>
        </w:rPr>
        <w:t xml:space="preserve"> in order to ease movement of goods, capital and people, </w:t>
      </w:r>
      <w:r>
        <w:rPr>
          <w:rFonts w:ascii="Garamond" w:hAnsi="Garamond"/>
          <w:b w:val="0"/>
          <w:iCs/>
          <w:sz w:val="24"/>
          <w:lang w:val="en-US"/>
        </w:rPr>
        <w:t xml:space="preserve">especially to transport the </w:t>
      </w:r>
      <w:r w:rsidRPr="00D27F07">
        <w:rPr>
          <w:rFonts w:ascii="Garamond" w:hAnsi="Garamond"/>
          <w:b w:val="0"/>
          <w:iCs/>
          <w:sz w:val="24"/>
          <w:lang w:val="en-US"/>
        </w:rPr>
        <w:t xml:space="preserve">products </w:t>
      </w:r>
      <w:r>
        <w:rPr>
          <w:rFonts w:ascii="Garamond" w:hAnsi="Garamond"/>
          <w:b w:val="0"/>
          <w:iCs/>
          <w:sz w:val="24"/>
          <w:lang w:val="en-US"/>
        </w:rPr>
        <w:t xml:space="preserve">from production places </w:t>
      </w:r>
      <w:r w:rsidRPr="00D27F07">
        <w:rPr>
          <w:rFonts w:ascii="Garamond" w:hAnsi="Garamond"/>
          <w:b w:val="0"/>
          <w:iCs/>
          <w:sz w:val="24"/>
          <w:lang w:val="en-US"/>
        </w:rPr>
        <w:t xml:space="preserve">to </w:t>
      </w:r>
      <w:r>
        <w:rPr>
          <w:rFonts w:ascii="Garamond" w:hAnsi="Garamond"/>
          <w:b w:val="0"/>
          <w:iCs/>
          <w:sz w:val="24"/>
          <w:lang w:val="en-US"/>
        </w:rPr>
        <w:t xml:space="preserve">the </w:t>
      </w:r>
      <w:r w:rsidRPr="00D27F07">
        <w:rPr>
          <w:rFonts w:ascii="Garamond" w:hAnsi="Garamond"/>
          <w:b w:val="0"/>
          <w:iCs/>
          <w:sz w:val="24"/>
          <w:lang w:val="en-US"/>
        </w:rPr>
        <w:t xml:space="preserve">major ports </w:t>
      </w:r>
      <w:r>
        <w:rPr>
          <w:rFonts w:ascii="Garamond" w:hAnsi="Garamond"/>
          <w:b w:val="0"/>
          <w:iCs/>
          <w:sz w:val="24"/>
          <w:lang w:val="en-US"/>
        </w:rPr>
        <w:t xml:space="preserve">or </w:t>
      </w:r>
      <w:r w:rsidRPr="00D27F07">
        <w:rPr>
          <w:rFonts w:ascii="Garamond" w:hAnsi="Garamond"/>
          <w:b w:val="0"/>
          <w:iCs/>
          <w:sz w:val="24"/>
          <w:lang w:val="en-US"/>
        </w:rPr>
        <w:t xml:space="preserve">airport </w:t>
      </w:r>
      <w:r>
        <w:rPr>
          <w:rFonts w:ascii="Garamond" w:hAnsi="Garamond"/>
          <w:b w:val="0"/>
          <w:iCs/>
          <w:sz w:val="24"/>
          <w:lang w:val="en-US"/>
        </w:rPr>
        <w:t xml:space="preserve">within island, inter-islands or </w:t>
      </w:r>
      <w:r w:rsidRPr="00D27F07">
        <w:rPr>
          <w:rFonts w:ascii="Garamond" w:hAnsi="Garamond"/>
          <w:b w:val="0"/>
          <w:iCs/>
          <w:sz w:val="24"/>
          <w:lang w:val="en-US"/>
        </w:rPr>
        <w:t xml:space="preserve">overseas </w:t>
      </w:r>
      <w:r>
        <w:rPr>
          <w:rFonts w:ascii="Garamond" w:hAnsi="Garamond"/>
          <w:b w:val="0"/>
          <w:iCs/>
          <w:sz w:val="24"/>
          <w:lang w:val="en-US"/>
        </w:rPr>
        <w:t>distribution</w:t>
      </w:r>
      <w:r w:rsidRPr="00D27F07">
        <w:rPr>
          <w:rFonts w:ascii="Garamond" w:hAnsi="Garamond"/>
          <w:b w:val="0"/>
          <w:iCs/>
          <w:sz w:val="24"/>
          <w:lang w:val="en-US"/>
        </w:rPr>
        <w:t xml:space="preserve">. Therefore, development of </w:t>
      </w:r>
      <w:r>
        <w:rPr>
          <w:rFonts w:ascii="Garamond" w:hAnsi="Garamond"/>
          <w:b w:val="0"/>
          <w:iCs/>
          <w:sz w:val="24"/>
          <w:lang w:val="en-US"/>
        </w:rPr>
        <w:t xml:space="preserve">the transport </w:t>
      </w:r>
      <w:r w:rsidRPr="00D27F07">
        <w:rPr>
          <w:rFonts w:ascii="Garamond" w:hAnsi="Garamond"/>
          <w:b w:val="0"/>
          <w:iCs/>
          <w:sz w:val="24"/>
          <w:lang w:val="en-US"/>
        </w:rPr>
        <w:t xml:space="preserve">infrastructure is not only to build roads, but also </w:t>
      </w:r>
      <w:r>
        <w:rPr>
          <w:rFonts w:ascii="Garamond" w:hAnsi="Garamond"/>
          <w:b w:val="0"/>
          <w:iCs/>
          <w:sz w:val="24"/>
          <w:lang w:val="en-US"/>
        </w:rPr>
        <w:t>railways, sea-</w:t>
      </w:r>
      <w:r w:rsidRPr="00D27F07">
        <w:rPr>
          <w:rFonts w:ascii="Garamond" w:hAnsi="Garamond"/>
          <w:b w:val="0"/>
          <w:iCs/>
          <w:sz w:val="24"/>
          <w:lang w:val="en-US"/>
        </w:rPr>
        <w:t>ports and airports.</w:t>
      </w:r>
      <w:r>
        <w:rPr>
          <w:rFonts w:ascii="Garamond" w:hAnsi="Garamond"/>
          <w:b w:val="0"/>
          <w:iCs/>
          <w:sz w:val="24"/>
          <w:lang w:val="en-US"/>
        </w:rPr>
        <w:t xml:space="preserve"> However, in Java, due to a condition and availability of the existing ports and airports, construction of the toll roads is more needed. In this context, the</w:t>
      </w:r>
      <w:r w:rsidRPr="00D27F07">
        <w:rPr>
          <w:rFonts w:ascii="Garamond" w:hAnsi="Garamond"/>
          <w:b w:val="0"/>
          <w:iCs/>
          <w:sz w:val="24"/>
          <w:lang w:val="en-US"/>
        </w:rPr>
        <w:t xml:space="preserve"> Ministry of Public Work</w:t>
      </w:r>
      <w:r>
        <w:rPr>
          <w:rFonts w:ascii="Garamond" w:hAnsi="Garamond"/>
          <w:b w:val="0"/>
          <w:iCs/>
          <w:sz w:val="24"/>
          <w:lang w:val="en-US"/>
        </w:rPr>
        <w:t xml:space="preserve"> </w:t>
      </w:r>
      <w:r w:rsidRPr="00D27F07">
        <w:rPr>
          <w:rFonts w:ascii="Garamond" w:hAnsi="Garamond"/>
          <w:b w:val="0"/>
          <w:iCs/>
          <w:sz w:val="24"/>
          <w:lang w:val="en-US"/>
        </w:rPr>
        <w:t xml:space="preserve">has been planned </w:t>
      </w:r>
      <w:r>
        <w:rPr>
          <w:rFonts w:ascii="Garamond" w:hAnsi="Garamond"/>
          <w:b w:val="0"/>
          <w:iCs/>
          <w:sz w:val="24"/>
          <w:lang w:val="en-US"/>
        </w:rPr>
        <w:t xml:space="preserve">a </w:t>
      </w:r>
      <w:r w:rsidRPr="00D27F07">
        <w:rPr>
          <w:rFonts w:ascii="Garamond" w:hAnsi="Garamond"/>
          <w:b w:val="0"/>
          <w:iCs/>
          <w:sz w:val="24"/>
          <w:lang w:val="en-US"/>
        </w:rPr>
        <w:t xml:space="preserve">number of </w:t>
      </w:r>
      <w:r>
        <w:rPr>
          <w:rFonts w:ascii="Garamond" w:hAnsi="Garamond"/>
          <w:b w:val="0"/>
          <w:iCs/>
          <w:sz w:val="24"/>
          <w:lang w:val="en-US"/>
        </w:rPr>
        <w:t xml:space="preserve">the new </w:t>
      </w:r>
      <w:r w:rsidRPr="00D27F07">
        <w:rPr>
          <w:rFonts w:ascii="Garamond" w:hAnsi="Garamond"/>
          <w:b w:val="0"/>
          <w:iCs/>
          <w:sz w:val="24"/>
          <w:lang w:val="en-US"/>
        </w:rPr>
        <w:t>toll ways</w:t>
      </w:r>
      <w:r>
        <w:rPr>
          <w:rFonts w:ascii="Garamond" w:hAnsi="Garamond"/>
          <w:b w:val="0"/>
          <w:iCs/>
          <w:sz w:val="24"/>
          <w:lang w:val="en-US"/>
        </w:rPr>
        <w:t xml:space="preserve"> in Java to add to existing toll roads in order to make</w:t>
      </w:r>
      <w:r w:rsidRPr="00D27F07">
        <w:rPr>
          <w:rFonts w:ascii="Garamond" w:hAnsi="Garamond"/>
          <w:b w:val="0"/>
          <w:iCs/>
          <w:sz w:val="24"/>
          <w:lang w:val="en-US"/>
        </w:rPr>
        <w:t xml:space="preserve"> the 34 KPIs </w:t>
      </w:r>
      <w:r>
        <w:rPr>
          <w:rFonts w:ascii="Garamond" w:hAnsi="Garamond"/>
          <w:b w:val="0"/>
          <w:iCs/>
          <w:sz w:val="24"/>
          <w:lang w:val="en-US"/>
        </w:rPr>
        <w:t>interconnected</w:t>
      </w:r>
      <w:r w:rsidR="00502422" w:rsidRPr="00D27F07">
        <w:rPr>
          <w:rFonts w:ascii="Garamond" w:hAnsi="Garamond"/>
          <w:b w:val="0"/>
          <w:iCs/>
          <w:sz w:val="24"/>
          <w:lang w:val="en-US"/>
        </w:rPr>
        <w:t>.</w:t>
      </w:r>
      <w:bookmarkEnd w:id="117"/>
    </w:p>
    <w:p w:rsidR="00502422" w:rsidRDefault="00502422" w:rsidP="00502422">
      <w:pPr>
        <w:pStyle w:val="Maptitle"/>
        <w:spacing w:after="100"/>
        <w:ind w:firstLine="432"/>
        <w:jc w:val="both"/>
        <w:rPr>
          <w:rFonts w:ascii="Garamond" w:hAnsi="Garamond"/>
          <w:b w:val="0"/>
          <w:iCs/>
          <w:sz w:val="24"/>
          <w:lang w:val="en-US"/>
        </w:rPr>
      </w:pPr>
    </w:p>
    <w:p w:rsidR="00767AB5" w:rsidRDefault="00767AB5" w:rsidP="00767AB5">
      <w:pPr>
        <w:pStyle w:val="Caption"/>
        <w:keepNext/>
      </w:pPr>
      <w:bookmarkStart w:id="118" w:name="_Toc340618346"/>
      <w:r>
        <w:lastRenderedPageBreak/>
        <w:t>Figure 3.</w:t>
      </w:r>
      <w:fldSimple w:instr=" SEQ Figure \* ARABIC ">
        <w:r>
          <w:rPr>
            <w:noProof/>
          </w:rPr>
          <w:t>2</w:t>
        </w:r>
      </w:fldSimple>
      <w:r>
        <w:t>.</w:t>
      </w:r>
      <w:r>
        <w:br/>
        <w:t>Toll Road Development in Java</w:t>
      </w:r>
      <w:bookmarkEnd w:id="118"/>
    </w:p>
    <w:p w:rsidR="00502422" w:rsidRDefault="00502422" w:rsidP="00502422">
      <w:pPr>
        <w:pStyle w:val="Maptitle"/>
        <w:spacing w:after="100"/>
        <w:jc w:val="both"/>
        <w:rPr>
          <w:rFonts w:ascii="Garamond" w:hAnsi="Garamond"/>
          <w:b w:val="0"/>
          <w:noProof/>
          <w:sz w:val="24"/>
          <w:lang w:val="en-US" w:eastAsia="en-US"/>
        </w:rPr>
      </w:pPr>
      <w:r>
        <w:rPr>
          <w:rFonts w:ascii="Garamond" w:hAnsi="Garamond"/>
          <w:b w:val="0"/>
          <w:noProof/>
          <w:sz w:val="24"/>
          <w:lang w:val="en-US" w:eastAsia="en-US"/>
        </w:rPr>
        <w:drawing>
          <wp:inline distT="0" distB="0" distL="0" distR="0">
            <wp:extent cx="5303340" cy="3019245"/>
            <wp:effectExtent l="19050" t="0" r="0" b="0"/>
            <wp:docPr id="13"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5214974"/>
                      <a:chOff x="0" y="1357298"/>
                      <a:chExt cx="9144000" cy="5214974"/>
                    </a:xfrm>
                  </a:grpSpPr>
                  <a:grpSp>
                    <a:nvGrpSpPr>
                      <a:cNvPr id="60" name="Group 59"/>
                      <a:cNvGrpSpPr/>
                    </a:nvGrpSpPr>
                    <a:grpSpPr>
                      <a:xfrm>
                        <a:off x="0" y="1357298"/>
                        <a:ext cx="9144000" cy="5214974"/>
                        <a:chOff x="0" y="1357298"/>
                        <a:chExt cx="9144000" cy="5214974"/>
                      </a:xfrm>
                    </a:grpSpPr>
                    <a:pic>
                      <a:nvPicPr>
                        <a:cNvPr id="3" name="Picture 2"/>
                        <a:cNvPicPr>
                          <a:picLocks noChangeAspect="1"/>
                        </a:cNvPicPr>
                      </a:nvPicPr>
                      <a:blipFill>
                        <a:blip r:embed="rId20" cstate="print">
                          <a:extLst>
                            <a:ext uri="{28A0092B-C50C-407E-A947-70E740481C1C}"/>
                          </a:extLst>
                        </a:blip>
                        <a:stretch>
                          <a:fillRect/>
                        </a:stretch>
                      </a:blipFill>
                      <a:spPr>
                        <a:xfrm>
                          <a:off x="0" y="2422257"/>
                          <a:ext cx="9144000" cy="3959071"/>
                        </a:xfrm>
                        <a:prstGeom prst="rect">
                          <a:avLst/>
                        </a:prstGeom>
                      </a:spPr>
                    </a:pic>
                    <a:grpSp>
                      <a:nvGrpSpPr>
                        <a:cNvPr id="4" name="Group 58"/>
                        <a:cNvGrpSpPr/>
                      </a:nvGrpSpPr>
                      <a:grpSpPr>
                        <a:xfrm>
                          <a:off x="54601" y="1357298"/>
                          <a:ext cx="8273925" cy="5214974"/>
                          <a:chOff x="54601" y="1357298"/>
                          <a:chExt cx="8273925" cy="5214974"/>
                        </a:xfrm>
                      </a:grpSpPr>
                      <a:grpSp>
                        <a:nvGrpSpPr>
                          <a:cNvPr id="5" name="Group 48"/>
                          <a:cNvGrpSpPr/>
                        </a:nvGrpSpPr>
                        <a:grpSpPr>
                          <a:xfrm>
                            <a:off x="5072066" y="2786058"/>
                            <a:ext cx="1942578" cy="1500196"/>
                            <a:chOff x="5072066" y="2786058"/>
                            <a:chExt cx="1942578" cy="1500196"/>
                          </a:xfrm>
                        </a:grpSpPr>
                        <a:sp>
                          <a:nvSpPr>
                            <a:cNvPr id="19" name="Rectangle 18"/>
                            <a:cNvSpPr/>
                          </a:nvSpPr>
                          <a:spPr>
                            <a:xfrm>
                              <a:off x="5072066" y="2786058"/>
                              <a:ext cx="1942578" cy="642942"/>
                            </a:xfrm>
                            <a:prstGeom prst="rect">
                              <a:avLst/>
                            </a:prstGeom>
                          </a:spPr>
                          <a:txSp>
                            <a:txBody>
                              <a:bodyPr rtlCol="0" anchor="t"/>
                              <a:lstStyle>
                                <a:defPPr>
                                  <a:defRPr lang="id-ID"/>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i-FI" sz="1200" dirty="0" smtClean="0">
                                    <a:solidFill>
                                      <a:schemeClr val="bg1"/>
                                    </a:solidFill>
                                  </a:rPr>
                                  <a:t>Main Road to Pati </a:t>
                                </a:r>
                                <a:r>
                                  <a:rPr lang="fi-FI" sz="1200" dirty="0" smtClean="0">
                                    <a:solidFill>
                                      <a:schemeClr val="bg1"/>
                                    </a:solidFill>
                                  </a:rPr>
                                  <a:t>– Rembang – Batas Jatim – Bulu – Tuban </a:t>
                                </a:r>
                                <a:endParaRPr lang="id-ID" sz="1200" dirty="0" smtClean="0">
                                  <a:solidFill>
                                    <a:schemeClr val="bg1"/>
                                  </a:solidFill>
                                  <a:latin typeface="Calibri" pitchFamily="34" charset="0"/>
                                  <a:cs typeface="Calibri" pitchFamily="34" charset="0"/>
                                </a:endParaRPr>
                              </a:p>
                              <a:p>
                                <a:pPr algn="ctr"/>
                                <a:endParaRPr lang="id-ID" sz="1200" dirty="0" smtClean="0">
                                  <a:solidFill>
                                    <a:schemeClr val="bg1"/>
                                  </a:solidFill>
                                  <a:latin typeface="Calibri" pitchFamily="34" charset="0"/>
                                  <a:cs typeface="Calibri" pitchFamily="34" charset="0"/>
                                </a:endParaRPr>
                              </a:p>
                              <a:p>
                                <a:pPr algn="ctr"/>
                                <a:endParaRPr lang="id-ID" sz="1200" dirty="0">
                                  <a:solidFill>
                                    <a:schemeClr val="bg1"/>
                                  </a:solidFill>
                                </a:endParaRPr>
                              </a:p>
                            </a:txBody>
                            <a:useSpRect/>
                          </a:txSp>
                          <a:style>
                            <a:lnRef idx="3">
                              <a:schemeClr val="lt1"/>
                            </a:lnRef>
                            <a:fillRef idx="1">
                              <a:schemeClr val="accent6"/>
                            </a:fillRef>
                            <a:effectRef idx="1">
                              <a:schemeClr val="accent6"/>
                            </a:effectRef>
                            <a:fontRef idx="minor">
                              <a:schemeClr val="lt1"/>
                            </a:fontRef>
                          </a:style>
                        </a:sp>
                        <a:cxnSp>
                          <a:nvCxnSpPr>
                            <a:cNvPr id="20" name="Straight Connector 19"/>
                            <a:cNvCxnSpPr>
                              <a:stCxn id="19" idx="2"/>
                            </a:cNvCxnSpPr>
                          </a:nvCxnSpPr>
                          <a:spPr>
                            <a:xfrm rot="16200000" flipH="1">
                              <a:off x="5629149" y="3843205"/>
                              <a:ext cx="857254" cy="28843"/>
                            </a:xfrm>
                            <a:prstGeom prst="line">
                              <a:avLst/>
                            </a:prstGeom>
                          </a:spPr>
                          <a:style>
                            <a:lnRef idx="2">
                              <a:schemeClr val="accent6"/>
                            </a:lnRef>
                            <a:fillRef idx="0">
                              <a:schemeClr val="accent6"/>
                            </a:fillRef>
                            <a:effectRef idx="1">
                              <a:schemeClr val="accent6"/>
                            </a:effectRef>
                            <a:fontRef idx="minor">
                              <a:schemeClr val="tx1"/>
                            </a:fontRef>
                          </a:style>
                        </a:cxnSp>
                      </a:grpSp>
                      <a:grpSp>
                        <a:nvGrpSpPr>
                          <a:cNvPr id="6" name="Group 45"/>
                          <a:cNvGrpSpPr/>
                        </a:nvGrpSpPr>
                        <a:grpSpPr>
                          <a:xfrm>
                            <a:off x="4143372" y="2214554"/>
                            <a:ext cx="1942578" cy="2036338"/>
                            <a:chOff x="4143372" y="2214554"/>
                            <a:chExt cx="1942578" cy="2036338"/>
                          </a:xfrm>
                        </a:grpSpPr>
                        <a:sp>
                          <a:nvSpPr>
                            <a:cNvPr id="23" name="Rectangle 22"/>
                            <a:cNvSpPr/>
                          </a:nvSpPr>
                          <a:spPr>
                            <a:xfrm>
                              <a:off x="4143372" y="2214554"/>
                              <a:ext cx="1942578" cy="512893"/>
                            </a:xfrm>
                            <a:prstGeom prst="rect">
                              <a:avLst/>
                            </a:prstGeom>
                          </a:spPr>
                          <a:txSp>
                            <a:txBody>
                              <a:bodyPr rtlCol="0" anchor="t"/>
                              <a:lstStyle>
                                <a:defPPr>
                                  <a:defRPr lang="id-ID"/>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i-FI" sz="1200" dirty="0" smtClean="0">
                                    <a:solidFill>
                                      <a:schemeClr val="bg1"/>
                                    </a:solidFill>
                                  </a:rPr>
                                  <a:t>Main Road to Pejagan-Pemalang-Pekalongan  </a:t>
                                </a:r>
                                <a:endParaRPr lang="id-ID" sz="1200" dirty="0" smtClean="0">
                                  <a:solidFill>
                                    <a:schemeClr val="bg1"/>
                                  </a:solidFill>
                                  <a:latin typeface="Calibri" pitchFamily="34" charset="0"/>
                                  <a:cs typeface="Calibri" pitchFamily="34" charset="0"/>
                                </a:endParaRPr>
                              </a:p>
                              <a:p>
                                <a:pPr algn="ctr"/>
                                <a:endParaRPr lang="id-ID" sz="1200" dirty="0" smtClean="0">
                                  <a:solidFill>
                                    <a:schemeClr val="bg1"/>
                                  </a:solidFill>
                                  <a:latin typeface="Calibri" pitchFamily="34" charset="0"/>
                                  <a:cs typeface="Calibri" pitchFamily="34" charset="0"/>
                                </a:endParaRPr>
                              </a:p>
                              <a:p>
                                <a:pPr algn="ctr"/>
                                <a:endParaRPr lang="id-ID" sz="1200" dirty="0">
                                  <a:solidFill>
                                    <a:schemeClr val="bg1"/>
                                  </a:solidFill>
                                </a:endParaRPr>
                              </a:p>
                            </a:txBody>
                            <a:useSpRect/>
                          </a:txSp>
                          <a:style>
                            <a:lnRef idx="3">
                              <a:schemeClr val="lt1"/>
                            </a:lnRef>
                            <a:fillRef idx="1">
                              <a:schemeClr val="accent6"/>
                            </a:fillRef>
                            <a:effectRef idx="1">
                              <a:schemeClr val="accent6"/>
                            </a:effectRef>
                            <a:fontRef idx="minor">
                              <a:schemeClr val="lt1"/>
                            </a:fontRef>
                          </a:style>
                        </a:sp>
                        <a:cxnSp>
                          <a:nvCxnSpPr>
                            <a:cNvPr id="24" name="Straight Connector 23"/>
                            <a:cNvCxnSpPr>
                              <a:stCxn id="23" idx="2"/>
                            </a:cNvCxnSpPr>
                          </a:nvCxnSpPr>
                          <a:spPr>
                            <a:xfrm flipH="1">
                              <a:off x="5002103" y="2727447"/>
                              <a:ext cx="112558" cy="1523445"/>
                            </a:xfrm>
                            <a:prstGeom prst="line">
                              <a:avLst/>
                            </a:prstGeom>
                          </a:spPr>
                          <a:style>
                            <a:lnRef idx="2">
                              <a:schemeClr val="accent6"/>
                            </a:lnRef>
                            <a:fillRef idx="0">
                              <a:schemeClr val="accent6"/>
                            </a:fillRef>
                            <a:effectRef idx="1">
                              <a:schemeClr val="accent6"/>
                            </a:effectRef>
                            <a:fontRef idx="minor">
                              <a:schemeClr val="tx1"/>
                            </a:fontRef>
                          </a:style>
                        </a:cxnSp>
                      </a:grpSp>
                      <a:grpSp>
                        <a:nvGrpSpPr>
                          <a:cNvPr id="7" name="Group 53"/>
                          <a:cNvGrpSpPr/>
                        </a:nvGrpSpPr>
                        <a:grpSpPr>
                          <a:xfrm>
                            <a:off x="4257167" y="4725144"/>
                            <a:ext cx="1942578" cy="1376989"/>
                            <a:chOff x="4257167" y="4725144"/>
                            <a:chExt cx="1942578" cy="1376989"/>
                          </a:xfrm>
                        </a:grpSpPr>
                        <a:sp>
                          <a:nvSpPr>
                            <a:cNvPr id="27" name="Rectangle 26"/>
                            <a:cNvSpPr/>
                          </a:nvSpPr>
                          <a:spPr>
                            <a:xfrm>
                              <a:off x="4257167" y="5589240"/>
                              <a:ext cx="1942578" cy="512893"/>
                            </a:xfrm>
                            <a:prstGeom prst="rect">
                              <a:avLst/>
                            </a:prstGeom>
                          </a:spPr>
                          <a:txSp>
                            <a:txBody>
                              <a:bodyPr rtlCol="0" anchor="t"/>
                              <a:lstStyle>
                                <a:defPPr>
                                  <a:defRPr lang="id-ID"/>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i-FI" sz="1200" dirty="0" smtClean="0">
                                    <a:solidFill>
                                      <a:schemeClr val="bg1"/>
                                    </a:solidFill>
                                  </a:rPr>
                                  <a:t>Main Road Semarang </a:t>
                                </a:r>
                                <a:r>
                                  <a:rPr lang="fi-FI" sz="1200" dirty="0" smtClean="0">
                                    <a:solidFill>
                                      <a:schemeClr val="bg1"/>
                                    </a:solidFill>
                                  </a:rPr>
                                  <a:t>– Bawen – Yogyakarta  </a:t>
                                </a:r>
                                <a:endParaRPr lang="id-ID" sz="1200" dirty="0" smtClean="0">
                                  <a:solidFill>
                                    <a:schemeClr val="bg1"/>
                                  </a:solidFill>
                                  <a:latin typeface="Calibri" pitchFamily="34" charset="0"/>
                                  <a:cs typeface="Calibri" pitchFamily="34" charset="0"/>
                                </a:endParaRPr>
                              </a:p>
                              <a:p>
                                <a:pPr algn="ctr"/>
                                <a:endParaRPr lang="id-ID" sz="1200" dirty="0" smtClean="0">
                                  <a:solidFill>
                                    <a:schemeClr val="bg1"/>
                                  </a:solidFill>
                                  <a:latin typeface="Calibri" pitchFamily="34" charset="0"/>
                                  <a:cs typeface="Calibri" pitchFamily="34" charset="0"/>
                                </a:endParaRPr>
                              </a:p>
                              <a:p>
                                <a:pPr algn="ctr"/>
                                <a:endParaRPr lang="id-ID" sz="1200" dirty="0">
                                  <a:solidFill>
                                    <a:schemeClr val="bg1"/>
                                  </a:solidFill>
                                </a:endParaRPr>
                              </a:p>
                            </a:txBody>
                            <a:useSpRect/>
                          </a:txSp>
                          <a:style>
                            <a:lnRef idx="3">
                              <a:schemeClr val="lt1"/>
                            </a:lnRef>
                            <a:fillRef idx="1">
                              <a:schemeClr val="accent6"/>
                            </a:fillRef>
                            <a:effectRef idx="1">
                              <a:schemeClr val="accent6"/>
                            </a:effectRef>
                            <a:fontRef idx="minor">
                              <a:schemeClr val="lt1"/>
                            </a:fontRef>
                          </a:style>
                        </a:sp>
                        <a:cxnSp>
                          <a:nvCxnSpPr>
                            <a:cNvPr id="28" name="Straight Connector 27"/>
                            <a:cNvCxnSpPr>
                              <a:endCxn id="27" idx="0"/>
                            </a:cNvCxnSpPr>
                          </a:nvCxnSpPr>
                          <a:spPr>
                            <a:xfrm>
                              <a:off x="5228456" y="4725144"/>
                              <a:ext cx="0" cy="864096"/>
                            </a:xfrm>
                            <a:prstGeom prst="line">
                              <a:avLst/>
                            </a:prstGeom>
                          </a:spPr>
                          <a:style>
                            <a:lnRef idx="2">
                              <a:schemeClr val="accent6"/>
                            </a:lnRef>
                            <a:fillRef idx="0">
                              <a:schemeClr val="accent6"/>
                            </a:fillRef>
                            <a:effectRef idx="1">
                              <a:schemeClr val="accent6"/>
                            </a:effectRef>
                            <a:fontRef idx="minor">
                              <a:schemeClr val="tx1"/>
                            </a:fontRef>
                          </a:style>
                        </a:cxnSp>
                      </a:grpSp>
                      <a:grpSp>
                        <a:nvGrpSpPr>
                          <a:cNvPr id="8" name="Group 41"/>
                          <a:cNvGrpSpPr/>
                        </a:nvGrpSpPr>
                        <a:grpSpPr>
                          <a:xfrm>
                            <a:off x="857224" y="1357298"/>
                            <a:ext cx="1942578" cy="2286016"/>
                            <a:chOff x="857224" y="1357298"/>
                            <a:chExt cx="1942578" cy="2286016"/>
                          </a:xfrm>
                        </a:grpSpPr>
                        <a:sp>
                          <a:nvSpPr>
                            <a:cNvPr id="31" name="Rectangle 30"/>
                            <a:cNvSpPr/>
                          </a:nvSpPr>
                          <a:spPr>
                            <a:xfrm>
                              <a:off x="857224" y="1357298"/>
                              <a:ext cx="1942578" cy="1025786"/>
                            </a:xfrm>
                            <a:prstGeom prst="rect">
                              <a:avLst/>
                            </a:prstGeom>
                          </a:spPr>
                          <a:txSp>
                            <a:txBody>
                              <a:bodyPr rtlCol="0" anchor="t"/>
                              <a:lstStyle>
                                <a:defPPr>
                                  <a:defRPr lang="id-ID"/>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i-FI" sz="1200" dirty="0" smtClean="0">
                                    <a:solidFill>
                                      <a:schemeClr val="bg1"/>
                                    </a:solidFill>
                                  </a:rPr>
                                  <a:t>Physical development of Toll Road to Tanjung </a:t>
                                </a:r>
                                <a:r>
                                  <a:rPr lang="fi-FI" sz="1200" dirty="0" smtClean="0">
                                    <a:solidFill>
                                      <a:schemeClr val="bg1"/>
                                    </a:solidFill>
                                  </a:rPr>
                                  <a:t>Priok (E2, E2 A, </a:t>
                                </a:r>
                                <a:r>
                                  <a:rPr lang="fi-FI" sz="1200" dirty="0" smtClean="0">
                                    <a:solidFill>
                                      <a:schemeClr val="bg1"/>
                                    </a:solidFill>
                                  </a:rPr>
                                  <a:t>and </a:t>
                                </a:r>
                                <a:r>
                                  <a:rPr lang="fi-FI" sz="1200" dirty="0" smtClean="0">
                                    <a:solidFill>
                                      <a:schemeClr val="bg1"/>
                                    </a:solidFill>
                                  </a:rPr>
                                  <a:t>NS) </a:t>
                                </a:r>
                                <a:r>
                                  <a:rPr lang="fi-FI" sz="1200" dirty="0" smtClean="0">
                                    <a:solidFill>
                                      <a:schemeClr val="bg1"/>
                                    </a:solidFill>
                                  </a:rPr>
                                  <a:t>and access to </a:t>
                                </a:r>
                                <a:r>
                                  <a:rPr lang="fi-FI" sz="1200" dirty="0" smtClean="0">
                                    <a:solidFill>
                                      <a:schemeClr val="bg1"/>
                                    </a:solidFill>
                                  </a:rPr>
                                  <a:t>Dry Port Cikarang</a:t>
                                </a:r>
                                <a:endParaRPr lang="id-ID" sz="1200" dirty="0" smtClean="0">
                                  <a:solidFill>
                                    <a:schemeClr val="bg1"/>
                                  </a:solidFill>
                                  <a:latin typeface="Calibri" pitchFamily="34" charset="0"/>
                                  <a:cs typeface="Calibri" pitchFamily="34" charset="0"/>
                                </a:endParaRPr>
                              </a:p>
                              <a:p>
                                <a:pPr algn="ctr"/>
                                <a:endParaRPr lang="id-ID" sz="1200" dirty="0" smtClean="0">
                                  <a:solidFill>
                                    <a:schemeClr val="bg1"/>
                                  </a:solidFill>
                                  <a:latin typeface="Calibri" pitchFamily="34" charset="0"/>
                                  <a:cs typeface="Calibri" pitchFamily="34" charset="0"/>
                                </a:endParaRPr>
                              </a:p>
                              <a:p>
                                <a:pPr algn="ctr"/>
                                <a:endParaRPr lang="id-ID" sz="1200" dirty="0">
                                  <a:solidFill>
                                    <a:schemeClr val="bg1"/>
                                  </a:solidFill>
                                </a:endParaRPr>
                              </a:p>
                            </a:txBody>
                            <a:useSpRect/>
                          </a:txSp>
                          <a:style>
                            <a:lnRef idx="3">
                              <a:schemeClr val="lt1"/>
                            </a:lnRef>
                            <a:fillRef idx="1">
                              <a:schemeClr val="accent6"/>
                            </a:fillRef>
                            <a:effectRef idx="1">
                              <a:schemeClr val="accent6"/>
                            </a:effectRef>
                            <a:fontRef idx="minor">
                              <a:schemeClr val="lt1"/>
                            </a:fontRef>
                          </a:style>
                        </a:sp>
                        <a:cxnSp>
                          <a:nvCxnSpPr>
                            <a:cNvPr id="32" name="Straight Connector 31"/>
                            <a:cNvCxnSpPr>
                              <a:stCxn id="31" idx="2"/>
                            </a:cNvCxnSpPr>
                          </a:nvCxnSpPr>
                          <a:spPr>
                            <a:xfrm rot="16200000" flipH="1">
                              <a:off x="1462852" y="2748744"/>
                              <a:ext cx="1260230" cy="528909"/>
                            </a:xfrm>
                            <a:prstGeom prst="line">
                              <a:avLst/>
                            </a:prstGeom>
                          </a:spPr>
                          <a:style>
                            <a:lnRef idx="2">
                              <a:schemeClr val="accent6"/>
                            </a:lnRef>
                            <a:fillRef idx="0">
                              <a:schemeClr val="accent6"/>
                            </a:fillRef>
                            <a:effectRef idx="1">
                              <a:schemeClr val="accent6"/>
                            </a:effectRef>
                            <a:fontRef idx="minor">
                              <a:schemeClr val="tx1"/>
                            </a:fontRef>
                          </a:style>
                        </a:cxnSp>
                      </a:grpSp>
                      <a:grpSp>
                        <a:nvGrpSpPr>
                          <a:cNvPr id="9" name="Group 44"/>
                          <a:cNvGrpSpPr/>
                        </a:nvGrpSpPr>
                        <a:grpSpPr>
                          <a:xfrm>
                            <a:off x="2857488" y="1571612"/>
                            <a:ext cx="1942578" cy="2415022"/>
                            <a:chOff x="2857488" y="1571612"/>
                            <a:chExt cx="1942578" cy="2415022"/>
                          </a:xfrm>
                        </a:grpSpPr>
                        <a:sp>
                          <a:nvSpPr>
                            <a:cNvPr id="35" name="Rectangle 34"/>
                            <a:cNvSpPr/>
                          </a:nvSpPr>
                          <a:spPr>
                            <a:xfrm>
                              <a:off x="2857488" y="1571612"/>
                              <a:ext cx="1942578" cy="512893"/>
                            </a:xfrm>
                            <a:prstGeom prst="rect">
                              <a:avLst/>
                            </a:prstGeom>
                          </a:spPr>
                          <a:txSp>
                            <a:txBody>
                              <a:bodyPr rtlCol="0" anchor="t"/>
                              <a:lstStyle>
                                <a:defPPr>
                                  <a:defRPr lang="id-ID"/>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i-FI" sz="1200" dirty="0" smtClean="0">
                                    <a:solidFill>
                                      <a:schemeClr val="bg1"/>
                                    </a:solidFill>
                                  </a:rPr>
                                  <a:t>Northern Road (Pantura) </a:t>
                                </a:r>
                                <a:r>
                                  <a:rPr lang="fi-FI" sz="1200" dirty="0" smtClean="0">
                                    <a:solidFill>
                                      <a:schemeClr val="bg1"/>
                                    </a:solidFill>
                                  </a:rPr>
                                  <a:t>Cikampek – Cirebon</a:t>
                                </a:r>
                                <a:endParaRPr lang="id-ID" sz="1200" dirty="0" smtClean="0">
                                  <a:solidFill>
                                    <a:schemeClr val="bg1"/>
                                  </a:solidFill>
                                  <a:latin typeface="Calibri" pitchFamily="34" charset="0"/>
                                  <a:cs typeface="Calibri" pitchFamily="34" charset="0"/>
                                </a:endParaRPr>
                              </a:p>
                              <a:p>
                                <a:pPr algn="ctr"/>
                                <a:endParaRPr lang="id-ID" sz="1200" dirty="0" smtClean="0">
                                  <a:solidFill>
                                    <a:schemeClr val="bg1"/>
                                  </a:solidFill>
                                  <a:latin typeface="Calibri" pitchFamily="34" charset="0"/>
                                  <a:cs typeface="Calibri" pitchFamily="34" charset="0"/>
                                </a:endParaRPr>
                              </a:p>
                              <a:p>
                                <a:pPr algn="ctr"/>
                                <a:endParaRPr lang="id-ID" sz="1200" dirty="0">
                                  <a:solidFill>
                                    <a:schemeClr val="bg1"/>
                                  </a:solidFill>
                                </a:endParaRPr>
                              </a:p>
                            </a:txBody>
                            <a:useSpRect/>
                          </a:txSp>
                          <a:style>
                            <a:lnRef idx="3">
                              <a:schemeClr val="lt1"/>
                            </a:lnRef>
                            <a:fillRef idx="1">
                              <a:schemeClr val="accent6"/>
                            </a:fillRef>
                            <a:effectRef idx="1">
                              <a:schemeClr val="accent6"/>
                            </a:effectRef>
                            <a:fontRef idx="minor">
                              <a:schemeClr val="lt1"/>
                            </a:fontRef>
                          </a:style>
                        </a:sp>
                        <a:cxnSp>
                          <a:nvCxnSpPr>
                            <a:cNvPr id="36" name="Straight Connector 35"/>
                            <a:cNvCxnSpPr>
                              <a:stCxn id="35" idx="2"/>
                            </a:cNvCxnSpPr>
                          </a:nvCxnSpPr>
                          <a:spPr>
                            <a:xfrm flipH="1">
                              <a:off x="3604560" y="2084505"/>
                              <a:ext cx="224217" cy="1902129"/>
                            </a:xfrm>
                            <a:prstGeom prst="line">
                              <a:avLst/>
                            </a:prstGeom>
                          </a:spPr>
                          <a:style>
                            <a:lnRef idx="2">
                              <a:schemeClr val="accent6"/>
                            </a:lnRef>
                            <a:fillRef idx="0">
                              <a:schemeClr val="accent6"/>
                            </a:fillRef>
                            <a:effectRef idx="1">
                              <a:schemeClr val="accent6"/>
                            </a:effectRef>
                            <a:fontRef idx="minor">
                              <a:schemeClr val="tx1"/>
                            </a:fontRef>
                          </a:style>
                        </a:cxnSp>
                      </a:grpSp>
                      <a:grpSp>
                        <a:nvGrpSpPr>
                          <a:cNvPr id="10" name="Group 57"/>
                          <a:cNvGrpSpPr/>
                        </a:nvGrpSpPr>
                        <a:grpSpPr>
                          <a:xfrm>
                            <a:off x="1714480" y="4214818"/>
                            <a:ext cx="1942578" cy="2357454"/>
                            <a:chOff x="1714480" y="4214818"/>
                            <a:chExt cx="1942578" cy="2357454"/>
                          </a:xfrm>
                        </a:grpSpPr>
                        <a:sp>
                          <a:nvSpPr>
                            <a:cNvPr id="39" name="Rectangle 38"/>
                            <a:cNvSpPr/>
                          </a:nvSpPr>
                          <a:spPr>
                            <a:xfrm>
                              <a:off x="1714480" y="6072206"/>
                              <a:ext cx="1942578" cy="500066"/>
                            </a:xfrm>
                            <a:prstGeom prst="rect">
                              <a:avLst/>
                            </a:prstGeom>
                          </a:spPr>
                          <a:txSp>
                            <a:txBody>
                              <a:bodyPr rtlCol="0" anchor="t"/>
                              <a:lstStyle>
                                <a:defPPr>
                                  <a:defRPr lang="id-ID"/>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i-FI" sz="1200" dirty="0" smtClean="0">
                                    <a:solidFill>
                                      <a:schemeClr val="bg1"/>
                                    </a:solidFill>
                                  </a:rPr>
                                  <a:t>Toll Road of Bekasi </a:t>
                                </a:r>
                                <a:r>
                                  <a:rPr lang="fi-FI" sz="1200" dirty="0" smtClean="0">
                                    <a:solidFill>
                                      <a:schemeClr val="bg1"/>
                                    </a:solidFill>
                                  </a:rPr>
                                  <a:t>– Cawang – Kampung Melayu</a:t>
                                </a:r>
                                <a:endParaRPr lang="id-ID" sz="1200" dirty="0" smtClean="0">
                                  <a:solidFill>
                                    <a:schemeClr val="bg1"/>
                                  </a:solidFill>
                                  <a:latin typeface="Calibri" pitchFamily="34" charset="0"/>
                                  <a:cs typeface="Calibri" pitchFamily="34" charset="0"/>
                                </a:endParaRPr>
                              </a:p>
                              <a:p>
                                <a:pPr algn="ctr"/>
                                <a:endParaRPr lang="id-ID" sz="1200" dirty="0" smtClean="0">
                                  <a:solidFill>
                                    <a:schemeClr val="bg1"/>
                                  </a:solidFill>
                                  <a:latin typeface="Calibri" pitchFamily="34" charset="0"/>
                                  <a:cs typeface="Calibri" pitchFamily="34" charset="0"/>
                                </a:endParaRPr>
                              </a:p>
                              <a:p>
                                <a:pPr algn="ctr"/>
                                <a:endParaRPr lang="id-ID" sz="1200" dirty="0">
                                  <a:solidFill>
                                    <a:schemeClr val="bg1"/>
                                  </a:solidFill>
                                </a:endParaRPr>
                              </a:p>
                            </a:txBody>
                            <a:useSpRect/>
                          </a:txSp>
                          <a:style>
                            <a:lnRef idx="3">
                              <a:schemeClr val="lt1"/>
                            </a:lnRef>
                            <a:fillRef idx="1">
                              <a:schemeClr val="accent6"/>
                            </a:fillRef>
                            <a:effectRef idx="1">
                              <a:schemeClr val="accent6"/>
                            </a:effectRef>
                            <a:fontRef idx="minor">
                              <a:schemeClr val="lt1"/>
                            </a:fontRef>
                          </a:style>
                        </a:sp>
                        <a:cxnSp>
                          <a:nvCxnSpPr>
                            <a:cNvPr id="40" name="Straight Connector 39"/>
                            <a:cNvCxnSpPr>
                              <a:endCxn id="39" idx="0"/>
                            </a:cNvCxnSpPr>
                          </a:nvCxnSpPr>
                          <a:spPr>
                            <a:xfrm rot="16200000" flipH="1">
                              <a:off x="1485744" y="4872181"/>
                              <a:ext cx="1857388" cy="542662"/>
                            </a:xfrm>
                            <a:prstGeom prst="line">
                              <a:avLst/>
                            </a:prstGeom>
                          </a:spPr>
                          <a:style>
                            <a:lnRef idx="2">
                              <a:schemeClr val="accent6"/>
                            </a:lnRef>
                            <a:fillRef idx="0">
                              <a:schemeClr val="accent6"/>
                            </a:fillRef>
                            <a:effectRef idx="1">
                              <a:schemeClr val="accent6"/>
                            </a:effectRef>
                            <a:fontRef idx="minor">
                              <a:schemeClr val="tx1"/>
                            </a:fontRef>
                          </a:style>
                        </a:cxnSp>
                      </a:grpSp>
                      <a:grpSp>
                        <a:nvGrpSpPr>
                          <a:cNvPr id="11" name="Group 56"/>
                          <a:cNvGrpSpPr/>
                        </a:nvGrpSpPr>
                        <a:grpSpPr>
                          <a:xfrm>
                            <a:off x="2842170" y="4509120"/>
                            <a:ext cx="1729830" cy="920144"/>
                            <a:chOff x="2842170" y="4509120"/>
                            <a:chExt cx="1729830" cy="920144"/>
                          </a:xfrm>
                        </a:grpSpPr>
                        <a:sp>
                          <a:nvSpPr>
                            <a:cNvPr id="43" name="Rectangle 42"/>
                            <a:cNvSpPr/>
                          </a:nvSpPr>
                          <a:spPr>
                            <a:xfrm>
                              <a:off x="2906116" y="5076347"/>
                              <a:ext cx="1665884" cy="352917"/>
                            </a:xfrm>
                            <a:prstGeom prst="rect">
                              <a:avLst/>
                            </a:prstGeom>
                          </a:spPr>
                          <a:txSp>
                            <a:txBody>
                              <a:bodyPr rtlCol="0" anchor="t"/>
                              <a:lstStyle>
                                <a:defPPr>
                                  <a:defRPr lang="id-ID"/>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i-FI" sz="1200" dirty="0" smtClean="0">
                                    <a:solidFill>
                                      <a:schemeClr val="bg1"/>
                                    </a:solidFill>
                                  </a:rPr>
                                  <a:t>Toll Road of </a:t>
                                </a:r>
                                <a:r>
                                  <a:rPr lang="fi-FI" sz="1200" dirty="0" smtClean="0">
                                    <a:solidFill>
                                      <a:schemeClr val="bg1"/>
                                    </a:solidFill>
                                  </a:rPr>
                                  <a:t>Cisumdawu</a:t>
                                </a:r>
                                <a:endParaRPr lang="id-ID" sz="1200" dirty="0" smtClean="0">
                                  <a:solidFill>
                                    <a:schemeClr val="bg1"/>
                                  </a:solidFill>
                                  <a:latin typeface="Calibri" pitchFamily="34" charset="0"/>
                                  <a:cs typeface="Calibri" pitchFamily="34" charset="0"/>
                                </a:endParaRPr>
                              </a:p>
                              <a:p>
                                <a:pPr algn="ctr"/>
                                <a:endParaRPr lang="id-ID" sz="1200" dirty="0" smtClean="0">
                                  <a:solidFill>
                                    <a:schemeClr val="bg1"/>
                                  </a:solidFill>
                                  <a:latin typeface="Calibri" pitchFamily="34" charset="0"/>
                                  <a:cs typeface="Calibri" pitchFamily="34" charset="0"/>
                                </a:endParaRPr>
                              </a:p>
                              <a:p>
                                <a:pPr algn="ctr"/>
                                <a:endParaRPr lang="id-ID" sz="1200" dirty="0">
                                  <a:solidFill>
                                    <a:schemeClr val="bg1"/>
                                  </a:solidFill>
                                </a:endParaRPr>
                              </a:p>
                            </a:txBody>
                            <a:useSpRect/>
                          </a:txSp>
                          <a:style>
                            <a:lnRef idx="3">
                              <a:schemeClr val="lt1"/>
                            </a:lnRef>
                            <a:fillRef idx="1">
                              <a:schemeClr val="accent6"/>
                            </a:fillRef>
                            <a:effectRef idx="1">
                              <a:schemeClr val="accent6"/>
                            </a:effectRef>
                            <a:fontRef idx="minor">
                              <a:schemeClr val="lt1"/>
                            </a:fontRef>
                          </a:style>
                        </a:sp>
                        <a:cxnSp>
                          <a:nvCxnSpPr>
                            <a:cNvPr id="44" name="Straight Connector 43"/>
                            <a:cNvCxnSpPr>
                              <a:endCxn id="43" idx="0"/>
                            </a:cNvCxnSpPr>
                          </a:nvCxnSpPr>
                          <a:spPr>
                            <a:xfrm>
                              <a:off x="2842170" y="4509120"/>
                              <a:ext cx="896888" cy="567227"/>
                            </a:xfrm>
                            <a:prstGeom prst="line">
                              <a:avLst/>
                            </a:prstGeom>
                          </a:spPr>
                          <a:style>
                            <a:lnRef idx="2">
                              <a:schemeClr val="accent6"/>
                            </a:lnRef>
                            <a:fillRef idx="0">
                              <a:schemeClr val="accent6"/>
                            </a:fillRef>
                            <a:effectRef idx="1">
                              <a:schemeClr val="accent6"/>
                            </a:effectRef>
                            <a:fontRef idx="minor">
                              <a:schemeClr val="tx1"/>
                            </a:fontRef>
                          </a:style>
                        </a:cxnSp>
                      </a:grpSp>
                      <a:grpSp>
                        <a:nvGrpSpPr>
                          <a:cNvPr id="12" name="Group 52"/>
                          <a:cNvGrpSpPr/>
                        </a:nvGrpSpPr>
                        <a:grpSpPr>
                          <a:xfrm>
                            <a:off x="5508104" y="4877544"/>
                            <a:ext cx="2726978" cy="1097106"/>
                            <a:chOff x="5508104" y="4877544"/>
                            <a:chExt cx="2726978" cy="1097106"/>
                          </a:xfrm>
                        </a:grpSpPr>
                        <a:sp>
                          <a:nvSpPr>
                            <a:cNvPr id="47" name="Rectangle 46"/>
                            <a:cNvSpPr/>
                          </a:nvSpPr>
                          <a:spPr>
                            <a:xfrm>
                              <a:off x="6292504" y="5718204"/>
                              <a:ext cx="1942578" cy="256446"/>
                            </a:xfrm>
                            <a:prstGeom prst="rect">
                              <a:avLst/>
                            </a:prstGeom>
                          </a:spPr>
                          <a:txSp>
                            <a:txBody>
                              <a:bodyPr rtlCol="0" anchor="t"/>
                              <a:lstStyle>
                                <a:defPPr>
                                  <a:defRPr lang="id-ID"/>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fi-FI" sz="1200" dirty="0" smtClean="0">
                                    <a:solidFill>
                                      <a:schemeClr val="bg1"/>
                                    </a:solidFill>
                                  </a:rPr>
                                  <a:t>Toll Road of Solo-Mantingan</a:t>
                                </a:r>
                                <a:endParaRPr lang="id-ID" sz="1200" dirty="0" smtClean="0">
                                  <a:solidFill>
                                    <a:schemeClr val="bg1"/>
                                  </a:solidFill>
                                  <a:latin typeface="Calibri" pitchFamily="34" charset="0"/>
                                  <a:cs typeface="Calibri" pitchFamily="34" charset="0"/>
                                </a:endParaRPr>
                              </a:p>
                              <a:p>
                                <a:pPr algn="ctr"/>
                                <a:endParaRPr lang="id-ID" sz="1200" dirty="0" smtClean="0">
                                  <a:solidFill>
                                    <a:schemeClr val="bg1"/>
                                  </a:solidFill>
                                  <a:latin typeface="Calibri" pitchFamily="34" charset="0"/>
                                  <a:cs typeface="Calibri" pitchFamily="34" charset="0"/>
                                </a:endParaRPr>
                              </a:p>
                              <a:p>
                                <a:pPr algn="ctr"/>
                                <a:endParaRPr lang="id-ID" sz="1200" dirty="0">
                                  <a:solidFill>
                                    <a:schemeClr val="bg1"/>
                                  </a:solidFill>
                                </a:endParaRPr>
                              </a:p>
                            </a:txBody>
                            <a:useSpRect/>
                          </a:txSp>
                          <a:style>
                            <a:lnRef idx="3">
                              <a:schemeClr val="lt1"/>
                            </a:lnRef>
                            <a:fillRef idx="1">
                              <a:schemeClr val="accent6"/>
                            </a:fillRef>
                            <a:effectRef idx="1">
                              <a:schemeClr val="accent6"/>
                            </a:effectRef>
                            <a:fontRef idx="minor">
                              <a:schemeClr val="lt1"/>
                            </a:fontRef>
                          </a:style>
                        </a:sp>
                        <a:cxnSp>
                          <a:nvCxnSpPr>
                            <a:cNvPr id="48" name="Straight Connector 47"/>
                            <a:cNvCxnSpPr>
                              <a:endCxn id="47" idx="0"/>
                            </a:cNvCxnSpPr>
                          </a:nvCxnSpPr>
                          <a:spPr>
                            <a:xfrm>
                              <a:off x="5508104" y="4877544"/>
                              <a:ext cx="1755689" cy="840660"/>
                            </a:xfrm>
                            <a:prstGeom prst="line">
                              <a:avLst/>
                            </a:prstGeom>
                          </a:spPr>
                          <a:style>
                            <a:lnRef idx="2">
                              <a:schemeClr val="accent6"/>
                            </a:lnRef>
                            <a:fillRef idx="0">
                              <a:schemeClr val="accent6"/>
                            </a:fillRef>
                            <a:effectRef idx="1">
                              <a:schemeClr val="accent6"/>
                            </a:effectRef>
                            <a:fontRef idx="minor">
                              <a:schemeClr val="tx1"/>
                            </a:fontRef>
                          </a:style>
                        </a:cxnSp>
                      </a:grpSp>
                      <a:grpSp>
                        <a:nvGrpSpPr>
                          <a:cNvPr id="13" name="Group 49"/>
                          <a:cNvGrpSpPr/>
                        </a:nvGrpSpPr>
                        <a:grpSpPr>
                          <a:xfrm>
                            <a:off x="5508104" y="3483542"/>
                            <a:ext cx="2820422" cy="1336358"/>
                            <a:chOff x="5508104" y="3483542"/>
                            <a:chExt cx="2820422" cy="1336358"/>
                          </a:xfrm>
                        </a:grpSpPr>
                        <a:sp>
                          <a:nvSpPr>
                            <a:cNvPr id="51" name="Rectangle 50"/>
                            <a:cNvSpPr/>
                          </a:nvSpPr>
                          <a:spPr>
                            <a:xfrm>
                              <a:off x="6385948" y="3483542"/>
                              <a:ext cx="1942578" cy="449514"/>
                            </a:xfrm>
                            <a:prstGeom prst="rect">
                              <a:avLst/>
                            </a:prstGeom>
                          </a:spPr>
                          <a:txSp>
                            <a:txBody>
                              <a:bodyPr rtlCol="0" anchor="t"/>
                              <a:lstStyle>
                                <a:defPPr>
                                  <a:defRPr lang="id-ID"/>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b="0" i="0" u="none" strike="noStrike" dirty="0" smtClean="0">
                                    <a:solidFill>
                                      <a:schemeClr val="bg1"/>
                                    </a:solidFill>
                                    <a:latin typeface="Calibri" pitchFamily="34" charset="0"/>
                                    <a:cs typeface="Calibri" pitchFamily="34" charset="0"/>
                                  </a:rPr>
                                  <a:t>Toll Road of </a:t>
                                </a:r>
                                <a:r>
                                  <a:rPr lang="id-ID" sz="1200" b="0" i="0" u="none" strike="noStrike" baseline="0" dirty="0" smtClean="0">
                                    <a:solidFill>
                                      <a:schemeClr val="bg1"/>
                                    </a:solidFill>
                                    <a:latin typeface="Calibri" pitchFamily="34" charset="0"/>
                                    <a:cs typeface="Calibri" pitchFamily="34" charset="0"/>
                                  </a:rPr>
                                  <a:t>Solo </a:t>
                                </a:r>
                                <a:r>
                                  <a:rPr lang="id-ID" sz="1200" b="0" i="0" u="none" strike="noStrike" baseline="0" dirty="0" smtClean="0">
                                    <a:solidFill>
                                      <a:schemeClr val="bg1"/>
                                    </a:solidFill>
                                    <a:latin typeface="Calibri" pitchFamily="34" charset="0"/>
                                    <a:cs typeface="Calibri" pitchFamily="34" charset="0"/>
                                  </a:rPr>
                                  <a:t>- Kertosono</a:t>
                                </a:r>
                                <a:endParaRPr lang="id-ID" sz="1200" dirty="0" smtClean="0">
                                  <a:solidFill>
                                    <a:schemeClr val="bg1"/>
                                  </a:solidFill>
                                  <a:latin typeface="Calibri" pitchFamily="34" charset="0"/>
                                  <a:cs typeface="Calibri" pitchFamily="34" charset="0"/>
                                </a:endParaRPr>
                              </a:p>
                              <a:p>
                                <a:pPr algn="ctr"/>
                                <a:endParaRPr lang="id-ID" sz="1200" dirty="0" smtClean="0">
                                  <a:solidFill>
                                    <a:schemeClr val="bg1"/>
                                  </a:solidFill>
                                  <a:latin typeface="Calibri" pitchFamily="34" charset="0"/>
                                  <a:cs typeface="Calibri" pitchFamily="34" charset="0"/>
                                </a:endParaRPr>
                              </a:p>
                              <a:p>
                                <a:pPr algn="ctr"/>
                                <a:endParaRPr lang="id-ID" sz="1200" dirty="0">
                                  <a:solidFill>
                                    <a:schemeClr val="bg1"/>
                                  </a:solidFill>
                                </a:endParaRPr>
                              </a:p>
                            </a:txBody>
                            <a:useSpRect/>
                          </a:txSp>
                          <a:style>
                            <a:lnRef idx="3">
                              <a:schemeClr val="lt1"/>
                            </a:lnRef>
                            <a:fillRef idx="1">
                              <a:schemeClr val="accent6"/>
                            </a:fillRef>
                            <a:effectRef idx="1">
                              <a:schemeClr val="accent6"/>
                            </a:effectRef>
                            <a:fontRef idx="minor">
                              <a:schemeClr val="lt1"/>
                            </a:fontRef>
                          </a:style>
                        </a:sp>
                        <a:cxnSp>
                          <a:nvCxnSpPr>
                            <a:cNvPr id="52" name="Straight Connector 51"/>
                            <a:cNvCxnSpPr>
                              <a:stCxn id="51" idx="2"/>
                            </a:cNvCxnSpPr>
                          </a:nvCxnSpPr>
                          <a:spPr>
                            <a:xfrm flipH="1">
                              <a:off x="5508104" y="3933056"/>
                              <a:ext cx="1849133" cy="886844"/>
                            </a:xfrm>
                            <a:prstGeom prst="line">
                              <a:avLst/>
                            </a:prstGeom>
                          </a:spPr>
                          <a:style>
                            <a:lnRef idx="2">
                              <a:schemeClr val="accent6"/>
                            </a:lnRef>
                            <a:fillRef idx="0">
                              <a:schemeClr val="accent6"/>
                            </a:fillRef>
                            <a:effectRef idx="1">
                              <a:schemeClr val="accent6"/>
                            </a:effectRef>
                            <a:fontRef idx="minor">
                              <a:schemeClr val="tx1"/>
                            </a:fontRef>
                          </a:style>
                        </a:cxnSp>
                      </a:grpSp>
                      <a:grpSp>
                        <a:nvGrpSpPr>
                          <a:cNvPr id="14" name="Group 37"/>
                          <a:cNvGrpSpPr/>
                        </a:nvGrpSpPr>
                        <a:grpSpPr>
                          <a:xfrm>
                            <a:off x="54601" y="2928934"/>
                            <a:ext cx="2787569" cy="1472857"/>
                            <a:chOff x="54601" y="2928934"/>
                            <a:chExt cx="2787569" cy="1472857"/>
                          </a:xfrm>
                        </a:grpSpPr>
                        <a:sp>
                          <a:nvSpPr>
                            <a:cNvPr id="55" name="Rectangle 54"/>
                            <a:cNvSpPr/>
                          </a:nvSpPr>
                          <a:spPr>
                            <a:xfrm>
                              <a:off x="54601" y="2928934"/>
                              <a:ext cx="1942578" cy="646403"/>
                            </a:xfrm>
                            <a:prstGeom prst="rect">
                              <a:avLst/>
                            </a:prstGeom>
                          </a:spPr>
                          <a:txSp>
                            <a:txBody>
                              <a:bodyPr rtlCol="0" anchor="t"/>
                              <a:lstStyle>
                                <a:defPPr>
                                  <a:defRPr lang="id-ID"/>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sv-SE" sz="1200" dirty="0" smtClean="0">
                                    <a:solidFill>
                                      <a:schemeClr val="bg1"/>
                                    </a:solidFill>
                                  </a:rPr>
                                  <a:t>Toll Road of Pasteur extension -Ujung </a:t>
                                </a:r>
                                <a:r>
                                  <a:rPr lang="sv-SE" sz="1200" dirty="0" smtClean="0">
                                    <a:solidFill>
                                      <a:schemeClr val="bg1"/>
                                    </a:solidFill>
                                  </a:rPr>
                                  <a:t>Berung-Cileunyi</a:t>
                                </a:r>
                                <a:endParaRPr lang="id-ID" sz="1200" dirty="0" smtClean="0">
                                  <a:solidFill>
                                    <a:schemeClr val="bg1"/>
                                  </a:solidFill>
                                  <a:latin typeface="Calibri" pitchFamily="34" charset="0"/>
                                  <a:cs typeface="Calibri" pitchFamily="34" charset="0"/>
                                </a:endParaRPr>
                              </a:p>
                              <a:p>
                                <a:pPr algn="ctr"/>
                                <a:endParaRPr lang="id-ID" sz="1200" dirty="0" smtClean="0">
                                  <a:solidFill>
                                    <a:schemeClr val="bg1"/>
                                  </a:solidFill>
                                  <a:latin typeface="Calibri" pitchFamily="34" charset="0"/>
                                  <a:cs typeface="Calibri" pitchFamily="34" charset="0"/>
                                </a:endParaRPr>
                              </a:p>
                              <a:p>
                                <a:pPr algn="ctr"/>
                                <a:endParaRPr lang="id-ID" sz="1200" dirty="0">
                                  <a:solidFill>
                                    <a:schemeClr val="bg1"/>
                                  </a:solidFill>
                                </a:endParaRPr>
                              </a:p>
                            </a:txBody>
                            <a:useSpRect/>
                          </a:txSp>
                          <a:style>
                            <a:lnRef idx="3">
                              <a:schemeClr val="lt1"/>
                            </a:lnRef>
                            <a:fillRef idx="1">
                              <a:schemeClr val="accent6"/>
                            </a:fillRef>
                            <a:effectRef idx="1">
                              <a:schemeClr val="accent6"/>
                            </a:effectRef>
                            <a:fontRef idx="minor">
                              <a:schemeClr val="lt1"/>
                            </a:fontRef>
                          </a:style>
                        </a:sp>
                        <a:cxnSp>
                          <a:nvCxnSpPr>
                            <a:cNvPr id="56" name="Straight Connector 55"/>
                            <a:cNvCxnSpPr>
                              <a:stCxn id="55" idx="2"/>
                            </a:cNvCxnSpPr>
                          </a:nvCxnSpPr>
                          <a:spPr>
                            <a:xfrm rot="16200000" flipH="1">
                              <a:off x="1520803" y="3080423"/>
                              <a:ext cx="826454" cy="1816281"/>
                            </a:xfrm>
                            <a:prstGeom prst="line">
                              <a:avLst/>
                            </a:prstGeom>
                          </a:spPr>
                          <a:style>
                            <a:lnRef idx="2">
                              <a:schemeClr val="accent6"/>
                            </a:lnRef>
                            <a:fillRef idx="0">
                              <a:schemeClr val="accent6"/>
                            </a:fillRef>
                            <a:effectRef idx="1">
                              <a:schemeClr val="accent6"/>
                            </a:effectRef>
                            <a:fontRef idx="minor">
                              <a:schemeClr val="tx1"/>
                            </a:fontRef>
                          </a:style>
                        </a:cxnSp>
                      </a:grpSp>
                    </a:grpSp>
                  </a:grpSp>
                </lc:lockedCanvas>
              </a:graphicData>
            </a:graphic>
          </wp:inline>
        </w:drawing>
      </w:r>
    </w:p>
    <w:p w:rsidR="00502422" w:rsidRPr="00D34CE3" w:rsidRDefault="00502422" w:rsidP="00502422">
      <w:pPr>
        <w:pStyle w:val="tablesourcenote0"/>
      </w:pPr>
      <w:r w:rsidRPr="00D34CE3">
        <w:rPr>
          <w:i/>
        </w:rPr>
        <w:t>Source:</w:t>
      </w:r>
      <w:r w:rsidRPr="00D34CE3">
        <w:t xml:space="preserve"> </w:t>
      </w:r>
      <w:r w:rsidRPr="00D27F07">
        <w:rPr>
          <w:i/>
          <w:iCs/>
          <w:lang w:val="en-US"/>
        </w:rPr>
        <w:t>Ministry of Public Work, 2012</w:t>
      </w:r>
    </w:p>
    <w:p w:rsidR="00502422" w:rsidRPr="00D27F07" w:rsidRDefault="00502422" w:rsidP="00502422">
      <w:pPr>
        <w:pStyle w:val="Maptitle"/>
        <w:spacing w:after="100"/>
        <w:jc w:val="both"/>
        <w:rPr>
          <w:rFonts w:ascii="Garamond" w:hAnsi="Garamond"/>
          <w:b w:val="0"/>
          <w:sz w:val="24"/>
        </w:rPr>
      </w:pPr>
    </w:p>
    <w:p w:rsidR="00A54577" w:rsidRDefault="00A54577" w:rsidP="00502422">
      <w:pPr>
        <w:rPr>
          <w:iCs/>
        </w:rPr>
      </w:pPr>
      <w:r>
        <w:rPr>
          <w:iCs/>
        </w:rPr>
        <w:t>Investors also asked the JEC to build some specific infrastructure facilities within and around certain KPIs, such as improvement of the existing roads, new construction for the power, fuel and water supply facilities, and so forth. In some cases the new investors are complaining about the costs and proc</w:t>
      </w:r>
      <w:r>
        <w:rPr>
          <w:iCs/>
        </w:rPr>
        <w:t>e</w:t>
      </w:r>
      <w:r>
        <w:rPr>
          <w:iCs/>
        </w:rPr>
        <w:t xml:space="preserve">dures on </w:t>
      </w:r>
      <w:r w:rsidRPr="00B07003">
        <w:rPr>
          <w:bCs/>
        </w:rPr>
        <w:t xml:space="preserve">land acquisition </w:t>
      </w:r>
      <w:r>
        <w:rPr>
          <w:bCs/>
        </w:rPr>
        <w:t xml:space="preserve">and getting the permits </w:t>
      </w:r>
      <w:r w:rsidRPr="00B07003">
        <w:rPr>
          <w:bCs/>
        </w:rPr>
        <w:t xml:space="preserve">to build </w:t>
      </w:r>
      <w:r>
        <w:rPr>
          <w:bCs/>
        </w:rPr>
        <w:t xml:space="preserve">the </w:t>
      </w:r>
      <w:r w:rsidRPr="00B07003">
        <w:rPr>
          <w:bCs/>
        </w:rPr>
        <w:t>industrial estates.</w:t>
      </w:r>
    </w:p>
    <w:p w:rsidR="00502422" w:rsidRDefault="00502422" w:rsidP="00502422">
      <w:pPr>
        <w:rPr>
          <w:iCs/>
        </w:rPr>
      </w:pPr>
      <w:r>
        <w:rPr>
          <w:iCs/>
        </w:rPr>
        <w:t>Some investors</w:t>
      </w:r>
      <w:r w:rsidRPr="00993998">
        <w:rPr>
          <w:iCs/>
        </w:rPr>
        <w:t xml:space="preserve"> argued that the issue of infrastructure is not just a matter of existence but also its maintenance. In many industrial locations, road facil</w:t>
      </w:r>
      <w:r w:rsidRPr="00993998">
        <w:rPr>
          <w:iCs/>
        </w:rPr>
        <w:t>i</w:t>
      </w:r>
      <w:r w:rsidRPr="00993998">
        <w:rPr>
          <w:iCs/>
        </w:rPr>
        <w:t>ties are either inadequate or badly damage, or just have a single way to</w:t>
      </w:r>
      <w:r>
        <w:rPr>
          <w:iCs/>
        </w:rPr>
        <w:t xml:space="preserve"> an </w:t>
      </w:r>
      <w:r w:rsidRPr="00993998">
        <w:rPr>
          <w:iCs/>
        </w:rPr>
        <w:t>i</w:t>
      </w:r>
      <w:r w:rsidRPr="00993998">
        <w:rPr>
          <w:iCs/>
        </w:rPr>
        <w:t>n</w:t>
      </w:r>
      <w:r w:rsidRPr="00993998">
        <w:rPr>
          <w:iCs/>
        </w:rPr>
        <w:t>dustry lo</w:t>
      </w:r>
      <w:r>
        <w:rPr>
          <w:iCs/>
        </w:rPr>
        <w:t>cation with a density condition</w:t>
      </w:r>
      <w:r w:rsidRPr="00993998">
        <w:rPr>
          <w:iCs/>
        </w:rPr>
        <w:t xml:space="preserve">, therefore, </w:t>
      </w:r>
      <w:r w:rsidR="0068062E">
        <w:rPr>
          <w:iCs/>
        </w:rPr>
        <w:t xml:space="preserve">is </w:t>
      </w:r>
      <w:r w:rsidRPr="00993998">
        <w:rPr>
          <w:iCs/>
        </w:rPr>
        <w:t xml:space="preserve">necessary </w:t>
      </w:r>
      <w:r w:rsidR="0068062E">
        <w:rPr>
          <w:iCs/>
        </w:rPr>
        <w:t xml:space="preserve">to </w:t>
      </w:r>
      <w:r w:rsidRPr="00993998">
        <w:rPr>
          <w:iCs/>
        </w:rPr>
        <w:t>widening the roads thus production movement will be faster. Similarly, to ensure the supply of industrial raw materials, electricity, water and gas for production processes. The last issue is a labour provision that i</w:t>
      </w:r>
      <w:r>
        <w:rPr>
          <w:iCs/>
        </w:rPr>
        <w:t>s generally existing industries</w:t>
      </w:r>
      <w:r w:rsidRPr="00993998">
        <w:rPr>
          <w:iCs/>
        </w:rPr>
        <w:t xml:space="preserve"> required labour with certain specifications, for example, labours that are having </w:t>
      </w:r>
      <w:r>
        <w:rPr>
          <w:iCs/>
        </w:rPr>
        <w:t>special</w:t>
      </w:r>
      <w:r w:rsidRPr="00993998">
        <w:rPr>
          <w:iCs/>
        </w:rPr>
        <w:t xml:space="preserve"> skills or graduated from a particular education level, but sometimes, local pe</w:t>
      </w:r>
      <w:r w:rsidRPr="00993998">
        <w:rPr>
          <w:iCs/>
        </w:rPr>
        <w:t>o</w:t>
      </w:r>
      <w:r w:rsidRPr="00993998">
        <w:rPr>
          <w:iCs/>
        </w:rPr>
        <w:t>ple cannot meet the needs of workers in existing industries. Those things are requested to MP3EI</w:t>
      </w:r>
      <w:r w:rsidR="00A54577">
        <w:rPr>
          <w:iCs/>
        </w:rPr>
        <w:t xml:space="preserve"> implementing agencies</w:t>
      </w:r>
      <w:r>
        <w:rPr>
          <w:iCs/>
        </w:rPr>
        <w:t>,</w:t>
      </w:r>
      <w:r w:rsidRPr="00993998">
        <w:rPr>
          <w:iCs/>
        </w:rPr>
        <w:t xml:space="preserve"> especially </w:t>
      </w:r>
      <w:r w:rsidR="00A54577">
        <w:rPr>
          <w:iCs/>
        </w:rPr>
        <w:t xml:space="preserve">the </w:t>
      </w:r>
      <w:r w:rsidRPr="00993998">
        <w:rPr>
          <w:iCs/>
        </w:rPr>
        <w:t xml:space="preserve">JEC </w:t>
      </w:r>
      <w:r w:rsidR="00A54577">
        <w:rPr>
          <w:iCs/>
        </w:rPr>
        <w:t xml:space="preserve">Committee </w:t>
      </w:r>
      <w:r w:rsidRPr="00993998">
        <w:rPr>
          <w:iCs/>
        </w:rPr>
        <w:t>to fix as soon as possible</w:t>
      </w:r>
      <w:r w:rsidR="00A54577">
        <w:rPr>
          <w:iCs/>
        </w:rPr>
        <w:t xml:space="preserve"> </w:t>
      </w:r>
      <w:sdt>
        <w:sdtPr>
          <w:rPr>
            <w:iCs/>
          </w:rPr>
          <w:id w:val="5033481"/>
          <w:citation/>
        </w:sdtPr>
        <w:sdtContent>
          <w:r w:rsidR="00476E26">
            <w:rPr>
              <w:iCs/>
            </w:rPr>
            <w:fldChar w:fldCharType="begin"/>
          </w:r>
          <w:r w:rsidR="00A67EAE">
            <w:rPr>
              <w:iCs/>
              <w:lang w:val="en-US"/>
            </w:rPr>
            <w:instrText xml:space="preserve"> CITATION KP312 \l 1033 </w:instrText>
          </w:r>
          <w:r w:rsidR="00476E26">
            <w:rPr>
              <w:iCs/>
            </w:rPr>
            <w:fldChar w:fldCharType="separate"/>
          </w:r>
          <w:r w:rsidR="00A67EAE" w:rsidRPr="00A67EAE">
            <w:rPr>
              <w:noProof/>
              <w:lang w:val="en-US"/>
            </w:rPr>
            <w:t>(KP3EI Jawa, 2012)</w:t>
          </w:r>
          <w:r w:rsidR="00476E26">
            <w:rPr>
              <w:iCs/>
            </w:rPr>
            <w:fldChar w:fldCharType="end"/>
          </w:r>
        </w:sdtContent>
      </w:sdt>
      <w:r w:rsidRPr="00993998">
        <w:rPr>
          <w:iCs/>
        </w:rPr>
        <w:t>.</w:t>
      </w:r>
    </w:p>
    <w:p w:rsidR="00502422" w:rsidRDefault="00A54577" w:rsidP="00502422">
      <w:pPr>
        <w:pStyle w:val="Maptitle"/>
        <w:spacing w:after="100"/>
        <w:ind w:firstLine="432"/>
        <w:jc w:val="both"/>
        <w:rPr>
          <w:rFonts w:ascii="Garamond" w:hAnsi="Garamond"/>
          <w:b w:val="0"/>
          <w:iCs/>
          <w:sz w:val="24"/>
          <w:lang w:val="en-US"/>
        </w:rPr>
      </w:pPr>
      <w:bookmarkStart w:id="119" w:name="_Toc340436340"/>
      <w:r w:rsidRPr="008A24C9">
        <w:rPr>
          <w:rFonts w:ascii="Garamond" w:hAnsi="Garamond"/>
          <w:b w:val="0"/>
          <w:iCs/>
          <w:sz w:val="24"/>
          <w:lang w:val="en-US"/>
        </w:rPr>
        <w:t>Although many of</w:t>
      </w:r>
      <w:r>
        <w:rPr>
          <w:rFonts w:ascii="Garamond" w:hAnsi="Garamond"/>
          <w:b w:val="0"/>
          <w:iCs/>
          <w:sz w:val="24"/>
          <w:lang w:val="en-US"/>
        </w:rPr>
        <w:t xml:space="preserve">, either </w:t>
      </w:r>
      <w:r w:rsidRPr="008A24C9">
        <w:rPr>
          <w:rFonts w:ascii="Garamond" w:hAnsi="Garamond"/>
          <w:b w:val="0"/>
          <w:iCs/>
          <w:sz w:val="24"/>
          <w:lang w:val="en-US"/>
        </w:rPr>
        <w:t xml:space="preserve">potential </w:t>
      </w:r>
      <w:r>
        <w:rPr>
          <w:rFonts w:ascii="Garamond" w:hAnsi="Garamond"/>
          <w:b w:val="0"/>
          <w:iCs/>
          <w:sz w:val="24"/>
          <w:lang w:val="en-US"/>
        </w:rPr>
        <w:t xml:space="preserve">or ongoing, investment </w:t>
      </w:r>
      <w:r w:rsidRPr="008A24C9">
        <w:rPr>
          <w:rFonts w:ascii="Garamond" w:hAnsi="Garamond"/>
          <w:b w:val="0"/>
          <w:iCs/>
          <w:sz w:val="24"/>
          <w:lang w:val="en-US"/>
        </w:rPr>
        <w:t xml:space="preserve">projects rely on the extraction of natural resources in Java, scheme of </w:t>
      </w:r>
      <w:r>
        <w:rPr>
          <w:rFonts w:ascii="Garamond" w:hAnsi="Garamond"/>
          <w:b w:val="0"/>
          <w:iCs/>
          <w:sz w:val="24"/>
          <w:lang w:val="en-US"/>
        </w:rPr>
        <w:t xml:space="preserve">the </w:t>
      </w:r>
      <w:r w:rsidRPr="008A24C9">
        <w:rPr>
          <w:rFonts w:ascii="Garamond" w:hAnsi="Garamond"/>
          <w:b w:val="0"/>
          <w:iCs/>
          <w:sz w:val="24"/>
          <w:lang w:val="en-US"/>
        </w:rPr>
        <w:t xml:space="preserve">JEC prefer to </w:t>
      </w:r>
      <w:r>
        <w:rPr>
          <w:rFonts w:ascii="Garamond" w:hAnsi="Garamond"/>
          <w:b w:val="0"/>
          <w:iCs/>
          <w:sz w:val="24"/>
          <w:lang w:val="en-US"/>
        </w:rPr>
        <w:t xml:space="preserve">encourage new </w:t>
      </w:r>
      <w:r w:rsidRPr="008A24C9">
        <w:rPr>
          <w:rFonts w:ascii="Garamond" w:hAnsi="Garamond"/>
          <w:b w:val="0"/>
          <w:iCs/>
          <w:sz w:val="24"/>
          <w:lang w:val="en-US"/>
        </w:rPr>
        <w:t>development</w:t>
      </w:r>
      <w:r>
        <w:rPr>
          <w:rFonts w:ascii="Garamond" w:hAnsi="Garamond"/>
          <w:b w:val="0"/>
          <w:iCs/>
          <w:sz w:val="24"/>
          <w:lang w:val="en-US"/>
        </w:rPr>
        <w:t>s</w:t>
      </w:r>
      <w:r w:rsidRPr="008A24C9">
        <w:rPr>
          <w:rFonts w:ascii="Garamond" w:hAnsi="Garamond"/>
          <w:b w:val="0"/>
          <w:iCs/>
          <w:sz w:val="24"/>
          <w:lang w:val="en-US"/>
        </w:rPr>
        <w:t xml:space="preserve"> </w:t>
      </w:r>
      <w:r>
        <w:rPr>
          <w:rFonts w:ascii="Garamond" w:hAnsi="Garamond"/>
          <w:b w:val="0"/>
          <w:iCs/>
          <w:sz w:val="24"/>
          <w:lang w:val="en-US"/>
        </w:rPr>
        <w:t xml:space="preserve">of the </w:t>
      </w:r>
      <w:r w:rsidRPr="008A24C9">
        <w:rPr>
          <w:rFonts w:ascii="Garamond" w:hAnsi="Garamond"/>
          <w:b w:val="0"/>
          <w:iCs/>
          <w:sz w:val="24"/>
          <w:lang w:val="en-US"/>
        </w:rPr>
        <w:t>non agro-forestry and mining</w:t>
      </w:r>
      <w:r>
        <w:rPr>
          <w:rFonts w:ascii="Garamond" w:hAnsi="Garamond"/>
          <w:b w:val="0"/>
          <w:iCs/>
          <w:sz w:val="24"/>
          <w:lang w:val="en-US"/>
        </w:rPr>
        <w:t xml:space="preserve"> industries, especially </w:t>
      </w:r>
      <w:r w:rsidRPr="008A24C9">
        <w:rPr>
          <w:rFonts w:ascii="Garamond" w:hAnsi="Garamond"/>
          <w:b w:val="0"/>
          <w:iCs/>
          <w:sz w:val="24"/>
          <w:lang w:val="en-US"/>
        </w:rPr>
        <w:t>in Southern of Java Islands. As explained above, reason for the acceleration of economic development has been a justification for only encourage existing economic activities, while the improvement and development of infrastructure in Java are relatively an easy thing to do because</w:t>
      </w:r>
      <w:r>
        <w:rPr>
          <w:rFonts w:ascii="Garamond" w:hAnsi="Garamond"/>
          <w:b w:val="0"/>
          <w:iCs/>
          <w:sz w:val="24"/>
          <w:lang w:val="en-US"/>
        </w:rPr>
        <w:t>,</w:t>
      </w:r>
      <w:r w:rsidRPr="008A24C9">
        <w:rPr>
          <w:rFonts w:ascii="Garamond" w:hAnsi="Garamond"/>
          <w:b w:val="0"/>
          <w:iCs/>
          <w:sz w:val="24"/>
          <w:lang w:val="en-US"/>
        </w:rPr>
        <w:t xml:space="preserve"> basically, Java’s infrastructure </w:t>
      </w:r>
      <w:r>
        <w:rPr>
          <w:rFonts w:ascii="Garamond" w:hAnsi="Garamond"/>
          <w:b w:val="0"/>
          <w:iCs/>
          <w:sz w:val="24"/>
          <w:lang w:val="en-US"/>
        </w:rPr>
        <w:t xml:space="preserve">has been </w:t>
      </w:r>
      <w:r w:rsidRPr="008A24C9">
        <w:rPr>
          <w:rFonts w:ascii="Garamond" w:hAnsi="Garamond"/>
          <w:b w:val="0"/>
          <w:iCs/>
          <w:sz w:val="24"/>
          <w:lang w:val="en-US"/>
        </w:rPr>
        <w:t>built since a long time ago. Thus, JEC will actually hit the target faster and easily measur</w:t>
      </w:r>
      <w:r>
        <w:rPr>
          <w:rFonts w:ascii="Garamond" w:hAnsi="Garamond"/>
          <w:b w:val="0"/>
          <w:iCs/>
          <w:sz w:val="24"/>
          <w:lang w:val="en-US"/>
        </w:rPr>
        <w:t>e</w:t>
      </w:r>
      <w:r w:rsidRPr="008A24C9">
        <w:rPr>
          <w:rFonts w:ascii="Garamond" w:hAnsi="Garamond"/>
          <w:b w:val="0"/>
          <w:iCs/>
          <w:sz w:val="24"/>
          <w:lang w:val="en-US"/>
        </w:rPr>
        <w:t xml:space="preserve"> as planned </w:t>
      </w:r>
      <w:r>
        <w:rPr>
          <w:rFonts w:ascii="Garamond" w:hAnsi="Garamond"/>
          <w:b w:val="0"/>
          <w:iCs/>
          <w:sz w:val="24"/>
          <w:lang w:val="en-US"/>
        </w:rPr>
        <w:t xml:space="preserve">by the </w:t>
      </w:r>
      <w:r w:rsidRPr="008A24C9">
        <w:rPr>
          <w:rFonts w:ascii="Garamond" w:hAnsi="Garamond"/>
          <w:b w:val="0"/>
          <w:iCs/>
          <w:sz w:val="24"/>
          <w:lang w:val="en-US"/>
        </w:rPr>
        <w:t>MP3EI.</w:t>
      </w:r>
      <w:bookmarkEnd w:id="119"/>
    </w:p>
    <w:p w:rsidR="005B67BF" w:rsidRDefault="005B67BF" w:rsidP="005B67BF">
      <w:pPr>
        <w:pStyle w:val="Heading2"/>
      </w:pPr>
      <w:bookmarkStart w:id="120" w:name="_Toc335596237"/>
      <w:bookmarkStart w:id="121" w:name="_Toc335606091"/>
      <w:bookmarkStart w:id="122" w:name="_Toc340135844"/>
      <w:bookmarkStart w:id="123" w:name="_Toc340497435"/>
      <w:r>
        <w:rPr>
          <w:lang w:val="en-US"/>
        </w:rPr>
        <w:lastRenderedPageBreak/>
        <w:t xml:space="preserve">3.3. </w:t>
      </w:r>
      <w:r w:rsidRPr="008A24C9">
        <w:rPr>
          <w:lang w:val="en-US"/>
        </w:rPr>
        <w:t>Infrastructure Development and Land Concentration in Java</w:t>
      </w:r>
      <w:bookmarkEnd w:id="120"/>
      <w:bookmarkEnd w:id="121"/>
      <w:bookmarkEnd w:id="122"/>
      <w:bookmarkEnd w:id="123"/>
    </w:p>
    <w:p w:rsidR="005B67BF" w:rsidRDefault="00A33725" w:rsidP="005B67BF">
      <w:r w:rsidRPr="00CC036D">
        <w:t>However, good economic growth strategy in MP3EI will generate a pro</w:t>
      </w:r>
      <w:r w:rsidRPr="00CC036D">
        <w:t>c</w:t>
      </w:r>
      <w:r w:rsidRPr="00CC036D">
        <w:t xml:space="preserve">ess of land concentration. </w:t>
      </w:r>
      <w:r>
        <w:t xml:space="preserve">In </w:t>
      </w:r>
      <w:r w:rsidRPr="00CC036D">
        <w:t>the development</w:t>
      </w:r>
      <w:r>
        <w:t>s of large-scale extraction indu</w:t>
      </w:r>
      <w:r>
        <w:t>s</w:t>
      </w:r>
      <w:r>
        <w:t>tries</w:t>
      </w:r>
      <w:r w:rsidRPr="00CC036D">
        <w:t>, such as mining and large plantation</w:t>
      </w:r>
      <w:r>
        <w:rPr>
          <w:rStyle w:val="FootnoteReference"/>
        </w:rPr>
        <w:footnoteReference w:id="26"/>
      </w:r>
      <w:r w:rsidRPr="00CC036D">
        <w:t xml:space="preserve">, </w:t>
      </w:r>
      <w:r>
        <w:t xml:space="preserve">some parcels of </w:t>
      </w:r>
      <w:r w:rsidRPr="00CC036D">
        <w:t xml:space="preserve">land </w:t>
      </w:r>
      <w:r>
        <w:t xml:space="preserve">shall </w:t>
      </w:r>
      <w:r w:rsidRPr="00CC036D">
        <w:t>conce</w:t>
      </w:r>
      <w:r w:rsidRPr="00CC036D">
        <w:t>n</w:t>
      </w:r>
      <w:r w:rsidRPr="00CC036D">
        <w:t>tra</w:t>
      </w:r>
      <w:r>
        <w:t>te</w:t>
      </w:r>
      <w:r w:rsidRPr="00CC036D">
        <w:t xml:space="preserve"> in the hands of </w:t>
      </w:r>
      <w:r>
        <w:t>corporations</w:t>
      </w:r>
      <w:r w:rsidR="009E309B">
        <w:t xml:space="preserve"> </w:t>
      </w:r>
      <w:r w:rsidRPr="00CC036D">
        <w:t>or capital owners</w:t>
      </w:r>
      <w:r>
        <w:t xml:space="preserve"> soon after the land allocated for those purposes</w:t>
      </w:r>
      <w:r w:rsidR="009E309B">
        <w:t>, f</w:t>
      </w:r>
      <w:r>
        <w:t>requently</w:t>
      </w:r>
      <w:r w:rsidR="009E309B">
        <w:t xml:space="preserve">, in </w:t>
      </w:r>
      <w:r>
        <w:t>several</w:t>
      </w:r>
      <w:r w:rsidR="009E309B">
        <w:t xml:space="preserve"> </w:t>
      </w:r>
      <w:r>
        <w:t>resource-based extraction business</w:t>
      </w:r>
      <w:r w:rsidR="009E309B">
        <w:t>es</w:t>
      </w:r>
      <w:r>
        <w:t xml:space="preserve"> allocated in the adjacent </w:t>
      </w:r>
      <w:r w:rsidR="009E309B">
        <w:t>areas.</w:t>
      </w:r>
      <w:r>
        <w:t xml:space="preserve"> </w:t>
      </w:r>
      <w:r w:rsidR="009E309B">
        <w:t>T</w:t>
      </w:r>
      <w:r>
        <w:t>herefore, often those extractive a</w:t>
      </w:r>
      <w:r>
        <w:t>c</w:t>
      </w:r>
      <w:r>
        <w:t xml:space="preserve">tivities do expansion in the same area to enlarge their land control </w:t>
      </w:r>
      <w:r w:rsidR="009E309B">
        <w:t>contin</w:t>
      </w:r>
      <w:r>
        <w:t>u</w:t>
      </w:r>
      <w:r>
        <w:t>ously.</w:t>
      </w:r>
      <w:r w:rsidR="009E309B">
        <w:t xml:space="preserve"> </w:t>
      </w:r>
      <w:r>
        <w:t>Co</w:t>
      </w:r>
      <w:r>
        <w:t>n</w:t>
      </w:r>
      <w:r>
        <w:t>sequently, many infrastructure developments</w:t>
      </w:r>
      <w:r w:rsidR="009E309B">
        <w:t xml:space="preserve"> </w:t>
      </w:r>
      <w:r>
        <w:t>are not fully integrated but follow the appearance of those extractive activities.</w:t>
      </w:r>
      <w:r w:rsidR="009E309B">
        <w:t xml:space="preserve"> </w:t>
      </w:r>
      <w:r>
        <w:t>While l</w:t>
      </w:r>
      <w:r w:rsidRPr="00CC036D">
        <w:t>and concentr</w:t>
      </w:r>
      <w:r w:rsidRPr="00CC036D">
        <w:t>a</w:t>
      </w:r>
      <w:r w:rsidRPr="00CC036D">
        <w:t xml:space="preserve">tion </w:t>
      </w:r>
      <w:r>
        <w:t>that occurred through the implementation of MP3EI’s economic corr</w:t>
      </w:r>
      <w:r>
        <w:t>i</w:t>
      </w:r>
      <w:r>
        <w:t xml:space="preserve">dors, such as JEC, </w:t>
      </w:r>
      <w:r w:rsidRPr="00CC036D">
        <w:t xml:space="preserve">will be </w:t>
      </w:r>
      <w:r>
        <w:t xml:space="preserve">exist </w:t>
      </w:r>
      <w:r w:rsidRPr="00CC036D">
        <w:t>on the other way</w:t>
      </w:r>
      <w:r>
        <w:t>. In case of JEC implement</w:t>
      </w:r>
      <w:r>
        <w:t>a</w:t>
      </w:r>
      <w:r>
        <w:t>tion</w:t>
      </w:r>
      <w:r w:rsidRPr="00CC036D">
        <w:t xml:space="preserve">, </w:t>
      </w:r>
      <w:r>
        <w:t>land will be concentrated in two interlinked processes. First</w:t>
      </w:r>
      <w:r w:rsidR="009E309B">
        <w:t>ly,</w:t>
      </w:r>
      <w:r>
        <w:t xml:space="preserve"> it caused by the infrastructure development plans, especially the transportation infrastru</w:t>
      </w:r>
      <w:r>
        <w:t>c</w:t>
      </w:r>
      <w:r>
        <w:t>tures, to support formation of new ‘focused investment areas’ or KPIs. Ho</w:t>
      </w:r>
      <w:r>
        <w:t>w</w:t>
      </w:r>
      <w:r>
        <w:t>ever, massive projects on the transportation infrastructure network within the island, which private investment involved, either through the PPP scheme or direct inves</w:t>
      </w:r>
      <w:r>
        <w:t>t</w:t>
      </w:r>
      <w:r>
        <w:t>ment, will make private corporations controls the land in a huge scale in order to build those projects. Secondly, land concentration by the co</w:t>
      </w:r>
      <w:r>
        <w:t>r</w:t>
      </w:r>
      <w:r>
        <w:t>porations will occ</w:t>
      </w:r>
      <w:r w:rsidR="009E309B">
        <w:t>ur soon after the specific area</w:t>
      </w:r>
      <w:r>
        <w:t xml:space="preserve"> designated as the KPIs, which is in </w:t>
      </w:r>
      <w:r w:rsidR="009E309B">
        <w:t xml:space="preserve">a </w:t>
      </w:r>
      <w:r>
        <w:t xml:space="preserve">case of </w:t>
      </w:r>
      <w:r w:rsidR="009E309B">
        <w:t xml:space="preserve">the </w:t>
      </w:r>
      <w:r>
        <w:t>JEC</w:t>
      </w:r>
      <w:r w:rsidR="009E309B">
        <w:t>,</w:t>
      </w:r>
      <w:r>
        <w:t xml:space="preserve"> is the 34 </w:t>
      </w:r>
      <w:r w:rsidR="009E309B">
        <w:t xml:space="preserve">areas </w:t>
      </w:r>
      <w:r>
        <w:t>scattered in 5 provinces.</w:t>
      </w:r>
    </w:p>
    <w:p w:rsidR="005B67BF" w:rsidRDefault="005B67BF" w:rsidP="005B67BF">
      <w:r w:rsidRPr="00C94305">
        <w:t>It is stated in the beg</w:t>
      </w:r>
      <w:r>
        <w:t>inning, that the characteristic</w:t>
      </w:r>
      <w:r w:rsidRPr="00C94305">
        <w:t xml:space="preserve"> of </w:t>
      </w:r>
      <w:r w:rsidR="00A33725">
        <w:t>capitalism</w:t>
      </w:r>
      <w:r w:rsidRPr="00C94305">
        <w:t xml:space="preserve"> is to o</w:t>
      </w:r>
      <w:r w:rsidRPr="00C94305">
        <w:t>b</w:t>
      </w:r>
      <w:r w:rsidRPr="00C94305">
        <w:t>tain surplus</w:t>
      </w:r>
      <w:r>
        <w:t>es</w:t>
      </w:r>
      <w:r w:rsidRPr="00C94305">
        <w:t xml:space="preserve"> </w:t>
      </w:r>
      <w:r w:rsidR="00A33725">
        <w:t xml:space="preserve">then </w:t>
      </w:r>
      <w:r w:rsidRPr="00C94305">
        <w:t>to reinvest in other forms of economic activity</w:t>
      </w:r>
      <w:r>
        <w:t xml:space="preserve">. By seeing budget compositions sharing that almost 60% of infrastructure development financing in Java derive from private sector, theory of capitalism that work is </w:t>
      </w:r>
      <w:r w:rsidRPr="000229CD">
        <w:t>investors will take into account the new benefit from these activities</w:t>
      </w:r>
      <w:r>
        <w:t>. Inves</w:t>
      </w:r>
      <w:r>
        <w:t>t</w:t>
      </w:r>
      <w:r>
        <w:t xml:space="preserve">ment in toll road constructions, for instance, </w:t>
      </w:r>
      <w:r w:rsidR="009E309B">
        <w:t xml:space="preserve">based on </w:t>
      </w:r>
      <w:r>
        <w:t>the current</w:t>
      </w:r>
      <w:r w:rsidR="009E309B">
        <w:t>ly</w:t>
      </w:r>
      <w:r>
        <w:t xml:space="preserve"> regulation </w:t>
      </w:r>
      <w:r w:rsidR="00A33725">
        <w:t xml:space="preserve">on </w:t>
      </w:r>
      <w:r>
        <w:t>the toll road</w:t>
      </w:r>
      <w:r w:rsidR="009E309B">
        <w:t>,</w:t>
      </w:r>
      <w:r>
        <w:t xml:space="preserve"> </w:t>
      </w:r>
      <w:r w:rsidR="009E309B">
        <w:t>a company that has built a toll road will have a</w:t>
      </w:r>
      <w:r w:rsidR="00214DB8">
        <w:t>nother</w:t>
      </w:r>
      <w:r w:rsidR="009E309B">
        <w:t xml:space="preserve"> conce</w:t>
      </w:r>
      <w:r w:rsidR="009E309B">
        <w:t>s</w:t>
      </w:r>
      <w:r w:rsidR="009E309B">
        <w:t>sion</w:t>
      </w:r>
      <w:r w:rsidR="00214DB8">
        <w:t xml:space="preserve"> for a certain period</w:t>
      </w:r>
      <w:r w:rsidR="009E309B">
        <w:t xml:space="preserve"> </w:t>
      </w:r>
      <w:r w:rsidR="00214DB8">
        <w:t xml:space="preserve">in order to </w:t>
      </w:r>
      <w:r>
        <w:t>man</w:t>
      </w:r>
      <w:r w:rsidR="00214DB8">
        <w:t>age the toll road</w:t>
      </w:r>
      <w:r>
        <w:rPr>
          <w:rStyle w:val="FootnoteReference"/>
        </w:rPr>
        <w:footnoteReference w:id="27"/>
      </w:r>
      <w:r>
        <w:t xml:space="preserve">. Because of that, many toll roads developed in Java, each user will be charged, </w:t>
      </w:r>
      <w:r w:rsidRPr="00B61040">
        <w:t>intended for maintenance costs</w:t>
      </w:r>
      <w:r>
        <w:rPr>
          <w:rStyle w:val="FootnoteReference"/>
        </w:rPr>
        <w:footnoteReference w:id="28"/>
      </w:r>
      <w:r>
        <w:t xml:space="preserve">. </w:t>
      </w:r>
      <w:r w:rsidRPr="006C59B8">
        <w:t>In the scheme of financial manag</w:t>
      </w:r>
      <w:r w:rsidRPr="006C59B8">
        <w:t>e</w:t>
      </w:r>
      <w:r w:rsidRPr="006C59B8">
        <w:t>ment</w:t>
      </w:r>
      <w:r>
        <w:t>, cost</w:t>
      </w:r>
      <w:r w:rsidRPr="006C59B8">
        <w:t xml:space="preserve"> to each user </w:t>
      </w:r>
      <w:r>
        <w:t>is</w:t>
      </w:r>
      <w:r w:rsidRPr="006C59B8">
        <w:t xml:space="preserve"> included in the scheme of non-tax revenue</w:t>
      </w:r>
      <w:r>
        <w:t xml:space="preserve">, </w:t>
      </w:r>
      <w:r w:rsidRPr="006C59B8">
        <w:t>through sharing agreements b</w:t>
      </w:r>
      <w:r w:rsidRPr="006C59B8">
        <w:t>e</w:t>
      </w:r>
      <w:r w:rsidRPr="006C59B8">
        <w:t xml:space="preserve">tween operators of toll roads </w:t>
      </w:r>
      <w:r>
        <w:t xml:space="preserve">and </w:t>
      </w:r>
      <w:r w:rsidRPr="006C59B8">
        <w:t xml:space="preserve">the government to give some of its profits </w:t>
      </w:r>
      <w:r>
        <w:t xml:space="preserve">as state revenue. Nevertheless, </w:t>
      </w:r>
      <w:r w:rsidRPr="009B2905">
        <w:t>propo</w:t>
      </w:r>
      <w:r w:rsidRPr="009B2905">
        <w:t>r</w:t>
      </w:r>
      <w:r w:rsidRPr="009B2905">
        <w:t>tions</w:t>
      </w:r>
      <w:r>
        <w:t xml:space="preserve"> that coming to state </w:t>
      </w:r>
      <w:r w:rsidRPr="009B2905">
        <w:t xml:space="preserve">treasury is not as big </w:t>
      </w:r>
      <w:r>
        <w:t xml:space="preserve">as </w:t>
      </w:r>
      <w:r w:rsidRPr="009B2905">
        <w:t>profits earned by toll road</w:t>
      </w:r>
      <w:r>
        <w:t>’</w:t>
      </w:r>
      <w:r w:rsidRPr="009B2905">
        <w:t>s</w:t>
      </w:r>
      <w:r>
        <w:t xml:space="preserve"> oper</w:t>
      </w:r>
      <w:r>
        <w:t>a</w:t>
      </w:r>
      <w:r>
        <w:t xml:space="preserve">tors. </w:t>
      </w:r>
    </w:p>
    <w:p w:rsidR="005B67BF" w:rsidRDefault="005B67BF" w:rsidP="005B67BF">
      <w:r w:rsidRPr="004371D8">
        <w:t xml:space="preserve">Scheme imposed by levies from users of </w:t>
      </w:r>
      <w:r>
        <w:t>toll roads, in</w:t>
      </w:r>
      <w:r w:rsidRPr="004371D8">
        <w:t xml:space="preserve"> one side</w:t>
      </w:r>
      <w:r>
        <w:t>,</w:t>
      </w:r>
      <w:r w:rsidRPr="004371D8">
        <w:t xml:space="preserve"> will show the level of public awareness to build the country through tax payments</w:t>
      </w:r>
      <w:r>
        <w:t xml:space="preserve">. </w:t>
      </w:r>
      <w:r w:rsidRPr="004371D8">
        <w:t>Therefore, financial performance, especially in Java</w:t>
      </w:r>
      <w:r w:rsidR="00214DB8">
        <w:t>, has</w:t>
      </w:r>
      <w:r w:rsidRPr="004371D8">
        <w:t xml:space="preserve"> show</w:t>
      </w:r>
      <w:r w:rsidR="00214DB8">
        <w:t>n a</w:t>
      </w:r>
      <w:r w:rsidRPr="004371D8">
        <w:t xml:space="preserve"> good activity, in terms of usage</w:t>
      </w:r>
      <w:r w:rsidR="00214DB8">
        <w:t>s</w:t>
      </w:r>
      <w:r w:rsidRPr="004371D8">
        <w:t xml:space="preserve"> and revenues of toll roads</w:t>
      </w:r>
      <w:r>
        <w:t xml:space="preserve">. </w:t>
      </w:r>
      <w:r w:rsidRPr="001D027C">
        <w:t>In 2010</w:t>
      </w:r>
      <w:r>
        <w:t>,</w:t>
      </w:r>
      <w:r w:rsidRPr="001D027C">
        <w:t xml:space="preserve"> the national GDP i</w:t>
      </w:r>
      <w:r w:rsidRPr="001D027C">
        <w:t>n</w:t>
      </w:r>
      <w:r w:rsidRPr="001D027C">
        <w:t>creased to 6.1%</w:t>
      </w:r>
      <w:r>
        <w:t xml:space="preserve"> </w:t>
      </w:r>
      <w:r w:rsidRPr="001D027C">
        <w:t>with the greatest contribution of all activities in the economic sector</w:t>
      </w:r>
      <w:r>
        <w:t xml:space="preserve">. </w:t>
      </w:r>
      <w:r w:rsidRPr="001D027C">
        <w:t>The highest growth</w:t>
      </w:r>
      <w:r w:rsidR="0068062E">
        <w:t xml:space="preserve"> is</w:t>
      </w:r>
      <w:r w:rsidRPr="001D027C">
        <w:t xml:space="preserve"> coming from the transport and communications </w:t>
      </w:r>
      <w:r w:rsidRPr="001D027C">
        <w:lastRenderedPageBreak/>
        <w:t>sector at 13.5%</w:t>
      </w:r>
      <w:r>
        <w:rPr>
          <w:rStyle w:val="FootnoteReference"/>
        </w:rPr>
        <w:footnoteReference w:id="29"/>
      </w:r>
      <w:r>
        <w:t xml:space="preserve"> </w:t>
      </w:r>
      <w:sdt>
        <w:sdtPr>
          <w:id w:val="121860981"/>
          <w:citation/>
        </w:sdtPr>
        <w:sdtContent>
          <w:r w:rsidR="00476E26">
            <w:fldChar w:fldCharType="begin"/>
          </w:r>
          <w:r>
            <w:rPr>
              <w:lang w:val="en-US"/>
            </w:rPr>
            <w:instrText xml:space="preserve"> CITATION BPS11 \p 21 \l 1033  </w:instrText>
          </w:r>
          <w:r w:rsidR="00476E26">
            <w:fldChar w:fldCharType="separate"/>
          </w:r>
          <w:r w:rsidRPr="005B67BF">
            <w:rPr>
              <w:noProof/>
              <w:lang w:val="en-US"/>
            </w:rPr>
            <w:t>(BPS, Agustus 2011, p. 21)</w:t>
          </w:r>
          <w:r w:rsidR="00476E26">
            <w:fldChar w:fldCharType="end"/>
          </w:r>
        </w:sdtContent>
      </w:sdt>
      <w:r>
        <w:t xml:space="preserve">. </w:t>
      </w:r>
      <w:r w:rsidRPr="001D027C">
        <w:t xml:space="preserve">It is assumed that </w:t>
      </w:r>
      <w:r w:rsidR="00096AF6">
        <w:t xml:space="preserve">a </w:t>
      </w:r>
      <w:r w:rsidRPr="001D027C">
        <w:t>better infr</w:t>
      </w:r>
      <w:r w:rsidRPr="001D027C">
        <w:t>a</w:t>
      </w:r>
      <w:r w:rsidRPr="001D027C">
        <w:t>structure in Java</w:t>
      </w:r>
      <w:r w:rsidR="00096AF6">
        <w:t>, which</w:t>
      </w:r>
      <w:r w:rsidRPr="001D027C">
        <w:t xml:space="preserve"> </w:t>
      </w:r>
      <w:r w:rsidR="00E03CEF">
        <w:t xml:space="preserve">is the </w:t>
      </w:r>
      <w:r w:rsidRPr="001D027C">
        <w:t>large number of highways</w:t>
      </w:r>
      <w:r w:rsidR="00E03CEF">
        <w:t xml:space="preserve">, </w:t>
      </w:r>
      <w:r w:rsidRPr="001D027C">
        <w:t>will remain the bi</w:t>
      </w:r>
      <w:r w:rsidRPr="001D027C">
        <w:t>g</w:t>
      </w:r>
      <w:r w:rsidRPr="001D027C">
        <w:t xml:space="preserve">gest contributor to </w:t>
      </w:r>
      <w:r>
        <w:t xml:space="preserve">the </w:t>
      </w:r>
      <w:r w:rsidRPr="001D027C">
        <w:t>ec</w:t>
      </w:r>
      <w:r w:rsidRPr="001D027C">
        <w:t>o</w:t>
      </w:r>
      <w:r w:rsidRPr="001D027C">
        <w:t xml:space="preserve">nomic growth </w:t>
      </w:r>
      <w:r>
        <w:t>of</w:t>
      </w:r>
      <w:r w:rsidRPr="001D027C">
        <w:t xml:space="preserve"> Indonesia</w:t>
      </w:r>
      <w:r>
        <w:t>.</w:t>
      </w:r>
    </w:p>
    <w:p w:rsidR="005B67BF" w:rsidRDefault="005B67BF" w:rsidP="005B67BF">
      <w:r w:rsidRPr="001D027C">
        <w:t xml:space="preserve">On the other hand, </w:t>
      </w:r>
      <w:r w:rsidR="00214DB8" w:rsidRPr="001D027C">
        <w:t xml:space="preserve">concessions for </w:t>
      </w:r>
      <w:r w:rsidR="00214DB8">
        <w:t>toll</w:t>
      </w:r>
      <w:r w:rsidR="00214DB8" w:rsidRPr="001D027C">
        <w:t xml:space="preserve"> road maintenance to the private sector have</w:t>
      </w:r>
      <w:r w:rsidRPr="001D027C">
        <w:t xml:space="preserve"> made certain areas controlled by a group of investors</w:t>
      </w:r>
      <w:r>
        <w:rPr>
          <w:rStyle w:val="FootnoteReference"/>
        </w:rPr>
        <w:footnoteReference w:id="30"/>
      </w:r>
      <w:r>
        <w:t xml:space="preserve">. </w:t>
      </w:r>
      <w:r w:rsidR="00214DB8">
        <w:t>Due to</w:t>
      </w:r>
      <w:r w:rsidRPr="001D027C">
        <w:t xml:space="preserve"> the concessions granted</w:t>
      </w:r>
      <w:r>
        <w:t xml:space="preserve"> are not only for the </w:t>
      </w:r>
      <w:r w:rsidR="00214DB8">
        <w:t xml:space="preserve">management of </w:t>
      </w:r>
      <w:r>
        <w:t xml:space="preserve">toll road areas, </w:t>
      </w:r>
      <w:r w:rsidRPr="0013094D">
        <w:t xml:space="preserve">but also in some parts of the </w:t>
      </w:r>
      <w:r w:rsidR="00214DB8">
        <w:t xml:space="preserve">adjacent toll road </w:t>
      </w:r>
      <w:r w:rsidRPr="0013094D">
        <w:t>area</w:t>
      </w:r>
      <w:r w:rsidR="00214DB8">
        <w:t>s</w:t>
      </w:r>
      <w:r>
        <w:t>. It o</w:t>
      </w:r>
      <w:r w:rsidRPr="0013094D">
        <w:t xml:space="preserve">ffers </w:t>
      </w:r>
      <w:r w:rsidRPr="0013094D">
        <w:rPr>
          <w:rFonts w:ascii="Times New Roman" w:hAnsi="Times New Roman"/>
        </w:rPr>
        <w:t>​​</w:t>
      </w:r>
      <w:r w:rsidRPr="0013094D">
        <w:rPr>
          <w:rFonts w:cs="Garamond"/>
        </w:rPr>
        <w:t>openly to prospe</w:t>
      </w:r>
      <w:r w:rsidRPr="0013094D">
        <w:rPr>
          <w:rFonts w:cs="Garamond"/>
        </w:rPr>
        <w:t>c</w:t>
      </w:r>
      <w:r w:rsidRPr="0013094D">
        <w:rPr>
          <w:rFonts w:cs="Garamond"/>
        </w:rPr>
        <w:t xml:space="preserve">tive partners with the </w:t>
      </w:r>
      <w:r w:rsidR="000C58C8">
        <w:rPr>
          <w:rFonts w:cs="Garamond"/>
        </w:rPr>
        <w:t xml:space="preserve">specific </w:t>
      </w:r>
      <w:r w:rsidRPr="0013094D">
        <w:rPr>
          <w:rFonts w:cs="Garamond"/>
        </w:rPr>
        <w:t>qualifications to run a commercial area on the highway with a profit-sharing scheme</w:t>
      </w:r>
      <w:r>
        <w:t>.  U</w:t>
      </w:r>
      <w:r w:rsidR="000C58C8">
        <w:t xml:space="preserve">p to </w:t>
      </w:r>
      <w:r>
        <w:t>now, t</w:t>
      </w:r>
      <w:r w:rsidRPr="0013094D">
        <w:t>here are 26 rest area</w:t>
      </w:r>
      <w:r>
        <w:t>s</w:t>
      </w:r>
      <w:r w:rsidRPr="0013094D">
        <w:t xml:space="preserve"> o</w:t>
      </w:r>
      <w:r w:rsidRPr="0013094D">
        <w:t>p</w:t>
      </w:r>
      <w:r w:rsidRPr="0013094D">
        <w:t>erat</w:t>
      </w:r>
      <w:r w:rsidR="000C58C8">
        <w:t>ed</w:t>
      </w:r>
      <w:r w:rsidRPr="0013094D">
        <w:t xml:space="preserve"> </w:t>
      </w:r>
      <w:r>
        <w:t xml:space="preserve">along the </w:t>
      </w:r>
      <w:r w:rsidRPr="0013094D">
        <w:t>toll roads in Java</w:t>
      </w:r>
      <w:r w:rsidR="000C58C8">
        <w:t xml:space="preserve"> under </w:t>
      </w:r>
      <w:r w:rsidRPr="00EA269B">
        <w:t>a profit-sharing scheme between the toll roads</w:t>
      </w:r>
      <w:r>
        <w:t>’</w:t>
      </w:r>
      <w:r w:rsidRPr="00EA269B">
        <w:t xml:space="preserve"> operators (PT </w:t>
      </w:r>
      <w:r w:rsidRPr="000C58C8">
        <w:rPr>
          <w:i/>
        </w:rPr>
        <w:t>Jasa Marga</w:t>
      </w:r>
      <w:r w:rsidRPr="00EA269B">
        <w:t>) and rest area operators</w:t>
      </w:r>
      <w:r w:rsidRPr="00EA269B">
        <w:rPr>
          <w:rStyle w:val="FootnoteReference"/>
        </w:rPr>
        <w:footnoteReference w:id="31"/>
      </w:r>
      <w:r w:rsidRPr="00EA269B">
        <w:t>. With a de</w:t>
      </w:r>
      <w:r w:rsidRPr="00EA269B">
        <w:t>n</w:t>
      </w:r>
      <w:r w:rsidRPr="00EA269B">
        <w:t>sity of toll road lane in Java</w:t>
      </w:r>
      <w:r w:rsidR="00E03CEF">
        <w:t>,</w:t>
      </w:r>
      <w:r w:rsidRPr="00EA269B">
        <w:t xml:space="preserve"> </w:t>
      </w:r>
      <w:r>
        <w:t xml:space="preserve">which is </w:t>
      </w:r>
      <w:r w:rsidRPr="00EA269B">
        <w:t>more than 200</w:t>
      </w:r>
      <w:r>
        <w:t xml:space="preserve"> thousand </w:t>
      </w:r>
      <w:r w:rsidRPr="00EA269B">
        <w:t>vehicles</w:t>
      </w:r>
      <w:r>
        <w:t xml:space="preserve"> daily </w:t>
      </w:r>
      <w:r w:rsidRPr="00EA269B">
        <w:t>tra</w:t>
      </w:r>
      <w:r w:rsidRPr="00EA269B">
        <w:t>v</w:t>
      </w:r>
      <w:r w:rsidRPr="00EA269B">
        <w:t>ersed average</w:t>
      </w:r>
      <w:r w:rsidRPr="00EA269B">
        <w:rPr>
          <w:rStyle w:val="FootnoteReference"/>
        </w:rPr>
        <w:footnoteReference w:id="32"/>
      </w:r>
      <w:r w:rsidRPr="00EA269B">
        <w:t xml:space="preserve">, </w:t>
      </w:r>
      <w:r>
        <w:t xml:space="preserve">economic activities in </w:t>
      </w:r>
      <w:r w:rsidR="00E03CEF">
        <w:t xml:space="preserve">the </w:t>
      </w:r>
      <w:r w:rsidRPr="00EA269B">
        <w:t>rest area</w:t>
      </w:r>
      <w:r>
        <w:t xml:space="preserve">s </w:t>
      </w:r>
      <w:r w:rsidR="000C58C8">
        <w:t xml:space="preserve">become </w:t>
      </w:r>
      <w:r>
        <w:t>high</w:t>
      </w:r>
      <w:r w:rsidRPr="00EA269B">
        <w:t xml:space="preserve">. Thus, capital </w:t>
      </w:r>
      <w:r w:rsidR="000C58C8">
        <w:t>ci</w:t>
      </w:r>
      <w:r w:rsidR="000C58C8">
        <w:t>r</w:t>
      </w:r>
      <w:r w:rsidR="000C58C8">
        <w:t xml:space="preserve">cuit </w:t>
      </w:r>
      <w:r w:rsidRPr="00EA269B">
        <w:t>also o</w:t>
      </w:r>
      <w:r w:rsidRPr="00EA269B">
        <w:t>c</w:t>
      </w:r>
      <w:r w:rsidRPr="00EA269B">
        <w:t xml:space="preserve">curred not only because of the use of </w:t>
      </w:r>
      <w:r>
        <w:t xml:space="preserve">the </w:t>
      </w:r>
      <w:r w:rsidRPr="00EA269B">
        <w:t xml:space="preserve">toll road, but also due to businesses located on-site at </w:t>
      </w:r>
      <w:r>
        <w:t xml:space="preserve">the </w:t>
      </w:r>
      <w:r w:rsidR="000C58C8">
        <w:t>toll-</w:t>
      </w:r>
      <w:r w:rsidRPr="00EA269B">
        <w:t>road</w:t>
      </w:r>
      <w:r w:rsidR="000C58C8">
        <w:t>’s</w:t>
      </w:r>
      <w:r w:rsidRPr="00EA269B">
        <w:t xml:space="preserve"> rest area.</w:t>
      </w:r>
    </w:p>
    <w:p w:rsidR="005B67BF" w:rsidRDefault="005B67BF" w:rsidP="005B67BF">
      <w:r>
        <w:t>However,</w:t>
      </w:r>
      <w:r w:rsidRPr="001A2E2C">
        <w:t xml:space="preserve"> </w:t>
      </w:r>
      <w:r w:rsidR="000C58C8">
        <w:t xml:space="preserve">a </w:t>
      </w:r>
      <w:r w:rsidRPr="001A2E2C">
        <w:t xml:space="preserve">more interesting is during, before or after the construction of </w:t>
      </w:r>
      <w:r>
        <w:t xml:space="preserve">a </w:t>
      </w:r>
      <w:r w:rsidRPr="001A2E2C">
        <w:t xml:space="preserve">toll road which led to land speculation phenomenon in the surrounding area. </w:t>
      </w:r>
      <w:r w:rsidR="000C58C8">
        <w:t xml:space="preserve">As the construction will begin, a speculative economic attitude of a group of people, who live in those areas, will appear soon. </w:t>
      </w:r>
      <w:r w:rsidRPr="001A2E2C">
        <w:t xml:space="preserve">Land transaction </w:t>
      </w:r>
      <w:r w:rsidR="000C58C8">
        <w:t xml:space="preserve">process </w:t>
      </w:r>
      <w:r w:rsidRPr="001A2E2C">
        <w:t>b</w:t>
      </w:r>
      <w:r w:rsidRPr="001A2E2C">
        <w:t>e</w:t>
      </w:r>
      <w:r w:rsidRPr="001A2E2C">
        <w:t>gins</w:t>
      </w:r>
      <w:r>
        <w:t>,</w:t>
      </w:r>
      <w:r w:rsidRPr="001A2E2C">
        <w:t xml:space="preserve"> and land brokers began to appear. </w:t>
      </w:r>
      <w:r w:rsidR="00BC67A9">
        <w:t>According to various experiences ha</w:t>
      </w:r>
      <w:r w:rsidR="00BC67A9">
        <w:t>p</w:t>
      </w:r>
      <w:r w:rsidR="00BC67A9">
        <w:t>pened during the toll road construction, a</w:t>
      </w:r>
      <w:r w:rsidRPr="001A2E2C">
        <w:t xml:space="preserve"> Land transaction is not only ha</w:t>
      </w:r>
      <w:r w:rsidRPr="001A2E2C">
        <w:t>p</w:t>
      </w:r>
      <w:r w:rsidRPr="001A2E2C">
        <w:t xml:space="preserve">pened on a </w:t>
      </w:r>
      <w:r w:rsidR="000C58C8">
        <w:t>single holder owned a</w:t>
      </w:r>
      <w:r w:rsidRPr="001A2E2C">
        <w:t xml:space="preserve"> large-scale land, but the</w:t>
      </w:r>
      <w:r w:rsidR="000C58C8">
        <w:t xml:space="preserve">y also maintain </w:t>
      </w:r>
      <w:r w:rsidR="00BC67A9">
        <w:t>a lot of</w:t>
      </w:r>
      <w:r w:rsidRPr="001A2E2C">
        <w:t xml:space="preserve"> </w:t>
      </w:r>
      <w:r w:rsidR="00BC67A9">
        <w:t xml:space="preserve">small </w:t>
      </w:r>
      <w:r w:rsidRPr="001A2E2C">
        <w:t xml:space="preserve">plots </w:t>
      </w:r>
      <w:r w:rsidR="00BC67A9">
        <w:t xml:space="preserve">of lands </w:t>
      </w:r>
      <w:r w:rsidRPr="001A2E2C">
        <w:t xml:space="preserve">controlled by a group of people. The goal is to plan a large-scale economic enterprise located </w:t>
      </w:r>
      <w:r w:rsidR="00E03CEF">
        <w:t xml:space="preserve">near </w:t>
      </w:r>
      <w:r w:rsidRPr="001A2E2C">
        <w:t xml:space="preserve">to </w:t>
      </w:r>
      <w:r w:rsidR="00E03CEF">
        <w:t xml:space="preserve">the </w:t>
      </w:r>
      <w:r w:rsidRPr="001A2E2C">
        <w:t>toll roads</w:t>
      </w:r>
      <w:r>
        <w:t>’</w:t>
      </w:r>
      <w:r w:rsidRPr="001A2E2C">
        <w:t xml:space="preserve"> access. </w:t>
      </w:r>
      <w:r w:rsidR="00BC67A9">
        <w:t xml:space="preserve">Through the massive development of </w:t>
      </w:r>
      <w:r w:rsidR="00096AF6">
        <w:t>toll-road</w:t>
      </w:r>
      <w:r w:rsidRPr="001A2E2C">
        <w:t xml:space="preserve"> </w:t>
      </w:r>
      <w:r w:rsidR="00BC67A9">
        <w:t xml:space="preserve">in </w:t>
      </w:r>
      <w:r w:rsidRPr="001A2E2C">
        <w:t xml:space="preserve">the framework of </w:t>
      </w:r>
      <w:r w:rsidR="002F7669">
        <w:t xml:space="preserve">JEC </w:t>
      </w:r>
      <w:r w:rsidR="00096AF6">
        <w:t>policy</w:t>
      </w:r>
      <w:r w:rsidR="00E03CEF">
        <w:t>, it</w:t>
      </w:r>
      <w:r w:rsidRPr="001A2E2C">
        <w:t xml:space="preserve"> will continue </w:t>
      </w:r>
      <w:r w:rsidR="00E03CEF">
        <w:t xml:space="preserve">the </w:t>
      </w:r>
      <w:r w:rsidRPr="001A2E2C">
        <w:t>old story about the land specul</w:t>
      </w:r>
      <w:r w:rsidRPr="001A2E2C">
        <w:t>a</w:t>
      </w:r>
      <w:r w:rsidRPr="001A2E2C">
        <w:t>tion around</w:t>
      </w:r>
      <w:r>
        <w:t xml:space="preserve"> a</w:t>
      </w:r>
      <w:r w:rsidRPr="001A2E2C">
        <w:t xml:space="preserve"> toll road.</w:t>
      </w:r>
    </w:p>
    <w:p w:rsidR="00B57A71" w:rsidRDefault="00B57A71" w:rsidP="005B67BF"/>
    <w:p w:rsidR="00BC67A9" w:rsidRDefault="00BC67A9" w:rsidP="005B67BF"/>
    <w:p w:rsidR="007A2022" w:rsidRDefault="007A2022" w:rsidP="005B67BF"/>
    <w:p w:rsidR="007A2022" w:rsidRDefault="007A2022" w:rsidP="005B67BF"/>
    <w:p w:rsidR="007A2022" w:rsidRDefault="007A2022" w:rsidP="005B67BF"/>
    <w:p w:rsidR="007A2022" w:rsidRDefault="007A2022" w:rsidP="005B67BF"/>
    <w:p w:rsidR="007A2022" w:rsidRDefault="007A2022" w:rsidP="005B67BF"/>
    <w:p w:rsidR="007A2022" w:rsidRDefault="007A2022" w:rsidP="005B67BF"/>
    <w:p w:rsidR="007A2022" w:rsidRDefault="007A2022" w:rsidP="005B67BF"/>
    <w:p w:rsidR="007A2022" w:rsidRDefault="007A2022" w:rsidP="005B67BF"/>
    <w:tbl>
      <w:tblPr>
        <w:tblW w:w="0" w:type="auto"/>
        <w:jc w:val="center"/>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13"/>
      </w:tblGrid>
      <w:tr w:rsidR="005B67BF" w:rsidRPr="006036E6" w:rsidTr="007445CC">
        <w:trPr>
          <w:jc w:val="center"/>
        </w:trPr>
        <w:tc>
          <w:tcPr>
            <w:tcW w:w="6713" w:type="dxa"/>
          </w:tcPr>
          <w:p w:rsidR="005B67BF" w:rsidRPr="008A24C9" w:rsidRDefault="005B67BF" w:rsidP="005B67BF">
            <w:pPr>
              <w:ind w:firstLine="0"/>
              <w:jc w:val="center"/>
              <w:rPr>
                <w:rFonts w:ascii="Arial" w:hAnsi="Arial" w:cs="Arial"/>
                <w:b/>
                <w:sz w:val="20"/>
              </w:rPr>
            </w:pPr>
            <w:r w:rsidRPr="008A24C9">
              <w:rPr>
                <w:rFonts w:ascii="Arial" w:hAnsi="Arial" w:cs="Arial"/>
                <w:b/>
                <w:sz w:val="20"/>
              </w:rPr>
              <w:lastRenderedPageBreak/>
              <w:t>Box 3.1.</w:t>
            </w:r>
          </w:p>
          <w:p w:rsidR="005B67BF" w:rsidRPr="008A24C9" w:rsidRDefault="005B67BF" w:rsidP="005B67BF">
            <w:pPr>
              <w:ind w:firstLine="0"/>
              <w:jc w:val="center"/>
              <w:rPr>
                <w:rFonts w:ascii="Arial" w:hAnsi="Arial" w:cs="Arial"/>
                <w:b/>
                <w:sz w:val="20"/>
              </w:rPr>
            </w:pPr>
            <w:r w:rsidRPr="008A24C9">
              <w:rPr>
                <w:rFonts w:ascii="Arial" w:hAnsi="Arial" w:cs="Arial"/>
                <w:b/>
                <w:sz w:val="20"/>
              </w:rPr>
              <w:t>Land Speculation in Entire Bocimi’s Toll Road</w:t>
            </w:r>
          </w:p>
          <w:p w:rsidR="005B67BF" w:rsidRPr="008A24C9" w:rsidRDefault="005B67BF" w:rsidP="005B67BF">
            <w:pPr>
              <w:spacing w:after="0"/>
              <w:rPr>
                <w:rFonts w:ascii="Arial" w:hAnsi="Arial" w:cs="Arial"/>
                <w:sz w:val="20"/>
              </w:rPr>
            </w:pPr>
            <w:r w:rsidRPr="008A24C9">
              <w:rPr>
                <w:rFonts w:ascii="Arial" w:hAnsi="Arial" w:cs="Arial"/>
                <w:sz w:val="18"/>
              </w:rPr>
              <w:t>PT Bakrie Toll Road is the largest shareholder for Bogor-Ciawi-Sukabumi (Bocimi) toll road construction</w:t>
            </w:r>
            <w:r w:rsidRPr="008A24C9">
              <w:rPr>
                <w:rStyle w:val="FootnoteReference"/>
                <w:rFonts w:ascii="Arial" w:hAnsi="Arial" w:cs="Arial"/>
                <w:sz w:val="18"/>
              </w:rPr>
              <w:footnoteReference w:id="33"/>
            </w:r>
            <w:r w:rsidRPr="008A24C9">
              <w:rPr>
                <w:rFonts w:ascii="Arial" w:hAnsi="Arial" w:cs="Arial"/>
                <w:sz w:val="18"/>
              </w:rPr>
              <w:t>, which is 60%, while the remaining is hold by Regional (West Java) SoE (BUMD Jabar), which is 25% and PT Bukaka Tekhnik Utama (BTU) is 15%. The operator will be given to PT Trans Jabar Tol (TJT)</w:t>
            </w:r>
            <w:r w:rsidRPr="008A24C9">
              <w:rPr>
                <w:rStyle w:val="FootnoteReference"/>
                <w:rFonts w:ascii="Arial" w:hAnsi="Arial" w:cs="Arial"/>
                <w:sz w:val="18"/>
              </w:rPr>
              <w:footnoteReference w:id="34"/>
            </w:r>
            <w:r w:rsidRPr="008A24C9">
              <w:rPr>
                <w:rFonts w:ascii="Arial" w:hAnsi="Arial" w:cs="Arial"/>
                <w:sz w:val="18"/>
              </w:rPr>
              <w:t>. Development planning has been begun since 2005</w:t>
            </w:r>
            <w:r w:rsidRPr="008A24C9">
              <w:rPr>
                <w:rStyle w:val="FootnoteReference"/>
                <w:rFonts w:ascii="Arial" w:hAnsi="Arial" w:cs="Arial"/>
                <w:sz w:val="18"/>
              </w:rPr>
              <w:footnoteReference w:id="35"/>
            </w:r>
            <w:r w:rsidRPr="008A24C9">
              <w:rPr>
                <w:rFonts w:ascii="Arial" w:hAnsi="Arial" w:cs="Arial"/>
                <w:sz w:val="18"/>
              </w:rPr>
              <w:t>, mainly for road of Bogor-Sukabumi, as PT Bakrie Groups has agreed to finance. On the other hand, in addition to PT Bakrie strives for toll road infrastructure, around the area to be constructed is also planned to be built tourism areas consist of luxurious reside</w:t>
            </w:r>
            <w:r w:rsidRPr="008A24C9">
              <w:rPr>
                <w:rFonts w:ascii="Arial" w:hAnsi="Arial" w:cs="Arial"/>
                <w:sz w:val="18"/>
              </w:rPr>
              <w:t>n</w:t>
            </w:r>
            <w:r w:rsidRPr="008A24C9">
              <w:rPr>
                <w:rFonts w:ascii="Arial" w:hAnsi="Arial" w:cs="Arial"/>
                <w:sz w:val="18"/>
              </w:rPr>
              <w:t>tial, eco-tourism’s areas and sport facilities. Both of those initiatives, which are toll-roads construction and tourism areas, meet with the needs of new areas for investment. Toll road construction to be feasible to be proposed considering the track of Sukabumi, Bogor, Jakarta and Bandung is a main lane to and from pr</w:t>
            </w:r>
            <w:r w:rsidRPr="008A24C9">
              <w:rPr>
                <w:rFonts w:ascii="Arial" w:hAnsi="Arial" w:cs="Arial"/>
                <w:sz w:val="18"/>
              </w:rPr>
              <w:t>o</w:t>
            </w:r>
            <w:r w:rsidRPr="008A24C9">
              <w:rPr>
                <w:rFonts w:ascii="Arial" w:hAnsi="Arial" w:cs="Arial"/>
                <w:sz w:val="18"/>
              </w:rPr>
              <w:t>duction areas (Sukabumi and Bogor</w:t>
            </w:r>
            <w:r w:rsidRPr="008A24C9">
              <w:rPr>
                <w:rStyle w:val="FootnoteReference"/>
                <w:rFonts w:ascii="Arial" w:hAnsi="Arial" w:cs="Arial"/>
                <w:sz w:val="18"/>
              </w:rPr>
              <w:footnoteReference w:id="36"/>
            </w:r>
            <w:r w:rsidRPr="008A24C9">
              <w:rPr>
                <w:rFonts w:ascii="Arial" w:hAnsi="Arial" w:cs="Arial"/>
                <w:sz w:val="18"/>
              </w:rPr>
              <w:t>) to/from the center of economic activity’s cities (Jakarta and Bandung). Added with the current road's condition, which has been very dense and nearly every day jammed. PT Bakrieland Development, at least along Bocimi Toll-Roads, will be controlled by PT Bakrieland Development for 45 years</w:t>
            </w:r>
            <w:r w:rsidRPr="008A24C9">
              <w:rPr>
                <w:rStyle w:val="FootnoteReference"/>
                <w:rFonts w:ascii="Arial" w:hAnsi="Arial" w:cs="Arial"/>
                <w:sz w:val="18"/>
              </w:rPr>
              <w:t xml:space="preserve"> </w:t>
            </w:r>
            <w:r w:rsidRPr="008A24C9">
              <w:rPr>
                <w:rStyle w:val="FootnoteReference"/>
                <w:rFonts w:ascii="Arial" w:hAnsi="Arial" w:cs="Arial"/>
                <w:sz w:val="18"/>
              </w:rPr>
              <w:footnoteReference w:id="37"/>
            </w:r>
            <w:r w:rsidRPr="008A24C9">
              <w:rPr>
                <w:rFonts w:ascii="Arial" w:hAnsi="Arial" w:cs="Arial"/>
                <w:sz w:val="18"/>
              </w:rPr>
              <w:t xml:space="preserve"> and the surrounding area to be built tourist area. On the other words, land concentration immediately occurs if those two projects have been implemented, which is being concentrated in the hands of the corporate group PT Bakrie Group.</w:t>
            </w:r>
          </w:p>
        </w:tc>
      </w:tr>
    </w:tbl>
    <w:p w:rsidR="005B67BF" w:rsidRDefault="005B67BF" w:rsidP="005B67BF">
      <w:pPr>
        <w:pStyle w:val="Maptitle"/>
        <w:spacing w:after="100"/>
        <w:ind w:firstLine="432"/>
        <w:jc w:val="left"/>
        <w:rPr>
          <w:rFonts w:ascii="Garamond" w:hAnsi="Garamond"/>
          <w:b w:val="0"/>
          <w:sz w:val="24"/>
        </w:rPr>
      </w:pPr>
    </w:p>
    <w:p w:rsidR="005B67BF" w:rsidRDefault="005B67BF" w:rsidP="005B67BF">
      <w:r w:rsidRPr="007B7713">
        <w:t xml:space="preserve">In the meantime, </w:t>
      </w:r>
      <w:r>
        <w:t xml:space="preserve">an attractive of </w:t>
      </w:r>
      <w:r w:rsidRPr="007B7713">
        <w:t>toll road construction will also be a ma</w:t>
      </w:r>
      <w:r w:rsidRPr="007B7713">
        <w:t>g</w:t>
      </w:r>
      <w:r w:rsidRPr="007B7713">
        <w:t>net for a number of investors to invest in the surrounding</w:t>
      </w:r>
      <w:r>
        <w:t xml:space="preserve"> areas, which is not only a single corporate (like PT Bakrie Group), but also various outsiders even foreign investors. </w:t>
      </w:r>
      <w:r w:rsidRPr="007B7713">
        <w:t xml:space="preserve">Compounded by scheme of establishment of KPIs in </w:t>
      </w:r>
      <w:r>
        <w:t xml:space="preserve">JEC, </w:t>
      </w:r>
      <w:r w:rsidRPr="007B7713">
        <w:t xml:space="preserve">the </w:t>
      </w:r>
      <w:r>
        <w:t xml:space="preserve">land </w:t>
      </w:r>
      <w:r w:rsidRPr="007B7713">
        <w:t>concentration would be expected to further concentrate to investors in the name of economic development</w:t>
      </w:r>
      <w:r>
        <w:t xml:space="preserve">. </w:t>
      </w:r>
      <w:r w:rsidRPr="007B7713">
        <w:t>Many examples of the construction of toll road to be followed by a number of factories, housing, or other recre</w:t>
      </w:r>
      <w:r w:rsidRPr="007B7713">
        <w:t>a</w:t>
      </w:r>
      <w:r w:rsidRPr="007B7713">
        <w:t>tional facilities</w:t>
      </w:r>
      <w:r>
        <w:t xml:space="preserve"> constructions a</w:t>
      </w:r>
      <w:r w:rsidRPr="007C1512">
        <w:t xml:space="preserve">nd pressures </w:t>
      </w:r>
      <w:r>
        <w:t xml:space="preserve">of </w:t>
      </w:r>
      <w:r w:rsidRPr="007C1512">
        <w:t>infrastructure improvements will continue to be sustained while the government budget is inadequate</w:t>
      </w:r>
      <w:r>
        <w:t xml:space="preserve">. </w:t>
      </w:r>
      <w:r w:rsidRPr="007C1512">
        <w:t>PPP is a way out and deserves to be executed</w:t>
      </w:r>
      <w:r>
        <w:t xml:space="preserve"> </w:t>
      </w:r>
      <w:r w:rsidRPr="007C1512">
        <w:t>the result is a long-term control in the hands of private sectors</w:t>
      </w:r>
      <w:r>
        <w:t xml:space="preserve">, </w:t>
      </w:r>
      <w:r w:rsidRPr="007C1512">
        <w:t>while the primary purpose of a business group that is getting surplus from investment activities</w:t>
      </w:r>
      <w:r>
        <w:t xml:space="preserve">, even </w:t>
      </w:r>
      <w:r w:rsidRPr="007C1512">
        <w:t>investment in the construction of public facilities such as road transport</w:t>
      </w:r>
      <w:r>
        <w:t>.</w:t>
      </w:r>
    </w:p>
    <w:p w:rsidR="001410DD" w:rsidRDefault="005B67BF" w:rsidP="005B67BF">
      <w:pPr>
        <w:ind w:firstLine="450"/>
      </w:pPr>
      <w:r w:rsidRPr="005B67BF">
        <w:t>In conclusion, the development of infrastructure through the framework of economic corridors is one way to the consolidation of a number of deve</w:t>
      </w:r>
      <w:r w:rsidRPr="005B67BF">
        <w:t>l</w:t>
      </w:r>
      <w:r w:rsidRPr="005B67BF">
        <w:t xml:space="preserve">opment projects that will run and at the same time open up new opportunities to new projects. In other words, </w:t>
      </w:r>
      <w:r w:rsidR="002F7669">
        <w:t xml:space="preserve">JEC </w:t>
      </w:r>
      <w:r w:rsidRPr="005B67BF">
        <w:t xml:space="preserve">has opened the widest activity spaces to </w:t>
      </w:r>
      <w:r w:rsidRPr="005B67BF">
        <w:lastRenderedPageBreak/>
        <w:t>economic activities with the support of government authorities to issue a po</w:t>
      </w:r>
      <w:r w:rsidRPr="005B67BF">
        <w:t>l</w:t>
      </w:r>
      <w:r w:rsidRPr="005B67BF">
        <w:t>icy, which actually is intended to solve a number of barriers that previously o</w:t>
      </w:r>
      <w:r w:rsidRPr="005B67BF">
        <w:t>c</w:t>
      </w:r>
      <w:r w:rsidRPr="005B67BF">
        <w:t>curred.</w:t>
      </w:r>
    </w:p>
    <w:p w:rsidR="005B67BF" w:rsidRDefault="005B67BF" w:rsidP="005B67BF">
      <w:pPr>
        <w:pStyle w:val="Heading2"/>
      </w:pPr>
      <w:bookmarkStart w:id="124" w:name="_Toc335596238"/>
      <w:bookmarkStart w:id="125" w:name="_Toc335606092"/>
      <w:bookmarkStart w:id="126" w:name="_Toc340135845"/>
      <w:bookmarkStart w:id="127" w:name="_Toc340497436"/>
      <w:r>
        <w:rPr>
          <w:lang w:val="en-US"/>
        </w:rPr>
        <w:t xml:space="preserve">3.4. </w:t>
      </w:r>
      <w:r w:rsidRPr="00924450">
        <w:rPr>
          <w:lang w:val="en-US"/>
        </w:rPr>
        <w:t>Local People</w:t>
      </w:r>
      <w:r>
        <w:rPr>
          <w:lang w:val="en-US"/>
        </w:rPr>
        <w:t>’s</w:t>
      </w:r>
      <w:r w:rsidRPr="00924450">
        <w:rPr>
          <w:lang w:val="en-US"/>
        </w:rPr>
        <w:t xml:space="preserve"> Dilemma</w:t>
      </w:r>
      <w:bookmarkEnd w:id="124"/>
      <w:bookmarkEnd w:id="125"/>
      <w:bookmarkEnd w:id="126"/>
      <w:bookmarkEnd w:id="127"/>
    </w:p>
    <w:p w:rsidR="005B67BF" w:rsidRDefault="005B67BF" w:rsidP="005B67BF">
      <w:r w:rsidRPr="00FB09BD">
        <w:t xml:space="preserve">Land concentration and then running smoothly in the presence of this </w:t>
      </w:r>
      <w:r w:rsidR="00FD22E6">
        <w:t xml:space="preserve">JEC </w:t>
      </w:r>
      <w:r w:rsidRPr="00FB09BD">
        <w:t>policy,</w:t>
      </w:r>
      <w:r>
        <w:t xml:space="preserve"> </w:t>
      </w:r>
      <w:r w:rsidRPr="00FB09BD">
        <w:t>and will also present a</w:t>
      </w:r>
      <w:r>
        <w:t xml:space="preserve"> wider social exclusion symptom systemat</w:t>
      </w:r>
      <w:r>
        <w:t>i</w:t>
      </w:r>
      <w:r>
        <w:t xml:space="preserve">cally. </w:t>
      </w:r>
      <w:r w:rsidRPr="0004636E">
        <w:t>A symptom of social exclusion is a phenomenon that always follows land concentration</w:t>
      </w:r>
      <w:r>
        <w:t xml:space="preserve">, </w:t>
      </w:r>
      <w:r w:rsidRPr="0004636E">
        <w:t>particularly if the land allocated for large-scale economic activ</w:t>
      </w:r>
      <w:r w:rsidRPr="0004636E">
        <w:t>i</w:t>
      </w:r>
      <w:r w:rsidRPr="0004636E">
        <w:t xml:space="preserve">ties related to the </w:t>
      </w:r>
      <w:r w:rsidR="00BC67A9">
        <w:t xml:space="preserve">agricultural </w:t>
      </w:r>
      <w:r w:rsidRPr="0004636E">
        <w:t>land owned by the people</w:t>
      </w:r>
      <w:r>
        <w:t xml:space="preserve">. </w:t>
      </w:r>
      <w:r w:rsidRPr="0004636E">
        <w:t>Due to e</w:t>
      </w:r>
      <w:r w:rsidRPr="0004636E">
        <w:t>x</w:t>
      </w:r>
      <w:r w:rsidRPr="0004636E">
        <w:t xml:space="preserve">tensive land requirements for mega projects in </w:t>
      </w:r>
      <w:r w:rsidR="00FD22E6">
        <w:t>JEC</w:t>
      </w:r>
      <w:r w:rsidRPr="0004636E">
        <w:t xml:space="preserve">, </w:t>
      </w:r>
      <w:r>
        <w:t xml:space="preserve">invariably </w:t>
      </w:r>
      <w:r w:rsidRPr="0004636E">
        <w:t>promises new jobs for the surrounding community.</w:t>
      </w:r>
      <w:r>
        <w:t xml:space="preserve"> </w:t>
      </w:r>
      <w:r w:rsidRPr="008874DB">
        <w:t>Opportunities to acquire new job by conside</w:t>
      </w:r>
      <w:r w:rsidRPr="008874DB">
        <w:t>r</w:t>
      </w:r>
      <w:r w:rsidRPr="008874DB">
        <w:t>ing the certainty of income every month to engage in existing projects</w:t>
      </w:r>
      <w:r>
        <w:t xml:space="preserve">, </w:t>
      </w:r>
      <w:r w:rsidRPr="008874DB">
        <w:t>be</w:t>
      </w:r>
      <w:r w:rsidR="00E03CEF">
        <w:t>come</w:t>
      </w:r>
      <w:r w:rsidRPr="008874DB">
        <w:t xml:space="preserve"> the best option for the people </w:t>
      </w:r>
      <w:r>
        <w:t xml:space="preserve">rather than cultivating their </w:t>
      </w:r>
      <w:r w:rsidRPr="008874DB">
        <w:t>land with inadequate outcomes</w:t>
      </w:r>
      <w:r>
        <w:t xml:space="preserve">. </w:t>
      </w:r>
      <w:r w:rsidR="00795808">
        <w:t>In</w:t>
      </w:r>
      <w:r w:rsidRPr="008874DB">
        <w:t xml:space="preserve"> many cases, the community </w:t>
      </w:r>
      <w:r w:rsidR="00795808">
        <w:t xml:space="preserve">have </w:t>
      </w:r>
      <w:r w:rsidRPr="008874DB">
        <w:t>welcomed the arrival of inve</w:t>
      </w:r>
      <w:r w:rsidRPr="008874DB">
        <w:t>s</w:t>
      </w:r>
      <w:r w:rsidRPr="008874DB">
        <w:t>tors because of economic reasons or necessity</w:t>
      </w:r>
      <w:r>
        <w:t xml:space="preserve">, </w:t>
      </w:r>
      <w:r w:rsidRPr="008874DB">
        <w:t>and ma</w:t>
      </w:r>
      <w:r w:rsidR="00795808">
        <w:t>de</w:t>
      </w:r>
      <w:r w:rsidRPr="008874DB">
        <w:t xml:space="preserve"> new hope to e</w:t>
      </w:r>
      <w:r w:rsidRPr="008874DB">
        <w:t>n</w:t>
      </w:r>
      <w:r w:rsidRPr="008874DB">
        <w:t xml:space="preserve">gage in any small development projects, </w:t>
      </w:r>
      <w:r>
        <w:t xml:space="preserve">which is </w:t>
      </w:r>
      <w:r w:rsidRPr="008874DB">
        <w:t>on behalf of such develo</w:t>
      </w:r>
      <w:r w:rsidRPr="008874DB">
        <w:t>p</w:t>
      </w:r>
      <w:r w:rsidRPr="008874DB">
        <w:t>ment</w:t>
      </w:r>
      <w:r>
        <w:t xml:space="preserve">. </w:t>
      </w:r>
      <w:r w:rsidRPr="008874DB">
        <w:t xml:space="preserve">For cases like this, that has been happening in Indonesia long before the </w:t>
      </w:r>
      <w:r>
        <w:t xml:space="preserve">MP3EI </w:t>
      </w:r>
      <w:r w:rsidRPr="008874DB">
        <w:t>policy</w:t>
      </w:r>
      <w:r>
        <w:t xml:space="preserve">, which </w:t>
      </w:r>
      <w:r w:rsidRPr="008874DB">
        <w:t>is a symptom in which the people living around co</w:t>
      </w:r>
      <w:r w:rsidRPr="008874DB">
        <w:t>n</w:t>
      </w:r>
      <w:r w:rsidRPr="008874DB">
        <w:t>struction projects will be eroded into the existing flow of investment activities</w:t>
      </w:r>
      <w:r>
        <w:t>,</w:t>
      </w:r>
      <w:r w:rsidRPr="008874DB">
        <w:t xml:space="preserve"> and </w:t>
      </w:r>
      <w:r>
        <w:t>their previous social lives</w:t>
      </w:r>
      <w:r w:rsidRPr="008874DB">
        <w:t xml:space="preserve"> </w:t>
      </w:r>
      <w:r>
        <w:t xml:space="preserve">are </w:t>
      </w:r>
      <w:r w:rsidRPr="008874DB">
        <w:t>left</w:t>
      </w:r>
      <w:r>
        <w:t>. Local p</w:t>
      </w:r>
      <w:r w:rsidRPr="008874DB">
        <w:t>eople not only suffer evictions in the narrow sense</w:t>
      </w:r>
      <w:r>
        <w:t xml:space="preserve">, </w:t>
      </w:r>
      <w:r w:rsidR="00795808">
        <w:t xml:space="preserve">which </w:t>
      </w:r>
      <w:r w:rsidRPr="00534A38">
        <w:t>they had to find another place to live</w:t>
      </w:r>
      <w:r>
        <w:t xml:space="preserve">, </w:t>
      </w:r>
      <w:r w:rsidRPr="00534A38">
        <w:t xml:space="preserve">but it can also occur </w:t>
      </w:r>
      <w:r>
        <w:t xml:space="preserve">evictions </w:t>
      </w:r>
      <w:r w:rsidRPr="00534A38">
        <w:t>in the broadest sense which still has the opportunity to be i</w:t>
      </w:r>
      <w:r w:rsidRPr="00534A38">
        <w:t>n</w:t>
      </w:r>
      <w:r w:rsidRPr="00534A38">
        <w:t>volved in the activities of existing large-scale investment</w:t>
      </w:r>
      <w:r>
        <w:t xml:space="preserve">. </w:t>
      </w:r>
    </w:p>
    <w:p w:rsidR="005B67BF" w:rsidRDefault="005B67BF" w:rsidP="005B67BF">
      <w:r>
        <w:t>The broadest sense of evictions</w:t>
      </w:r>
      <w:r w:rsidR="00795808">
        <w:t xml:space="preserve"> can be caused by various power;</w:t>
      </w:r>
      <w:r>
        <w:t xml:space="preserve"> </w:t>
      </w:r>
      <w:r w:rsidRPr="00534A38">
        <w:t xml:space="preserve">capital strength and power, and buying and selling </w:t>
      </w:r>
      <w:r w:rsidR="00795808">
        <w:t xml:space="preserve">in a </w:t>
      </w:r>
      <w:r w:rsidRPr="00534A38">
        <w:t>land speculation that occurred in the middle of the rapid flow of investment</w:t>
      </w:r>
      <w:r>
        <w:t>. Such as a ‘Land</w:t>
      </w:r>
      <w:r w:rsidR="00795808">
        <w:t>-</w:t>
      </w:r>
      <w:r>
        <w:t>Lord Consolid</w:t>
      </w:r>
      <w:r>
        <w:t>a</w:t>
      </w:r>
      <w:r>
        <w:t xml:space="preserve">tion’ that offered by PT </w:t>
      </w:r>
      <w:r w:rsidRPr="00B168AD">
        <w:rPr>
          <w:i/>
        </w:rPr>
        <w:t>Bakrieland</w:t>
      </w:r>
      <w:r>
        <w:t xml:space="preserve"> Development </w:t>
      </w:r>
      <w:r w:rsidRPr="00534A38">
        <w:t>in an effort to get land ta</w:t>
      </w:r>
      <w:r w:rsidRPr="00534A38">
        <w:t>r</w:t>
      </w:r>
      <w:r w:rsidRPr="00534A38">
        <w:t>geted for toll road construction</w:t>
      </w:r>
      <w:r>
        <w:t xml:space="preserve"> (Box 3.2.). </w:t>
      </w:r>
      <w:r w:rsidRPr="00534A38">
        <w:t xml:space="preserve">On the one hand, this scheme will provide </w:t>
      </w:r>
      <w:r>
        <w:t xml:space="preserve">a </w:t>
      </w:r>
      <w:r w:rsidRPr="00534A38">
        <w:t xml:space="preserve">convenience for both the company and the </w:t>
      </w:r>
      <w:r w:rsidR="00795808">
        <w:t>land</w:t>
      </w:r>
      <w:r w:rsidRPr="00534A38">
        <w:t>owner</w:t>
      </w:r>
      <w:r>
        <w:t xml:space="preserve">, because </w:t>
      </w:r>
      <w:r w:rsidRPr="00534A38">
        <w:t>r</w:t>
      </w:r>
      <w:r w:rsidRPr="00534A38">
        <w:t>e</w:t>
      </w:r>
      <w:r w:rsidRPr="00534A38">
        <w:t xml:space="preserve">settlement as well as employment opportunities </w:t>
      </w:r>
      <w:r>
        <w:t xml:space="preserve">offered </w:t>
      </w:r>
      <w:r w:rsidRPr="00534A38">
        <w:t xml:space="preserve">for local people in the </w:t>
      </w:r>
      <w:r>
        <w:t xml:space="preserve">tourism </w:t>
      </w:r>
      <w:r w:rsidRPr="00534A38">
        <w:t>project area will be running at the same time</w:t>
      </w:r>
      <w:r>
        <w:t xml:space="preserve">. The need of </w:t>
      </w:r>
      <w:r w:rsidR="00795808">
        <w:t>labour</w:t>
      </w:r>
      <w:r w:rsidRPr="00F431A1">
        <w:t xml:space="preserve"> will be met immediately</w:t>
      </w:r>
      <w:r>
        <w:t xml:space="preserve">. </w:t>
      </w:r>
      <w:r w:rsidRPr="00F431A1">
        <w:t>On the other hand, land speculation practices occur b</w:t>
      </w:r>
      <w:r w:rsidRPr="00F431A1">
        <w:t>e</w:t>
      </w:r>
      <w:r w:rsidRPr="00F431A1">
        <w:t xml:space="preserve">cause local elites will be </w:t>
      </w:r>
      <w:r>
        <w:t xml:space="preserve">an </w:t>
      </w:r>
      <w:r w:rsidRPr="00F431A1">
        <w:t xml:space="preserve">intermediary in </w:t>
      </w:r>
      <w:r w:rsidR="00795808">
        <w:t>order to run</w:t>
      </w:r>
      <w:r w:rsidRPr="00F431A1">
        <w:t xml:space="preserve"> the scheme</w:t>
      </w:r>
      <w:r>
        <w:t xml:space="preserve">. When this happens, </w:t>
      </w:r>
      <w:r w:rsidRPr="00F431A1">
        <w:t>communities will experience doubled dependence</w:t>
      </w:r>
      <w:r>
        <w:t xml:space="preserve">, </w:t>
      </w:r>
      <w:r w:rsidRPr="00F431A1">
        <w:t>namely</w:t>
      </w:r>
      <w:r>
        <w:t>,</w:t>
      </w:r>
      <w:r w:rsidRPr="00F431A1">
        <w:t xml:space="preserve"> rel</w:t>
      </w:r>
      <w:r w:rsidRPr="00F431A1">
        <w:t>i</w:t>
      </w:r>
      <w:r w:rsidRPr="00F431A1">
        <w:t xml:space="preserve">ance on PT </w:t>
      </w:r>
      <w:r w:rsidRPr="00B168AD">
        <w:rPr>
          <w:i/>
        </w:rPr>
        <w:t>Bakrieland</w:t>
      </w:r>
      <w:r w:rsidRPr="00F431A1">
        <w:t xml:space="preserve"> </w:t>
      </w:r>
      <w:r>
        <w:t xml:space="preserve">Development </w:t>
      </w:r>
      <w:r w:rsidRPr="00F431A1">
        <w:t>and on local elites</w:t>
      </w:r>
      <w:r>
        <w:t xml:space="preserve">. </w:t>
      </w:r>
    </w:p>
    <w:p w:rsidR="005B67BF" w:rsidRDefault="005B67BF" w:rsidP="005B67BF">
      <w:pPr>
        <w:pStyle w:val="Maptitle"/>
        <w:spacing w:after="100"/>
        <w:ind w:firstLine="432"/>
        <w:jc w:val="both"/>
        <w:rPr>
          <w:rFonts w:ascii="Garamond" w:hAnsi="Garamond"/>
          <w:b w:val="0"/>
          <w:sz w:val="24"/>
        </w:rPr>
      </w:pPr>
      <w:bookmarkStart w:id="128" w:name="_Toc340436341"/>
      <w:r w:rsidRPr="00924450">
        <w:rPr>
          <w:rFonts w:ascii="Garamond" w:hAnsi="Garamond"/>
          <w:b w:val="0"/>
          <w:sz w:val="24"/>
        </w:rPr>
        <w:t>The behaviour of local elites turned into speculators because they have a lot of information from the company. Important information owned is how the company will provide a facility for the whole gr</w:t>
      </w:r>
      <w:r w:rsidR="00795808">
        <w:rPr>
          <w:rFonts w:ascii="Garamond" w:hAnsi="Garamond"/>
          <w:b w:val="0"/>
          <w:sz w:val="24"/>
        </w:rPr>
        <w:t>oup to be involved in the ‘Land-</w:t>
      </w:r>
      <w:r w:rsidRPr="00924450">
        <w:rPr>
          <w:rFonts w:ascii="Garamond" w:hAnsi="Garamond"/>
          <w:b w:val="0"/>
          <w:sz w:val="24"/>
        </w:rPr>
        <w:t xml:space="preserve">Lord Consolidation’ scheme. For local people, the certainty of getting compensation is the main thing, because it is, by not realizing it, they will give a fully expectation through the local elite, </w:t>
      </w:r>
      <w:r w:rsidR="00795808">
        <w:rPr>
          <w:rFonts w:ascii="Garamond" w:hAnsi="Garamond"/>
          <w:b w:val="0"/>
          <w:sz w:val="24"/>
        </w:rPr>
        <w:t xml:space="preserve">because they have all information that has been given by </w:t>
      </w:r>
      <w:r w:rsidRPr="00924450">
        <w:rPr>
          <w:rFonts w:ascii="Garamond" w:hAnsi="Garamond"/>
          <w:b w:val="0"/>
          <w:sz w:val="24"/>
        </w:rPr>
        <w:t xml:space="preserve">the company. It is </w:t>
      </w:r>
      <w:r w:rsidR="00795808">
        <w:rPr>
          <w:rFonts w:ascii="Garamond" w:hAnsi="Garamond"/>
          <w:b w:val="0"/>
          <w:sz w:val="24"/>
        </w:rPr>
        <w:t xml:space="preserve">possibly </w:t>
      </w:r>
      <w:r w:rsidRPr="00924450">
        <w:rPr>
          <w:rFonts w:ascii="Garamond" w:hAnsi="Garamond"/>
          <w:b w:val="0"/>
          <w:sz w:val="24"/>
        </w:rPr>
        <w:t>assumed that occur an equal deali</w:t>
      </w:r>
      <w:r w:rsidR="00795808">
        <w:rPr>
          <w:rFonts w:ascii="Garamond" w:hAnsi="Garamond"/>
          <w:b w:val="0"/>
          <w:sz w:val="24"/>
        </w:rPr>
        <w:t xml:space="preserve">ng for all members of the group. Unfortunately, </w:t>
      </w:r>
      <w:r w:rsidRPr="00924450">
        <w:rPr>
          <w:rFonts w:ascii="Garamond" w:hAnsi="Garamond"/>
          <w:b w:val="0"/>
          <w:sz w:val="24"/>
        </w:rPr>
        <w:t>the character of the local elite is more deserved as a middle man in many cases, rather than as local leaders. Thus, the abuses often exist in the hands of local elites, who plays the middle man</w:t>
      </w:r>
      <w:r w:rsidR="00795808">
        <w:rPr>
          <w:rFonts w:ascii="Garamond" w:hAnsi="Garamond"/>
          <w:b w:val="0"/>
          <w:sz w:val="24"/>
        </w:rPr>
        <w:t>’s character</w:t>
      </w:r>
      <w:r w:rsidRPr="00924450">
        <w:rPr>
          <w:rFonts w:ascii="Garamond" w:hAnsi="Garamond"/>
          <w:b w:val="0"/>
          <w:sz w:val="24"/>
        </w:rPr>
        <w:t xml:space="preserve"> for its residents, as well as the character of business who just see the agrarian sources, such as a land, and human resources, as a capital that should be circulated and generate surpluses.</w:t>
      </w:r>
      <w:bookmarkEnd w:id="128"/>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78"/>
      </w:tblGrid>
      <w:tr w:rsidR="005B67BF" w:rsidRPr="006036E6" w:rsidTr="005B67BF">
        <w:trPr>
          <w:trHeight w:val="350"/>
        </w:trPr>
        <w:tc>
          <w:tcPr>
            <w:tcW w:w="6578" w:type="dxa"/>
          </w:tcPr>
          <w:p w:rsidR="005B67BF" w:rsidRPr="00924450" w:rsidRDefault="005B67BF" w:rsidP="005B67BF">
            <w:pPr>
              <w:jc w:val="center"/>
              <w:rPr>
                <w:rFonts w:ascii="Arial" w:hAnsi="Arial" w:cs="Arial"/>
                <w:b/>
              </w:rPr>
            </w:pPr>
            <w:r w:rsidRPr="00924450">
              <w:rPr>
                <w:rFonts w:ascii="Arial" w:hAnsi="Arial" w:cs="Arial"/>
                <w:b/>
              </w:rPr>
              <w:lastRenderedPageBreak/>
              <w:t>Box 3.2.</w:t>
            </w:r>
          </w:p>
          <w:p w:rsidR="005B67BF" w:rsidRPr="00924450" w:rsidRDefault="005B67BF" w:rsidP="005B67BF">
            <w:pPr>
              <w:jc w:val="center"/>
              <w:rPr>
                <w:rFonts w:ascii="Arial" w:hAnsi="Arial" w:cs="Arial"/>
                <w:b/>
                <w:sz w:val="20"/>
              </w:rPr>
            </w:pPr>
            <w:r w:rsidRPr="00924450">
              <w:rPr>
                <w:rFonts w:ascii="Arial" w:hAnsi="Arial" w:cs="Arial"/>
                <w:b/>
                <w:sz w:val="20"/>
              </w:rPr>
              <w:t xml:space="preserve">PT </w:t>
            </w:r>
            <w:r w:rsidRPr="00B168AD">
              <w:rPr>
                <w:rFonts w:ascii="Arial" w:hAnsi="Arial" w:cs="Arial"/>
                <w:b/>
                <w:i/>
                <w:sz w:val="20"/>
              </w:rPr>
              <w:t>Bakrieland</w:t>
            </w:r>
            <w:r w:rsidRPr="00924450">
              <w:rPr>
                <w:rFonts w:ascii="Arial" w:hAnsi="Arial" w:cs="Arial"/>
                <w:b/>
                <w:sz w:val="20"/>
              </w:rPr>
              <w:t xml:space="preserve"> Development and </w:t>
            </w:r>
            <w:r w:rsidR="00FD22E6" w:rsidRPr="00924450">
              <w:rPr>
                <w:rFonts w:ascii="Arial" w:hAnsi="Arial" w:cs="Arial"/>
                <w:b/>
                <w:sz w:val="20"/>
              </w:rPr>
              <w:t>Labour</w:t>
            </w:r>
            <w:r w:rsidRPr="00924450">
              <w:rPr>
                <w:rFonts w:ascii="Arial" w:hAnsi="Arial" w:cs="Arial"/>
                <w:b/>
                <w:sz w:val="20"/>
              </w:rPr>
              <w:t xml:space="preserve"> Absorption Scheme</w:t>
            </w:r>
          </w:p>
          <w:p w:rsidR="005B67BF" w:rsidRDefault="005B67BF" w:rsidP="005B67BF">
            <w:pPr>
              <w:rPr>
                <w:rFonts w:ascii="Arial" w:hAnsi="Arial" w:cs="Arial"/>
                <w:sz w:val="18"/>
              </w:rPr>
            </w:pPr>
            <w:r w:rsidRPr="00924450">
              <w:rPr>
                <w:rFonts w:ascii="Arial" w:hAnsi="Arial" w:cs="Arial"/>
                <w:sz w:val="18"/>
              </w:rPr>
              <w:t xml:space="preserve">PT </w:t>
            </w:r>
            <w:r w:rsidRPr="00B168AD">
              <w:rPr>
                <w:rFonts w:ascii="Arial" w:hAnsi="Arial" w:cs="Arial"/>
                <w:i/>
                <w:sz w:val="18"/>
              </w:rPr>
              <w:t>Bakrieland</w:t>
            </w:r>
            <w:r w:rsidRPr="00924450">
              <w:rPr>
                <w:rFonts w:ascii="Arial" w:hAnsi="Arial" w:cs="Arial"/>
                <w:sz w:val="18"/>
              </w:rPr>
              <w:t xml:space="preserve"> Development in the area of ​​Bogor and Sukabumi has pr</w:t>
            </w:r>
            <w:r w:rsidRPr="00924450">
              <w:rPr>
                <w:rFonts w:ascii="Arial" w:hAnsi="Arial" w:cs="Arial"/>
                <w:sz w:val="18"/>
              </w:rPr>
              <w:t>e</w:t>
            </w:r>
            <w:r w:rsidRPr="00924450">
              <w:rPr>
                <w:rFonts w:ascii="Arial" w:hAnsi="Arial" w:cs="Arial"/>
                <w:sz w:val="18"/>
              </w:rPr>
              <w:t>pared a scheme to involve the people and do not do evictions of local people. It has become part of the work plan that has prepared since the beginning of the two project plans. In particular toll road construction, the administrator arranges two schemes to local people who are their houses’ areas included in the toll road project, firstly, ‘land clearing’ through giving them a compensation, and secondly, land clearing with ‘land lord consolidation’ scheme, which local pe</w:t>
            </w:r>
            <w:r w:rsidRPr="00924450">
              <w:rPr>
                <w:rFonts w:ascii="Arial" w:hAnsi="Arial" w:cs="Arial"/>
                <w:sz w:val="18"/>
              </w:rPr>
              <w:t>o</w:t>
            </w:r>
            <w:r w:rsidRPr="00924450">
              <w:rPr>
                <w:rFonts w:ascii="Arial" w:hAnsi="Arial" w:cs="Arial"/>
                <w:sz w:val="18"/>
              </w:rPr>
              <w:t xml:space="preserve">ple who own the land are communally offered a new location that integrated to tourism area that will be built. The second option appears with consideration to the local people are no longer difficult to find a new location for a settlement and also have jobs opportunity in the tourist area to be constructed. To carry out this scheme, PT TJT will work with tourism development administrators, PT </w:t>
            </w:r>
            <w:r w:rsidRPr="00B168AD">
              <w:rPr>
                <w:rFonts w:ascii="Arial" w:hAnsi="Arial" w:cs="Arial"/>
                <w:i/>
                <w:sz w:val="18"/>
              </w:rPr>
              <w:t>Bakrieland</w:t>
            </w:r>
            <w:r w:rsidRPr="00924450">
              <w:rPr>
                <w:rFonts w:ascii="Arial" w:hAnsi="Arial" w:cs="Arial"/>
                <w:sz w:val="18"/>
              </w:rPr>
              <w:t xml:space="preserve"> Development.</w:t>
            </w:r>
          </w:p>
          <w:p w:rsidR="005B67BF" w:rsidRPr="00924450" w:rsidRDefault="005B67BF" w:rsidP="005B67BF">
            <w:pPr>
              <w:spacing w:before="240"/>
              <w:rPr>
                <w:rFonts w:ascii="Arial" w:hAnsi="Arial" w:cs="Arial"/>
                <w:i/>
              </w:rPr>
            </w:pPr>
            <w:r w:rsidRPr="00924450">
              <w:rPr>
                <w:rFonts w:ascii="Arial" w:hAnsi="Arial" w:cs="Arial"/>
                <w:i/>
                <w:sz w:val="18"/>
              </w:rPr>
              <w:t xml:space="preserve">Source: </w:t>
            </w:r>
            <w:hyperlink r:id="rId21" w:history="1">
              <w:r w:rsidRPr="00924450">
                <w:rPr>
                  <w:rStyle w:val="Hyperlink"/>
                  <w:rFonts w:ascii="Arial" w:hAnsi="Arial" w:cs="Arial"/>
                  <w:i/>
                  <w:sz w:val="16"/>
                  <w:szCs w:val="18"/>
                </w:rPr>
                <w:t>http://www.inilahjabar.com/read/detail/1808672/pembangunan-tol-ciawi-sukabumi-dipercepat</w:t>
              </w:r>
            </w:hyperlink>
            <w:r w:rsidRPr="00924450">
              <w:rPr>
                <w:rFonts w:ascii="Arial" w:hAnsi="Arial" w:cs="Arial"/>
                <w:i/>
                <w:sz w:val="16"/>
                <w:szCs w:val="18"/>
              </w:rPr>
              <w:t>, accessed on September 6, 2012</w:t>
            </w:r>
          </w:p>
        </w:tc>
      </w:tr>
    </w:tbl>
    <w:p w:rsidR="005B67BF" w:rsidRPr="00924450" w:rsidRDefault="005B67BF" w:rsidP="005B67BF">
      <w:pPr>
        <w:pStyle w:val="Maptitle"/>
        <w:spacing w:after="100"/>
        <w:ind w:firstLine="432"/>
        <w:jc w:val="both"/>
        <w:rPr>
          <w:rFonts w:ascii="Garamond" w:hAnsi="Garamond"/>
          <w:b w:val="0"/>
          <w:sz w:val="24"/>
        </w:rPr>
      </w:pPr>
    </w:p>
    <w:p w:rsidR="005B67BF" w:rsidRDefault="005B67BF" w:rsidP="005B67BF">
      <w:r w:rsidRPr="007A43E8">
        <w:t>Unlike the cases of land evictions and people' displacement over the area that has the potential</w:t>
      </w:r>
      <w:r>
        <w:t xml:space="preserve"> of mining and gas in Indonesia,</w:t>
      </w:r>
      <w:r w:rsidRPr="007A43E8">
        <w:t xml:space="preserve"> </w:t>
      </w:r>
      <w:r>
        <w:t>p</w:t>
      </w:r>
      <w:r w:rsidRPr="007A43E8">
        <w:t xml:space="preserve">olicies </w:t>
      </w:r>
      <w:r w:rsidR="00001746">
        <w:t xml:space="preserve">will be as a causes of </w:t>
      </w:r>
      <w:r w:rsidRPr="007A43E8">
        <w:t>people exclusion</w:t>
      </w:r>
      <w:r w:rsidR="00001746">
        <w:t xml:space="preserve">. The mining policy allows excluding the people with </w:t>
      </w:r>
      <w:r w:rsidRPr="007A43E8">
        <w:t xml:space="preserve">a legitimacy of the value certain mining sources to the national economy and the scarcity of it in the world. Both are legitimate reasons that will strengthen the efforts of displacement of a number </w:t>
      </w:r>
      <w:r>
        <w:t xml:space="preserve">of </w:t>
      </w:r>
      <w:r w:rsidRPr="007A43E8">
        <w:t>local people to other locations</w:t>
      </w:r>
      <w:r>
        <w:t>,</w:t>
      </w:r>
      <w:r w:rsidRPr="007A43E8">
        <w:t xml:space="preserve"> or they are simply given a compensation for their land and cu</w:t>
      </w:r>
      <w:r w:rsidRPr="007A43E8">
        <w:t>l</w:t>
      </w:r>
      <w:r w:rsidRPr="007A43E8">
        <w:t>tivated fields.</w:t>
      </w:r>
    </w:p>
    <w:p w:rsidR="005B67BF" w:rsidRPr="00924450" w:rsidRDefault="005B67BF" w:rsidP="005B67BF">
      <w:pPr>
        <w:pStyle w:val="Maptitle"/>
        <w:spacing w:after="100"/>
        <w:ind w:firstLine="432"/>
        <w:jc w:val="both"/>
        <w:rPr>
          <w:rFonts w:ascii="Garamond" w:hAnsi="Garamond"/>
          <w:b w:val="0"/>
          <w:sz w:val="24"/>
        </w:rPr>
      </w:pPr>
      <w:bookmarkStart w:id="129" w:name="_Toc340436342"/>
      <w:r w:rsidRPr="00924450">
        <w:rPr>
          <w:rFonts w:ascii="Garamond" w:hAnsi="Garamond"/>
          <w:b w:val="0"/>
          <w:sz w:val="24"/>
        </w:rPr>
        <w:t xml:space="preserve">Land's requirements for oil and gas sector are not only in </w:t>
      </w:r>
      <w:r w:rsidR="00001746">
        <w:rPr>
          <w:rFonts w:ascii="Garamond" w:hAnsi="Garamond"/>
          <w:b w:val="0"/>
          <w:sz w:val="24"/>
        </w:rPr>
        <w:t xml:space="preserve">the </w:t>
      </w:r>
      <w:r w:rsidRPr="00924450">
        <w:rPr>
          <w:rFonts w:ascii="Garamond" w:hAnsi="Garamond"/>
          <w:b w:val="0"/>
          <w:sz w:val="24"/>
        </w:rPr>
        <w:t xml:space="preserve">entire location that having a source of oil and gas, but also in surrounding areas that possibly finding a new point to be explored and exploited. Because of that, concessions granted by the government to the business entities for mining, as illustrated in Box 3.3., </w:t>
      </w:r>
      <w:r w:rsidR="00001746">
        <w:rPr>
          <w:rFonts w:ascii="Garamond" w:hAnsi="Garamond"/>
          <w:b w:val="0"/>
          <w:sz w:val="24"/>
        </w:rPr>
        <w:t xml:space="preserve">is </w:t>
      </w:r>
      <w:r w:rsidRPr="00924450">
        <w:rPr>
          <w:rFonts w:ascii="Garamond" w:hAnsi="Garamond"/>
          <w:b w:val="0"/>
          <w:sz w:val="24"/>
        </w:rPr>
        <w:t xml:space="preserve">a wide area </w:t>
      </w:r>
      <w:r w:rsidR="00001746">
        <w:rPr>
          <w:rFonts w:ascii="Garamond" w:hAnsi="Garamond"/>
          <w:b w:val="0"/>
          <w:sz w:val="24"/>
        </w:rPr>
        <w:t xml:space="preserve">that </w:t>
      </w:r>
      <w:r w:rsidRPr="00924450">
        <w:rPr>
          <w:rFonts w:ascii="Garamond" w:hAnsi="Garamond"/>
          <w:b w:val="0"/>
          <w:sz w:val="24"/>
        </w:rPr>
        <w:t>can be across several districts even across provincial boundaries. And for the value-added oil and gas production, the government will also provide new concessions for a plot of land reserved for processing activities. Based on law and regulation provided, the legitimacy of economic development through oil and gas production will deny the existence of local communities, which should also be subject to these regulations</w:t>
      </w:r>
      <w:r w:rsidR="00001746">
        <w:rPr>
          <w:rStyle w:val="FootnoteReference"/>
          <w:b w:val="0"/>
        </w:rPr>
        <w:footnoteReference w:id="38"/>
      </w:r>
      <w:r w:rsidRPr="00924450">
        <w:rPr>
          <w:rFonts w:ascii="Garamond" w:hAnsi="Garamond"/>
          <w:b w:val="0"/>
          <w:sz w:val="24"/>
        </w:rPr>
        <w:t>, i.e. should accept the existing mechanisms for relocation or compensation.</w:t>
      </w:r>
      <w:bookmarkEnd w:id="129"/>
    </w:p>
    <w:p w:rsidR="005B67BF" w:rsidRDefault="005B67BF" w:rsidP="005B67BF">
      <w:pPr>
        <w:pStyle w:val="Maptitle"/>
        <w:spacing w:after="100"/>
        <w:ind w:firstLine="432"/>
        <w:jc w:val="left"/>
        <w:rPr>
          <w:rFonts w:ascii="Garamond" w:hAnsi="Garamond"/>
          <w:b w:val="0"/>
          <w:sz w:val="24"/>
        </w:rPr>
      </w:pPr>
    </w:p>
    <w:p w:rsidR="007A2022" w:rsidRDefault="007A2022" w:rsidP="005B67BF">
      <w:pPr>
        <w:pStyle w:val="Maptitle"/>
        <w:spacing w:after="100"/>
        <w:ind w:firstLine="432"/>
        <w:jc w:val="left"/>
        <w:rPr>
          <w:rFonts w:ascii="Garamond" w:hAnsi="Garamond"/>
          <w:b w:val="0"/>
          <w:sz w:val="24"/>
        </w:rPr>
      </w:pPr>
    </w:p>
    <w:p w:rsidR="007A2022" w:rsidRDefault="007A2022" w:rsidP="005B67BF">
      <w:pPr>
        <w:pStyle w:val="Maptitle"/>
        <w:spacing w:after="100"/>
        <w:ind w:firstLine="432"/>
        <w:jc w:val="left"/>
        <w:rPr>
          <w:rFonts w:ascii="Garamond" w:hAnsi="Garamond"/>
          <w:b w:val="0"/>
          <w:sz w:val="24"/>
        </w:rPr>
      </w:pPr>
    </w:p>
    <w:p w:rsidR="007A2022" w:rsidRDefault="007A2022" w:rsidP="005B67BF">
      <w:pPr>
        <w:pStyle w:val="Maptitle"/>
        <w:spacing w:after="100"/>
        <w:ind w:firstLine="432"/>
        <w:jc w:val="left"/>
        <w:rPr>
          <w:rFonts w:ascii="Garamond" w:hAnsi="Garamond"/>
          <w:b w:val="0"/>
          <w:sz w:val="24"/>
        </w:rPr>
      </w:pPr>
    </w:p>
    <w:p w:rsidR="007A2022" w:rsidRDefault="007A2022" w:rsidP="005B67BF">
      <w:pPr>
        <w:pStyle w:val="Maptitle"/>
        <w:spacing w:after="100"/>
        <w:ind w:firstLine="432"/>
        <w:jc w:val="left"/>
        <w:rPr>
          <w:rFonts w:ascii="Garamond" w:hAnsi="Garamond"/>
          <w:b w:val="0"/>
          <w:sz w:val="24"/>
        </w:rPr>
      </w:pPr>
    </w:p>
    <w:p w:rsidR="007A2022" w:rsidRDefault="007A2022" w:rsidP="005B67BF">
      <w:pPr>
        <w:pStyle w:val="Maptitle"/>
        <w:spacing w:after="100"/>
        <w:ind w:firstLine="432"/>
        <w:jc w:val="left"/>
        <w:rPr>
          <w:rFonts w:ascii="Garamond" w:hAnsi="Garamond"/>
          <w:b w:val="0"/>
          <w:sz w:val="24"/>
        </w:rPr>
      </w:pPr>
    </w:p>
    <w:p w:rsidR="007A2022" w:rsidRDefault="007A2022" w:rsidP="005B67BF">
      <w:pPr>
        <w:pStyle w:val="Maptitle"/>
        <w:spacing w:after="100"/>
        <w:ind w:firstLine="432"/>
        <w:jc w:val="left"/>
        <w:rPr>
          <w:rFonts w:ascii="Garamond" w:hAnsi="Garamond"/>
          <w:b w:val="0"/>
          <w:sz w:val="24"/>
        </w:rPr>
      </w:pPr>
    </w:p>
    <w:p w:rsidR="007A2022" w:rsidRDefault="007A2022" w:rsidP="005B67BF">
      <w:pPr>
        <w:pStyle w:val="Maptitle"/>
        <w:spacing w:after="100"/>
        <w:ind w:firstLine="432"/>
        <w:jc w:val="left"/>
        <w:rPr>
          <w:rFonts w:ascii="Garamond" w:hAnsi="Garamond"/>
          <w:b w:val="0"/>
          <w:sz w:val="24"/>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78"/>
      </w:tblGrid>
      <w:tr w:rsidR="005B67BF" w:rsidRPr="006036E6" w:rsidTr="005B67BF">
        <w:tc>
          <w:tcPr>
            <w:tcW w:w="6578" w:type="dxa"/>
          </w:tcPr>
          <w:p w:rsidR="005B67BF" w:rsidRPr="00924450" w:rsidRDefault="005B67BF" w:rsidP="005B67BF">
            <w:pPr>
              <w:jc w:val="center"/>
              <w:rPr>
                <w:rFonts w:ascii="Arial" w:hAnsi="Arial" w:cs="Arial"/>
                <w:b/>
                <w:sz w:val="20"/>
              </w:rPr>
            </w:pPr>
            <w:r w:rsidRPr="00924450">
              <w:rPr>
                <w:rFonts w:ascii="Arial" w:hAnsi="Arial" w:cs="Arial"/>
                <w:b/>
              </w:rPr>
              <w:lastRenderedPageBreak/>
              <w:t>Box 3.3.</w:t>
            </w:r>
          </w:p>
          <w:p w:rsidR="005B67BF" w:rsidRPr="00924450" w:rsidRDefault="005B67BF" w:rsidP="005B67BF">
            <w:pPr>
              <w:jc w:val="center"/>
              <w:rPr>
                <w:rFonts w:ascii="Arial" w:hAnsi="Arial" w:cs="Arial"/>
                <w:b/>
                <w:sz w:val="20"/>
              </w:rPr>
            </w:pPr>
            <w:r w:rsidRPr="00924450">
              <w:rPr>
                <w:rFonts w:ascii="Arial" w:hAnsi="Arial" w:cs="Arial"/>
                <w:b/>
                <w:sz w:val="20"/>
              </w:rPr>
              <w:t>Blok Cepu, East Java</w:t>
            </w:r>
          </w:p>
          <w:p w:rsidR="005B67BF" w:rsidRPr="00924450" w:rsidRDefault="005B67BF" w:rsidP="005B67BF">
            <w:pPr>
              <w:spacing w:after="120"/>
              <w:rPr>
                <w:rFonts w:ascii="Arial" w:hAnsi="Arial" w:cs="Arial"/>
                <w:sz w:val="18"/>
              </w:rPr>
            </w:pPr>
            <w:r w:rsidRPr="00924450">
              <w:rPr>
                <w:rFonts w:ascii="Arial" w:hAnsi="Arial" w:cs="Arial"/>
                <w:sz w:val="18"/>
              </w:rPr>
              <w:t xml:space="preserve">Blok </w:t>
            </w:r>
            <w:r w:rsidRPr="00B168AD">
              <w:rPr>
                <w:rFonts w:ascii="Arial" w:hAnsi="Arial" w:cs="Arial"/>
                <w:i/>
                <w:sz w:val="18"/>
              </w:rPr>
              <w:t>Cepu</w:t>
            </w:r>
            <w:r w:rsidRPr="00924450">
              <w:rPr>
                <w:rFonts w:ascii="Arial" w:hAnsi="Arial" w:cs="Arial"/>
                <w:sz w:val="18"/>
              </w:rPr>
              <w:t xml:space="preserve"> as part of North East Java Basin located in the district of Blora, Tuban and Bojonegoro, across two provinces, i.e. Central Java and East Java, covering areas approximately 167 thousand hectares. The first oil discovered was in 1800s and since 1920s has been controlled by foreign company, until now. By time to time, the nodes of explorations have been extracted and in 2001 were found a new potential node to be exploited in other parts of Blok Cepu.</w:t>
            </w:r>
          </w:p>
          <w:p w:rsidR="005B67BF" w:rsidRDefault="005B67BF" w:rsidP="005B67BF">
            <w:pPr>
              <w:rPr>
                <w:rFonts w:ascii="Arial" w:hAnsi="Arial" w:cs="Arial"/>
                <w:sz w:val="20"/>
                <w:szCs w:val="20"/>
              </w:rPr>
            </w:pPr>
            <w:r w:rsidRPr="00924450">
              <w:rPr>
                <w:rFonts w:ascii="Arial" w:hAnsi="Arial" w:cs="Arial"/>
                <w:sz w:val="18"/>
                <w:szCs w:val="20"/>
              </w:rPr>
              <w:t xml:space="preserve">Besides exploitation activities as part of mining activities, </w:t>
            </w:r>
            <w:r w:rsidRPr="00924450">
              <w:rPr>
                <w:rFonts w:ascii="Arial" w:hAnsi="Arial" w:cs="Arial"/>
                <w:i/>
                <w:sz w:val="18"/>
                <w:szCs w:val="20"/>
                <w:lang w:val="id-ID"/>
              </w:rPr>
              <w:t>Central Processing Facility</w:t>
            </w:r>
            <w:r w:rsidRPr="00924450">
              <w:rPr>
                <w:rFonts w:ascii="Arial" w:hAnsi="Arial" w:cs="Arial"/>
                <w:sz w:val="18"/>
                <w:szCs w:val="20"/>
                <w:lang w:val="id-ID"/>
              </w:rPr>
              <w:t xml:space="preserve"> (CPF)</w:t>
            </w:r>
            <w:r w:rsidRPr="00924450">
              <w:rPr>
                <w:rFonts w:ascii="Arial" w:hAnsi="Arial" w:cs="Arial"/>
                <w:sz w:val="18"/>
                <w:szCs w:val="20"/>
              </w:rPr>
              <w:t xml:space="preserve"> is planned to be built. Management is handed over to another entrepreneur (PT MCL) with a concession from the government. Land acquisition is done immediately in stages based on the needs of the land area of ​​nearly 1 million ha, which derive from local people land, land village property, and forestry area. Although it was difficult, the land acquisition process can be completed, and local people have got compensations that in general inadequate, as well as they have been required to find other places without an oppo</w:t>
            </w:r>
            <w:r w:rsidRPr="00924450">
              <w:rPr>
                <w:rFonts w:ascii="Arial" w:hAnsi="Arial" w:cs="Arial"/>
                <w:sz w:val="18"/>
                <w:szCs w:val="20"/>
              </w:rPr>
              <w:t>r</w:t>
            </w:r>
            <w:r w:rsidRPr="00924450">
              <w:rPr>
                <w:rFonts w:ascii="Arial" w:hAnsi="Arial" w:cs="Arial"/>
                <w:sz w:val="18"/>
                <w:szCs w:val="20"/>
              </w:rPr>
              <w:t>tunity to be involved in oil extraction activities</w:t>
            </w:r>
            <w:r w:rsidRPr="00924450">
              <w:rPr>
                <w:rFonts w:ascii="Arial" w:hAnsi="Arial" w:cs="Arial"/>
                <w:sz w:val="20"/>
                <w:szCs w:val="20"/>
              </w:rPr>
              <w:t>.</w:t>
            </w:r>
          </w:p>
          <w:p w:rsidR="005B67BF" w:rsidRPr="005B67BF" w:rsidRDefault="005B67BF" w:rsidP="005B67BF">
            <w:pPr>
              <w:spacing w:before="240" w:after="0"/>
              <w:ind w:firstLine="0"/>
              <w:rPr>
                <w:rFonts w:ascii="Arial" w:hAnsi="Arial" w:cs="Arial"/>
                <w:i/>
                <w:sz w:val="20"/>
              </w:rPr>
            </w:pPr>
            <w:r w:rsidRPr="005B67BF">
              <w:rPr>
                <w:rFonts w:ascii="Arial" w:hAnsi="Arial" w:cs="Arial"/>
                <w:i/>
                <w:sz w:val="18"/>
              </w:rPr>
              <w:t xml:space="preserve">Source: </w:t>
            </w:r>
            <w:sdt>
              <w:sdtPr>
                <w:rPr>
                  <w:rFonts w:ascii="Arial" w:hAnsi="Arial" w:cs="Arial"/>
                  <w:i/>
                  <w:sz w:val="18"/>
                </w:rPr>
                <w:id w:val="121861048"/>
                <w:citation/>
              </w:sdtPr>
              <w:sdtContent>
                <w:r w:rsidR="00476E26" w:rsidRPr="005B67BF">
                  <w:rPr>
                    <w:rFonts w:ascii="Arial" w:hAnsi="Arial" w:cs="Arial"/>
                    <w:i/>
                    <w:sz w:val="18"/>
                  </w:rPr>
                  <w:fldChar w:fldCharType="begin"/>
                </w:r>
                <w:r w:rsidRPr="005B67BF">
                  <w:rPr>
                    <w:rFonts w:ascii="Arial" w:hAnsi="Arial" w:cs="Arial"/>
                    <w:i/>
                    <w:sz w:val="18"/>
                    <w:lang w:val="en-US"/>
                  </w:rPr>
                  <w:instrText xml:space="preserve"> CITATION Sur11 \t  \m Sur12 \t  \l 1033  </w:instrText>
                </w:r>
                <w:r w:rsidR="00476E26" w:rsidRPr="005B67BF">
                  <w:rPr>
                    <w:rFonts w:ascii="Arial" w:hAnsi="Arial" w:cs="Arial"/>
                    <w:i/>
                    <w:sz w:val="18"/>
                  </w:rPr>
                  <w:fldChar w:fldCharType="separate"/>
                </w:r>
                <w:r w:rsidRPr="005B67BF">
                  <w:rPr>
                    <w:rFonts w:ascii="Arial" w:hAnsi="Arial" w:cs="Arial"/>
                    <w:i/>
                    <w:noProof/>
                    <w:sz w:val="18"/>
                    <w:lang w:val="en-US"/>
                  </w:rPr>
                  <w:t>(Suryana, 2011; Suryana &amp; Bachriadi, 2012)</w:t>
                </w:r>
                <w:r w:rsidR="00476E26" w:rsidRPr="005B67BF">
                  <w:rPr>
                    <w:rFonts w:ascii="Arial" w:hAnsi="Arial" w:cs="Arial"/>
                    <w:i/>
                    <w:sz w:val="18"/>
                  </w:rPr>
                  <w:fldChar w:fldCharType="end"/>
                </w:r>
              </w:sdtContent>
            </w:sdt>
          </w:p>
        </w:tc>
      </w:tr>
    </w:tbl>
    <w:p w:rsidR="005B67BF" w:rsidRDefault="006C77F3" w:rsidP="005B67BF">
      <w:pPr>
        <w:spacing w:before="240"/>
      </w:pPr>
      <w:r>
        <w:t>Besides all of regulations matters, in fact, a m</w:t>
      </w:r>
      <w:r w:rsidR="005B67BF">
        <w:t xml:space="preserve">ining </w:t>
      </w:r>
      <w:r>
        <w:t xml:space="preserve">industry is </w:t>
      </w:r>
      <w:r w:rsidR="005B67BF">
        <w:t>a sector that needs particular skill</w:t>
      </w:r>
      <w:r>
        <w:t>s</w:t>
      </w:r>
      <w:r w:rsidR="005B67BF">
        <w:t xml:space="preserve">, </w:t>
      </w:r>
      <w:r>
        <w:t xml:space="preserve">which the workers should have such a mining knowledge to work in a mining industry. Compared to </w:t>
      </w:r>
      <w:r w:rsidR="005B67BF" w:rsidRPr="00EF1732">
        <w:t>the case of PT Bakrieland</w:t>
      </w:r>
      <w:r w:rsidR="005B67BF">
        <w:t xml:space="preserve"> Development, in Blok </w:t>
      </w:r>
      <w:r w:rsidR="005B67BF" w:rsidRPr="00B168AD">
        <w:rPr>
          <w:i/>
        </w:rPr>
        <w:t>Cepu</w:t>
      </w:r>
      <w:r>
        <w:t xml:space="preserve">’s case, local people have </w:t>
      </w:r>
      <w:r w:rsidR="005B67BF">
        <w:t xml:space="preserve">fewer possibilities to be involved in mining industry considering to inadequate </w:t>
      </w:r>
      <w:r>
        <w:t xml:space="preserve">their </w:t>
      </w:r>
      <w:r w:rsidR="005B67BF">
        <w:t xml:space="preserve">skill. </w:t>
      </w:r>
      <w:r w:rsidR="005B67BF" w:rsidRPr="00EF1732">
        <w:t xml:space="preserve">This is the reason for </w:t>
      </w:r>
      <w:r w:rsidR="005B67BF">
        <w:t xml:space="preserve">people </w:t>
      </w:r>
      <w:r w:rsidR="005B67BF" w:rsidRPr="00EF1732">
        <w:t>evictions in mining areas</w:t>
      </w:r>
      <w:r w:rsidR="005B67BF">
        <w:t>,</w:t>
      </w:r>
      <w:r w:rsidR="005B67BF" w:rsidRPr="00EF1732">
        <w:t xml:space="preserve"> including in </w:t>
      </w:r>
      <w:r w:rsidR="005B67BF">
        <w:t xml:space="preserve">Blok </w:t>
      </w:r>
      <w:r w:rsidR="005B67BF" w:rsidRPr="00B168AD">
        <w:rPr>
          <w:i/>
        </w:rPr>
        <w:t>Cepu</w:t>
      </w:r>
      <w:r w:rsidR="005B67BF" w:rsidRPr="00EF1732">
        <w:t xml:space="preserve">, and </w:t>
      </w:r>
      <w:r>
        <w:t xml:space="preserve">also in </w:t>
      </w:r>
      <w:r w:rsidR="005B67BF" w:rsidRPr="00EF1732">
        <w:t xml:space="preserve">many </w:t>
      </w:r>
      <w:r w:rsidR="005B67BF">
        <w:t xml:space="preserve">mining </w:t>
      </w:r>
      <w:r w:rsidR="005B67BF" w:rsidRPr="00EF1732">
        <w:t>cases</w:t>
      </w:r>
      <w:r>
        <w:t xml:space="preserve">, the evictions </w:t>
      </w:r>
      <w:r w:rsidR="005B67BF">
        <w:t xml:space="preserve">do not </w:t>
      </w:r>
      <w:r>
        <w:t xml:space="preserve">generate </w:t>
      </w:r>
      <w:r w:rsidR="005B67BF" w:rsidRPr="00EF1732">
        <w:t>a terrible social tu</w:t>
      </w:r>
      <w:r w:rsidR="005B67BF" w:rsidRPr="00EF1732">
        <w:t>r</w:t>
      </w:r>
      <w:r w:rsidR="005B67BF" w:rsidRPr="00EF1732">
        <w:t>moil</w:t>
      </w:r>
      <w:r w:rsidR="005B67BF">
        <w:t xml:space="preserve">. </w:t>
      </w:r>
    </w:p>
    <w:p w:rsidR="005B67BF" w:rsidRDefault="005B67BF" w:rsidP="005B67BF">
      <w:r>
        <w:t>Un</w:t>
      </w:r>
      <w:r w:rsidRPr="00440C0E">
        <w:t>doubt</w:t>
      </w:r>
      <w:r>
        <w:t>edly,</w:t>
      </w:r>
      <w:r w:rsidRPr="00440C0E">
        <w:t xml:space="preserve"> that economic growth in areas </w:t>
      </w:r>
      <w:r w:rsidR="00E03CEF">
        <w:t xml:space="preserve">that </w:t>
      </w:r>
      <w:r w:rsidRPr="00440C0E">
        <w:t>have a high investment value</w:t>
      </w:r>
      <w:r>
        <w:t xml:space="preserve">, </w:t>
      </w:r>
      <w:r w:rsidR="006C77F3">
        <w:t xml:space="preserve">such </w:t>
      </w:r>
      <w:r>
        <w:t xml:space="preserve">as in Blok </w:t>
      </w:r>
      <w:r w:rsidRPr="00B168AD">
        <w:rPr>
          <w:i/>
        </w:rPr>
        <w:t>Cepu</w:t>
      </w:r>
      <w:r>
        <w:t xml:space="preserve"> and Bogor-Sukabumi, has a significant contribution to </w:t>
      </w:r>
      <w:r w:rsidR="006C77F3">
        <w:t xml:space="preserve">the </w:t>
      </w:r>
      <w:r>
        <w:t xml:space="preserve">national economy. In the contrary, it will be different if looking at an effect to local people, due to the </w:t>
      </w:r>
      <w:r w:rsidR="006C77F3">
        <w:t xml:space="preserve">majority </w:t>
      </w:r>
      <w:r>
        <w:t xml:space="preserve">level of the </w:t>
      </w:r>
      <w:r w:rsidR="006C77F3">
        <w:t xml:space="preserve">people’ </w:t>
      </w:r>
      <w:r>
        <w:t xml:space="preserve">education to be involved in high technology industrial sectors are not deserved. </w:t>
      </w:r>
      <w:r w:rsidRPr="00440C0E">
        <w:t xml:space="preserve">Therefore, in </w:t>
      </w:r>
      <w:r>
        <w:t>mostly</w:t>
      </w:r>
      <w:r w:rsidRPr="00440C0E">
        <w:t xml:space="preserve"> major industries, </w:t>
      </w:r>
      <w:r w:rsidR="006C77F3">
        <w:t xml:space="preserve">in order to fulfil </w:t>
      </w:r>
      <w:r w:rsidR="00E03CEF" w:rsidRPr="00440C0E">
        <w:t>labour</w:t>
      </w:r>
      <w:r w:rsidRPr="00440C0E">
        <w:t xml:space="preserve"> </w:t>
      </w:r>
      <w:r w:rsidR="006C77F3">
        <w:t xml:space="preserve">requirements, the companies </w:t>
      </w:r>
      <w:r w:rsidRPr="00440C0E">
        <w:t>should be brought in from outside the area and even from abroad</w:t>
      </w:r>
      <w:r>
        <w:t xml:space="preserve">. Even though the number of </w:t>
      </w:r>
      <w:r w:rsidR="00E03CEF">
        <w:t>labour</w:t>
      </w:r>
      <w:r>
        <w:t xml:space="preserve"> absorption in macro level has increased, as demonstrated in </w:t>
      </w:r>
      <w:r w:rsidR="00024FA7">
        <w:t>Table 3.7</w:t>
      </w:r>
      <w:r w:rsidRPr="00945EF0">
        <w:t>, in</w:t>
      </w:r>
      <w:r>
        <w:t xml:space="preserve"> fact, local people surrounding industrial area</w:t>
      </w:r>
      <w:r w:rsidR="00E03CEF">
        <w:t xml:space="preserve"> could not fulfil the needs of skilled employment</w:t>
      </w:r>
      <w:r>
        <w:t>.</w:t>
      </w:r>
    </w:p>
    <w:p w:rsidR="005B67BF" w:rsidRDefault="005B67BF" w:rsidP="005B67BF">
      <w:r>
        <w:t xml:space="preserve">This tendency will continue and be </w:t>
      </w:r>
      <w:r w:rsidRPr="00945EF0">
        <w:t>exacerbated by the MP3EI policy</w:t>
      </w:r>
      <w:r>
        <w:t xml:space="preserve"> in JEC </w:t>
      </w:r>
      <w:r w:rsidRPr="00945EF0">
        <w:t>because the workings of investment in industry</w:t>
      </w:r>
      <w:r>
        <w:t xml:space="preserve">. The giant projects such as PT </w:t>
      </w:r>
      <w:r w:rsidRPr="00B168AD">
        <w:rPr>
          <w:i/>
        </w:rPr>
        <w:t>Bakrieland</w:t>
      </w:r>
      <w:r>
        <w:t xml:space="preserve"> and Blok </w:t>
      </w:r>
      <w:r w:rsidRPr="00B168AD">
        <w:rPr>
          <w:i/>
        </w:rPr>
        <w:t>Cepu</w:t>
      </w:r>
      <w:r>
        <w:t xml:space="preserve"> will grow more and more. In addition, that JEC focused to build a </w:t>
      </w:r>
      <w:r w:rsidR="00024FA7">
        <w:t>‘centre</w:t>
      </w:r>
      <w:r>
        <w:t xml:space="preserve"> of national industry and services provision, industries and services’ grown not only to serve production from Java, but also from other islands through development five others corridors. </w:t>
      </w:r>
    </w:p>
    <w:p w:rsidR="005B67BF" w:rsidRDefault="005B67BF" w:rsidP="005B67BF">
      <w:pPr>
        <w:pStyle w:val="Maptitle"/>
        <w:spacing w:after="100"/>
        <w:ind w:firstLine="432"/>
        <w:jc w:val="both"/>
        <w:rPr>
          <w:rFonts w:ascii="Garamond" w:hAnsi="Garamond"/>
          <w:b w:val="0"/>
          <w:sz w:val="24"/>
        </w:rPr>
      </w:pPr>
      <w:bookmarkStart w:id="130" w:name="_Toc340436343"/>
      <w:r w:rsidRPr="009111BC">
        <w:rPr>
          <w:rFonts w:ascii="Garamond" w:hAnsi="Garamond"/>
          <w:b w:val="0"/>
          <w:sz w:val="24"/>
        </w:rPr>
        <w:t xml:space="preserve">Land control will be concentrated to allocations of industrial sectors’ development, either for main industries or supporting industry activities. Building of 34 KPI in Java, land’s control will move into a group of corporations, which are having a capital power. The similar cases with PT Bakrie Groups will appear and has existed in many areas in Java. If the infrastructure needs are not met, a company will seek its own way to construct the road.  By the development reasons, a company will ask the government to facilitate the effort of roads’ construction, including land acquisition. Hence, </w:t>
      </w:r>
      <w:r w:rsidRPr="009111BC">
        <w:rPr>
          <w:rFonts w:ascii="Garamond" w:hAnsi="Garamond"/>
          <w:b w:val="0"/>
          <w:sz w:val="24"/>
        </w:rPr>
        <w:lastRenderedPageBreak/>
        <w:t>public facilities, in this case, will be controlled by private sectors through a concession from the government for a certain period.</w:t>
      </w:r>
      <w:bookmarkEnd w:id="130"/>
    </w:p>
    <w:p w:rsidR="005B67BF" w:rsidRDefault="00153C61" w:rsidP="005B67BF">
      <w:pPr>
        <w:pStyle w:val="Heading1"/>
      </w:pPr>
      <w:bookmarkStart w:id="131" w:name="_Toc340497437"/>
      <w:r>
        <w:lastRenderedPageBreak/>
        <w:t>Chapter 4</w:t>
      </w:r>
      <w:r w:rsidR="005B67BF">
        <w:br/>
      </w:r>
      <w:r>
        <w:t>Conclusion</w:t>
      </w:r>
      <w:bookmarkEnd w:id="131"/>
    </w:p>
    <w:p w:rsidR="00153C61" w:rsidRDefault="00A80627" w:rsidP="00153C61">
      <w:pPr>
        <w:spacing w:after="120"/>
      </w:pPr>
      <w:r>
        <w:t xml:space="preserve">This paper aims to look at how capital driven economic corridor policy in Indonesia can lead to land concentration and ‘social exclusion’ </w:t>
      </w:r>
      <w:r w:rsidR="00BE0CDA">
        <w:t xml:space="preserve">as part of an </w:t>
      </w:r>
      <w:r>
        <w:t xml:space="preserve">‘adverse incorporation’ process. </w:t>
      </w:r>
      <w:r w:rsidRPr="000876E2">
        <w:t xml:space="preserve">Based on the indications of </w:t>
      </w:r>
      <w:r w:rsidR="00FD22E6">
        <w:t xml:space="preserve">JEC </w:t>
      </w:r>
      <w:r>
        <w:t>implementation</w:t>
      </w:r>
      <w:r w:rsidRPr="000876E2">
        <w:t>, it can be seen that the</w:t>
      </w:r>
      <w:r>
        <w:t xml:space="preserve"> corporate-based</w:t>
      </w:r>
      <w:r w:rsidRPr="000876E2">
        <w:t xml:space="preserve"> land concentration </w:t>
      </w:r>
      <w:r>
        <w:t xml:space="preserve">and landlordism </w:t>
      </w:r>
      <w:r w:rsidRPr="000876E2">
        <w:t xml:space="preserve">will occur because economic development </w:t>
      </w:r>
      <w:r w:rsidR="00BE0CDA">
        <w:t xml:space="preserve">growth is based on </w:t>
      </w:r>
      <w:r>
        <w:t>corporate capital and investment as main pillar</w:t>
      </w:r>
      <w:r w:rsidR="00BE0CDA">
        <w:t>s</w:t>
      </w:r>
      <w:r w:rsidRPr="000876E2">
        <w:t xml:space="preserve">. In this case, </w:t>
      </w:r>
      <w:r>
        <w:t xml:space="preserve">commercial </w:t>
      </w:r>
      <w:r w:rsidRPr="000876E2">
        <w:t xml:space="preserve">production activities are preferred rather than the welfare of the people. Therefore, to facilitate a group that </w:t>
      </w:r>
      <w:r>
        <w:t>own</w:t>
      </w:r>
      <w:r w:rsidR="00BE0CDA">
        <w:t>s</w:t>
      </w:r>
      <w:r>
        <w:t xml:space="preserve"> </w:t>
      </w:r>
      <w:r w:rsidRPr="000876E2">
        <w:t xml:space="preserve">a capital is a key strategy in the running of this policy. While 'social exclusion' is happening, not merely because of the fact people have been expelled from their </w:t>
      </w:r>
      <w:r>
        <w:t xml:space="preserve">land or </w:t>
      </w:r>
      <w:r w:rsidRPr="000876E2">
        <w:t xml:space="preserve">territory, but in this study, more people are being converted into </w:t>
      </w:r>
      <w:r>
        <w:t>wage labour</w:t>
      </w:r>
      <w:r w:rsidRPr="000876E2">
        <w:t xml:space="preserve"> in the real </w:t>
      </w:r>
      <w:r w:rsidR="00BE0CDA">
        <w:t xml:space="preserve">economy </w:t>
      </w:r>
      <w:r w:rsidRPr="000876E2">
        <w:t>developed through development projects.</w:t>
      </w:r>
    </w:p>
    <w:p w:rsidR="00153C61" w:rsidRDefault="00153C61" w:rsidP="00153C61">
      <w:pPr>
        <w:spacing w:after="120"/>
      </w:pPr>
      <w:r w:rsidRPr="000876E2">
        <w:t xml:space="preserve">Indonesia's economic corridor policy has put </w:t>
      </w:r>
      <w:r w:rsidR="00BE0CDA">
        <w:t xml:space="preserve">priority </w:t>
      </w:r>
      <w:r w:rsidRPr="000876E2">
        <w:t>the island of Java, a mainstay of the national economy to boost growth. Therefore, the strategy is very massive acceleration in Java, which on paper and in fact, the condition is more adequate than the other islands in Indonesia. Acceleration strategy is done by inviting investors, both domestic and foreign, to compete invest in Java. Not only is the investment in the real sector, but also investment in infrastructure development to meet the preconditions required by investors.</w:t>
      </w:r>
      <w:r>
        <w:t xml:space="preserve"> </w:t>
      </w:r>
    </w:p>
    <w:p w:rsidR="00153C61" w:rsidRDefault="00153C61" w:rsidP="00153C61">
      <w:pPr>
        <w:spacing w:after="120"/>
      </w:pPr>
      <w:r w:rsidRPr="00AD44F4">
        <w:t xml:space="preserve">Critical analysis in this study is the economic corridor </w:t>
      </w:r>
      <w:r>
        <w:t xml:space="preserve">policy </w:t>
      </w:r>
      <w:r w:rsidRPr="00AD44F4">
        <w:t xml:space="preserve">that will run on Java, even though the result is increased levels of economic growth, but control over agrarian resources will be concentrated in the corporate circle. The </w:t>
      </w:r>
      <w:r>
        <w:t xml:space="preserve">land </w:t>
      </w:r>
      <w:r w:rsidRPr="00AD44F4">
        <w:t xml:space="preserve">concentration does not mean </w:t>
      </w:r>
      <w:r>
        <w:t xml:space="preserve">that land tenure and control </w:t>
      </w:r>
      <w:r w:rsidRPr="00AD44F4">
        <w:t>being in the hands of one party or a corporate group alone, but in the hands of a number of entrepreneurs</w:t>
      </w:r>
      <w:r>
        <w:t>, which is</w:t>
      </w:r>
      <w:r w:rsidRPr="00AD44F4">
        <w:t xml:space="preserve"> in the practice</w:t>
      </w:r>
      <w:r>
        <w:t>,</w:t>
      </w:r>
      <w:r w:rsidRPr="00AD44F4">
        <w:t xml:space="preserve"> </w:t>
      </w:r>
      <w:r>
        <w:t>they share</w:t>
      </w:r>
      <w:r w:rsidRPr="00AD44F4">
        <w:t xml:space="preserve"> profits </w:t>
      </w:r>
      <w:r>
        <w:t xml:space="preserve">among </w:t>
      </w:r>
      <w:r w:rsidRPr="00AD44F4">
        <w:t>them. Meanwhile, evicti</w:t>
      </w:r>
      <w:r>
        <w:t xml:space="preserve">on </w:t>
      </w:r>
      <w:r w:rsidRPr="00AD44F4">
        <w:t xml:space="preserve">happening to the local </w:t>
      </w:r>
      <w:r>
        <w:t>people, it is</w:t>
      </w:r>
      <w:r w:rsidRPr="00AD44F4">
        <w:t xml:space="preserve"> not be interpreted as a direct expulsion, because the entrepreneur does not only require land as a loc</w:t>
      </w:r>
      <w:r w:rsidRPr="00AD44F4">
        <w:t>a</w:t>
      </w:r>
      <w:r w:rsidRPr="00AD44F4">
        <w:t>tion to invest, but also requires labour as the support of their production a</w:t>
      </w:r>
      <w:r w:rsidRPr="00AD44F4">
        <w:t>c</w:t>
      </w:r>
      <w:r w:rsidRPr="00AD44F4">
        <w:t xml:space="preserve">tivities. So, the corporate </w:t>
      </w:r>
      <w:r>
        <w:t xml:space="preserve">just puts local people </w:t>
      </w:r>
      <w:r w:rsidRPr="00AD44F4">
        <w:t xml:space="preserve">as one of the </w:t>
      </w:r>
      <w:r>
        <w:t xml:space="preserve">elements </w:t>
      </w:r>
      <w:r w:rsidRPr="00AD44F4">
        <w:t>to run the production process</w:t>
      </w:r>
      <w:r w:rsidR="00BE0CDA">
        <w:t>, in a process of often “adverse incorporation”.</w:t>
      </w:r>
    </w:p>
    <w:p w:rsidR="00153C61" w:rsidRPr="001357A3" w:rsidRDefault="00153C61" w:rsidP="00153C61">
      <w:pPr>
        <w:pStyle w:val="Heading2"/>
      </w:pPr>
      <w:bookmarkStart w:id="132" w:name="_Toc340135847"/>
      <w:bookmarkStart w:id="133" w:name="_Toc340497438"/>
      <w:r>
        <w:t xml:space="preserve">4.1. </w:t>
      </w:r>
      <w:r w:rsidR="00A80627">
        <w:t>The a</w:t>
      </w:r>
      <w:r w:rsidRPr="001357A3">
        <w:t xml:space="preserve">ctors </w:t>
      </w:r>
      <w:r w:rsidR="00A80627">
        <w:t>i</w:t>
      </w:r>
      <w:r w:rsidRPr="001357A3">
        <w:t>nvolved in land concentration</w:t>
      </w:r>
      <w:bookmarkEnd w:id="132"/>
      <w:bookmarkEnd w:id="133"/>
    </w:p>
    <w:p w:rsidR="00A80627" w:rsidRDefault="00153C61" w:rsidP="00153C61">
      <w:pPr>
        <w:spacing w:after="120"/>
      </w:pPr>
      <w:r>
        <w:t xml:space="preserve">Land concentration </w:t>
      </w:r>
      <w:r w:rsidRPr="00B978EA">
        <w:t>occurs due to a massive influx of investment into Java through the establishment of JEC as derivative MP3EI policy.</w:t>
      </w:r>
      <w:r>
        <w:t xml:space="preserve"> </w:t>
      </w:r>
      <w:r w:rsidRPr="00B978EA">
        <w:t xml:space="preserve">State holds full authority to regulate the area and the people in the territory, </w:t>
      </w:r>
      <w:r w:rsidR="00BE0CDA">
        <w:t xml:space="preserve">and </w:t>
      </w:r>
      <w:r w:rsidRPr="00B978EA">
        <w:t>has become an important actor in the process of land concentration, providing a regulatory framework, namely MP3EI.</w:t>
      </w:r>
      <w:r>
        <w:t xml:space="preserve"> </w:t>
      </w:r>
      <w:r w:rsidRPr="00FB5416">
        <w:t>Because these policies provide great opportunities for investors to invest, it can be said in line with the idea that the state, through the policy, has kept the interests of capital owners to carry out production activities in Java through development schemes derived by the JEC.</w:t>
      </w:r>
      <w:r>
        <w:t xml:space="preserve"> </w:t>
      </w:r>
      <w:r w:rsidR="00A80627" w:rsidRPr="00FB5416">
        <w:t>In order to fulfil the lack of capital, then the PPP scheme chosen, in which the private sector will play an active role in the process.</w:t>
      </w:r>
    </w:p>
    <w:p w:rsidR="00153C61" w:rsidRDefault="00153C61" w:rsidP="00153C61">
      <w:pPr>
        <w:spacing w:after="120"/>
      </w:pPr>
      <w:r w:rsidRPr="00FB5416">
        <w:lastRenderedPageBreak/>
        <w:t>JEC in practice only facilitates the interest of the owners of capital are already in operation and would like to expand its operations in Java.</w:t>
      </w:r>
      <w:r>
        <w:t xml:space="preserve"> </w:t>
      </w:r>
      <w:r w:rsidRPr="00FB5416">
        <w:t xml:space="preserve">It is also indicated that the JEC did not give more attention to regions where conditions are less of a concern to develop (the southern island of Java). </w:t>
      </w:r>
      <w:r w:rsidR="00A80627">
        <w:t>It is a contradiction with the general theory of development of the corridor economy, which one of its aims is to develop the less developed areas through a connection with developed areas, as elaborated in Chapter 1. This reality reflected the real agenda MP3EI, particularly JEC, is not fully for development of the commun</w:t>
      </w:r>
      <w:r w:rsidR="00A80627">
        <w:t>i</w:t>
      </w:r>
      <w:r w:rsidR="00A80627">
        <w:t>ties and less developed areas within the island, but to recovery and/or re-establish circuits of capital over the most developed area/island in Indonesia that use general argument of the economic growth.</w:t>
      </w:r>
      <w:r>
        <w:t xml:space="preserve"> </w:t>
      </w:r>
    </w:p>
    <w:p w:rsidR="00153C61" w:rsidRDefault="00153C61" w:rsidP="00153C61">
      <w:pPr>
        <w:spacing w:after="120"/>
      </w:pPr>
      <w:r w:rsidRPr="008C7A20">
        <w:t xml:space="preserve">JEC in this case is not an entity that is free from the effects of the owners of capital to run Java MP3EI policy. As described in chapter 3, </w:t>
      </w:r>
      <w:r w:rsidR="00E03CEF">
        <w:t xml:space="preserve">before setting the 34 KPI’s in Java, </w:t>
      </w:r>
      <w:r w:rsidRPr="008C7A20">
        <w:t>the JEC evaluate the number of existing production activities in these areas to collect a number of the needs of investors throughout production. The assessment is then used as an argument to plan infrastructure development such as roads, communication systems and power grids in areas where KPI has been set. Meanwhile, infrastructure development plan is also not a new plan, but a pre-existing plan, including who are the investors. In this case, JEC explained that not doing social-economic development for comm</w:t>
      </w:r>
      <w:r w:rsidRPr="008C7A20">
        <w:t>u</w:t>
      </w:r>
      <w:r w:rsidRPr="008C7A20">
        <w:t>nities in Java, but is in the process only of acceleration implementation of a number of projects before getting bureaucratic hurdles under the decentraliz</w:t>
      </w:r>
      <w:r w:rsidRPr="008C7A20">
        <w:t>a</w:t>
      </w:r>
      <w:r w:rsidRPr="008C7A20">
        <w:t>tion system.</w:t>
      </w:r>
      <w:r>
        <w:t xml:space="preserve">  </w:t>
      </w:r>
    </w:p>
    <w:p w:rsidR="00153C61" w:rsidRPr="001357A3" w:rsidRDefault="00153C61" w:rsidP="00153C61">
      <w:pPr>
        <w:spacing w:after="120"/>
      </w:pPr>
      <w:r w:rsidRPr="009B33EE">
        <w:t>Ironically, J</w:t>
      </w:r>
      <w:r w:rsidR="00FD22E6">
        <w:t xml:space="preserve">EC </w:t>
      </w:r>
      <w:r w:rsidRPr="009B33EE">
        <w:t>policy does not pursue development in areas where conditions are still lacking of development, but rather chose to move on and concentrate economic activity in areas that have been developed. KPI formation, of which there are 34 KPIs, locates in cities that have been developed since the New Order era, both real industries sector and infrastructure facilities, which are mainly at northern area of Java Islands. If the MP3EI scheme is intended for accelerating the development more evenly across the islands of Java and for welfare of its people, the development should be well addressed in the sout</w:t>
      </w:r>
      <w:r w:rsidRPr="009B33EE">
        <w:t>h</w:t>
      </w:r>
      <w:r w:rsidRPr="009B33EE">
        <w:t>ern island of Java, which is still less attention. However, there, in terms of the potential of its natural resources, it is also very promising to be exploited. Therefore, corridor's economic policy is just a number of measures to facilitate corporate group</w:t>
      </w:r>
      <w:r w:rsidR="00BE0CDA">
        <w:t>s</w:t>
      </w:r>
      <w:r w:rsidRPr="009B33EE">
        <w:t xml:space="preserve"> to produce more profits and with the cooperation between the government and the private sector to build infrastructure facilities, in essence, is simply to reduce the transaction costs incurred by industry actor.</w:t>
      </w:r>
      <w:r w:rsidRPr="001357A3">
        <w:t xml:space="preserve"> </w:t>
      </w:r>
    </w:p>
    <w:p w:rsidR="00153C61" w:rsidRDefault="00B168AD" w:rsidP="00153C61">
      <w:pPr>
        <w:spacing w:after="120"/>
      </w:pPr>
      <w:r>
        <w:t xml:space="preserve">The </w:t>
      </w:r>
      <w:r w:rsidR="00153C61" w:rsidRPr="00DA6129">
        <w:t>PPP scheme offered to the corporate group is a scheme to accelerate the process of infrastructure development. However, this scheme makes the entr</w:t>
      </w:r>
      <w:r w:rsidR="00153C61" w:rsidRPr="00DA6129">
        <w:t>e</w:t>
      </w:r>
      <w:r w:rsidR="00153C61" w:rsidRPr="00DA6129">
        <w:t>preneurs group become mastering to a number of facilities intended for public. Such as toll-road construction, when it has been constructed, the government will issue a new concession for maintenance purposes in a certain p</w:t>
      </w:r>
      <w:r w:rsidR="00153C61" w:rsidRPr="00DA6129">
        <w:t>e</w:t>
      </w:r>
      <w:r w:rsidR="00153C61" w:rsidRPr="00DA6129">
        <w:t>riod. This concession includes setting up an arrangement for financing of toll-road maintenance, by applying the rates of toll road users who also authorized by the related ministries. Thus, the acquisition process and benefits of management a</w:t>
      </w:r>
      <w:r w:rsidR="00153C61" w:rsidRPr="00DA6129">
        <w:t>c</w:t>
      </w:r>
      <w:r w:rsidR="00153C61" w:rsidRPr="00DA6129">
        <w:t>tivities are considered as spaces of economic activities that generate surpluses for corporate groups, which is systematic and legal.</w:t>
      </w:r>
    </w:p>
    <w:p w:rsidR="00153C61" w:rsidRPr="001357A3" w:rsidRDefault="00153C61" w:rsidP="00153C61">
      <w:pPr>
        <w:pStyle w:val="Heading2"/>
      </w:pPr>
      <w:bookmarkStart w:id="134" w:name="_Toc340135848"/>
      <w:bookmarkStart w:id="135" w:name="_Toc340497439"/>
      <w:r>
        <w:lastRenderedPageBreak/>
        <w:t xml:space="preserve">4.2. </w:t>
      </w:r>
      <w:r w:rsidRPr="001357A3">
        <w:t xml:space="preserve">The form of land concentration and </w:t>
      </w:r>
      <w:r w:rsidR="00A80627">
        <w:t>i</w:t>
      </w:r>
      <w:r w:rsidRPr="001357A3">
        <w:t xml:space="preserve">ts </w:t>
      </w:r>
      <w:r w:rsidR="00A80627">
        <w:t>d</w:t>
      </w:r>
      <w:r w:rsidRPr="001357A3">
        <w:t>ynamic</w:t>
      </w:r>
      <w:bookmarkEnd w:id="134"/>
      <w:bookmarkEnd w:id="135"/>
      <w:r w:rsidR="00BE0CDA">
        <w:t>s</w:t>
      </w:r>
    </w:p>
    <w:p w:rsidR="00153C61" w:rsidRDefault="00FD22E6" w:rsidP="007C35BF">
      <w:pPr>
        <w:spacing w:after="120"/>
        <w:ind w:firstLine="0"/>
      </w:pPr>
      <w:r>
        <w:t>Development of the KPI</w:t>
      </w:r>
      <w:r w:rsidR="001F1F9D" w:rsidRPr="00DA6129">
        <w:t xml:space="preserve"> through </w:t>
      </w:r>
      <w:r>
        <w:t xml:space="preserve">JEC </w:t>
      </w:r>
      <w:r w:rsidR="001F1F9D" w:rsidRPr="00DA6129">
        <w:t xml:space="preserve">Policy will further strengthen the </w:t>
      </w:r>
      <w:r w:rsidR="001F1F9D">
        <w:t xml:space="preserve">circuit of </w:t>
      </w:r>
      <w:r w:rsidR="001F1F9D" w:rsidRPr="00DA6129">
        <w:t xml:space="preserve">capital. Since the establishment of </w:t>
      </w:r>
      <w:r>
        <w:t xml:space="preserve">the </w:t>
      </w:r>
      <w:r w:rsidR="001F1F9D" w:rsidRPr="00DA6129">
        <w:t xml:space="preserve">KPI followed by construction of a more adequate infrastructure to connect to the 34 KPIs, </w:t>
      </w:r>
      <w:r>
        <w:t xml:space="preserve">which </w:t>
      </w:r>
      <w:r w:rsidR="001F1F9D" w:rsidRPr="00DA6129">
        <w:t>aim to facilitate easier movement of capital, goods and people to turn the profitable activity.</w:t>
      </w:r>
      <w:r w:rsidR="00096AF6">
        <w:t xml:space="preserve"> </w:t>
      </w:r>
      <w:r w:rsidR="007C35BF">
        <w:t>Land concentrations formation might be started from KPI’s setting and its’ encouragement to accelerate infrastructure constructions in JEC’s implementation.</w:t>
      </w:r>
      <w:r w:rsidR="00096AF6">
        <w:t xml:space="preserve"> </w:t>
      </w:r>
      <w:r w:rsidR="007C35BF">
        <w:t>The KPIs</w:t>
      </w:r>
      <w:r>
        <w:t>, formerly,</w:t>
      </w:r>
      <w:r w:rsidR="007C35BF">
        <w:t xml:space="preserve"> are well-developed areas with a number of economic activities and are proven being the most </w:t>
      </w:r>
      <w:r w:rsidR="0024764B">
        <w:t>contributors</w:t>
      </w:r>
      <w:r w:rsidR="007C35BF">
        <w:t xml:space="preserve"> for Indonesia’s economic growth</w:t>
      </w:r>
      <w:r w:rsidR="00096AF6">
        <w:t>.</w:t>
      </w:r>
      <w:r w:rsidR="001F1F9D">
        <w:t xml:space="preserve"> </w:t>
      </w:r>
      <w:r w:rsidR="0024764B">
        <w:t xml:space="preserve">Through </w:t>
      </w:r>
      <w:r w:rsidR="001F1F9D">
        <w:t>JEC</w:t>
      </w:r>
      <w:r w:rsidR="0024764B">
        <w:t>,</w:t>
      </w:r>
      <w:r w:rsidR="001F1F9D">
        <w:t xml:space="preserve"> </w:t>
      </w:r>
      <w:r w:rsidR="0024764B">
        <w:t xml:space="preserve">industrial and real sectors entrepreneurs within KPIs will be more strengthen and easily expand their </w:t>
      </w:r>
      <w:r w:rsidR="00E834C0">
        <w:t>activities due to well-developed infrastructure</w:t>
      </w:r>
      <w:r w:rsidR="001F1F9D">
        <w:t xml:space="preserve">. </w:t>
      </w:r>
      <w:r w:rsidR="00E834C0">
        <w:t>Moreover, others local-national-foreign investors will come and start doing speculation in order to build a new economic activity</w:t>
      </w:r>
      <w:r w:rsidR="001F1F9D">
        <w:t>.</w:t>
      </w:r>
    </w:p>
    <w:p w:rsidR="00153C61" w:rsidRDefault="007C35BF" w:rsidP="00153C61">
      <w:pPr>
        <w:spacing w:after="120"/>
      </w:pPr>
      <w:r w:rsidRPr="00C73732">
        <w:t xml:space="preserve">Infrastructure development will attract other investments, besides investment planned. It is not only a large-scale investment, but also medium and </w:t>
      </w:r>
      <w:r>
        <w:t xml:space="preserve">small </w:t>
      </w:r>
      <w:r w:rsidRPr="00C73732">
        <w:t>investment that controlled by local investor</w:t>
      </w:r>
      <w:r>
        <w:t>s</w:t>
      </w:r>
      <w:r w:rsidRPr="00C73732">
        <w:t xml:space="preserve">. Soon after the infrastructure development plan to be approved as a construction plan, various </w:t>
      </w:r>
      <w:r>
        <w:t xml:space="preserve">land </w:t>
      </w:r>
      <w:r w:rsidRPr="00C73732">
        <w:t xml:space="preserve">speculation </w:t>
      </w:r>
      <w:r>
        <w:t xml:space="preserve">and new </w:t>
      </w:r>
      <w:r w:rsidRPr="00C73732">
        <w:t>business</w:t>
      </w:r>
      <w:r>
        <w:t xml:space="preserve"> investments </w:t>
      </w:r>
      <w:r w:rsidRPr="00C73732">
        <w:t>subsequently appeared, either in the real sector or to open new supporting enterprises to exploit the existence of the factories that have been and will be built in a particular area.</w:t>
      </w:r>
    </w:p>
    <w:p w:rsidR="00153C61" w:rsidRDefault="007C35BF" w:rsidP="00153C61">
      <w:pPr>
        <w:spacing w:after="120"/>
      </w:pPr>
      <w:r w:rsidRPr="00C73732">
        <w:t xml:space="preserve">Land speculation appears soon and local elites also involve in this process. Referring to the PT </w:t>
      </w:r>
      <w:r w:rsidRPr="00B168AD">
        <w:rPr>
          <w:i/>
        </w:rPr>
        <w:t>Bakrieland</w:t>
      </w:r>
      <w:r w:rsidRPr="00C73732">
        <w:t xml:space="preserve"> Development case, compensation scheme and relocation of people offered becomes an instrument for a group of local elites to play in land transaction processes. However, people give a trust of land transaction processes to the local elites, and let the information stops at local elite. Thus, the process of people exclusion will happen, mainly due to uncertainty of the processes that will be pursued in the land transaction. For e</w:t>
      </w:r>
      <w:r w:rsidRPr="00C73732">
        <w:t>m</w:t>
      </w:r>
      <w:r w:rsidRPr="00C73732">
        <w:t xml:space="preserve">ployers, the takeover of land previously owned by the </w:t>
      </w:r>
      <w:r>
        <w:t>local people</w:t>
      </w:r>
      <w:r w:rsidRPr="00C73732">
        <w:t xml:space="preserve">, not just to meet the demand for land, but also at the same time will make the urgency condition of local </w:t>
      </w:r>
      <w:r>
        <w:t xml:space="preserve">community </w:t>
      </w:r>
      <w:r w:rsidRPr="00C73732">
        <w:t>to the industrial sector. When people</w:t>
      </w:r>
      <w:r>
        <w:t>’s</w:t>
      </w:r>
      <w:r w:rsidRPr="00C73732">
        <w:t xml:space="preserve"> land has been taking over, they will soon transform into a group of </w:t>
      </w:r>
      <w:r>
        <w:t xml:space="preserve">free labours </w:t>
      </w:r>
      <w:r w:rsidRPr="00C73732">
        <w:t xml:space="preserve">as a source of a labour force in </w:t>
      </w:r>
      <w:r>
        <w:t>the developing industries</w:t>
      </w:r>
      <w:r w:rsidRPr="00C73732">
        <w:t>.</w:t>
      </w:r>
      <w:r w:rsidR="00153C61">
        <w:t xml:space="preserve"> </w:t>
      </w:r>
    </w:p>
    <w:p w:rsidR="00153C61" w:rsidRDefault="00153C61" w:rsidP="00153C61">
      <w:pPr>
        <w:spacing w:after="120"/>
      </w:pPr>
      <w:r w:rsidRPr="00C73732">
        <w:t>The appeal of the development projects that rely o</w:t>
      </w:r>
      <w:r w:rsidR="00E03CEF">
        <w:t>n these investments also apply</w:t>
      </w:r>
      <w:r w:rsidR="007C35BF">
        <w:t xml:space="preserve"> to job</w:t>
      </w:r>
      <w:r w:rsidRPr="00C73732">
        <w:t>seekers from other regions. For the people, presence and the promise of new jobs will provide new hope for certainty survival to obtain a regular income. However, skill that is owned by people (either local people or job seeker from outside) also determines whether promises to engage in existing industries can be met or not. With the level of education is relatively inad</w:t>
      </w:r>
      <w:r w:rsidRPr="00C73732">
        <w:t>e</w:t>
      </w:r>
      <w:r w:rsidRPr="00C73732">
        <w:t xml:space="preserve">quate and skills do not match the needs of a real industrial sector that is present in a particular area, many people then do not get involved in the industrial sector, such as oil and gas mining industry in Blok </w:t>
      </w:r>
      <w:r w:rsidRPr="00B168AD">
        <w:rPr>
          <w:i/>
        </w:rPr>
        <w:t>Cepu</w:t>
      </w:r>
      <w:r w:rsidRPr="00C73732">
        <w:t>. At the same time, the second exclusion occurs, after people exclude from their own land, later they do not accept as a worker in a factory or industrial sectors built.</w:t>
      </w:r>
    </w:p>
    <w:p w:rsidR="00153C61" w:rsidRPr="006A556A" w:rsidRDefault="00153C61" w:rsidP="00153C61">
      <w:pPr>
        <w:pStyle w:val="Heading2"/>
      </w:pPr>
      <w:bookmarkStart w:id="136" w:name="_Toc340497440"/>
      <w:r>
        <w:lastRenderedPageBreak/>
        <w:t xml:space="preserve">4.3. </w:t>
      </w:r>
      <w:bookmarkStart w:id="137" w:name="_Toc340135849"/>
      <w:r w:rsidRPr="006A556A">
        <w:t>‘Social Exclusion’ in Java</w:t>
      </w:r>
      <w:r w:rsidR="00BE0CDA">
        <w:t>’s</w:t>
      </w:r>
      <w:r w:rsidRPr="006A556A">
        <w:t xml:space="preserve"> Economic Corridor</w:t>
      </w:r>
      <w:bookmarkEnd w:id="136"/>
      <w:bookmarkEnd w:id="137"/>
    </w:p>
    <w:p w:rsidR="00153C61" w:rsidRDefault="00153C61" w:rsidP="00153C61">
      <w:pPr>
        <w:spacing w:after="120"/>
      </w:pPr>
      <w:r>
        <w:t xml:space="preserve">This study keeps using ‘social exclusion’ in terms of explaining on impact to local people. </w:t>
      </w:r>
      <w:r w:rsidRPr="00C2233C">
        <w:t>This term is still appropriate because refer to the people who are not only expelled from their live (their houses and livelihood), but they also who are integrated into the limited of existing job opportunities</w:t>
      </w:r>
      <w:r>
        <w:t xml:space="preserve">, for instances, </w:t>
      </w:r>
      <w:r w:rsidRPr="00C2233C">
        <w:t>they become a low-wage worker</w:t>
      </w:r>
      <w:r>
        <w:t xml:space="preserve">. The massively of production’s activities in the JEC’s framework will be increasing an adverse incorporation tendency. </w:t>
      </w:r>
      <w:r w:rsidRPr="00C2233C">
        <w:t>As the most populated island, Java will be as a good example explaining this ph</w:t>
      </w:r>
      <w:r w:rsidRPr="00C2233C">
        <w:t>e</w:t>
      </w:r>
      <w:r w:rsidRPr="00C2233C">
        <w:t>nomenon, due to, actually this policy, instead of taking into consideration that Java still has an opportunity opening new area for productions; the island pr</w:t>
      </w:r>
      <w:r w:rsidRPr="00C2233C">
        <w:t>o</w:t>
      </w:r>
      <w:r w:rsidRPr="00C2233C">
        <w:t>vides a huge number of labour forces</w:t>
      </w:r>
      <w:r>
        <w:t xml:space="preserve">. </w:t>
      </w:r>
    </w:p>
    <w:p w:rsidR="00153C61" w:rsidRDefault="00153C61" w:rsidP="00153C61">
      <w:pPr>
        <w:spacing w:after="120"/>
      </w:pPr>
      <w:r w:rsidRPr="00F93A03">
        <w:t xml:space="preserve">However, the reason for the abundance of labour </w:t>
      </w:r>
      <w:r>
        <w:t xml:space="preserve">is not </w:t>
      </w:r>
      <w:r w:rsidRPr="00F93A03">
        <w:t>coupled with co</w:t>
      </w:r>
      <w:r w:rsidRPr="00F93A03">
        <w:t>n</w:t>
      </w:r>
      <w:r w:rsidRPr="00F93A03">
        <w:t>sideration of the feasibility of expertise and education in the communities to be involved in large-scale projects of this magnitude.</w:t>
      </w:r>
      <w:r>
        <w:t xml:space="preserve"> </w:t>
      </w:r>
      <w:r w:rsidRPr="00F93A03">
        <w:t>The general condition of the education background in Java is not considered ready to enter automatically into the production with high technology.</w:t>
      </w:r>
      <w:r>
        <w:t xml:space="preserve"> </w:t>
      </w:r>
      <w:r w:rsidRPr="00F93A03">
        <w:t>However, the technology used will still require a human to run</w:t>
      </w:r>
      <w:r>
        <w:t xml:space="preserve">. </w:t>
      </w:r>
      <w:r w:rsidRPr="00F93A03">
        <w:t xml:space="preserve">If these skills are not met, then the employer will seek to bring </w:t>
      </w:r>
      <w:r>
        <w:t>the outsider experts</w:t>
      </w:r>
      <w:r w:rsidRPr="00F93A03">
        <w:t>.</w:t>
      </w:r>
    </w:p>
    <w:p w:rsidR="00153C61" w:rsidRDefault="00153C61" w:rsidP="00153C61">
      <w:pPr>
        <w:spacing w:after="120"/>
      </w:pPr>
      <w:r>
        <w:t>At the end, the provided opportunities are only a low-wage job along with education and skills level owned by people. However, due to the use of tec</w:t>
      </w:r>
      <w:r>
        <w:t>h</w:t>
      </w:r>
      <w:r>
        <w:t>nology, these opportunities will be limited, like in some cases, applied techno</w:t>
      </w:r>
      <w:r>
        <w:t>l</w:t>
      </w:r>
      <w:r>
        <w:t>ogy will replace labour forces. Therefore, the competition among people will exist and it is shrinking its possibilities to be involved to that a large-scale pr</w:t>
      </w:r>
      <w:r>
        <w:t>o</w:t>
      </w:r>
      <w:r>
        <w:t>ject automatically.</w:t>
      </w:r>
    </w:p>
    <w:p w:rsidR="005B67BF" w:rsidRPr="00153C61" w:rsidRDefault="00153C61" w:rsidP="00153C61">
      <w:r w:rsidRPr="00153C61">
        <w:t>Meanwhile, local people have been scoured and difficult choosing other production activities, because their source of production (such as land) have been sold or turned over into a development area. For them, who have not had any alternative job, it will increase an exclusion symptom of growing existing development projects. Likewise they are having a few of capital, even though they afford to survive in the midst of investment flow, they only gain a little benefit compared to the profit gained by the corporate groups.</w:t>
      </w:r>
    </w:p>
    <w:p w:rsidR="007C35BF" w:rsidRPr="007C35BF" w:rsidRDefault="007C35BF" w:rsidP="007C35BF">
      <w:pPr>
        <w:pStyle w:val="Heading2"/>
      </w:pPr>
      <w:bookmarkStart w:id="138" w:name="_Toc340497441"/>
      <w:r w:rsidRPr="007C35BF">
        <w:t>4.4. Questions for further research</w:t>
      </w:r>
      <w:bookmarkEnd w:id="138"/>
    </w:p>
    <w:p w:rsidR="007C35BF" w:rsidRPr="007C35BF" w:rsidRDefault="007C35BF" w:rsidP="007C35BF">
      <w:pPr>
        <w:ind w:firstLine="450"/>
        <w:rPr>
          <w:rFonts w:cs="Arial"/>
        </w:rPr>
      </w:pPr>
      <w:r w:rsidRPr="007C35BF">
        <w:rPr>
          <w:rFonts w:cs="Arial"/>
        </w:rPr>
        <w:t>This study has tried to explain how implementation of the MP3EI in Java, which essentially is kind of capital-driven development plan, stimulated land grabbing, strengthened land concentration, and aggravated the unequal lan</w:t>
      </w:r>
      <w:r w:rsidRPr="007C35BF">
        <w:rPr>
          <w:rFonts w:cs="Arial"/>
        </w:rPr>
        <w:t>d</w:t>
      </w:r>
      <w:r w:rsidRPr="007C35BF">
        <w:rPr>
          <w:rFonts w:cs="Arial"/>
        </w:rPr>
        <w:t>holding structure that have further consequences on the</w:t>
      </w:r>
      <w:r>
        <w:rPr>
          <w:rFonts w:cs="Arial"/>
        </w:rPr>
        <w:t xml:space="preserve"> </w:t>
      </w:r>
      <w:r w:rsidRPr="007C35BF">
        <w:rPr>
          <w:rFonts w:cs="Arial"/>
        </w:rPr>
        <w:t>social exclusion ph</w:t>
      </w:r>
      <w:r w:rsidRPr="007C35BF">
        <w:rPr>
          <w:rFonts w:cs="Arial"/>
        </w:rPr>
        <w:t>e</w:t>
      </w:r>
      <w:r w:rsidRPr="007C35BF">
        <w:rPr>
          <w:rFonts w:cs="Arial"/>
        </w:rPr>
        <w:t>nomena. However, with certain limitation on the methodology, scope and r</w:t>
      </w:r>
      <w:r w:rsidRPr="007C35BF">
        <w:rPr>
          <w:rFonts w:cs="Arial"/>
        </w:rPr>
        <w:t>e</w:t>
      </w:r>
      <w:r w:rsidRPr="007C35BF">
        <w:rPr>
          <w:rFonts w:cs="Arial"/>
        </w:rPr>
        <w:t>quirements of this study, several questions are turning up that appropriate to develop in a new research agenda. Those questions are:</w:t>
      </w:r>
    </w:p>
    <w:p w:rsidR="007C35BF" w:rsidRDefault="007C35BF" w:rsidP="007C35BF">
      <w:pPr>
        <w:numPr>
          <w:ilvl w:val="0"/>
          <w:numId w:val="44"/>
        </w:numPr>
        <w:rPr>
          <w:rFonts w:cs="Arial"/>
        </w:rPr>
      </w:pPr>
      <w:r w:rsidRPr="007C35BF">
        <w:rPr>
          <w:rFonts w:cs="Arial"/>
        </w:rPr>
        <w:t>How is the impacts and dynamics of social change forming in the areas that are not including in the area of the economic corridors, which is in the case of JEC are certain areas</w:t>
      </w:r>
      <w:r>
        <w:rPr>
          <w:rFonts w:cs="Arial"/>
        </w:rPr>
        <w:t xml:space="preserve"> </w:t>
      </w:r>
      <w:r w:rsidRPr="007C35BF">
        <w:rPr>
          <w:rFonts w:cs="Arial"/>
        </w:rPr>
        <w:t>in the southern of Java that, in fact, are a</w:t>
      </w:r>
      <w:r w:rsidRPr="007C35BF">
        <w:rPr>
          <w:rFonts w:cs="Arial"/>
        </w:rPr>
        <w:t>l</w:t>
      </w:r>
      <w:r w:rsidRPr="007C35BF">
        <w:rPr>
          <w:rFonts w:cs="Arial"/>
        </w:rPr>
        <w:t>ready less developed for many years before the idea of JEC occurred?</w:t>
      </w:r>
    </w:p>
    <w:p w:rsidR="005B67BF" w:rsidRPr="007C35BF" w:rsidRDefault="007C35BF" w:rsidP="007C35BF">
      <w:pPr>
        <w:numPr>
          <w:ilvl w:val="0"/>
          <w:numId w:val="44"/>
        </w:numPr>
        <w:rPr>
          <w:rFonts w:cs="Arial"/>
        </w:rPr>
      </w:pPr>
      <w:r w:rsidRPr="007C35BF">
        <w:rPr>
          <w:rFonts w:cs="Arial"/>
        </w:rPr>
        <w:t xml:space="preserve">Will the impacts and consequences occur in other islands and/or economic corridors being similar or different with Java’s experience, which analysed </w:t>
      </w:r>
      <w:r w:rsidRPr="007C35BF">
        <w:rPr>
          <w:rFonts w:cs="Arial"/>
        </w:rPr>
        <w:lastRenderedPageBreak/>
        <w:t xml:space="preserve">in this study, because MP3EI and its economic corridors </w:t>
      </w:r>
      <w:r>
        <w:rPr>
          <w:rFonts w:cs="Arial"/>
        </w:rPr>
        <w:t>are</w:t>
      </w:r>
      <w:r w:rsidRPr="007C35BF">
        <w:rPr>
          <w:rFonts w:cs="Arial"/>
        </w:rPr>
        <w:t xml:space="preserve"> implementing in the five other Indonesia’s main islands at the same time? Moreover in the implementation concept of the MP3EI each corridor designated as di</w:t>
      </w:r>
      <w:r w:rsidRPr="007C35BF">
        <w:rPr>
          <w:rFonts w:cs="Arial"/>
        </w:rPr>
        <w:t>f</w:t>
      </w:r>
      <w:r w:rsidRPr="007C35BF">
        <w:rPr>
          <w:rFonts w:cs="Arial"/>
        </w:rPr>
        <w:t>ferent development areas, which showed clearly on the plans of the other 5 economic corridors that its focuses on the</w:t>
      </w:r>
      <w:r>
        <w:rPr>
          <w:rFonts w:cs="Arial"/>
        </w:rPr>
        <w:t xml:space="preserve"> </w:t>
      </w:r>
      <w:r w:rsidRPr="007C35BF">
        <w:rPr>
          <w:rFonts w:cs="Arial"/>
        </w:rPr>
        <w:t>exploitation of specific natural resources. In this context, a deeply research to compare the development, dynamics and consequences of the two or three implementation of the economic corridors in Indonesia was considered would be an interesting study to enrich the academic discourse on the relationship between ec</w:t>
      </w:r>
      <w:r w:rsidRPr="007C35BF">
        <w:rPr>
          <w:rFonts w:cs="Arial"/>
        </w:rPr>
        <w:t>o</w:t>
      </w:r>
      <w:r w:rsidRPr="007C35BF">
        <w:rPr>
          <w:rFonts w:cs="Arial"/>
        </w:rPr>
        <w:t>nomic corridor policy and land grabbing and its social consequences.</w:t>
      </w:r>
    </w:p>
    <w:p w:rsidR="009400BC" w:rsidRDefault="009400BC" w:rsidP="00811427">
      <w:pPr>
        <w:pStyle w:val="Heading1"/>
      </w:pPr>
      <w:bookmarkStart w:id="139" w:name="_Toc266283475"/>
      <w:bookmarkStart w:id="140" w:name="_Toc340497442"/>
      <w:r>
        <w:lastRenderedPageBreak/>
        <w:t>References</w:t>
      </w:r>
      <w:bookmarkEnd w:id="139"/>
      <w:bookmarkEnd w:id="140"/>
    </w:p>
    <w:p w:rsidR="009731B3" w:rsidRDefault="00476E26" w:rsidP="009731B3">
      <w:pPr>
        <w:pStyle w:val="Bibliography"/>
        <w:ind w:left="720" w:hanging="720"/>
        <w:divId w:val="124813279"/>
        <w:rPr>
          <w:noProof/>
        </w:rPr>
      </w:pPr>
      <w:r w:rsidRPr="00476E26">
        <w:fldChar w:fldCharType="begin"/>
      </w:r>
      <w:r w:rsidR="001563B8">
        <w:rPr>
          <w:lang w:val="en-US"/>
        </w:rPr>
        <w:instrText xml:space="preserve"> BIBLIOGRAPHY  \l 1033 </w:instrText>
      </w:r>
      <w:r w:rsidRPr="00476E26">
        <w:fldChar w:fldCharType="separate"/>
      </w:r>
      <w:r w:rsidR="009731B3">
        <w:rPr>
          <w:noProof/>
        </w:rPr>
        <w:t xml:space="preserve">AGIL. (2000). </w:t>
      </w:r>
      <w:r w:rsidR="009731B3">
        <w:rPr>
          <w:i/>
          <w:iCs/>
          <w:noProof/>
        </w:rPr>
        <w:t>Zona Paz Economic Corridor Strategy.</w:t>
      </w:r>
      <w:r w:rsidR="009731B3">
        <w:rPr>
          <w:noProof/>
        </w:rPr>
        <w:t xml:space="preserve"> Abt Association Inc., Guatemala-CAP Income Generation Activities Project. Guatemala: Abt Association Inc.</w:t>
      </w:r>
    </w:p>
    <w:p w:rsidR="009731B3" w:rsidRDefault="009731B3" w:rsidP="009731B3">
      <w:pPr>
        <w:pStyle w:val="Bibliography"/>
        <w:ind w:left="720" w:hanging="720"/>
        <w:divId w:val="124813279"/>
        <w:rPr>
          <w:noProof/>
        </w:rPr>
      </w:pPr>
      <w:r>
        <w:rPr>
          <w:noProof/>
        </w:rPr>
        <w:t xml:space="preserve">Akram-Lodhi, A. H., Kay, C., &amp; Borras, S. M. (2009). The political Economy of Land and the Agrarian Question in an Era of Neoliberal Globalization. In A. H. Akram-Lodhi, &amp; K. Cristobal, </w:t>
      </w:r>
      <w:r>
        <w:rPr>
          <w:i/>
          <w:iCs/>
          <w:noProof/>
        </w:rPr>
        <w:t>Peasant and Globalization: Political Economy, Rural Transformation and the Agrarian Question</w:t>
      </w:r>
      <w:r>
        <w:rPr>
          <w:noProof/>
        </w:rPr>
        <w:t xml:space="preserve"> (pp. 214-238). New York: Routledge.</w:t>
      </w:r>
    </w:p>
    <w:p w:rsidR="009731B3" w:rsidRDefault="009731B3" w:rsidP="009731B3">
      <w:pPr>
        <w:pStyle w:val="Bibliography"/>
        <w:ind w:left="720" w:hanging="720"/>
        <w:divId w:val="124813279"/>
        <w:rPr>
          <w:noProof/>
        </w:rPr>
      </w:pPr>
      <w:r>
        <w:rPr>
          <w:noProof/>
        </w:rPr>
        <w:t xml:space="preserve">ARC. (2011). Gini Ratios in Indonesia 2003. </w:t>
      </w:r>
      <w:r>
        <w:rPr>
          <w:i/>
          <w:iCs/>
          <w:noProof/>
        </w:rPr>
        <w:t>ARC-Fact Sheet</w:t>
      </w:r>
      <w:r>
        <w:rPr>
          <w:noProof/>
        </w:rPr>
        <w:t xml:space="preserve"> </w:t>
      </w:r>
      <w:r>
        <w:rPr>
          <w:i/>
          <w:iCs/>
          <w:noProof/>
        </w:rPr>
        <w:t>, 1</w:t>
      </w:r>
      <w:r>
        <w:rPr>
          <w:noProof/>
        </w:rPr>
        <w:t xml:space="preserve"> . Bandung: Agrarian Resource Center.</w:t>
      </w:r>
    </w:p>
    <w:p w:rsidR="009731B3" w:rsidRDefault="009731B3" w:rsidP="009731B3">
      <w:pPr>
        <w:pStyle w:val="Bibliography"/>
        <w:ind w:left="720" w:hanging="720"/>
        <w:divId w:val="124813279"/>
        <w:rPr>
          <w:noProof/>
        </w:rPr>
      </w:pPr>
      <w:r>
        <w:rPr>
          <w:noProof/>
        </w:rPr>
        <w:t xml:space="preserve">Aritonang, D. (1999). </w:t>
      </w:r>
      <w:r>
        <w:rPr>
          <w:i/>
          <w:iCs/>
          <w:noProof/>
        </w:rPr>
        <w:t>Runtuhnya Rezim daripada Soeharto: Rekaman Perjalanan Mahasiswa Indonesia 1998.</w:t>
      </w:r>
      <w:r>
        <w:rPr>
          <w:noProof/>
        </w:rPr>
        <w:t xml:space="preserve"> Bandung: Pustaka Hidayah.</w:t>
      </w:r>
    </w:p>
    <w:p w:rsidR="009731B3" w:rsidRDefault="009731B3" w:rsidP="009731B3">
      <w:pPr>
        <w:pStyle w:val="Bibliography"/>
        <w:ind w:left="720" w:hanging="720"/>
        <w:divId w:val="124813279"/>
        <w:rPr>
          <w:noProof/>
        </w:rPr>
      </w:pPr>
      <w:r>
        <w:rPr>
          <w:noProof/>
        </w:rPr>
        <w:t xml:space="preserve">Bachriadi, D. (2010). </w:t>
      </w:r>
      <w:r>
        <w:rPr>
          <w:i/>
          <w:iCs/>
          <w:noProof/>
        </w:rPr>
        <w:t>Between Discourse and Action: Agrarian Reform and Rural Social Movements Post '1965</w:t>
      </w:r>
      <w:r>
        <w:rPr>
          <w:noProof/>
        </w:rPr>
        <w:t xml:space="preserve"> (PhD Dissertation ed., Vol. PhD Dissertation). Adelaide, South Australia: Flinders University.</w:t>
      </w:r>
    </w:p>
    <w:p w:rsidR="009731B3" w:rsidRDefault="009731B3" w:rsidP="009731B3">
      <w:pPr>
        <w:pStyle w:val="Bibliography"/>
        <w:ind w:left="720" w:hanging="720"/>
        <w:divId w:val="124813279"/>
        <w:rPr>
          <w:noProof/>
        </w:rPr>
      </w:pPr>
      <w:r>
        <w:rPr>
          <w:noProof/>
        </w:rPr>
        <w:t xml:space="preserve">Bachriadi, D. (2012, July 2012). L’histoire de la Stucture Agraire et L’inegalite en indonesie. </w:t>
      </w:r>
      <w:r>
        <w:rPr>
          <w:i/>
          <w:iCs/>
          <w:noProof/>
        </w:rPr>
        <w:t>ARC's Presentation</w:t>
      </w:r>
      <w:r>
        <w:rPr>
          <w:noProof/>
        </w:rPr>
        <w:t xml:space="preserve"> . Bandung, West Java, Indonesia: Agrarian Resources Center.</w:t>
      </w:r>
    </w:p>
    <w:p w:rsidR="009731B3" w:rsidRDefault="009731B3" w:rsidP="009731B3">
      <w:pPr>
        <w:pStyle w:val="Bibliography"/>
        <w:ind w:left="720" w:hanging="720"/>
        <w:divId w:val="124813279"/>
        <w:rPr>
          <w:noProof/>
        </w:rPr>
      </w:pPr>
      <w:r>
        <w:rPr>
          <w:noProof/>
        </w:rPr>
        <w:t xml:space="preserve">Bachriadi, D., &amp; Wiradi, G. (2011). </w:t>
      </w:r>
      <w:r>
        <w:rPr>
          <w:i/>
          <w:iCs/>
          <w:noProof/>
        </w:rPr>
        <w:t>Six Decades of Inequality: Land Tenure Problem in Indonesia.</w:t>
      </w:r>
      <w:r>
        <w:rPr>
          <w:noProof/>
        </w:rPr>
        <w:t xml:space="preserve"> Bandung: ARC, KPA, Yayasan Bina Desa.</w:t>
      </w:r>
    </w:p>
    <w:p w:rsidR="009731B3" w:rsidRDefault="009731B3" w:rsidP="009731B3">
      <w:pPr>
        <w:pStyle w:val="Bibliography"/>
        <w:ind w:left="720" w:hanging="720"/>
        <w:divId w:val="124813279"/>
        <w:rPr>
          <w:noProof/>
        </w:rPr>
      </w:pPr>
      <w:r>
        <w:rPr>
          <w:noProof/>
        </w:rPr>
        <w:t xml:space="preserve">Bafoil, F., &amp; Ruiwen, L. (2010). Re-examining the Role of Transport Infrastructure in Trade, Regional Growth and Governance: Comparing the Greater Mekong Subregion (GMS) and Central Eastern Europe (CEE). </w:t>
      </w:r>
      <w:r>
        <w:rPr>
          <w:i/>
          <w:iCs/>
          <w:noProof/>
        </w:rPr>
        <w:t>Journal of Current Southeast Asian Affairs</w:t>
      </w:r>
      <w:r>
        <w:rPr>
          <w:noProof/>
        </w:rPr>
        <w:t xml:space="preserve"> </w:t>
      </w:r>
      <w:r>
        <w:rPr>
          <w:i/>
          <w:iCs/>
          <w:noProof/>
        </w:rPr>
        <w:t>, 29</w:t>
      </w:r>
      <w:r>
        <w:rPr>
          <w:noProof/>
        </w:rPr>
        <w:t xml:space="preserve"> (2), 73-119.</w:t>
      </w:r>
    </w:p>
    <w:p w:rsidR="009731B3" w:rsidRDefault="009731B3" w:rsidP="009731B3">
      <w:pPr>
        <w:pStyle w:val="Bibliography"/>
        <w:ind w:left="720" w:hanging="720"/>
        <w:divId w:val="124813279"/>
        <w:rPr>
          <w:noProof/>
        </w:rPr>
      </w:pPr>
      <w:r>
        <w:rPr>
          <w:noProof/>
        </w:rPr>
        <w:t xml:space="preserve">Bank Indonesia. (2003). </w:t>
      </w:r>
      <w:r>
        <w:rPr>
          <w:i/>
          <w:iCs/>
          <w:noProof/>
        </w:rPr>
        <w:t>Lapora Tahunan Bank Indonesia 2002.</w:t>
      </w:r>
      <w:r>
        <w:rPr>
          <w:noProof/>
        </w:rPr>
        <w:t xml:space="preserve"> Jakarta: Bank Indonesia.</w:t>
      </w:r>
    </w:p>
    <w:p w:rsidR="009731B3" w:rsidRDefault="009731B3" w:rsidP="009731B3">
      <w:pPr>
        <w:pStyle w:val="Bibliography"/>
        <w:ind w:left="720" w:hanging="720"/>
        <w:divId w:val="124813279"/>
        <w:rPr>
          <w:noProof/>
        </w:rPr>
      </w:pPr>
      <w:r>
        <w:rPr>
          <w:noProof/>
        </w:rPr>
        <w:t xml:space="preserve">Bank Indonesia. (2004). </w:t>
      </w:r>
      <w:r>
        <w:rPr>
          <w:i/>
          <w:iCs/>
          <w:noProof/>
        </w:rPr>
        <w:t>Laporan Perekonomian Indonesia 2003.</w:t>
      </w:r>
      <w:r>
        <w:rPr>
          <w:noProof/>
        </w:rPr>
        <w:t xml:space="preserve"> Jakarta: Bank Indonesia.</w:t>
      </w:r>
    </w:p>
    <w:p w:rsidR="009731B3" w:rsidRDefault="009731B3" w:rsidP="009731B3">
      <w:pPr>
        <w:pStyle w:val="Bibliography"/>
        <w:ind w:left="720" w:hanging="720"/>
        <w:divId w:val="124813279"/>
        <w:rPr>
          <w:noProof/>
        </w:rPr>
      </w:pPr>
      <w:r>
        <w:rPr>
          <w:noProof/>
        </w:rPr>
        <w:t xml:space="preserve">Bank Indonesia. (2008). </w:t>
      </w:r>
      <w:r>
        <w:rPr>
          <w:i/>
          <w:iCs/>
          <w:noProof/>
        </w:rPr>
        <w:t>Laporan Perekonomian Indonesia 2007: Menjaga Stabilitas Mendukung Pembangunan Ekonomi Negri.</w:t>
      </w:r>
      <w:r>
        <w:rPr>
          <w:noProof/>
        </w:rPr>
        <w:t xml:space="preserve"> Jakarta: Bank Indonesia.</w:t>
      </w:r>
    </w:p>
    <w:p w:rsidR="009731B3" w:rsidRDefault="009731B3" w:rsidP="009731B3">
      <w:pPr>
        <w:pStyle w:val="Bibliography"/>
        <w:ind w:left="720" w:hanging="720"/>
        <w:divId w:val="124813279"/>
        <w:rPr>
          <w:noProof/>
        </w:rPr>
      </w:pPr>
      <w:r>
        <w:rPr>
          <w:noProof/>
        </w:rPr>
        <w:t xml:space="preserve">Bank Indonesia. (1999). </w:t>
      </w:r>
      <w:r>
        <w:rPr>
          <w:i/>
          <w:iCs/>
          <w:noProof/>
        </w:rPr>
        <w:t>Laporan Tahunan 1998-1999 Bank Indonesia.</w:t>
      </w:r>
      <w:r>
        <w:rPr>
          <w:noProof/>
        </w:rPr>
        <w:t xml:space="preserve"> Jakarta: Bank Indonesia.</w:t>
      </w:r>
    </w:p>
    <w:p w:rsidR="009731B3" w:rsidRDefault="009731B3" w:rsidP="009731B3">
      <w:pPr>
        <w:pStyle w:val="Bibliography"/>
        <w:ind w:left="720" w:hanging="720"/>
        <w:divId w:val="124813279"/>
        <w:rPr>
          <w:noProof/>
        </w:rPr>
      </w:pPr>
      <w:r>
        <w:rPr>
          <w:noProof/>
        </w:rPr>
        <w:t xml:space="preserve">Bank Indonesia. (2002). </w:t>
      </w:r>
      <w:r>
        <w:rPr>
          <w:i/>
          <w:iCs/>
          <w:noProof/>
        </w:rPr>
        <w:t>Laporan Tahunan Bank Indonesia 2001.</w:t>
      </w:r>
      <w:r>
        <w:rPr>
          <w:noProof/>
        </w:rPr>
        <w:t xml:space="preserve"> Jakarta: Bank Indonesia.</w:t>
      </w:r>
    </w:p>
    <w:p w:rsidR="009731B3" w:rsidRDefault="009731B3" w:rsidP="009731B3">
      <w:pPr>
        <w:pStyle w:val="Bibliography"/>
        <w:ind w:left="720" w:hanging="720"/>
        <w:divId w:val="124813279"/>
        <w:rPr>
          <w:noProof/>
        </w:rPr>
      </w:pPr>
      <w:r>
        <w:rPr>
          <w:noProof/>
        </w:rPr>
        <w:t xml:space="preserve">Bender, S. O. (2001). Trade Corridors: The Emerging Regional Development Planning Unit in Latin America. In D. W. Edgington, A. L. Fernandez, &amp; C. Hoshino, </w:t>
      </w:r>
      <w:r>
        <w:rPr>
          <w:i/>
          <w:iCs/>
          <w:noProof/>
        </w:rPr>
        <w:t>New Regional Development Paradigms: New Regions - Concepts, Issue and Practices</w:t>
      </w:r>
      <w:r>
        <w:rPr>
          <w:noProof/>
        </w:rPr>
        <w:t xml:space="preserve"> (pp. 39-58). London: Greenwoods Press.</w:t>
      </w:r>
    </w:p>
    <w:p w:rsidR="009731B3" w:rsidRDefault="009731B3" w:rsidP="009731B3">
      <w:pPr>
        <w:pStyle w:val="Bibliography"/>
        <w:ind w:left="720" w:hanging="720"/>
        <w:divId w:val="124813279"/>
        <w:rPr>
          <w:noProof/>
        </w:rPr>
      </w:pPr>
      <w:r>
        <w:rPr>
          <w:noProof/>
        </w:rPr>
        <w:t xml:space="preserve">Booth, A. (1988). </w:t>
      </w:r>
      <w:r>
        <w:rPr>
          <w:i/>
          <w:iCs/>
          <w:noProof/>
        </w:rPr>
        <w:t>Agricultural Development in Indonesia.</w:t>
      </w:r>
      <w:r>
        <w:rPr>
          <w:noProof/>
        </w:rPr>
        <w:t xml:space="preserve"> Sydney: Allen &amp; Unwin.</w:t>
      </w:r>
    </w:p>
    <w:p w:rsidR="009731B3" w:rsidRDefault="009731B3" w:rsidP="009731B3">
      <w:pPr>
        <w:pStyle w:val="Bibliography"/>
        <w:ind w:left="720" w:hanging="720"/>
        <w:divId w:val="124813279"/>
        <w:rPr>
          <w:noProof/>
        </w:rPr>
      </w:pPr>
      <w:r>
        <w:rPr>
          <w:noProof/>
        </w:rPr>
        <w:t xml:space="preserve">Borras, S. M., &amp; Franco, J. C. (2012). Global Land Grabbing and Trajectories of Agrarian Changes: A Preliminary Analysis. </w:t>
      </w:r>
      <w:r>
        <w:rPr>
          <w:i/>
          <w:iCs/>
          <w:noProof/>
        </w:rPr>
        <w:t>Journal of Agrarian Change</w:t>
      </w:r>
      <w:r>
        <w:rPr>
          <w:noProof/>
        </w:rPr>
        <w:t xml:space="preserve"> </w:t>
      </w:r>
      <w:r>
        <w:rPr>
          <w:i/>
          <w:iCs/>
          <w:noProof/>
        </w:rPr>
        <w:t>, 12</w:t>
      </w:r>
      <w:r>
        <w:rPr>
          <w:noProof/>
        </w:rPr>
        <w:t xml:space="preserve"> (1), 34-59.</w:t>
      </w:r>
    </w:p>
    <w:p w:rsidR="009731B3" w:rsidRDefault="009731B3" w:rsidP="009731B3">
      <w:pPr>
        <w:pStyle w:val="Bibliography"/>
        <w:ind w:left="720" w:hanging="720"/>
        <w:divId w:val="124813279"/>
        <w:rPr>
          <w:noProof/>
        </w:rPr>
      </w:pPr>
      <w:r>
        <w:rPr>
          <w:noProof/>
        </w:rPr>
        <w:lastRenderedPageBreak/>
        <w:t xml:space="preserve">Borras, S. M., &amp; Franco, J. C. (2011). </w:t>
      </w:r>
      <w:r>
        <w:rPr>
          <w:i/>
          <w:iCs/>
          <w:noProof/>
        </w:rPr>
        <w:t>Political Dynamics of Land Grabbing in Souteast Asia: Understanding Europe's Role.</w:t>
      </w:r>
      <w:r>
        <w:rPr>
          <w:noProof/>
        </w:rPr>
        <w:t xml:space="preserve"> Amsterdam: Transnational Institute.</w:t>
      </w:r>
    </w:p>
    <w:p w:rsidR="009731B3" w:rsidRDefault="009731B3" w:rsidP="009731B3">
      <w:pPr>
        <w:pStyle w:val="Bibliography"/>
        <w:ind w:left="720" w:hanging="720"/>
        <w:divId w:val="124813279"/>
        <w:rPr>
          <w:noProof/>
        </w:rPr>
      </w:pPr>
      <w:r>
        <w:rPr>
          <w:noProof/>
        </w:rPr>
        <w:t xml:space="preserve">Borras, S. M., &amp; Franco, J. C. (2010, May). Towards a Broader View of the Polictics of Global Land Grab: Rethinking Land Issues, Reframing Resistance. </w:t>
      </w:r>
      <w:r>
        <w:rPr>
          <w:i/>
          <w:iCs/>
          <w:noProof/>
        </w:rPr>
        <w:t>ICAS Working Paper</w:t>
      </w:r>
      <w:r>
        <w:rPr>
          <w:noProof/>
        </w:rPr>
        <w:t xml:space="preserve"> </w:t>
      </w:r>
      <w:r>
        <w:rPr>
          <w:i/>
          <w:iCs/>
          <w:noProof/>
        </w:rPr>
        <w:t>, 001</w:t>
      </w:r>
      <w:r>
        <w:rPr>
          <w:noProof/>
        </w:rPr>
        <w:t>.</w:t>
      </w:r>
    </w:p>
    <w:p w:rsidR="009731B3" w:rsidRDefault="009731B3" w:rsidP="009731B3">
      <w:pPr>
        <w:pStyle w:val="Bibliography"/>
        <w:ind w:left="720" w:hanging="720"/>
        <w:divId w:val="124813279"/>
        <w:rPr>
          <w:noProof/>
        </w:rPr>
      </w:pPr>
      <w:r>
        <w:rPr>
          <w:noProof/>
        </w:rPr>
        <w:t xml:space="preserve">Borras, S. M., Franco, J. C., Kay, C., &amp; Spoor, M. (2011, November 14-15). Land Grabbing in Latin America and the Carribean Viewed from Broader International Perspectives. </w:t>
      </w:r>
      <w:r>
        <w:rPr>
          <w:i/>
          <w:iCs/>
          <w:noProof/>
        </w:rPr>
        <w:t>A Paper Prepared for and Presented at the Latin America and Carribean Seminar</w:t>
      </w:r>
      <w:r>
        <w:rPr>
          <w:noProof/>
        </w:rPr>
        <w:t xml:space="preserve"> . Santiago, Chile: FAO Regional Office.</w:t>
      </w:r>
    </w:p>
    <w:p w:rsidR="009731B3" w:rsidRDefault="009731B3" w:rsidP="009731B3">
      <w:pPr>
        <w:pStyle w:val="Bibliography"/>
        <w:ind w:left="720" w:hanging="720"/>
        <w:divId w:val="124813279"/>
        <w:rPr>
          <w:noProof/>
        </w:rPr>
      </w:pPr>
      <w:r>
        <w:rPr>
          <w:noProof/>
        </w:rPr>
        <w:t xml:space="preserve">Bovaird, T. (2004). Public–private partnerships: from contested concepts to prevalent practice. </w:t>
      </w:r>
      <w:r>
        <w:rPr>
          <w:i/>
          <w:iCs/>
          <w:noProof/>
        </w:rPr>
        <w:t>International Review of Administrative Sciences</w:t>
      </w:r>
      <w:r>
        <w:rPr>
          <w:noProof/>
        </w:rPr>
        <w:t xml:space="preserve"> </w:t>
      </w:r>
      <w:r>
        <w:rPr>
          <w:i/>
          <w:iCs/>
          <w:noProof/>
        </w:rPr>
        <w:t>, 70</w:t>
      </w:r>
      <w:r>
        <w:rPr>
          <w:noProof/>
        </w:rPr>
        <w:t xml:space="preserve"> (2), 199-215.</w:t>
      </w:r>
    </w:p>
    <w:p w:rsidR="009731B3" w:rsidRDefault="009731B3" w:rsidP="009731B3">
      <w:pPr>
        <w:pStyle w:val="Bibliography"/>
        <w:ind w:left="720" w:hanging="720"/>
        <w:divId w:val="124813279"/>
        <w:rPr>
          <w:noProof/>
        </w:rPr>
      </w:pPr>
      <w:r>
        <w:rPr>
          <w:noProof/>
        </w:rPr>
        <w:t xml:space="preserve">BPS. (Agustus 2011). </w:t>
      </w:r>
      <w:r>
        <w:rPr>
          <w:i/>
          <w:iCs/>
          <w:noProof/>
        </w:rPr>
        <w:t>Laporan Bulanan Data Sosial Ekonomi</w:t>
      </w:r>
      <w:r>
        <w:rPr>
          <w:noProof/>
        </w:rPr>
        <w:t xml:space="preserve"> (15 ed.). Jakarta: Badan Pusat Statistik.</w:t>
      </w:r>
    </w:p>
    <w:p w:rsidR="009731B3" w:rsidRDefault="009731B3" w:rsidP="009731B3">
      <w:pPr>
        <w:pStyle w:val="Bibliography"/>
        <w:ind w:left="720" w:hanging="720"/>
        <w:divId w:val="124813279"/>
        <w:rPr>
          <w:noProof/>
        </w:rPr>
      </w:pPr>
      <w:r>
        <w:rPr>
          <w:noProof/>
        </w:rPr>
        <w:t xml:space="preserve">BPS. (Agustus 2010). </w:t>
      </w:r>
      <w:r>
        <w:rPr>
          <w:i/>
          <w:iCs/>
          <w:noProof/>
        </w:rPr>
        <w:t>Laporan Bulanan: Data Sosial Ekonomi</w:t>
      </w:r>
      <w:r>
        <w:rPr>
          <w:noProof/>
        </w:rPr>
        <w:t xml:space="preserve"> (3 ed.). Jakarta: Badan Pusat Statistik.</w:t>
      </w:r>
    </w:p>
    <w:p w:rsidR="009731B3" w:rsidRDefault="009731B3" w:rsidP="009731B3">
      <w:pPr>
        <w:pStyle w:val="Bibliography"/>
        <w:ind w:left="720" w:hanging="720"/>
        <w:divId w:val="124813279"/>
        <w:rPr>
          <w:noProof/>
        </w:rPr>
      </w:pPr>
      <w:r>
        <w:rPr>
          <w:noProof/>
        </w:rPr>
        <w:t xml:space="preserve">Chapman, D., Pratt, D., Larkham, P., &amp; Dickins, I. (2003). Concepts and Definition of Corridors: Evidence from England's Midlands. </w:t>
      </w:r>
      <w:r>
        <w:rPr>
          <w:i/>
          <w:iCs/>
          <w:noProof/>
        </w:rPr>
        <w:t>Journal of Transport Geography</w:t>
      </w:r>
      <w:r>
        <w:rPr>
          <w:noProof/>
        </w:rPr>
        <w:t xml:space="preserve"> </w:t>
      </w:r>
      <w:r>
        <w:rPr>
          <w:i/>
          <w:iCs/>
          <w:noProof/>
        </w:rPr>
        <w:t>, 11</w:t>
      </w:r>
      <w:r>
        <w:rPr>
          <w:noProof/>
        </w:rPr>
        <w:t>, 179-191.</w:t>
      </w:r>
    </w:p>
    <w:p w:rsidR="009731B3" w:rsidRDefault="009731B3" w:rsidP="009731B3">
      <w:pPr>
        <w:pStyle w:val="Bibliography"/>
        <w:ind w:left="720" w:hanging="720"/>
        <w:divId w:val="124813279"/>
        <w:rPr>
          <w:noProof/>
        </w:rPr>
      </w:pPr>
      <w:r>
        <w:rPr>
          <w:noProof/>
        </w:rPr>
        <w:t xml:space="preserve">Coordinating Ministry of Economic Affairs. (2011). </w:t>
      </w:r>
      <w:r>
        <w:rPr>
          <w:i/>
          <w:iCs/>
          <w:noProof/>
        </w:rPr>
        <w:t>Masterplan for Acceleration and Expansion of Indonesia Economic Development.</w:t>
      </w:r>
      <w:r>
        <w:rPr>
          <w:noProof/>
        </w:rPr>
        <w:t xml:space="preserve"> (C. M. Deputy Minister for Coordinating Infrastructure and Regional Development, Ed.) Jakarta: Coordinating Ministry For Economic Affairs.</w:t>
      </w:r>
    </w:p>
    <w:p w:rsidR="009731B3" w:rsidRDefault="009731B3" w:rsidP="009731B3">
      <w:pPr>
        <w:pStyle w:val="Bibliography"/>
        <w:ind w:left="720" w:hanging="720"/>
        <w:divId w:val="124813279"/>
        <w:rPr>
          <w:noProof/>
        </w:rPr>
      </w:pPr>
      <w:r>
        <w:rPr>
          <w:noProof/>
        </w:rPr>
        <w:t xml:space="preserve">Department of Public Work. (2009). </w:t>
      </w:r>
      <w:r>
        <w:rPr>
          <w:i/>
          <w:iCs/>
          <w:noProof/>
        </w:rPr>
        <w:t>Departemen Pekerjaan Umum.</w:t>
      </w:r>
      <w:r>
        <w:rPr>
          <w:noProof/>
        </w:rPr>
        <w:t xml:space="preserve"> Retrieved September 5, 2012, from Sosial Ekonomi dan Lingkungan: http://sosekling.pu.go.id/database/database/lihatdokumen/37/4-5ff3079753cdd78dffaadb9b56b5de4b25649a86.pdf</w:t>
      </w:r>
    </w:p>
    <w:p w:rsidR="009731B3" w:rsidRDefault="009731B3" w:rsidP="009731B3">
      <w:pPr>
        <w:pStyle w:val="Bibliography"/>
        <w:ind w:left="720" w:hanging="720"/>
        <w:divId w:val="124813279"/>
        <w:rPr>
          <w:noProof/>
        </w:rPr>
      </w:pPr>
      <w:r>
        <w:rPr>
          <w:noProof/>
        </w:rPr>
        <w:t xml:space="preserve">Ellis, F. (1992). The Neoclassical Theory of Farm Production. In F. Ellis, </w:t>
      </w:r>
      <w:r>
        <w:rPr>
          <w:i/>
          <w:iCs/>
          <w:noProof/>
        </w:rPr>
        <w:t>Peasant Economics: Farm Households and Agrarian Development</w:t>
      </w:r>
      <w:r>
        <w:rPr>
          <w:noProof/>
        </w:rPr>
        <w:t xml:space="preserve"> (2nd ed., pp. 17-44). Cambridge: Cambridge University Press.</w:t>
      </w:r>
    </w:p>
    <w:p w:rsidR="009731B3" w:rsidRDefault="009731B3" w:rsidP="009731B3">
      <w:pPr>
        <w:pStyle w:val="Bibliography"/>
        <w:ind w:left="720" w:hanging="720"/>
        <w:divId w:val="124813279"/>
        <w:rPr>
          <w:noProof/>
        </w:rPr>
      </w:pPr>
      <w:r>
        <w:rPr>
          <w:noProof/>
        </w:rPr>
        <w:t xml:space="preserve">Fairhead, J., Leach, M., &amp; Scoones, I. (2012). Green Grabbing: A New Appropriation of Nature? </w:t>
      </w:r>
      <w:r>
        <w:rPr>
          <w:i/>
          <w:iCs/>
          <w:noProof/>
        </w:rPr>
        <w:t>Journal of Peasant Studies</w:t>
      </w:r>
      <w:r>
        <w:rPr>
          <w:noProof/>
        </w:rPr>
        <w:t xml:space="preserve"> </w:t>
      </w:r>
      <w:r>
        <w:rPr>
          <w:i/>
          <w:iCs/>
          <w:noProof/>
        </w:rPr>
        <w:t>, 39</w:t>
      </w:r>
      <w:r>
        <w:rPr>
          <w:noProof/>
        </w:rPr>
        <w:t xml:space="preserve"> (2), 237-261.</w:t>
      </w:r>
    </w:p>
    <w:p w:rsidR="009731B3" w:rsidRDefault="009731B3" w:rsidP="009731B3">
      <w:pPr>
        <w:pStyle w:val="Bibliography"/>
        <w:ind w:left="720" w:hanging="720"/>
        <w:divId w:val="124813279"/>
        <w:rPr>
          <w:noProof/>
        </w:rPr>
      </w:pPr>
      <w:r>
        <w:rPr>
          <w:noProof/>
        </w:rPr>
        <w:t xml:space="preserve">Forrester, G., &amp; May, R. J. (1998). </w:t>
      </w:r>
      <w:r>
        <w:rPr>
          <w:i/>
          <w:iCs/>
          <w:noProof/>
        </w:rPr>
        <w:t>The Fall of Soeharto.</w:t>
      </w:r>
      <w:r>
        <w:rPr>
          <w:noProof/>
        </w:rPr>
        <w:t xml:space="preserve"> London: C. Hurst &amp; Co.</w:t>
      </w:r>
    </w:p>
    <w:p w:rsidR="009731B3" w:rsidRDefault="009731B3" w:rsidP="009731B3">
      <w:pPr>
        <w:pStyle w:val="Bibliography"/>
        <w:ind w:left="720" w:hanging="720"/>
        <w:divId w:val="124813279"/>
        <w:rPr>
          <w:noProof/>
        </w:rPr>
      </w:pPr>
      <w:r>
        <w:rPr>
          <w:noProof/>
        </w:rPr>
        <w:t xml:space="preserve">Fung, K., Garcia-Herrero, A., &amp; Ng, F. (2009). </w:t>
      </w:r>
      <w:r>
        <w:rPr>
          <w:i/>
          <w:iCs/>
          <w:noProof/>
        </w:rPr>
        <w:t>Foreign Direct Investment in Cross-Border Infrastructure Project I.</w:t>
      </w:r>
      <w:r>
        <w:rPr>
          <w:noProof/>
        </w:rPr>
        <w:t xml:space="preserve"> University of California, BBVA, World Bank.</w:t>
      </w:r>
    </w:p>
    <w:p w:rsidR="009731B3" w:rsidRDefault="009731B3" w:rsidP="009731B3">
      <w:pPr>
        <w:pStyle w:val="Bibliography"/>
        <w:ind w:left="720" w:hanging="720"/>
        <w:divId w:val="124813279"/>
        <w:rPr>
          <w:noProof/>
        </w:rPr>
      </w:pPr>
      <w:r>
        <w:rPr>
          <w:noProof/>
        </w:rPr>
        <w:t xml:space="preserve">Girling, J. (1987). </w:t>
      </w:r>
      <w:r>
        <w:rPr>
          <w:i/>
          <w:iCs/>
          <w:noProof/>
        </w:rPr>
        <w:t>Capital and Power: Political Economy and Social Transformation.</w:t>
      </w:r>
      <w:r>
        <w:rPr>
          <w:noProof/>
        </w:rPr>
        <w:t xml:space="preserve"> London, New York and Sydney: Croom Helm.</w:t>
      </w:r>
    </w:p>
    <w:p w:rsidR="009731B3" w:rsidRDefault="009731B3" w:rsidP="009731B3">
      <w:pPr>
        <w:pStyle w:val="Bibliography"/>
        <w:ind w:left="720" w:hanging="720"/>
        <w:divId w:val="124813279"/>
        <w:rPr>
          <w:noProof/>
        </w:rPr>
      </w:pPr>
      <w:r>
        <w:rPr>
          <w:noProof/>
        </w:rPr>
        <w:t xml:space="preserve">Goeltom, M. S. (2008, December). Capital Flows in Indonesia: Challenges and Policy Responses. </w:t>
      </w:r>
      <w:r>
        <w:rPr>
          <w:i/>
          <w:iCs/>
          <w:noProof/>
        </w:rPr>
        <w:t>BIS Paper</w:t>
      </w:r>
      <w:r>
        <w:rPr>
          <w:noProof/>
        </w:rPr>
        <w:t xml:space="preserve"> </w:t>
      </w:r>
      <w:r>
        <w:rPr>
          <w:i/>
          <w:iCs/>
          <w:noProof/>
        </w:rPr>
        <w:t>, 44</w:t>
      </w:r>
      <w:r>
        <w:rPr>
          <w:noProof/>
        </w:rPr>
        <w:t xml:space="preserve"> , 265-287. Bank for International Settlement.</w:t>
      </w:r>
    </w:p>
    <w:p w:rsidR="009731B3" w:rsidRDefault="009731B3" w:rsidP="009731B3">
      <w:pPr>
        <w:pStyle w:val="Bibliography"/>
        <w:ind w:left="720" w:hanging="720"/>
        <w:divId w:val="124813279"/>
        <w:rPr>
          <w:noProof/>
        </w:rPr>
      </w:pPr>
      <w:r>
        <w:rPr>
          <w:noProof/>
        </w:rPr>
        <w:t xml:space="preserve">Grindle, M. S. (1996). </w:t>
      </w:r>
      <w:r>
        <w:rPr>
          <w:i/>
          <w:iCs/>
          <w:noProof/>
        </w:rPr>
        <w:t>Challenging the State: Crisis and Innovation in Latin America and Africa.</w:t>
      </w:r>
      <w:r>
        <w:rPr>
          <w:noProof/>
        </w:rPr>
        <w:t xml:space="preserve"> Cambridge: Cambridge University Press.</w:t>
      </w:r>
    </w:p>
    <w:p w:rsidR="009731B3" w:rsidRDefault="009731B3" w:rsidP="009731B3">
      <w:pPr>
        <w:pStyle w:val="Bibliography"/>
        <w:ind w:left="720" w:hanging="720"/>
        <w:divId w:val="124813279"/>
        <w:rPr>
          <w:noProof/>
        </w:rPr>
      </w:pPr>
      <w:r>
        <w:rPr>
          <w:noProof/>
        </w:rPr>
        <w:lastRenderedPageBreak/>
        <w:t xml:space="preserve">Hall, D., Hirsch, P., &amp; Li, T. M. (2011). </w:t>
      </w:r>
      <w:r>
        <w:rPr>
          <w:i/>
          <w:iCs/>
          <w:noProof/>
        </w:rPr>
        <w:t>Powers of Exclusion: Land Dilemmas in Southeast Asia.</w:t>
      </w:r>
      <w:r>
        <w:rPr>
          <w:noProof/>
        </w:rPr>
        <w:t xml:space="preserve"> Singapore: NUS Press.</w:t>
      </w:r>
    </w:p>
    <w:p w:rsidR="009731B3" w:rsidRDefault="009731B3" w:rsidP="009731B3">
      <w:pPr>
        <w:pStyle w:val="Bibliography"/>
        <w:ind w:left="720" w:hanging="720"/>
        <w:divId w:val="124813279"/>
        <w:rPr>
          <w:noProof/>
        </w:rPr>
      </w:pPr>
      <w:r>
        <w:rPr>
          <w:noProof/>
        </w:rPr>
        <w:t xml:space="preserve">Harvey, D. (2005). </w:t>
      </w:r>
      <w:r>
        <w:rPr>
          <w:i/>
          <w:iCs/>
          <w:noProof/>
        </w:rPr>
        <w:t>A Brief History of Neoliberalism.</w:t>
      </w:r>
      <w:r>
        <w:rPr>
          <w:noProof/>
        </w:rPr>
        <w:t xml:space="preserve"> Oxford: Oxford University Press.</w:t>
      </w:r>
    </w:p>
    <w:p w:rsidR="009731B3" w:rsidRDefault="009731B3" w:rsidP="009731B3">
      <w:pPr>
        <w:pStyle w:val="Bibliography"/>
        <w:ind w:left="720" w:hanging="720"/>
        <w:divId w:val="124813279"/>
        <w:rPr>
          <w:noProof/>
        </w:rPr>
      </w:pPr>
      <w:r>
        <w:rPr>
          <w:noProof/>
        </w:rPr>
        <w:t xml:space="preserve">Harvey, D. (2012). </w:t>
      </w:r>
      <w:r>
        <w:rPr>
          <w:i/>
          <w:iCs/>
          <w:noProof/>
        </w:rPr>
        <w:t>Rebel Cities: From the Right to the City to the Urban Revolution.</w:t>
      </w:r>
      <w:r>
        <w:rPr>
          <w:noProof/>
        </w:rPr>
        <w:t xml:space="preserve"> London-New York: Verso.</w:t>
      </w:r>
    </w:p>
    <w:p w:rsidR="009731B3" w:rsidRDefault="009731B3" w:rsidP="009731B3">
      <w:pPr>
        <w:pStyle w:val="Bibliography"/>
        <w:ind w:left="720" w:hanging="720"/>
        <w:divId w:val="124813279"/>
        <w:rPr>
          <w:noProof/>
        </w:rPr>
      </w:pPr>
      <w:r>
        <w:rPr>
          <w:noProof/>
        </w:rPr>
        <w:t xml:space="preserve">Harvey, D. (2010). </w:t>
      </w:r>
      <w:r>
        <w:rPr>
          <w:i/>
          <w:iCs/>
          <w:noProof/>
        </w:rPr>
        <w:t>The Enigma of Capital and the Crises of Capitalism.</w:t>
      </w:r>
      <w:r>
        <w:rPr>
          <w:noProof/>
        </w:rPr>
        <w:t xml:space="preserve"> New York: Oxford University Press.</w:t>
      </w:r>
    </w:p>
    <w:p w:rsidR="009731B3" w:rsidRDefault="009731B3" w:rsidP="009731B3">
      <w:pPr>
        <w:pStyle w:val="Bibliography"/>
        <w:ind w:left="720" w:hanging="720"/>
        <w:divId w:val="124813279"/>
        <w:rPr>
          <w:noProof/>
        </w:rPr>
      </w:pPr>
      <w:r>
        <w:rPr>
          <w:noProof/>
        </w:rPr>
        <w:t xml:space="preserve">Harvey, D. (2001). The Geography of Capitalist Accumulation: A Reconstruction of Marxian Theory. In D. Harvey, </w:t>
      </w:r>
      <w:r>
        <w:rPr>
          <w:i/>
          <w:iCs/>
          <w:noProof/>
        </w:rPr>
        <w:t>Space of Capital: Towards a Critical Geography</w:t>
      </w:r>
      <w:r>
        <w:rPr>
          <w:noProof/>
        </w:rPr>
        <w:t xml:space="preserve"> (pp. 237-266). New York: Routledge.</w:t>
      </w:r>
    </w:p>
    <w:p w:rsidR="009731B3" w:rsidRDefault="009731B3" w:rsidP="009731B3">
      <w:pPr>
        <w:pStyle w:val="Bibliography"/>
        <w:ind w:left="720" w:hanging="720"/>
        <w:divId w:val="124813279"/>
        <w:rPr>
          <w:noProof/>
        </w:rPr>
      </w:pPr>
      <w:r>
        <w:rPr>
          <w:noProof/>
        </w:rPr>
        <w:t xml:space="preserve">Harvey, D. (2003). </w:t>
      </w:r>
      <w:r>
        <w:rPr>
          <w:i/>
          <w:iCs/>
          <w:noProof/>
        </w:rPr>
        <w:t>The New Imperialism.</w:t>
      </w:r>
      <w:r>
        <w:rPr>
          <w:noProof/>
        </w:rPr>
        <w:t xml:space="preserve"> New York: Oxford University Press.</w:t>
      </w:r>
    </w:p>
    <w:p w:rsidR="009731B3" w:rsidRDefault="009731B3" w:rsidP="009731B3">
      <w:pPr>
        <w:pStyle w:val="Bibliography"/>
        <w:ind w:left="720" w:hanging="720"/>
        <w:divId w:val="124813279"/>
        <w:rPr>
          <w:noProof/>
        </w:rPr>
      </w:pPr>
      <w:r>
        <w:rPr>
          <w:noProof/>
        </w:rPr>
        <w:t xml:space="preserve">Hickey, S., &amp; du Toit, A. (2007, June). Adverse Incorporation, Social Exclusion and Chronic Poverty. </w:t>
      </w:r>
      <w:r>
        <w:rPr>
          <w:i/>
          <w:iCs/>
          <w:noProof/>
        </w:rPr>
        <w:t>CPRC Working Paper</w:t>
      </w:r>
      <w:r>
        <w:rPr>
          <w:noProof/>
        </w:rPr>
        <w:t xml:space="preserve"> </w:t>
      </w:r>
      <w:r>
        <w:rPr>
          <w:i/>
          <w:iCs/>
          <w:noProof/>
        </w:rPr>
        <w:t>, 81</w:t>
      </w:r>
      <w:r>
        <w:rPr>
          <w:noProof/>
        </w:rPr>
        <w:t>.</w:t>
      </w:r>
    </w:p>
    <w:p w:rsidR="009731B3" w:rsidRDefault="009731B3" w:rsidP="009731B3">
      <w:pPr>
        <w:pStyle w:val="Bibliography"/>
        <w:ind w:left="720" w:hanging="720"/>
        <w:divId w:val="124813279"/>
        <w:rPr>
          <w:noProof/>
        </w:rPr>
      </w:pPr>
      <w:r>
        <w:rPr>
          <w:noProof/>
        </w:rPr>
        <w:t xml:space="preserve">Ishida, M. (2009, June). Special Economic Zones and Economic Corridors. </w:t>
      </w:r>
      <w:r>
        <w:rPr>
          <w:i/>
          <w:iCs/>
          <w:noProof/>
        </w:rPr>
        <w:t>ERIA Discussion Paper Series</w:t>
      </w:r>
      <w:r>
        <w:rPr>
          <w:noProof/>
        </w:rPr>
        <w:t xml:space="preserve"> .</w:t>
      </w:r>
    </w:p>
    <w:p w:rsidR="009731B3" w:rsidRDefault="009731B3" w:rsidP="009731B3">
      <w:pPr>
        <w:pStyle w:val="Bibliography"/>
        <w:ind w:left="720" w:hanging="720"/>
        <w:divId w:val="124813279"/>
        <w:rPr>
          <w:noProof/>
        </w:rPr>
      </w:pPr>
      <w:r>
        <w:rPr>
          <w:noProof/>
        </w:rPr>
        <w:t xml:space="preserve">Isono, I. (2010). Economics Impacts of the Economic Corridor Development in Mekong Region. In M. Ishida (Ed.), </w:t>
      </w:r>
      <w:r>
        <w:rPr>
          <w:i/>
          <w:iCs/>
          <w:noProof/>
        </w:rPr>
        <w:t>Investment Climate of Major City in CLMV Countries</w:t>
      </w:r>
      <w:r>
        <w:rPr>
          <w:noProof/>
        </w:rPr>
        <w:t xml:space="preserve"> (Vol. BRC Research Report No. 4, pp. 329-353). Bangkok, Thailand: Bangkok Research Center, IDE-JETRO.</w:t>
      </w:r>
    </w:p>
    <w:p w:rsidR="009731B3" w:rsidRDefault="009731B3" w:rsidP="009731B3">
      <w:pPr>
        <w:pStyle w:val="Bibliography"/>
        <w:ind w:left="720" w:hanging="720"/>
        <w:divId w:val="124813279"/>
        <w:rPr>
          <w:noProof/>
        </w:rPr>
      </w:pPr>
      <w:r>
        <w:rPr>
          <w:noProof/>
        </w:rPr>
        <w:t xml:space="preserve">Kaarhus, R. (2011, April 6-8). Agriculture Growth Corridors Equals Land Grabbing? </w:t>
      </w:r>
      <w:r>
        <w:rPr>
          <w:i/>
          <w:iCs/>
          <w:noProof/>
        </w:rPr>
        <w:t>Paper presented at the International Conference on Global Land Grabbing</w:t>
      </w:r>
      <w:r>
        <w:rPr>
          <w:noProof/>
        </w:rPr>
        <w:t xml:space="preserve"> . Sussex, United Kingdom: LDPI.</w:t>
      </w:r>
    </w:p>
    <w:p w:rsidR="009731B3" w:rsidRDefault="009731B3" w:rsidP="009731B3">
      <w:pPr>
        <w:pStyle w:val="Bibliography"/>
        <w:ind w:left="720" w:hanging="720"/>
        <w:divId w:val="124813279"/>
        <w:rPr>
          <w:noProof/>
        </w:rPr>
      </w:pPr>
      <w:r>
        <w:rPr>
          <w:noProof/>
        </w:rPr>
        <w:t xml:space="preserve">KP3EI Jawa. (2012, February 29). </w:t>
      </w:r>
      <w:r>
        <w:rPr>
          <w:i/>
          <w:iCs/>
          <w:noProof/>
        </w:rPr>
        <w:t>Hasil Kunjungan Lapangan Industri Prioritas 2011-2012: Inventarisasi Persoalan dan Kebutuhan Investor.</w:t>
      </w:r>
      <w:r>
        <w:rPr>
          <w:noProof/>
        </w:rPr>
        <w:t xml:space="preserve"> Retrieved August 28, 2012, from MP3EI Koridor Jawa: mp3ei.info</w:t>
      </w:r>
    </w:p>
    <w:p w:rsidR="009731B3" w:rsidRDefault="009731B3" w:rsidP="009731B3">
      <w:pPr>
        <w:pStyle w:val="Bibliography"/>
        <w:ind w:left="720" w:hanging="720"/>
        <w:divId w:val="124813279"/>
        <w:rPr>
          <w:noProof/>
        </w:rPr>
      </w:pPr>
      <w:r>
        <w:rPr>
          <w:noProof/>
        </w:rPr>
        <w:t xml:space="preserve">Kumagai, S., Gokan, T., Isono, I., &amp; Keola, S. (2007). Geographical Simulation Model for ERIA: Predicting the Long-run Effects of Infrastructure Development Projects in East Asia. In ERIA, </w:t>
      </w:r>
      <w:r>
        <w:rPr>
          <w:i/>
          <w:iCs/>
          <w:noProof/>
        </w:rPr>
        <w:t>Infrastructure Development in East Asia</w:t>
      </w:r>
      <w:r>
        <w:rPr>
          <w:noProof/>
        </w:rPr>
        <w:t xml:space="preserve"> (Vol. Research Project Report, pp. 360-393). ERIA.</w:t>
      </w:r>
    </w:p>
    <w:p w:rsidR="009731B3" w:rsidRDefault="009731B3" w:rsidP="009731B3">
      <w:pPr>
        <w:pStyle w:val="Bibliography"/>
        <w:ind w:left="720" w:hanging="720"/>
        <w:divId w:val="124813279"/>
        <w:rPr>
          <w:noProof/>
        </w:rPr>
      </w:pPr>
      <w:r>
        <w:rPr>
          <w:noProof/>
        </w:rPr>
        <w:t xml:space="preserve">Lall, S. (2004, April). Reinventing Industrial Strategy: The Role of Government Policy in Building Industrial Competitiveness. </w:t>
      </w:r>
      <w:r>
        <w:rPr>
          <w:i/>
          <w:iCs/>
          <w:noProof/>
        </w:rPr>
        <w:t>G-24 Discussion Paper Series</w:t>
      </w:r>
      <w:r>
        <w:rPr>
          <w:noProof/>
        </w:rPr>
        <w:t xml:space="preserve"> </w:t>
      </w:r>
      <w:r>
        <w:rPr>
          <w:i/>
          <w:iCs/>
          <w:noProof/>
        </w:rPr>
        <w:t>, 28</w:t>
      </w:r>
      <w:r>
        <w:rPr>
          <w:noProof/>
        </w:rPr>
        <w:t>.</w:t>
      </w:r>
    </w:p>
    <w:p w:rsidR="009731B3" w:rsidRDefault="009731B3" w:rsidP="009731B3">
      <w:pPr>
        <w:pStyle w:val="Bibliography"/>
        <w:ind w:left="720" w:hanging="720"/>
        <w:divId w:val="124813279"/>
        <w:rPr>
          <w:noProof/>
        </w:rPr>
      </w:pPr>
      <w:r>
        <w:rPr>
          <w:noProof/>
        </w:rPr>
        <w:t xml:space="preserve">Lieven, M. (2011, April 6-8). The Land Question: Special Economic Zones and the Political Economy of Dispossession in India. </w:t>
      </w:r>
      <w:r>
        <w:rPr>
          <w:i/>
          <w:iCs/>
          <w:noProof/>
        </w:rPr>
        <w:t>Paper Presented at the International Conference on Global Land Grabbing</w:t>
      </w:r>
      <w:r>
        <w:rPr>
          <w:noProof/>
        </w:rPr>
        <w:t xml:space="preserve"> . Sussex, United Kingsom: LDPI.</w:t>
      </w:r>
    </w:p>
    <w:p w:rsidR="009731B3" w:rsidRDefault="009731B3" w:rsidP="009731B3">
      <w:pPr>
        <w:pStyle w:val="Bibliography"/>
        <w:ind w:left="720" w:hanging="720"/>
        <w:divId w:val="124813279"/>
        <w:rPr>
          <w:noProof/>
        </w:rPr>
      </w:pPr>
      <w:r>
        <w:rPr>
          <w:noProof/>
        </w:rPr>
        <w:t xml:space="preserve">Luhulima, J. (2001). </w:t>
      </w:r>
      <w:r>
        <w:rPr>
          <w:i/>
          <w:iCs/>
          <w:noProof/>
        </w:rPr>
        <w:t>Hari-hari Terpanjang Menjelang Mundurnya Presiden Soeharto.</w:t>
      </w:r>
      <w:r>
        <w:rPr>
          <w:noProof/>
        </w:rPr>
        <w:t xml:space="preserve"> Jakarta: Penerbit Kompas.</w:t>
      </w:r>
    </w:p>
    <w:p w:rsidR="009731B3" w:rsidRDefault="009731B3" w:rsidP="009731B3">
      <w:pPr>
        <w:pStyle w:val="Bibliography"/>
        <w:ind w:left="720" w:hanging="720"/>
        <w:divId w:val="124813279"/>
        <w:rPr>
          <w:noProof/>
        </w:rPr>
      </w:pPr>
      <w:r>
        <w:rPr>
          <w:noProof/>
        </w:rPr>
        <w:t xml:space="preserve">Mallarangeng, R. (2002). </w:t>
      </w:r>
      <w:r>
        <w:rPr>
          <w:i/>
          <w:iCs/>
          <w:noProof/>
        </w:rPr>
        <w:t>Mendobrak Sentralisme Ekonomi: Indonesia 1986-1992.</w:t>
      </w:r>
      <w:r>
        <w:rPr>
          <w:noProof/>
        </w:rPr>
        <w:t xml:space="preserve"> Jakarta: Kepustakaan Populer Gramedia.</w:t>
      </w:r>
    </w:p>
    <w:p w:rsidR="009731B3" w:rsidRDefault="009731B3" w:rsidP="009731B3">
      <w:pPr>
        <w:pStyle w:val="Bibliography"/>
        <w:ind w:left="720" w:hanging="720"/>
        <w:divId w:val="124813279"/>
        <w:rPr>
          <w:noProof/>
        </w:rPr>
      </w:pPr>
      <w:r>
        <w:rPr>
          <w:noProof/>
        </w:rPr>
        <w:t xml:space="preserve">Marrian, B. (N/A). </w:t>
      </w:r>
      <w:r>
        <w:rPr>
          <w:i/>
          <w:iCs/>
          <w:noProof/>
        </w:rPr>
        <w:t>Toward A General Theory of Corridor Development in South Africa.</w:t>
      </w:r>
      <w:r>
        <w:rPr>
          <w:noProof/>
        </w:rPr>
        <w:t xml:space="preserve"> Retrieved August 11, 2012, from http://repository.up.ac.za/bitstream/handle/2263/8193/5b6.pdf?sequence=1</w:t>
      </w:r>
    </w:p>
    <w:p w:rsidR="009731B3" w:rsidRDefault="009731B3" w:rsidP="009731B3">
      <w:pPr>
        <w:pStyle w:val="Bibliography"/>
        <w:ind w:left="720" w:hanging="720"/>
        <w:divId w:val="124813279"/>
        <w:rPr>
          <w:noProof/>
        </w:rPr>
      </w:pPr>
      <w:r>
        <w:rPr>
          <w:noProof/>
        </w:rPr>
        <w:lastRenderedPageBreak/>
        <w:t xml:space="preserve">McCarthy, J. F. (2010). Processes of Inclusion and Adverse Incorporation: Oil Palm and Agrarian Change in Sumatra, Indonesia. </w:t>
      </w:r>
      <w:r>
        <w:rPr>
          <w:i/>
          <w:iCs/>
          <w:noProof/>
        </w:rPr>
        <w:t>The Journal of Peasant Studies</w:t>
      </w:r>
      <w:r>
        <w:rPr>
          <w:noProof/>
        </w:rPr>
        <w:t xml:space="preserve"> </w:t>
      </w:r>
      <w:r>
        <w:rPr>
          <w:i/>
          <w:iCs/>
          <w:noProof/>
        </w:rPr>
        <w:t>, 37</w:t>
      </w:r>
      <w:r>
        <w:rPr>
          <w:noProof/>
        </w:rPr>
        <w:t xml:space="preserve"> (4), 821-850.</w:t>
      </w:r>
    </w:p>
    <w:p w:rsidR="009731B3" w:rsidRDefault="009731B3" w:rsidP="009731B3">
      <w:pPr>
        <w:pStyle w:val="Bibliography"/>
        <w:ind w:left="720" w:hanging="720"/>
        <w:divId w:val="124813279"/>
        <w:rPr>
          <w:noProof/>
        </w:rPr>
      </w:pPr>
      <w:r>
        <w:rPr>
          <w:noProof/>
        </w:rPr>
        <w:t xml:space="preserve">McEldowney, M., &amp; O'Connel, D. (N/A). </w:t>
      </w:r>
      <w:r>
        <w:rPr>
          <w:i/>
          <w:iCs/>
          <w:noProof/>
        </w:rPr>
        <w:t>A Review of Local Planning Within the Dublin-Belfast Corridor.</w:t>
      </w:r>
      <w:r>
        <w:rPr>
          <w:noProof/>
        </w:rPr>
        <w:t xml:space="preserve"> Retrieved August 11, 2012, from http://www.qub.ac.uk/ep/research/span/resources/ex8.pdf</w:t>
      </w:r>
    </w:p>
    <w:p w:rsidR="009731B3" w:rsidRDefault="009731B3" w:rsidP="009731B3">
      <w:pPr>
        <w:pStyle w:val="Bibliography"/>
        <w:ind w:left="720" w:hanging="720"/>
        <w:divId w:val="124813279"/>
        <w:rPr>
          <w:noProof/>
        </w:rPr>
      </w:pPr>
      <w:r>
        <w:rPr>
          <w:noProof/>
        </w:rPr>
        <w:t xml:space="preserve">McKinley, T. (2008, June 6). How Inclusive is 'Inclusive Growth'? </w:t>
      </w:r>
      <w:r>
        <w:rPr>
          <w:i/>
          <w:iCs/>
          <w:noProof/>
        </w:rPr>
        <w:t>Development View Point</w:t>
      </w:r>
      <w:r>
        <w:rPr>
          <w:noProof/>
        </w:rPr>
        <w:t xml:space="preserve"> . Center for Development Policy and Research, School of Oriental and African Studies.</w:t>
      </w:r>
    </w:p>
    <w:p w:rsidR="009731B3" w:rsidRDefault="009731B3" w:rsidP="009731B3">
      <w:pPr>
        <w:pStyle w:val="Bibliography"/>
        <w:ind w:left="720" w:hanging="720"/>
        <w:divId w:val="124813279"/>
        <w:rPr>
          <w:noProof/>
        </w:rPr>
      </w:pPr>
      <w:r>
        <w:rPr>
          <w:noProof/>
        </w:rPr>
        <w:t xml:space="preserve">Molnar, M., &amp; Lesher, M. (2008). Indonesia. In OECD, </w:t>
      </w:r>
      <w:r>
        <w:rPr>
          <w:i/>
          <w:iCs/>
          <w:noProof/>
        </w:rPr>
        <w:t>Globalization and Emerging Economies: Brazil, Russia, Indonesia, China and South Africa</w:t>
      </w:r>
      <w:r>
        <w:rPr>
          <w:noProof/>
        </w:rPr>
        <w:t xml:space="preserve"> (pp. 333-372). Secretary-General of the Organization for Economic Co-operation and Development.</w:t>
      </w:r>
    </w:p>
    <w:p w:rsidR="009731B3" w:rsidRDefault="009731B3" w:rsidP="009731B3">
      <w:pPr>
        <w:pStyle w:val="Bibliography"/>
        <w:ind w:left="720" w:hanging="720"/>
        <w:divId w:val="124813279"/>
        <w:rPr>
          <w:noProof/>
        </w:rPr>
      </w:pPr>
      <w:r>
        <w:rPr>
          <w:noProof/>
        </w:rPr>
        <w:t xml:space="preserve">Nevin, T. (2006, December). Maputo Corridor - A qualified Success. </w:t>
      </w:r>
      <w:r>
        <w:rPr>
          <w:i/>
          <w:iCs/>
          <w:noProof/>
        </w:rPr>
        <w:t>African Business: Transport and Logistics</w:t>
      </w:r>
      <w:r>
        <w:rPr>
          <w:noProof/>
        </w:rPr>
        <w:t xml:space="preserve"> .</w:t>
      </w:r>
    </w:p>
    <w:p w:rsidR="009731B3" w:rsidRDefault="009731B3" w:rsidP="009731B3">
      <w:pPr>
        <w:pStyle w:val="Bibliography"/>
        <w:ind w:left="720" w:hanging="720"/>
        <w:divId w:val="124813279"/>
        <w:rPr>
          <w:noProof/>
        </w:rPr>
      </w:pPr>
      <w:r>
        <w:rPr>
          <w:noProof/>
        </w:rPr>
        <w:t xml:space="preserve">Nyman, M. (2006). </w:t>
      </w:r>
      <w:r>
        <w:rPr>
          <w:i/>
          <w:iCs/>
          <w:noProof/>
        </w:rPr>
        <w:t>Democratising in Indonesia: the Challenges of Civil Society in the Era of Reformas1.</w:t>
      </w:r>
      <w:r>
        <w:rPr>
          <w:noProof/>
        </w:rPr>
        <w:t xml:space="preserve"> Copenhagen: NIAS Press.</w:t>
      </w:r>
    </w:p>
    <w:p w:rsidR="009731B3" w:rsidRDefault="009731B3" w:rsidP="009731B3">
      <w:pPr>
        <w:pStyle w:val="Bibliography"/>
        <w:ind w:left="720" w:hanging="720"/>
        <w:divId w:val="124813279"/>
        <w:rPr>
          <w:noProof/>
        </w:rPr>
      </w:pPr>
      <w:r>
        <w:rPr>
          <w:noProof/>
        </w:rPr>
        <w:t xml:space="preserve">Osmani, S. R. (2002). </w:t>
      </w:r>
      <w:r>
        <w:rPr>
          <w:i/>
          <w:iCs/>
          <w:noProof/>
        </w:rPr>
        <w:t>Exploring the Employment Nexus: Topics in Employment and Poverty.</w:t>
      </w:r>
      <w:r>
        <w:rPr>
          <w:noProof/>
        </w:rPr>
        <w:t xml:space="preserve"> New York and Geneve: UNDP and ILO.</w:t>
      </w:r>
    </w:p>
    <w:p w:rsidR="009731B3" w:rsidRDefault="009731B3" w:rsidP="009731B3">
      <w:pPr>
        <w:pStyle w:val="Bibliography"/>
        <w:ind w:left="720" w:hanging="720"/>
        <w:divId w:val="124813279"/>
        <w:rPr>
          <w:noProof/>
        </w:rPr>
      </w:pPr>
      <w:r>
        <w:rPr>
          <w:noProof/>
        </w:rPr>
        <w:t xml:space="preserve">Ribot, J. C., &amp; Peluso, N. L. (2003). A Theory of Access. </w:t>
      </w:r>
      <w:r>
        <w:rPr>
          <w:i/>
          <w:iCs/>
          <w:noProof/>
        </w:rPr>
        <w:t>Rural Sociology</w:t>
      </w:r>
      <w:r>
        <w:rPr>
          <w:noProof/>
        </w:rPr>
        <w:t xml:space="preserve"> </w:t>
      </w:r>
      <w:r>
        <w:rPr>
          <w:i/>
          <w:iCs/>
          <w:noProof/>
        </w:rPr>
        <w:t>, 68</w:t>
      </w:r>
      <w:r>
        <w:rPr>
          <w:noProof/>
        </w:rPr>
        <w:t xml:space="preserve"> (2), 153-181.</w:t>
      </w:r>
    </w:p>
    <w:p w:rsidR="009731B3" w:rsidRDefault="009731B3" w:rsidP="009731B3">
      <w:pPr>
        <w:pStyle w:val="Bibliography"/>
        <w:ind w:left="720" w:hanging="720"/>
        <w:divId w:val="124813279"/>
        <w:rPr>
          <w:noProof/>
        </w:rPr>
      </w:pPr>
      <w:r>
        <w:rPr>
          <w:noProof/>
        </w:rPr>
        <w:t xml:space="preserve">Robison, R., &amp; Hadiz, V. R. (2004). </w:t>
      </w:r>
      <w:r>
        <w:rPr>
          <w:i/>
          <w:iCs/>
          <w:noProof/>
        </w:rPr>
        <w:t>Reorganizing Power in Indonesia: The Politics of Oligarchy in an Age of Markets.</w:t>
      </w:r>
      <w:r>
        <w:rPr>
          <w:noProof/>
        </w:rPr>
        <w:t xml:space="preserve"> London and New York: RoutledgeCurzon.</w:t>
      </w:r>
    </w:p>
    <w:p w:rsidR="009731B3" w:rsidRDefault="009731B3" w:rsidP="009731B3">
      <w:pPr>
        <w:pStyle w:val="Bibliography"/>
        <w:ind w:left="720" w:hanging="720"/>
        <w:divId w:val="124813279"/>
        <w:rPr>
          <w:noProof/>
        </w:rPr>
      </w:pPr>
      <w:r>
        <w:rPr>
          <w:noProof/>
        </w:rPr>
        <w:t xml:space="preserve">Robison, R., &amp; Rosser, A. (1998). Costesting Reform: Indonesia's New Order and the IMF. </w:t>
      </w:r>
      <w:r>
        <w:rPr>
          <w:i/>
          <w:iCs/>
          <w:noProof/>
        </w:rPr>
        <w:t>World Development</w:t>
      </w:r>
      <w:r>
        <w:rPr>
          <w:noProof/>
        </w:rPr>
        <w:t xml:space="preserve"> </w:t>
      </w:r>
      <w:r>
        <w:rPr>
          <w:i/>
          <w:iCs/>
          <w:noProof/>
        </w:rPr>
        <w:t>, 26</w:t>
      </w:r>
      <w:r>
        <w:rPr>
          <w:noProof/>
        </w:rPr>
        <w:t xml:space="preserve"> (8), 1593-1609.</w:t>
      </w:r>
    </w:p>
    <w:p w:rsidR="009731B3" w:rsidRDefault="009731B3" w:rsidP="009731B3">
      <w:pPr>
        <w:pStyle w:val="Bibliography"/>
        <w:ind w:left="720" w:hanging="720"/>
        <w:divId w:val="124813279"/>
        <w:rPr>
          <w:noProof/>
        </w:rPr>
      </w:pPr>
      <w:r>
        <w:rPr>
          <w:noProof/>
        </w:rPr>
        <w:t xml:space="preserve">Rosser, A. (2002). </w:t>
      </w:r>
      <w:r>
        <w:rPr>
          <w:i/>
          <w:iCs/>
          <w:noProof/>
        </w:rPr>
        <w:t>The Politics of Economic Lberalization in Indonesia: State, Market and Power.</w:t>
      </w:r>
      <w:r>
        <w:rPr>
          <w:noProof/>
        </w:rPr>
        <w:t xml:space="preserve"> Surrey: Curzon Press.</w:t>
      </w:r>
    </w:p>
    <w:p w:rsidR="009731B3" w:rsidRDefault="009731B3" w:rsidP="009731B3">
      <w:pPr>
        <w:pStyle w:val="Bibliography"/>
        <w:ind w:left="720" w:hanging="720"/>
        <w:divId w:val="124813279"/>
        <w:rPr>
          <w:noProof/>
        </w:rPr>
      </w:pPr>
      <w:r>
        <w:rPr>
          <w:noProof/>
        </w:rPr>
        <w:t xml:space="preserve">Rosser, A. (2004, March). Why did Indonesia Overcome the Resource Curse? </w:t>
      </w:r>
      <w:r>
        <w:rPr>
          <w:i/>
          <w:iCs/>
          <w:noProof/>
        </w:rPr>
        <w:t>IDS Working Paper</w:t>
      </w:r>
      <w:r>
        <w:rPr>
          <w:noProof/>
        </w:rPr>
        <w:t xml:space="preserve"> </w:t>
      </w:r>
      <w:r>
        <w:rPr>
          <w:i/>
          <w:iCs/>
          <w:noProof/>
        </w:rPr>
        <w:t>, 222</w:t>
      </w:r>
      <w:r>
        <w:rPr>
          <w:noProof/>
        </w:rPr>
        <w:t xml:space="preserve"> . Sussex, England: Institute of Development Studies.</w:t>
      </w:r>
    </w:p>
    <w:p w:rsidR="009731B3" w:rsidRDefault="009731B3" w:rsidP="009731B3">
      <w:pPr>
        <w:pStyle w:val="Bibliography"/>
        <w:ind w:left="720" w:hanging="720"/>
        <w:divId w:val="124813279"/>
        <w:rPr>
          <w:noProof/>
        </w:rPr>
      </w:pPr>
      <w:r>
        <w:rPr>
          <w:noProof/>
        </w:rPr>
        <w:t xml:space="preserve">Sen, A. (2000). </w:t>
      </w:r>
      <w:r>
        <w:rPr>
          <w:i/>
          <w:iCs/>
          <w:noProof/>
        </w:rPr>
        <w:t>Development as Freedom.</w:t>
      </w:r>
      <w:r>
        <w:rPr>
          <w:noProof/>
        </w:rPr>
        <w:t xml:space="preserve"> New York: Alfred A. Knopf.</w:t>
      </w:r>
    </w:p>
    <w:p w:rsidR="009731B3" w:rsidRDefault="009731B3" w:rsidP="009731B3">
      <w:pPr>
        <w:pStyle w:val="Bibliography"/>
        <w:ind w:left="720" w:hanging="720"/>
        <w:divId w:val="124813279"/>
        <w:rPr>
          <w:noProof/>
        </w:rPr>
      </w:pPr>
      <w:r>
        <w:rPr>
          <w:noProof/>
        </w:rPr>
        <w:t xml:space="preserve">Srivastava, P. (2011, May). Regional Corridors Development in Regional Cooperation. </w:t>
      </w:r>
      <w:r>
        <w:rPr>
          <w:i/>
          <w:iCs/>
          <w:noProof/>
        </w:rPr>
        <w:t>ADB Economic Working Paper Series</w:t>
      </w:r>
      <w:r>
        <w:rPr>
          <w:noProof/>
        </w:rPr>
        <w:t xml:space="preserve"> </w:t>
      </w:r>
      <w:r>
        <w:rPr>
          <w:i/>
          <w:iCs/>
          <w:noProof/>
        </w:rPr>
        <w:t>, 258</w:t>
      </w:r>
      <w:r>
        <w:rPr>
          <w:noProof/>
        </w:rPr>
        <w:t xml:space="preserve"> . Manila, Philippines: Asian Development Bank.</w:t>
      </w:r>
    </w:p>
    <w:p w:rsidR="009731B3" w:rsidRDefault="009731B3" w:rsidP="009731B3">
      <w:pPr>
        <w:pStyle w:val="Bibliography"/>
        <w:ind w:left="720" w:hanging="720"/>
        <w:divId w:val="124813279"/>
        <w:rPr>
          <w:noProof/>
        </w:rPr>
      </w:pPr>
      <w:r>
        <w:rPr>
          <w:noProof/>
        </w:rPr>
        <w:t xml:space="preserve">Statistics Indonesia. (2010). </w:t>
      </w:r>
      <w:r>
        <w:rPr>
          <w:i/>
          <w:iCs/>
          <w:noProof/>
        </w:rPr>
        <w:t>Statisctics of Labor Force Indonesia 2009.</w:t>
      </w:r>
      <w:r>
        <w:rPr>
          <w:noProof/>
        </w:rPr>
        <w:t xml:space="preserve"> Jakarta: BPS-Statistics Indonesia.</w:t>
      </w:r>
    </w:p>
    <w:p w:rsidR="009731B3" w:rsidRDefault="009731B3" w:rsidP="009731B3">
      <w:pPr>
        <w:pStyle w:val="Bibliography"/>
        <w:ind w:left="720" w:hanging="720"/>
        <w:divId w:val="124813279"/>
        <w:rPr>
          <w:noProof/>
        </w:rPr>
      </w:pPr>
      <w:r>
        <w:rPr>
          <w:noProof/>
        </w:rPr>
        <w:t xml:space="preserve">Statistics Indonesia. (2007). </w:t>
      </w:r>
      <w:r>
        <w:rPr>
          <w:i/>
          <w:iCs/>
          <w:noProof/>
        </w:rPr>
        <w:t>Statistics of Labor Force Indonesia 2006.</w:t>
      </w:r>
      <w:r>
        <w:rPr>
          <w:noProof/>
        </w:rPr>
        <w:t xml:space="preserve"> Jakarta: BPS-Statistics Indonesia.</w:t>
      </w:r>
    </w:p>
    <w:p w:rsidR="009731B3" w:rsidRDefault="009731B3" w:rsidP="009731B3">
      <w:pPr>
        <w:pStyle w:val="Bibliography"/>
        <w:ind w:left="720" w:hanging="720"/>
        <w:divId w:val="124813279"/>
        <w:rPr>
          <w:noProof/>
        </w:rPr>
      </w:pPr>
      <w:r>
        <w:rPr>
          <w:noProof/>
        </w:rPr>
        <w:t xml:space="preserve">Statistics Indonesia. (2008). </w:t>
      </w:r>
      <w:r>
        <w:rPr>
          <w:i/>
          <w:iCs/>
          <w:noProof/>
        </w:rPr>
        <w:t>Statistics of Labor Force Indonesia 2007.</w:t>
      </w:r>
      <w:r>
        <w:rPr>
          <w:noProof/>
        </w:rPr>
        <w:t xml:space="preserve"> Jakarta: BPS-Statistics Indonesia.</w:t>
      </w:r>
    </w:p>
    <w:p w:rsidR="009731B3" w:rsidRDefault="009731B3" w:rsidP="009731B3">
      <w:pPr>
        <w:pStyle w:val="Bibliography"/>
        <w:ind w:left="720" w:hanging="720"/>
        <w:divId w:val="124813279"/>
        <w:rPr>
          <w:noProof/>
        </w:rPr>
      </w:pPr>
      <w:r>
        <w:rPr>
          <w:noProof/>
        </w:rPr>
        <w:t xml:space="preserve">Statistics Indonesia. (2009). </w:t>
      </w:r>
      <w:r>
        <w:rPr>
          <w:i/>
          <w:iCs/>
          <w:noProof/>
        </w:rPr>
        <w:t>Statistics of Labor Force Indonesia 2008.</w:t>
      </w:r>
      <w:r>
        <w:rPr>
          <w:noProof/>
        </w:rPr>
        <w:t xml:space="preserve"> Jakarta: BPS-Statistics Indonesia.</w:t>
      </w:r>
    </w:p>
    <w:p w:rsidR="009731B3" w:rsidRDefault="009731B3" w:rsidP="009731B3">
      <w:pPr>
        <w:pStyle w:val="Bibliography"/>
        <w:ind w:left="720" w:hanging="720"/>
        <w:divId w:val="124813279"/>
        <w:rPr>
          <w:noProof/>
        </w:rPr>
      </w:pPr>
      <w:r>
        <w:rPr>
          <w:noProof/>
        </w:rPr>
        <w:lastRenderedPageBreak/>
        <w:t xml:space="preserve">Statistics Indonesia. (2011). </w:t>
      </w:r>
      <w:r>
        <w:rPr>
          <w:i/>
          <w:iCs/>
          <w:noProof/>
        </w:rPr>
        <w:t>Statistics of Labor Force Indonesia 2010.</w:t>
      </w:r>
      <w:r>
        <w:rPr>
          <w:noProof/>
        </w:rPr>
        <w:t xml:space="preserve"> Jakarta: BPS-Statistics Indonesia.</w:t>
      </w:r>
    </w:p>
    <w:p w:rsidR="009731B3" w:rsidRDefault="009731B3" w:rsidP="009731B3">
      <w:pPr>
        <w:pStyle w:val="Bibliography"/>
        <w:ind w:left="720" w:hanging="720"/>
        <w:divId w:val="124813279"/>
        <w:rPr>
          <w:noProof/>
        </w:rPr>
      </w:pPr>
      <w:r>
        <w:rPr>
          <w:noProof/>
        </w:rPr>
        <w:t xml:space="preserve">Statistik Indonesia. (2012). </w:t>
      </w:r>
      <w:r>
        <w:rPr>
          <w:i/>
          <w:iCs/>
          <w:noProof/>
        </w:rPr>
        <w:t>Statistical Yearbook of Indonesia 2011.</w:t>
      </w:r>
      <w:r>
        <w:rPr>
          <w:noProof/>
        </w:rPr>
        <w:t xml:space="preserve"> Jakarta: BPS - Statistic Indonesia.</w:t>
      </w:r>
    </w:p>
    <w:p w:rsidR="009731B3" w:rsidRDefault="009731B3" w:rsidP="009731B3">
      <w:pPr>
        <w:pStyle w:val="Bibliography"/>
        <w:ind w:left="720" w:hanging="720"/>
        <w:divId w:val="124813279"/>
        <w:rPr>
          <w:noProof/>
        </w:rPr>
      </w:pPr>
      <w:r>
        <w:rPr>
          <w:noProof/>
        </w:rPr>
        <w:t xml:space="preserve">Stiglitz, J. E. (1986). The New Development Economics. </w:t>
      </w:r>
      <w:r>
        <w:rPr>
          <w:i/>
          <w:iCs/>
          <w:noProof/>
        </w:rPr>
        <w:t>World Development</w:t>
      </w:r>
      <w:r>
        <w:rPr>
          <w:noProof/>
        </w:rPr>
        <w:t xml:space="preserve"> </w:t>
      </w:r>
      <w:r>
        <w:rPr>
          <w:i/>
          <w:iCs/>
          <w:noProof/>
        </w:rPr>
        <w:t>, 14</w:t>
      </w:r>
      <w:r>
        <w:rPr>
          <w:noProof/>
        </w:rPr>
        <w:t xml:space="preserve"> (2), 257-265.</w:t>
      </w:r>
    </w:p>
    <w:p w:rsidR="009731B3" w:rsidRDefault="009731B3" w:rsidP="009731B3">
      <w:pPr>
        <w:pStyle w:val="Bibliography"/>
        <w:ind w:left="720" w:hanging="720"/>
        <w:divId w:val="124813279"/>
        <w:rPr>
          <w:noProof/>
        </w:rPr>
      </w:pPr>
      <w:r>
        <w:rPr>
          <w:noProof/>
        </w:rPr>
        <w:t xml:space="preserve">Suryana, E. (2011). </w:t>
      </w:r>
      <w:r>
        <w:rPr>
          <w:i/>
          <w:iCs/>
          <w:noProof/>
        </w:rPr>
        <w:t>Blok Cepu: Studi Konflik Pertanahan di Jawa Pasca Krisis Ekonomi ‘90an.</w:t>
      </w:r>
      <w:r>
        <w:rPr>
          <w:noProof/>
        </w:rPr>
        <w:t xml:space="preserve"> Bandung dan Jakarta: ARC-JKPP.</w:t>
      </w:r>
    </w:p>
    <w:p w:rsidR="009731B3" w:rsidRDefault="009731B3" w:rsidP="009731B3">
      <w:pPr>
        <w:pStyle w:val="Bibliography"/>
        <w:ind w:left="720" w:hanging="720"/>
        <w:divId w:val="124813279"/>
        <w:rPr>
          <w:noProof/>
        </w:rPr>
      </w:pPr>
      <w:r>
        <w:rPr>
          <w:noProof/>
        </w:rPr>
        <w:t xml:space="preserve">Suryana, E., &amp; Bachriadi, D. (2012, October 17-19). Land Grabbing and Speculation for Energy Business: A Case Study of ExxonMobil Business Expansion in Bojonegoro of East Java, Indonesia. </w:t>
      </w:r>
      <w:r>
        <w:rPr>
          <w:i/>
          <w:iCs/>
          <w:noProof/>
        </w:rPr>
        <w:t>Paper presented at the International Conference on Global Land Grabbing II</w:t>
      </w:r>
      <w:r>
        <w:rPr>
          <w:noProof/>
        </w:rPr>
        <w:t xml:space="preserve"> . Ithaca, New York, USA: the Land Deals Politics Initiative (LDPI).</w:t>
      </w:r>
    </w:p>
    <w:p w:rsidR="009731B3" w:rsidRDefault="009731B3" w:rsidP="009731B3">
      <w:pPr>
        <w:pStyle w:val="Bibliography"/>
        <w:ind w:left="720" w:hanging="720"/>
        <w:divId w:val="124813279"/>
        <w:rPr>
          <w:noProof/>
        </w:rPr>
      </w:pPr>
      <w:r>
        <w:rPr>
          <w:noProof/>
        </w:rPr>
        <w:t xml:space="preserve">Taufik, R. K. (2012, April 12-16). Evaluasi terhadap Perpres no. 32/2011 tentang MP3EI dan Kaitannya dengan Rencana Tata Ruang Kalimantan. </w:t>
      </w:r>
      <w:r>
        <w:rPr>
          <w:i/>
          <w:iCs/>
          <w:noProof/>
        </w:rPr>
        <w:t>Presentation on PNLH XI - Walhi</w:t>
      </w:r>
      <w:r>
        <w:rPr>
          <w:noProof/>
        </w:rPr>
        <w:t xml:space="preserve"> . Balikpapan, East Kalimantan: Greenpeace.</w:t>
      </w:r>
    </w:p>
    <w:p w:rsidR="009731B3" w:rsidRDefault="009731B3" w:rsidP="009731B3">
      <w:pPr>
        <w:pStyle w:val="Bibliography"/>
        <w:ind w:left="720" w:hanging="720"/>
        <w:divId w:val="124813279"/>
        <w:rPr>
          <w:noProof/>
        </w:rPr>
      </w:pPr>
      <w:r>
        <w:rPr>
          <w:noProof/>
        </w:rPr>
        <w:t xml:space="preserve">Thee, K. W. (2002). The Soeharto Era and After: Stability, Development and Crisis, 1966-2000. In H. Dick, V. J. Houben, J. T. Lindblad, &amp; K. W. Thee (Eds.), </w:t>
      </w:r>
      <w:r>
        <w:rPr>
          <w:i/>
          <w:iCs/>
          <w:noProof/>
        </w:rPr>
        <w:t>The Emergence of a National Economy: An Economy History of Indonesia, 1800-2000</w:t>
      </w:r>
      <w:r>
        <w:rPr>
          <w:noProof/>
        </w:rPr>
        <w:t xml:space="preserve"> (pp. 194-243). NSW and Honolulu: Allen &amp; Unwin and University of Hawai'i Press.</w:t>
      </w:r>
    </w:p>
    <w:p w:rsidR="009731B3" w:rsidRDefault="009731B3" w:rsidP="009731B3">
      <w:pPr>
        <w:pStyle w:val="Bibliography"/>
        <w:ind w:left="720" w:hanging="720"/>
        <w:divId w:val="124813279"/>
        <w:rPr>
          <w:noProof/>
        </w:rPr>
      </w:pPr>
      <w:r>
        <w:rPr>
          <w:noProof/>
        </w:rPr>
        <w:t xml:space="preserve">Tim Kerja MP3EI Jawa. (2012, May 10). </w:t>
      </w:r>
      <w:r>
        <w:rPr>
          <w:i/>
          <w:iCs/>
          <w:noProof/>
        </w:rPr>
        <w:t>MP3EI Info.</w:t>
      </w:r>
      <w:r>
        <w:rPr>
          <w:noProof/>
        </w:rPr>
        <w:t xml:space="preserve"> Retrieved August 28, 2012, from MP3EI Koridor EKonomi Jawa: http://mp3ei.info/downloads/documents/UPDATE%20KORIDOR%20JAWA%2010%20Juni%202012.pdf</w:t>
      </w:r>
    </w:p>
    <w:p w:rsidR="009731B3" w:rsidRDefault="009731B3" w:rsidP="009731B3">
      <w:pPr>
        <w:pStyle w:val="Bibliography"/>
        <w:ind w:left="720" w:hanging="720"/>
        <w:divId w:val="124813279"/>
        <w:rPr>
          <w:noProof/>
        </w:rPr>
      </w:pPr>
      <w:r>
        <w:rPr>
          <w:noProof/>
        </w:rPr>
        <w:t xml:space="preserve">TNI. (2012). </w:t>
      </w:r>
      <w:r>
        <w:rPr>
          <w:i/>
          <w:iCs/>
          <w:noProof/>
        </w:rPr>
        <w:t>The Global Land Grab: A Primer</w:t>
      </w:r>
      <w:r>
        <w:rPr>
          <w:noProof/>
        </w:rPr>
        <w:t xml:space="preserve"> (Vol. October 2012). Amsterdam: Trans National Institute.</w:t>
      </w:r>
    </w:p>
    <w:p w:rsidR="009731B3" w:rsidRDefault="009731B3" w:rsidP="009731B3">
      <w:pPr>
        <w:pStyle w:val="Bibliography"/>
        <w:ind w:left="720" w:hanging="720"/>
        <w:divId w:val="124813279"/>
        <w:rPr>
          <w:noProof/>
        </w:rPr>
      </w:pPr>
      <w:r>
        <w:rPr>
          <w:noProof/>
        </w:rPr>
        <w:t xml:space="preserve">United Nation Development Programme. (2011). </w:t>
      </w:r>
      <w:r>
        <w:rPr>
          <w:i/>
          <w:iCs/>
          <w:noProof/>
        </w:rPr>
        <w:t>Beyond Transition: Towards Inclusive Societies.</w:t>
      </w:r>
      <w:r>
        <w:rPr>
          <w:noProof/>
        </w:rPr>
        <w:t xml:space="preserve"> Bratizlava: UNDP - Regional Bureau for Europe and CIS.</w:t>
      </w:r>
    </w:p>
    <w:p w:rsidR="009731B3" w:rsidRDefault="009731B3" w:rsidP="009731B3">
      <w:pPr>
        <w:pStyle w:val="Bibliography"/>
        <w:ind w:left="720" w:hanging="720"/>
        <w:divId w:val="124813279"/>
        <w:rPr>
          <w:noProof/>
        </w:rPr>
      </w:pPr>
      <w:r>
        <w:rPr>
          <w:noProof/>
        </w:rPr>
        <w:t xml:space="preserve">White, B., Borras, S. M., Hall, R., Scoones, I., &amp; Wolford, W. (2012). The New Enclosure: Critical Perspectives on Corporate Land Deals. </w:t>
      </w:r>
      <w:r>
        <w:rPr>
          <w:i/>
          <w:iCs/>
          <w:noProof/>
        </w:rPr>
        <w:t>Journal of Peasant Studies</w:t>
      </w:r>
      <w:r>
        <w:rPr>
          <w:noProof/>
        </w:rPr>
        <w:t xml:space="preserve"> </w:t>
      </w:r>
      <w:r>
        <w:rPr>
          <w:i/>
          <w:iCs/>
          <w:noProof/>
        </w:rPr>
        <w:t>, 39</w:t>
      </w:r>
      <w:r>
        <w:rPr>
          <w:noProof/>
        </w:rPr>
        <w:t xml:space="preserve"> (3-4), 619-647.</w:t>
      </w:r>
    </w:p>
    <w:p w:rsidR="009731B3" w:rsidRDefault="009731B3" w:rsidP="009731B3">
      <w:pPr>
        <w:pStyle w:val="Bibliography"/>
        <w:ind w:left="720" w:hanging="720"/>
        <w:divId w:val="124813279"/>
        <w:rPr>
          <w:noProof/>
        </w:rPr>
      </w:pPr>
      <w:r>
        <w:rPr>
          <w:noProof/>
        </w:rPr>
        <w:t xml:space="preserve">World Bank. (2004). </w:t>
      </w:r>
      <w:r>
        <w:rPr>
          <w:i/>
          <w:iCs/>
          <w:noProof/>
        </w:rPr>
        <w:t>Averting an Infrastructure Crisis: A Framework for Policy and Action.</w:t>
      </w:r>
      <w:r>
        <w:rPr>
          <w:noProof/>
        </w:rPr>
        <w:t xml:space="preserve"> Jakarta: The World Bank.</w:t>
      </w:r>
    </w:p>
    <w:p w:rsidR="009731B3" w:rsidRDefault="009731B3" w:rsidP="009731B3">
      <w:pPr>
        <w:pStyle w:val="Bibliography"/>
        <w:ind w:left="720" w:hanging="720"/>
        <w:divId w:val="124813279"/>
        <w:rPr>
          <w:noProof/>
        </w:rPr>
      </w:pPr>
      <w:r>
        <w:rPr>
          <w:noProof/>
        </w:rPr>
        <w:t xml:space="preserve">Zoomers, A. (2010). Globalization and the Foreignisation of Space: Seven Processes Driving the Current Global Land Grab. </w:t>
      </w:r>
      <w:r>
        <w:rPr>
          <w:i/>
          <w:iCs/>
          <w:noProof/>
        </w:rPr>
        <w:t>Journal of Peasant Studies</w:t>
      </w:r>
      <w:r>
        <w:rPr>
          <w:noProof/>
        </w:rPr>
        <w:t xml:space="preserve"> , 429-447.</w:t>
      </w:r>
    </w:p>
    <w:p w:rsidR="0073129C" w:rsidRDefault="00476E26" w:rsidP="009731B3">
      <w:pPr>
        <w:pStyle w:val="Reference"/>
        <w:ind w:left="720" w:hanging="720"/>
        <w:divId w:val="124813279"/>
      </w:pPr>
      <w:r>
        <w:fldChar w:fldCharType="end"/>
      </w:r>
    </w:p>
    <w:p w:rsidR="00153C61" w:rsidRDefault="00153C61" w:rsidP="00153C61">
      <w:pPr>
        <w:ind w:firstLine="0"/>
        <w:rPr>
          <w:u w:val="single"/>
        </w:rPr>
      </w:pPr>
      <w:r w:rsidRPr="00480379">
        <w:rPr>
          <w:i/>
          <w:u w:val="single"/>
        </w:rPr>
        <w:t>Website</w:t>
      </w:r>
    </w:p>
    <w:p w:rsidR="00153C61" w:rsidRDefault="00153C61" w:rsidP="00153C61">
      <w:pPr>
        <w:numPr>
          <w:ilvl w:val="0"/>
          <w:numId w:val="42"/>
        </w:numPr>
        <w:suppressAutoHyphens/>
        <w:spacing w:after="60"/>
        <w:ind w:left="360"/>
        <w:jc w:val="left"/>
      </w:pPr>
      <w:r>
        <w:t xml:space="preserve">Topik’s online magazine (accessed on September 13, 2012): </w:t>
      </w:r>
      <w:hyperlink r:id="rId22" w:history="1">
        <w:r w:rsidRPr="00E80103">
          <w:rPr>
            <w:rStyle w:val="Hyperlink"/>
          </w:rPr>
          <w:t>http://majalahtopik.co.id/readnews.php?id=420</w:t>
        </w:r>
      </w:hyperlink>
      <w:r w:rsidRPr="00E80103">
        <w:t xml:space="preserve"> </w:t>
      </w:r>
    </w:p>
    <w:p w:rsidR="00153C61" w:rsidRDefault="00153C61" w:rsidP="00153C61">
      <w:pPr>
        <w:numPr>
          <w:ilvl w:val="0"/>
          <w:numId w:val="42"/>
        </w:numPr>
        <w:spacing w:after="60" w:line="276" w:lineRule="auto"/>
        <w:ind w:left="360"/>
        <w:jc w:val="left"/>
      </w:pPr>
      <w:r w:rsidRPr="00480379">
        <w:t>Ministry of Industrial and Trading</w:t>
      </w:r>
      <w:r>
        <w:t xml:space="preserve"> </w:t>
      </w:r>
      <w:r w:rsidRPr="00480379">
        <w:t xml:space="preserve">(accessed on September 3, 2012): </w:t>
      </w:r>
    </w:p>
    <w:p w:rsidR="00153C61" w:rsidRPr="00480379" w:rsidRDefault="00476E26" w:rsidP="00153C61">
      <w:pPr>
        <w:spacing w:line="276" w:lineRule="auto"/>
        <w:ind w:left="360" w:firstLine="0"/>
        <w:jc w:val="left"/>
      </w:pPr>
      <w:hyperlink r:id="rId23" w:history="1">
        <w:r w:rsidR="00153C61" w:rsidRPr="00480379">
          <w:rPr>
            <w:rStyle w:val="Hyperlink"/>
          </w:rPr>
          <w:t>http://www.kemenperin.go.id/direktori-perusahaan?what=Industri&amp;prov=0</w:t>
        </w:r>
      </w:hyperlink>
      <w:r w:rsidR="00153C61" w:rsidRPr="00480379">
        <w:t xml:space="preserve"> and </w:t>
      </w:r>
      <w:hyperlink r:id="rId24" w:history="1">
        <w:r w:rsidR="00153C61" w:rsidRPr="00480379">
          <w:rPr>
            <w:rStyle w:val="Hyperlink"/>
          </w:rPr>
          <w:t>http://www.kemenperin.go.id/direktori-perusahaan?what=pertanian&amp;prov=0</w:t>
        </w:r>
      </w:hyperlink>
      <w:r w:rsidR="00153C61" w:rsidRPr="00480379">
        <w:t xml:space="preserve"> </w:t>
      </w:r>
    </w:p>
    <w:p w:rsidR="00153C61" w:rsidRDefault="00153C61" w:rsidP="00153C61">
      <w:pPr>
        <w:numPr>
          <w:ilvl w:val="0"/>
          <w:numId w:val="42"/>
        </w:numPr>
        <w:suppressAutoHyphens/>
        <w:spacing w:after="60"/>
        <w:ind w:left="360"/>
        <w:jc w:val="left"/>
      </w:pPr>
      <w:r w:rsidRPr="00924704">
        <w:t>Department of Public Work Republic of Indonesia</w:t>
      </w:r>
      <w:r>
        <w:t xml:space="preserve"> </w:t>
      </w:r>
      <w:r w:rsidRPr="00924704">
        <w:t>(accessed on September 5</w:t>
      </w:r>
      <w:r>
        <w:t xml:space="preserve"> and 6</w:t>
      </w:r>
      <w:r w:rsidRPr="00924704">
        <w:t>, 2012)</w:t>
      </w:r>
      <w:r>
        <w:t>:</w:t>
      </w:r>
      <w:r w:rsidRPr="00924704">
        <w:t xml:space="preserve"> </w:t>
      </w:r>
      <w:hyperlink r:id="rId25" w:history="1">
        <w:r w:rsidRPr="00924704">
          <w:rPr>
            <w:rStyle w:val="Hyperlink"/>
          </w:rPr>
          <w:t>http://sosekling.pu.go.id/database/database/lihatdokumen/37/4-5ff3079753cdd78dffaadb9b56b5de4b25649a86.pdf</w:t>
        </w:r>
      </w:hyperlink>
      <w:r>
        <w:t xml:space="preserve">; </w:t>
      </w:r>
      <w:hyperlink r:id="rId26" w:history="1">
        <w:r w:rsidRPr="00621DD0">
          <w:rPr>
            <w:rStyle w:val="Hyperlink"/>
          </w:rPr>
          <w:t>http://www1.pu.go.id/uploads/berita/ppw220905gt.htm</w:t>
        </w:r>
      </w:hyperlink>
    </w:p>
    <w:p w:rsidR="00153C61" w:rsidRPr="0052716A" w:rsidRDefault="00153C61" w:rsidP="00153C61">
      <w:pPr>
        <w:numPr>
          <w:ilvl w:val="0"/>
          <w:numId w:val="42"/>
        </w:numPr>
        <w:suppressAutoHyphens/>
        <w:spacing w:after="60"/>
        <w:ind w:left="360"/>
        <w:jc w:val="left"/>
      </w:pPr>
      <w:r w:rsidRPr="0052716A">
        <w:t xml:space="preserve">Statistic Bureau of Indonesia (accessed on September 5, 2012): </w:t>
      </w:r>
      <w:hyperlink r:id="rId27" w:history="1">
        <w:r w:rsidRPr="0052716A">
          <w:rPr>
            <w:rStyle w:val="Hyperlink"/>
          </w:rPr>
          <w:t>http://www.bps.go.id/tnmn_pgn.php?kat=3</w:t>
        </w:r>
      </w:hyperlink>
      <w:r w:rsidRPr="0052716A">
        <w:t xml:space="preserve"> </w:t>
      </w:r>
    </w:p>
    <w:p w:rsidR="00153C61" w:rsidRDefault="00153C61" w:rsidP="00153C61">
      <w:pPr>
        <w:numPr>
          <w:ilvl w:val="0"/>
          <w:numId w:val="42"/>
        </w:numPr>
        <w:spacing w:after="60" w:line="276" w:lineRule="auto"/>
        <w:ind w:left="360"/>
        <w:jc w:val="left"/>
      </w:pPr>
      <w:r>
        <w:t xml:space="preserve">PT Jasa Marga </w:t>
      </w:r>
      <w:r w:rsidRPr="00621DD0">
        <w:t>(accessed on September 6, 2012)</w:t>
      </w:r>
      <w:r>
        <w:t xml:space="preserve">: </w:t>
      </w:r>
      <w:hyperlink r:id="rId28" w:history="1">
        <w:r w:rsidRPr="00621DD0">
          <w:rPr>
            <w:rStyle w:val="Hyperlink"/>
          </w:rPr>
          <w:t>http://www.jasamarga.com/en_/hubungan-investor.html</w:t>
        </w:r>
      </w:hyperlink>
      <w:r>
        <w:t xml:space="preserve">; </w:t>
      </w:r>
      <w:hyperlink r:id="rId29" w:history="1">
        <w:r w:rsidRPr="00621DD0">
          <w:rPr>
            <w:rStyle w:val="Hyperlink"/>
          </w:rPr>
          <w:t>http://www.jasamarga.com/en_/layanan-jalan-tol/</w:t>
        </w:r>
      </w:hyperlink>
      <w:r>
        <w:t>.</w:t>
      </w:r>
    </w:p>
    <w:p w:rsidR="00153C61" w:rsidRDefault="00153C61" w:rsidP="00153C61">
      <w:pPr>
        <w:numPr>
          <w:ilvl w:val="0"/>
          <w:numId w:val="42"/>
        </w:numPr>
        <w:spacing w:after="60" w:line="276" w:lineRule="auto"/>
        <w:ind w:left="360"/>
        <w:jc w:val="left"/>
      </w:pPr>
      <w:r>
        <w:t xml:space="preserve">Neraca’s online national newspaper </w:t>
      </w:r>
      <w:r w:rsidRPr="00621DD0">
        <w:t>(accessed on September 6, 2012)</w:t>
      </w:r>
      <w:r>
        <w:t xml:space="preserve">: </w:t>
      </w:r>
      <w:hyperlink r:id="rId30" w:history="1">
        <w:r w:rsidRPr="00621DD0">
          <w:rPr>
            <w:rStyle w:val="Hyperlink"/>
          </w:rPr>
          <w:t>http://www.neraca.co.id/2012/07/04/ruas-ruas-jalan-tol-baru-untuk-buka-konektivitas/</w:t>
        </w:r>
      </w:hyperlink>
      <w:r w:rsidRPr="00621DD0">
        <w:t>.</w:t>
      </w:r>
    </w:p>
    <w:p w:rsidR="00153C61" w:rsidRDefault="00153C61" w:rsidP="00153C61">
      <w:pPr>
        <w:numPr>
          <w:ilvl w:val="0"/>
          <w:numId w:val="42"/>
        </w:numPr>
        <w:spacing w:after="60" w:line="276" w:lineRule="auto"/>
        <w:ind w:left="360"/>
        <w:jc w:val="left"/>
      </w:pPr>
      <w:r w:rsidRPr="0052716A">
        <w:rPr>
          <w:i/>
        </w:rPr>
        <w:t>Inilah-Jabar</w:t>
      </w:r>
      <w:r>
        <w:t xml:space="preserve">’s online national newspaper </w:t>
      </w:r>
      <w:r w:rsidRPr="00621DD0">
        <w:t>(accessed on September 6, 2012) (</w:t>
      </w:r>
      <w:hyperlink r:id="rId31" w:history="1">
        <w:r w:rsidRPr="00621DD0">
          <w:rPr>
            <w:rStyle w:val="Hyperlink"/>
          </w:rPr>
          <w:t>http://www.inilahjabar.com/read/detail/1808672/pembangunan-tol-ciawi-sukabumi-dipercepat</w:t>
        </w:r>
      </w:hyperlink>
      <w:r>
        <w:t>.</w:t>
      </w:r>
    </w:p>
    <w:p w:rsidR="00153C61" w:rsidRDefault="00153C61" w:rsidP="00153C61">
      <w:pPr>
        <w:spacing w:line="276" w:lineRule="auto"/>
        <w:ind w:firstLine="0"/>
      </w:pPr>
    </w:p>
    <w:p w:rsidR="00153C61" w:rsidRPr="00C651C3" w:rsidRDefault="00153C61" w:rsidP="00153C61">
      <w:pPr>
        <w:spacing w:line="276" w:lineRule="auto"/>
        <w:ind w:firstLine="0"/>
        <w:rPr>
          <w:i/>
          <w:u w:val="single"/>
        </w:rPr>
      </w:pPr>
      <w:r w:rsidRPr="00C651C3">
        <w:rPr>
          <w:i/>
          <w:u w:val="single"/>
        </w:rPr>
        <w:t>Laws and Regulations</w:t>
      </w:r>
    </w:p>
    <w:p w:rsidR="00C35691" w:rsidRDefault="00C35691" w:rsidP="00C35691">
      <w:pPr>
        <w:pStyle w:val="Reference"/>
        <w:numPr>
          <w:ilvl w:val="0"/>
          <w:numId w:val="43"/>
        </w:numPr>
      </w:pPr>
      <w:r>
        <w:t>Presidential Regulation No. 32/2011 on MP3EI 2011-2025</w:t>
      </w:r>
    </w:p>
    <w:p w:rsidR="00C35691" w:rsidRDefault="00C35691" w:rsidP="00C35691">
      <w:pPr>
        <w:pStyle w:val="Reference"/>
        <w:numPr>
          <w:ilvl w:val="0"/>
          <w:numId w:val="43"/>
        </w:numPr>
      </w:pPr>
      <w:r>
        <w:t>Presidential Regulation No. 5/2010 on RJPMN 2010-2014</w:t>
      </w:r>
    </w:p>
    <w:p w:rsidR="009400BC" w:rsidRDefault="00C35691" w:rsidP="00C35691">
      <w:pPr>
        <w:pStyle w:val="Reference"/>
        <w:numPr>
          <w:ilvl w:val="0"/>
          <w:numId w:val="43"/>
        </w:numPr>
      </w:pPr>
      <w:r>
        <w:t>Presidential Regulation No. 67/2005 on Public-Private Partnership</w:t>
      </w:r>
    </w:p>
    <w:p w:rsidR="00C35691" w:rsidRDefault="00C35691" w:rsidP="00C35691">
      <w:pPr>
        <w:pStyle w:val="Reference"/>
        <w:numPr>
          <w:ilvl w:val="0"/>
          <w:numId w:val="43"/>
        </w:numPr>
      </w:pPr>
      <w:r>
        <w:t>Presidential Regulation No. 13/2010 on Public-Private Partnership</w:t>
      </w:r>
    </w:p>
    <w:p w:rsidR="00C35691" w:rsidRDefault="00C35691" w:rsidP="00C35691">
      <w:pPr>
        <w:pStyle w:val="Reference"/>
        <w:numPr>
          <w:ilvl w:val="0"/>
          <w:numId w:val="43"/>
        </w:numPr>
      </w:pPr>
      <w:r>
        <w:t>Presidential Regulation No. 56/2010 on Public-Private Partnership</w:t>
      </w:r>
    </w:p>
    <w:p w:rsidR="00C35691" w:rsidRDefault="00C35691" w:rsidP="00C35691">
      <w:pPr>
        <w:pStyle w:val="Reference"/>
        <w:numPr>
          <w:ilvl w:val="0"/>
          <w:numId w:val="43"/>
        </w:numPr>
      </w:pPr>
      <w:r>
        <w:t>Decree of the Ministry of Public Work No. 277/KPTS/M/2011 on Toll Road Ta</w:t>
      </w:r>
      <w:r w:rsidR="004F3B6D">
        <w:t>r</w:t>
      </w:r>
      <w:r>
        <w:t>i</w:t>
      </w:r>
      <w:r w:rsidR="004F3B6D">
        <w:t>f</w:t>
      </w:r>
      <w:r>
        <w:t>f</w:t>
      </w:r>
    </w:p>
    <w:p w:rsidR="00024FA7" w:rsidRDefault="00024FA7" w:rsidP="00C35691">
      <w:pPr>
        <w:pStyle w:val="Reference"/>
        <w:numPr>
          <w:ilvl w:val="0"/>
          <w:numId w:val="43"/>
        </w:numPr>
      </w:pPr>
      <w:r w:rsidRPr="00024FA7">
        <w:t xml:space="preserve">Laws No. 11/1967 on Mining </w:t>
      </w:r>
    </w:p>
    <w:p w:rsidR="00024FA7" w:rsidRPr="00337996" w:rsidRDefault="00024FA7" w:rsidP="00C35691">
      <w:pPr>
        <w:pStyle w:val="Reference"/>
        <w:numPr>
          <w:ilvl w:val="0"/>
          <w:numId w:val="43"/>
        </w:numPr>
      </w:pPr>
      <w:r w:rsidRPr="00024FA7">
        <w:rPr>
          <w:lang w:val="en-US"/>
        </w:rPr>
        <w:t>Laws No. 4/2009</w:t>
      </w:r>
      <w:r>
        <w:rPr>
          <w:lang w:val="en-US"/>
        </w:rPr>
        <w:t xml:space="preserve"> on Mining</w:t>
      </w:r>
    </w:p>
    <w:sectPr w:rsidR="00024FA7" w:rsidRPr="00337996" w:rsidSect="008E4247">
      <w:headerReference w:type="even" r:id="rId32"/>
      <w:endnotePr>
        <w:numFmt w:val="decimal"/>
      </w:endnotePr>
      <w:pgSz w:w="11906" w:h="16838" w:code="9"/>
      <w:pgMar w:top="1701" w:right="2268" w:bottom="1134" w:left="2268" w:header="709" w:footer="85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4A7" w:rsidRPr="00FE124C" w:rsidRDefault="003F34A7" w:rsidP="00FE124C">
      <w:pPr>
        <w:pStyle w:val="Footer"/>
        <w:rPr>
          <w:sz w:val="4"/>
          <w:szCs w:val="4"/>
        </w:rPr>
      </w:pPr>
    </w:p>
  </w:endnote>
  <w:endnote w:type="continuationSeparator" w:id="1">
    <w:p w:rsidR="003F34A7" w:rsidRPr="00BE1BB7" w:rsidRDefault="003F34A7" w:rsidP="00BE1BB7">
      <w:pPr>
        <w:pStyle w:val="Footer"/>
        <w:rPr>
          <w:sz w:val="4"/>
          <w:szCs w:val="4"/>
        </w:rPr>
      </w:pPr>
    </w:p>
    <w:p w:rsidR="003F34A7" w:rsidRDefault="003F34A7"/>
  </w:endnote>
  <w:endnote w:type="continuationNotice" w:id="2">
    <w:p w:rsidR="003F34A7" w:rsidRPr="00BE1BB7" w:rsidRDefault="003F34A7">
      <w:pPr>
        <w:rPr>
          <w:sz w:val="4"/>
          <w:szCs w:val="4"/>
        </w:rPr>
      </w:pPr>
    </w:p>
    <w:p w:rsidR="003F34A7" w:rsidRDefault="003F34A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FA7" w:rsidRPr="008B3247" w:rsidRDefault="00024FA7" w:rsidP="00E217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4FA7" w:rsidRPr="008B3247" w:rsidRDefault="00024FA7" w:rsidP="007A0F8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FA7" w:rsidRDefault="00024FA7" w:rsidP="00E2172B">
    <w:pPr>
      <w:pStyle w:val="Footer"/>
      <w:framePr w:wrap="around" w:vAnchor="text" w:hAnchor="margin" w:xAlign="center" w:y="1"/>
      <w:spacing w:before="60" w:after="0"/>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0B410E">
      <w:rPr>
        <w:rStyle w:val="PageNumber"/>
        <w:noProof/>
      </w:rPr>
      <w:t>v</w:t>
    </w:r>
    <w:r>
      <w:rPr>
        <w:rStyle w:val="PageNumber"/>
      </w:rPr>
      <w:fldChar w:fldCharType="end"/>
    </w:r>
  </w:p>
  <w:p w:rsidR="00024FA7" w:rsidRPr="008B3247" w:rsidRDefault="00024FA7" w:rsidP="000908A6">
    <w:pPr>
      <w:pStyle w:val="Footer"/>
      <w:spacing w:before="100"/>
      <w:ind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FA7" w:rsidRDefault="00024FA7" w:rsidP="00397138">
    <w:pPr>
      <w:pStyle w:val="Footer"/>
      <w:framePr w:wrap="around" w:vAnchor="text" w:hAnchor="margin" w:xAlign="center" w:y="1"/>
      <w:rPr>
        <w:rStyle w:val="PageNumber"/>
      </w:rPr>
    </w:pPr>
  </w:p>
  <w:p w:rsidR="00024FA7" w:rsidRDefault="00024F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4A7" w:rsidRDefault="003F34A7" w:rsidP="002F2282">
      <w:pPr>
        <w:spacing w:after="40"/>
        <w:ind w:firstLine="0"/>
      </w:pPr>
      <w:r>
        <w:separator/>
      </w:r>
    </w:p>
  </w:footnote>
  <w:footnote w:type="continuationSeparator" w:id="1">
    <w:p w:rsidR="003F34A7" w:rsidRDefault="003F34A7" w:rsidP="001F4E93">
      <w:pPr>
        <w:ind w:firstLine="0"/>
      </w:pPr>
      <w:r>
        <w:continuationSeparator/>
      </w:r>
    </w:p>
  </w:footnote>
  <w:footnote w:type="continuationNotice" w:id="2">
    <w:p w:rsidR="003F34A7" w:rsidRPr="002F2282" w:rsidRDefault="003F34A7" w:rsidP="002F2282">
      <w:pPr>
        <w:pStyle w:val="Footer"/>
        <w:ind w:firstLine="0"/>
        <w:rPr>
          <w:lang w:val="en-US"/>
        </w:rPr>
      </w:pPr>
    </w:p>
  </w:footnote>
  <w:footnote w:id="3">
    <w:p w:rsidR="00024FA7" w:rsidRPr="005B67BF" w:rsidRDefault="00024FA7" w:rsidP="00287BD1">
      <w:pPr>
        <w:pStyle w:val="FootnoteText"/>
        <w:spacing w:after="100"/>
        <w:rPr>
          <w:sz w:val="20"/>
          <w:szCs w:val="20"/>
        </w:rPr>
      </w:pPr>
      <w:r w:rsidRPr="005B67BF">
        <w:rPr>
          <w:rStyle w:val="FootnoteReference"/>
          <w:sz w:val="20"/>
          <w:szCs w:val="20"/>
        </w:rPr>
        <w:footnoteRef/>
      </w:r>
      <w:r w:rsidRPr="005B67BF">
        <w:rPr>
          <w:sz w:val="20"/>
          <w:szCs w:val="20"/>
        </w:rPr>
        <w:t xml:space="preserve"> Statement of Chair of APKASI (Indonesia’s Association of District Government), August 2012 in </w:t>
      </w:r>
      <w:hyperlink r:id="rId1" w:history="1">
        <w:r w:rsidRPr="005B67BF">
          <w:rPr>
            <w:rStyle w:val="Hyperlink"/>
            <w:sz w:val="20"/>
            <w:szCs w:val="20"/>
          </w:rPr>
          <w:t>http://majalahtopik.co.id/readnews.php?id=420</w:t>
        </w:r>
      </w:hyperlink>
      <w:r w:rsidRPr="005B67BF">
        <w:rPr>
          <w:sz w:val="20"/>
          <w:szCs w:val="20"/>
        </w:rPr>
        <w:t xml:space="preserve"> accessed on September 13, 2012.</w:t>
      </w:r>
    </w:p>
  </w:footnote>
  <w:footnote w:id="4">
    <w:p w:rsidR="00024FA7" w:rsidRPr="005B67BF" w:rsidRDefault="00024FA7" w:rsidP="00287BD1">
      <w:pPr>
        <w:pStyle w:val="FootnoteText"/>
        <w:spacing w:after="100"/>
        <w:rPr>
          <w:sz w:val="20"/>
          <w:szCs w:val="20"/>
        </w:rPr>
      </w:pPr>
      <w:r w:rsidRPr="005B67BF">
        <w:rPr>
          <w:rStyle w:val="FootnoteReference"/>
          <w:sz w:val="20"/>
          <w:szCs w:val="20"/>
        </w:rPr>
        <w:footnoteRef/>
      </w:r>
      <w:r w:rsidRPr="005B67BF">
        <w:rPr>
          <w:sz w:val="20"/>
          <w:szCs w:val="20"/>
        </w:rPr>
        <w:t xml:space="preserve"> </w:t>
      </w:r>
      <w:r w:rsidRPr="00E334B5">
        <w:rPr>
          <w:i/>
          <w:sz w:val="20"/>
          <w:szCs w:val="20"/>
          <w:lang w:val="id-ID"/>
        </w:rPr>
        <w:t>Journal of Peasant Studies</w:t>
      </w:r>
      <w:r w:rsidRPr="005B67BF">
        <w:rPr>
          <w:sz w:val="20"/>
          <w:szCs w:val="20"/>
          <w:lang w:val="id-ID"/>
        </w:rPr>
        <w:t xml:space="preserve"> Vol. 39, Issue 3-4, July to October 2012</w:t>
      </w:r>
      <w:r w:rsidRPr="005B67BF">
        <w:rPr>
          <w:sz w:val="20"/>
          <w:szCs w:val="20"/>
        </w:rPr>
        <w:t xml:space="preserve"> was presenting many studies of the cases occurred in several countries </w:t>
      </w:r>
      <w:r w:rsidRPr="005B67BF">
        <w:rPr>
          <w:noProof/>
          <w:sz w:val="20"/>
          <w:szCs w:val="20"/>
          <w:lang w:val="en-US"/>
        </w:rPr>
        <w:t xml:space="preserve"> </w:t>
      </w:r>
      <w:sdt>
        <w:sdtPr>
          <w:rPr>
            <w:noProof/>
            <w:sz w:val="20"/>
            <w:szCs w:val="20"/>
            <w:lang w:val="en-US"/>
          </w:rPr>
          <w:id w:val="156181513"/>
          <w:citation/>
        </w:sdtPr>
        <w:sdtContent>
          <w:r w:rsidRPr="005B67BF">
            <w:rPr>
              <w:noProof/>
              <w:sz w:val="20"/>
              <w:szCs w:val="20"/>
              <w:lang w:val="en-US"/>
            </w:rPr>
            <w:fldChar w:fldCharType="begin"/>
          </w:r>
          <w:r w:rsidRPr="005B67BF">
            <w:rPr>
              <w:noProof/>
              <w:sz w:val="20"/>
              <w:szCs w:val="20"/>
              <w:lang w:val="en-US"/>
            </w:rPr>
            <w:instrText xml:space="preserve"> CITATION Whi12 \l 1033 </w:instrText>
          </w:r>
          <w:r w:rsidRPr="005B67BF">
            <w:rPr>
              <w:noProof/>
              <w:sz w:val="20"/>
              <w:szCs w:val="20"/>
              <w:lang w:val="en-US"/>
            </w:rPr>
            <w:fldChar w:fldCharType="separate"/>
          </w:r>
          <w:r w:rsidRPr="005B67BF">
            <w:rPr>
              <w:noProof/>
              <w:sz w:val="20"/>
              <w:szCs w:val="20"/>
              <w:lang w:val="en-US"/>
            </w:rPr>
            <w:t>(White, Borras, Hall, Scoones, &amp; Wolford, 2012)</w:t>
          </w:r>
          <w:r w:rsidRPr="005B67BF">
            <w:rPr>
              <w:noProof/>
              <w:sz w:val="20"/>
              <w:szCs w:val="20"/>
              <w:lang w:val="en-US"/>
            </w:rPr>
            <w:fldChar w:fldCharType="end"/>
          </w:r>
        </w:sdtContent>
      </w:sdt>
      <w:r w:rsidRPr="005B67BF">
        <w:rPr>
          <w:sz w:val="20"/>
          <w:szCs w:val="20"/>
        </w:rPr>
        <w:t xml:space="preserve">. For the case in Java (Indonesia), see </w:t>
      </w:r>
      <w:r w:rsidRPr="005B67BF">
        <w:rPr>
          <w:noProof/>
          <w:sz w:val="20"/>
          <w:szCs w:val="20"/>
          <w:lang w:val="en-US"/>
        </w:rPr>
        <w:t xml:space="preserve">Suryana and Bachriadi </w:t>
      </w:r>
      <w:sdt>
        <w:sdtPr>
          <w:rPr>
            <w:noProof/>
            <w:sz w:val="20"/>
            <w:szCs w:val="20"/>
            <w:lang w:val="en-US"/>
          </w:rPr>
          <w:id w:val="156181514"/>
          <w:citation/>
        </w:sdtPr>
        <w:sdtContent>
          <w:r w:rsidRPr="005B67BF">
            <w:rPr>
              <w:noProof/>
              <w:sz w:val="20"/>
              <w:szCs w:val="20"/>
              <w:lang w:val="en-US"/>
            </w:rPr>
            <w:fldChar w:fldCharType="begin"/>
          </w:r>
          <w:r w:rsidRPr="005B67BF">
            <w:rPr>
              <w:noProof/>
              <w:sz w:val="20"/>
              <w:szCs w:val="20"/>
              <w:lang w:val="en-US"/>
            </w:rPr>
            <w:instrText xml:space="preserve"> CITATION Sur12 \n  \t  \l 1033  </w:instrText>
          </w:r>
          <w:r w:rsidRPr="005B67BF">
            <w:rPr>
              <w:noProof/>
              <w:sz w:val="20"/>
              <w:szCs w:val="20"/>
              <w:lang w:val="en-US"/>
            </w:rPr>
            <w:fldChar w:fldCharType="separate"/>
          </w:r>
          <w:r w:rsidRPr="005B67BF">
            <w:rPr>
              <w:noProof/>
              <w:sz w:val="20"/>
              <w:szCs w:val="20"/>
              <w:lang w:val="en-US"/>
            </w:rPr>
            <w:t>(2012)</w:t>
          </w:r>
          <w:r w:rsidRPr="005B67BF">
            <w:rPr>
              <w:noProof/>
              <w:sz w:val="20"/>
              <w:szCs w:val="20"/>
              <w:lang w:val="en-US"/>
            </w:rPr>
            <w:fldChar w:fldCharType="end"/>
          </w:r>
        </w:sdtContent>
      </w:sdt>
      <w:r w:rsidRPr="005B67BF">
        <w:rPr>
          <w:noProof/>
          <w:sz w:val="20"/>
          <w:szCs w:val="20"/>
          <w:lang w:val="en-US"/>
        </w:rPr>
        <w:t>.</w:t>
      </w:r>
    </w:p>
  </w:footnote>
  <w:footnote w:id="5">
    <w:p w:rsidR="00024FA7" w:rsidRPr="005B67BF" w:rsidRDefault="00024FA7" w:rsidP="00287BD1">
      <w:pPr>
        <w:pStyle w:val="FootnoteText"/>
        <w:spacing w:after="100"/>
        <w:rPr>
          <w:sz w:val="20"/>
          <w:szCs w:val="20"/>
        </w:rPr>
      </w:pPr>
      <w:r w:rsidRPr="005B67BF">
        <w:rPr>
          <w:rStyle w:val="FootnoteReference"/>
          <w:sz w:val="20"/>
          <w:szCs w:val="20"/>
        </w:rPr>
        <w:footnoteRef/>
      </w:r>
      <w:r w:rsidRPr="005B67BF">
        <w:rPr>
          <w:sz w:val="20"/>
          <w:szCs w:val="20"/>
        </w:rPr>
        <w:t xml:space="preserve"> In particular, some of the other literature review on the </w:t>
      </w:r>
      <w:r>
        <w:rPr>
          <w:sz w:val="20"/>
          <w:szCs w:val="20"/>
        </w:rPr>
        <w:t>SEZ</w:t>
      </w:r>
      <w:r w:rsidRPr="005B67BF">
        <w:rPr>
          <w:sz w:val="20"/>
          <w:szCs w:val="20"/>
        </w:rPr>
        <w:t xml:space="preserve">, such as on India </w:t>
      </w:r>
      <w:sdt>
        <w:sdtPr>
          <w:rPr>
            <w:noProof/>
            <w:sz w:val="20"/>
            <w:szCs w:val="20"/>
            <w:lang w:val="en-US"/>
          </w:rPr>
          <w:id w:val="156181515"/>
          <w:citation/>
        </w:sdtPr>
        <w:sdtContent>
          <w:r w:rsidRPr="005B67BF">
            <w:rPr>
              <w:noProof/>
              <w:sz w:val="20"/>
              <w:szCs w:val="20"/>
              <w:lang w:val="en-US"/>
            </w:rPr>
            <w:fldChar w:fldCharType="begin"/>
          </w:r>
          <w:r w:rsidRPr="005B67BF">
            <w:rPr>
              <w:noProof/>
              <w:sz w:val="20"/>
              <w:szCs w:val="20"/>
              <w:lang w:val="en-US"/>
            </w:rPr>
            <w:instrText xml:space="preserve"> CITATION Lie11 \l 1033 </w:instrText>
          </w:r>
          <w:r w:rsidRPr="005B67BF">
            <w:rPr>
              <w:noProof/>
              <w:sz w:val="20"/>
              <w:szCs w:val="20"/>
              <w:lang w:val="en-US"/>
            </w:rPr>
            <w:fldChar w:fldCharType="separate"/>
          </w:r>
          <w:r w:rsidRPr="005B67BF">
            <w:rPr>
              <w:noProof/>
              <w:sz w:val="20"/>
              <w:szCs w:val="20"/>
              <w:lang w:val="en-US"/>
            </w:rPr>
            <w:t>(Lieven, 2011)</w:t>
          </w:r>
          <w:r w:rsidRPr="005B67BF">
            <w:rPr>
              <w:noProof/>
              <w:sz w:val="20"/>
              <w:szCs w:val="20"/>
              <w:lang w:val="en-US"/>
            </w:rPr>
            <w:fldChar w:fldCharType="end"/>
          </w:r>
        </w:sdtContent>
      </w:sdt>
      <w:r w:rsidRPr="005B67BF">
        <w:rPr>
          <w:sz w:val="20"/>
          <w:szCs w:val="20"/>
        </w:rPr>
        <w:t>, and practices on a large land acquisition for agriculture that are analyzed as the ph</w:t>
      </w:r>
      <w:r w:rsidRPr="005B67BF">
        <w:rPr>
          <w:sz w:val="20"/>
          <w:szCs w:val="20"/>
        </w:rPr>
        <w:t>e</w:t>
      </w:r>
      <w:r w:rsidRPr="005B67BF">
        <w:rPr>
          <w:sz w:val="20"/>
          <w:szCs w:val="20"/>
        </w:rPr>
        <w:t xml:space="preserve">nomenon of land grabbing </w:t>
      </w:r>
      <w:sdt>
        <w:sdtPr>
          <w:rPr>
            <w:sz w:val="20"/>
            <w:szCs w:val="20"/>
          </w:rPr>
          <w:id w:val="156181516"/>
          <w:citation/>
        </w:sdtPr>
        <w:sdtContent>
          <w:r w:rsidRPr="005B67BF">
            <w:rPr>
              <w:sz w:val="20"/>
              <w:szCs w:val="20"/>
            </w:rPr>
            <w:fldChar w:fldCharType="begin"/>
          </w:r>
          <w:r w:rsidRPr="005B67BF">
            <w:rPr>
              <w:sz w:val="20"/>
              <w:szCs w:val="20"/>
              <w:lang w:val="en-US"/>
            </w:rPr>
            <w:instrText xml:space="preserve"> CITATION Kaa11 \l 1033 </w:instrText>
          </w:r>
          <w:r w:rsidRPr="005B67BF">
            <w:rPr>
              <w:sz w:val="20"/>
              <w:szCs w:val="20"/>
            </w:rPr>
            <w:fldChar w:fldCharType="separate"/>
          </w:r>
          <w:r w:rsidRPr="005B67BF">
            <w:rPr>
              <w:noProof/>
              <w:sz w:val="20"/>
              <w:szCs w:val="20"/>
              <w:lang w:val="en-US"/>
            </w:rPr>
            <w:t>(Kaarhus, 2011)</w:t>
          </w:r>
          <w:r w:rsidRPr="005B67BF">
            <w:rPr>
              <w:sz w:val="20"/>
              <w:szCs w:val="20"/>
            </w:rPr>
            <w:fldChar w:fldCharType="end"/>
          </w:r>
        </w:sdtContent>
      </w:sdt>
      <w:r w:rsidRPr="005B67BF">
        <w:rPr>
          <w:sz w:val="20"/>
          <w:szCs w:val="20"/>
        </w:rPr>
        <w:t>.</w:t>
      </w:r>
    </w:p>
  </w:footnote>
  <w:footnote w:id="6">
    <w:p w:rsidR="00024FA7" w:rsidRPr="005B67BF" w:rsidRDefault="00024FA7" w:rsidP="00287BD1">
      <w:pPr>
        <w:pStyle w:val="FootnoteText"/>
        <w:spacing w:after="100"/>
        <w:rPr>
          <w:sz w:val="20"/>
          <w:szCs w:val="20"/>
        </w:rPr>
      </w:pPr>
      <w:r w:rsidRPr="005B67BF">
        <w:rPr>
          <w:rStyle w:val="FootnoteReference"/>
          <w:sz w:val="20"/>
          <w:szCs w:val="20"/>
        </w:rPr>
        <w:footnoteRef/>
      </w:r>
      <w:r w:rsidRPr="005B67BF">
        <w:rPr>
          <w:sz w:val="20"/>
          <w:szCs w:val="20"/>
        </w:rPr>
        <w:t>It is similar experience in Ireland through the development corridor between Dublin and Be</w:t>
      </w:r>
      <w:r w:rsidRPr="005B67BF">
        <w:rPr>
          <w:sz w:val="20"/>
          <w:szCs w:val="20"/>
        </w:rPr>
        <w:t>l</w:t>
      </w:r>
      <w:r w:rsidRPr="005B67BF">
        <w:rPr>
          <w:sz w:val="20"/>
          <w:szCs w:val="20"/>
        </w:rPr>
        <w:t xml:space="preserve">fast </w:t>
      </w:r>
      <w:sdt>
        <w:sdtPr>
          <w:rPr>
            <w:sz w:val="20"/>
            <w:szCs w:val="20"/>
          </w:rPr>
          <w:id w:val="156181517"/>
          <w:citation/>
        </w:sdtPr>
        <w:sdtContent>
          <w:r w:rsidRPr="005B67BF">
            <w:rPr>
              <w:sz w:val="20"/>
              <w:szCs w:val="20"/>
            </w:rPr>
            <w:fldChar w:fldCharType="begin"/>
          </w:r>
          <w:r w:rsidRPr="005B67BF">
            <w:rPr>
              <w:sz w:val="20"/>
              <w:szCs w:val="20"/>
              <w:lang w:val="en-US"/>
            </w:rPr>
            <w:instrText xml:space="preserve"> CITATION McE \l 1033 </w:instrText>
          </w:r>
          <w:r w:rsidRPr="005B67BF">
            <w:rPr>
              <w:sz w:val="20"/>
              <w:szCs w:val="20"/>
            </w:rPr>
            <w:fldChar w:fldCharType="separate"/>
          </w:r>
          <w:r w:rsidRPr="005B67BF">
            <w:rPr>
              <w:noProof/>
              <w:sz w:val="20"/>
              <w:szCs w:val="20"/>
              <w:lang w:val="en-US"/>
            </w:rPr>
            <w:t>(McEldowney &amp; O'Connel, N/A)</w:t>
          </w:r>
          <w:r w:rsidRPr="005B67BF">
            <w:rPr>
              <w:sz w:val="20"/>
              <w:szCs w:val="20"/>
            </w:rPr>
            <w:fldChar w:fldCharType="end"/>
          </w:r>
        </w:sdtContent>
      </w:sdt>
      <w:r w:rsidRPr="005B67BF">
        <w:rPr>
          <w:sz w:val="20"/>
          <w:szCs w:val="20"/>
        </w:rPr>
        <w:t xml:space="preserve"> and in Asia by Great Mekong Sub-Region (GMS) pr</w:t>
      </w:r>
      <w:r w:rsidRPr="005B67BF">
        <w:rPr>
          <w:sz w:val="20"/>
          <w:szCs w:val="20"/>
        </w:rPr>
        <w:t>o</w:t>
      </w:r>
      <w:r w:rsidRPr="005B67BF">
        <w:rPr>
          <w:sz w:val="20"/>
          <w:szCs w:val="20"/>
        </w:rPr>
        <w:t xml:space="preserve">ject </w:t>
      </w:r>
      <w:sdt>
        <w:sdtPr>
          <w:rPr>
            <w:sz w:val="20"/>
            <w:szCs w:val="20"/>
          </w:rPr>
          <w:id w:val="156181518"/>
          <w:citation/>
        </w:sdtPr>
        <w:sdtContent>
          <w:r w:rsidRPr="005B67BF">
            <w:rPr>
              <w:sz w:val="20"/>
              <w:szCs w:val="20"/>
            </w:rPr>
            <w:fldChar w:fldCharType="begin"/>
          </w:r>
          <w:r w:rsidRPr="005B67BF">
            <w:rPr>
              <w:sz w:val="20"/>
              <w:szCs w:val="20"/>
              <w:lang w:val="en-US"/>
            </w:rPr>
            <w:instrText xml:space="preserve"> CITATION Baf10 \l 1033  \m Sri11</w:instrText>
          </w:r>
          <w:r w:rsidRPr="005B67BF">
            <w:rPr>
              <w:sz w:val="20"/>
              <w:szCs w:val="20"/>
            </w:rPr>
            <w:fldChar w:fldCharType="separate"/>
          </w:r>
          <w:r w:rsidRPr="005B67BF">
            <w:rPr>
              <w:noProof/>
              <w:sz w:val="20"/>
              <w:szCs w:val="20"/>
              <w:lang w:val="en-US"/>
            </w:rPr>
            <w:t>(Bafoil &amp; Ruiwen, 2010; Srivastava, 2011)</w:t>
          </w:r>
          <w:r w:rsidRPr="005B67BF">
            <w:rPr>
              <w:sz w:val="20"/>
              <w:szCs w:val="20"/>
            </w:rPr>
            <w:fldChar w:fldCharType="end"/>
          </w:r>
        </w:sdtContent>
      </w:sdt>
      <w:r w:rsidRPr="005B67BF">
        <w:rPr>
          <w:noProof/>
          <w:sz w:val="20"/>
          <w:szCs w:val="20"/>
        </w:rPr>
        <w:t>.</w:t>
      </w:r>
    </w:p>
  </w:footnote>
  <w:footnote w:id="7">
    <w:p w:rsidR="00024FA7" w:rsidRPr="005B67BF" w:rsidRDefault="00024FA7" w:rsidP="00287BD1">
      <w:pPr>
        <w:pStyle w:val="FootnoteText"/>
        <w:spacing w:after="100"/>
        <w:rPr>
          <w:sz w:val="20"/>
          <w:szCs w:val="20"/>
          <w:lang w:val="en-US"/>
        </w:rPr>
      </w:pPr>
      <w:r w:rsidRPr="005B67BF">
        <w:rPr>
          <w:rStyle w:val="FootnoteReference"/>
          <w:sz w:val="20"/>
          <w:szCs w:val="20"/>
        </w:rPr>
        <w:footnoteRef/>
      </w:r>
      <w:r w:rsidRPr="005B67BF">
        <w:rPr>
          <w:sz w:val="20"/>
          <w:szCs w:val="20"/>
        </w:rPr>
        <w:t xml:space="preserve"> </w:t>
      </w:r>
      <w:r w:rsidRPr="005B67BF">
        <w:rPr>
          <w:sz w:val="20"/>
          <w:szCs w:val="20"/>
          <w:lang w:val="en-US"/>
        </w:rPr>
        <w:t xml:space="preserve">Based on </w:t>
      </w:r>
      <w:r w:rsidRPr="00BA5C43">
        <w:rPr>
          <w:i/>
          <w:sz w:val="20"/>
          <w:szCs w:val="20"/>
          <w:lang w:val="en-US"/>
        </w:rPr>
        <w:t>Perpres</w:t>
      </w:r>
      <w:r>
        <w:rPr>
          <w:sz w:val="20"/>
          <w:szCs w:val="20"/>
          <w:lang w:val="en-US"/>
        </w:rPr>
        <w:t xml:space="preserve"> (</w:t>
      </w:r>
      <w:r w:rsidRPr="005B67BF">
        <w:rPr>
          <w:sz w:val="20"/>
          <w:szCs w:val="20"/>
          <w:lang w:val="en-US"/>
        </w:rPr>
        <w:t>Presidential Regulation</w:t>
      </w:r>
      <w:r>
        <w:rPr>
          <w:sz w:val="20"/>
          <w:szCs w:val="20"/>
          <w:lang w:val="en-US"/>
        </w:rPr>
        <w:t>)</w:t>
      </w:r>
      <w:r w:rsidRPr="005B67BF">
        <w:rPr>
          <w:sz w:val="20"/>
          <w:szCs w:val="20"/>
          <w:lang w:val="en-US"/>
        </w:rPr>
        <w:t xml:space="preserve"> No. 32/2011 on MP3EI 2011-2025</w:t>
      </w:r>
    </w:p>
  </w:footnote>
  <w:footnote w:id="8">
    <w:p w:rsidR="00024FA7" w:rsidRPr="005B67BF" w:rsidRDefault="00024FA7" w:rsidP="00287BD1">
      <w:pPr>
        <w:pStyle w:val="FootnoteText"/>
        <w:spacing w:after="100"/>
        <w:rPr>
          <w:sz w:val="20"/>
          <w:szCs w:val="20"/>
        </w:rPr>
      </w:pPr>
      <w:r w:rsidRPr="005B67BF">
        <w:rPr>
          <w:rStyle w:val="FootnoteReference"/>
          <w:sz w:val="20"/>
          <w:szCs w:val="20"/>
        </w:rPr>
        <w:footnoteRef/>
      </w:r>
      <w:r w:rsidRPr="005B67BF">
        <w:rPr>
          <w:sz w:val="20"/>
          <w:szCs w:val="20"/>
        </w:rPr>
        <w:t xml:space="preserve"> Belfast is one of important city in Ireland that has great potential to connect the UK region with the mainland of Europe.</w:t>
      </w:r>
    </w:p>
  </w:footnote>
  <w:footnote w:id="9">
    <w:p w:rsidR="00024FA7" w:rsidRPr="005B67BF" w:rsidRDefault="00024FA7" w:rsidP="00287BD1">
      <w:pPr>
        <w:pStyle w:val="FootnoteText"/>
        <w:spacing w:after="120"/>
        <w:rPr>
          <w:sz w:val="20"/>
          <w:szCs w:val="20"/>
        </w:rPr>
      </w:pPr>
      <w:r w:rsidRPr="005B67BF">
        <w:rPr>
          <w:rStyle w:val="FootnoteReference"/>
          <w:sz w:val="20"/>
          <w:szCs w:val="20"/>
        </w:rPr>
        <w:footnoteRef/>
      </w:r>
      <w:r w:rsidRPr="005B67BF">
        <w:rPr>
          <w:sz w:val="20"/>
          <w:szCs w:val="20"/>
        </w:rPr>
        <w:t xml:space="preserve"> There are two understandings of crisis in capitalism chain, firstly, as Marx argues that crisis was created by the capitalists themselves for the purpose of opening spaces of economic acti</w:t>
      </w:r>
      <w:r w:rsidRPr="005B67BF">
        <w:rPr>
          <w:sz w:val="20"/>
          <w:szCs w:val="20"/>
        </w:rPr>
        <w:t>v</w:t>
      </w:r>
      <w:r w:rsidRPr="005B67BF">
        <w:rPr>
          <w:sz w:val="20"/>
          <w:szCs w:val="20"/>
        </w:rPr>
        <w:t xml:space="preserve">ity, and Schumpeter considers that the crisis is very useful to be tricked and creating new spaces for new capital accumulation activities </w:t>
      </w:r>
      <w:sdt>
        <w:sdtPr>
          <w:rPr>
            <w:sz w:val="20"/>
            <w:szCs w:val="20"/>
          </w:rPr>
          <w:id w:val="156181519"/>
          <w:citation/>
        </w:sdtPr>
        <w:sdtContent>
          <w:r w:rsidRPr="005B67BF">
            <w:rPr>
              <w:sz w:val="20"/>
              <w:szCs w:val="20"/>
            </w:rPr>
            <w:fldChar w:fldCharType="begin"/>
          </w:r>
          <w:r w:rsidRPr="005B67BF">
            <w:rPr>
              <w:sz w:val="20"/>
              <w:szCs w:val="20"/>
              <w:lang w:val="en-US"/>
            </w:rPr>
            <w:instrText xml:space="preserve"> CITATION Har10 \p 71-72 \t  \l 1033  </w:instrText>
          </w:r>
          <w:r w:rsidRPr="005B67BF">
            <w:rPr>
              <w:sz w:val="20"/>
              <w:szCs w:val="20"/>
            </w:rPr>
            <w:fldChar w:fldCharType="separate"/>
          </w:r>
          <w:r w:rsidRPr="005B67BF">
            <w:rPr>
              <w:noProof/>
              <w:sz w:val="20"/>
              <w:szCs w:val="20"/>
              <w:lang w:val="en-US"/>
            </w:rPr>
            <w:t>(Harvey, 2010, pp. 71-72)</w:t>
          </w:r>
          <w:r w:rsidRPr="005B67BF">
            <w:rPr>
              <w:sz w:val="20"/>
              <w:szCs w:val="20"/>
            </w:rPr>
            <w:fldChar w:fldCharType="end"/>
          </w:r>
        </w:sdtContent>
      </w:sdt>
      <w:r w:rsidRPr="005B67BF">
        <w:rPr>
          <w:sz w:val="20"/>
          <w:szCs w:val="20"/>
        </w:rPr>
        <w:t>.</w:t>
      </w:r>
    </w:p>
  </w:footnote>
  <w:footnote w:id="10">
    <w:p w:rsidR="00024FA7" w:rsidRPr="005B67BF" w:rsidRDefault="00024FA7" w:rsidP="00287BD1">
      <w:pPr>
        <w:pStyle w:val="FootnoteText"/>
        <w:spacing w:after="120"/>
        <w:rPr>
          <w:sz w:val="20"/>
          <w:szCs w:val="20"/>
        </w:rPr>
      </w:pPr>
      <w:r w:rsidRPr="005B67BF">
        <w:rPr>
          <w:rStyle w:val="FootnoteReference"/>
          <w:sz w:val="20"/>
          <w:szCs w:val="20"/>
        </w:rPr>
        <w:footnoteRef/>
      </w:r>
      <w:r w:rsidRPr="005B67BF">
        <w:rPr>
          <w:sz w:val="20"/>
          <w:szCs w:val="20"/>
        </w:rPr>
        <w:t xml:space="preserve"> ADB’s strategy for regional development corridors in Asia has 5 elements; there are deve</w:t>
      </w:r>
      <w:r w:rsidRPr="005B67BF">
        <w:rPr>
          <w:sz w:val="20"/>
          <w:szCs w:val="20"/>
        </w:rPr>
        <w:t>l</w:t>
      </w:r>
      <w:r w:rsidRPr="005B67BF">
        <w:rPr>
          <w:sz w:val="20"/>
          <w:szCs w:val="20"/>
        </w:rPr>
        <w:t>opment of transportation corridor (land, sea and air), development corridor for trade facilit</w:t>
      </w:r>
      <w:r w:rsidRPr="005B67BF">
        <w:rPr>
          <w:sz w:val="20"/>
          <w:szCs w:val="20"/>
        </w:rPr>
        <w:t>a</w:t>
      </w:r>
      <w:r w:rsidRPr="005B67BF">
        <w:rPr>
          <w:sz w:val="20"/>
          <w:szCs w:val="20"/>
        </w:rPr>
        <w:t xml:space="preserve">tion, logistic corridor development, urban development corridor and economic corridor </w:t>
      </w:r>
      <w:sdt>
        <w:sdtPr>
          <w:rPr>
            <w:sz w:val="20"/>
            <w:szCs w:val="20"/>
          </w:rPr>
          <w:id w:val="156181520"/>
          <w:citation/>
        </w:sdtPr>
        <w:sdtContent>
          <w:r w:rsidRPr="005B67BF">
            <w:rPr>
              <w:sz w:val="20"/>
              <w:szCs w:val="20"/>
            </w:rPr>
            <w:fldChar w:fldCharType="begin"/>
          </w:r>
          <w:r w:rsidRPr="005B67BF">
            <w:rPr>
              <w:sz w:val="20"/>
              <w:szCs w:val="20"/>
              <w:lang w:val="en-US"/>
            </w:rPr>
            <w:instrText xml:space="preserve"> CITATION Sri11 \p 2 \l 1033  </w:instrText>
          </w:r>
          <w:r w:rsidRPr="005B67BF">
            <w:rPr>
              <w:sz w:val="20"/>
              <w:szCs w:val="20"/>
            </w:rPr>
            <w:fldChar w:fldCharType="separate"/>
          </w:r>
          <w:r w:rsidRPr="005B67BF">
            <w:rPr>
              <w:noProof/>
              <w:sz w:val="20"/>
              <w:szCs w:val="20"/>
              <w:lang w:val="en-US"/>
            </w:rPr>
            <w:t>(Srivastava, 2011, p. 2)</w:t>
          </w:r>
          <w:r w:rsidRPr="005B67BF">
            <w:rPr>
              <w:sz w:val="20"/>
              <w:szCs w:val="20"/>
            </w:rPr>
            <w:fldChar w:fldCharType="end"/>
          </w:r>
        </w:sdtContent>
      </w:sdt>
      <w:r w:rsidRPr="005B67BF">
        <w:rPr>
          <w:sz w:val="20"/>
          <w:szCs w:val="20"/>
        </w:rPr>
        <w:t>. By seeing natural condition in targeted areas, thus finding the appropr</w:t>
      </w:r>
      <w:r w:rsidRPr="005B67BF">
        <w:rPr>
          <w:sz w:val="20"/>
          <w:szCs w:val="20"/>
        </w:rPr>
        <w:t>i</w:t>
      </w:r>
      <w:r w:rsidRPr="005B67BF">
        <w:rPr>
          <w:sz w:val="20"/>
          <w:szCs w:val="20"/>
        </w:rPr>
        <w:t>ate technology or adapted it becomes requirements to carry out the policy of the corridor D</w:t>
      </w:r>
      <w:r w:rsidRPr="005B67BF">
        <w:rPr>
          <w:sz w:val="20"/>
          <w:szCs w:val="20"/>
        </w:rPr>
        <w:t>e</w:t>
      </w:r>
      <w:r w:rsidRPr="005B67BF">
        <w:rPr>
          <w:sz w:val="20"/>
          <w:szCs w:val="20"/>
        </w:rPr>
        <w:t xml:space="preserve">velopment. As a transportation corridor implemented in Maputo Corridors and Great Mekong Sub-Region, a technology to develop means of transportation become a main task of each local government in Mozambique and in countries within Mekong river area. </w:t>
      </w:r>
    </w:p>
  </w:footnote>
  <w:footnote w:id="11">
    <w:p w:rsidR="00024FA7" w:rsidRPr="005B67BF" w:rsidRDefault="00024FA7" w:rsidP="003002DA">
      <w:pPr>
        <w:pStyle w:val="FootnoteText"/>
        <w:spacing w:after="120"/>
        <w:rPr>
          <w:sz w:val="20"/>
          <w:szCs w:val="20"/>
        </w:rPr>
      </w:pPr>
      <w:r w:rsidRPr="005B67BF">
        <w:rPr>
          <w:rStyle w:val="FootnoteReference"/>
          <w:sz w:val="20"/>
          <w:szCs w:val="20"/>
        </w:rPr>
        <w:footnoteRef/>
      </w:r>
      <w:r w:rsidRPr="005B67BF">
        <w:rPr>
          <w:sz w:val="20"/>
          <w:szCs w:val="20"/>
        </w:rPr>
        <w:t>The PPP is a scheme that involves a (or a group of) private sector and a government to co</w:t>
      </w:r>
      <w:r w:rsidRPr="005B67BF">
        <w:rPr>
          <w:sz w:val="20"/>
          <w:szCs w:val="20"/>
        </w:rPr>
        <w:t>n</w:t>
      </w:r>
      <w:r w:rsidRPr="005B67BF">
        <w:rPr>
          <w:sz w:val="20"/>
          <w:szCs w:val="20"/>
        </w:rPr>
        <w:t xml:space="preserve">struct one development project. It is necessary to build regarding a lack of government budget condition or acceleration certain development projects. </w:t>
      </w:r>
      <w:sdt>
        <w:sdtPr>
          <w:rPr>
            <w:sz w:val="20"/>
            <w:szCs w:val="20"/>
          </w:rPr>
          <w:id w:val="156181521"/>
          <w:citation/>
        </w:sdtPr>
        <w:sdtContent>
          <w:r w:rsidRPr="005B67BF">
            <w:rPr>
              <w:sz w:val="20"/>
              <w:szCs w:val="20"/>
            </w:rPr>
            <w:fldChar w:fldCharType="begin"/>
          </w:r>
          <w:r w:rsidRPr="005B67BF">
            <w:rPr>
              <w:sz w:val="20"/>
              <w:szCs w:val="20"/>
              <w:lang w:val="en-US"/>
            </w:rPr>
            <w:instrText xml:space="preserve"> CITATION Bov04 \l 1033 </w:instrText>
          </w:r>
          <w:r w:rsidRPr="005B67BF">
            <w:rPr>
              <w:sz w:val="20"/>
              <w:szCs w:val="20"/>
            </w:rPr>
            <w:fldChar w:fldCharType="separate"/>
          </w:r>
          <w:r w:rsidRPr="005B67BF">
            <w:rPr>
              <w:noProof/>
              <w:sz w:val="20"/>
              <w:szCs w:val="20"/>
              <w:lang w:val="en-US"/>
            </w:rPr>
            <w:t>(Bovaird, 2004)</w:t>
          </w:r>
          <w:r w:rsidRPr="005B67BF">
            <w:rPr>
              <w:sz w:val="20"/>
              <w:szCs w:val="20"/>
            </w:rPr>
            <w:fldChar w:fldCharType="end"/>
          </w:r>
        </w:sdtContent>
      </w:sdt>
    </w:p>
  </w:footnote>
  <w:footnote w:id="12">
    <w:p w:rsidR="00024FA7" w:rsidRPr="005B67BF" w:rsidRDefault="00024FA7" w:rsidP="00F50D65">
      <w:pPr>
        <w:pStyle w:val="FootnoteText"/>
        <w:spacing w:after="120"/>
        <w:rPr>
          <w:sz w:val="20"/>
          <w:szCs w:val="20"/>
          <w:lang w:val="en-US"/>
        </w:rPr>
      </w:pPr>
      <w:r w:rsidRPr="005B67BF">
        <w:rPr>
          <w:rStyle w:val="FootnoteReference"/>
          <w:sz w:val="20"/>
          <w:szCs w:val="20"/>
        </w:rPr>
        <w:footnoteRef/>
      </w:r>
      <w:r w:rsidRPr="005B67BF">
        <w:rPr>
          <w:sz w:val="20"/>
          <w:szCs w:val="20"/>
          <w:lang w:val="en-US"/>
        </w:rPr>
        <w:t xml:space="preserve"> See again note number 8 above.</w:t>
      </w:r>
    </w:p>
  </w:footnote>
  <w:footnote w:id="13">
    <w:p w:rsidR="00024FA7" w:rsidRPr="005B67BF" w:rsidRDefault="00024FA7" w:rsidP="00F50D65">
      <w:pPr>
        <w:pStyle w:val="FootnoteText"/>
        <w:spacing w:after="120"/>
        <w:rPr>
          <w:sz w:val="20"/>
          <w:szCs w:val="20"/>
        </w:rPr>
      </w:pPr>
      <w:r w:rsidRPr="005B67BF">
        <w:rPr>
          <w:rStyle w:val="FootnoteReference"/>
          <w:sz w:val="20"/>
          <w:szCs w:val="20"/>
        </w:rPr>
        <w:footnoteRef/>
      </w:r>
      <w:r w:rsidRPr="005B67BF">
        <w:rPr>
          <w:sz w:val="20"/>
          <w:szCs w:val="20"/>
        </w:rPr>
        <w:t xml:space="preserve"> ‘Theory of productive state’ works here, as Keynes argued indicated by an increasing tax revenue resulted positive response from capital owner through infrastructure development </w:t>
      </w:r>
      <w:sdt>
        <w:sdtPr>
          <w:rPr>
            <w:sz w:val="20"/>
            <w:szCs w:val="20"/>
          </w:rPr>
          <w:id w:val="156181522"/>
          <w:citation/>
        </w:sdtPr>
        <w:sdtContent>
          <w:r>
            <w:rPr>
              <w:sz w:val="20"/>
              <w:szCs w:val="20"/>
            </w:rPr>
            <w:fldChar w:fldCharType="begin"/>
          </w:r>
          <w:r>
            <w:rPr>
              <w:sz w:val="20"/>
              <w:szCs w:val="20"/>
              <w:lang w:val="en-US"/>
            </w:rPr>
            <w:instrText xml:space="preserve"> CITATION Har10 \p 87 \t  \l 1033  </w:instrText>
          </w:r>
          <w:r>
            <w:rPr>
              <w:sz w:val="20"/>
              <w:szCs w:val="20"/>
            </w:rPr>
            <w:fldChar w:fldCharType="separate"/>
          </w:r>
          <w:r w:rsidRPr="00F31A17">
            <w:rPr>
              <w:noProof/>
              <w:sz w:val="20"/>
              <w:szCs w:val="20"/>
              <w:lang w:val="en-US"/>
            </w:rPr>
            <w:t>(Harvey, 2010, p. 87)</w:t>
          </w:r>
          <w:r>
            <w:rPr>
              <w:sz w:val="20"/>
              <w:szCs w:val="20"/>
            </w:rPr>
            <w:fldChar w:fldCharType="end"/>
          </w:r>
        </w:sdtContent>
      </w:sdt>
      <w:r w:rsidRPr="005B67BF">
        <w:rPr>
          <w:sz w:val="20"/>
          <w:szCs w:val="20"/>
        </w:rPr>
        <w:t>.</w:t>
      </w:r>
    </w:p>
  </w:footnote>
  <w:footnote w:id="14">
    <w:p w:rsidR="00024FA7" w:rsidRPr="005B67BF" w:rsidRDefault="00024FA7" w:rsidP="00FE690C">
      <w:pPr>
        <w:pStyle w:val="FootnoteText"/>
        <w:spacing w:after="120"/>
        <w:rPr>
          <w:sz w:val="20"/>
          <w:szCs w:val="20"/>
          <w:lang w:val="en-US"/>
        </w:rPr>
      </w:pPr>
      <w:r w:rsidRPr="005B67BF">
        <w:rPr>
          <w:rStyle w:val="FootnoteReference"/>
          <w:sz w:val="20"/>
          <w:szCs w:val="20"/>
        </w:rPr>
        <w:footnoteRef/>
      </w:r>
      <w:r w:rsidRPr="005B67BF">
        <w:rPr>
          <w:sz w:val="20"/>
          <w:szCs w:val="20"/>
          <w:lang w:val="en-US"/>
        </w:rPr>
        <w:t xml:space="preserve">See also </w:t>
      </w:r>
      <w:r w:rsidR="00B168AD">
        <w:rPr>
          <w:rFonts w:cs="Helvetica"/>
          <w:sz w:val="20"/>
          <w:szCs w:val="20"/>
          <w:lang w:val="en-US" w:eastAsia="en-US"/>
        </w:rPr>
        <w:t>Hall, Hir</w:t>
      </w:r>
      <w:r w:rsidRPr="005B67BF">
        <w:rPr>
          <w:rFonts w:cs="Helvetica"/>
          <w:sz w:val="20"/>
          <w:szCs w:val="20"/>
          <w:lang w:val="en-US" w:eastAsia="en-US"/>
        </w:rPr>
        <w:t>s</w:t>
      </w:r>
      <w:r w:rsidR="00B168AD">
        <w:rPr>
          <w:rFonts w:cs="Helvetica"/>
          <w:sz w:val="20"/>
          <w:szCs w:val="20"/>
          <w:lang w:val="en-US" w:eastAsia="en-US"/>
        </w:rPr>
        <w:t>c</w:t>
      </w:r>
      <w:r w:rsidRPr="005B67BF">
        <w:rPr>
          <w:rFonts w:cs="Helvetica"/>
          <w:sz w:val="20"/>
          <w:szCs w:val="20"/>
          <w:lang w:val="en-US" w:eastAsia="en-US"/>
        </w:rPr>
        <w:t xml:space="preserve">h and Li, 2011, </w:t>
      </w:r>
      <w:sdt>
        <w:sdtPr>
          <w:rPr>
            <w:rFonts w:cs="Helvetica"/>
            <w:sz w:val="20"/>
            <w:szCs w:val="20"/>
            <w:lang w:val="en-US" w:eastAsia="en-US"/>
          </w:rPr>
          <w:id w:val="156181523"/>
          <w:citation/>
        </w:sdtPr>
        <w:sdtContent>
          <w:r w:rsidRPr="005B67BF">
            <w:rPr>
              <w:rFonts w:cs="Helvetica"/>
              <w:sz w:val="20"/>
              <w:szCs w:val="20"/>
              <w:lang w:val="en-US" w:eastAsia="en-US"/>
            </w:rPr>
            <w:fldChar w:fldCharType="begin"/>
          </w:r>
          <w:r w:rsidRPr="005B67BF">
            <w:rPr>
              <w:rFonts w:cs="Helvetica"/>
              <w:sz w:val="20"/>
              <w:szCs w:val="20"/>
              <w:lang w:val="en-US" w:eastAsia="en-US"/>
            </w:rPr>
            <w:instrText xml:space="preserve"> CITATION Hal11 \p 4 \n  \y  \t  \l 1033  </w:instrText>
          </w:r>
          <w:r w:rsidRPr="005B67BF">
            <w:rPr>
              <w:rFonts w:cs="Helvetica"/>
              <w:sz w:val="20"/>
              <w:szCs w:val="20"/>
              <w:lang w:val="en-US" w:eastAsia="en-US"/>
            </w:rPr>
            <w:fldChar w:fldCharType="separate"/>
          </w:r>
          <w:r w:rsidRPr="005B67BF">
            <w:rPr>
              <w:rFonts w:cs="Helvetica"/>
              <w:noProof/>
              <w:sz w:val="20"/>
              <w:szCs w:val="20"/>
              <w:lang w:val="en-US" w:eastAsia="en-US"/>
            </w:rPr>
            <w:t>(p. 4)</w:t>
          </w:r>
          <w:r w:rsidRPr="005B67BF">
            <w:rPr>
              <w:rFonts w:cs="Helvetica"/>
              <w:sz w:val="20"/>
              <w:szCs w:val="20"/>
              <w:lang w:val="en-US" w:eastAsia="en-US"/>
            </w:rPr>
            <w:fldChar w:fldCharType="end"/>
          </w:r>
        </w:sdtContent>
      </w:sdt>
      <w:r w:rsidRPr="005B67BF">
        <w:rPr>
          <w:rFonts w:cs="Helvetica"/>
          <w:sz w:val="20"/>
          <w:szCs w:val="20"/>
          <w:lang w:val="en-US" w:eastAsia="en-US"/>
        </w:rPr>
        <w:t>.</w:t>
      </w:r>
    </w:p>
  </w:footnote>
  <w:footnote w:id="15">
    <w:p w:rsidR="00024FA7" w:rsidRPr="005B67BF" w:rsidRDefault="00024FA7" w:rsidP="00811427">
      <w:pPr>
        <w:pStyle w:val="FootnoteText"/>
        <w:spacing w:after="120"/>
        <w:rPr>
          <w:sz w:val="20"/>
          <w:szCs w:val="20"/>
        </w:rPr>
      </w:pPr>
      <w:r w:rsidRPr="005B67BF">
        <w:rPr>
          <w:rStyle w:val="FootnoteReference"/>
          <w:sz w:val="20"/>
          <w:szCs w:val="20"/>
        </w:rPr>
        <w:footnoteRef/>
      </w:r>
      <w:r w:rsidRPr="005B67BF">
        <w:rPr>
          <w:sz w:val="20"/>
          <w:szCs w:val="20"/>
        </w:rPr>
        <w:t xml:space="preserve"> “[…]</w:t>
      </w:r>
      <w:r w:rsidRPr="005B67BF">
        <w:rPr>
          <w:color w:val="000000"/>
          <w:sz w:val="20"/>
          <w:szCs w:val="20"/>
        </w:rPr>
        <w:t xml:space="preserve">The positive trends that supported the overall balance surplus continued up to 2007. This success was partially attributable to the government’s role in actively supporting non-oil/gas exports by promulgating several conducive policies, but also due in part to the soaring global oil price that quickly boosted foreign exchange revenues stemming from the oil sector”. </w:t>
      </w:r>
      <w:sdt>
        <w:sdtPr>
          <w:rPr>
            <w:color w:val="000000"/>
            <w:sz w:val="20"/>
            <w:szCs w:val="20"/>
          </w:rPr>
          <w:id w:val="156181524"/>
          <w:citation/>
        </w:sdtPr>
        <w:sdtContent>
          <w:r>
            <w:rPr>
              <w:color w:val="000000"/>
              <w:sz w:val="20"/>
              <w:szCs w:val="20"/>
            </w:rPr>
            <w:fldChar w:fldCharType="begin"/>
          </w:r>
          <w:r>
            <w:rPr>
              <w:color w:val="000000"/>
              <w:sz w:val="20"/>
              <w:szCs w:val="20"/>
              <w:lang w:val="en-US"/>
            </w:rPr>
            <w:instrText xml:space="preserve"> CITATION Goe08 \l 1033 </w:instrText>
          </w:r>
          <w:r>
            <w:rPr>
              <w:color w:val="000000"/>
              <w:sz w:val="20"/>
              <w:szCs w:val="20"/>
            </w:rPr>
            <w:fldChar w:fldCharType="separate"/>
          </w:r>
          <w:r w:rsidRPr="00071A0A">
            <w:rPr>
              <w:noProof/>
              <w:color w:val="000000"/>
              <w:sz w:val="20"/>
              <w:szCs w:val="20"/>
              <w:lang w:val="en-US"/>
            </w:rPr>
            <w:t>(Goeltom, 2008)</w:t>
          </w:r>
          <w:r>
            <w:rPr>
              <w:color w:val="000000"/>
              <w:sz w:val="20"/>
              <w:szCs w:val="20"/>
            </w:rPr>
            <w:fldChar w:fldCharType="end"/>
          </w:r>
        </w:sdtContent>
      </w:sdt>
    </w:p>
  </w:footnote>
  <w:footnote w:id="16">
    <w:p w:rsidR="00024FA7" w:rsidRPr="005B67BF" w:rsidRDefault="00024FA7" w:rsidP="004A732C">
      <w:pPr>
        <w:pStyle w:val="FootnoteText"/>
        <w:spacing w:after="120"/>
        <w:rPr>
          <w:sz w:val="20"/>
          <w:szCs w:val="20"/>
        </w:rPr>
      </w:pPr>
      <w:r w:rsidRPr="005B67BF">
        <w:rPr>
          <w:rStyle w:val="FootnoteReference"/>
          <w:sz w:val="20"/>
          <w:szCs w:val="20"/>
        </w:rPr>
        <w:footnoteRef/>
      </w:r>
      <w:r w:rsidRPr="005B67BF">
        <w:rPr>
          <w:sz w:val="20"/>
          <w:szCs w:val="20"/>
        </w:rPr>
        <w:t xml:space="preserve"> </w:t>
      </w:r>
      <w:r>
        <w:rPr>
          <w:sz w:val="20"/>
          <w:szCs w:val="20"/>
        </w:rPr>
        <w:t>SBY-JK c</w:t>
      </w:r>
      <w:r w:rsidRPr="005B67BF">
        <w:rPr>
          <w:sz w:val="20"/>
          <w:szCs w:val="20"/>
        </w:rPr>
        <w:t>onduct</w:t>
      </w:r>
      <w:r>
        <w:rPr>
          <w:sz w:val="20"/>
          <w:szCs w:val="20"/>
        </w:rPr>
        <w:t>ed</w:t>
      </w:r>
      <w:r w:rsidRPr="005B67BF">
        <w:rPr>
          <w:sz w:val="20"/>
          <w:szCs w:val="20"/>
        </w:rPr>
        <w:t xml:space="preserve"> </w:t>
      </w:r>
      <w:r>
        <w:rPr>
          <w:sz w:val="20"/>
          <w:szCs w:val="20"/>
        </w:rPr>
        <w:t>the I</w:t>
      </w:r>
      <w:r w:rsidRPr="005B67BF">
        <w:rPr>
          <w:sz w:val="20"/>
          <w:szCs w:val="20"/>
        </w:rPr>
        <w:t xml:space="preserve">nfrastructure </w:t>
      </w:r>
      <w:r>
        <w:rPr>
          <w:sz w:val="20"/>
          <w:szCs w:val="20"/>
        </w:rPr>
        <w:t>S</w:t>
      </w:r>
      <w:r w:rsidRPr="005B67BF">
        <w:rPr>
          <w:sz w:val="20"/>
          <w:szCs w:val="20"/>
        </w:rPr>
        <w:t>ummit 2004</w:t>
      </w:r>
      <w:r>
        <w:rPr>
          <w:sz w:val="20"/>
          <w:szCs w:val="20"/>
        </w:rPr>
        <w:t xml:space="preserve"> in order</w:t>
      </w:r>
      <w:r w:rsidRPr="005B67BF">
        <w:rPr>
          <w:sz w:val="20"/>
          <w:szCs w:val="20"/>
        </w:rPr>
        <w:t xml:space="preserve"> to attract investor to involve in infrastructure development in Indonesia. Besides, </w:t>
      </w:r>
      <w:r w:rsidR="008845D7">
        <w:rPr>
          <w:sz w:val="20"/>
          <w:szCs w:val="20"/>
        </w:rPr>
        <w:t xml:space="preserve">they </w:t>
      </w:r>
      <w:r w:rsidRPr="005B67BF">
        <w:rPr>
          <w:sz w:val="20"/>
          <w:szCs w:val="20"/>
        </w:rPr>
        <w:t>has also</w:t>
      </w:r>
      <w:r>
        <w:rPr>
          <w:sz w:val="20"/>
          <w:szCs w:val="20"/>
        </w:rPr>
        <w:t xml:space="preserve"> revising and renewing some law</w:t>
      </w:r>
      <w:r w:rsidRPr="005B67BF">
        <w:rPr>
          <w:sz w:val="20"/>
          <w:szCs w:val="20"/>
        </w:rPr>
        <w:t>s and regulations that indicate giving more spaces to investors, such as regulation in i</w:t>
      </w:r>
      <w:r w:rsidRPr="005B67BF">
        <w:rPr>
          <w:sz w:val="20"/>
          <w:szCs w:val="20"/>
        </w:rPr>
        <w:t>n</w:t>
      </w:r>
      <w:r w:rsidRPr="005B67BF">
        <w:rPr>
          <w:sz w:val="20"/>
          <w:szCs w:val="20"/>
        </w:rPr>
        <w:t>vestment and natural resources management (water, plantation, and mining as well as oil and gas.</w:t>
      </w:r>
    </w:p>
  </w:footnote>
  <w:footnote w:id="17">
    <w:p w:rsidR="00024FA7" w:rsidRPr="005B67BF" w:rsidRDefault="00024FA7" w:rsidP="004A732C">
      <w:pPr>
        <w:pStyle w:val="FootnoteText"/>
        <w:spacing w:after="120"/>
        <w:rPr>
          <w:sz w:val="20"/>
          <w:szCs w:val="20"/>
        </w:rPr>
      </w:pPr>
      <w:r w:rsidRPr="005B67BF">
        <w:rPr>
          <w:rStyle w:val="FootnoteReference"/>
          <w:sz w:val="20"/>
          <w:szCs w:val="20"/>
        </w:rPr>
        <w:footnoteRef/>
      </w:r>
      <w:r w:rsidRPr="005B67BF">
        <w:rPr>
          <w:sz w:val="20"/>
          <w:szCs w:val="20"/>
        </w:rPr>
        <w:t xml:space="preserve"> The governing regulation on PPP is Presidential Regulation (</w:t>
      </w:r>
      <w:r w:rsidRPr="007F554F">
        <w:rPr>
          <w:i/>
          <w:sz w:val="20"/>
          <w:szCs w:val="20"/>
        </w:rPr>
        <w:t>Perpres</w:t>
      </w:r>
      <w:r w:rsidRPr="005B67BF">
        <w:rPr>
          <w:sz w:val="20"/>
          <w:szCs w:val="20"/>
        </w:rPr>
        <w:t>) 67/2005, amended su</w:t>
      </w:r>
      <w:r w:rsidRPr="005B67BF">
        <w:rPr>
          <w:sz w:val="20"/>
          <w:szCs w:val="20"/>
        </w:rPr>
        <w:t>b</w:t>
      </w:r>
      <w:r w:rsidRPr="005B67BF">
        <w:rPr>
          <w:sz w:val="20"/>
          <w:szCs w:val="20"/>
        </w:rPr>
        <w:t xml:space="preserve">sequently by </w:t>
      </w:r>
      <w:r w:rsidRPr="007F554F">
        <w:rPr>
          <w:i/>
          <w:sz w:val="20"/>
          <w:szCs w:val="20"/>
        </w:rPr>
        <w:t>Perpres</w:t>
      </w:r>
      <w:r w:rsidRPr="005B67BF">
        <w:rPr>
          <w:sz w:val="20"/>
          <w:szCs w:val="20"/>
        </w:rPr>
        <w:t xml:space="preserve"> 13/2010 and 56/2011.</w:t>
      </w:r>
    </w:p>
  </w:footnote>
  <w:footnote w:id="18">
    <w:p w:rsidR="00024FA7" w:rsidRPr="005B67BF" w:rsidRDefault="00024FA7" w:rsidP="004A732C">
      <w:pPr>
        <w:pStyle w:val="FootnoteText"/>
        <w:spacing w:after="120"/>
        <w:rPr>
          <w:sz w:val="20"/>
          <w:szCs w:val="20"/>
        </w:rPr>
      </w:pPr>
      <w:r w:rsidRPr="005B67BF">
        <w:rPr>
          <w:rStyle w:val="FootnoteReference"/>
          <w:sz w:val="20"/>
          <w:szCs w:val="20"/>
        </w:rPr>
        <w:footnoteRef/>
      </w:r>
      <w:r w:rsidRPr="005B67BF">
        <w:rPr>
          <w:sz w:val="20"/>
          <w:szCs w:val="20"/>
        </w:rPr>
        <w:t xml:space="preserve"> </w:t>
      </w:r>
      <w:r w:rsidR="008845D7" w:rsidRPr="008845D7">
        <w:rPr>
          <w:i/>
          <w:sz w:val="20"/>
          <w:szCs w:val="20"/>
        </w:rPr>
        <w:t>Perpres</w:t>
      </w:r>
      <w:r w:rsidR="008845D7">
        <w:rPr>
          <w:sz w:val="20"/>
          <w:szCs w:val="20"/>
        </w:rPr>
        <w:t xml:space="preserve"> </w:t>
      </w:r>
      <w:r w:rsidRPr="005B67BF">
        <w:rPr>
          <w:sz w:val="20"/>
          <w:szCs w:val="20"/>
        </w:rPr>
        <w:t>No. 32/2011 on Master Plan of Acceleration and Expansion of Economic Develo</w:t>
      </w:r>
      <w:r w:rsidRPr="005B67BF">
        <w:rPr>
          <w:sz w:val="20"/>
          <w:szCs w:val="20"/>
        </w:rPr>
        <w:t>p</w:t>
      </w:r>
      <w:r w:rsidRPr="005B67BF">
        <w:rPr>
          <w:sz w:val="20"/>
          <w:szCs w:val="20"/>
        </w:rPr>
        <w:t xml:space="preserve">ment in Indonesia </w:t>
      </w:r>
      <w:r>
        <w:rPr>
          <w:sz w:val="20"/>
          <w:szCs w:val="20"/>
        </w:rPr>
        <w:t xml:space="preserve">(MP3EI) </w:t>
      </w:r>
      <w:r w:rsidRPr="005B67BF">
        <w:rPr>
          <w:sz w:val="20"/>
          <w:szCs w:val="20"/>
        </w:rPr>
        <w:t>2011-2025.</w:t>
      </w:r>
    </w:p>
  </w:footnote>
  <w:footnote w:id="19">
    <w:p w:rsidR="00024FA7" w:rsidRPr="005B67BF" w:rsidRDefault="00024FA7" w:rsidP="004A732C">
      <w:pPr>
        <w:pStyle w:val="FootnoteText"/>
        <w:spacing w:after="120"/>
        <w:rPr>
          <w:sz w:val="20"/>
          <w:szCs w:val="20"/>
        </w:rPr>
      </w:pPr>
      <w:r w:rsidRPr="005B67BF">
        <w:rPr>
          <w:rStyle w:val="FootnoteReference"/>
          <w:sz w:val="20"/>
          <w:szCs w:val="20"/>
        </w:rPr>
        <w:footnoteRef/>
      </w:r>
      <w:r w:rsidRPr="005B67BF">
        <w:rPr>
          <w:sz w:val="20"/>
          <w:szCs w:val="20"/>
        </w:rPr>
        <w:t xml:space="preserve"> National connectivity consist of 4 (four) national policy elements i.e. National Logistic Sy</w:t>
      </w:r>
      <w:r w:rsidRPr="005B67BF">
        <w:rPr>
          <w:sz w:val="20"/>
          <w:szCs w:val="20"/>
        </w:rPr>
        <w:t>s</w:t>
      </w:r>
      <w:r>
        <w:rPr>
          <w:sz w:val="20"/>
          <w:szCs w:val="20"/>
        </w:rPr>
        <w:t>tem (</w:t>
      </w:r>
      <w:r w:rsidRPr="005B67BF">
        <w:rPr>
          <w:i/>
          <w:iCs/>
          <w:sz w:val="20"/>
          <w:szCs w:val="20"/>
        </w:rPr>
        <w:t>Sistem Logistik Nasional</w:t>
      </w:r>
      <w:r w:rsidRPr="005B67BF">
        <w:rPr>
          <w:sz w:val="20"/>
          <w:szCs w:val="20"/>
        </w:rPr>
        <w:t>/Sislognas), N</w:t>
      </w:r>
      <w:r>
        <w:rPr>
          <w:sz w:val="20"/>
          <w:szCs w:val="20"/>
        </w:rPr>
        <w:t>ational Transportation System (</w:t>
      </w:r>
      <w:r w:rsidRPr="005B67BF">
        <w:rPr>
          <w:i/>
          <w:iCs/>
          <w:sz w:val="20"/>
          <w:szCs w:val="20"/>
        </w:rPr>
        <w:t>Sistem Transportasi Nasional</w:t>
      </w:r>
      <w:r w:rsidRPr="005B67BF">
        <w:rPr>
          <w:sz w:val="20"/>
          <w:szCs w:val="20"/>
        </w:rPr>
        <w:t>/Sistranas), Regional Development</w:t>
      </w:r>
      <w:r>
        <w:rPr>
          <w:sz w:val="20"/>
          <w:szCs w:val="20"/>
        </w:rPr>
        <w:t xml:space="preserve"> and Spatial</w:t>
      </w:r>
      <w:r w:rsidRPr="005B67BF">
        <w:rPr>
          <w:sz w:val="20"/>
          <w:szCs w:val="20"/>
        </w:rPr>
        <w:t xml:space="preserve"> Planning (RPJMN/RTRWN), and I</w:t>
      </w:r>
      <w:r w:rsidRPr="005B67BF">
        <w:rPr>
          <w:sz w:val="20"/>
          <w:szCs w:val="20"/>
        </w:rPr>
        <w:t>n</w:t>
      </w:r>
      <w:r w:rsidRPr="005B67BF">
        <w:rPr>
          <w:sz w:val="20"/>
          <w:szCs w:val="20"/>
        </w:rPr>
        <w:t xml:space="preserve">formation and Communication Technology (ICT). These policies were combined in order to create an effective, efficient, and integrated national connectivity </w:t>
      </w:r>
      <w:sdt>
        <w:sdtPr>
          <w:rPr>
            <w:sz w:val="20"/>
            <w:szCs w:val="20"/>
          </w:rPr>
          <w:id w:val="5033281"/>
          <w:citation/>
        </w:sdtPr>
        <w:sdtContent>
          <w:r>
            <w:rPr>
              <w:sz w:val="20"/>
              <w:szCs w:val="20"/>
            </w:rPr>
            <w:fldChar w:fldCharType="begin"/>
          </w:r>
          <w:r>
            <w:rPr>
              <w:sz w:val="20"/>
              <w:szCs w:val="20"/>
              <w:lang w:val="en-US"/>
            </w:rPr>
            <w:instrText xml:space="preserve"> CITATION Coo11 \p 33 \l 1033  </w:instrText>
          </w:r>
          <w:r>
            <w:rPr>
              <w:sz w:val="20"/>
              <w:szCs w:val="20"/>
            </w:rPr>
            <w:fldChar w:fldCharType="separate"/>
          </w:r>
          <w:r w:rsidRPr="00071A0A">
            <w:rPr>
              <w:noProof/>
              <w:sz w:val="20"/>
              <w:szCs w:val="20"/>
              <w:lang w:val="en-US"/>
            </w:rPr>
            <w:t>(Coordinating Ministry of Economic Affairs, 2011, p. 33)</w:t>
          </w:r>
          <w:r>
            <w:rPr>
              <w:sz w:val="20"/>
              <w:szCs w:val="20"/>
            </w:rPr>
            <w:fldChar w:fldCharType="end"/>
          </w:r>
        </w:sdtContent>
      </w:sdt>
      <w:r w:rsidRPr="005B67BF">
        <w:rPr>
          <w:sz w:val="20"/>
          <w:szCs w:val="20"/>
        </w:rPr>
        <w:t>.</w:t>
      </w:r>
    </w:p>
  </w:footnote>
  <w:footnote w:id="20">
    <w:p w:rsidR="00024FA7" w:rsidRPr="005B67BF" w:rsidRDefault="00024FA7" w:rsidP="004A732C">
      <w:pPr>
        <w:pStyle w:val="FootnoteText"/>
        <w:spacing w:after="120"/>
        <w:rPr>
          <w:sz w:val="20"/>
          <w:szCs w:val="20"/>
        </w:rPr>
      </w:pPr>
      <w:r w:rsidRPr="005B67BF">
        <w:rPr>
          <w:rStyle w:val="FootnoteReference"/>
          <w:sz w:val="20"/>
          <w:szCs w:val="20"/>
        </w:rPr>
        <w:footnoteRef/>
      </w:r>
      <w:r w:rsidRPr="005B67BF">
        <w:rPr>
          <w:sz w:val="20"/>
          <w:szCs w:val="20"/>
        </w:rPr>
        <w:t xml:space="preserve"> </w:t>
      </w:r>
      <w:r w:rsidR="008845D7">
        <w:rPr>
          <w:sz w:val="20"/>
          <w:szCs w:val="20"/>
        </w:rPr>
        <w:t xml:space="preserve">Those are </w:t>
      </w:r>
      <w:r w:rsidR="008845D7" w:rsidRPr="005B67BF">
        <w:rPr>
          <w:sz w:val="20"/>
          <w:szCs w:val="20"/>
        </w:rPr>
        <w:t>shipping, textile, food beverage, steel, d</w:t>
      </w:r>
      <w:r w:rsidR="008845D7" w:rsidRPr="005B67BF">
        <w:rPr>
          <w:sz w:val="20"/>
          <w:szCs w:val="20"/>
        </w:rPr>
        <w:t>e</w:t>
      </w:r>
      <w:r w:rsidR="008845D7" w:rsidRPr="005B67BF">
        <w:rPr>
          <w:sz w:val="20"/>
          <w:szCs w:val="20"/>
        </w:rPr>
        <w:t>fence equipment, palm oil, rubber, cocoa, animal husbandry, timber, oil and gas, coal, nickel, copper, bauxite, fishery, tourism, food agr</w:t>
      </w:r>
      <w:r w:rsidR="008845D7" w:rsidRPr="005B67BF">
        <w:rPr>
          <w:sz w:val="20"/>
          <w:szCs w:val="20"/>
        </w:rPr>
        <w:t>i</w:t>
      </w:r>
      <w:r w:rsidR="008845D7" w:rsidRPr="005B67BF">
        <w:rPr>
          <w:sz w:val="20"/>
          <w:szCs w:val="20"/>
        </w:rPr>
        <w:t>culture, Jabodetabek area, Sunda straits strategic area, transportation equipment and ICT</w:t>
      </w:r>
      <w:r w:rsidR="008845D7">
        <w:rPr>
          <w:sz w:val="20"/>
          <w:szCs w:val="20"/>
        </w:rPr>
        <w:t xml:space="preserve">, that </w:t>
      </w:r>
      <w:r w:rsidR="008845D7">
        <w:rPr>
          <w:sz w:val="20"/>
          <w:szCs w:val="20"/>
          <w:lang w:val="en-US"/>
        </w:rPr>
        <w:t>includes in</w:t>
      </w:r>
      <w:r w:rsidRPr="005B67BF">
        <w:rPr>
          <w:sz w:val="20"/>
          <w:szCs w:val="20"/>
          <w:lang w:val="id-ID"/>
        </w:rPr>
        <w:t xml:space="preserve"> </w:t>
      </w:r>
      <w:r w:rsidR="008845D7">
        <w:rPr>
          <w:sz w:val="20"/>
          <w:szCs w:val="20"/>
          <w:lang w:val="en-US"/>
        </w:rPr>
        <w:t xml:space="preserve">the </w:t>
      </w:r>
      <w:r w:rsidRPr="005B67BF">
        <w:rPr>
          <w:sz w:val="20"/>
          <w:szCs w:val="20"/>
          <w:lang w:val="id-ID"/>
        </w:rPr>
        <w:t xml:space="preserve">eight main activities </w:t>
      </w:r>
      <w:r w:rsidR="008845D7">
        <w:rPr>
          <w:sz w:val="20"/>
          <w:szCs w:val="20"/>
          <w:lang w:val="en-US"/>
        </w:rPr>
        <w:t>(</w:t>
      </w:r>
      <w:r w:rsidRPr="005B67BF">
        <w:rPr>
          <w:sz w:val="20"/>
          <w:szCs w:val="20"/>
        </w:rPr>
        <w:t>agriculture, mining, energy, industrial, marine, tourism, telecommunication, and the development of</w:t>
      </w:r>
      <w:r w:rsidRPr="005B67BF">
        <w:rPr>
          <w:sz w:val="20"/>
          <w:szCs w:val="20"/>
          <w:lang w:val="id-ID"/>
        </w:rPr>
        <w:t xml:space="preserve"> </w:t>
      </w:r>
      <w:r w:rsidRPr="005B67BF">
        <w:rPr>
          <w:sz w:val="20"/>
          <w:szCs w:val="20"/>
        </w:rPr>
        <w:t>strategic areas</w:t>
      </w:r>
      <w:r w:rsidR="008845D7">
        <w:rPr>
          <w:sz w:val="20"/>
          <w:szCs w:val="20"/>
        </w:rPr>
        <w:t>).</w:t>
      </w:r>
      <w:r w:rsidRPr="005B67BF">
        <w:rPr>
          <w:sz w:val="20"/>
          <w:szCs w:val="20"/>
        </w:rPr>
        <w:t xml:space="preserve"> </w:t>
      </w:r>
      <w:sdt>
        <w:sdtPr>
          <w:rPr>
            <w:sz w:val="20"/>
            <w:szCs w:val="20"/>
          </w:rPr>
          <w:id w:val="5033282"/>
          <w:citation/>
        </w:sdtPr>
        <w:sdtContent>
          <w:r>
            <w:rPr>
              <w:sz w:val="20"/>
              <w:szCs w:val="20"/>
            </w:rPr>
            <w:fldChar w:fldCharType="begin"/>
          </w:r>
          <w:r>
            <w:rPr>
              <w:sz w:val="20"/>
              <w:szCs w:val="20"/>
              <w:lang w:val="en-US"/>
            </w:rPr>
            <w:instrText xml:space="preserve"> CITATION Coo11 \p 22 \l 1033  </w:instrText>
          </w:r>
          <w:r>
            <w:rPr>
              <w:sz w:val="20"/>
              <w:szCs w:val="20"/>
            </w:rPr>
            <w:fldChar w:fldCharType="separate"/>
          </w:r>
          <w:r w:rsidRPr="00071A0A">
            <w:rPr>
              <w:noProof/>
              <w:sz w:val="20"/>
              <w:szCs w:val="20"/>
              <w:lang w:val="en-US"/>
            </w:rPr>
            <w:t>(Coordinating Ministry of Economic Affairs, 2011, p. 22)</w:t>
          </w:r>
          <w:r>
            <w:rPr>
              <w:sz w:val="20"/>
              <w:szCs w:val="20"/>
            </w:rPr>
            <w:fldChar w:fldCharType="end"/>
          </w:r>
        </w:sdtContent>
      </w:sdt>
      <w:r>
        <w:rPr>
          <w:noProof/>
          <w:sz w:val="20"/>
          <w:szCs w:val="20"/>
        </w:rPr>
        <w:t>.</w:t>
      </w:r>
    </w:p>
  </w:footnote>
  <w:footnote w:id="21">
    <w:p w:rsidR="00024FA7" w:rsidRPr="005B67BF" w:rsidRDefault="00024FA7" w:rsidP="002557C4">
      <w:pPr>
        <w:pStyle w:val="FootnoteText"/>
        <w:spacing w:after="120"/>
        <w:rPr>
          <w:sz w:val="20"/>
          <w:szCs w:val="20"/>
        </w:rPr>
      </w:pPr>
      <w:r w:rsidRPr="005B67BF">
        <w:rPr>
          <w:rStyle w:val="FootnoteReference"/>
          <w:sz w:val="20"/>
          <w:szCs w:val="20"/>
        </w:rPr>
        <w:footnoteRef/>
      </w:r>
      <w:r w:rsidRPr="005B67BF">
        <w:rPr>
          <w:sz w:val="20"/>
          <w:szCs w:val="20"/>
        </w:rPr>
        <w:t xml:space="preserve"> Based on a description in Appendix Book No. II, Presidential Regulation No. 5/2010 on Long and Medium Term of National Planning, p. II.3-30.</w:t>
      </w:r>
    </w:p>
  </w:footnote>
  <w:footnote w:id="22">
    <w:p w:rsidR="00024FA7" w:rsidRPr="00B125E6" w:rsidRDefault="00024FA7" w:rsidP="00B125E6">
      <w:pPr>
        <w:pStyle w:val="CommentText"/>
      </w:pPr>
      <w:r w:rsidRPr="00B125E6">
        <w:rPr>
          <w:rStyle w:val="FootnoteReference"/>
        </w:rPr>
        <w:footnoteRef/>
      </w:r>
      <w:r w:rsidRPr="00B125E6">
        <w:t xml:space="preserve"> </w:t>
      </w:r>
      <w:hyperlink r:id="rId2" w:history="1">
        <w:r w:rsidRPr="00B125E6">
          <w:rPr>
            <w:rStyle w:val="Hyperlink"/>
            <w:i/>
            <w:lang w:val="en-US"/>
          </w:rPr>
          <w:t>www.bps.go.id/tnmn_pgn.php?kat=3</w:t>
        </w:r>
      </w:hyperlink>
    </w:p>
  </w:footnote>
  <w:footnote w:id="23">
    <w:p w:rsidR="00024FA7" w:rsidRPr="005B67BF" w:rsidRDefault="00024FA7" w:rsidP="00502422">
      <w:pPr>
        <w:pStyle w:val="FootnoteText"/>
        <w:spacing w:after="120"/>
        <w:rPr>
          <w:sz w:val="20"/>
          <w:szCs w:val="20"/>
        </w:rPr>
      </w:pPr>
      <w:r w:rsidRPr="005B67BF">
        <w:rPr>
          <w:rStyle w:val="FootnoteReference"/>
          <w:sz w:val="20"/>
          <w:szCs w:val="20"/>
        </w:rPr>
        <w:footnoteRef/>
      </w:r>
      <w:r w:rsidRPr="005B67BF">
        <w:rPr>
          <w:sz w:val="20"/>
          <w:szCs w:val="20"/>
        </w:rPr>
        <w:t xml:space="preserve"> Followed by Kalimantan Economic Corridor 24%, Sumatra Economic Corridor 18%, Papua-Maluku Islands Economic Corridor 15%, and Sulawesi and Bali-NTB Economic Corr</w:t>
      </w:r>
      <w:r w:rsidRPr="005B67BF">
        <w:rPr>
          <w:sz w:val="20"/>
          <w:szCs w:val="20"/>
        </w:rPr>
        <w:t>i</w:t>
      </w:r>
      <w:r w:rsidRPr="005B67BF">
        <w:rPr>
          <w:sz w:val="20"/>
          <w:szCs w:val="20"/>
        </w:rPr>
        <w:t xml:space="preserve">dor, respectively 8% and 3% </w:t>
      </w:r>
      <w:sdt>
        <w:sdtPr>
          <w:rPr>
            <w:sz w:val="20"/>
            <w:szCs w:val="20"/>
          </w:rPr>
          <w:id w:val="5033298"/>
          <w:citation/>
        </w:sdtPr>
        <w:sdtContent>
          <w:r>
            <w:rPr>
              <w:sz w:val="20"/>
              <w:szCs w:val="20"/>
            </w:rPr>
            <w:fldChar w:fldCharType="begin"/>
          </w:r>
          <w:r>
            <w:rPr>
              <w:sz w:val="20"/>
              <w:szCs w:val="20"/>
              <w:lang w:val="en-US"/>
            </w:rPr>
            <w:instrText xml:space="preserve"> CITATION Coo11 \p 49 \l 1033  </w:instrText>
          </w:r>
          <w:r>
            <w:rPr>
              <w:sz w:val="20"/>
              <w:szCs w:val="20"/>
            </w:rPr>
            <w:fldChar w:fldCharType="separate"/>
          </w:r>
          <w:r w:rsidRPr="00071A0A">
            <w:rPr>
              <w:noProof/>
              <w:sz w:val="20"/>
              <w:szCs w:val="20"/>
              <w:lang w:val="en-US"/>
            </w:rPr>
            <w:t>(Coordinating Ministry of Economic Affairs, 2011, p. 49)</w:t>
          </w:r>
          <w:r>
            <w:rPr>
              <w:sz w:val="20"/>
              <w:szCs w:val="20"/>
            </w:rPr>
            <w:fldChar w:fldCharType="end"/>
          </w:r>
        </w:sdtContent>
      </w:sdt>
      <w:r w:rsidRPr="005B67BF">
        <w:rPr>
          <w:sz w:val="20"/>
          <w:szCs w:val="20"/>
        </w:rPr>
        <w:t>.</w:t>
      </w:r>
    </w:p>
  </w:footnote>
  <w:footnote w:id="24">
    <w:p w:rsidR="00024FA7" w:rsidRPr="005B67BF" w:rsidRDefault="00024FA7" w:rsidP="00B05B5E">
      <w:pPr>
        <w:pStyle w:val="FootnoteText"/>
        <w:rPr>
          <w:sz w:val="20"/>
          <w:szCs w:val="20"/>
        </w:rPr>
      </w:pPr>
      <w:r w:rsidRPr="005B67BF">
        <w:rPr>
          <w:rStyle w:val="FootnoteReference"/>
          <w:sz w:val="20"/>
          <w:szCs w:val="20"/>
        </w:rPr>
        <w:footnoteRef/>
      </w:r>
      <w:r w:rsidRPr="005B67BF">
        <w:rPr>
          <w:sz w:val="20"/>
          <w:szCs w:val="20"/>
        </w:rPr>
        <w:t xml:space="preserve"> “[…] Under the MP3EI, the growth of JEC will b</w:t>
      </w:r>
      <w:r>
        <w:rPr>
          <w:sz w:val="20"/>
          <w:szCs w:val="20"/>
        </w:rPr>
        <w:t>e pegged as stated in the RPJMN</w:t>
      </w:r>
      <w:r w:rsidRPr="005B67BF">
        <w:rPr>
          <w:sz w:val="20"/>
          <w:szCs w:val="20"/>
        </w:rPr>
        <w:t xml:space="preserve">” </w:t>
      </w:r>
      <w:sdt>
        <w:sdtPr>
          <w:rPr>
            <w:sz w:val="20"/>
            <w:szCs w:val="20"/>
          </w:rPr>
          <w:id w:val="5033299"/>
          <w:citation/>
        </w:sdtPr>
        <w:sdtContent>
          <w:r>
            <w:rPr>
              <w:sz w:val="20"/>
              <w:szCs w:val="20"/>
            </w:rPr>
            <w:fldChar w:fldCharType="begin"/>
          </w:r>
          <w:r>
            <w:rPr>
              <w:sz w:val="20"/>
              <w:szCs w:val="20"/>
              <w:lang w:val="en-US"/>
            </w:rPr>
            <w:instrText xml:space="preserve"> CITATION Coo11 \p 47 \l 1033  </w:instrText>
          </w:r>
          <w:r>
            <w:rPr>
              <w:sz w:val="20"/>
              <w:szCs w:val="20"/>
            </w:rPr>
            <w:fldChar w:fldCharType="separate"/>
          </w:r>
          <w:r w:rsidRPr="00071A0A">
            <w:rPr>
              <w:noProof/>
              <w:sz w:val="20"/>
              <w:szCs w:val="20"/>
              <w:lang w:val="en-US"/>
            </w:rPr>
            <w:t>(Coordinating Ministry of Economic Affairs, 2011, p. 47)</w:t>
          </w:r>
          <w:r>
            <w:rPr>
              <w:sz w:val="20"/>
              <w:szCs w:val="20"/>
            </w:rPr>
            <w:fldChar w:fldCharType="end"/>
          </w:r>
        </w:sdtContent>
      </w:sdt>
      <w:r w:rsidRPr="005B67BF">
        <w:rPr>
          <w:sz w:val="20"/>
          <w:szCs w:val="20"/>
        </w:rPr>
        <w:t xml:space="preserve">. </w:t>
      </w:r>
    </w:p>
    <w:p w:rsidR="00024FA7" w:rsidRPr="005B67BF" w:rsidRDefault="00024FA7" w:rsidP="00502422">
      <w:pPr>
        <w:pStyle w:val="FootnoteText"/>
        <w:spacing w:after="120"/>
        <w:rPr>
          <w:sz w:val="20"/>
          <w:szCs w:val="20"/>
        </w:rPr>
      </w:pPr>
      <w:r w:rsidRPr="005B67BF">
        <w:rPr>
          <w:sz w:val="20"/>
          <w:szCs w:val="20"/>
        </w:rPr>
        <w:t xml:space="preserve">The current RJPMN was regulated </w:t>
      </w:r>
      <w:r>
        <w:rPr>
          <w:sz w:val="20"/>
          <w:szCs w:val="20"/>
        </w:rPr>
        <w:t>by</w:t>
      </w:r>
      <w:r w:rsidRPr="005B67BF">
        <w:rPr>
          <w:sz w:val="20"/>
          <w:szCs w:val="20"/>
        </w:rPr>
        <w:t xml:space="preserve"> Presidential Regulation No. 5/ 2010 on RJPMN 2010-2014.</w:t>
      </w:r>
    </w:p>
  </w:footnote>
  <w:footnote w:id="25">
    <w:p w:rsidR="00024FA7" w:rsidRPr="005B67BF" w:rsidRDefault="00024FA7" w:rsidP="00502422">
      <w:pPr>
        <w:pStyle w:val="FootnoteText"/>
        <w:rPr>
          <w:sz w:val="20"/>
          <w:szCs w:val="20"/>
        </w:rPr>
      </w:pPr>
      <w:r w:rsidRPr="005B67BF">
        <w:rPr>
          <w:rStyle w:val="FootnoteReference"/>
          <w:sz w:val="20"/>
          <w:szCs w:val="20"/>
        </w:rPr>
        <w:footnoteRef/>
      </w:r>
      <w:r w:rsidRPr="005B67BF">
        <w:rPr>
          <w:sz w:val="20"/>
          <w:szCs w:val="20"/>
        </w:rPr>
        <w:t xml:space="preserve"> </w:t>
      </w:r>
      <w:r w:rsidRPr="005B67BF">
        <w:rPr>
          <w:iCs/>
          <w:sz w:val="20"/>
          <w:szCs w:val="20"/>
        </w:rPr>
        <w:t>Due May 2012, JEC team work has identified 13 cities in West Java province, 4 cities in Ba</w:t>
      </w:r>
      <w:r w:rsidRPr="005B67BF">
        <w:rPr>
          <w:iCs/>
          <w:sz w:val="20"/>
          <w:szCs w:val="20"/>
        </w:rPr>
        <w:t>n</w:t>
      </w:r>
      <w:r w:rsidRPr="005B67BF">
        <w:rPr>
          <w:iCs/>
          <w:sz w:val="20"/>
          <w:szCs w:val="20"/>
        </w:rPr>
        <w:t>ten, 6 cities in Cent</w:t>
      </w:r>
      <w:r>
        <w:rPr>
          <w:iCs/>
          <w:sz w:val="20"/>
          <w:szCs w:val="20"/>
        </w:rPr>
        <w:t>ral Java and 10</w:t>
      </w:r>
      <w:r w:rsidRPr="005B67BF">
        <w:rPr>
          <w:iCs/>
          <w:sz w:val="20"/>
          <w:szCs w:val="20"/>
        </w:rPr>
        <w:t xml:space="preserve"> cities in East Java and </w:t>
      </w:r>
      <w:r>
        <w:rPr>
          <w:iCs/>
          <w:sz w:val="20"/>
          <w:szCs w:val="20"/>
        </w:rPr>
        <w:t xml:space="preserve">1 city in DKI </w:t>
      </w:r>
      <w:r w:rsidRPr="005B67BF">
        <w:rPr>
          <w:iCs/>
          <w:sz w:val="20"/>
          <w:szCs w:val="20"/>
        </w:rPr>
        <w:t>Jakarta</w:t>
      </w:r>
      <w:r>
        <w:rPr>
          <w:iCs/>
          <w:sz w:val="20"/>
          <w:szCs w:val="20"/>
        </w:rPr>
        <w:t xml:space="preserve"> </w:t>
      </w:r>
      <w:sdt>
        <w:sdtPr>
          <w:rPr>
            <w:iCs/>
            <w:sz w:val="20"/>
            <w:szCs w:val="20"/>
          </w:rPr>
          <w:id w:val="3040571"/>
          <w:citation/>
        </w:sdtPr>
        <w:sdtContent>
          <w:r>
            <w:rPr>
              <w:iCs/>
              <w:sz w:val="20"/>
              <w:szCs w:val="20"/>
            </w:rPr>
            <w:fldChar w:fldCharType="begin"/>
          </w:r>
          <w:r>
            <w:rPr>
              <w:iCs/>
              <w:sz w:val="20"/>
              <w:szCs w:val="20"/>
              <w:lang w:val="en-US"/>
            </w:rPr>
            <w:instrText xml:space="preserve"> CITATION Tim12 \p 14 \l 1033  </w:instrText>
          </w:r>
          <w:r>
            <w:rPr>
              <w:iCs/>
              <w:sz w:val="20"/>
              <w:szCs w:val="20"/>
            </w:rPr>
            <w:fldChar w:fldCharType="separate"/>
          </w:r>
          <w:r w:rsidRPr="0046111B">
            <w:rPr>
              <w:noProof/>
              <w:sz w:val="20"/>
              <w:szCs w:val="20"/>
              <w:lang w:val="en-US"/>
            </w:rPr>
            <w:t>(Tim Kerja MP3EI Jawa, 2012, p. 14)</w:t>
          </w:r>
          <w:r>
            <w:rPr>
              <w:iCs/>
              <w:sz w:val="20"/>
              <w:szCs w:val="20"/>
            </w:rPr>
            <w:fldChar w:fldCharType="end"/>
          </w:r>
        </w:sdtContent>
      </w:sdt>
      <w:r w:rsidRPr="005B67BF">
        <w:rPr>
          <w:iCs/>
          <w:sz w:val="20"/>
          <w:szCs w:val="20"/>
        </w:rPr>
        <w:t>.</w:t>
      </w:r>
    </w:p>
  </w:footnote>
  <w:footnote w:id="26">
    <w:p w:rsidR="00024FA7" w:rsidRPr="005B67BF" w:rsidRDefault="00024FA7" w:rsidP="00A33725">
      <w:pPr>
        <w:pStyle w:val="FootnoteText"/>
        <w:spacing w:after="120"/>
        <w:rPr>
          <w:sz w:val="20"/>
          <w:szCs w:val="20"/>
        </w:rPr>
      </w:pPr>
      <w:r w:rsidRPr="005B67BF">
        <w:rPr>
          <w:rStyle w:val="FootnoteReference"/>
          <w:sz w:val="20"/>
          <w:szCs w:val="20"/>
        </w:rPr>
        <w:footnoteRef/>
      </w:r>
      <w:r>
        <w:rPr>
          <w:sz w:val="20"/>
          <w:szCs w:val="20"/>
        </w:rPr>
        <w:t>In the MP3EI’s scheme it m</w:t>
      </w:r>
      <w:r w:rsidRPr="005B67BF">
        <w:rPr>
          <w:sz w:val="20"/>
          <w:szCs w:val="20"/>
        </w:rPr>
        <w:t>ainly develop</w:t>
      </w:r>
      <w:r>
        <w:rPr>
          <w:sz w:val="20"/>
          <w:szCs w:val="20"/>
        </w:rPr>
        <w:t>s</w:t>
      </w:r>
      <w:r w:rsidRPr="005B67BF">
        <w:rPr>
          <w:sz w:val="20"/>
          <w:szCs w:val="20"/>
        </w:rPr>
        <w:t xml:space="preserve"> in Sulawesi, Kalimantan and Maluku-Papua Ec</w:t>
      </w:r>
      <w:r w:rsidRPr="005B67BF">
        <w:rPr>
          <w:sz w:val="20"/>
          <w:szCs w:val="20"/>
        </w:rPr>
        <w:t>o</w:t>
      </w:r>
      <w:r w:rsidRPr="005B67BF">
        <w:rPr>
          <w:sz w:val="20"/>
          <w:szCs w:val="20"/>
        </w:rPr>
        <w:t xml:space="preserve">nomic Corridors’. </w:t>
      </w:r>
    </w:p>
  </w:footnote>
  <w:footnote w:id="27">
    <w:p w:rsidR="00024FA7" w:rsidRPr="005B67BF" w:rsidRDefault="00024FA7" w:rsidP="005B67BF">
      <w:pPr>
        <w:pStyle w:val="FootnoteText"/>
        <w:spacing w:after="120"/>
        <w:rPr>
          <w:sz w:val="20"/>
          <w:szCs w:val="20"/>
        </w:rPr>
      </w:pPr>
      <w:r w:rsidRPr="005B67BF">
        <w:rPr>
          <w:rStyle w:val="FootnoteReference"/>
          <w:sz w:val="20"/>
          <w:szCs w:val="20"/>
        </w:rPr>
        <w:footnoteRef/>
      </w:r>
      <w:r w:rsidRPr="005B67BF">
        <w:rPr>
          <w:sz w:val="20"/>
          <w:szCs w:val="20"/>
        </w:rPr>
        <w:t xml:space="preserve"> Regulation of Ministry of Transportation</w:t>
      </w:r>
    </w:p>
  </w:footnote>
  <w:footnote w:id="28">
    <w:p w:rsidR="00024FA7" w:rsidRPr="005B67BF" w:rsidRDefault="00024FA7" w:rsidP="005B67BF">
      <w:pPr>
        <w:pStyle w:val="FootnoteText"/>
        <w:spacing w:after="120"/>
        <w:rPr>
          <w:sz w:val="20"/>
          <w:szCs w:val="20"/>
        </w:rPr>
      </w:pPr>
      <w:r w:rsidRPr="005B67BF">
        <w:rPr>
          <w:rStyle w:val="FootnoteReference"/>
          <w:sz w:val="20"/>
          <w:szCs w:val="20"/>
        </w:rPr>
        <w:footnoteRef/>
      </w:r>
      <w:r w:rsidRPr="005B67BF">
        <w:rPr>
          <w:sz w:val="20"/>
          <w:szCs w:val="20"/>
        </w:rPr>
        <w:t xml:space="preserve"> </w:t>
      </w:r>
      <w:r w:rsidRPr="005B67BF">
        <w:rPr>
          <w:bCs/>
          <w:sz w:val="20"/>
          <w:szCs w:val="20"/>
        </w:rPr>
        <w:t> Decree of Public Work Ministry No. 277/KPTS/M/2011 on Toll Road Tariff</w:t>
      </w:r>
    </w:p>
  </w:footnote>
  <w:footnote w:id="29">
    <w:p w:rsidR="00024FA7" w:rsidRPr="005B67BF" w:rsidRDefault="00024FA7" w:rsidP="005B67BF">
      <w:pPr>
        <w:pStyle w:val="FootnoteText"/>
        <w:spacing w:after="120"/>
        <w:rPr>
          <w:sz w:val="20"/>
          <w:szCs w:val="20"/>
        </w:rPr>
      </w:pPr>
      <w:r w:rsidRPr="005B67BF">
        <w:rPr>
          <w:rStyle w:val="FootnoteReference"/>
          <w:sz w:val="20"/>
          <w:szCs w:val="20"/>
        </w:rPr>
        <w:footnoteRef/>
      </w:r>
      <w:r w:rsidRPr="005B67BF">
        <w:rPr>
          <w:sz w:val="20"/>
          <w:szCs w:val="20"/>
        </w:rPr>
        <w:t xml:space="preserve"> And the lowest was agricultural sector, which was 2.9%.</w:t>
      </w:r>
    </w:p>
  </w:footnote>
  <w:footnote w:id="30">
    <w:p w:rsidR="00024FA7" w:rsidRPr="005B67BF" w:rsidRDefault="00024FA7" w:rsidP="005B67BF">
      <w:pPr>
        <w:pStyle w:val="FootnoteText"/>
        <w:spacing w:after="120"/>
        <w:rPr>
          <w:sz w:val="20"/>
          <w:szCs w:val="20"/>
        </w:rPr>
      </w:pPr>
      <w:r w:rsidRPr="005B67BF">
        <w:rPr>
          <w:rStyle w:val="FootnoteReference"/>
          <w:sz w:val="20"/>
          <w:szCs w:val="20"/>
        </w:rPr>
        <w:footnoteRef/>
      </w:r>
      <w:r w:rsidRPr="005B67BF">
        <w:rPr>
          <w:sz w:val="20"/>
          <w:szCs w:val="20"/>
        </w:rPr>
        <w:t xml:space="preserve"> Jasa Marga presently owns 13 concessions of fully operated toll roads and nine toll roads whose concessions are owned by its Subsidiaries. For the past five years, the number of veh</w:t>
      </w:r>
      <w:r w:rsidRPr="005B67BF">
        <w:rPr>
          <w:sz w:val="20"/>
          <w:szCs w:val="20"/>
        </w:rPr>
        <w:t>i</w:t>
      </w:r>
      <w:r w:rsidRPr="005B67BF">
        <w:rPr>
          <w:sz w:val="20"/>
          <w:szCs w:val="20"/>
        </w:rPr>
        <w:t>cles passing toll roads keeps increasing significantly. (</w:t>
      </w:r>
      <w:hyperlink r:id="rId3" w:history="1">
        <w:r w:rsidRPr="005B67BF">
          <w:rPr>
            <w:rStyle w:val="Hyperlink"/>
            <w:sz w:val="20"/>
            <w:szCs w:val="20"/>
          </w:rPr>
          <w:t>http://www.jasamarga.com/en_/hubungan-investor.html</w:t>
        </w:r>
      </w:hyperlink>
      <w:r w:rsidRPr="005B67BF">
        <w:rPr>
          <w:sz w:val="20"/>
          <w:szCs w:val="20"/>
        </w:rPr>
        <w:t>, accessed on September 6, 2012).</w:t>
      </w:r>
    </w:p>
  </w:footnote>
  <w:footnote w:id="31">
    <w:p w:rsidR="00024FA7" w:rsidRPr="005B67BF" w:rsidRDefault="00024FA7" w:rsidP="005B67BF">
      <w:pPr>
        <w:pStyle w:val="FootnoteText"/>
        <w:spacing w:after="120"/>
        <w:rPr>
          <w:sz w:val="20"/>
          <w:szCs w:val="20"/>
        </w:rPr>
      </w:pPr>
      <w:r w:rsidRPr="005B67BF">
        <w:rPr>
          <w:rStyle w:val="FootnoteReference"/>
          <w:sz w:val="20"/>
          <w:szCs w:val="20"/>
        </w:rPr>
        <w:footnoteRef/>
      </w:r>
      <w:r w:rsidRPr="005B67BF">
        <w:rPr>
          <w:sz w:val="20"/>
          <w:szCs w:val="20"/>
        </w:rPr>
        <w:t xml:space="preserve"> </w:t>
      </w:r>
      <w:hyperlink r:id="rId4" w:history="1">
        <w:r w:rsidRPr="005B67BF">
          <w:rPr>
            <w:rStyle w:val="Hyperlink"/>
            <w:sz w:val="20"/>
            <w:szCs w:val="20"/>
          </w:rPr>
          <w:t>http://www.jasamarga.com/en_/layanan-jalan-tol/</w:t>
        </w:r>
      </w:hyperlink>
      <w:r w:rsidRPr="005B67BF">
        <w:rPr>
          <w:sz w:val="20"/>
          <w:szCs w:val="20"/>
        </w:rPr>
        <w:t>, Accessed on September 6, 2012.</w:t>
      </w:r>
    </w:p>
  </w:footnote>
  <w:footnote w:id="32">
    <w:p w:rsidR="00024FA7" w:rsidRPr="005B67BF" w:rsidRDefault="00024FA7" w:rsidP="005B67BF">
      <w:pPr>
        <w:pStyle w:val="FootnoteText"/>
        <w:spacing w:after="120"/>
        <w:rPr>
          <w:sz w:val="20"/>
          <w:szCs w:val="20"/>
        </w:rPr>
      </w:pPr>
      <w:r w:rsidRPr="005B67BF">
        <w:rPr>
          <w:rStyle w:val="FootnoteReference"/>
          <w:sz w:val="20"/>
          <w:szCs w:val="20"/>
        </w:rPr>
        <w:footnoteRef/>
      </w:r>
      <w:r w:rsidRPr="005B67BF">
        <w:rPr>
          <w:sz w:val="20"/>
          <w:szCs w:val="20"/>
        </w:rPr>
        <w:t xml:space="preserve"> </w:t>
      </w:r>
      <w:hyperlink r:id="rId5" w:history="1">
        <w:r w:rsidRPr="005B67BF">
          <w:rPr>
            <w:rStyle w:val="Hyperlink"/>
            <w:sz w:val="20"/>
            <w:szCs w:val="20"/>
          </w:rPr>
          <w:t>http://www.jasamarga.com/en_/layanan-jalan-tol/</w:t>
        </w:r>
      </w:hyperlink>
      <w:r w:rsidRPr="005B67BF">
        <w:rPr>
          <w:sz w:val="20"/>
          <w:szCs w:val="20"/>
        </w:rPr>
        <w:t>, Accessed on September 6, 2012.</w:t>
      </w:r>
    </w:p>
  </w:footnote>
  <w:footnote w:id="33">
    <w:p w:rsidR="00024FA7" w:rsidRPr="005B67BF" w:rsidRDefault="00024FA7" w:rsidP="00FD22E6">
      <w:pPr>
        <w:pStyle w:val="FootnoteText"/>
        <w:spacing w:after="120"/>
        <w:jc w:val="left"/>
        <w:rPr>
          <w:sz w:val="20"/>
          <w:szCs w:val="20"/>
        </w:rPr>
      </w:pPr>
      <w:r w:rsidRPr="005B67BF">
        <w:rPr>
          <w:rStyle w:val="FootnoteReference"/>
          <w:sz w:val="20"/>
          <w:szCs w:val="20"/>
        </w:rPr>
        <w:footnoteRef/>
      </w:r>
      <w:r w:rsidRPr="005B67BF">
        <w:rPr>
          <w:sz w:val="20"/>
          <w:szCs w:val="20"/>
        </w:rPr>
        <w:t xml:space="preserve"> Included in this toll-road development is Sukabumi-Ciranjang-Padalarang lane (</w:t>
      </w:r>
      <w:hyperlink r:id="rId6" w:history="1">
        <w:r w:rsidRPr="005B67BF">
          <w:rPr>
            <w:rStyle w:val="Hyperlink"/>
            <w:sz w:val="20"/>
            <w:szCs w:val="20"/>
          </w:rPr>
          <w:t>http://www.neraca.co.id/2012/07/04/ruas-ruas-jalan-tol-baru-untuk-buka-konektivitas/</w:t>
        </w:r>
      </w:hyperlink>
      <w:r w:rsidRPr="005B67BF">
        <w:rPr>
          <w:sz w:val="20"/>
          <w:szCs w:val="20"/>
        </w:rPr>
        <w:t xml:space="preserve"> (accessed on September 6, 2012).</w:t>
      </w:r>
    </w:p>
  </w:footnote>
  <w:footnote w:id="34">
    <w:p w:rsidR="00024FA7" w:rsidRPr="005B67BF" w:rsidRDefault="00024FA7" w:rsidP="00FD22E6">
      <w:pPr>
        <w:pStyle w:val="FootnoteText"/>
        <w:spacing w:after="120"/>
        <w:jc w:val="left"/>
        <w:rPr>
          <w:sz w:val="20"/>
          <w:szCs w:val="20"/>
        </w:rPr>
      </w:pPr>
      <w:r w:rsidRPr="005B67BF">
        <w:rPr>
          <w:rStyle w:val="FootnoteReference"/>
          <w:sz w:val="20"/>
          <w:szCs w:val="20"/>
        </w:rPr>
        <w:footnoteRef/>
      </w:r>
      <w:r w:rsidRPr="005B67BF">
        <w:rPr>
          <w:sz w:val="20"/>
          <w:szCs w:val="20"/>
        </w:rPr>
        <w:t xml:space="preserve"> (</w:t>
      </w:r>
      <w:hyperlink r:id="rId7" w:history="1">
        <w:r w:rsidRPr="005B67BF">
          <w:rPr>
            <w:rStyle w:val="Hyperlink"/>
            <w:sz w:val="20"/>
            <w:szCs w:val="20"/>
          </w:rPr>
          <w:t>http://www.inilahjabar.com/read/detail/1808672/pembangunan-tol-ciawi-sukabumi-dipercepat</w:t>
        </w:r>
      </w:hyperlink>
      <w:r w:rsidRPr="005B67BF">
        <w:rPr>
          <w:sz w:val="20"/>
          <w:szCs w:val="20"/>
        </w:rPr>
        <w:t>, accessed on September 6, 2012)</w:t>
      </w:r>
    </w:p>
  </w:footnote>
  <w:footnote w:id="35">
    <w:p w:rsidR="00024FA7" w:rsidRPr="005B67BF" w:rsidRDefault="00024FA7" w:rsidP="00FD22E6">
      <w:pPr>
        <w:pStyle w:val="FootnoteText"/>
        <w:spacing w:after="120"/>
        <w:jc w:val="left"/>
        <w:rPr>
          <w:sz w:val="20"/>
          <w:szCs w:val="20"/>
        </w:rPr>
      </w:pPr>
      <w:r w:rsidRPr="005B67BF">
        <w:rPr>
          <w:rStyle w:val="FootnoteReference"/>
          <w:sz w:val="20"/>
          <w:szCs w:val="20"/>
        </w:rPr>
        <w:footnoteRef/>
      </w:r>
      <w:r w:rsidRPr="005B67BF">
        <w:rPr>
          <w:sz w:val="20"/>
          <w:szCs w:val="20"/>
        </w:rPr>
        <w:t xml:space="preserve"> On that time, Ministry of Public Work announced various tender for investment in 16 toll-road lane including Bocimi’s Toll Road. (</w:t>
      </w:r>
      <w:hyperlink r:id="rId8" w:history="1">
        <w:r w:rsidRPr="005B67BF">
          <w:rPr>
            <w:rStyle w:val="Hyperlink"/>
            <w:sz w:val="20"/>
            <w:szCs w:val="20"/>
          </w:rPr>
          <w:t>http://www1.pu.go.id/uploads/berita/ppw220905gt.htm</w:t>
        </w:r>
      </w:hyperlink>
      <w:r w:rsidRPr="005B67BF">
        <w:rPr>
          <w:sz w:val="20"/>
          <w:szCs w:val="20"/>
        </w:rPr>
        <w:t>, accessed on September 6, 2012).</w:t>
      </w:r>
    </w:p>
  </w:footnote>
  <w:footnote w:id="36">
    <w:p w:rsidR="00024FA7" w:rsidRPr="005B67BF" w:rsidRDefault="00024FA7" w:rsidP="005B67BF">
      <w:pPr>
        <w:pStyle w:val="FootnoteText"/>
        <w:spacing w:after="120"/>
        <w:rPr>
          <w:sz w:val="20"/>
          <w:szCs w:val="20"/>
        </w:rPr>
      </w:pPr>
      <w:r w:rsidRPr="005B67BF">
        <w:rPr>
          <w:rStyle w:val="FootnoteReference"/>
          <w:sz w:val="20"/>
          <w:szCs w:val="20"/>
        </w:rPr>
        <w:footnoteRef/>
      </w:r>
      <w:r w:rsidRPr="005B67BF">
        <w:rPr>
          <w:sz w:val="20"/>
          <w:szCs w:val="20"/>
        </w:rPr>
        <w:t xml:space="preserve"> Both are part of KPI in West Java.</w:t>
      </w:r>
    </w:p>
  </w:footnote>
  <w:footnote w:id="37">
    <w:p w:rsidR="00024FA7" w:rsidRPr="005B67BF" w:rsidRDefault="00024FA7" w:rsidP="005B67BF">
      <w:pPr>
        <w:pStyle w:val="FootnoteText"/>
        <w:spacing w:after="120"/>
        <w:rPr>
          <w:sz w:val="20"/>
          <w:szCs w:val="20"/>
        </w:rPr>
      </w:pPr>
      <w:r w:rsidRPr="005B67BF">
        <w:rPr>
          <w:rStyle w:val="FootnoteReference"/>
          <w:sz w:val="20"/>
          <w:szCs w:val="20"/>
        </w:rPr>
        <w:footnoteRef/>
      </w:r>
      <w:r w:rsidRPr="005B67BF">
        <w:rPr>
          <w:sz w:val="20"/>
          <w:szCs w:val="20"/>
        </w:rPr>
        <w:t xml:space="preserve"> The Government has issued a concession of Bocimi Toll Road construction to PT JTJ as a Toll Road operator, which is that shareholders are owned by PT Bakrie Toll Road, BUMD Jabar and PT BKU.</w:t>
      </w:r>
    </w:p>
  </w:footnote>
  <w:footnote w:id="38">
    <w:p w:rsidR="00024FA7" w:rsidRPr="00001746" w:rsidRDefault="00024FA7">
      <w:pPr>
        <w:pStyle w:val="FootnoteText"/>
        <w:rPr>
          <w:lang w:val="en-US"/>
        </w:rPr>
      </w:pPr>
      <w:r>
        <w:rPr>
          <w:rStyle w:val="FootnoteReference"/>
        </w:rPr>
        <w:footnoteRef/>
      </w:r>
      <w:r>
        <w:t xml:space="preserve"> </w:t>
      </w:r>
      <w:r w:rsidRPr="006C77F3">
        <w:rPr>
          <w:sz w:val="20"/>
          <w:szCs w:val="20"/>
        </w:rPr>
        <w:t>Laws No. 11/1967 on Mining</w:t>
      </w:r>
      <w:r>
        <w:rPr>
          <w:sz w:val="20"/>
          <w:szCs w:val="20"/>
        </w:rPr>
        <w:t xml:space="preserve"> that has been revised by </w:t>
      </w:r>
      <w:r w:rsidRPr="006C77F3">
        <w:rPr>
          <w:sz w:val="20"/>
          <w:szCs w:val="20"/>
          <w:lang w:val="en-US"/>
        </w:rPr>
        <w:t>L</w:t>
      </w:r>
      <w:r w:rsidRPr="00001746">
        <w:rPr>
          <w:sz w:val="20"/>
          <w:szCs w:val="20"/>
          <w:lang w:val="en-US"/>
        </w:rPr>
        <w:t xml:space="preserve">aws No. </w:t>
      </w:r>
      <w:r>
        <w:rPr>
          <w:sz w:val="20"/>
          <w:szCs w:val="20"/>
          <w:lang w:val="en-US"/>
        </w:rPr>
        <w:t>4</w:t>
      </w:r>
      <w:r w:rsidRPr="00001746">
        <w:rPr>
          <w:sz w:val="20"/>
          <w:szCs w:val="20"/>
          <w:lang w:val="en-US"/>
        </w:rPr>
        <w:t>/200</w:t>
      </w:r>
      <w:r>
        <w:rPr>
          <w:sz w:val="20"/>
          <w:szCs w:val="20"/>
          <w:lang w:val="en-US"/>
        </w:rPr>
        <w:t>9.</w:t>
      </w:r>
      <w:r w:rsidRPr="00001746">
        <w:rPr>
          <w:sz w:val="20"/>
          <w:szCs w:val="20"/>
          <w:lang w:val="en-US"/>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FA7" w:rsidRDefault="00024F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FA7" w:rsidRDefault="00024F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FA7" w:rsidRDefault="00024FA7" w:rsidP="00816D21">
    <w:pPr>
      <w:ind w:firstLine="0"/>
      <w:jc w:val="center"/>
      <w:rPr>
        <w:rFonts w:ascii="Arial" w:hAnsi="Arial" w:cs="Arial"/>
        <w:spacing w:val="4"/>
        <w:w w:val="115"/>
        <w:position w:val="-18"/>
      </w:rPr>
    </w:pPr>
  </w:p>
  <w:p w:rsidR="00024FA7" w:rsidRDefault="00024FA7" w:rsidP="00816D21">
    <w:pPr>
      <w:ind w:firstLine="0"/>
      <w:jc w:val="center"/>
      <w:rPr>
        <w:rFonts w:ascii="Arial" w:hAnsi="Arial" w:cs="Arial"/>
        <w:spacing w:val="4"/>
        <w:w w:val="115"/>
        <w:position w:val="-18"/>
      </w:rPr>
    </w:pPr>
    <w:r w:rsidRPr="00476E2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Description: a logo ISS-EUR" style="position:absolute;left:0;text-align:left;margin-left:20pt;margin-top:64.05pt;width:291pt;height:110.25pt;z-index:251659264;visibility:visible;mso-position-vertical-relative:page" o:allowoverlap="f">
          <v:imagedata r:id="rId1" o:title="a logo ISS-EUR"/>
          <w10:wrap type="topAndBottom" anchory="page"/>
        </v:shape>
      </w:pict>
    </w:r>
  </w:p>
  <w:p w:rsidR="00024FA7" w:rsidRDefault="00024FA7" w:rsidP="00816D21">
    <w:pPr>
      <w:ind w:firstLine="0"/>
      <w:jc w:val="center"/>
      <w:rPr>
        <w:rFonts w:ascii="Arial" w:hAnsi="Arial" w:cs="Arial"/>
        <w:spacing w:val="4"/>
        <w:w w:val="115"/>
        <w:position w:val="-18"/>
      </w:rPr>
    </w:pPr>
  </w:p>
  <w:p w:rsidR="00024FA7" w:rsidRDefault="00024FA7" w:rsidP="00816D21">
    <w:pPr>
      <w:ind w:firstLine="0"/>
      <w:jc w:val="center"/>
      <w:rPr>
        <w:rFonts w:ascii="Arial" w:hAnsi="Arial" w:cs="Arial"/>
        <w:spacing w:val="4"/>
        <w:w w:val="115"/>
        <w:position w:val="-18"/>
      </w:rPr>
    </w:pPr>
  </w:p>
  <w:p w:rsidR="00024FA7" w:rsidRDefault="00024FA7" w:rsidP="00816D21">
    <w:pPr>
      <w:ind w:firstLine="0"/>
      <w:jc w:val="center"/>
      <w:rPr>
        <w:rFonts w:ascii="Arial" w:hAnsi="Arial" w:cs="Arial"/>
        <w:spacing w:val="4"/>
        <w:w w:val="115"/>
        <w:position w:val="-18"/>
      </w:rPr>
    </w:pPr>
  </w:p>
  <w:p w:rsidR="00024FA7" w:rsidRDefault="00024FA7" w:rsidP="00816D21">
    <w:pPr>
      <w:ind w:firstLine="0"/>
      <w:jc w:val="center"/>
      <w:rPr>
        <w:rFonts w:ascii="Arial" w:hAnsi="Arial" w:cs="Arial"/>
        <w:spacing w:val="4"/>
        <w:w w:val="115"/>
        <w:position w:val="-18"/>
      </w:rPr>
    </w:pPr>
  </w:p>
  <w:p w:rsidR="00024FA7" w:rsidRDefault="00024FA7" w:rsidP="00816D21">
    <w:pPr>
      <w:ind w:firstLine="0"/>
      <w:jc w:val="center"/>
      <w:rPr>
        <w:rFonts w:ascii="Arial" w:hAnsi="Arial" w:cs="Arial"/>
        <w:spacing w:val="4"/>
        <w:w w:val="115"/>
        <w:position w:val="-18"/>
      </w:rPr>
    </w:pPr>
  </w:p>
  <w:p w:rsidR="00024FA7" w:rsidRDefault="00024FA7" w:rsidP="00816D21">
    <w:pPr>
      <w:ind w:firstLine="0"/>
      <w:jc w:val="center"/>
      <w:rPr>
        <w:rFonts w:ascii="Arial" w:hAnsi="Arial" w:cs="Arial"/>
        <w:spacing w:val="4"/>
        <w:w w:val="115"/>
        <w:position w:val="-18"/>
      </w:rPr>
    </w:pPr>
  </w:p>
  <w:p w:rsidR="00024FA7" w:rsidRDefault="00024FA7">
    <w:pPr>
      <w:pStyle w:val="Header"/>
    </w:pPr>
  </w:p>
  <w:p w:rsidR="00024FA7" w:rsidRDefault="00024FA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FA7" w:rsidRDefault="00024F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661E96"/>
    <w:lvl w:ilvl="0">
      <w:start w:val="1"/>
      <w:numFmt w:val="decimal"/>
      <w:lvlText w:val="%1."/>
      <w:lvlJc w:val="left"/>
      <w:pPr>
        <w:tabs>
          <w:tab w:val="num" w:pos="1492"/>
        </w:tabs>
        <w:ind w:left="1492" w:hanging="360"/>
      </w:pPr>
    </w:lvl>
  </w:abstractNum>
  <w:abstractNum w:abstractNumId="1">
    <w:nsid w:val="FFFFFF7D"/>
    <w:multiLevelType w:val="singleLevel"/>
    <w:tmpl w:val="37505266"/>
    <w:lvl w:ilvl="0">
      <w:start w:val="1"/>
      <w:numFmt w:val="decimal"/>
      <w:lvlText w:val="%1."/>
      <w:lvlJc w:val="left"/>
      <w:pPr>
        <w:tabs>
          <w:tab w:val="num" w:pos="1209"/>
        </w:tabs>
        <w:ind w:left="1209" w:hanging="360"/>
      </w:pPr>
    </w:lvl>
  </w:abstractNum>
  <w:abstractNum w:abstractNumId="2">
    <w:nsid w:val="FFFFFF7E"/>
    <w:multiLevelType w:val="singleLevel"/>
    <w:tmpl w:val="59C2C8AE"/>
    <w:lvl w:ilvl="0">
      <w:start w:val="1"/>
      <w:numFmt w:val="decimal"/>
      <w:lvlText w:val="%1."/>
      <w:lvlJc w:val="left"/>
      <w:pPr>
        <w:tabs>
          <w:tab w:val="num" w:pos="926"/>
        </w:tabs>
        <w:ind w:left="926" w:hanging="360"/>
      </w:pPr>
    </w:lvl>
  </w:abstractNum>
  <w:abstractNum w:abstractNumId="3">
    <w:nsid w:val="FFFFFF7F"/>
    <w:multiLevelType w:val="singleLevel"/>
    <w:tmpl w:val="6ACEBBE4"/>
    <w:lvl w:ilvl="0">
      <w:start w:val="1"/>
      <w:numFmt w:val="decimal"/>
      <w:lvlText w:val="%1."/>
      <w:lvlJc w:val="left"/>
      <w:pPr>
        <w:tabs>
          <w:tab w:val="num" w:pos="643"/>
        </w:tabs>
        <w:ind w:left="643" w:hanging="360"/>
      </w:pPr>
    </w:lvl>
  </w:abstractNum>
  <w:abstractNum w:abstractNumId="4">
    <w:nsid w:val="FFFFFF80"/>
    <w:multiLevelType w:val="singleLevel"/>
    <w:tmpl w:val="F42859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38CC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4663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E6AF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3AEB64"/>
    <w:lvl w:ilvl="0">
      <w:start w:val="1"/>
      <w:numFmt w:val="decimal"/>
      <w:lvlText w:val="%1."/>
      <w:lvlJc w:val="left"/>
      <w:pPr>
        <w:tabs>
          <w:tab w:val="num" w:pos="360"/>
        </w:tabs>
        <w:ind w:left="360" w:hanging="360"/>
      </w:pPr>
    </w:lvl>
  </w:abstractNum>
  <w:abstractNum w:abstractNumId="9">
    <w:nsid w:val="FFFFFF89"/>
    <w:multiLevelType w:val="singleLevel"/>
    <w:tmpl w:val="6D82B518"/>
    <w:lvl w:ilvl="0">
      <w:start w:val="1"/>
      <w:numFmt w:val="bullet"/>
      <w:lvlText w:val=""/>
      <w:lvlJc w:val="left"/>
      <w:pPr>
        <w:tabs>
          <w:tab w:val="num" w:pos="360"/>
        </w:tabs>
        <w:ind w:left="0" w:firstLine="0"/>
      </w:pPr>
      <w:rPr>
        <w:rFonts w:ascii="Symbol" w:hAnsi="Symbol" w:hint="default"/>
        <w:sz w:val="16"/>
      </w:rPr>
    </w:lvl>
  </w:abstractNum>
  <w:abstractNum w:abstractNumId="10">
    <w:nsid w:val="FFFFFFFE"/>
    <w:multiLevelType w:val="singleLevel"/>
    <w:tmpl w:val="B8C4CA6A"/>
    <w:lvl w:ilvl="0">
      <w:numFmt w:val="bullet"/>
      <w:lvlText w:val="*"/>
      <w:lvlJc w:val="left"/>
    </w:lvl>
  </w:abstractNum>
  <w:abstractNum w:abstractNumId="11">
    <w:nsid w:val="016124AA"/>
    <w:multiLevelType w:val="multilevel"/>
    <w:tmpl w:val="42529E9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nsid w:val="04957948"/>
    <w:multiLevelType w:val="multilevel"/>
    <w:tmpl w:val="210054F2"/>
    <w:lvl w:ilvl="0">
      <w:start w:val="1"/>
      <w:numFmt w:val="decimal"/>
      <w:lvlText w:val="%1"/>
      <w:lvlJc w:val="left"/>
      <w:pPr>
        <w:tabs>
          <w:tab w:val="num" w:pos="720"/>
        </w:tabs>
        <w:ind w:left="360" w:hanging="360"/>
      </w:pPr>
      <w:rPr>
        <w:rFonts w:hint="default"/>
      </w:rPr>
    </w:lvl>
    <w:lvl w:ilvl="1">
      <w:start w:val="1"/>
      <w:numFmt w:val="decimal"/>
      <w:lvlText w:val=".%2%1"/>
      <w:lvlJc w:val="left"/>
      <w:pPr>
        <w:tabs>
          <w:tab w:val="num" w:pos="1440"/>
        </w:tabs>
        <w:ind w:left="792" w:hanging="432"/>
      </w:pPr>
      <w:rPr>
        <w:rFonts w:hint="default"/>
      </w:rPr>
    </w:lvl>
    <w:lvl w:ilvl="2">
      <w:start w:val="1"/>
      <w:numFmt w:val="decimal"/>
      <w:lvlText w:val="%1.%3.%2"/>
      <w:lvlJc w:val="left"/>
      <w:pPr>
        <w:tabs>
          <w:tab w:val="num" w:pos="2160"/>
        </w:tabs>
        <w:ind w:left="1224" w:hanging="50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nsid w:val="05FE0C3D"/>
    <w:multiLevelType w:val="hybridMultilevel"/>
    <w:tmpl w:val="A94C587E"/>
    <w:lvl w:ilvl="0" w:tplc="1C7E53F8">
      <w:start w:val="1"/>
      <w:numFmt w:val="decimal"/>
      <w:pStyle w:val="Numberedtext"/>
      <w:lvlText w:val="%1."/>
      <w:lvlJc w:val="left"/>
      <w:pPr>
        <w:tabs>
          <w:tab w:val="num" w:pos="284"/>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BB3C4C"/>
    <w:multiLevelType w:val="multilevel"/>
    <w:tmpl w:val="315AC07A"/>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5">
    <w:nsid w:val="12FC789B"/>
    <w:multiLevelType w:val="multilevel"/>
    <w:tmpl w:val="24C01F1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nsid w:val="15405BF2"/>
    <w:multiLevelType w:val="multilevel"/>
    <w:tmpl w:val="D9FAC55E"/>
    <w:name w:val="ISSresearchpaper"/>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nsid w:val="1576749B"/>
    <w:multiLevelType w:val="multilevel"/>
    <w:tmpl w:val="6016C480"/>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nsid w:val="17250F75"/>
    <w:multiLevelType w:val="multilevel"/>
    <w:tmpl w:val="6A80274C"/>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nsid w:val="1BD452C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0">
    <w:nsid w:val="221C4A2E"/>
    <w:multiLevelType w:val="multilevel"/>
    <w:tmpl w:val="46FCA67A"/>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4702283"/>
    <w:multiLevelType w:val="hybridMultilevel"/>
    <w:tmpl w:val="EC702B1A"/>
    <w:lvl w:ilvl="0" w:tplc="DA98A982">
      <w:start w:val="1"/>
      <w:numFmt w:val="bullet"/>
      <w:lvlText w:val=""/>
      <w:lvlJc w:val="left"/>
      <w:pPr>
        <w:tabs>
          <w:tab w:val="num" w:pos="720"/>
        </w:tabs>
        <w:ind w:left="720" w:hanging="720"/>
      </w:pPr>
      <w:rPr>
        <w:rFonts w:ascii="Wingdings" w:hAnsi="Wingdings" w:hint="default"/>
      </w:rPr>
    </w:lvl>
    <w:lvl w:ilvl="1" w:tplc="DEEC8146">
      <w:start w:val="1"/>
      <w:numFmt w:val="bullet"/>
      <w:lvlText w:val=""/>
      <w:lvlJc w:val="left"/>
      <w:pPr>
        <w:tabs>
          <w:tab w:val="num" w:pos="360"/>
        </w:tabs>
        <w:ind w:left="360" w:hanging="360"/>
      </w:pPr>
      <w:rPr>
        <w:rFonts w:ascii="Wingdings" w:hAnsi="Wingdings"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257F328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3">
    <w:nsid w:val="29E45CD6"/>
    <w:multiLevelType w:val="multilevel"/>
    <w:tmpl w:val="C6986BD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794"/>
        </w:tabs>
        <w:ind w:left="792" w:hanging="792"/>
      </w:pPr>
      <w:rPr>
        <w:rFonts w:hint="default"/>
      </w:rPr>
    </w:lvl>
    <w:lvl w:ilvl="2">
      <w:start w:val="1"/>
      <w:numFmt w:val="decimal"/>
      <w:lvlText w:val="%1.%3.%2"/>
      <w:lvlJc w:val="left"/>
      <w:pPr>
        <w:tabs>
          <w:tab w:val="num" w:pos="794"/>
        </w:tabs>
        <w:ind w:left="794" w:hanging="79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4">
    <w:nsid w:val="2C21225A"/>
    <w:multiLevelType w:val="multilevel"/>
    <w:tmpl w:val="24C01F1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31902538"/>
    <w:multiLevelType w:val="multilevel"/>
    <w:tmpl w:val="733AE1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5F384C"/>
    <w:multiLevelType w:val="hybridMultilevel"/>
    <w:tmpl w:val="F2D22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A472A5"/>
    <w:multiLevelType w:val="multilevel"/>
    <w:tmpl w:val="32A2CFE0"/>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8">
    <w:nsid w:val="3AE5351B"/>
    <w:multiLevelType w:val="multilevel"/>
    <w:tmpl w:val="3C84165C"/>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9">
    <w:nsid w:val="3C0253CE"/>
    <w:multiLevelType w:val="hybridMultilevel"/>
    <w:tmpl w:val="D230178C"/>
    <w:lvl w:ilvl="0" w:tplc="FFFFFFFF">
      <w:numFmt w:val="bullet"/>
      <w:lvlText w:val="-"/>
      <w:lvlJc w:val="left"/>
      <w:pPr>
        <w:tabs>
          <w:tab w:val="num" w:pos="360"/>
        </w:tabs>
        <w:ind w:left="360" w:hanging="360"/>
      </w:pPr>
      <w:rPr>
        <w:rFonts w:ascii="Garamond" w:eastAsia="SimSun" w:hAnsi="Garamond" w:cs="Comic Sans M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nsid w:val="42847F23"/>
    <w:multiLevelType w:val="multilevel"/>
    <w:tmpl w:val="24C01F1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nsid w:val="463A6C64"/>
    <w:multiLevelType w:val="multilevel"/>
    <w:tmpl w:val="24C01F1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nsid w:val="49127CB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3">
    <w:nsid w:val="4CEE1697"/>
    <w:multiLevelType w:val="hybridMultilevel"/>
    <w:tmpl w:val="0BB0B2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FE96038"/>
    <w:multiLevelType w:val="multilevel"/>
    <w:tmpl w:val="24C01F1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nsid w:val="53D25610"/>
    <w:multiLevelType w:val="multilevel"/>
    <w:tmpl w:val="C270F2D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6">
    <w:nsid w:val="54E759E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7">
    <w:nsid w:val="60753BE6"/>
    <w:multiLevelType w:val="hybridMultilevel"/>
    <w:tmpl w:val="6AF6D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0A31852"/>
    <w:multiLevelType w:val="hybridMultilevel"/>
    <w:tmpl w:val="F0FA44AC"/>
    <w:lvl w:ilvl="0" w:tplc="2F84544A">
      <w:start w:val="1"/>
      <w:numFmt w:val="bullet"/>
      <w:pStyle w:val="bullet"/>
      <w:lvlText w:val=""/>
      <w:lvlJc w:val="left"/>
      <w:pPr>
        <w:tabs>
          <w:tab w:val="num" w:pos="284"/>
        </w:tabs>
        <w:ind w:left="567" w:hanging="142"/>
      </w:pPr>
      <w:rPr>
        <w:rFonts w:ascii="Wingdings" w:hAnsi="Wingdings" w:hint="default"/>
      </w:rPr>
    </w:lvl>
    <w:lvl w:ilvl="1" w:tplc="19483634">
      <w:start w:val="1"/>
      <w:numFmt w:val="bullet"/>
      <w:pStyle w:val="bullet"/>
      <w:lvlText w:val=""/>
      <w:lvlJc w:val="left"/>
      <w:pPr>
        <w:tabs>
          <w:tab w:val="num" w:pos="720"/>
        </w:tabs>
        <w:ind w:left="72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32D7D3D"/>
    <w:multiLevelType w:val="hybridMultilevel"/>
    <w:tmpl w:val="53C4ED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6D37A35"/>
    <w:multiLevelType w:val="multilevel"/>
    <w:tmpl w:val="A572916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1">
    <w:nsid w:val="6DC55BB0"/>
    <w:multiLevelType w:val="multilevel"/>
    <w:tmpl w:val="7C30B044"/>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2">
    <w:nsid w:val="702E6A86"/>
    <w:multiLevelType w:val="multilevel"/>
    <w:tmpl w:val="AEC654D4"/>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851" w:hanging="851"/>
      </w:pPr>
      <w:rPr>
        <w:rFonts w:hint="default"/>
      </w:rPr>
    </w:lvl>
    <w:lvl w:ilvl="2">
      <w:start w:val="1"/>
      <w:numFmt w:val="decimal"/>
      <w:lvlText w:val="%1.%3.%2"/>
      <w:lvlJc w:val="left"/>
      <w:pPr>
        <w:tabs>
          <w:tab w:val="num" w:pos="851"/>
        </w:tabs>
        <w:ind w:left="851" w:hanging="851"/>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3">
    <w:nsid w:val="7A9215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8"/>
  </w:num>
  <w:num w:numId="3">
    <w:abstractNumId w:val="2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6"/>
  </w:num>
  <w:num w:numId="15">
    <w:abstractNumId w:val="12"/>
  </w:num>
  <w:num w:numId="16">
    <w:abstractNumId w:val="28"/>
  </w:num>
  <w:num w:numId="17">
    <w:abstractNumId w:val="27"/>
  </w:num>
  <w:num w:numId="18">
    <w:abstractNumId w:val="23"/>
  </w:num>
  <w:num w:numId="19">
    <w:abstractNumId w:val="42"/>
  </w:num>
  <w:num w:numId="20">
    <w:abstractNumId w:val="40"/>
  </w:num>
  <w:num w:numId="21">
    <w:abstractNumId w:val="14"/>
  </w:num>
  <w:num w:numId="22">
    <w:abstractNumId w:val="35"/>
  </w:num>
  <w:num w:numId="23">
    <w:abstractNumId w:val="18"/>
  </w:num>
  <w:num w:numId="24">
    <w:abstractNumId w:val="17"/>
  </w:num>
  <w:num w:numId="25">
    <w:abstractNumId w:val="11"/>
  </w:num>
  <w:num w:numId="26">
    <w:abstractNumId w:val="41"/>
  </w:num>
  <w:num w:numId="27">
    <w:abstractNumId w:val="20"/>
  </w:num>
  <w:num w:numId="28">
    <w:abstractNumId w:val="25"/>
  </w:num>
  <w:num w:numId="29">
    <w:abstractNumId w:val="19"/>
  </w:num>
  <w:num w:numId="30">
    <w:abstractNumId w:val="22"/>
  </w:num>
  <w:num w:numId="31">
    <w:abstractNumId w:val="10"/>
    <w:lvlOverride w:ilvl="0">
      <w:lvl w:ilvl="0">
        <w:numFmt w:val="bullet"/>
        <w:lvlText w:val="-"/>
        <w:legacy w:legacy="1" w:legacySpace="0" w:legacyIndent="0"/>
        <w:lvlJc w:val="left"/>
        <w:rPr>
          <w:rFonts w:ascii="Times New Roman" w:hAnsi="Times New Roman" w:cs="Times New Roman" w:hint="default"/>
          <w:sz w:val="24"/>
        </w:rPr>
      </w:lvl>
    </w:lvlOverride>
  </w:num>
  <w:num w:numId="32">
    <w:abstractNumId w:val="29"/>
  </w:num>
  <w:num w:numId="33">
    <w:abstractNumId w:val="36"/>
  </w:num>
  <w:num w:numId="34">
    <w:abstractNumId w:val="33"/>
  </w:num>
  <w:num w:numId="35">
    <w:abstractNumId w:val="32"/>
  </w:num>
  <w:num w:numId="36">
    <w:abstractNumId w:val="34"/>
  </w:num>
  <w:num w:numId="37">
    <w:abstractNumId w:val="30"/>
  </w:num>
  <w:num w:numId="38">
    <w:abstractNumId w:val="31"/>
  </w:num>
  <w:num w:numId="39">
    <w:abstractNumId w:val="15"/>
  </w:num>
  <w:num w:numId="40">
    <w:abstractNumId w:val="24"/>
  </w:num>
  <w:num w:numId="41">
    <w:abstractNumId w:val="43"/>
  </w:num>
  <w:num w:numId="42">
    <w:abstractNumId w:val="26"/>
  </w:num>
  <w:num w:numId="43">
    <w:abstractNumId w:val="37"/>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stylePaneFormatFilter w:val="3001"/>
  <w:doNotTrackMoves/>
  <w:defaultTabStop w:val="720"/>
  <w:autoHyphenation/>
  <w:consecutiveHyphenLimit w:val="3"/>
  <w:hyphenationZone w:val="357"/>
  <w:doNotHyphenateCaps/>
  <w:drawingGridHorizontalSpacing w:val="120"/>
  <w:displayHorizontalDrawingGridEvery w:val="0"/>
  <w:displayVerticalDrawingGridEvery w:val="0"/>
  <w:noPunctuationKerning/>
  <w:characterSpacingControl w:val="doNotCompress"/>
  <w:hdrShapeDefaults>
    <o:shapedefaults v:ext="edit" spidmax="14338"/>
    <o:shapelayout v:ext="edit">
      <o:idmap v:ext="edit" data="2"/>
    </o:shapelayout>
  </w:hdrShapeDefaults>
  <w:footnotePr>
    <w:footnote w:id="0"/>
    <w:footnote w:id="1"/>
    <w:footnote w:id="2"/>
  </w:footnotePr>
  <w:endnotePr>
    <w:pos w:val="sectEnd"/>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1B65"/>
    <w:rsid w:val="00000683"/>
    <w:rsid w:val="00001746"/>
    <w:rsid w:val="00005182"/>
    <w:rsid w:val="00007535"/>
    <w:rsid w:val="00007BFD"/>
    <w:rsid w:val="0001431E"/>
    <w:rsid w:val="00024FA7"/>
    <w:rsid w:val="00027476"/>
    <w:rsid w:val="00043460"/>
    <w:rsid w:val="00043966"/>
    <w:rsid w:val="0004709A"/>
    <w:rsid w:val="000609D2"/>
    <w:rsid w:val="00065912"/>
    <w:rsid w:val="00071A0A"/>
    <w:rsid w:val="00082D82"/>
    <w:rsid w:val="00086725"/>
    <w:rsid w:val="000908A6"/>
    <w:rsid w:val="00096AF6"/>
    <w:rsid w:val="000B3F40"/>
    <w:rsid w:val="000B410E"/>
    <w:rsid w:val="000B4D31"/>
    <w:rsid w:val="000B5B24"/>
    <w:rsid w:val="000B6EA9"/>
    <w:rsid w:val="000C58C8"/>
    <w:rsid w:val="000D0496"/>
    <w:rsid w:val="000D41F1"/>
    <w:rsid w:val="000D6B85"/>
    <w:rsid w:val="000E032C"/>
    <w:rsid w:val="000E22B3"/>
    <w:rsid w:val="000E67BC"/>
    <w:rsid w:val="000E7208"/>
    <w:rsid w:val="000E7B60"/>
    <w:rsid w:val="000F00DD"/>
    <w:rsid w:val="000F1169"/>
    <w:rsid w:val="000F41AC"/>
    <w:rsid w:val="000F5712"/>
    <w:rsid w:val="000F5BFF"/>
    <w:rsid w:val="00102A74"/>
    <w:rsid w:val="0011458E"/>
    <w:rsid w:val="00122057"/>
    <w:rsid w:val="0012333E"/>
    <w:rsid w:val="0012372C"/>
    <w:rsid w:val="00125FFC"/>
    <w:rsid w:val="001260B5"/>
    <w:rsid w:val="0012674D"/>
    <w:rsid w:val="001410DD"/>
    <w:rsid w:val="00141503"/>
    <w:rsid w:val="00143653"/>
    <w:rsid w:val="00146235"/>
    <w:rsid w:val="00146E85"/>
    <w:rsid w:val="00147FEB"/>
    <w:rsid w:val="00153C61"/>
    <w:rsid w:val="00153F3D"/>
    <w:rsid w:val="001563B8"/>
    <w:rsid w:val="0015775E"/>
    <w:rsid w:val="001663EB"/>
    <w:rsid w:val="00166C6C"/>
    <w:rsid w:val="00171E9C"/>
    <w:rsid w:val="0019605B"/>
    <w:rsid w:val="001A44F6"/>
    <w:rsid w:val="001C067F"/>
    <w:rsid w:val="001D2198"/>
    <w:rsid w:val="001D24EA"/>
    <w:rsid w:val="001D33B7"/>
    <w:rsid w:val="001D57C4"/>
    <w:rsid w:val="001E1EFE"/>
    <w:rsid w:val="001E69F0"/>
    <w:rsid w:val="001E7C70"/>
    <w:rsid w:val="001F1F9D"/>
    <w:rsid w:val="001F4E93"/>
    <w:rsid w:val="001F6B97"/>
    <w:rsid w:val="00200EF8"/>
    <w:rsid w:val="0020660A"/>
    <w:rsid w:val="00207ECA"/>
    <w:rsid w:val="002144D0"/>
    <w:rsid w:val="00214DB8"/>
    <w:rsid w:val="00223F53"/>
    <w:rsid w:val="0023127A"/>
    <w:rsid w:val="00233B8B"/>
    <w:rsid w:val="00233EB3"/>
    <w:rsid w:val="0023495D"/>
    <w:rsid w:val="0024235A"/>
    <w:rsid w:val="0024764B"/>
    <w:rsid w:val="002557C4"/>
    <w:rsid w:val="00265402"/>
    <w:rsid w:val="00270720"/>
    <w:rsid w:val="00271D8F"/>
    <w:rsid w:val="00276937"/>
    <w:rsid w:val="002809E1"/>
    <w:rsid w:val="00283D5B"/>
    <w:rsid w:val="00286289"/>
    <w:rsid w:val="00287BD1"/>
    <w:rsid w:val="00292C08"/>
    <w:rsid w:val="00296AFD"/>
    <w:rsid w:val="00296DB4"/>
    <w:rsid w:val="002A086E"/>
    <w:rsid w:val="002A1327"/>
    <w:rsid w:val="002B0EEB"/>
    <w:rsid w:val="002B48FA"/>
    <w:rsid w:val="002B6508"/>
    <w:rsid w:val="002C16D6"/>
    <w:rsid w:val="002C567F"/>
    <w:rsid w:val="002D422F"/>
    <w:rsid w:val="002D7117"/>
    <w:rsid w:val="002E7887"/>
    <w:rsid w:val="002F2282"/>
    <w:rsid w:val="002F7669"/>
    <w:rsid w:val="003002DA"/>
    <w:rsid w:val="00300A45"/>
    <w:rsid w:val="00306226"/>
    <w:rsid w:val="00310974"/>
    <w:rsid w:val="0031340A"/>
    <w:rsid w:val="00316EDA"/>
    <w:rsid w:val="00324D2C"/>
    <w:rsid w:val="00326D86"/>
    <w:rsid w:val="003349F0"/>
    <w:rsid w:val="00337996"/>
    <w:rsid w:val="00342CCE"/>
    <w:rsid w:val="0034641C"/>
    <w:rsid w:val="00350809"/>
    <w:rsid w:val="00352EEA"/>
    <w:rsid w:val="003573A3"/>
    <w:rsid w:val="003612FB"/>
    <w:rsid w:val="00362FB9"/>
    <w:rsid w:val="00366D5C"/>
    <w:rsid w:val="00367490"/>
    <w:rsid w:val="00371444"/>
    <w:rsid w:val="00372562"/>
    <w:rsid w:val="003729D7"/>
    <w:rsid w:val="003750FA"/>
    <w:rsid w:val="003779B9"/>
    <w:rsid w:val="003844D8"/>
    <w:rsid w:val="00384C8D"/>
    <w:rsid w:val="00397138"/>
    <w:rsid w:val="003A4AF0"/>
    <w:rsid w:val="003B088D"/>
    <w:rsid w:val="003B573C"/>
    <w:rsid w:val="003B7F31"/>
    <w:rsid w:val="003D228A"/>
    <w:rsid w:val="003D3378"/>
    <w:rsid w:val="003D75BB"/>
    <w:rsid w:val="003E662C"/>
    <w:rsid w:val="003F34A7"/>
    <w:rsid w:val="003F48AB"/>
    <w:rsid w:val="00401457"/>
    <w:rsid w:val="0040337E"/>
    <w:rsid w:val="00405300"/>
    <w:rsid w:val="00416F01"/>
    <w:rsid w:val="0042002B"/>
    <w:rsid w:val="00431E85"/>
    <w:rsid w:val="004361DD"/>
    <w:rsid w:val="004433AA"/>
    <w:rsid w:val="004465BE"/>
    <w:rsid w:val="0045073E"/>
    <w:rsid w:val="004578DF"/>
    <w:rsid w:val="0046111B"/>
    <w:rsid w:val="00462B7C"/>
    <w:rsid w:val="0046711B"/>
    <w:rsid w:val="004745AA"/>
    <w:rsid w:val="00476E26"/>
    <w:rsid w:val="00483839"/>
    <w:rsid w:val="00485392"/>
    <w:rsid w:val="00492B00"/>
    <w:rsid w:val="004A1BFD"/>
    <w:rsid w:val="004A2687"/>
    <w:rsid w:val="004A5246"/>
    <w:rsid w:val="004A71A0"/>
    <w:rsid w:val="004A732C"/>
    <w:rsid w:val="004B35BA"/>
    <w:rsid w:val="004C6B1A"/>
    <w:rsid w:val="004D2C80"/>
    <w:rsid w:val="004E3DED"/>
    <w:rsid w:val="004E5403"/>
    <w:rsid w:val="004F3B6D"/>
    <w:rsid w:val="005007C9"/>
    <w:rsid w:val="00502422"/>
    <w:rsid w:val="00502613"/>
    <w:rsid w:val="005112CE"/>
    <w:rsid w:val="00512EE2"/>
    <w:rsid w:val="00520CB6"/>
    <w:rsid w:val="005262FF"/>
    <w:rsid w:val="00526EAA"/>
    <w:rsid w:val="00532F55"/>
    <w:rsid w:val="00534AF8"/>
    <w:rsid w:val="005551AB"/>
    <w:rsid w:val="00561A39"/>
    <w:rsid w:val="0056409F"/>
    <w:rsid w:val="00564170"/>
    <w:rsid w:val="00564CA8"/>
    <w:rsid w:val="00590B38"/>
    <w:rsid w:val="005A2BC4"/>
    <w:rsid w:val="005B1B65"/>
    <w:rsid w:val="005B4B6F"/>
    <w:rsid w:val="005B67BF"/>
    <w:rsid w:val="005C430C"/>
    <w:rsid w:val="005D51EF"/>
    <w:rsid w:val="005E0690"/>
    <w:rsid w:val="005E0EBD"/>
    <w:rsid w:val="005E6FA8"/>
    <w:rsid w:val="005F09DD"/>
    <w:rsid w:val="005F1983"/>
    <w:rsid w:val="005F70C7"/>
    <w:rsid w:val="00605CFD"/>
    <w:rsid w:val="00614F2A"/>
    <w:rsid w:val="00617676"/>
    <w:rsid w:val="00623844"/>
    <w:rsid w:val="00624AD1"/>
    <w:rsid w:val="00632375"/>
    <w:rsid w:val="00636BF7"/>
    <w:rsid w:val="0064711B"/>
    <w:rsid w:val="006600D2"/>
    <w:rsid w:val="006641A2"/>
    <w:rsid w:val="006669A3"/>
    <w:rsid w:val="00667F2F"/>
    <w:rsid w:val="006756B3"/>
    <w:rsid w:val="0068062E"/>
    <w:rsid w:val="00683498"/>
    <w:rsid w:val="00687605"/>
    <w:rsid w:val="00692C5D"/>
    <w:rsid w:val="00695E33"/>
    <w:rsid w:val="006A0580"/>
    <w:rsid w:val="006A38CA"/>
    <w:rsid w:val="006B0335"/>
    <w:rsid w:val="006C65AA"/>
    <w:rsid w:val="006C77F3"/>
    <w:rsid w:val="006E6E72"/>
    <w:rsid w:val="006F31AE"/>
    <w:rsid w:val="00704135"/>
    <w:rsid w:val="007046B3"/>
    <w:rsid w:val="007048C7"/>
    <w:rsid w:val="007124D0"/>
    <w:rsid w:val="007232F7"/>
    <w:rsid w:val="007233AB"/>
    <w:rsid w:val="007269A8"/>
    <w:rsid w:val="0073129C"/>
    <w:rsid w:val="007341B9"/>
    <w:rsid w:val="007364E6"/>
    <w:rsid w:val="00737946"/>
    <w:rsid w:val="007445CC"/>
    <w:rsid w:val="00744F1D"/>
    <w:rsid w:val="0075048D"/>
    <w:rsid w:val="0076061A"/>
    <w:rsid w:val="00765D4D"/>
    <w:rsid w:val="00767AB5"/>
    <w:rsid w:val="007705FC"/>
    <w:rsid w:val="00772869"/>
    <w:rsid w:val="007809ED"/>
    <w:rsid w:val="00786825"/>
    <w:rsid w:val="00794093"/>
    <w:rsid w:val="00795808"/>
    <w:rsid w:val="007A07A0"/>
    <w:rsid w:val="007A0F82"/>
    <w:rsid w:val="007A2022"/>
    <w:rsid w:val="007A48F7"/>
    <w:rsid w:val="007A4E02"/>
    <w:rsid w:val="007B0DDE"/>
    <w:rsid w:val="007B7540"/>
    <w:rsid w:val="007B7F3E"/>
    <w:rsid w:val="007C35BF"/>
    <w:rsid w:val="007D28E3"/>
    <w:rsid w:val="007D4AE3"/>
    <w:rsid w:val="007D4DD9"/>
    <w:rsid w:val="007E3B4D"/>
    <w:rsid w:val="007E7A4E"/>
    <w:rsid w:val="007F0F2E"/>
    <w:rsid w:val="007F5496"/>
    <w:rsid w:val="007F554F"/>
    <w:rsid w:val="00801FB7"/>
    <w:rsid w:val="00811427"/>
    <w:rsid w:val="00816D21"/>
    <w:rsid w:val="00817659"/>
    <w:rsid w:val="008276F0"/>
    <w:rsid w:val="00843396"/>
    <w:rsid w:val="00850727"/>
    <w:rsid w:val="00854B8C"/>
    <w:rsid w:val="00855D91"/>
    <w:rsid w:val="00860649"/>
    <w:rsid w:val="00862E3E"/>
    <w:rsid w:val="008644CA"/>
    <w:rsid w:val="00871543"/>
    <w:rsid w:val="00871692"/>
    <w:rsid w:val="008838D2"/>
    <w:rsid w:val="008845D7"/>
    <w:rsid w:val="00894653"/>
    <w:rsid w:val="008A5637"/>
    <w:rsid w:val="008B3247"/>
    <w:rsid w:val="008B6697"/>
    <w:rsid w:val="008C1878"/>
    <w:rsid w:val="008D627B"/>
    <w:rsid w:val="008E050F"/>
    <w:rsid w:val="008E4247"/>
    <w:rsid w:val="008E57AA"/>
    <w:rsid w:val="008F5EE4"/>
    <w:rsid w:val="008F6159"/>
    <w:rsid w:val="008F723B"/>
    <w:rsid w:val="00904ACD"/>
    <w:rsid w:val="00912844"/>
    <w:rsid w:val="00922BB4"/>
    <w:rsid w:val="009400BC"/>
    <w:rsid w:val="00947C0E"/>
    <w:rsid w:val="00950881"/>
    <w:rsid w:val="0095707F"/>
    <w:rsid w:val="009601FF"/>
    <w:rsid w:val="009731B3"/>
    <w:rsid w:val="0097352B"/>
    <w:rsid w:val="00973906"/>
    <w:rsid w:val="00976BE6"/>
    <w:rsid w:val="00981142"/>
    <w:rsid w:val="0098125C"/>
    <w:rsid w:val="0098782E"/>
    <w:rsid w:val="00993F6C"/>
    <w:rsid w:val="00994D3F"/>
    <w:rsid w:val="00995C83"/>
    <w:rsid w:val="009C03EA"/>
    <w:rsid w:val="009C2229"/>
    <w:rsid w:val="009C3BA0"/>
    <w:rsid w:val="009C3D05"/>
    <w:rsid w:val="009C43EC"/>
    <w:rsid w:val="009D275D"/>
    <w:rsid w:val="009D434A"/>
    <w:rsid w:val="009D44DB"/>
    <w:rsid w:val="009E2D6A"/>
    <w:rsid w:val="009E309B"/>
    <w:rsid w:val="009E7930"/>
    <w:rsid w:val="009F0B29"/>
    <w:rsid w:val="009F539B"/>
    <w:rsid w:val="009F69B7"/>
    <w:rsid w:val="00A3081A"/>
    <w:rsid w:val="00A33725"/>
    <w:rsid w:val="00A37796"/>
    <w:rsid w:val="00A40C0C"/>
    <w:rsid w:val="00A414D9"/>
    <w:rsid w:val="00A41F75"/>
    <w:rsid w:val="00A50C0A"/>
    <w:rsid w:val="00A51003"/>
    <w:rsid w:val="00A54577"/>
    <w:rsid w:val="00A567C6"/>
    <w:rsid w:val="00A6092E"/>
    <w:rsid w:val="00A67EAE"/>
    <w:rsid w:val="00A67F7E"/>
    <w:rsid w:val="00A73DEB"/>
    <w:rsid w:val="00A74B62"/>
    <w:rsid w:val="00A80627"/>
    <w:rsid w:val="00A83549"/>
    <w:rsid w:val="00A84D5E"/>
    <w:rsid w:val="00A87416"/>
    <w:rsid w:val="00A95C18"/>
    <w:rsid w:val="00AA6E08"/>
    <w:rsid w:val="00AB3291"/>
    <w:rsid w:val="00AB3A30"/>
    <w:rsid w:val="00AC2070"/>
    <w:rsid w:val="00AC62B3"/>
    <w:rsid w:val="00AD73C6"/>
    <w:rsid w:val="00AE039E"/>
    <w:rsid w:val="00AE2F91"/>
    <w:rsid w:val="00AE493C"/>
    <w:rsid w:val="00AF1CBD"/>
    <w:rsid w:val="00AF76F6"/>
    <w:rsid w:val="00B01844"/>
    <w:rsid w:val="00B04664"/>
    <w:rsid w:val="00B05B5E"/>
    <w:rsid w:val="00B11F79"/>
    <w:rsid w:val="00B125E6"/>
    <w:rsid w:val="00B13341"/>
    <w:rsid w:val="00B168AD"/>
    <w:rsid w:val="00B20AE4"/>
    <w:rsid w:val="00B2181E"/>
    <w:rsid w:val="00B23ED0"/>
    <w:rsid w:val="00B24C24"/>
    <w:rsid w:val="00B4246B"/>
    <w:rsid w:val="00B42D37"/>
    <w:rsid w:val="00B57A71"/>
    <w:rsid w:val="00B6449E"/>
    <w:rsid w:val="00B64CDC"/>
    <w:rsid w:val="00B8146E"/>
    <w:rsid w:val="00B91029"/>
    <w:rsid w:val="00B92024"/>
    <w:rsid w:val="00BA362D"/>
    <w:rsid w:val="00BA5C43"/>
    <w:rsid w:val="00BC67A9"/>
    <w:rsid w:val="00BC7C7D"/>
    <w:rsid w:val="00BD0C91"/>
    <w:rsid w:val="00BD7E07"/>
    <w:rsid w:val="00BE0CDA"/>
    <w:rsid w:val="00BE1BB7"/>
    <w:rsid w:val="00BF5C6C"/>
    <w:rsid w:val="00C03E05"/>
    <w:rsid w:val="00C101B7"/>
    <w:rsid w:val="00C114E5"/>
    <w:rsid w:val="00C26546"/>
    <w:rsid w:val="00C35691"/>
    <w:rsid w:val="00C4426B"/>
    <w:rsid w:val="00C520E4"/>
    <w:rsid w:val="00C81A74"/>
    <w:rsid w:val="00C8770F"/>
    <w:rsid w:val="00C90A87"/>
    <w:rsid w:val="00C91436"/>
    <w:rsid w:val="00CA0105"/>
    <w:rsid w:val="00CD1614"/>
    <w:rsid w:val="00CD2B87"/>
    <w:rsid w:val="00D04FDF"/>
    <w:rsid w:val="00D20B0C"/>
    <w:rsid w:val="00D212BE"/>
    <w:rsid w:val="00D22EA6"/>
    <w:rsid w:val="00D27CD8"/>
    <w:rsid w:val="00D34CE3"/>
    <w:rsid w:val="00D37B22"/>
    <w:rsid w:val="00D60ACA"/>
    <w:rsid w:val="00D75BEB"/>
    <w:rsid w:val="00D87576"/>
    <w:rsid w:val="00D92F12"/>
    <w:rsid w:val="00DA19AF"/>
    <w:rsid w:val="00DA67AB"/>
    <w:rsid w:val="00DB0438"/>
    <w:rsid w:val="00DB40E6"/>
    <w:rsid w:val="00DC114A"/>
    <w:rsid w:val="00DC410A"/>
    <w:rsid w:val="00DC5B49"/>
    <w:rsid w:val="00DC769D"/>
    <w:rsid w:val="00DD1540"/>
    <w:rsid w:val="00DE51EA"/>
    <w:rsid w:val="00DE6BDD"/>
    <w:rsid w:val="00DF3A75"/>
    <w:rsid w:val="00DF3D0E"/>
    <w:rsid w:val="00E039EB"/>
    <w:rsid w:val="00E03CEF"/>
    <w:rsid w:val="00E050A5"/>
    <w:rsid w:val="00E12CC0"/>
    <w:rsid w:val="00E2172B"/>
    <w:rsid w:val="00E22DF1"/>
    <w:rsid w:val="00E26879"/>
    <w:rsid w:val="00E334B5"/>
    <w:rsid w:val="00E346B7"/>
    <w:rsid w:val="00E5231B"/>
    <w:rsid w:val="00E54DBF"/>
    <w:rsid w:val="00E5510C"/>
    <w:rsid w:val="00E55EF9"/>
    <w:rsid w:val="00E67758"/>
    <w:rsid w:val="00E70315"/>
    <w:rsid w:val="00E834C0"/>
    <w:rsid w:val="00E83518"/>
    <w:rsid w:val="00E839F8"/>
    <w:rsid w:val="00E84068"/>
    <w:rsid w:val="00E93357"/>
    <w:rsid w:val="00E95F66"/>
    <w:rsid w:val="00EA3A2D"/>
    <w:rsid w:val="00EA6350"/>
    <w:rsid w:val="00EB1441"/>
    <w:rsid w:val="00EB5ECC"/>
    <w:rsid w:val="00EC588C"/>
    <w:rsid w:val="00EE5AA0"/>
    <w:rsid w:val="00F072BC"/>
    <w:rsid w:val="00F14EA1"/>
    <w:rsid w:val="00F17AD2"/>
    <w:rsid w:val="00F22058"/>
    <w:rsid w:val="00F2746A"/>
    <w:rsid w:val="00F31A17"/>
    <w:rsid w:val="00F37C89"/>
    <w:rsid w:val="00F42DAA"/>
    <w:rsid w:val="00F43604"/>
    <w:rsid w:val="00F4360E"/>
    <w:rsid w:val="00F50D65"/>
    <w:rsid w:val="00F51F05"/>
    <w:rsid w:val="00F54EF0"/>
    <w:rsid w:val="00F747AD"/>
    <w:rsid w:val="00F756EE"/>
    <w:rsid w:val="00F873FB"/>
    <w:rsid w:val="00F944B9"/>
    <w:rsid w:val="00F94DE6"/>
    <w:rsid w:val="00FA248F"/>
    <w:rsid w:val="00FA32C4"/>
    <w:rsid w:val="00FA4460"/>
    <w:rsid w:val="00FB12AB"/>
    <w:rsid w:val="00FB1A15"/>
    <w:rsid w:val="00FB2E75"/>
    <w:rsid w:val="00FB3FC5"/>
    <w:rsid w:val="00FC3314"/>
    <w:rsid w:val="00FD22E6"/>
    <w:rsid w:val="00FD3257"/>
    <w:rsid w:val="00FD5B62"/>
    <w:rsid w:val="00FE124C"/>
    <w:rsid w:val="00FE624B"/>
    <w:rsid w:val="00FE69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footnote text" w:uiPriority="99"/>
    <w:lsdException w:name="header" w:uiPriority="99"/>
    <w:lsdException w:name="table of figures" w:uiPriority="99"/>
    <w:lsdException w:name="footnote reference" w:uiPriority="99"/>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F48AB"/>
    <w:pPr>
      <w:spacing w:after="100"/>
      <w:ind w:firstLine="425"/>
      <w:jc w:val="both"/>
    </w:pPr>
    <w:rPr>
      <w:rFonts w:ascii="Garamond" w:hAnsi="Garamond"/>
      <w:sz w:val="24"/>
      <w:szCs w:val="24"/>
    </w:rPr>
  </w:style>
  <w:style w:type="paragraph" w:styleId="Heading1">
    <w:name w:val="heading 1"/>
    <w:aliases w:val="Chapter title"/>
    <w:next w:val="Normalfirstparagraph"/>
    <w:link w:val="Heading1Char"/>
    <w:qFormat/>
    <w:rsid w:val="00950881"/>
    <w:pPr>
      <w:keepNext/>
      <w:pageBreakBefore/>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qFormat/>
    <w:rsid w:val="00950881"/>
    <w:pPr>
      <w:keepNext/>
      <w:tabs>
        <w:tab w:val="left" w:pos="567"/>
      </w:tabs>
      <w:suppressAutoHyphens/>
      <w:spacing w:before="400" w:after="200"/>
      <w:outlineLvl w:val="1"/>
    </w:pPr>
    <w:rPr>
      <w:rFonts w:ascii="Garamond" w:hAnsi="Garamond"/>
      <w:b/>
      <w:sz w:val="32"/>
      <w:szCs w:val="28"/>
    </w:rPr>
  </w:style>
  <w:style w:type="paragraph" w:styleId="Heading3">
    <w:name w:val="heading 3"/>
    <w:next w:val="Normalfirstparagraph"/>
    <w:qFormat/>
    <w:rsid w:val="00233EB3"/>
    <w:pPr>
      <w:keepNext/>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233EB3"/>
    <w:pPr>
      <w:keepNext/>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rsid w:val="003729D7"/>
    <w:pPr>
      <w:keepNext/>
      <w:ind w:firstLine="0"/>
      <w:outlineLvl w:val="4"/>
    </w:pPr>
  </w:style>
  <w:style w:type="paragraph" w:styleId="Heading6">
    <w:name w:val="heading 6"/>
    <w:basedOn w:val="Normal"/>
    <w:next w:val="Normal"/>
    <w:rsid w:val="00B4246B"/>
    <w:pPr>
      <w:keepNext/>
      <w:ind w:firstLine="0"/>
      <w:outlineLvl w:val="5"/>
    </w:pPr>
  </w:style>
  <w:style w:type="paragraph" w:styleId="Heading7">
    <w:name w:val="heading 7"/>
    <w:basedOn w:val="Normal"/>
    <w:next w:val="Normal"/>
    <w:rsid w:val="00B4246B"/>
    <w:pPr>
      <w:keepNext/>
      <w:ind w:firstLine="0"/>
      <w:outlineLvl w:val="6"/>
    </w:pPr>
  </w:style>
  <w:style w:type="paragraph" w:styleId="Heading8">
    <w:name w:val="heading 8"/>
    <w:basedOn w:val="Normal"/>
    <w:next w:val="Normal"/>
    <w:rsid w:val="00B4246B"/>
    <w:pPr>
      <w:keepNext/>
      <w:ind w:firstLine="0"/>
      <w:outlineLvl w:val="7"/>
    </w:pPr>
  </w:style>
  <w:style w:type="paragraph" w:styleId="Heading9">
    <w:name w:val="heading 9"/>
    <w:basedOn w:val="Normal"/>
    <w:next w:val="Normal"/>
    <w:rsid w:val="00B4246B"/>
    <w:pPr>
      <w:ind w:firstLine="0"/>
      <w:outlineLvl w:val="8"/>
    </w:pPr>
    <w:rPr>
      <w:snapToGrid w:val="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link w:val="FootnoteTextChar"/>
    <w:uiPriority w:val="99"/>
    <w:semiHidden/>
    <w:rsid w:val="00817659"/>
    <w:pPr>
      <w:spacing w:after="0"/>
      <w:ind w:firstLine="0"/>
    </w:pPr>
    <w:rPr>
      <w:sz w:val="22"/>
    </w:rPr>
  </w:style>
  <w:style w:type="character" w:styleId="FootnoteReference">
    <w:name w:val="footnote reference"/>
    <w:uiPriority w:val="99"/>
    <w:semiHidden/>
    <w:rsid w:val="006756B3"/>
    <w:rPr>
      <w:rFonts w:ascii="Garamond" w:hAnsi="Garamond"/>
      <w:sz w:val="22"/>
      <w:vertAlign w:val="superscript"/>
    </w:rPr>
  </w:style>
  <w:style w:type="paragraph" w:styleId="Footer">
    <w:name w:val="footer"/>
    <w:basedOn w:val="Normal"/>
    <w:semiHidden/>
    <w:rsid w:val="00704135"/>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rsid w:val="00704135"/>
    <w:pPr>
      <w:ind w:left="720"/>
    </w:pPr>
    <w:rPr>
      <w:sz w:val="20"/>
    </w:rPr>
  </w:style>
  <w:style w:type="paragraph" w:styleId="TOC6">
    <w:name w:val="toc 6"/>
    <w:basedOn w:val="Normal"/>
    <w:next w:val="Normal"/>
    <w:autoRedefine/>
    <w:semiHidden/>
    <w:rsid w:val="00704135"/>
    <w:pPr>
      <w:ind w:left="960"/>
    </w:pPr>
    <w:rPr>
      <w:sz w:val="20"/>
    </w:rPr>
  </w:style>
  <w:style w:type="paragraph" w:styleId="TOC7">
    <w:name w:val="toc 7"/>
    <w:basedOn w:val="Normal"/>
    <w:next w:val="Normal"/>
    <w:autoRedefine/>
    <w:semiHidden/>
    <w:rsid w:val="00704135"/>
    <w:pPr>
      <w:ind w:left="1200"/>
    </w:pPr>
    <w:rPr>
      <w:sz w:val="20"/>
    </w:rPr>
  </w:style>
  <w:style w:type="paragraph" w:styleId="TOC8">
    <w:name w:val="toc 8"/>
    <w:basedOn w:val="Normal"/>
    <w:next w:val="Normal"/>
    <w:autoRedefine/>
    <w:semiHidden/>
    <w:rsid w:val="00704135"/>
    <w:pPr>
      <w:ind w:left="1440"/>
    </w:pPr>
    <w:rPr>
      <w:sz w:val="20"/>
    </w:rPr>
  </w:style>
  <w:style w:type="paragraph" w:styleId="TOC9">
    <w:name w:val="toc 9"/>
    <w:basedOn w:val="Normal"/>
    <w:next w:val="Normal"/>
    <w:autoRedefine/>
    <w:semiHidden/>
    <w:rsid w:val="00704135"/>
    <w:pPr>
      <w:ind w:left="1680"/>
    </w:pPr>
    <w:rPr>
      <w:sz w:val="20"/>
    </w:rPr>
  </w:style>
  <w:style w:type="paragraph" w:styleId="Header">
    <w:name w:val="header"/>
    <w:basedOn w:val="Normal"/>
    <w:link w:val="HeaderChar"/>
    <w:uiPriority w:val="99"/>
    <w:rsid w:val="00704135"/>
    <w:pPr>
      <w:tabs>
        <w:tab w:val="center" w:pos="4320"/>
        <w:tab w:val="right" w:pos="8640"/>
      </w:tabs>
      <w:ind w:firstLine="284"/>
    </w:pPr>
    <w:rPr>
      <w:sz w:val="22"/>
    </w:rPr>
  </w:style>
  <w:style w:type="paragraph" w:styleId="NormalWeb">
    <w:name w:val="Normal (Web)"/>
    <w:basedOn w:val="Normal"/>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rsid w:val="00950881"/>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sid w:val="00704135"/>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sid w:val="00704135"/>
    <w:rPr>
      <w:rFonts w:ascii="Tahoma" w:hAnsi="Tahoma" w:cs="Tahoma"/>
      <w:sz w:val="16"/>
      <w:szCs w:val="16"/>
    </w:rPr>
  </w:style>
  <w:style w:type="character" w:styleId="CommentReference">
    <w:name w:val="annotation reference"/>
    <w:semiHidden/>
    <w:rsid w:val="00704135"/>
    <w:rPr>
      <w:sz w:val="16"/>
    </w:rPr>
  </w:style>
  <w:style w:type="paragraph" w:styleId="CommentText">
    <w:name w:val="annotation text"/>
    <w:basedOn w:val="Normal"/>
    <w:link w:val="CommentTextChar"/>
    <w:semiHidden/>
    <w:rsid w:val="00704135"/>
    <w:pPr>
      <w:ind w:firstLine="0"/>
    </w:pPr>
    <w:rPr>
      <w:sz w:val="20"/>
    </w:rPr>
  </w:style>
  <w:style w:type="paragraph" w:customStyle="1" w:styleId="bullet">
    <w:name w:val="bullet"/>
    <w:basedOn w:val="Normal"/>
    <w:rsid w:val="00337996"/>
    <w:pPr>
      <w:numPr>
        <w:numId w:val="2"/>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aliases w:val="Chapter title Char"/>
    <w:link w:val="Heading1"/>
    <w:rsid w:val="00950881"/>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13"/>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5B1B65"/>
    <w:pPr>
      <w:spacing w:before="100"/>
      <w:ind w:left="425" w:firstLine="0"/>
    </w:pPr>
    <w:rPr>
      <w:sz w:val="23"/>
      <w:szCs w:val="22"/>
    </w:rPr>
  </w:style>
  <w:style w:type="character" w:customStyle="1" w:styleId="QuoteChar">
    <w:name w:val="Quote Char"/>
    <w:link w:val="Quote"/>
    <w:uiPriority w:val="29"/>
    <w:rsid w:val="005B1B65"/>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paragraph" w:customStyle="1" w:styleId="tabletext0">
    <w:name w:val="table text"/>
    <w:basedOn w:val="Tableheader"/>
    <w:rsid w:val="003D3378"/>
    <w:pPr>
      <w:spacing w:before="0" w:after="0"/>
      <w:jc w:val="left"/>
    </w:pPr>
  </w:style>
  <w:style w:type="character" w:customStyle="1" w:styleId="FootnoteTextChar">
    <w:name w:val="Footnote Text Char"/>
    <w:basedOn w:val="DefaultParagraphFont"/>
    <w:link w:val="FootnoteText"/>
    <w:uiPriority w:val="99"/>
    <w:semiHidden/>
    <w:rsid w:val="00A74B62"/>
    <w:rPr>
      <w:rFonts w:ascii="Garamond" w:hAnsi="Garamond"/>
      <w:sz w:val="22"/>
      <w:szCs w:val="24"/>
    </w:rPr>
  </w:style>
  <w:style w:type="paragraph" w:styleId="Bibliography">
    <w:name w:val="Bibliography"/>
    <w:basedOn w:val="Normal"/>
    <w:next w:val="Normal"/>
    <w:uiPriority w:val="37"/>
    <w:unhideWhenUsed/>
    <w:rsid w:val="001563B8"/>
  </w:style>
  <w:style w:type="character" w:customStyle="1" w:styleId="CommentTextChar">
    <w:name w:val="Comment Text Char"/>
    <w:link w:val="CommentText"/>
    <w:semiHidden/>
    <w:rsid w:val="00A73DEB"/>
    <w:rPr>
      <w:rFonts w:ascii="Garamond" w:hAnsi="Garamond"/>
      <w:szCs w:val="24"/>
    </w:rPr>
  </w:style>
  <w:style w:type="paragraph" w:customStyle="1" w:styleId="tablesourcenote0">
    <w:name w:val="table source/note"/>
    <w:basedOn w:val="Normal"/>
    <w:rsid w:val="001E1EFE"/>
    <w:pPr>
      <w:suppressAutoHyphens/>
      <w:spacing w:after="60"/>
      <w:ind w:firstLine="0"/>
      <w:jc w:val="left"/>
    </w:pPr>
    <w:rPr>
      <w:rFonts w:ascii="Arial" w:hAnsi="Arial"/>
      <w:sz w:val="16"/>
      <w:szCs w:val="16"/>
    </w:rPr>
  </w:style>
  <w:style w:type="paragraph" w:customStyle="1" w:styleId="Figuretitle">
    <w:name w:val="Figure title"/>
    <w:basedOn w:val="Normal"/>
    <w:rsid w:val="001E1EFE"/>
    <w:pPr>
      <w:suppressAutoHyphens/>
      <w:spacing w:after="200"/>
      <w:ind w:firstLine="0"/>
      <w:jc w:val="center"/>
    </w:pPr>
    <w:rPr>
      <w:rFonts w:ascii="Arial" w:hAnsi="Arial" w:cs="Arial"/>
      <w:b/>
      <w:sz w:val="18"/>
    </w:rPr>
  </w:style>
  <w:style w:type="paragraph" w:customStyle="1" w:styleId="tabletitle">
    <w:name w:val="table title"/>
    <w:basedOn w:val="Normal"/>
    <w:link w:val="tabletitleChar"/>
    <w:rsid w:val="00850727"/>
    <w:pPr>
      <w:suppressAutoHyphens/>
      <w:spacing w:after="200"/>
      <w:ind w:firstLine="0"/>
      <w:jc w:val="center"/>
    </w:pPr>
    <w:rPr>
      <w:rFonts w:ascii="Arial" w:hAnsi="Arial" w:cs="Arial"/>
      <w:b/>
      <w:sz w:val="18"/>
    </w:rPr>
  </w:style>
  <w:style w:type="character" w:customStyle="1" w:styleId="tabletitleChar">
    <w:name w:val="table title Char"/>
    <w:link w:val="tabletitle"/>
    <w:rsid w:val="00850727"/>
    <w:rPr>
      <w:rFonts w:ascii="Arial" w:hAnsi="Arial" w:cs="Arial"/>
      <w:b/>
      <w:sz w:val="18"/>
      <w:szCs w:val="24"/>
    </w:rPr>
  </w:style>
  <w:style w:type="paragraph" w:customStyle="1" w:styleId="Maptitle">
    <w:name w:val="Map title"/>
    <w:basedOn w:val="tabletitle"/>
    <w:link w:val="MaptitleChar"/>
    <w:rsid w:val="004A732C"/>
  </w:style>
  <w:style w:type="character" w:customStyle="1" w:styleId="MaptitleChar">
    <w:name w:val="Map title Char"/>
    <w:basedOn w:val="tabletitleChar"/>
    <w:link w:val="Maptitle"/>
    <w:rsid w:val="004A732C"/>
  </w:style>
  <w:style w:type="character" w:customStyle="1" w:styleId="apple-converted-space">
    <w:name w:val="apple-converted-space"/>
    <w:basedOn w:val="DefaultParagraphFont"/>
    <w:rsid w:val="00947C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8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kemenperin.go.id/direktori-perusahaan?what=Industri&amp;prov=0" TargetMode="External"/><Relationship Id="rId26" Type="http://schemas.openxmlformats.org/officeDocument/2006/relationships/hyperlink" Target="http://www1.pu.go.id/uploads/berita/ppw220905gt.htm" TargetMode="External"/><Relationship Id="rId3" Type="http://schemas.openxmlformats.org/officeDocument/2006/relationships/styles" Target="styles.xml"/><Relationship Id="rId21" Type="http://schemas.openxmlformats.org/officeDocument/2006/relationships/hyperlink" Target="http://www.inilahjabar.com/read/detail/1808672/pembangunan-tol-ciawi-sukabumi-dipercepa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osekling.pu.go.id/database/database/lihatdokumen/37/4-5ff3079753cdd78dffaadb9b56b5de4b25649a86.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4.jpeg"/><Relationship Id="rId29" Type="http://schemas.openxmlformats.org/officeDocument/2006/relationships/hyperlink" Target="http://www.jasamarga.com/en_/layanan-jalan-t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kemenperin.go.id/direktori-perusahaan?what=pertanian&amp;prov=0"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www.kemenperin.go.id/direktori-perusahaan?what=Industri&amp;prov=0" TargetMode="External"/><Relationship Id="rId28" Type="http://schemas.openxmlformats.org/officeDocument/2006/relationships/hyperlink" Target="http://www.jasamarga.com/en_/hubungan-investor.html" TargetMode="External"/><Relationship Id="rId36"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hyperlink" Target="http://www.kemenperin.go.id/direktori-perusahaan?what=pertanian&amp;prov=0" TargetMode="External"/><Relationship Id="rId31" Type="http://schemas.openxmlformats.org/officeDocument/2006/relationships/hyperlink" Target="http://www.inilahjabar.com/read/detail/1808672/pembangunan-tol-ciawi-sukabumi-dipercepa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majalahtopik.co.id/readnews.php?id=420" TargetMode="External"/><Relationship Id="rId27" Type="http://schemas.openxmlformats.org/officeDocument/2006/relationships/hyperlink" Target="http://www.bps.go.id/tnmn_pgn.php?kat=3" TargetMode="External"/><Relationship Id="rId30" Type="http://schemas.openxmlformats.org/officeDocument/2006/relationships/hyperlink" Target="http://www.neraca.co.id/2012/07/04/ruas-ruas-jalan-tol-baru-untuk-buka-konektivita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1.pu.go.id/uploads/berita/ppw220905gt.htm" TargetMode="External"/><Relationship Id="rId3" Type="http://schemas.openxmlformats.org/officeDocument/2006/relationships/hyperlink" Target="http://www.jasamarga.com/en_/hubungan-investor.html" TargetMode="External"/><Relationship Id="rId7" Type="http://schemas.openxmlformats.org/officeDocument/2006/relationships/hyperlink" Target="http://www.inilahjabar.com/read/detail/1808672/pembangunan-tol-ciawi-sukabumi-dipercepat" TargetMode="External"/><Relationship Id="rId2" Type="http://schemas.openxmlformats.org/officeDocument/2006/relationships/hyperlink" Target="http://www.bps.go.id/tnmn_pgn.php?kat=3" TargetMode="External"/><Relationship Id="rId1" Type="http://schemas.openxmlformats.org/officeDocument/2006/relationships/hyperlink" Target="http://majalahtopik.co.id/readnews.php?id=420" TargetMode="External"/><Relationship Id="rId6" Type="http://schemas.openxmlformats.org/officeDocument/2006/relationships/hyperlink" Target="http://www.neraca.co.id/2012/07/04/ruas-ruas-jalan-tol-baru-untuk-buka-konektivitas/" TargetMode="External"/><Relationship Id="rId5" Type="http://schemas.openxmlformats.org/officeDocument/2006/relationships/hyperlink" Target="http://www.jasamarga.com/en_/layanan-jalan-tol/" TargetMode="External"/><Relationship Id="rId4" Type="http://schemas.openxmlformats.org/officeDocument/2006/relationships/hyperlink" Target="http://www.jasamarga.com/en_/layanan-jalan-to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D:\Research%20Paper\Draft%20-%200\Itung2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search%20Paper\Draft%20-%200\Itung2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nl-NL" sz="1400"/>
            </a:pPr>
            <a:r>
              <a:rPr lang="en-US" sz="1400"/>
              <a:t>Domestic Investment Value </a:t>
            </a:r>
          </a:p>
          <a:p>
            <a:pPr>
              <a:defRPr lang="nl-NL" sz="1400"/>
            </a:pPr>
            <a:r>
              <a:rPr lang="en-US" sz="1400"/>
              <a:t>(Trillion Rupiah)</a:t>
            </a:r>
          </a:p>
        </c:rich>
      </c:tx>
    </c:title>
    <c:plotArea>
      <c:layout/>
      <c:lineChart>
        <c:grouping val="standard"/>
        <c:ser>
          <c:idx val="1"/>
          <c:order val="0"/>
          <c:tx>
            <c:strRef>
              <c:f>Sheet1!$C$2</c:f>
              <c:strCache>
                <c:ptCount val="1"/>
                <c:pt idx="0">
                  <c:v>Domestic Investment Value (Trillion Rupiah)</c:v>
                </c:pt>
              </c:strCache>
            </c:strRef>
          </c:tx>
          <c:marker>
            <c:symbol val="none"/>
          </c:marker>
          <c:cat>
            <c:numRef>
              <c:f>Sheet1!$B$3:$B$16</c:f>
              <c:numCache>
                <c:formatCode>General</c:formatCode>
                <c:ptCount val="14"/>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numCache>
            </c:numRef>
          </c:cat>
          <c:val>
            <c:numRef>
              <c:f>Sheet1!$C$3:$C$16</c:f>
              <c:numCache>
                <c:formatCode>General</c:formatCode>
                <c:ptCount val="14"/>
                <c:pt idx="0">
                  <c:v>53.3</c:v>
                </c:pt>
                <c:pt idx="1">
                  <c:v>69.8</c:v>
                </c:pt>
                <c:pt idx="2">
                  <c:v>100.7</c:v>
                </c:pt>
                <c:pt idx="3">
                  <c:v>119.9</c:v>
                </c:pt>
                <c:pt idx="4">
                  <c:v>60.7</c:v>
                </c:pt>
                <c:pt idx="5">
                  <c:v>53.5</c:v>
                </c:pt>
                <c:pt idx="6">
                  <c:v>92.3</c:v>
                </c:pt>
                <c:pt idx="7">
                  <c:v>58.8</c:v>
                </c:pt>
                <c:pt idx="8">
                  <c:v>25.3</c:v>
                </c:pt>
                <c:pt idx="9">
                  <c:v>48.5</c:v>
                </c:pt>
                <c:pt idx="10">
                  <c:v>36.700000000000003</c:v>
                </c:pt>
                <c:pt idx="11">
                  <c:v>50.6</c:v>
                </c:pt>
                <c:pt idx="12">
                  <c:v>162.80000000000001</c:v>
                </c:pt>
                <c:pt idx="13">
                  <c:v>188.9</c:v>
                </c:pt>
              </c:numCache>
            </c:numRef>
          </c:val>
        </c:ser>
        <c:marker val="1"/>
        <c:axId val="182064256"/>
        <c:axId val="182065792"/>
      </c:lineChart>
      <c:catAx>
        <c:axId val="182064256"/>
        <c:scaling>
          <c:orientation val="minMax"/>
        </c:scaling>
        <c:axPos val="b"/>
        <c:numFmt formatCode="General" sourceLinked="1"/>
        <c:tickLblPos val="nextTo"/>
        <c:txPr>
          <a:bodyPr/>
          <a:lstStyle/>
          <a:p>
            <a:pPr>
              <a:defRPr lang="nl-NL"/>
            </a:pPr>
            <a:endParaRPr lang="en-US"/>
          </a:p>
        </c:txPr>
        <c:crossAx val="182065792"/>
        <c:crosses val="autoZero"/>
        <c:auto val="1"/>
        <c:lblAlgn val="ctr"/>
        <c:lblOffset val="100"/>
      </c:catAx>
      <c:valAx>
        <c:axId val="182065792"/>
        <c:scaling>
          <c:orientation val="minMax"/>
        </c:scaling>
        <c:axPos val="l"/>
        <c:majorGridlines/>
        <c:numFmt formatCode="General" sourceLinked="1"/>
        <c:tickLblPos val="nextTo"/>
        <c:txPr>
          <a:bodyPr/>
          <a:lstStyle/>
          <a:p>
            <a:pPr>
              <a:defRPr lang="nl-NL"/>
            </a:pPr>
            <a:endParaRPr lang="en-US"/>
          </a:p>
        </c:txPr>
        <c:crossAx val="18206425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nl-NL" sz="1400"/>
            </a:pPr>
            <a:r>
              <a:rPr lang="en-US" sz="1400"/>
              <a:t>Foreign Investment Value </a:t>
            </a:r>
          </a:p>
          <a:p>
            <a:pPr>
              <a:defRPr lang="nl-NL" sz="1400"/>
            </a:pPr>
            <a:r>
              <a:rPr lang="en-US" sz="1400"/>
              <a:t>(US $ Billions)</a:t>
            </a:r>
          </a:p>
        </c:rich>
      </c:tx>
    </c:title>
    <c:plotArea>
      <c:layout/>
      <c:lineChart>
        <c:grouping val="standard"/>
        <c:ser>
          <c:idx val="2"/>
          <c:order val="0"/>
          <c:tx>
            <c:strRef>
              <c:f>Sheet1!$D$2</c:f>
              <c:strCache>
                <c:ptCount val="1"/>
                <c:pt idx="0">
                  <c:v>Foreign Investment Value (US $ Billions)</c:v>
                </c:pt>
              </c:strCache>
            </c:strRef>
          </c:tx>
          <c:marker>
            <c:symbol val="none"/>
          </c:marker>
          <c:cat>
            <c:numRef>
              <c:f>Sheet1!$B$3:$B$16</c:f>
              <c:numCache>
                <c:formatCode>General</c:formatCode>
                <c:ptCount val="14"/>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numCache>
            </c:numRef>
          </c:cat>
          <c:val>
            <c:numRef>
              <c:f>Sheet1!$D$3:$D$16</c:f>
              <c:numCache>
                <c:formatCode>General</c:formatCode>
                <c:ptCount val="14"/>
                <c:pt idx="0">
                  <c:v>23.7</c:v>
                </c:pt>
                <c:pt idx="1">
                  <c:v>39.9</c:v>
                </c:pt>
                <c:pt idx="2">
                  <c:v>29.9</c:v>
                </c:pt>
                <c:pt idx="3">
                  <c:v>33.800000000000004</c:v>
                </c:pt>
                <c:pt idx="4">
                  <c:v>13.6</c:v>
                </c:pt>
                <c:pt idx="5">
                  <c:v>10.9</c:v>
                </c:pt>
                <c:pt idx="6">
                  <c:v>15.3</c:v>
                </c:pt>
                <c:pt idx="7">
                  <c:v>15</c:v>
                </c:pt>
                <c:pt idx="8">
                  <c:v>9.8000000000000007</c:v>
                </c:pt>
                <c:pt idx="9">
                  <c:v>13.2</c:v>
                </c:pt>
                <c:pt idx="10">
                  <c:v>10.3</c:v>
                </c:pt>
                <c:pt idx="11">
                  <c:v>13.6</c:v>
                </c:pt>
                <c:pt idx="12">
                  <c:v>15.6</c:v>
                </c:pt>
                <c:pt idx="13">
                  <c:v>40.200000000000003</c:v>
                </c:pt>
              </c:numCache>
            </c:numRef>
          </c:val>
        </c:ser>
        <c:marker val="1"/>
        <c:axId val="165951744"/>
        <c:axId val="170237952"/>
      </c:lineChart>
      <c:catAx>
        <c:axId val="165951744"/>
        <c:scaling>
          <c:orientation val="minMax"/>
        </c:scaling>
        <c:axPos val="b"/>
        <c:numFmt formatCode="General" sourceLinked="1"/>
        <c:tickLblPos val="nextTo"/>
        <c:txPr>
          <a:bodyPr/>
          <a:lstStyle/>
          <a:p>
            <a:pPr>
              <a:defRPr lang="nl-NL"/>
            </a:pPr>
            <a:endParaRPr lang="en-US"/>
          </a:p>
        </c:txPr>
        <c:crossAx val="170237952"/>
        <c:crosses val="autoZero"/>
        <c:auto val="1"/>
        <c:lblAlgn val="ctr"/>
        <c:lblOffset val="100"/>
      </c:catAx>
      <c:valAx>
        <c:axId val="170237952"/>
        <c:scaling>
          <c:orientation val="minMax"/>
        </c:scaling>
        <c:axPos val="l"/>
        <c:majorGridlines/>
        <c:numFmt formatCode="General" sourceLinked="1"/>
        <c:tickLblPos val="nextTo"/>
        <c:txPr>
          <a:bodyPr/>
          <a:lstStyle/>
          <a:p>
            <a:pPr>
              <a:defRPr lang="nl-NL"/>
            </a:pPr>
            <a:endParaRPr lang="en-US"/>
          </a:p>
        </c:txPr>
        <c:crossAx val="16595174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AGI00</b:Tag>
    <b:SourceType>Report</b:SourceType>
    <b:Guid>{E19E83E3-7D7B-42DB-BB1E-5A4522E944B7}</b:Guid>
    <b:LCID>1033</b:LCID>
    <b:Author>
      <b:Author>
        <b:Corporate>AGIL</b:Corporate>
      </b:Author>
    </b:Author>
    <b:Title>Zona Paz Economic Corridor Strategy</b:Title>
    <b:Year>2000</b:Year>
    <b:City>Guatemala</b:City>
    <b:Publisher>Abt Association Inc.</b:Publisher>
    <b:Department>Guatemala-CAP Income Generation Activities Project</b:Department>
    <b:Institution>Abt Association Inc.</b:Institution>
    <b:ThesisType>Concept Paper</b:ThesisType>
    <b:RefOrder>1</b:RefOrder>
  </b:Source>
  <b:Source>
    <b:Tag>Baf10</b:Tag>
    <b:SourceType>JournalArticle</b:SourceType>
    <b:Guid>{2B1DF2CA-48F5-4D9A-9C24-75BAAE9BCFB9}</b:Guid>
    <b:LCID>0</b:LCID>
    <b:Author>
      <b:Author>
        <b:NameList>
          <b:Person>
            <b:Last>Bafoil</b:Last>
            <b:First>Francois</b:First>
          </b:Person>
          <b:Person>
            <b:Last>Ruiwen</b:Last>
            <b:First>Lin</b:First>
          </b:Person>
        </b:NameList>
      </b:Author>
    </b:Author>
    <b:Title>Re-examining the Role of Transport Infrastructure in Trade, Regional Growth and Governance: Comparing the Greater Mekong Subregion (GMS) and Central Eastern Europe (CEE)</b:Title>
    <b:Year>2010</b:Year>
    <b:Pages>73-119</b:Pages>
    <b:JournalName>Journal of Current Southeast Asian Affairs</b:JournalName>
    <b:Volume>29</b:Volume>
    <b:Issue>2</b:Issue>
    <b:RefOrder>2</b:RefOrder>
  </b:Source>
  <b:Source>
    <b:Tag>Har10</b:Tag>
    <b:SourceType>Book</b:SourceType>
    <b:Guid>{B3DC8D01-E710-40E1-B174-DD584121F35C}</b:Guid>
    <b:LCID>0</b:LCID>
    <b:Author>
      <b:Author>
        <b:NameList>
          <b:Person>
            <b:Last>Harvey</b:Last>
            <b:First>David</b:First>
          </b:Person>
        </b:NameList>
      </b:Author>
    </b:Author>
    <b:Title>The Enigma of Capital and the Crises of Capitalism</b:Title>
    <b:Year>2010</b:Year>
    <b:City>New York</b:City>
    <b:Publisher>Oxford University Press</b:Publisher>
    <b:RefOrder>3</b:RefOrder>
  </b:Source>
  <b:Source>
    <b:Tag>Coo11</b:Tag>
    <b:SourceType>Book</b:SourceType>
    <b:Guid>{71CFD88A-0FF1-496B-A409-20F4ABF59C4C}</b:Guid>
    <b:Title>Masterplan for Acceleration and Expansion of Indonesia Economic Development</b:Title>
    <b:Year>2011</b:Year>
    <b:City>Jakarta</b:City>
    <b:Publisher>Coordinating Ministry For Economic Affairs</b:Publisher>
    <b:Author>
      <b:Author>
        <b:Corporate>Coordinating Ministry of Economic Affairs</b:Corporate>
      </b:Author>
      <b:Editor>
        <b:NameList>
          <b:Person>
            <b:Last>Deputy Minister for Coordinating Infrastructure and Regional Development</b:Last>
            <b:First>Coordinating</b:First>
            <b:Middle>Ministry For Economic Affairs</b:Middle>
          </b:Person>
        </b:NameList>
      </b:Editor>
    </b:Author>
    <b:LCID>1033</b:LCID>
    <b:RefOrder>4</b:RefOrder>
  </b:Source>
  <b:Source>
    <b:Tag>Cha03</b:Tag>
    <b:SourceType>JournalArticle</b:SourceType>
    <b:Guid>{528886A5-F621-4529-BB8F-DF1339C837F6}</b:Guid>
    <b:LCID>1033</b:LCID>
    <b:Author>
      <b:Author>
        <b:NameList>
          <b:Person>
            <b:Last>Chapman</b:Last>
            <b:First>David</b:First>
          </b:Person>
          <b:Person>
            <b:Last>Pratt</b:Last>
            <b:First>Dick</b:First>
          </b:Person>
          <b:Person>
            <b:Last>Larkham</b:Last>
            <b:First>Peter</b:First>
          </b:Person>
          <b:Person>
            <b:Last>Dickins</b:Last>
            <b:First>Ian</b:First>
          </b:Person>
        </b:NameList>
      </b:Author>
    </b:Author>
    <b:Title>Concepts and Definition of Corridors: Evidence from England's Midlands</b:Title>
    <b:JournalName>Journal of Transport Geography</b:JournalName>
    <b:Year>2003</b:Year>
    <b:Pages>179-191</b:Pages>
    <b:Volume>11</b:Volume>
    <b:RefOrder>5</b:RefOrder>
  </b:Source>
  <b:Source>
    <b:Tag>Zoo10</b:Tag>
    <b:SourceType>JournalArticle</b:SourceType>
    <b:Guid>{0DB03DCC-2E3A-4429-9348-AF102332F200}</b:Guid>
    <b:LCID>0</b:LCID>
    <b:Author>
      <b:Author>
        <b:NameList>
          <b:Person>
            <b:Last>Zoomers</b:Last>
            <b:First>Annelies</b:First>
          </b:Person>
        </b:NameList>
      </b:Author>
    </b:Author>
    <b:Title>Globalization and the Foreignisation of Space: Seven Processes Driving the Current Global Land Grab</b:Title>
    <b:JournalName>Journal of Peasant Studies</b:JournalName>
    <b:Year>2010</b:Year>
    <b:Pages>429-447</b:Pages>
    <b:RefOrder>6</b:RefOrder>
  </b:Source>
  <b:Source>
    <b:Tag>Fai12</b:Tag>
    <b:SourceType>JournalArticle</b:SourceType>
    <b:Guid>{D565D056-E692-4958-8B10-0B59857A2CAA}</b:Guid>
    <b:LCID>0</b:LCID>
    <b:Author>
      <b:Author>
        <b:NameList>
          <b:Person>
            <b:Last>Fairhead</b:Last>
            <b:First>James</b:First>
          </b:Person>
          <b:Person>
            <b:Last>Leach</b:Last>
            <b:First>Melissa</b:First>
          </b:Person>
          <b:Person>
            <b:Last>Scoones</b:Last>
            <b:First>Ian</b:First>
          </b:Person>
        </b:NameList>
      </b:Author>
    </b:Author>
    <b:Title>Green Grabbing: A New Appropriation of Nature?</b:Title>
    <b:Year>2012</b:Year>
    <b:JournalName>Journal of Peasant Studies</b:JournalName>
    <b:Pages>237-261</b:Pages>
    <b:Volume>39</b:Volume>
    <b:Issue>2</b:Issue>
    <b:RefOrder>7</b:RefOrder>
  </b:Source>
  <b:Source>
    <b:Tag>McC10</b:Tag>
    <b:SourceType>JournalArticle</b:SourceType>
    <b:Guid>{E05E1D45-270B-4EB0-A0EC-F055767059B7}</b:Guid>
    <b:LCID>0</b:LCID>
    <b:Author>
      <b:Author>
        <b:NameList>
          <b:Person>
            <b:Last>McCarthy</b:Last>
            <b:First>John</b:First>
            <b:Middle>F</b:Middle>
          </b:Person>
        </b:NameList>
      </b:Author>
    </b:Author>
    <b:Title>Processes of Inclusion and Adverse Incorporation: Oil Palm and Agrarian Change in Sumatra, Indonesia</b:Title>
    <b:JournalName>The Journal of Peasant Studies</b:JournalName>
    <b:Year>2010</b:Year>
    <b:Pages>821-850</b:Pages>
    <b:Volume>37</b:Volume>
    <b:Issue>4</b:Issue>
    <b:RefOrder>8</b:RefOrder>
  </b:Source>
  <b:Source>
    <b:Tag>Har03</b:Tag>
    <b:SourceType>Book</b:SourceType>
    <b:Guid>{3F5529BB-8072-4CDC-ACED-CEC32B05C6A0}</b:Guid>
    <b:LCID>1033</b:LCID>
    <b:Author>
      <b:Author>
        <b:NameList>
          <b:Person>
            <b:Last>Harvey</b:Last>
            <b:First>David</b:First>
          </b:Person>
        </b:NameList>
      </b:Author>
    </b:Author>
    <b:Title>The New Imperialism</b:Title>
    <b:Year>2003</b:Year>
    <b:City>New York</b:City>
    <b:Publisher>Oxford University Press</b:Publisher>
    <b:RefOrder>9</b:RefOrder>
  </b:Source>
  <b:Source>
    <b:Tag>Tau12</b:Tag>
    <b:SourceType>Misc</b:SourceType>
    <b:Guid>{98D25804-5659-4587-9936-A92B2928A86D}</b:Guid>
    <b:LCID>0</b:LCID>
    <b:Author>
      <b:Author>
        <b:NameList>
          <b:Person>
            <b:Last>Taufik</b:Last>
            <b:First>R</b:First>
            <b:Middle>Kiki</b:Middle>
          </b:Person>
        </b:NameList>
      </b:Author>
    </b:Author>
    <b:Title>Evaluasi terhadap Perpres no. 32/2011 tentang MP3EI dan Kaitannya dengan Rencana Tata Ruang Kalimantan</b:Title>
    <b:Year>2012</b:Year>
    <b:City>Balikpapan</b:City>
    <b:Publisher>Greenpeace</b:Publisher>
    <b:PublicationTitle>Presentation on PNLH XI - Walhi</b:PublicationTitle>
    <b:Month>April</b:Month>
    <b:Day>12-16</b:Day>
    <b:StateProvince>East Kalimantan</b:StateProvince>
    <b:RefOrder>10</b:RefOrder>
  </b:Source>
  <b:Source>
    <b:Tag>Ish09</b:Tag>
    <b:SourceType>JournalArticle</b:SourceType>
    <b:Guid>{7FCEB9D0-1985-4181-8D5B-C9786595A093}</b:Guid>
    <b:LCID>0</b:LCID>
    <b:Author>
      <b:Author>
        <b:NameList>
          <b:Person>
            <b:Last>Ishida</b:Last>
            <b:First>Mashami</b:First>
          </b:Person>
        </b:NameList>
      </b:Author>
    </b:Author>
    <b:Title>Special Economic Zones and  Economic Corridors</b:Title>
    <b:Year>2009</b:Year>
    <b:JournalName>ERIA Discussion Paper Series</b:JournalName>
    <b:Month>June</b:Month>
    <b:RefOrder>11</b:RefOrder>
  </b:Source>
  <b:Source>
    <b:Tag>Bor12</b:Tag>
    <b:SourceType>JournalArticle</b:SourceType>
    <b:Guid>{B359BD3D-8D65-4639-A914-856B53C0D806}</b:Guid>
    <b:Title>Global Land Grabbing and Trajectories of Agrarian Changes: A Preliminary Analysis</b:Title>
    <b:Year>2012</b:Year>
    <b:JournalName>Journal of Agrarian Change</b:JournalName>
    <b:Pages>34-59</b:Pages>
    <b:Author>
      <b:Author>
        <b:NameList>
          <b:Person>
            <b:Last>Borras</b:Last>
            <b:First>Saturnino</b:First>
            <b:Middle>M</b:Middle>
          </b:Person>
          <b:Person>
            <b:Last>Franco</b:Last>
            <b:First>Jennifer</b:First>
            <b:Middle>C</b:Middle>
          </b:Person>
        </b:NameList>
      </b:Author>
    </b:Author>
    <b:Month>January</b:Month>
    <b:Volume>12</b:Volume>
    <b:Issue>1</b:Issue>
    <b:LCID>1033</b:LCID>
    <b:RefOrder>12</b:RefOrder>
  </b:Source>
  <b:Source>
    <b:Tag>TNI12</b:Tag>
    <b:SourceType>Book</b:SourceType>
    <b:Guid>{10D9DCFE-EAC3-41D8-BC81-5E439C910795}</b:Guid>
    <b:LCID>0</b:LCID>
    <b:Author>
      <b:Author>
        <b:Corporate>TNI</b:Corporate>
      </b:Author>
    </b:Author>
    <b:Title>The Global Land Grab: A Primer</b:Title>
    <b:Year>2012</b:Year>
    <b:City>Amsterdam</b:City>
    <b:Publisher>Trans National Institute</b:Publisher>
    <b:Volume>October 2012</b:Volume>
    <b:RefOrder>13</b:RefOrder>
  </b:Source>
  <b:Source>
    <b:Tag>Whi12</b:Tag>
    <b:SourceType>JournalArticle</b:SourceType>
    <b:Guid>{52286531-3721-43CE-87C6-C7418BDBD264}</b:Guid>
    <b:LCID>0</b:LCID>
    <b:Author>
      <b:Author>
        <b:NameList>
          <b:Person>
            <b:Last>White</b:Last>
            <b:First>Ben</b:First>
          </b:Person>
          <b:Person>
            <b:Last>Borras</b:Last>
            <b:First>Saturnino</b:First>
            <b:Middle>M</b:Middle>
          </b:Person>
          <b:Person>
            <b:Last>Hall</b:Last>
            <b:First>Ruth</b:First>
          </b:Person>
          <b:Person>
            <b:Last>Scoones</b:Last>
            <b:First>Ian</b:First>
          </b:Person>
          <b:Person>
            <b:Last>Wolford</b:Last>
            <b:First>Wendy</b:First>
          </b:Person>
        </b:NameList>
      </b:Author>
    </b:Author>
    <b:Title>The New Enclosure: Critical Perspectives on Corporate Land Deals</b:Title>
    <b:JournalName>Journal of Peasant Studies</b:JournalName>
    <b:Year>2012</b:Year>
    <b:Pages>619-647</b:Pages>
    <b:Volume>39</b:Volume>
    <b:Issue>3-4</b:Issue>
    <b:RefOrder>75</b:RefOrder>
  </b:Source>
  <b:Source>
    <b:Tag>Sur12</b:Tag>
    <b:SourceType>Misc</b:SourceType>
    <b:Guid>{485EC768-02BE-41DC-8E17-F5AD1154BFD4}</b:Guid>
    <b:LCID>0</b:LCID>
    <b:Author>
      <b:Author>
        <b:NameList>
          <b:Person>
            <b:Last>Suryana</b:Last>
            <b:First>Erwin</b:First>
          </b:Person>
          <b:Person>
            <b:Last>Bachriadi</b:Last>
            <b:First>Dianto</b:First>
          </b:Person>
        </b:NameList>
      </b:Author>
    </b:Author>
    <b:Title>Land Grabbing and Speculation for Energy Business: A Case Study of ExxonMobil Business Expansion in Bojonegoro of East Java, Indonesia</b:Title>
    <b:Year>2012</b:Year>
    <b:PublicationTitle>Paper presented at the  International Conference on Global Land Grabbing II</b:PublicationTitle>
    <b:Month>October</b:Month>
    <b:Day>17-19</b:Day>
    <b:City>Ithaca</b:City>
    <b:StateProvince>New York</b:StateProvince>
    <b:CountryRegion>USA</b:CountryRegion>
    <b:Publisher> the Land Deals Politics Initiative (LDPI)</b:Publisher>
    <b:RefOrder>74</b:RefOrder>
  </b:Source>
  <b:Source>
    <b:Tag>Lie11</b:Tag>
    <b:SourceType>Misc</b:SourceType>
    <b:Guid>{837DB3DA-E3F1-468C-96FA-C8DFF51C8BC8}</b:Guid>
    <b:LCID>0</b:LCID>
    <b:Author>
      <b:Author>
        <b:NameList>
          <b:Person>
            <b:Last>Lieven</b:Last>
            <b:First>Michael</b:First>
          </b:Person>
        </b:NameList>
      </b:Author>
    </b:Author>
    <b:Title>The Land Question: Special Economic Zones and the Political Economy of Dispossession in India</b:Title>
    <b:PublicationTitle>Paper Presented at the International Conference on Global Land Grabbing</b:PublicationTitle>
    <b:Year>2011</b:Year>
    <b:Month>April</b:Month>
    <b:Day>6-8</b:Day>
    <b:City>Sussex</b:City>
    <b:CountryRegion>United Kingsom</b:CountryRegion>
    <b:Publisher>LDPI</b:Publisher>
    <b:RefOrder>76</b:RefOrder>
  </b:Source>
  <b:Source>
    <b:Tag>Kaa11</b:Tag>
    <b:SourceType>Misc</b:SourceType>
    <b:Guid>{CB87FAB9-B29E-4DE1-96A2-2D88EBD92A22}</b:Guid>
    <b:LCID>0</b:LCID>
    <b:Author>
      <b:Author>
        <b:NameList>
          <b:Person>
            <b:Last>Kaarhus</b:Last>
            <b:First>Randi</b:First>
          </b:Person>
        </b:NameList>
      </b:Author>
    </b:Author>
    <b:Title>Agriculture Growth Corridors Equals Land Grabbing?</b:Title>
    <b:PublicationTitle>Paper presented at the International Conference on Global Land Grabbing</b:PublicationTitle>
    <b:Year>2011</b:Year>
    <b:Month>April</b:Month>
    <b:Day>6-8</b:Day>
    <b:City>Sussex</b:City>
    <b:CountryRegion>United Kingdom</b:CountryRegion>
    <b:Publisher>LDPI</b:Publisher>
    <b:RefOrder>77</b:RefOrder>
  </b:Source>
  <b:Source>
    <b:Tag>Har01</b:Tag>
    <b:SourceType>BookSection</b:SourceType>
    <b:Guid>{903DDAE2-DF19-4E74-AFEF-4377CC26D8F7}</b:Guid>
    <b:LCID>0</b:LCID>
    <b:Author>
      <b:Author>
        <b:NameList>
          <b:Person>
            <b:Last>Harvey</b:Last>
            <b:First>David</b:First>
          </b:Person>
        </b:NameList>
      </b:Author>
      <b:BookAuthor>
        <b:NameList>
          <b:Person>
            <b:Last>Harvey</b:Last>
            <b:First>David</b:First>
          </b:Person>
        </b:NameList>
      </b:BookAuthor>
    </b:Author>
    <b:Title>The Geography of Capitalist Accumulation: A Reconstruction of Marxian Theory</b:Title>
    <b:Year>2001</b:Year>
    <b:City>New York</b:City>
    <b:Publisher>Routledge</b:Publisher>
    <b:BookTitle>Space of Capital: Towards a Critical Geography</b:BookTitle>
    <b:Pages>237-266</b:Pages>
    <b:RefOrder>30</b:RefOrder>
  </b:Source>
  <b:Source>
    <b:Tag>Wor04</b:Tag>
    <b:SourceType>Book</b:SourceType>
    <b:Guid>{B7681608-5E9D-41DB-8382-D2D16F11388D}</b:Guid>
    <b:LCID>0</b:LCID>
    <b:Author>
      <b:Author>
        <b:Corporate>World Bank</b:Corporate>
      </b:Author>
    </b:Author>
    <b:Title>Averting an Infrastructure Crisis: A Framework for Policy and Action</b:Title>
    <b:Year>2004</b:Year>
    <b:City>Jakarta</b:City>
    <b:Publisher>The World Bank</b:Publisher>
    <b:RefOrder>32</b:RefOrder>
  </b:Source>
  <b:Source>
    <b:Tag>Bov04</b:Tag>
    <b:SourceType>JournalArticle</b:SourceType>
    <b:Guid>{9EF012CF-583C-4D28-AAF2-BB3B1903F394}</b:Guid>
    <b:LCID>0</b:LCID>
    <b:Author>
      <b:Author>
        <b:NameList>
          <b:Person>
            <b:Last>Bovaird</b:Last>
            <b:First>Tony</b:First>
          </b:Person>
        </b:NameList>
      </b:Author>
    </b:Author>
    <b:Title>Public–private partnerships: from contested concepts to prevalent practice</b:Title>
    <b:Year>2004</b:Year>
    <b:JournalName>International Review of Administrative Sciences</b:JournalName>
    <b:Pages>199-215</b:Pages>
    <b:Volume>70</b:Volume>
    <b:Issue>2</b:Issue>
    <b:RefOrder>78</b:RefOrder>
  </b:Source>
  <b:Source>
    <b:Tag>Ell92</b:Tag>
    <b:SourceType>BookSection</b:SourceType>
    <b:Guid>{228DE8FD-F581-4A9B-A5CD-8DA0C2663ABB}</b:Guid>
    <b:LCID>0</b:LCID>
    <b:Author>
      <b:Author>
        <b:NameList>
          <b:Person>
            <b:Last>Ellis</b:Last>
            <b:First>Frank</b:First>
          </b:Person>
        </b:NameList>
      </b:Author>
      <b:BookAuthor>
        <b:NameList>
          <b:Person>
            <b:Last>Ellis</b:Last>
            <b:First>Frank</b:First>
          </b:Person>
        </b:NameList>
      </b:BookAuthor>
    </b:Author>
    <b:Title>The Neoclassical Theory of Farm Production</b:Title>
    <b:BookTitle>Peasant Economics: Farm Households and Agrarian Development</b:BookTitle>
    <b:Year>1992</b:Year>
    <b:Pages>17-44</b:Pages>
    <b:City>Cambridge</b:City>
    <b:Publisher>Cambridge University Press</b:Publisher>
    <b:Edition>2nd</b:Edition>
    <b:RefOrder>14</b:RefOrder>
  </b:Source>
  <b:Source>
    <b:Tag>Sti86</b:Tag>
    <b:SourceType>JournalArticle</b:SourceType>
    <b:Guid>{82148028-12FB-412A-A971-D101BD257D63}</b:Guid>
    <b:LCID>0</b:LCID>
    <b:Author>
      <b:Author>
        <b:NameList>
          <b:Person>
            <b:Last>Stiglitz</b:Last>
            <b:First>Joseph</b:First>
            <b:Middle>E</b:Middle>
          </b:Person>
        </b:NameList>
      </b:Author>
    </b:Author>
    <b:Title>The New Development Economics</b:Title>
    <b:Year>1986</b:Year>
    <b:Pages>257-265</b:Pages>
    <b:JournalName>World Development</b:JournalName>
    <b:Volume>14</b:Volume>
    <b:Issue>2</b:Issue>
    <b:RefOrder>15</b:RefOrder>
  </b:Source>
  <b:Source>
    <b:Tag>Gir87</b:Tag>
    <b:SourceType>Book</b:SourceType>
    <b:Guid>{180F674E-9911-46D3-BC0B-6AFAB1D92CC8}</b:Guid>
    <b:LCID>0</b:LCID>
    <b:Author>
      <b:Author>
        <b:NameList>
          <b:Person>
            <b:Last>Girling</b:Last>
            <b:First>John</b:First>
          </b:Person>
        </b:NameList>
      </b:Author>
    </b:Author>
    <b:Title>Capital and Power: Political Economy and Social Transformation</b:Title>
    <b:Year>1987</b:Year>
    <b:City>London, New York and Sydney</b:City>
    <b:Publisher>Croom Helm</b:Publisher>
    <b:RefOrder>16</b:RefOrder>
  </b:Source>
  <b:Source>
    <b:Tag>Har05</b:Tag>
    <b:SourceType>Book</b:SourceType>
    <b:Guid>{48CE203A-27A3-4BFD-B194-F529AE91CB2D}</b:Guid>
    <b:LCID>0</b:LCID>
    <b:Author>
      <b:Author>
        <b:NameList>
          <b:Person>
            <b:Last>Harvey</b:Last>
            <b:First>David</b:First>
          </b:Person>
        </b:NameList>
      </b:Author>
    </b:Author>
    <b:Title>A Brief History of Neoliberalism</b:Title>
    <b:Year>2005</b:Year>
    <b:City>Oxford</b:City>
    <b:Publisher>Oxford University Press</b:Publisher>
    <b:RefOrder>17</b:RefOrder>
  </b:Source>
  <b:Source>
    <b:Tag>Akr09</b:Tag>
    <b:SourceType>BookSection</b:SourceType>
    <b:Guid>{6746321D-5C66-4FE3-8C62-0D0D34ED7267}</b:Guid>
    <b:Title>The political Economy of Land and the Agrarian Question in an Era of Neoliberal Globalization</b:Title>
    <b:BookTitle>Peasant and Globalization: Political Economy, Rural Transformation and the Agrarian Question</b:BookTitle>
    <b:Year>2009</b:Year>
    <b:Pages>214-238</b:Pages>
    <b:City>New York</b:City>
    <b:Publisher>Routledge</b:Publisher>
    <b:Author>
      <b:Author>
        <b:NameList>
          <b:Person>
            <b:Last>Akram-Lodhi</b:Last>
            <b:First>A.</b:First>
            <b:Middle>Haroon</b:Middle>
          </b:Person>
          <b:Person>
            <b:Last>Kay</b:Last>
            <b:First>Cristobal</b:First>
          </b:Person>
          <b:Person>
            <b:Last>Borras</b:Last>
            <b:First>Saturnino</b:First>
            <b:Middle>M.</b:Middle>
          </b:Person>
        </b:NameList>
      </b:Author>
      <b:BookAuthor>
        <b:NameList>
          <b:Person>
            <b:Last>Akram-Lodhi</b:Last>
            <b:First>A.</b:First>
            <b:Middle>Haroon</b:Middle>
          </b:Person>
          <b:Person>
            <b:Last>Cristobal</b:Last>
            <b:First>Kay</b:First>
          </b:Person>
        </b:NameList>
      </b:BookAuthor>
    </b:Author>
    <b:LCID>1033</b:LCID>
    <b:RefOrder>18</b:RefOrder>
  </b:Source>
  <b:Source>
    <b:Tag>Hic07</b:Tag>
    <b:SourceType>ArticleInAPeriodical</b:SourceType>
    <b:Guid>{FD1672E9-A066-4E7F-A529-CD902E432CE7}</b:Guid>
    <b:LCID>1033</b:LCID>
    <b:Author>
      <b:Author>
        <b:NameList>
          <b:Person>
            <b:Last>Hickey</b:Last>
            <b:First>Sam</b:First>
          </b:Person>
          <b:Person>
            <b:Last>du Toit</b:Last>
            <b:First>Andries</b:First>
          </b:Person>
        </b:NameList>
      </b:Author>
    </b:Author>
    <b:Title>Adverse Incorporation, Social Exclusion and Chronic Poverty</b:Title>
    <b:Year>2007</b:Year>
    <b:PeriodicalTitle>CPRC Working Paper</b:PeriodicalTitle>
    <b:Month>June</b:Month>
    <b:Publisher>Vhronic Poverty Research Center</b:Publisher>
    <b:Volume>81</b:Volume>
    <b:RefOrder>19</b:RefOrder>
  </b:Source>
  <b:Source>
    <b:Tag>Iso10</b:Tag>
    <b:SourceType>BookSection</b:SourceType>
    <b:Guid>{E6C4905E-BDBD-4235-AC01-A3CE1168359C}</b:Guid>
    <b:Title>Economics Impacts of the Economic Corridor Development in Mekong Region</b:Title>
    <b:Year>2010</b:Year>
    <b:City>Bangkok</b:City>
    <b:CountryRegion>Thailand</b:CountryRegion>
    <b:Publisher>Bangkok Research Center, IDE-JETRO</b:Publisher>
    <b:BookTitle>Investment Climate of Major City in CLMV Countries</b:BookTitle>
    <b:Pages>329-353</b:Pages>
    <b:Author>
      <b:Author>
        <b:NameList>
          <b:Person>
            <b:Last>Isono</b:Last>
            <b:First>Ikumu</b:First>
          </b:Person>
        </b:NameList>
      </b:Author>
      <b:Editor>
        <b:NameList>
          <b:Person>
            <b:Last>Ishida</b:Last>
            <b:First>Masami</b:First>
          </b:Person>
        </b:NameList>
      </b:Editor>
    </b:Author>
    <b:Volume>BRC Research Report No. 4</b:Volume>
    <b:ChapterNumber>9</b:ChapterNumber>
    <b:LCID>1033</b:LCID>
    <b:RefOrder>20</b:RefOrder>
  </b:Source>
  <b:Source>
    <b:Tag>McE</b:Tag>
    <b:SourceType>DocumentFromInternetSite</b:SourceType>
    <b:Guid>{EEFFCE56-D9B9-467F-B9A6-E582661654CE}</b:Guid>
    <b:LCID>0</b:LCID>
    <b:Author>
      <b:Author>
        <b:NameList>
          <b:Person>
            <b:Last>McEldowney</b:Last>
            <b:First>Malachy</b:First>
          </b:Person>
          <b:Person>
            <b:Last>O'Connel</b:Last>
            <b:First>Derry</b:First>
          </b:Person>
        </b:NameList>
      </b:Author>
    </b:Author>
    <b:Title>A Review of Local Planning Within the Dublin-Belfast Corridor</b:Title>
    <b:PublicationTitle>Significant Experiences</b:PublicationTitle>
    <b:Volume>No. 8</b:Volume>
    <b:Year>N/A</b:Year>
    <b:YearAccessed>2012</b:YearAccessed>
    <b:MonthAccessed>August</b:MonthAccessed>
    <b:DayAccessed>11</b:DayAccessed>
    <b:URL>http://www.qub.ac.uk/ep/research/span/resources/ex8.pdf</b:URL>
    <b:RefOrder>21</b:RefOrder>
  </b:Source>
  <b:Source>
    <b:Tag>Mar</b:Tag>
    <b:SourceType>DocumentFromInternetSite</b:SourceType>
    <b:Guid>{3EB5526E-A97B-46A9-9378-4A3126E325CB}</b:Guid>
    <b:LCID>0</b:LCID>
    <b:Author>
      <b:Author>
        <b:NameList>
          <b:Person>
            <b:Last>Marrian</b:Last>
            <b:First>Brian</b:First>
          </b:Person>
        </b:NameList>
      </b:Author>
    </b:Author>
    <b:Title>Toward A General Theory of Corridor Development in South Africa</b:Title>
    <b:PublicationTitle>Paper prepared for FRANCO/South Asia Supervisor</b:PublicationTitle>
    <b:Year>N/A</b:Year>
    <b:YearAccessed>2012</b:YearAccessed>
    <b:MonthAccessed>August</b:MonthAccessed>
    <b:DayAccessed>11</b:DayAccessed>
    <b:URL>http://repository.up.ac.za/bitstream/handle/2263/8193/5b6.pdf?sequence=1</b:URL>
    <b:RefOrder>22</b:RefOrder>
  </b:Source>
  <b:Source>
    <b:Tag>Ben</b:Tag>
    <b:SourceType>BookSection</b:SourceType>
    <b:Guid>{4375B21A-DE12-4209-B9B9-6CAB30A469AA}</b:Guid>
    <b:LCID>1033</b:LCID>
    <b:Author>
      <b:Author>
        <b:NameList>
          <b:Person>
            <b:Last>Bender</b:Last>
            <b:First>Stephen</b:First>
            <b:Middle>O</b:Middle>
          </b:Person>
        </b:NameList>
      </b:Author>
      <b:BookAuthor>
        <b:NameList>
          <b:Person>
            <b:Last>Edgington</b:Last>
            <b:First>David</b:First>
            <b:Middle>W</b:Middle>
          </b:Person>
          <b:Person>
            <b:Last>Fernandez</b:Last>
            <b:First>Antonio</b:First>
            <b:Middle>L</b:Middle>
          </b:Person>
          <b:Person>
            <b:Last>Hoshino</b:Last>
            <b:First>Claudia</b:First>
          </b:Person>
        </b:NameList>
      </b:BookAuthor>
    </b:Author>
    <b:Title>Trade Corridors: The Emerging Regional Development Planning Unit in Latin America</b:Title>
    <b:Publisher>Greenwoods Press</b:Publisher>
    <b:Year>2001</b:Year>
    <b:City>London</b:City>
    <b:BookTitle>New Regional Development Paradigms: New Regions - Concepts, Issue and Practices</b:BookTitle>
    <b:Pages>39-58</b:Pages>
    <b:RefOrder>23</b:RefOrder>
  </b:Source>
  <b:Source>
    <b:Tag>Nev06</b:Tag>
    <b:SourceType>Misc</b:SourceType>
    <b:Guid>{917CD255-F607-4064-A662-FC76D6B8A0B8}</b:Guid>
    <b:LCID>0</b:LCID>
    <b:Author>
      <b:Author>
        <b:NameList>
          <b:Person>
            <b:Last>Nevin</b:Last>
            <b:First>Tom</b:First>
          </b:Person>
        </b:NameList>
      </b:Author>
    </b:Author>
    <b:Title>Maputo Corridor - A qualified Success</b:Title>
    <b:Year>2006</b:Year>
    <b:PublicationTitle>African Business: Transport and Logistics</b:PublicationTitle>
    <b:Month>December</b:Month>
    <b:RefOrder>24</b:RefOrder>
  </b:Source>
  <b:Source>
    <b:Tag>Sri11</b:Tag>
    <b:SourceType>Misc</b:SourceType>
    <b:Guid>{07E27AA6-C27A-42FC-8324-C93960661A6B}</b:Guid>
    <b:LCID>0</b:LCID>
    <b:Author>
      <b:Author>
        <b:NameList>
          <b:Person>
            <b:Last>Srivastava</b:Last>
            <b:First>Pradeep</b:First>
          </b:Person>
        </b:NameList>
      </b:Author>
    </b:Author>
    <b:Title>Regional Corridors Development in Regional Cooperation</b:Title>
    <b:Year>2011</b:Year>
    <b:City>Manila</b:City>
    <b:Publisher>Asian Development Bank</b:Publisher>
    <b:PublicationTitle>ADB Economic Working Paper Series</b:PublicationTitle>
    <b:Month>May</b:Month>
    <b:CountryRegion>Philippines</b:CountryRegion>
    <b:Volume>258</b:Volume>
    <b:RefOrder>79</b:RefOrder>
  </b:Source>
  <b:Source>
    <b:Tag>Osm02</b:Tag>
    <b:SourceType>Report</b:SourceType>
    <b:Guid>{B511FF38-F21D-40AB-A437-B09C530A9985}</b:Guid>
    <b:LCID>1033</b:LCID>
    <b:Author>
      <b:Author>
        <b:NameList>
          <b:Person>
            <b:Last>Osmani</b:Last>
            <b:First>S</b:First>
            <b:Middle>R</b:Middle>
          </b:Person>
        </b:NameList>
      </b:Author>
    </b:Author>
    <b:Title>Exploring the Employment Nexus: Topics in Employment and Poverty</b:Title>
    <b:Year>2002</b:Year>
    <b:Publisher>UNDP and ILO</b:Publisher>
    <b:City>New York and Geneve</b:City>
    <b:RefOrder>25</b:RefOrder>
  </b:Source>
  <b:Source>
    <b:Tag>McK08</b:Tag>
    <b:SourceType>Misc</b:SourceType>
    <b:Guid>{42A76DF5-9E7C-44BF-A47F-5750AE6F4153}</b:Guid>
    <b:LCID>0</b:LCID>
    <b:Author>
      <b:Author>
        <b:NameList>
          <b:Person>
            <b:Last>McKinley</b:Last>
            <b:First>Terry</b:First>
          </b:Person>
        </b:NameList>
      </b:Author>
    </b:Author>
    <b:Title>How Inclusive is 'Inclusive Growth'?</b:Title>
    <b:PublicationTitle>Development View Point</b:PublicationTitle>
    <b:Year>2008</b:Year>
    <b:Month>June</b:Month>
    <b:Day>6</b:Day>
    <b:Publisher>Center for Development Policy and Research, School of Oriental and African Studies</b:Publisher>
    <b:RefOrder>26</b:RefOrder>
  </b:Source>
  <b:Source>
    <b:Tag>Uni11</b:Tag>
    <b:SourceType>Report</b:SourceType>
    <b:Guid>{416E3378-5193-4439-A967-A8E49CC400A2}</b:Guid>
    <b:LCID>1033</b:LCID>
    <b:Author>
      <b:Author>
        <b:Corporate>United Nation Development Programme</b:Corporate>
      </b:Author>
    </b:Author>
    <b:Title>Beyond Transition: Towards Inclusive Societies</b:Title>
    <b:Year>2011</b:Year>
    <b:City>Bratizlava</b:City>
    <b:Publisher>UNDP - Regional Bureau for Europe and CIS</b:Publisher>
    <b:RefOrder>27</b:RefOrder>
  </b:Source>
  <b:Source>
    <b:Tag>Kum07</b:Tag>
    <b:SourceType>BookSection</b:SourceType>
    <b:Guid>{5600ED59-EBE4-4271-8254-29541E80592F}</b:Guid>
    <b:LCID>0</b:LCID>
    <b:Author>
      <b:Author>
        <b:NameList>
          <b:Person>
            <b:Last>Kumagai</b:Last>
            <b:First>S</b:First>
          </b:Person>
          <b:Person>
            <b:Last>Gokan</b:Last>
            <b:First>T</b:First>
          </b:Person>
          <b:Person>
            <b:Last>Isono</b:Last>
            <b:First>I</b:First>
          </b:Person>
          <b:Person>
            <b:Last>Keola</b:Last>
            <b:First>S</b:First>
          </b:Person>
        </b:NameList>
      </b:Author>
      <b:BookAuthor>
        <b:NameList>
          <b:Person>
            <b:Last>ERIA</b:Last>
          </b:Person>
        </b:NameList>
      </b:BookAuthor>
    </b:Author>
    <b:Title>Geographical Simulation Model for ERIA: Predicting the Long-run Effects of Infrastructure Development Projects in East Asia</b:Title>
    <b:Year>2007</b:Year>
    <b:Publisher>ERIA</b:Publisher>
    <b:BookTitle>Infrastructure Development in East Asia</b:BookTitle>
    <b:Pages>360-393</b:Pages>
    <b:Volume>Research Project Report</b:Volume>
    <b:NumberVolumes>12</b:NumberVolumes>
    <b:RefOrder>28</b:RefOrder>
  </b:Source>
  <b:Source>
    <b:Tag>Fun09</b:Tag>
    <b:SourceType>Book</b:SourceType>
    <b:Guid>{FCEEF613-F1F9-4D96-B25C-C8A1047C5088}</b:Guid>
    <b:LCID>0</b:LCID>
    <b:Author>
      <b:Author>
        <b:NameList>
          <b:Person>
            <b:Last>Fung</b:Last>
            <b:First>K.C.</b:First>
          </b:Person>
          <b:Person>
            <b:Last>Garcia-Herrero</b:Last>
            <b:First>Alicia</b:First>
          </b:Person>
          <b:Person>
            <b:Last>Ng</b:Last>
            <b:First>Francis</b:First>
          </b:Person>
        </b:NameList>
      </b:Author>
    </b:Author>
    <b:Title>Foreign Direct Investment in Cross-Border Infrastructure Project I</b:Title>
    <b:Year>2009</b:Year>
    <b:Publisher>University of California, BBVA, World Bank</b:Publisher>
    <b:Department>Economic Research Department</b:Department>
    <b:Institution>BBVA</b:Institution>
    <b:ThesisType>Working Paper No. 0917</b:ThesisType>
    <b:RefOrder>29</b:RefOrder>
  </b:Source>
  <b:Source>
    <b:Tag>Gri96</b:Tag>
    <b:SourceType>Book</b:SourceType>
    <b:Guid>{C82734BA-7E84-4BA9-B248-C7698144EDED}</b:Guid>
    <b:LCID>1033</b:LCID>
    <b:Author>
      <b:Author>
        <b:NameList>
          <b:Person>
            <b:Last>Grindle</b:Last>
            <b:First>Merilee</b:First>
            <b:Middle>S</b:Middle>
          </b:Person>
        </b:NameList>
      </b:Author>
    </b:Author>
    <b:Title>Challenging the State: Crisis and Innovation in Latin America and Africa</b:Title>
    <b:Year>1996</b:Year>
    <b:City>Cambridge</b:City>
    <b:Publisher>Cambridge University Press</b:Publisher>
    <b:RefOrder>31</b:RefOrder>
  </b:Source>
  <b:Source>
    <b:Tag>Lal04</b:Tag>
    <b:SourceType>ArticleInAPeriodical</b:SourceType>
    <b:Guid>{01828F82-1B73-4718-9491-EF6EEE359887}</b:Guid>
    <b:LCID>1033</b:LCID>
    <b:Author>
      <b:Author>
        <b:NameList>
          <b:Person>
            <b:Last>Lall</b:Last>
            <b:First>Sanjaya</b:First>
          </b:Person>
        </b:NameList>
      </b:Author>
    </b:Author>
    <b:Title>Reinventing Industrial Strategy: The Role of Government Policy in Building Industrial Competitiveness</b:Title>
    <b:Year>2004</b:Year>
    <b:Publisher>United Nations Conference on Trade and Development</b:Publisher>
    <b:JournalName>G-24 Discussion Paper Series</b:JournalName>
    <b:PeriodicalTitle>G-24 Discussion Paper Series</b:PeriodicalTitle>
    <b:Month>April</b:Month>
    <b:Volume>28</b:Volume>
    <b:RefOrder>33</b:RefOrder>
  </b:Source>
  <b:Source>
    <b:Tag>Ros02</b:Tag>
    <b:SourceType>Book</b:SourceType>
    <b:Guid>{55FE0A27-C37F-4C24-AEF3-5BF1E1ED5CB4}</b:Guid>
    <b:LCID>0</b:LCID>
    <b:Author>
      <b:Author>
        <b:NameList>
          <b:Person>
            <b:Last>Rosser</b:Last>
            <b:First>Andrew</b:First>
          </b:Person>
        </b:NameList>
      </b:Author>
    </b:Author>
    <b:Title>The Politics of Economic Lberalization in Indonesia: State, Market and Power</b:Title>
    <b:Year>2002</b:Year>
    <b:City>Surrey</b:City>
    <b:Publisher>Curzon Press</b:Publisher>
    <b:RefOrder>34</b:RefOrder>
  </b:Source>
  <b:Source>
    <b:Tag>Ros04</b:Tag>
    <b:SourceType>Misc</b:SourceType>
    <b:Guid>{432C68E9-D045-4DEE-93B7-35B72285E1A9}</b:Guid>
    <b:LCID>0</b:LCID>
    <b:Author>
      <b:Author>
        <b:NameList>
          <b:Person>
            <b:Last>Rosser</b:Last>
            <b:First>Andrew</b:First>
          </b:Person>
        </b:NameList>
      </b:Author>
    </b:Author>
    <b:Title>Why did Indonesia Overcome the Resource Curse?</b:Title>
    <b:Year>2004</b:Year>
    <b:City>Sussex</b:City>
    <b:Publisher>Institute of Development Studies</b:Publisher>
    <b:PublicationTitle>IDS Working Paper</b:PublicationTitle>
    <b:Month>March</b:Month>
    <b:CountryRegion>England</b:CountryRegion>
    <b:Volume>222</b:Volume>
    <b:RefOrder>44</b:RefOrder>
  </b:Source>
  <b:Source>
    <b:Tag>Rob98</b:Tag>
    <b:SourceType>JournalArticle</b:SourceType>
    <b:Guid>{73484727-E72F-4D47-A72A-15F2846C873F}</b:Guid>
    <b:LCID>0</b:LCID>
    <b:Author>
      <b:Author>
        <b:NameList>
          <b:Person>
            <b:Last>Robison</b:Last>
            <b:First>Richard</b:First>
          </b:Person>
          <b:Person>
            <b:Last>Rosser</b:Last>
            <b:First>Andrew</b:First>
          </b:Person>
        </b:NameList>
      </b:Author>
    </b:Author>
    <b:Title>Costesting Reform: Indonesia's New Order and the IMF</b:Title>
    <b:Year>1998</b:Year>
    <b:JournalName>World Development</b:JournalName>
    <b:Pages>1593-1609</b:Pages>
    <b:Volume>26</b:Volume>
    <b:Issue>8</b:Issue>
    <b:RefOrder>56</b:RefOrder>
  </b:Source>
  <b:Source>
    <b:Tag>Rob04</b:Tag>
    <b:SourceType>Book</b:SourceType>
    <b:Guid>{A7B61FF8-5ED7-41F9-AF5C-4BBDA7E25002}</b:Guid>
    <b:LCID>0</b:LCID>
    <b:Author>
      <b:Author>
        <b:NameList>
          <b:Person>
            <b:Last>Robison</b:Last>
            <b:First>Richard</b:First>
          </b:Person>
          <b:Person>
            <b:Last>Hadiz</b:Last>
            <b:First>Vedi</b:First>
            <b:Middle>R</b:Middle>
          </b:Person>
        </b:NameList>
      </b:Author>
    </b:Author>
    <b:Title>Reorganizing Power in Indonesia: The Politics of Oligarchy in an Age of Markets</b:Title>
    <b:Year>2004</b:Year>
    <b:City>London and New York</b:City>
    <b:Publisher>RoutledgeCurzon</b:Publisher>
    <b:RefOrder>43</b:RefOrder>
  </b:Source>
  <b:Source>
    <b:Tag>Rib03</b:Tag>
    <b:SourceType>JournalArticle</b:SourceType>
    <b:Guid>{27B7B8F3-6CB5-46BF-BD08-514193FF3432}</b:Guid>
    <b:LCID>0</b:LCID>
    <b:Author>
      <b:Author>
        <b:NameList>
          <b:Person>
            <b:Last>Ribot</b:Last>
            <b:First>Jesse</b:First>
            <b:Middle>C</b:Middle>
          </b:Person>
          <b:Person>
            <b:Last>Peluso</b:Last>
            <b:First>Nancy</b:First>
            <b:Middle>Lee</b:Middle>
          </b:Person>
        </b:NameList>
      </b:Author>
    </b:Author>
    <b:Title>A Theory of Access</b:Title>
    <b:Year>2003</b:Year>
    <b:Pages>153-181</b:Pages>
    <b:JournalName>Rural Sociology</b:JournalName>
    <b:Volume>68</b:Volume>
    <b:Issue>2</b:Issue>
    <b:RefOrder>41</b:RefOrder>
  </b:Source>
  <b:Source>
    <b:Tag>Har12</b:Tag>
    <b:SourceType>Book</b:SourceType>
    <b:Guid>{DF9DFB67-18B3-498C-BF8D-80FBE179F9B9}</b:Guid>
    <b:LCID>0</b:LCID>
    <b:Author>
      <b:Author>
        <b:NameList>
          <b:Person>
            <b:Last>Harvey</b:Last>
            <b:First>David</b:First>
          </b:Person>
        </b:NameList>
      </b:Author>
    </b:Author>
    <b:Title>Rebel Cities: From the Right to the City to the Urban Revolution</b:Title>
    <b:Year>2012</b:Year>
    <b:City>London-New York</b:City>
    <b:Publisher>Verso</b:Publisher>
    <b:RefOrder>35</b:RefOrder>
  </b:Source>
  <b:Source>
    <b:Tag>Bor111</b:Tag>
    <b:SourceType>Report</b:SourceType>
    <b:Guid>{9808B827-CE4B-4819-BE77-5445D265A390}</b:Guid>
    <b:LCID>1033</b:LCID>
    <b:Author>
      <b:Author>
        <b:NameList>
          <b:Person>
            <b:Last>Borras</b:Last>
            <b:First>Saturnino</b:First>
            <b:Middle>M</b:Middle>
          </b:Person>
          <b:Person>
            <b:Last>Franco</b:Last>
            <b:First>Jennifer</b:First>
            <b:Middle>C</b:Middle>
          </b:Person>
        </b:NameList>
      </b:Author>
    </b:Author>
    <b:Title>Political Dynamics of Land Grabbing in Souteast Asia: Understanding Europe's Role</b:Title>
    <b:Year>2011</b:Year>
    <b:Publisher>Transnational Institute</b:Publisher>
    <b:City>Amsterdam</b:City>
    <b:RefOrder>36</b:RefOrder>
  </b:Source>
  <b:Source>
    <b:Tag>Bor10</b:Tag>
    <b:SourceType>ArticleInAPeriodical</b:SourceType>
    <b:Guid>{0A57A42D-EAAB-4EE5-A4FF-D9DAAFE53D03}</b:Guid>
    <b:LCID>0</b:LCID>
    <b:Author>
      <b:Author>
        <b:NameList>
          <b:Person>
            <b:Last>Borras</b:Last>
            <b:First>Saturnino</b:First>
            <b:Middle>M</b:Middle>
          </b:Person>
          <b:Person>
            <b:Last>Franco</b:Last>
            <b:First>Jennifer</b:First>
            <b:Middle>C</b:Middle>
          </b:Person>
        </b:NameList>
      </b:Author>
    </b:Author>
    <b:Title>Towards a Broader View of the Polictics of Global Land Grab: Rethinking Land Issues, Reframing Resistance</b:Title>
    <b:Year>2010</b:Year>
    <b:Publisher>ICAS/LDPI/TNI</b:Publisher>
    <b:PeriodicalTitle>ICAS Working Paper</b:PeriodicalTitle>
    <b:Month>May</b:Month>
    <b:Volume>001</b:Volume>
    <b:RefOrder>37</b:RefOrder>
  </b:Source>
  <b:Source>
    <b:Tag>Bor11</b:Tag>
    <b:SourceType>Misc</b:SourceType>
    <b:Guid>{7A554CAF-3B3E-4E3A-BE8A-3D5A2DFF5746}</b:Guid>
    <b:Title>Land Grabbing in Latin America and the Carribean Viewed from Broader International Perspectives</b:Title>
    <b:Year>2011</b:Year>
    <b:City>Santiago</b:City>
    <b:Publisher>FAO Regional Office</b:Publisher>
    <b:Author>
      <b:Author>
        <b:NameList>
          <b:Person>
            <b:Last>Borras</b:Last>
            <b:First>Saturnino</b:First>
            <b:Middle>M</b:Middle>
          </b:Person>
          <b:Person>
            <b:Last>Franco</b:Last>
            <b:First>Jennifer</b:First>
            <b:Middle>C</b:Middle>
          </b:Person>
          <b:Person>
            <b:Last>Kay</b:Last>
            <b:First>Cristobal</b:First>
          </b:Person>
          <b:Person>
            <b:Last>Spoor</b:Last>
            <b:First>Max</b:First>
          </b:Person>
        </b:NameList>
      </b:Author>
    </b:Author>
    <b:CountryRegion>Chile</b:CountryRegion>
    <b:PublicationTitle>A Paper Prepared for and Presented at the Latin America and Carribean Seminar</b:PublicationTitle>
    <b:Month>November</b:Month>
    <b:Day>14-15</b:Day>
    <b:LCID>1033</b:LCID>
    <b:RefOrder>38</b:RefOrder>
  </b:Source>
  <b:Source>
    <b:Tag>Sen00</b:Tag>
    <b:SourceType>Book</b:SourceType>
    <b:Guid>{9054BA8B-E91A-4C9D-8A28-50AF1BAC1AA3}</b:Guid>
    <b:LCID>1033</b:LCID>
    <b:Author>
      <b:Author>
        <b:NameList>
          <b:Person>
            <b:Last>Sen</b:Last>
            <b:First>Amartya</b:First>
          </b:Person>
        </b:NameList>
      </b:Author>
    </b:Author>
    <b:Title>Development as Freedom</b:Title>
    <b:Year>2000</b:Year>
    <b:City>New York</b:City>
    <b:Publisher>Alfred A. Knopf</b:Publisher>
    <b:RefOrder>39</b:RefOrder>
  </b:Source>
  <b:Source>
    <b:Tag>Mol08</b:Tag>
    <b:SourceType>BookSection</b:SourceType>
    <b:Guid>{0C63CC1D-2BEE-45EF-928F-CC432F033A5C}</b:Guid>
    <b:LCID>0</b:LCID>
    <b:Author>
      <b:Author>
        <b:NameList>
          <b:Person>
            <b:Last>Molnar</b:Last>
            <b:First>Margit</b:First>
          </b:Person>
          <b:Person>
            <b:Last>Lesher</b:Last>
            <b:First>Molly</b:First>
          </b:Person>
        </b:NameList>
      </b:Author>
      <b:BookAuthor>
        <b:NameList>
          <b:Person>
            <b:Last>OECD</b:Last>
          </b:Person>
        </b:NameList>
      </b:BookAuthor>
    </b:Author>
    <b:Title>Indonesia</b:Title>
    <b:Year>2008</b:Year>
    <b:Pages>333-372</b:Pages>
    <b:Publisher>Secretary-General of the Organization for Economic Co-operation and Development</b:Publisher>
    <b:BookTitle>Globalization and Emerging Economies: Brazil, Russia, Indonesia, China and South Africa</b:BookTitle>
    <b:RefOrder>42</b:RefOrder>
  </b:Source>
  <b:Source>
    <b:Tag>Ban04</b:Tag>
    <b:SourceType>Book</b:SourceType>
    <b:Guid>{C616A159-1791-40F0-95D3-4525A6D0BD69}</b:Guid>
    <b:LCID>0</b:LCID>
    <b:Author>
      <b:Author>
        <b:Corporate>Bank Indonesia</b:Corporate>
      </b:Author>
    </b:Author>
    <b:Title>Laporan Perekonomian Indonesia 2003</b:Title>
    <b:Year>2004</b:Year>
    <b:City>Jakarta</b:City>
    <b:Publisher>Bank Indonesia</b:Publisher>
    <b:RefOrder>48</b:RefOrder>
  </b:Source>
  <b:Source>
    <b:Tag>Ban08</b:Tag>
    <b:SourceType>Book</b:SourceType>
    <b:Guid>{566258E5-9133-497B-B7F3-8033179153D4}</b:Guid>
    <b:LCID>0</b:LCID>
    <b:Author>
      <b:Author>
        <b:Corporate>Bank Indonesia</b:Corporate>
      </b:Author>
    </b:Author>
    <b:Title>Laporan Perekonomian Indonesia 2007: Menjaga Stabilitas Mendukung Pembangunan Ekonomi Negri</b:Title>
    <b:Year>2008</b:Year>
    <b:City>Jakarta</b:City>
    <b:Publisher>Bank Indonesia</b:Publisher>
    <b:RefOrder>49</b:RefOrder>
  </b:Source>
  <b:Source>
    <b:Tag>Ban99</b:Tag>
    <b:SourceType>Book</b:SourceType>
    <b:Guid>{3891D82E-67CC-4A7B-B08B-9C0A045FB106}</b:Guid>
    <b:LCID>0</b:LCID>
    <b:Author>
      <b:Author>
        <b:Corporate>Bank Indonesia</b:Corporate>
      </b:Author>
    </b:Author>
    <b:Title>Laporan Tahunan 1998-1999 Bank Indonesia</b:Title>
    <b:Year>1999</b:Year>
    <b:City>Jakarta</b:City>
    <b:Publisher>Bank Indonesia</b:Publisher>
    <b:RefOrder>45</b:RefOrder>
  </b:Source>
  <b:Source>
    <b:Tag>Ban01</b:Tag>
    <b:SourceType>Book</b:SourceType>
    <b:Guid>{5AF12F8A-006F-4223-A418-C84ED73CA0A4}</b:Guid>
    <b:LCID>0</b:LCID>
    <b:Author>
      <b:Author>
        <b:Corporate>Bank Indonesia</b:Corporate>
      </b:Author>
    </b:Author>
    <b:Title>Laporan Tahunan Bank Indonesia 2001</b:Title>
    <b:Year>2002</b:Year>
    <b:City>Jakarta</b:City>
    <b:Publisher>Bank Indonesia</b:Publisher>
    <b:RefOrder>46</b:RefOrder>
  </b:Source>
  <b:Source>
    <b:Tag>Ban03</b:Tag>
    <b:SourceType>Book</b:SourceType>
    <b:Guid>{DF42DDE5-3663-470B-908C-BB57C9ED8A2E}</b:Guid>
    <b:LCID>0</b:LCID>
    <b:Author>
      <b:Author>
        <b:Corporate>Bank Indonesia</b:Corporate>
      </b:Author>
    </b:Author>
    <b:Title>Lapora Tahunan Bank Indonesia 2002</b:Title>
    <b:Year>2003</b:Year>
    <b:City>Jakarta</b:City>
    <b:Publisher>Bank Indonesia</b:Publisher>
    <b:RefOrder>47</b:RefOrder>
  </b:Source>
  <b:Source>
    <b:Tag>Nym06</b:Tag>
    <b:SourceType>Book</b:SourceType>
    <b:Guid>{8BAB1736-6627-46B8-B175-3DEF237D72D7}</b:Guid>
    <b:LCID>0</b:LCID>
    <b:Author>
      <b:Author>
        <b:NameList>
          <b:Person>
            <b:Last>Nyman</b:Last>
            <b:First>Mikaela</b:First>
          </b:Person>
        </b:NameList>
      </b:Author>
    </b:Author>
    <b:Title>Democratising in Indonesia: the Challenges of Civil Society in the Era of Reformas1</b:Title>
    <b:Year>2006</b:Year>
    <b:City>Copenhagen</b:City>
    <b:Publisher>NIAS Press</b:Publisher>
    <b:RefOrder>50</b:RefOrder>
  </b:Source>
  <b:Source>
    <b:Tag>Luh01</b:Tag>
    <b:SourceType>Book</b:SourceType>
    <b:Guid>{59B2FEAE-6427-4BA6-AB1C-DA33D0837D3F}</b:Guid>
    <b:LCID>0</b:LCID>
    <b:Author>
      <b:Author>
        <b:NameList>
          <b:Person>
            <b:Last>Luhulima</b:Last>
            <b:First>James</b:First>
          </b:Person>
        </b:NameList>
      </b:Author>
    </b:Author>
    <b:Title>Hari-hari Terpanjang Menjelang Mundurnya Presiden Soeharto</b:Title>
    <b:Year>2001</b:Year>
    <b:City>Jakarta</b:City>
    <b:Publisher>Penerbit Kompas</b:Publisher>
    <b:RefOrder>51</b:RefOrder>
  </b:Source>
  <b:Source>
    <b:Tag>Ari99</b:Tag>
    <b:SourceType>Book</b:SourceType>
    <b:Guid>{E1099B05-C08C-42A9-B7C1-4E3CDBFB045C}</b:Guid>
    <b:LCID>0</b:LCID>
    <b:Author>
      <b:Author>
        <b:NameList>
          <b:Person>
            <b:Last>Aritonang</b:Last>
            <b:First>Diro</b:First>
          </b:Person>
        </b:NameList>
      </b:Author>
    </b:Author>
    <b:Title>Runtuhnya Rezim daripada Soeharto: Rekaman Perjalanan Mahasiswa Indonesia 1998</b:Title>
    <b:Year>1999</b:Year>
    <b:City>Bandung</b:City>
    <b:Publisher>Pustaka Hidayah</b:Publisher>
    <b:RefOrder>53</b:RefOrder>
  </b:Source>
  <b:Source>
    <b:Tag>For98</b:Tag>
    <b:SourceType>Book</b:SourceType>
    <b:Guid>{196EF656-7165-483E-B67E-D5A6D9A0034B}</b:Guid>
    <b:LCID>0</b:LCID>
    <b:Author>
      <b:Author>
        <b:NameList>
          <b:Person>
            <b:Last>Forrester</b:Last>
            <b:First>Geof</b:First>
          </b:Person>
          <b:Person>
            <b:Last>May</b:Last>
            <b:First>R</b:First>
            <b:Middle>J</b:Middle>
          </b:Person>
        </b:NameList>
      </b:Author>
    </b:Author>
    <b:Title>The Fall of Soeharto</b:Title>
    <b:Year>1998</b:Year>
    <b:City>London</b:City>
    <b:Publisher>C. Hurst &amp; Co.</b:Publisher>
    <b:RefOrder>52</b:RefOrder>
  </b:Source>
  <b:Source>
    <b:Tag>Mal02</b:Tag>
    <b:SourceType>Book</b:SourceType>
    <b:Guid>{6D30F8A9-2DB9-4971-9290-661267436081}</b:Guid>
    <b:LCID>0</b:LCID>
    <b:Author>
      <b:Author>
        <b:NameList>
          <b:Person>
            <b:Last>Mallarangeng</b:Last>
            <b:First>Rizal</b:First>
          </b:Person>
        </b:NameList>
      </b:Author>
    </b:Author>
    <b:Title>Mendobrak Sentralisme Ekonomi: Indonesia 1986-1992</b:Title>
    <b:Year>2002</b:Year>
    <b:City>Jakarta</b:City>
    <b:Publisher>Kepustakaan Populer Gramedia</b:Publisher>
    <b:RefOrder>54</b:RefOrder>
  </b:Source>
  <b:Source>
    <b:Tag>Bac10</b:Tag>
    <b:SourceType>Book</b:SourceType>
    <b:Guid>{EC0B64EA-5DBF-4D61-8D47-AC3989DFF430}</b:Guid>
    <b:Title>Between Discourse and Action: Agrarian Reform and Rural Social Movements Post '1965</b:Title>
    <b:Year>2010</b:Year>
    <b:Volume>PhD Dissertation</b:Volume>
    <b:City>Adelaide</b:City>
    <b:Publisher>Flinders University</b:Publisher>
    <b:Edition>PhD Dissertation</b:Edition>
    <b:Author>
      <b:Author>
        <b:NameList>
          <b:Person>
            <b:Last>Bachriadi</b:Last>
            <b:First>Dianto</b:First>
          </b:Person>
        </b:NameList>
      </b:Author>
    </b:Author>
    <b:StateProvince>South Australia</b:StateProvince>
    <b:RefOrder>55</b:RefOrder>
  </b:Source>
  <b:Source>
    <b:Tag>The02</b:Tag>
    <b:SourceType>BookSection</b:SourceType>
    <b:Guid>{6B1313CD-F2B0-4BF5-A0DA-4B0447DDAA5E}</b:Guid>
    <b:LCID>0</b:LCID>
    <b:Author>
      <b:Author>
        <b:NameList>
          <b:Person>
            <b:Last>Thee</b:Last>
            <b:First>Kian</b:First>
            <b:Middle>Wie</b:Middle>
          </b:Person>
        </b:NameList>
      </b:Author>
      <b:Editor>
        <b:NameList>
          <b:Person>
            <b:Last>Dick</b:Last>
            <b:First>Howard</b:First>
          </b:Person>
          <b:Person>
            <b:Last>Houben</b:Last>
            <b:First>Vincent</b:First>
            <b:Middle>J.H.</b:Middle>
          </b:Person>
          <b:Person>
            <b:Last>Lindblad</b:Last>
            <b:First>J.</b:First>
            <b:Middle>Thomas</b:Middle>
          </b:Person>
          <b:Person>
            <b:Last>Thee</b:Last>
            <b:First>Kian</b:First>
            <b:Middle>Wie</b:Middle>
          </b:Person>
        </b:NameList>
      </b:Editor>
    </b:Author>
    <b:Title>The Soeharto Era and After: Stability, Development and Crisis, 1966-2000</b:Title>
    <b:Year>2002</b:Year>
    <b:BookTitle>The Emergence of a National Economy: An Economy History of Indonesia, 1800-2000</b:BookTitle>
    <b:Pages>194-243</b:Pages>
    <b:City>NSW and Honolulu</b:City>
    <b:Publisher>Allen &amp; Unwin and University of Hawai'i Press</b:Publisher>
    <b:RefOrder>57</b:RefOrder>
  </b:Source>
  <b:Source>
    <b:Tag>Bac11</b:Tag>
    <b:SourceType>Book</b:SourceType>
    <b:Guid>{DBE9C4AE-3495-45B5-9583-B4D8D23597A1}</b:Guid>
    <b:LCID>0</b:LCID>
    <b:Author>
      <b:Author>
        <b:NameList>
          <b:Person>
            <b:Last>Bachriadi</b:Last>
            <b:First>Dianto</b:First>
          </b:Person>
          <b:Person>
            <b:Last>Wiradi</b:Last>
            <b:First>Gunawan</b:First>
          </b:Person>
        </b:NameList>
      </b:Author>
    </b:Author>
    <b:Title>Six Decades of Inequality: Land Tenure Problem in Indonesia</b:Title>
    <b:Year>2011</b:Year>
    <b:City>Bandung</b:City>
    <b:Publisher>ARC, KPA, Yayasan Bina Desa</b:Publisher>
    <b:RefOrder>58</b:RefOrder>
  </b:Source>
  <b:Source>
    <b:Tag>Bac12</b:Tag>
    <b:SourceType>Misc</b:SourceType>
    <b:Guid>{AA2D10FF-FF7E-4956-9B0B-7AC04173ED4B}</b:Guid>
    <b:LCID>0</b:LCID>
    <b:Author>
      <b:Author>
        <b:NameList>
          <b:Person>
            <b:Last>Bachriadi</b:Last>
            <b:First>Dianto</b:First>
          </b:Person>
        </b:NameList>
      </b:Author>
    </b:Author>
    <b:Title>L’histoire de la Stucture Agraire et L’inegalite en indonesie</b:Title>
    <b:Year>2012</b:Year>
    <b:City>Bandung</b:City>
    <b:Publisher>Agrarian Resources Center</b:Publisher>
    <b:PublicationTitle>ARC's Presentation</b:PublicationTitle>
    <b:Month>July</b:Month>
    <b:Day>2012</b:Day>
    <b:StateProvince>West Java</b:StateProvince>
    <b:CountryRegion>Indonesia</b:CountryRegion>
    <b:RefOrder>59</b:RefOrder>
  </b:Source>
  <b:Source>
    <b:Tag>BPS11</b:Tag>
    <b:SourceType>Book</b:SourceType>
    <b:Guid>{44E94FA6-BAC3-47F9-8823-1592D399C976}</b:Guid>
    <b:LCID>0</b:LCID>
    <b:Author>
      <b:Author>
        <b:Corporate>BPS</b:Corporate>
      </b:Author>
    </b:Author>
    <b:Title>Laporan Bulanan Data Sosial Ekonomi</b:Title>
    <b:Year>Agustus 2011</b:Year>
    <b:City>Jakarta</b:City>
    <b:Publisher>Badan Pusat Statistik</b:Publisher>
    <b:Edition>15</b:Edition>
    <b:RefOrder>61</b:RefOrder>
  </b:Source>
  <b:Source>
    <b:Tag>BPS10</b:Tag>
    <b:SourceType>Book</b:SourceType>
    <b:Guid>{5D770F40-8115-458A-9C55-18CC4D178E13}</b:Guid>
    <b:LCID>0</b:LCID>
    <b:Author>
      <b:Author>
        <b:Corporate>BPS</b:Corporate>
      </b:Author>
    </b:Author>
    <b:Title>Laporan Bulanan: Data Sosial Ekonomi</b:Title>
    <b:Year>Agustus 2010</b:Year>
    <b:City>Jakarta</b:City>
    <b:Publisher>Badan Pusat Statistik</b:Publisher>
    <b:Edition>3</b:Edition>
    <b:RefOrder>60</b:RefOrder>
  </b:Source>
  <b:Source>
    <b:Tag>Sta10</b:Tag>
    <b:SourceType>Book</b:SourceType>
    <b:Guid>{AED88A42-4098-4539-A58C-911A6325CF6D}</b:Guid>
    <b:LCID>0</b:LCID>
    <b:Author>
      <b:Author>
        <b:Corporate>Statistics Indonesia</b:Corporate>
      </b:Author>
    </b:Author>
    <b:Title>Statisctics of Labor Force Indonesia 2009</b:Title>
    <b:Year>2010</b:Year>
    <b:City>Jakarta</b:City>
    <b:Publisher>BPS-Statistics Indonesia</b:Publisher>
    <b:RefOrder>67</b:RefOrder>
  </b:Source>
  <b:Source>
    <b:Tag>Hal11</b:Tag>
    <b:SourceType>Book</b:SourceType>
    <b:Guid>{8739F645-499D-4823-8CA5-1543E4B8555A}</b:Guid>
    <b:LCID>1033</b:LCID>
    <b:Author>
      <b:Author>
        <b:NameList>
          <b:Person>
            <b:Last>Hall</b:Last>
            <b:First>Derek</b:First>
          </b:Person>
          <b:Person>
            <b:Last>Hirsch</b:Last>
            <b:First>Philip</b:First>
          </b:Person>
          <b:Person>
            <b:Last>Li</b:Last>
            <b:First>Tania</b:First>
            <b:Middle>Murray</b:Middle>
          </b:Person>
        </b:NameList>
      </b:Author>
    </b:Author>
    <b:Title>Powers of Exclusion: Land Dilemmas in Southeast Asia</b:Title>
    <b:Year>2011</b:Year>
    <b:City>Singapore</b:City>
    <b:Publisher>NUS Press</b:Publisher>
    <b:RefOrder>40</b:RefOrder>
  </b:Source>
  <b:Source>
    <b:Tag>Sta07</b:Tag>
    <b:SourceType>Book</b:SourceType>
    <b:Guid>{140969EE-71C9-4A93-81FD-D8C52FF141E2}</b:Guid>
    <b:LCID>0</b:LCID>
    <b:Author>
      <b:Author>
        <b:Corporate>Statistics Indonesia</b:Corporate>
      </b:Author>
    </b:Author>
    <b:Title>Statistics of Labor Force Indonesia 2006</b:Title>
    <b:Year>2007</b:Year>
    <b:City>Jakarta</b:City>
    <b:Publisher>BPS-Statistics Indonesia</b:Publisher>
    <b:RefOrder>64</b:RefOrder>
  </b:Source>
  <b:Source>
    <b:Tag>Sta08</b:Tag>
    <b:SourceType>Book</b:SourceType>
    <b:Guid>{4402E8E0-E322-4219-BD3A-3CE79D2B12B1}</b:Guid>
    <b:LCID>0</b:LCID>
    <b:Author>
      <b:Author>
        <b:Corporate>Statistics Indonesia</b:Corporate>
      </b:Author>
    </b:Author>
    <b:Title>Statistics of Labor Force Indonesia 2007</b:Title>
    <b:Year>2008</b:Year>
    <b:City>Jakarta</b:City>
    <b:Publisher>BPS-Statistics Indonesia</b:Publisher>
    <b:RefOrder>65</b:RefOrder>
  </b:Source>
  <b:Source>
    <b:Tag>Sta09</b:Tag>
    <b:SourceType>Book</b:SourceType>
    <b:Guid>{E3679DF0-7809-46CD-B22F-29EF3AE0E941}</b:Guid>
    <b:LCID>0</b:LCID>
    <b:Author>
      <b:Author>
        <b:Corporate>Statistics Indonesia</b:Corporate>
      </b:Author>
    </b:Author>
    <b:Title>Statistics of Labor Force Indonesia 2008</b:Title>
    <b:Year>2009</b:Year>
    <b:City>Jakarta</b:City>
    <b:Publisher>BPS-Statistics Indonesia</b:Publisher>
    <b:RefOrder>66</b:RefOrder>
  </b:Source>
  <b:Source>
    <b:Tag>Sta11</b:Tag>
    <b:SourceType>Book</b:SourceType>
    <b:Guid>{66B0CC11-9C09-4789-B2E6-B741470E35B7}</b:Guid>
    <b:LCID>0</b:LCID>
    <b:Author>
      <b:Author>
        <b:Corporate>Statistics Indonesia</b:Corporate>
      </b:Author>
    </b:Author>
    <b:Title>Statistics of Labor Force Indonesia 2010</b:Title>
    <b:Year>2011</b:Year>
    <b:City>Jakarta</b:City>
    <b:Publisher>BPS-Statistics Indonesia</b:Publisher>
    <b:RefOrder>68</b:RefOrder>
  </b:Source>
  <b:Source>
    <b:Tag>Boo88</b:Tag>
    <b:SourceType>Book</b:SourceType>
    <b:Guid>{268C2FE5-A96A-456D-B9AA-AB64B8FD3237}</b:Guid>
    <b:LCID>0</b:LCID>
    <b:Author>
      <b:Author>
        <b:NameList>
          <b:Person>
            <b:Last>Booth</b:Last>
            <b:First>Anne</b:First>
          </b:Person>
        </b:NameList>
      </b:Author>
    </b:Author>
    <b:Title>Agricultural Development in Indonesia</b:Title>
    <b:Year>1988</b:Year>
    <b:Publisher>Allen &amp; Unwin</b:Publisher>
    <b:City>Sydney</b:City>
    <b:RefOrder>70</b:RefOrder>
  </b:Source>
  <b:Source>
    <b:Tag>Tim12</b:Tag>
    <b:SourceType>DocumentFromInternetSite</b:SourceType>
    <b:Guid>{0BE59DBD-5A98-43C1-A580-2BFB5BECAEFF}</b:Guid>
    <b:LCID>0</b:LCID>
    <b:Author>
      <b:Author>
        <b:Corporate>Tim Kerja MP3EI Jawa</b:Corporate>
      </b:Author>
    </b:Author>
    <b:Title>MP3EI Info</b:Title>
    <b:Year>2012</b:Year>
    <b:InternetSiteTitle>MP3EI Koridor EKonomi Jawa</b:InternetSiteTitle>
    <b:Month>May</b:Month>
    <b:Day>10</b:Day>
    <b:YearAccessed>2012</b:YearAccessed>
    <b:MonthAccessed>August</b:MonthAccessed>
    <b:DayAccessed>28</b:DayAccessed>
    <b:URL>http://mp3ei.info/downloads/documents/UPDATE%20KORIDOR%20JAWA%2010%20Juni%202012.pdf</b:URL>
    <b:RefOrder>71</b:RefOrder>
  </b:Source>
  <b:Source>
    <b:Tag>Sur11</b:Tag>
    <b:SourceType>Report</b:SourceType>
    <b:Guid>{4F0C794F-CF70-4371-B5CD-F4598F89CB12}</b:Guid>
    <b:LCID>0</b:LCID>
    <b:Author>
      <b:Author>
        <b:NameList>
          <b:Person>
            <b:Last>Suryana</b:Last>
            <b:First>Erwin</b:First>
          </b:Person>
        </b:NameList>
      </b:Author>
    </b:Author>
    <b:Title>Blok Cepu: Studi Konflik Pertanahan di Jawa Pasca Krisis Ekonomi ‘90an</b:Title>
    <b:Year>2011</b:Year>
    <b:Publisher>ARC-JKPP</b:Publisher>
    <b:City>Bandung dan Jakarta</b:City>
    <b:ThesisType>Preliminary Report</b:ThesisType>
    <b:RefOrder>73</b:RefOrder>
  </b:Source>
  <b:Source>
    <b:Tag>Goe08</b:Tag>
    <b:SourceType>Misc</b:SourceType>
    <b:Guid>{567B1ED3-1F58-4928-B132-5873B99D628D}</b:Guid>
    <b:LCID>0</b:LCID>
    <b:Author>
      <b:Author>
        <b:NameList>
          <b:Person>
            <b:Last>Goeltom</b:Last>
            <b:First>Miranda</b:First>
            <b:Middle>S</b:Middle>
          </b:Person>
        </b:NameList>
      </b:Author>
    </b:Author>
    <b:Title>Capital Flows in Indonesia: Challenges and Policy Responses</b:Title>
    <b:PublicationTitle>BIS Paper</b:PublicationTitle>
    <b:Year>2008</b:Year>
    <b:Month>December</b:Month>
    <b:Publisher>Bank for International Settlement</b:Publisher>
    <b:Pages>265-287</b:Pages>
    <b:Volume>44</b:Volume>
    <b:RefOrder>80</b:RefOrder>
  </b:Source>
  <b:Source>
    <b:Tag>Sta12</b:Tag>
    <b:SourceType>Book</b:SourceType>
    <b:Guid>{6F9C75AC-95E4-48FE-A222-E542BA0E3C74}</b:Guid>
    <b:LCID>0</b:LCID>
    <b:Author>
      <b:Author>
        <b:Corporate>Statistik Indonesia</b:Corporate>
      </b:Author>
    </b:Author>
    <b:Title>Statistical Yearbook of Indonesia 2011</b:Title>
    <b:Year>2012</b:Year>
    <b:City>Jakarta</b:City>
    <b:Publisher>BPS - Statistic Indonesia</b:Publisher>
    <b:RefOrder>62</b:RefOrder>
  </b:Source>
  <b:Source>
    <b:Tag>Dep09</b:Tag>
    <b:SourceType>DocumentFromInternetSite</b:SourceType>
    <b:Guid>{F877841A-776C-4DD1-891A-8438A0D5127E}</b:Guid>
    <b:LCID>0</b:LCID>
    <b:Author>
      <b:Author>
        <b:Corporate>Department of Public Work</b:Corporate>
      </b:Author>
    </b:Author>
    <b:Title>Departemen Pekerjaan Umum</b:Title>
    <b:Year>2009</b:Year>
    <b:InternetSiteTitle>Sosial Ekonomi dan Lingkungan</b:InternetSiteTitle>
    <b:YearAccessed>2012</b:YearAccessed>
    <b:MonthAccessed>September</b:MonthAccessed>
    <b:DayAccessed>5</b:DayAccessed>
    <b:URL>http://sosekling.pu.go.id/database/database/lihatdokumen/37/4-5ff3079753cdd78dffaadb9b56b5de4b25649a86.pdf</b:URL>
    <b:RefOrder>63</b:RefOrder>
  </b:Source>
  <b:Source>
    <b:Tag>ARC11</b:Tag>
    <b:SourceType>Misc</b:SourceType>
    <b:Guid>{1D94AA3A-4972-4B62-81EB-2D8248151FA8}</b:Guid>
    <b:LCID>0</b:LCID>
    <b:Author>
      <b:Author>
        <b:Corporate>ARC</b:Corporate>
      </b:Author>
    </b:Author>
    <b:Title>Gini Ratios in Indonesia 2003</b:Title>
    <b:Year>2011</b:Year>
    <b:PublicationTitle>ARC-Fact Sheet</b:PublicationTitle>
    <b:City>Bandung</b:City>
    <b:Publisher>Agrarian Resource Center</b:Publisher>
    <b:Volume>1</b:Volume>
    <b:RefOrder>69</b:RefOrder>
  </b:Source>
  <b:Source>
    <b:Tag>KP312</b:Tag>
    <b:SourceType>DocumentFromInternetSite</b:SourceType>
    <b:Guid>{430C75F7-DBBB-4AB1-8297-FEE3408C9A3E}</b:Guid>
    <b:LCID>0</b:LCID>
    <b:Author>
      <b:Author>
        <b:Corporate>KP3EI Jawa</b:Corporate>
      </b:Author>
    </b:Author>
    <b:Title>Hasil Kunjungan Lapangan Industri Prioritas 2011-2012: Inventarisasi Persoalan dan Kebutuhan Investor</b:Title>
    <b:InternetSiteTitle>MP3EI Koridor Jawa</b:InternetSiteTitle>
    <b:Year>2012</b:Year>
    <b:Month>February</b:Month>
    <b:Day>29</b:Day>
    <b:YearAccessed>2012</b:YearAccessed>
    <b:MonthAccessed>August</b:MonthAccessed>
    <b:DayAccessed>28</b:DayAccessed>
    <b:URL>mp3ei.info</b:URL>
    <b:ProductionCompany>MP3EI Koridor Ekonomi Jawa</b:ProductionCompany>
    <b:Version>Rapat Koordinasi KP3EI</b:Version>
    <b:RefOrder>72</b:RefOrder>
  </b:Source>
</b:Sources>
</file>

<file path=customXml/itemProps1.xml><?xml version="1.0" encoding="utf-8"?>
<ds:datastoreItem xmlns:ds="http://schemas.openxmlformats.org/officeDocument/2006/customXml" ds:itemID="{5C73B2D6-069C-4326-AF6A-64D8396C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52</Pages>
  <Words>20018</Words>
  <Characters>114105</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vt:lpstr>
    </vt:vector>
  </TitlesOfParts>
  <Company>Institute of Social Studies</Company>
  <LinksUpToDate>false</LinksUpToDate>
  <CharactersWithSpaces>133856</CharactersWithSpaces>
  <SharedDoc>false</SharedDoc>
  <HLinks>
    <vt:vector size="114" baseType="variant">
      <vt:variant>
        <vt:i4>1179707</vt:i4>
      </vt:variant>
      <vt:variant>
        <vt:i4>119</vt:i4>
      </vt:variant>
      <vt:variant>
        <vt:i4>0</vt:i4>
      </vt:variant>
      <vt:variant>
        <vt:i4>5</vt:i4>
      </vt:variant>
      <vt:variant>
        <vt:lpwstr/>
      </vt:variant>
      <vt:variant>
        <vt:lpwstr>_Toc267482654</vt:lpwstr>
      </vt:variant>
      <vt:variant>
        <vt:i4>1245243</vt:i4>
      </vt:variant>
      <vt:variant>
        <vt:i4>110</vt:i4>
      </vt:variant>
      <vt:variant>
        <vt:i4>0</vt:i4>
      </vt:variant>
      <vt:variant>
        <vt:i4>5</vt:i4>
      </vt:variant>
      <vt:variant>
        <vt:lpwstr/>
      </vt:variant>
      <vt:variant>
        <vt:lpwstr>_Toc267482648</vt:lpwstr>
      </vt:variant>
      <vt:variant>
        <vt:i4>1245243</vt:i4>
      </vt:variant>
      <vt:variant>
        <vt:i4>101</vt:i4>
      </vt:variant>
      <vt:variant>
        <vt:i4>0</vt:i4>
      </vt:variant>
      <vt:variant>
        <vt:i4>5</vt:i4>
      </vt:variant>
      <vt:variant>
        <vt:lpwstr/>
      </vt:variant>
      <vt:variant>
        <vt:lpwstr>_Toc267482642</vt:lpwstr>
      </vt:variant>
      <vt:variant>
        <vt:i4>1900595</vt:i4>
      </vt:variant>
      <vt:variant>
        <vt:i4>92</vt:i4>
      </vt:variant>
      <vt:variant>
        <vt:i4>0</vt:i4>
      </vt:variant>
      <vt:variant>
        <vt:i4>5</vt:i4>
      </vt:variant>
      <vt:variant>
        <vt:lpwstr/>
      </vt:variant>
      <vt:variant>
        <vt:lpwstr>_Toc272248774</vt:lpwstr>
      </vt:variant>
      <vt:variant>
        <vt:i4>1900595</vt:i4>
      </vt:variant>
      <vt:variant>
        <vt:i4>86</vt:i4>
      </vt:variant>
      <vt:variant>
        <vt:i4>0</vt:i4>
      </vt:variant>
      <vt:variant>
        <vt:i4>5</vt:i4>
      </vt:variant>
      <vt:variant>
        <vt:lpwstr/>
      </vt:variant>
      <vt:variant>
        <vt:lpwstr>_Toc272248773</vt:lpwstr>
      </vt:variant>
      <vt:variant>
        <vt:i4>1900595</vt:i4>
      </vt:variant>
      <vt:variant>
        <vt:i4>80</vt:i4>
      </vt:variant>
      <vt:variant>
        <vt:i4>0</vt:i4>
      </vt:variant>
      <vt:variant>
        <vt:i4>5</vt:i4>
      </vt:variant>
      <vt:variant>
        <vt:lpwstr/>
      </vt:variant>
      <vt:variant>
        <vt:lpwstr>_Toc272248772</vt:lpwstr>
      </vt:variant>
      <vt:variant>
        <vt:i4>1900595</vt:i4>
      </vt:variant>
      <vt:variant>
        <vt:i4>74</vt:i4>
      </vt:variant>
      <vt:variant>
        <vt:i4>0</vt:i4>
      </vt:variant>
      <vt:variant>
        <vt:i4>5</vt:i4>
      </vt:variant>
      <vt:variant>
        <vt:lpwstr/>
      </vt:variant>
      <vt:variant>
        <vt:lpwstr>_Toc272248771</vt:lpwstr>
      </vt:variant>
      <vt:variant>
        <vt:i4>1900595</vt:i4>
      </vt:variant>
      <vt:variant>
        <vt:i4>68</vt:i4>
      </vt:variant>
      <vt:variant>
        <vt:i4>0</vt:i4>
      </vt:variant>
      <vt:variant>
        <vt:i4>5</vt:i4>
      </vt:variant>
      <vt:variant>
        <vt:lpwstr/>
      </vt:variant>
      <vt:variant>
        <vt:lpwstr>_Toc272248770</vt:lpwstr>
      </vt:variant>
      <vt:variant>
        <vt:i4>1835059</vt:i4>
      </vt:variant>
      <vt:variant>
        <vt:i4>62</vt:i4>
      </vt:variant>
      <vt:variant>
        <vt:i4>0</vt:i4>
      </vt:variant>
      <vt:variant>
        <vt:i4>5</vt:i4>
      </vt:variant>
      <vt:variant>
        <vt:lpwstr/>
      </vt:variant>
      <vt:variant>
        <vt:lpwstr>_Toc272248769</vt:lpwstr>
      </vt:variant>
      <vt:variant>
        <vt:i4>1835059</vt:i4>
      </vt:variant>
      <vt:variant>
        <vt:i4>56</vt:i4>
      </vt:variant>
      <vt:variant>
        <vt:i4>0</vt:i4>
      </vt:variant>
      <vt:variant>
        <vt:i4>5</vt:i4>
      </vt:variant>
      <vt:variant>
        <vt:lpwstr/>
      </vt:variant>
      <vt:variant>
        <vt:lpwstr>_Toc272248768</vt:lpwstr>
      </vt:variant>
      <vt:variant>
        <vt:i4>1835059</vt:i4>
      </vt:variant>
      <vt:variant>
        <vt:i4>50</vt:i4>
      </vt:variant>
      <vt:variant>
        <vt:i4>0</vt:i4>
      </vt:variant>
      <vt:variant>
        <vt:i4>5</vt:i4>
      </vt:variant>
      <vt:variant>
        <vt:lpwstr/>
      </vt:variant>
      <vt:variant>
        <vt:lpwstr>_Toc272248767</vt:lpwstr>
      </vt:variant>
      <vt:variant>
        <vt:i4>1835059</vt:i4>
      </vt:variant>
      <vt:variant>
        <vt:i4>44</vt:i4>
      </vt:variant>
      <vt:variant>
        <vt:i4>0</vt:i4>
      </vt:variant>
      <vt:variant>
        <vt:i4>5</vt:i4>
      </vt:variant>
      <vt:variant>
        <vt:lpwstr/>
      </vt:variant>
      <vt:variant>
        <vt:lpwstr>_Toc272248766</vt:lpwstr>
      </vt:variant>
      <vt:variant>
        <vt:i4>1835059</vt:i4>
      </vt:variant>
      <vt:variant>
        <vt:i4>38</vt:i4>
      </vt:variant>
      <vt:variant>
        <vt:i4>0</vt:i4>
      </vt:variant>
      <vt:variant>
        <vt:i4>5</vt:i4>
      </vt:variant>
      <vt:variant>
        <vt:lpwstr/>
      </vt:variant>
      <vt:variant>
        <vt:lpwstr>_Toc272248765</vt:lpwstr>
      </vt:variant>
      <vt:variant>
        <vt:i4>1835059</vt:i4>
      </vt:variant>
      <vt:variant>
        <vt:i4>32</vt:i4>
      </vt:variant>
      <vt:variant>
        <vt:i4>0</vt:i4>
      </vt:variant>
      <vt:variant>
        <vt:i4>5</vt:i4>
      </vt:variant>
      <vt:variant>
        <vt:lpwstr/>
      </vt:variant>
      <vt:variant>
        <vt:lpwstr>_Toc272248764</vt:lpwstr>
      </vt:variant>
      <vt:variant>
        <vt:i4>1835059</vt:i4>
      </vt:variant>
      <vt:variant>
        <vt:i4>26</vt:i4>
      </vt:variant>
      <vt:variant>
        <vt:i4>0</vt:i4>
      </vt:variant>
      <vt:variant>
        <vt:i4>5</vt:i4>
      </vt:variant>
      <vt:variant>
        <vt:lpwstr/>
      </vt:variant>
      <vt:variant>
        <vt:lpwstr>_Toc272248763</vt:lpwstr>
      </vt:variant>
      <vt:variant>
        <vt:i4>1835059</vt:i4>
      </vt:variant>
      <vt:variant>
        <vt:i4>20</vt:i4>
      </vt:variant>
      <vt:variant>
        <vt:i4>0</vt:i4>
      </vt:variant>
      <vt:variant>
        <vt:i4>5</vt:i4>
      </vt:variant>
      <vt:variant>
        <vt:lpwstr/>
      </vt:variant>
      <vt:variant>
        <vt:lpwstr>_Toc272248762</vt:lpwstr>
      </vt:variant>
      <vt:variant>
        <vt:i4>1835059</vt:i4>
      </vt:variant>
      <vt:variant>
        <vt:i4>14</vt:i4>
      </vt:variant>
      <vt:variant>
        <vt:i4>0</vt:i4>
      </vt:variant>
      <vt:variant>
        <vt:i4>5</vt:i4>
      </vt:variant>
      <vt:variant>
        <vt:lpwstr/>
      </vt:variant>
      <vt:variant>
        <vt:lpwstr>_Toc272248761</vt:lpwstr>
      </vt:variant>
      <vt:variant>
        <vt:i4>1835059</vt:i4>
      </vt:variant>
      <vt:variant>
        <vt:i4>8</vt:i4>
      </vt:variant>
      <vt:variant>
        <vt:i4>0</vt:i4>
      </vt:variant>
      <vt:variant>
        <vt:i4>5</vt:i4>
      </vt:variant>
      <vt:variant>
        <vt:lpwstr/>
      </vt:variant>
      <vt:variant>
        <vt:lpwstr>_Toc272248760</vt:lpwstr>
      </vt:variant>
      <vt:variant>
        <vt:i4>2031667</vt:i4>
      </vt:variant>
      <vt:variant>
        <vt:i4>2</vt:i4>
      </vt:variant>
      <vt:variant>
        <vt:i4>0</vt:i4>
      </vt:variant>
      <vt:variant>
        <vt:i4>5</vt:i4>
      </vt:variant>
      <vt:variant>
        <vt:lpwstr/>
      </vt:variant>
      <vt:variant>
        <vt:lpwstr>_Toc272248759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Joy Misa</dc:creator>
  <cp:lastModifiedBy>Satellite</cp:lastModifiedBy>
  <cp:revision>12</cp:revision>
  <cp:lastPrinted>2012-04-25T13:28:00Z</cp:lastPrinted>
  <dcterms:created xsi:type="dcterms:W3CDTF">2012-11-13T02:01:00Z</dcterms:created>
  <dcterms:modified xsi:type="dcterms:W3CDTF">2012-11-14T10:11:00Z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1259139703</vt:i4>
  </property>
</Properties>
</file>