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90D" w:rsidRPr="009D3628" w:rsidRDefault="004A290D" w:rsidP="004A290D">
      <w:pPr>
        <w:pStyle w:val="000"/>
        <w:spacing w:line="276" w:lineRule="auto"/>
        <w:jc w:val="center"/>
        <w:rPr>
          <w:rFonts w:ascii="Calibri" w:hAnsi="Calibri" w:cs="Calibri"/>
          <w:sz w:val="96"/>
          <w:szCs w:val="96"/>
          <w:lang w:val="en-US"/>
        </w:rPr>
      </w:pPr>
      <w:r w:rsidRPr="009D3628">
        <w:rPr>
          <w:rFonts w:ascii="Calibri" w:hAnsi="Calibri" w:cs="Calibri"/>
          <w:sz w:val="96"/>
          <w:szCs w:val="96"/>
          <w:lang w:val="en-US"/>
        </w:rPr>
        <w:t>Intra-Industry Information Transfer:</w:t>
      </w:r>
    </w:p>
    <w:p w:rsidR="004A290D" w:rsidRPr="009D3628" w:rsidRDefault="00D848CB" w:rsidP="004A290D">
      <w:pPr>
        <w:pStyle w:val="000"/>
        <w:spacing w:line="276" w:lineRule="auto"/>
        <w:jc w:val="center"/>
        <w:rPr>
          <w:rFonts w:ascii="Calibri" w:hAnsi="Calibri" w:cs="Calibri"/>
          <w:sz w:val="48"/>
          <w:szCs w:val="48"/>
          <w:lang w:val="en-US"/>
        </w:rPr>
      </w:pPr>
      <w:r w:rsidRPr="009D3628">
        <w:rPr>
          <w:rFonts w:ascii="Calibri" w:hAnsi="Calibri" w:cs="Calibri"/>
          <w:sz w:val="48"/>
          <w:szCs w:val="48"/>
          <w:lang w:val="en-US"/>
        </w:rPr>
        <w:t>The I</w:t>
      </w:r>
      <w:r w:rsidR="004A290D" w:rsidRPr="009D3628">
        <w:rPr>
          <w:rFonts w:ascii="Calibri" w:hAnsi="Calibri" w:cs="Calibri"/>
          <w:sz w:val="48"/>
          <w:szCs w:val="48"/>
          <w:lang w:val="en-US"/>
        </w:rPr>
        <w:t xml:space="preserve">mpact of the </w:t>
      </w:r>
      <w:r w:rsidRPr="009D3628">
        <w:rPr>
          <w:rFonts w:ascii="Calibri" w:hAnsi="Calibri" w:cs="Calibri"/>
          <w:sz w:val="48"/>
          <w:szCs w:val="48"/>
          <w:lang w:val="en-US"/>
        </w:rPr>
        <w:t>I</w:t>
      </w:r>
      <w:r w:rsidR="004A290D" w:rsidRPr="009D3628">
        <w:rPr>
          <w:rFonts w:ascii="Calibri" w:hAnsi="Calibri" w:cs="Calibri"/>
          <w:sz w:val="48"/>
          <w:szCs w:val="48"/>
          <w:lang w:val="en-US"/>
        </w:rPr>
        <w:t>mplementation of IFRS.</w:t>
      </w:r>
    </w:p>
    <w:p w:rsidR="004A290D" w:rsidRPr="005C72CF" w:rsidRDefault="004A290D" w:rsidP="004A290D">
      <w:pPr>
        <w:pStyle w:val="000"/>
        <w:spacing w:line="276" w:lineRule="auto"/>
        <w:jc w:val="center"/>
        <w:rPr>
          <w:rFonts w:ascii="Calibri" w:hAnsi="Calibri" w:cs="Calibri"/>
          <w:sz w:val="48"/>
          <w:szCs w:val="48"/>
          <w:lang w:val="en-US"/>
        </w:rPr>
      </w:pPr>
    </w:p>
    <w:p w:rsidR="004A290D" w:rsidRPr="009D3628" w:rsidRDefault="004A290D" w:rsidP="004A290D">
      <w:pPr>
        <w:pStyle w:val="000"/>
        <w:spacing w:line="276" w:lineRule="auto"/>
        <w:jc w:val="center"/>
        <w:rPr>
          <w:rFonts w:ascii="Calibri" w:hAnsi="Calibri" w:cs="Calibri"/>
          <w:sz w:val="48"/>
          <w:szCs w:val="48"/>
          <w:lang w:val="en-US"/>
        </w:rPr>
      </w:pPr>
    </w:p>
    <w:p w:rsidR="004A290D" w:rsidRPr="009D3628" w:rsidRDefault="004A290D" w:rsidP="004A290D">
      <w:pPr>
        <w:pStyle w:val="000"/>
        <w:spacing w:line="276" w:lineRule="auto"/>
        <w:jc w:val="center"/>
        <w:rPr>
          <w:rFonts w:ascii="Calibri" w:hAnsi="Calibri" w:cs="Calibri"/>
          <w:sz w:val="48"/>
          <w:szCs w:val="48"/>
          <w:lang w:val="en-US"/>
        </w:rPr>
      </w:pPr>
    </w:p>
    <w:p w:rsidR="004A290D" w:rsidRPr="009D3628" w:rsidRDefault="004A290D" w:rsidP="004A290D">
      <w:pPr>
        <w:pStyle w:val="000"/>
        <w:spacing w:line="276" w:lineRule="auto"/>
        <w:jc w:val="center"/>
        <w:rPr>
          <w:rFonts w:ascii="Calibri" w:hAnsi="Calibri" w:cs="Calibri"/>
          <w:sz w:val="48"/>
          <w:szCs w:val="48"/>
          <w:lang w:val="en-US"/>
        </w:rPr>
      </w:pPr>
    </w:p>
    <w:p w:rsidR="004A290D" w:rsidRPr="009D3628" w:rsidRDefault="004A290D" w:rsidP="004A290D">
      <w:pPr>
        <w:pStyle w:val="000"/>
        <w:spacing w:line="276" w:lineRule="auto"/>
        <w:jc w:val="center"/>
        <w:rPr>
          <w:rFonts w:ascii="Calibri" w:hAnsi="Calibri" w:cs="Calibri"/>
          <w:sz w:val="48"/>
          <w:szCs w:val="48"/>
          <w:lang w:val="en-US"/>
        </w:rPr>
      </w:pPr>
    </w:p>
    <w:p w:rsidR="004A290D" w:rsidRPr="009D3628" w:rsidRDefault="004A290D" w:rsidP="004A290D">
      <w:pPr>
        <w:pStyle w:val="000"/>
        <w:spacing w:line="276" w:lineRule="auto"/>
        <w:jc w:val="center"/>
        <w:rPr>
          <w:rFonts w:ascii="Calibri" w:hAnsi="Calibri" w:cs="Calibri"/>
          <w:sz w:val="48"/>
          <w:szCs w:val="48"/>
          <w:lang w:val="en-US"/>
        </w:rPr>
      </w:pPr>
    </w:p>
    <w:p w:rsidR="004A290D" w:rsidRPr="009D3628" w:rsidRDefault="004A290D" w:rsidP="004A290D">
      <w:pPr>
        <w:pStyle w:val="000"/>
        <w:spacing w:line="276" w:lineRule="auto"/>
        <w:jc w:val="center"/>
        <w:rPr>
          <w:rFonts w:ascii="Calibri" w:hAnsi="Calibri" w:cs="Calibri"/>
          <w:sz w:val="48"/>
          <w:szCs w:val="48"/>
          <w:lang w:val="en-US"/>
        </w:rPr>
      </w:pPr>
    </w:p>
    <w:p w:rsidR="004A290D" w:rsidRPr="009D3628" w:rsidRDefault="004A290D" w:rsidP="004A290D">
      <w:pPr>
        <w:pStyle w:val="000"/>
        <w:spacing w:line="276" w:lineRule="auto"/>
        <w:jc w:val="center"/>
        <w:rPr>
          <w:rFonts w:ascii="Calibri" w:hAnsi="Calibri" w:cs="Calibri"/>
          <w:sz w:val="48"/>
          <w:szCs w:val="48"/>
          <w:lang w:val="en-US"/>
        </w:rPr>
      </w:pPr>
    </w:p>
    <w:p w:rsidR="004A290D" w:rsidRPr="009D3628" w:rsidRDefault="004A290D" w:rsidP="004A290D">
      <w:pPr>
        <w:pStyle w:val="000"/>
        <w:spacing w:line="276" w:lineRule="auto"/>
        <w:jc w:val="center"/>
        <w:rPr>
          <w:rFonts w:ascii="Calibri" w:hAnsi="Calibri" w:cs="Calibri"/>
          <w:sz w:val="48"/>
          <w:szCs w:val="48"/>
          <w:lang w:val="en-US"/>
        </w:rPr>
      </w:pPr>
    </w:p>
    <w:p w:rsidR="004A290D" w:rsidRPr="009D3628" w:rsidRDefault="004A290D" w:rsidP="004A290D">
      <w:pPr>
        <w:pStyle w:val="000"/>
        <w:spacing w:line="276" w:lineRule="auto"/>
        <w:jc w:val="center"/>
        <w:rPr>
          <w:rFonts w:ascii="Calibri" w:hAnsi="Calibri" w:cs="Calibri"/>
          <w:sz w:val="48"/>
          <w:szCs w:val="48"/>
          <w:lang w:val="en-US"/>
        </w:rPr>
      </w:pPr>
    </w:p>
    <w:p w:rsidR="004A290D" w:rsidRPr="009D3628" w:rsidRDefault="004A290D" w:rsidP="00CF3243">
      <w:pPr>
        <w:pStyle w:val="000"/>
        <w:spacing w:line="276" w:lineRule="auto"/>
        <w:jc w:val="center"/>
        <w:rPr>
          <w:rFonts w:ascii="Calibri" w:hAnsi="Calibri" w:cs="Calibri"/>
          <w:sz w:val="28"/>
          <w:szCs w:val="28"/>
          <w:lang w:val="en-US"/>
        </w:rPr>
      </w:pPr>
      <w:r w:rsidRPr="009D3628">
        <w:rPr>
          <w:rFonts w:ascii="Calibri" w:hAnsi="Calibri" w:cs="Calibri"/>
          <w:sz w:val="28"/>
          <w:szCs w:val="28"/>
          <w:lang w:val="en-US"/>
        </w:rPr>
        <w:t>Master’s Thesis Accounting, Auditing &amp; Control</w:t>
      </w:r>
    </w:p>
    <w:p w:rsidR="004A290D" w:rsidRPr="009D3628" w:rsidRDefault="004A290D" w:rsidP="00CF3243">
      <w:pPr>
        <w:pStyle w:val="000"/>
        <w:spacing w:line="276" w:lineRule="auto"/>
        <w:jc w:val="center"/>
        <w:rPr>
          <w:rFonts w:ascii="Calibri" w:hAnsi="Calibri" w:cs="Calibri"/>
          <w:sz w:val="28"/>
          <w:szCs w:val="28"/>
          <w:lang w:val="en-US"/>
        </w:rPr>
      </w:pPr>
      <w:r w:rsidRPr="009D3628">
        <w:rPr>
          <w:rFonts w:ascii="Calibri" w:hAnsi="Calibri" w:cs="Calibri"/>
          <w:sz w:val="28"/>
          <w:szCs w:val="28"/>
          <w:lang w:val="en-US"/>
        </w:rPr>
        <w:t>Erasmus School of Economics</w:t>
      </w:r>
    </w:p>
    <w:p w:rsidR="004A290D" w:rsidRPr="009D3628" w:rsidRDefault="007262DF" w:rsidP="004A290D">
      <w:pPr>
        <w:pStyle w:val="000"/>
        <w:spacing w:line="276" w:lineRule="auto"/>
        <w:jc w:val="center"/>
        <w:rPr>
          <w:rFonts w:ascii="Calibri" w:hAnsi="Calibri" w:cs="Calibri"/>
          <w:sz w:val="28"/>
          <w:szCs w:val="28"/>
        </w:rPr>
      </w:pPr>
      <w:r w:rsidRPr="009D3628">
        <w:rPr>
          <w:rFonts w:ascii="Calibri" w:hAnsi="Calibri" w:cs="Calibri"/>
          <w:sz w:val="28"/>
          <w:szCs w:val="28"/>
        </w:rPr>
        <w:t xml:space="preserve">Name: </w:t>
      </w:r>
      <w:r w:rsidR="004A290D" w:rsidRPr="009D3628">
        <w:rPr>
          <w:rFonts w:ascii="Calibri" w:hAnsi="Calibri" w:cs="Calibri"/>
          <w:sz w:val="28"/>
          <w:szCs w:val="28"/>
        </w:rPr>
        <w:t>Nick van Westerop</w:t>
      </w:r>
    </w:p>
    <w:p w:rsidR="00DF69A9" w:rsidRPr="00FB63DB" w:rsidRDefault="007262DF" w:rsidP="00DF69A9">
      <w:pPr>
        <w:pStyle w:val="000"/>
        <w:spacing w:line="276" w:lineRule="auto"/>
        <w:jc w:val="center"/>
        <w:rPr>
          <w:rFonts w:ascii="Calibri" w:hAnsi="Calibri" w:cs="Calibri"/>
          <w:sz w:val="28"/>
          <w:szCs w:val="28"/>
        </w:rPr>
      </w:pPr>
      <w:r w:rsidRPr="00FB63DB">
        <w:rPr>
          <w:rFonts w:ascii="Calibri" w:hAnsi="Calibri" w:cs="Calibri"/>
          <w:sz w:val="28"/>
          <w:szCs w:val="28"/>
        </w:rPr>
        <w:t xml:space="preserve">Student number: </w:t>
      </w:r>
      <w:r w:rsidR="004A290D" w:rsidRPr="00FB63DB">
        <w:rPr>
          <w:rFonts w:ascii="Calibri" w:hAnsi="Calibri" w:cs="Calibri"/>
          <w:sz w:val="28"/>
          <w:szCs w:val="28"/>
        </w:rPr>
        <w:t>311794</w:t>
      </w:r>
    </w:p>
    <w:p w:rsidR="004A290D" w:rsidRDefault="004A290D" w:rsidP="00DF69A9">
      <w:pPr>
        <w:pStyle w:val="000"/>
        <w:spacing w:line="276" w:lineRule="auto"/>
        <w:jc w:val="center"/>
        <w:rPr>
          <w:rFonts w:ascii="Calibri" w:hAnsi="Calibri" w:cs="Calibri"/>
          <w:sz w:val="28"/>
          <w:szCs w:val="28"/>
          <w:lang w:val="en-US"/>
        </w:rPr>
      </w:pPr>
      <w:r w:rsidRPr="009D3628">
        <w:rPr>
          <w:rFonts w:ascii="Calibri" w:hAnsi="Calibri" w:cs="Calibri"/>
          <w:sz w:val="28"/>
          <w:szCs w:val="28"/>
          <w:lang w:val="en-US"/>
        </w:rPr>
        <w:t>Supervisor: C.D. Knoops</w:t>
      </w:r>
    </w:p>
    <w:p w:rsidR="00952D6E" w:rsidRDefault="00952D6E" w:rsidP="00DF69A9">
      <w:pPr>
        <w:pStyle w:val="000"/>
        <w:spacing w:line="276" w:lineRule="auto"/>
        <w:jc w:val="center"/>
        <w:rPr>
          <w:rFonts w:ascii="Calibri" w:hAnsi="Calibri" w:cs="Calibri"/>
          <w:sz w:val="28"/>
          <w:szCs w:val="28"/>
          <w:lang w:val="en-US"/>
        </w:rPr>
      </w:pPr>
    </w:p>
    <w:p w:rsidR="00A94279" w:rsidRDefault="00A94279" w:rsidP="00A94279">
      <w:pPr>
        <w:pStyle w:val="000"/>
        <w:spacing w:line="360" w:lineRule="auto"/>
        <w:rPr>
          <w:rFonts w:ascii="Calibri" w:hAnsi="Calibri" w:cs="Calibri"/>
          <w:b/>
          <w:sz w:val="28"/>
          <w:szCs w:val="28"/>
          <w:lang w:val="en-US"/>
        </w:rPr>
      </w:pPr>
      <w:r>
        <w:rPr>
          <w:rFonts w:ascii="Calibri" w:hAnsi="Calibri" w:cs="Calibri"/>
          <w:b/>
          <w:sz w:val="28"/>
          <w:szCs w:val="28"/>
          <w:lang w:val="en-US"/>
        </w:rPr>
        <w:lastRenderedPageBreak/>
        <w:t>Preface</w:t>
      </w:r>
    </w:p>
    <w:p w:rsidR="00A94279" w:rsidRPr="00A94279" w:rsidRDefault="00A94279" w:rsidP="00A94279">
      <w:pPr>
        <w:pStyle w:val="000"/>
        <w:spacing w:line="360" w:lineRule="auto"/>
        <w:rPr>
          <w:rFonts w:ascii="Calibri" w:hAnsi="Calibri" w:cs="Calibri"/>
          <w:szCs w:val="22"/>
          <w:lang w:val="en-US"/>
        </w:rPr>
      </w:pPr>
      <w:r>
        <w:rPr>
          <w:rFonts w:ascii="Calibri" w:hAnsi="Calibri" w:cs="Calibri"/>
          <w:szCs w:val="22"/>
          <w:lang w:val="en-US"/>
        </w:rPr>
        <w:t>Hereby I proudly present my master’s thesis I have wrote to graduate for the master study Accounting, Auditing and Control. The subject of this master’s thesis is: intra-industry information transfer, and then in special the impact of the implementation of IFRS. I want to thank some people who were of great help to me. First of all</w:t>
      </w:r>
      <w:r w:rsidR="002C6A11">
        <w:rPr>
          <w:rFonts w:ascii="Calibri" w:hAnsi="Calibri" w:cs="Calibri"/>
          <w:szCs w:val="22"/>
          <w:lang w:val="en-US"/>
        </w:rPr>
        <w:t>, a special thanks to my supervisor from the Erasmus University of Rotterdam, Professor C.D. Knoops. Thanks for the helpful feedback and the good communication we had during the last 4 months. It really helped me by finishing my master’s thesis on time. I also want to thank my supervisor at Ernst &amp; Young, Quincy Berry. Thanks to him I have had four fantastic months at the office of Ernst &amp; Young in the Hague were I have worked on my thesis during an internship. The last special thanks are to my parents off course. They have always been proud of what I did</w:t>
      </w:r>
      <w:r w:rsidR="005E157D">
        <w:rPr>
          <w:rFonts w:ascii="Calibri" w:hAnsi="Calibri" w:cs="Calibri"/>
          <w:szCs w:val="22"/>
          <w:lang w:val="en-US"/>
        </w:rPr>
        <w:t xml:space="preserve"> and give me the time and space to work on my thesis. </w:t>
      </w:r>
    </w:p>
    <w:p w:rsidR="00A94279" w:rsidRDefault="00A94279" w:rsidP="00A94279">
      <w:pPr>
        <w:pStyle w:val="000"/>
        <w:spacing w:line="360" w:lineRule="auto"/>
        <w:rPr>
          <w:rFonts w:ascii="Calibri" w:hAnsi="Calibri" w:cs="Calibri"/>
          <w:b/>
          <w:sz w:val="28"/>
          <w:szCs w:val="28"/>
          <w:lang w:val="en-US"/>
        </w:rPr>
      </w:pPr>
    </w:p>
    <w:p w:rsidR="00A94279" w:rsidRDefault="00A94279" w:rsidP="00A94279">
      <w:pPr>
        <w:pStyle w:val="000"/>
        <w:spacing w:line="360" w:lineRule="auto"/>
        <w:rPr>
          <w:rFonts w:ascii="Calibri" w:hAnsi="Calibri" w:cs="Calibri"/>
          <w:b/>
          <w:sz w:val="28"/>
          <w:szCs w:val="28"/>
          <w:lang w:val="en-US"/>
        </w:rPr>
      </w:pPr>
    </w:p>
    <w:p w:rsidR="00A94279" w:rsidRDefault="00A94279" w:rsidP="00A94279">
      <w:pPr>
        <w:pStyle w:val="000"/>
        <w:spacing w:line="360" w:lineRule="auto"/>
        <w:rPr>
          <w:rFonts w:ascii="Calibri" w:hAnsi="Calibri" w:cs="Calibri"/>
          <w:b/>
          <w:sz w:val="28"/>
          <w:szCs w:val="28"/>
          <w:lang w:val="en-US"/>
        </w:rPr>
      </w:pPr>
    </w:p>
    <w:p w:rsidR="00A94279" w:rsidRDefault="00A94279" w:rsidP="00A94279">
      <w:pPr>
        <w:pStyle w:val="000"/>
        <w:spacing w:line="360" w:lineRule="auto"/>
        <w:rPr>
          <w:rFonts w:ascii="Calibri" w:hAnsi="Calibri" w:cs="Calibri"/>
          <w:b/>
          <w:sz w:val="28"/>
          <w:szCs w:val="28"/>
          <w:lang w:val="en-US"/>
        </w:rPr>
      </w:pPr>
    </w:p>
    <w:p w:rsidR="00A94279" w:rsidRDefault="00A94279" w:rsidP="00A94279">
      <w:pPr>
        <w:pStyle w:val="000"/>
        <w:spacing w:line="360" w:lineRule="auto"/>
        <w:rPr>
          <w:rFonts w:ascii="Calibri" w:hAnsi="Calibri" w:cs="Calibri"/>
          <w:b/>
          <w:sz w:val="28"/>
          <w:szCs w:val="28"/>
          <w:lang w:val="en-US"/>
        </w:rPr>
      </w:pPr>
    </w:p>
    <w:p w:rsidR="00A94279" w:rsidRDefault="00A94279" w:rsidP="00952D6E">
      <w:pPr>
        <w:pStyle w:val="000"/>
        <w:spacing w:line="360" w:lineRule="auto"/>
        <w:rPr>
          <w:rFonts w:ascii="Calibri" w:hAnsi="Calibri" w:cs="Calibri"/>
          <w:b/>
          <w:sz w:val="28"/>
          <w:szCs w:val="28"/>
          <w:lang w:val="en-US"/>
        </w:rPr>
      </w:pPr>
    </w:p>
    <w:p w:rsidR="00A94279" w:rsidRDefault="00A94279" w:rsidP="00952D6E">
      <w:pPr>
        <w:pStyle w:val="000"/>
        <w:spacing w:line="360" w:lineRule="auto"/>
        <w:rPr>
          <w:rFonts w:ascii="Calibri" w:hAnsi="Calibri" w:cs="Calibri"/>
          <w:b/>
          <w:sz w:val="28"/>
          <w:szCs w:val="28"/>
          <w:lang w:val="en-US"/>
        </w:rPr>
      </w:pPr>
    </w:p>
    <w:p w:rsidR="00A94279" w:rsidRDefault="00A94279" w:rsidP="00952D6E">
      <w:pPr>
        <w:pStyle w:val="000"/>
        <w:spacing w:line="360" w:lineRule="auto"/>
        <w:rPr>
          <w:rFonts w:ascii="Calibri" w:hAnsi="Calibri" w:cs="Calibri"/>
          <w:b/>
          <w:sz w:val="28"/>
          <w:szCs w:val="28"/>
          <w:lang w:val="en-US"/>
        </w:rPr>
      </w:pPr>
    </w:p>
    <w:p w:rsidR="00A94279" w:rsidRDefault="00A94279" w:rsidP="00952D6E">
      <w:pPr>
        <w:pStyle w:val="000"/>
        <w:spacing w:line="360" w:lineRule="auto"/>
        <w:rPr>
          <w:rFonts w:ascii="Calibri" w:hAnsi="Calibri" w:cs="Calibri"/>
          <w:b/>
          <w:sz w:val="28"/>
          <w:szCs w:val="28"/>
          <w:lang w:val="en-US"/>
        </w:rPr>
      </w:pPr>
    </w:p>
    <w:p w:rsidR="00A94279" w:rsidRDefault="00A94279" w:rsidP="00952D6E">
      <w:pPr>
        <w:pStyle w:val="000"/>
        <w:spacing w:line="360" w:lineRule="auto"/>
        <w:rPr>
          <w:rFonts w:ascii="Calibri" w:hAnsi="Calibri" w:cs="Calibri"/>
          <w:b/>
          <w:sz w:val="28"/>
          <w:szCs w:val="28"/>
          <w:lang w:val="en-US"/>
        </w:rPr>
      </w:pPr>
    </w:p>
    <w:p w:rsidR="00A94279" w:rsidRDefault="00A94279" w:rsidP="00952D6E">
      <w:pPr>
        <w:pStyle w:val="000"/>
        <w:spacing w:line="360" w:lineRule="auto"/>
        <w:rPr>
          <w:rFonts w:ascii="Calibri" w:hAnsi="Calibri" w:cs="Calibri"/>
          <w:b/>
          <w:sz w:val="28"/>
          <w:szCs w:val="28"/>
          <w:lang w:val="en-US"/>
        </w:rPr>
      </w:pPr>
    </w:p>
    <w:p w:rsidR="00A94279" w:rsidRDefault="00A94279" w:rsidP="00952D6E">
      <w:pPr>
        <w:pStyle w:val="000"/>
        <w:spacing w:line="360" w:lineRule="auto"/>
        <w:rPr>
          <w:rFonts w:ascii="Calibri" w:hAnsi="Calibri" w:cs="Calibri"/>
          <w:b/>
          <w:sz w:val="28"/>
          <w:szCs w:val="28"/>
          <w:lang w:val="en-US"/>
        </w:rPr>
      </w:pPr>
    </w:p>
    <w:p w:rsidR="00A94279" w:rsidRDefault="00A94279" w:rsidP="00952D6E">
      <w:pPr>
        <w:pStyle w:val="000"/>
        <w:spacing w:line="360" w:lineRule="auto"/>
        <w:rPr>
          <w:rFonts w:ascii="Calibri" w:hAnsi="Calibri" w:cs="Calibri"/>
          <w:b/>
          <w:sz w:val="28"/>
          <w:szCs w:val="28"/>
          <w:lang w:val="en-US"/>
        </w:rPr>
      </w:pPr>
    </w:p>
    <w:p w:rsidR="00A94279" w:rsidRDefault="00A94279" w:rsidP="00952D6E">
      <w:pPr>
        <w:pStyle w:val="000"/>
        <w:spacing w:line="360" w:lineRule="auto"/>
        <w:rPr>
          <w:rFonts w:ascii="Calibri" w:hAnsi="Calibri" w:cs="Calibri"/>
          <w:b/>
          <w:sz w:val="28"/>
          <w:szCs w:val="28"/>
          <w:lang w:val="en-US"/>
        </w:rPr>
      </w:pPr>
    </w:p>
    <w:p w:rsidR="00A94279" w:rsidRDefault="00A94279" w:rsidP="00952D6E">
      <w:pPr>
        <w:pStyle w:val="000"/>
        <w:spacing w:line="360" w:lineRule="auto"/>
        <w:rPr>
          <w:rFonts w:ascii="Calibri" w:hAnsi="Calibri" w:cs="Calibri"/>
          <w:b/>
          <w:sz w:val="28"/>
          <w:szCs w:val="28"/>
          <w:lang w:val="en-US"/>
        </w:rPr>
      </w:pPr>
    </w:p>
    <w:p w:rsidR="00952D6E" w:rsidRDefault="00952D6E" w:rsidP="00952D6E">
      <w:pPr>
        <w:pStyle w:val="000"/>
        <w:spacing w:line="360" w:lineRule="auto"/>
        <w:rPr>
          <w:rFonts w:ascii="Calibri" w:hAnsi="Calibri" w:cs="Calibri"/>
          <w:b/>
          <w:sz w:val="28"/>
          <w:szCs w:val="28"/>
          <w:lang w:val="en-US"/>
        </w:rPr>
      </w:pPr>
      <w:r>
        <w:rPr>
          <w:rFonts w:ascii="Calibri" w:hAnsi="Calibri" w:cs="Calibri"/>
          <w:b/>
          <w:sz w:val="28"/>
          <w:szCs w:val="28"/>
          <w:lang w:val="en-US"/>
        </w:rPr>
        <w:lastRenderedPageBreak/>
        <w:t>Executive Summary</w:t>
      </w:r>
    </w:p>
    <w:p w:rsidR="00952D6E" w:rsidRDefault="00952D6E" w:rsidP="00952D6E">
      <w:pPr>
        <w:pStyle w:val="000"/>
        <w:spacing w:line="360" w:lineRule="auto"/>
        <w:rPr>
          <w:rFonts w:ascii="Calibri" w:hAnsi="Calibri" w:cs="Calibri"/>
          <w:b/>
          <w:sz w:val="28"/>
          <w:szCs w:val="28"/>
          <w:lang w:val="en-US"/>
        </w:rPr>
      </w:pPr>
    </w:p>
    <w:p w:rsidR="00952D6E" w:rsidRDefault="00952D6E" w:rsidP="00952D6E">
      <w:pPr>
        <w:pStyle w:val="000"/>
        <w:spacing w:line="360" w:lineRule="auto"/>
        <w:rPr>
          <w:rFonts w:ascii="Calibri" w:hAnsi="Calibri" w:cs="Calibri"/>
          <w:szCs w:val="22"/>
          <w:lang w:val="en-US"/>
        </w:rPr>
      </w:pPr>
      <w:r>
        <w:rPr>
          <w:rFonts w:ascii="Calibri" w:hAnsi="Calibri" w:cs="Calibri"/>
          <w:szCs w:val="22"/>
          <w:lang w:val="en-US"/>
        </w:rPr>
        <w:t xml:space="preserve">This study investigates the impact of the implementation of IFRS on intra-industry information transfer. Intra-industry information transfer occurs when an earnings announcement released by a firm contains ‘industry-specific’ information which is informative to investors. Investors can use this information to speculate about the earnings of other firms operating in the same industry. </w:t>
      </w:r>
    </w:p>
    <w:p w:rsidR="00066105" w:rsidRDefault="00066105" w:rsidP="00952D6E">
      <w:pPr>
        <w:pStyle w:val="000"/>
        <w:spacing w:line="360" w:lineRule="auto"/>
        <w:rPr>
          <w:rFonts w:ascii="Calibri" w:hAnsi="Calibri" w:cs="Calibri"/>
          <w:szCs w:val="22"/>
          <w:lang w:val="en-US"/>
        </w:rPr>
      </w:pPr>
      <w:r>
        <w:rPr>
          <w:rFonts w:ascii="Calibri" w:hAnsi="Calibri" w:cs="Calibri"/>
          <w:szCs w:val="22"/>
          <w:lang w:val="en-US"/>
        </w:rPr>
        <w:t xml:space="preserve">Many firms mandatory adopted IFRS in 2005. The implementation of IFRS should lead to a better comparability between financial figures of different firms what will improve the accounting quality. The increase in accounting quality and the better comparability between annual accounts makes it easier for investor to discover ‘industry-specific’ information and use this information for their investment decision. Therefore I made the assumption that the implementation of IFRS lead to a higher magnitude of intra-industry information transfer. </w:t>
      </w:r>
    </w:p>
    <w:p w:rsidR="00066105" w:rsidRDefault="00066105" w:rsidP="00952D6E">
      <w:pPr>
        <w:pStyle w:val="000"/>
        <w:spacing w:line="360" w:lineRule="auto"/>
        <w:rPr>
          <w:rFonts w:ascii="Calibri" w:hAnsi="Calibri" w:cs="Calibri"/>
          <w:szCs w:val="22"/>
          <w:lang w:val="en-US"/>
        </w:rPr>
      </w:pPr>
    </w:p>
    <w:p w:rsidR="001D61B7" w:rsidRDefault="001D61B7" w:rsidP="00952D6E">
      <w:pPr>
        <w:pStyle w:val="000"/>
        <w:spacing w:line="360" w:lineRule="auto"/>
        <w:rPr>
          <w:rFonts w:ascii="Calibri" w:hAnsi="Calibri" w:cs="Calibri"/>
          <w:lang w:val="en-US"/>
        </w:rPr>
      </w:pPr>
      <w:r>
        <w:rPr>
          <w:rFonts w:ascii="Calibri" w:hAnsi="Calibri" w:cs="Calibri"/>
          <w:lang w:val="en-US"/>
        </w:rPr>
        <w:t>There are different methodologies to measure intra-industry information transfer already used in prior research. I replicate the non-directional methodology of Foster (1981) to measure the magnitude of intra-industry information transfer. This methodology takes the abnormal return variance as a proxy for intra-industry information transfer.</w:t>
      </w:r>
      <w:r w:rsidR="00186C61">
        <w:rPr>
          <w:rFonts w:ascii="Calibri" w:hAnsi="Calibri" w:cs="Calibri"/>
          <w:lang w:val="en-US"/>
        </w:rPr>
        <w:t xml:space="preserve"> The abnormal return variance is the abnormal return of a firms stock surrounding an earnings announcement compared to the abnormal return of the same stock </w:t>
      </w:r>
      <w:r w:rsidR="00A94279">
        <w:rPr>
          <w:rFonts w:ascii="Calibri" w:hAnsi="Calibri" w:cs="Calibri"/>
          <w:lang w:val="en-US"/>
        </w:rPr>
        <w:t>at a non-announcing period. So the abnormal return variance actually shows the reaction of a stock price assignable to the earnings announcement released.</w:t>
      </w:r>
      <w:r>
        <w:rPr>
          <w:rFonts w:ascii="Calibri" w:hAnsi="Calibri" w:cs="Calibri"/>
          <w:lang w:val="en-US"/>
        </w:rPr>
        <w:t xml:space="preserve"> </w:t>
      </w:r>
      <w:r w:rsidR="00186C61">
        <w:rPr>
          <w:rFonts w:ascii="Calibri" w:hAnsi="Calibri" w:cs="Calibri"/>
          <w:lang w:val="en-US"/>
        </w:rPr>
        <w:t xml:space="preserve">To investigate if the magnitude of intra-industry information transfer increased after the implementation of IFRS two different samples are selected, a pre-IFRS period (2001-2004) and a post-IFRS period (2005-2010), which are compared to each other. To get a good insight if the magnitude of intra-industry information transfer is increased a Spearman rank correlation test is performed with the abnormal return variances in both periods. </w:t>
      </w:r>
      <w:r w:rsidR="00A94279">
        <w:rPr>
          <w:rFonts w:ascii="Calibri" w:hAnsi="Calibri" w:cs="Calibri"/>
          <w:lang w:val="en-US"/>
        </w:rPr>
        <w:t>The outcomes of this test for both periods are compared with each other, and show an increase in intra-industry information transfer after the implementation of IFRS.</w:t>
      </w:r>
    </w:p>
    <w:p w:rsidR="001D61B7" w:rsidRDefault="001D61B7" w:rsidP="00952D6E">
      <w:pPr>
        <w:pStyle w:val="000"/>
        <w:spacing w:line="360" w:lineRule="auto"/>
        <w:rPr>
          <w:rFonts w:ascii="Calibri" w:hAnsi="Calibri" w:cs="Calibri"/>
          <w:lang w:val="en-US"/>
        </w:rPr>
      </w:pPr>
    </w:p>
    <w:p w:rsidR="001D61B7" w:rsidRDefault="001D61B7" w:rsidP="00952D6E">
      <w:pPr>
        <w:pStyle w:val="000"/>
        <w:spacing w:line="360" w:lineRule="auto"/>
        <w:rPr>
          <w:rFonts w:ascii="Calibri" w:hAnsi="Calibri" w:cs="Calibri"/>
          <w:lang w:val="en-US"/>
        </w:rPr>
      </w:pPr>
    </w:p>
    <w:p w:rsidR="00120D1A" w:rsidRPr="00952D6E" w:rsidRDefault="00120D1A" w:rsidP="00952D6E">
      <w:pPr>
        <w:pStyle w:val="000"/>
        <w:spacing w:line="360" w:lineRule="auto"/>
        <w:rPr>
          <w:rFonts w:ascii="Calibri" w:hAnsi="Calibri" w:cs="Calibri"/>
          <w:szCs w:val="22"/>
          <w:lang w:val="en-US"/>
        </w:rPr>
      </w:pPr>
    </w:p>
    <w:sdt>
      <w:sdtPr>
        <w:rPr>
          <w:rFonts w:asciiTheme="minorHAnsi" w:eastAsia="Times New Roman" w:hAnsiTheme="minorHAnsi" w:cstheme="minorHAnsi"/>
          <w:b w:val="0"/>
          <w:bCs w:val="0"/>
          <w:color w:val="auto"/>
          <w:sz w:val="22"/>
          <w:szCs w:val="20"/>
          <w:lang w:val="nl-NL"/>
        </w:rPr>
        <w:id w:val="24353783"/>
        <w:docPartObj>
          <w:docPartGallery w:val="Table of Contents"/>
          <w:docPartUnique/>
        </w:docPartObj>
      </w:sdtPr>
      <w:sdtContent>
        <w:p w:rsidR="004A290D" w:rsidRPr="00E23D64" w:rsidRDefault="004A290D">
          <w:pPr>
            <w:pStyle w:val="Kopvaninhoudsopgave"/>
            <w:rPr>
              <w:rFonts w:asciiTheme="minorHAnsi" w:hAnsiTheme="minorHAnsi" w:cstheme="minorHAnsi"/>
            </w:rPr>
          </w:pPr>
          <w:r w:rsidRPr="00E23D64">
            <w:rPr>
              <w:rFonts w:asciiTheme="minorHAnsi" w:hAnsiTheme="minorHAnsi" w:cstheme="minorHAnsi"/>
            </w:rPr>
            <w:t>Table of Contents</w:t>
          </w:r>
        </w:p>
        <w:p w:rsidR="00E23D64" w:rsidRPr="00952D6E" w:rsidRDefault="00E43D28">
          <w:pPr>
            <w:pStyle w:val="Inhopg1"/>
            <w:rPr>
              <w:rStyle w:val="Hyperlink"/>
              <w:rFonts w:asciiTheme="minorHAnsi" w:hAnsiTheme="minorHAnsi" w:cstheme="minorHAnsi"/>
              <w:noProof/>
              <w:lang w:val="en-US"/>
            </w:rPr>
          </w:pPr>
          <w:r w:rsidRPr="00E43D28">
            <w:rPr>
              <w:rFonts w:asciiTheme="minorHAnsi" w:hAnsiTheme="minorHAnsi" w:cstheme="minorHAnsi"/>
            </w:rPr>
            <w:fldChar w:fldCharType="begin"/>
          </w:r>
          <w:r w:rsidR="004A290D" w:rsidRPr="00952D6E">
            <w:rPr>
              <w:rFonts w:asciiTheme="minorHAnsi" w:hAnsiTheme="minorHAnsi" w:cstheme="minorHAnsi"/>
              <w:lang w:val="en-US"/>
            </w:rPr>
            <w:instrText xml:space="preserve"> TOC \o "1-3" \h \z \u </w:instrText>
          </w:r>
          <w:r w:rsidRPr="00E43D28">
            <w:rPr>
              <w:rFonts w:asciiTheme="minorHAnsi" w:hAnsiTheme="minorHAnsi" w:cstheme="minorHAnsi"/>
            </w:rPr>
            <w:fldChar w:fldCharType="separate"/>
          </w:r>
          <w:hyperlink w:anchor="_Toc331518346" w:history="1">
            <w:r w:rsidR="00E23D64" w:rsidRPr="00E23D64">
              <w:rPr>
                <w:rStyle w:val="Hyperlink"/>
                <w:rFonts w:asciiTheme="minorHAnsi" w:hAnsiTheme="minorHAnsi" w:cstheme="minorHAnsi"/>
                <w:noProof/>
                <w:lang w:val="en-US"/>
              </w:rPr>
              <w:t>1</w:t>
            </w:r>
            <w:r w:rsidR="00E23D64" w:rsidRPr="00952D6E">
              <w:rPr>
                <w:rFonts w:asciiTheme="minorHAnsi" w:eastAsiaTheme="minorEastAsia" w:hAnsiTheme="minorHAnsi" w:cstheme="minorHAnsi"/>
                <w:b w:val="0"/>
                <w:noProof/>
                <w:szCs w:val="22"/>
                <w:lang w:val="en-US" w:eastAsia="nl-NL"/>
              </w:rPr>
              <w:tab/>
            </w:r>
            <w:r w:rsidR="00E23D64" w:rsidRPr="00E23D64">
              <w:rPr>
                <w:rStyle w:val="Hyperlink"/>
                <w:rFonts w:asciiTheme="minorHAnsi" w:hAnsiTheme="minorHAnsi" w:cstheme="minorHAnsi"/>
                <w:noProof/>
                <w:lang w:val="en-US"/>
              </w:rPr>
              <w:t>Introduction</w:t>
            </w:r>
            <w:r w:rsidR="00E23D64" w:rsidRPr="00952D6E">
              <w:rPr>
                <w:rFonts w:asciiTheme="minorHAnsi" w:hAnsiTheme="minorHAnsi" w:cstheme="minorHAnsi"/>
                <w:noProof/>
                <w:webHidden/>
                <w:lang w:val="en-US"/>
              </w:rPr>
              <w:tab/>
            </w:r>
            <w:r w:rsidRPr="00E23D64">
              <w:rPr>
                <w:rFonts w:asciiTheme="minorHAnsi" w:hAnsiTheme="minorHAnsi" w:cstheme="minorHAnsi"/>
                <w:noProof/>
                <w:webHidden/>
              </w:rPr>
              <w:fldChar w:fldCharType="begin"/>
            </w:r>
            <w:r w:rsidR="00E23D64" w:rsidRPr="00952D6E">
              <w:rPr>
                <w:rFonts w:asciiTheme="minorHAnsi" w:hAnsiTheme="minorHAnsi" w:cstheme="minorHAnsi"/>
                <w:noProof/>
                <w:webHidden/>
                <w:lang w:val="en-US"/>
              </w:rPr>
              <w:instrText xml:space="preserve"> PAGEREF _Toc331518346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lang w:val="en-US"/>
              </w:rPr>
              <w:t>4</w:t>
            </w:r>
            <w:r w:rsidRPr="00E23D64">
              <w:rPr>
                <w:rFonts w:asciiTheme="minorHAnsi" w:hAnsiTheme="minorHAnsi" w:cstheme="minorHAnsi"/>
                <w:noProof/>
                <w:webHidden/>
              </w:rPr>
              <w:fldChar w:fldCharType="end"/>
            </w:r>
          </w:hyperlink>
        </w:p>
        <w:p w:rsidR="00E23D64" w:rsidRPr="00952D6E" w:rsidRDefault="00E23D64" w:rsidP="00E23D64">
          <w:pPr>
            <w:rPr>
              <w:rFonts w:asciiTheme="minorHAnsi" w:eastAsiaTheme="minorEastAsia" w:hAnsiTheme="minorHAnsi" w:cstheme="minorHAnsi"/>
              <w:noProof/>
              <w:lang w:val="en-US"/>
            </w:rPr>
          </w:pPr>
        </w:p>
        <w:p w:rsidR="00E23D64" w:rsidRPr="00E23D64" w:rsidRDefault="00E43D28">
          <w:pPr>
            <w:pStyle w:val="Inhopg2"/>
            <w:rPr>
              <w:rStyle w:val="Hyperlink"/>
              <w:rFonts w:asciiTheme="minorHAnsi" w:hAnsiTheme="minorHAnsi" w:cstheme="minorHAnsi"/>
              <w:noProof/>
            </w:rPr>
          </w:pPr>
          <w:hyperlink w:anchor="_Toc331518347" w:history="1">
            <w:r w:rsidR="00E23D64" w:rsidRPr="00E23D64">
              <w:rPr>
                <w:rStyle w:val="Hyperlink"/>
                <w:rFonts w:asciiTheme="minorHAnsi" w:hAnsiTheme="minorHAnsi" w:cstheme="minorHAnsi"/>
                <w:noProof/>
                <w:lang w:val="en-US"/>
              </w:rPr>
              <w:t>1.1</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Information content of earnings announcements</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_Toc331518347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48" w:history="1">
            <w:r w:rsidR="00E23D64" w:rsidRPr="00E23D64">
              <w:rPr>
                <w:rStyle w:val="Hyperlink"/>
                <w:rFonts w:asciiTheme="minorHAnsi" w:hAnsiTheme="minorHAnsi" w:cstheme="minorHAnsi"/>
                <w:noProof/>
                <w:lang w:val="en-US"/>
              </w:rPr>
              <w:t>1.2</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Intra-Industry information transfer</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_Toc331518348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49" w:history="1">
            <w:r w:rsidR="00E23D64" w:rsidRPr="00E23D64">
              <w:rPr>
                <w:rStyle w:val="Hyperlink"/>
                <w:rFonts w:asciiTheme="minorHAnsi" w:hAnsiTheme="minorHAnsi" w:cstheme="minorHAnsi"/>
                <w:noProof/>
                <w:lang w:val="en-US"/>
              </w:rPr>
              <w:t>1.3</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The impact of IFRS on information quality</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_Toc331518349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50" w:history="1">
            <w:r w:rsidR="00E23D64" w:rsidRPr="00E23D64">
              <w:rPr>
                <w:rStyle w:val="Hyperlink"/>
                <w:rFonts w:asciiTheme="minorHAnsi" w:hAnsiTheme="minorHAnsi" w:cstheme="minorHAnsi"/>
                <w:noProof/>
                <w:lang w:val="en-US"/>
              </w:rPr>
              <w:t>1.4</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Relevance</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_Toc331518350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51" w:history="1">
            <w:r w:rsidR="00E23D64" w:rsidRPr="00E23D64">
              <w:rPr>
                <w:rStyle w:val="Hyperlink"/>
                <w:rFonts w:asciiTheme="minorHAnsi" w:hAnsiTheme="minorHAnsi" w:cstheme="minorHAnsi"/>
                <w:noProof/>
                <w:lang w:val="en-US"/>
              </w:rPr>
              <w:t>1.5</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Formulating research question</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_Toc331518351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Fonts w:asciiTheme="minorHAnsi" w:eastAsiaTheme="minorEastAsia" w:hAnsiTheme="minorHAnsi" w:cstheme="minorHAnsi"/>
              <w:noProof/>
              <w:szCs w:val="22"/>
              <w:lang w:eastAsia="nl-NL"/>
            </w:rPr>
          </w:pPr>
          <w:hyperlink w:anchor="_Toc331518352" w:history="1">
            <w:r w:rsidR="00E23D64" w:rsidRPr="00E23D64">
              <w:rPr>
                <w:rStyle w:val="Hyperlink"/>
                <w:rFonts w:asciiTheme="minorHAnsi" w:hAnsiTheme="minorHAnsi" w:cstheme="minorHAnsi"/>
                <w:noProof/>
                <w:lang w:val="en-US"/>
              </w:rPr>
              <w:t>1.6</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Outline of the study</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_Toc331518352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43D28">
          <w:pPr>
            <w:pStyle w:val="Inhopg1"/>
            <w:rPr>
              <w:rStyle w:val="Hyperlink"/>
              <w:rFonts w:asciiTheme="minorHAnsi" w:hAnsiTheme="minorHAnsi" w:cstheme="minorHAnsi"/>
              <w:noProof/>
            </w:rPr>
          </w:pPr>
          <w:hyperlink w:anchor="_Toc331518353" w:history="1">
            <w:r w:rsidR="00E23D64" w:rsidRPr="00E23D64">
              <w:rPr>
                <w:rStyle w:val="Hyperlink"/>
                <w:rFonts w:asciiTheme="minorHAnsi" w:hAnsiTheme="minorHAnsi" w:cstheme="minorHAnsi"/>
                <w:noProof/>
                <w:lang w:val="en-US"/>
              </w:rPr>
              <w:t>2</w:t>
            </w:r>
            <w:r w:rsidR="00E23D64" w:rsidRPr="00E23D64">
              <w:rPr>
                <w:rFonts w:asciiTheme="minorHAnsi" w:eastAsiaTheme="minorEastAsia" w:hAnsiTheme="minorHAnsi" w:cstheme="minorHAnsi"/>
                <w:b w:val="0"/>
                <w:noProof/>
                <w:szCs w:val="22"/>
                <w:lang w:eastAsia="nl-NL"/>
              </w:rPr>
              <w:tab/>
            </w:r>
            <w:r w:rsidR="00E23D64" w:rsidRPr="00E23D64">
              <w:rPr>
                <w:rStyle w:val="Hyperlink"/>
                <w:rFonts w:asciiTheme="minorHAnsi" w:hAnsiTheme="minorHAnsi" w:cstheme="minorHAnsi"/>
                <w:noProof/>
                <w:lang w:val="en-US"/>
              </w:rPr>
              <w:t>Theoretical background and related literature</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_Toc331518353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rsidP="00E23D64">
          <w:pPr>
            <w:rPr>
              <w:rFonts w:asciiTheme="minorHAnsi" w:eastAsiaTheme="minorEastAsia" w:hAnsiTheme="minorHAnsi" w:cstheme="minorHAnsi"/>
              <w:noProof/>
            </w:rPr>
          </w:pPr>
        </w:p>
        <w:p w:rsidR="00E23D64" w:rsidRPr="00E23D64" w:rsidRDefault="00E43D28">
          <w:pPr>
            <w:pStyle w:val="Inhopg2"/>
            <w:rPr>
              <w:rStyle w:val="Hyperlink"/>
              <w:rFonts w:asciiTheme="minorHAnsi" w:hAnsiTheme="minorHAnsi" w:cstheme="minorHAnsi"/>
              <w:noProof/>
            </w:rPr>
          </w:pPr>
          <w:hyperlink w:anchor="_Toc331518354" w:history="1">
            <w:r w:rsidR="00E23D64" w:rsidRPr="00E23D64">
              <w:rPr>
                <w:rStyle w:val="Hyperlink"/>
                <w:rFonts w:asciiTheme="minorHAnsi" w:hAnsiTheme="minorHAnsi" w:cstheme="minorHAnsi"/>
                <w:noProof/>
                <w:lang w:val="en-US"/>
              </w:rPr>
              <w:t>2.1</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Introduction</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_Toc331518354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55" w:history="1">
            <w:r w:rsidR="00E23D64" w:rsidRPr="00E23D64">
              <w:rPr>
                <w:rStyle w:val="Hyperlink"/>
                <w:rFonts w:asciiTheme="minorHAnsi" w:hAnsiTheme="minorHAnsi" w:cstheme="minorHAnsi"/>
                <w:noProof/>
                <w:lang w:val="en-US"/>
              </w:rPr>
              <w:t>2.2</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Information content of earnings announcements</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_Toc331518355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56" w:history="1">
            <w:r w:rsidR="00E23D64" w:rsidRPr="00E23D64">
              <w:rPr>
                <w:rStyle w:val="Hyperlink"/>
                <w:rFonts w:asciiTheme="minorHAnsi" w:hAnsiTheme="minorHAnsi" w:cstheme="minorHAnsi"/>
                <w:noProof/>
                <w:lang w:val="en-US"/>
              </w:rPr>
              <w:t>2.3</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Intra-industry information transfer</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_Toc331518356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57" w:history="1">
            <w:r w:rsidR="00E23D64" w:rsidRPr="00E23D64">
              <w:rPr>
                <w:rStyle w:val="Hyperlink"/>
                <w:rFonts w:asciiTheme="minorHAnsi" w:hAnsiTheme="minorHAnsi" w:cstheme="minorHAnsi"/>
                <w:noProof/>
                <w:lang w:val="en-US"/>
              </w:rPr>
              <w:t>2.4</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The impact of mandatory adoption of IFRS</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_Toc331518357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Fonts w:asciiTheme="minorHAnsi" w:eastAsiaTheme="minorEastAsia" w:hAnsiTheme="minorHAnsi" w:cstheme="minorHAnsi"/>
              <w:noProof/>
              <w:szCs w:val="22"/>
              <w:lang w:eastAsia="nl-NL"/>
            </w:rPr>
          </w:pPr>
          <w:hyperlink w:anchor="_Toc331518358" w:history="1">
            <w:r w:rsidR="00E23D64" w:rsidRPr="00E23D64">
              <w:rPr>
                <w:rStyle w:val="Hyperlink"/>
                <w:rFonts w:asciiTheme="minorHAnsi" w:hAnsiTheme="minorHAnsi" w:cstheme="minorHAnsi"/>
                <w:noProof/>
                <w:lang w:val="en-US"/>
              </w:rPr>
              <w:t>2.5</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Summary</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_Toc331518358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43D28">
          <w:pPr>
            <w:pStyle w:val="Inhopg1"/>
            <w:rPr>
              <w:rStyle w:val="Hyperlink"/>
              <w:rFonts w:asciiTheme="minorHAnsi" w:hAnsiTheme="minorHAnsi" w:cstheme="minorHAnsi"/>
              <w:noProof/>
            </w:rPr>
          </w:pPr>
          <w:hyperlink w:anchor="_Toc331518359" w:history="1">
            <w:r w:rsidR="00E23D64" w:rsidRPr="00E23D64">
              <w:rPr>
                <w:rStyle w:val="Hyperlink"/>
                <w:rFonts w:asciiTheme="minorHAnsi" w:hAnsiTheme="minorHAnsi" w:cstheme="minorHAnsi"/>
                <w:noProof/>
                <w:lang w:val="en-US"/>
              </w:rPr>
              <w:t>3</w:t>
            </w:r>
            <w:r w:rsidR="00E23D64" w:rsidRPr="00E23D64">
              <w:rPr>
                <w:rFonts w:asciiTheme="minorHAnsi" w:eastAsiaTheme="minorEastAsia" w:hAnsiTheme="minorHAnsi" w:cstheme="minorHAnsi"/>
                <w:b w:val="0"/>
                <w:noProof/>
                <w:szCs w:val="22"/>
                <w:lang w:eastAsia="nl-NL"/>
              </w:rPr>
              <w:tab/>
            </w:r>
            <w:r w:rsidR="00E23D64" w:rsidRPr="00E23D64">
              <w:rPr>
                <w:rStyle w:val="Hyperlink"/>
                <w:rFonts w:asciiTheme="minorHAnsi" w:hAnsiTheme="minorHAnsi" w:cstheme="minorHAnsi"/>
                <w:noProof/>
              </w:rPr>
              <w:t>Sample</w:t>
            </w:r>
            <w:r w:rsidR="00E23D64" w:rsidRPr="00E23D64">
              <w:rPr>
                <w:rStyle w:val="Hyperlink"/>
                <w:rFonts w:asciiTheme="minorHAnsi" w:hAnsiTheme="minorHAnsi" w:cstheme="minorHAnsi"/>
                <w:noProof/>
                <w:lang w:val="en-US"/>
              </w:rPr>
              <w:t xml:space="preserve"> </w:t>
            </w:r>
            <w:r w:rsidR="00E23D64" w:rsidRPr="00E23D64">
              <w:rPr>
                <w:rStyle w:val="Hyperlink"/>
                <w:rFonts w:asciiTheme="minorHAnsi" w:hAnsiTheme="minorHAnsi" w:cstheme="minorHAnsi"/>
                <w:noProof/>
              </w:rPr>
              <w:t>Selection</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_Toc331518359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rsidP="00E23D64">
          <w:pPr>
            <w:rPr>
              <w:rFonts w:asciiTheme="minorHAnsi" w:eastAsiaTheme="minorEastAsia" w:hAnsiTheme="minorHAnsi" w:cstheme="minorHAnsi"/>
              <w:noProof/>
            </w:rPr>
          </w:pPr>
        </w:p>
        <w:p w:rsidR="00E23D64" w:rsidRPr="00E23D64" w:rsidRDefault="00E43D28">
          <w:pPr>
            <w:pStyle w:val="Inhopg2"/>
            <w:rPr>
              <w:rStyle w:val="Hyperlink"/>
              <w:rFonts w:asciiTheme="minorHAnsi" w:hAnsiTheme="minorHAnsi" w:cstheme="minorHAnsi"/>
              <w:noProof/>
            </w:rPr>
          </w:pPr>
          <w:hyperlink w:anchor="_Toc331518360" w:history="1">
            <w:r w:rsidR="00E23D64" w:rsidRPr="00E23D64">
              <w:rPr>
                <w:rStyle w:val="Hyperlink"/>
                <w:rFonts w:asciiTheme="minorHAnsi" w:hAnsiTheme="minorHAnsi" w:cstheme="minorHAnsi"/>
                <w:noProof/>
                <w:lang w:val="en-US"/>
              </w:rPr>
              <w:t>3.1</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rPr>
              <w:t>Introduction</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_Toc331518360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61" w:history="1">
            <w:r w:rsidR="00E23D64" w:rsidRPr="00E23D64">
              <w:rPr>
                <w:rStyle w:val="Hyperlink"/>
                <w:rFonts w:asciiTheme="minorHAnsi" w:hAnsiTheme="minorHAnsi" w:cstheme="minorHAnsi"/>
                <w:noProof/>
                <w:lang w:val="en-US"/>
              </w:rPr>
              <w:t>3.2</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Description of selection criteria</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_Toc331518361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Fonts w:asciiTheme="minorHAnsi" w:eastAsiaTheme="minorEastAsia" w:hAnsiTheme="minorHAnsi" w:cstheme="minorHAnsi"/>
              <w:noProof/>
              <w:szCs w:val="22"/>
              <w:lang w:eastAsia="nl-NL"/>
            </w:rPr>
          </w:pPr>
          <w:hyperlink w:anchor="_Toc331518362" w:history="1">
            <w:r w:rsidR="00E23D64" w:rsidRPr="00E23D64">
              <w:rPr>
                <w:rStyle w:val="Hyperlink"/>
                <w:rFonts w:asciiTheme="minorHAnsi" w:hAnsiTheme="minorHAnsi" w:cstheme="minorHAnsi"/>
                <w:noProof/>
                <w:lang w:val="en-US"/>
              </w:rPr>
              <w:t>3.3</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Summary</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_Toc331518362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43D28">
          <w:pPr>
            <w:pStyle w:val="Inhopg1"/>
            <w:rPr>
              <w:rStyle w:val="Hyperlink"/>
              <w:rFonts w:asciiTheme="minorHAnsi" w:hAnsiTheme="minorHAnsi" w:cstheme="minorHAnsi"/>
              <w:noProof/>
            </w:rPr>
          </w:pPr>
          <w:hyperlink w:anchor="_Toc331518363" w:history="1">
            <w:r w:rsidR="00E23D64" w:rsidRPr="00E23D64">
              <w:rPr>
                <w:rStyle w:val="Hyperlink"/>
                <w:rFonts w:asciiTheme="minorHAnsi" w:hAnsiTheme="minorHAnsi" w:cstheme="minorHAnsi"/>
                <w:noProof/>
                <w:lang w:val="en-US"/>
              </w:rPr>
              <w:t>4</w:t>
            </w:r>
            <w:r w:rsidR="00E23D64" w:rsidRPr="00E23D64">
              <w:rPr>
                <w:rFonts w:asciiTheme="minorHAnsi" w:eastAsiaTheme="minorEastAsia" w:hAnsiTheme="minorHAnsi" w:cstheme="minorHAnsi"/>
                <w:b w:val="0"/>
                <w:noProof/>
                <w:szCs w:val="22"/>
                <w:lang w:eastAsia="nl-NL"/>
              </w:rPr>
              <w:tab/>
            </w:r>
            <w:r w:rsidR="00E23D64" w:rsidRPr="00E23D64">
              <w:rPr>
                <w:rStyle w:val="Hyperlink"/>
                <w:rFonts w:asciiTheme="minorHAnsi" w:hAnsiTheme="minorHAnsi" w:cstheme="minorHAnsi"/>
                <w:noProof/>
                <w:lang w:val="en-US"/>
              </w:rPr>
              <w:t>Research Design</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_Toc331518363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rsidP="00E23D64">
          <w:pPr>
            <w:rPr>
              <w:rFonts w:asciiTheme="minorHAnsi" w:eastAsiaTheme="minorEastAsia" w:hAnsiTheme="minorHAnsi" w:cstheme="minorHAnsi"/>
              <w:noProof/>
            </w:rPr>
          </w:pPr>
        </w:p>
        <w:p w:rsidR="00E23D64" w:rsidRPr="00E23D64" w:rsidRDefault="00E43D28">
          <w:pPr>
            <w:pStyle w:val="Inhopg2"/>
            <w:rPr>
              <w:rStyle w:val="Hyperlink"/>
              <w:rFonts w:asciiTheme="minorHAnsi" w:hAnsiTheme="minorHAnsi" w:cstheme="minorHAnsi"/>
              <w:noProof/>
            </w:rPr>
          </w:pPr>
          <w:hyperlink w:anchor="_Toc331518364" w:history="1">
            <w:r w:rsidR="00E23D64" w:rsidRPr="00E23D64">
              <w:rPr>
                <w:rStyle w:val="Hyperlink"/>
                <w:rFonts w:asciiTheme="minorHAnsi" w:hAnsiTheme="minorHAnsi" w:cstheme="minorHAnsi"/>
                <w:noProof/>
              </w:rPr>
              <w:t>4.1</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rPr>
              <w:t>Introduction</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_Toc331518364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65" w:history="1">
            <w:r w:rsidR="00E23D64" w:rsidRPr="00E23D64">
              <w:rPr>
                <w:rStyle w:val="Hyperlink"/>
                <w:rFonts w:asciiTheme="minorHAnsi" w:hAnsiTheme="minorHAnsi" w:cstheme="minorHAnsi"/>
                <w:noProof/>
                <w:lang w:val="en-US"/>
              </w:rPr>
              <w:t>4.2</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Event Study</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_Toc331518365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66" w:history="1">
            <w:r w:rsidR="00E23D64" w:rsidRPr="00E23D64">
              <w:rPr>
                <w:rStyle w:val="Hyperlink"/>
                <w:rFonts w:asciiTheme="minorHAnsi" w:hAnsiTheme="minorHAnsi" w:cstheme="minorHAnsi"/>
                <w:noProof/>
                <w:lang w:val="en-US"/>
              </w:rPr>
              <w:t>4.3</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Non-directional residual methodology</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_Toc331518366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Fonts w:asciiTheme="minorHAnsi" w:eastAsiaTheme="minorEastAsia" w:hAnsiTheme="minorHAnsi" w:cstheme="minorHAnsi"/>
              <w:noProof/>
              <w:szCs w:val="22"/>
              <w:lang w:eastAsia="nl-NL"/>
            </w:rPr>
          </w:pPr>
          <w:hyperlink w:anchor="_Toc331518367" w:history="1">
            <w:r w:rsidR="00E23D64" w:rsidRPr="00E23D64">
              <w:rPr>
                <w:rStyle w:val="Hyperlink"/>
                <w:rFonts w:asciiTheme="minorHAnsi" w:hAnsiTheme="minorHAnsi" w:cstheme="minorHAnsi"/>
                <w:noProof/>
                <w:lang w:val="en-US"/>
              </w:rPr>
              <w:t>4.4</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Summary</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_Toc331518367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43D28">
          <w:pPr>
            <w:pStyle w:val="Inhopg1"/>
            <w:rPr>
              <w:rStyle w:val="Hyperlink"/>
              <w:rFonts w:asciiTheme="minorHAnsi" w:hAnsiTheme="minorHAnsi" w:cstheme="minorHAnsi"/>
              <w:noProof/>
            </w:rPr>
          </w:pPr>
          <w:hyperlink w:anchor="_Toc331518368" w:history="1">
            <w:r w:rsidR="00E23D64" w:rsidRPr="00E23D64">
              <w:rPr>
                <w:rStyle w:val="Hyperlink"/>
                <w:rFonts w:asciiTheme="minorHAnsi" w:hAnsiTheme="minorHAnsi" w:cstheme="minorHAnsi"/>
                <w:noProof/>
                <w:lang w:val="en-US"/>
              </w:rPr>
              <w:t>5</w:t>
            </w:r>
            <w:r w:rsidR="00E23D64" w:rsidRPr="00E23D64">
              <w:rPr>
                <w:rFonts w:asciiTheme="minorHAnsi" w:eastAsiaTheme="minorEastAsia" w:hAnsiTheme="minorHAnsi" w:cstheme="minorHAnsi"/>
                <w:b w:val="0"/>
                <w:noProof/>
                <w:szCs w:val="22"/>
                <w:lang w:eastAsia="nl-NL"/>
              </w:rPr>
              <w:tab/>
            </w:r>
            <w:r w:rsidR="00E23D64" w:rsidRPr="00E23D64">
              <w:rPr>
                <w:rStyle w:val="Hyperlink"/>
                <w:rFonts w:asciiTheme="minorHAnsi" w:hAnsiTheme="minorHAnsi" w:cstheme="minorHAnsi"/>
                <w:noProof/>
                <w:lang w:val="en-US"/>
              </w:rPr>
              <w:t>Results</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_Toc331518368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rsidP="00E23D64">
          <w:pPr>
            <w:rPr>
              <w:rFonts w:asciiTheme="minorHAnsi" w:eastAsiaTheme="minorEastAsia" w:hAnsiTheme="minorHAnsi" w:cstheme="minorHAnsi"/>
              <w:noProof/>
            </w:rPr>
          </w:pPr>
        </w:p>
        <w:p w:rsidR="00E23D64" w:rsidRPr="00E23D64" w:rsidRDefault="00E43D28">
          <w:pPr>
            <w:pStyle w:val="Inhopg2"/>
            <w:rPr>
              <w:rStyle w:val="Hyperlink"/>
              <w:rFonts w:asciiTheme="minorHAnsi" w:hAnsiTheme="minorHAnsi" w:cstheme="minorHAnsi"/>
              <w:noProof/>
            </w:rPr>
          </w:pPr>
          <w:hyperlink w:anchor="_Toc331518369" w:history="1">
            <w:r w:rsidR="00E23D64" w:rsidRPr="00E23D64">
              <w:rPr>
                <w:rStyle w:val="Hyperlink"/>
                <w:rFonts w:asciiTheme="minorHAnsi" w:hAnsiTheme="minorHAnsi" w:cstheme="minorHAnsi"/>
                <w:noProof/>
                <w:lang w:val="en-US"/>
              </w:rPr>
              <w:t>5.1</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Introduction</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_Toc331518369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70" w:history="1">
            <w:r w:rsidR="00E23D64" w:rsidRPr="00E23D64">
              <w:rPr>
                <w:rStyle w:val="Hyperlink"/>
                <w:rFonts w:asciiTheme="minorHAnsi" w:hAnsiTheme="minorHAnsi" w:cstheme="minorHAnsi"/>
                <w:noProof/>
                <w:lang w:val="en-US"/>
              </w:rPr>
              <w:t>5.2</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Results non-directional residual test</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_Toc331518370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71" w:history="1">
            <w:r w:rsidR="00E23D64" w:rsidRPr="00E23D64">
              <w:rPr>
                <w:rStyle w:val="Hyperlink"/>
                <w:rFonts w:asciiTheme="minorHAnsi" w:hAnsiTheme="minorHAnsi" w:cstheme="minorHAnsi"/>
                <w:noProof/>
                <w:lang w:val="en-US"/>
              </w:rPr>
              <w:t>5.3</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Kolmogorov-Smirnov  test</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_Toc331518371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72" w:history="1">
            <w:r w:rsidR="00E23D64" w:rsidRPr="00E23D64">
              <w:rPr>
                <w:rStyle w:val="Hyperlink"/>
                <w:rFonts w:asciiTheme="minorHAnsi" w:hAnsiTheme="minorHAnsi" w:cstheme="minorHAnsi"/>
                <w:noProof/>
                <w:lang w:val="en-US"/>
              </w:rPr>
              <w:t>5.4</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Spearman rank correlation test</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_Toc331518372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Fonts w:asciiTheme="minorHAnsi" w:eastAsiaTheme="minorEastAsia" w:hAnsiTheme="minorHAnsi" w:cstheme="minorHAnsi"/>
              <w:noProof/>
              <w:szCs w:val="22"/>
              <w:lang w:eastAsia="nl-NL"/>
            </w:rPr>
          </w:pPr>
          <w:hyperlink w:anchor="_Toc331518373" w:history="1">
            <w:r w:rsidR="00E23D64" w:rsidRPr="00E23D64">
              <w:rPr>
                <w:rStyle w:val="Hyperlink"/>
                <w:rFonts w:asciiTheme="minorHAnsi" w:hAnsiTheme="minorHAnsi" w:cstheme="minorHAnsi"/>
                <w:noProof/>
                <w:lang w:val="en-US"/>
              </w:rPr>
              <w:t>5.5</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Summary</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_Toc331518373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43D28">
          <w:pPr>
            <w:pStyle w:val="Inhopg1"/>
            <w:rPr>
              <w:rStyle w:val="Hyperlink"/>
              <w:rFonts w:asciiTheme="minorHAnsi" w:hAnsiTheme="minorHAnsi" w:cstheme="minorHAnsi"/>
              <w:noProof/>
            </w:rPr>
          </w:pPr>
          <w:hyperlink w:anchor="_Toc331518374" w:history="1">
            <w:r w:rsidR="00E23D64" w:rsidRPr="00E23D64">
              <w:rPr>
                <w:rStyle w:val="Hyperlink"/>
                <w:rFonts w:asciiTheme="minorHAnsi" w:hAnsiTheme="minorHAnsi" w:cstheme="minorHAnsi"/>
                <w:noProof/>
                <w:lang w:val="en-US"/>
              </w:rPr>
              <w:t>6</w:t>
            </w:r>
            <w:r w:rsidR="00E23D64" w:rsidRPr="00E23D64">
              <w:rPr>
                <w:rFonts w:asciiTheme="minorHAnsi" w:eastAsiaTheme="minorEastAsia" w:hAnsiTheme="minorHAnsi" w:cstheme="minorHAnsi"/>
                <w:b w:val="0"/>
                <w:noProof/>
                <w:szCs w:val="22"/>
                <w:lang w:eastAsia="nl-NL"/>
              </w:rPr>
              <w:tab/>
            </w:r>
            <w:r w:rsidR="00E23D64" w:rsidRPr="00E23D64">
              <w:rPr>
                <w:rStyle w:val="Hyperlink"/>
                <w:rFonts w:asciiTheme="minorHAnsi" w:hAnsiTheme="minorHAnsi" w:cstheme="minorHAnsi"/>
                <w:noProof/>
                <w:lang w:val="en-US"/>
              </w:rPr>
              <w:t>Analysis of the results</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_Toc331518374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rsidP="00E23D64">
          <w:pPr>
            <w:rPr>
              <w:rFonts w:asciiTheme="minorHAnsi" w:eastAsiaTheme="minorEastAsia" w:hAnsiTheme="minorHAnsi" w:cstheme="minorHAnsi"/>
              <w:noProof/>
            </w:rPr>
          </w:pPr>
        </w:p>
        <w:p w:rsidR="00E23D64" w:rsidRPr="00E23D64" w:rsidRDefault="00E43D28">
          <w:pPr>
            <w:pStyle w:val="Inhopg2"/>
            <w:rPr>
              <w:rStyle w:val="Hyperlink"/>
              <w:rFonts w:asciiTheme="minorHAnsi" w:hAnsiTheme="minorHAnsi" w:cstheme="minorHAnsi"/>
              <w:noProof/>
            </w:rPr>
          </w:pPr>
          <w:hyperlink w:anchor="_Toc331518375" w:history="1">
            <w:r w:rsidR="00E23D64" w:rsidRPr="00E23D64">
              <w:rPr>
                <w:rStyle w:val="Hyperlink"/>
                <w:rFonts w:asciiTheme="minorHAnsi" w:hAnsiTheme="minorHAnsi" w:cstheme="minorHAnsi"/>
                <w:noProof/>
                <w:lang w:val="en-US"/>
              </w:rPr>
              <w:t>6.1</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Introduction</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_Toc331518375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76" w:history="1">
            <w:r w:rsidR="00E23D64" w:rsidRPr="00E23D64">
              <w:rPr>
                <w:rStyle w:val="Hyperlink"/>
                <w:rFonts w:asciiTheme="minorHAnsi" w:hAnsiTheme="minorHAnsi" w:cstheme="minorHAnsi"/>
                <w:noProof/>
                <w:lang w:val="en-US"/>
              </w:rPr>
              <w:t>6.2</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Analysis of the results of the non-directional test</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_Toc331518376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77" w:history="1">
            <w:r w:rsidR="00E23D64" w:rsidRPr="00E23D64">
              <w:rPr>
                <w:rStyle w:val="Hyperlink"/>
                <w:rFonts w:asciiTheme="minorHAnsi" w:hAnsiTheme="minorHAnsi" w:cstheme="minorHAnsi"/>
                <w:noProof/>
                <w:lang w:val="en-US"/>
              </w:rPr>
              <w:t>6.3</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Analysis of the results of the Spearman rank correlation test.</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_Toc331518377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Style w:val="Hyperlink"/>
              <w:rFonts w:asciiTheme="minorHAnsi" w:hAnsiTheme="minorHAnsi" w:cstheme="minorHAnsi"/>
              <w:noProof/>
            </w:rPr>
          </w:pPr>
          <w:hyperlink w:anchor="_Toc331518378" w:history="1">
            <w:r w:rsidR="00E23D64" w:rsidRPr="00E23D64">
              <w:rPr>
                <w:rStyle w:val="Hyperlink"/>
                <w:rFonts w:asciiTheme="minorHAnsi" w:hAnsiTheme="minorHAnsi" w:cstheme="minorHAnsi"/>
                <w:noProof/>
                <w:lang w:val="en-US"/>
              </w:rPr>
              <w:t>6.4</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Limitations</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_Toc331518378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23D64">
          <w:pPr>
            <w:pStyle w:val="Inhopg2"/>
            <w:rPr>
              <w:rFonts w:asciiTheme="minorHAnsi" w:eastAsiaTheme="minorEastAsia" w:hAnsiTheme="minorHAnsi" w:cstheme="minorHAnsi"/>
              <w:noProof/>
              <w:szCs w:val="22"/>
              <w:lang w:eastAsia="nl-NL"/>
            </w:rPr>
          </w:pPr>
        </w:p>
        <w:p w:rsidR="00E23D64" w:rsidRPr="00E23D64" w:rsidRDefault="00E43D28">
          <w:pPr>
            <w:pStyle w:val="Inhopg2"/>
            <w:rPr>
              <w:rFonts w:asciiTheme="minorHAnsi" w:eastAsiaTheme="minorEastAsia" w:hAnsiTheme="minorHAnsi" w:cstheme="minorHAnsi"/>
              <w:noProof/>
              <w:szCs w:val="22"/>
              <w:lang w:eastAsia="nl-NL"/>
            </w:rPr>
          </w:pPr>
          <w:hyperlink w:anchor="_Toc331518379" w:history="1">
            <w:r w:rsidR="00E23D64" w:rsidRPr="00E23D64">
              <w:rPr>
                <w:rStyle w:val="Hyperlink"/>
                <w:rFonts w:asciiTheme="minorHAnsi" w:hAnsiTheme="minorHAnsi" w:cstheme="minorHAnsi"/>
                <w:noProof/>
                <w:lang w:val="en-US"/>
              </w:rPr>
              <w:t>6.5</w:t>
            </w:r>
            <w:r w:rsidR="00E23D64" w:rsidRPr="00E23D64">
              <w:rPr>
                <w:rFonts w:asciiTheme="minorHAnsi" w:eastAsiaTheme="minorEastAsia" w:hAnsiTheme="minorHAnsi" w:cstheme="minorHAnsi"/>
                <w:noProof/>
                <w:szCs w:val="22"/>
                <w:lang w:eastAsia="nl-NL"/>
              </w:rPr>
              <w:tab/>
            </w:r>
            <w:r w:rsidR="00E23D64" w:rsidRPr="00E23D64">
              <w:rPr>
                <w:rStyle w:val="Hyperlink"/>
                <w:rFonts w:asciiTheme="minorHAnsi" w:hAnsiTheme="minorHAnsi" w:cstheme="minorHAnsi"/>
                <w:noProof/>
                <w:lang w:val="en-US"/>
              </w:rPr>
              <w:t>Summary</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_Toc331518379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43D28">
          <w:pPr>
            <w:pStyle w:val="Inhopg1"/>
            <w:rPr>
              <w:rFonts w:asciiTheme="minorHAnsi" w:eastAsiaTheme="minorEastAsia" w:hAnsiTheme="minorHAnsi" w:cstheme="minorHAnsi"/>
              <w:b w:val="0"/>
              <w:noProof/>
              <w:szCs w:val="22"/>
              <w:lang w:eastAsia="nl-NL"/>
            </w:rPr>
          </w:pPr>
          <w:hyperlink w:anchor="_Toc331518380" w:history="1">
            <w:r w:rsidR="00E23D64" w:rsidRPr="00E23D64">
              <w:rPr>
                <w:rStyle w:val="Hyperlink"/>
                <w:rFonts w:asciiTheme="minorHAnsi" w:hAnsiTheme="minorHAnsi" w:cstheme="minorHAnsi"/>
                <w:noProof/>
                <w:lang w:val="en-US"/>
              </w:rPr>
              <w:t>7</w:t>
            </w:r>
            <w:r w:rsidR="00E23D64" w:rsidRPr="00E23D64">
              <w:rPr>
                <w:rFonts w:asciiTheme="minorHAnsi" w:eastAsiaTheme="minorEastAsia" w:hAnsiTheme="minorHAnsi" w:cstheme="minorHAnsi"/>
                <w:b w:val="0"/>
                <w:noProof/>
                <w:szCs w:val="22"/>
                <w:lang w:eastAsia="nl-NL"/>
              </w:rPr>
              <w:tab/>
            </w:r>
            <w:r w:rsidR="00E23D64" w:rsidRPr="00E23D64">
              <w:rPr>
                <w:rStyle w:val="Hyperlink"/>
                <w:rFonts w:asciiTheme="minorHAnsi" w:hAnsiTheme="minorHAnsi" w:cstheme="minorHAnsi"/>
                <w:noProof/>
                <w:lang w:val="en-US"/>
              </w:rPr>
              <w:t>Conclusion</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_Toc331518380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E23D64" w:rsidRPr="00E23D64" w:rsidRDefault="00E43D28">
          <w:pPr>
            <w:pStyle w:val="Inhopg1"/>
            <w:rPr>
              <w:rFonts w:asciiTheme="minorHAnsi" w:eastAsiaTheme="minorEastAsia" w:hAnsiTheme="minorHAnsi" w:cstheme="minorHAnsi"/>
              <w:b w:val="0"/>
              <w:noProof/>
              <w:szCs w:val="22"/>
              <w:lang w:eastAsia="nl-NL"/>
            </w:rPr>
          </w:pPr>
          <w:hyperlink w:anchor="_Toc331518381" w:history="1">
            <w:r w:rsidR="00E23D64" w:rsidRPr="00E23D64">
              <w:rPr>
                <w:rStyle w:val="Hyperlink"/>
                <w:rFonts w:asciiTheme="minorHAnsi" w:hAnsiTheme="minorHAnsi" w:cstheme="minorHAnsi"/>
                <w:noProof/>
                <w:lang w:val="en-US"/>
              </w:rPr>
              <w:t>8</w:t>
            </w:r>
            <w:r w:rsidR="00E23D64" w:rsidRPr="00E23D64">
              <w:rPr>
                <w:rFonts w:asciiTheme="minorHAnsi" w:eastAsiaTheme="minorEastAsia" w:hAnsiTheme="minorHAnsi" w:cstheme="minorHAnsi"/>
                <w:b w:val="0"/>
                <w:noProof/>
                <w:szCs w:val="22"/>
                <w:lang w:eastAsia="nl-NL"/>
              </w:rPr>
              <w:tab/>
            </w:r>
            <w:r w:rsidR="00E23D64" w:rsidRPr="00E23D64">
              <w:rPr>
                <w:rStyle w:val="Hyperlink"/>
                <w:rFonts w:asciiTheme="minorHAnsi" w:hAnsiTheme="minorHAnsi" w:cstheme="minorHAnsi"/>
                <w:noProof/>
                <w:lang w:val="en-US"/>
              </w:rPr>
              <w:t>References</w:t>
            </w:r>
            <w:r w:rsidR="00E23D64" w:rsidRPr="00E23D64">
              <w:rPr>
                <w:rFonts w:asciiTheme="minorHAnsi" w:hAnsiTheme="minorHAnsi" w:cstheme="minorHAnsi"/>
                <w:noProof/>
                <w:webHidden/>
              </w:rPr>
              <w:tab/>
            </w:r>
            <w:r w:rsidRPr="00E23D64">
              <w:rPr>
                <w:rFonts w:asciiTheme="minorHAnsi" w:hAnsiTheme="minorHAnsi" w:cstheme="minorHAnsi"/>
                <w:noProof/>
                <w:webHidden/>
              </w:rPr>
              <w:fldChar w:fldCharType="begin"/>
            </w:r>
            <w:r w:rsidR="00E23D64" w:rsidRPr="00E23D64">
              <w:rPr>
                <w:rFonts w:asciiTheme="minorHAnsi" w:hAnsiTheme="minorHAnsi" w:cstheme="minorHAnsi"/>
                <w:noProof/>
                <w:webHidden/>
              </w:rPr>
              <w:instrText xml:space="preserve"> PAGEREF _Toc331518381 \h </w:instrText>
            </w:r>
            <w:r w:rsidRPr="00E23D64">
              <w:rPr>
                <w:rFonts w:asciiTheme="minorHAnsi" w:hAnsiTheme="minorHAnsi" w:cstheme="minorHAnsi"/>
                <w:noProof/>
                <w:webHidden/>
              </w:rPr>
            </w:r>
            <w:r w:rsidRPr="00E23D64">
              <w:rPr>
                <w:rFonts w:asciiTheme="minorHAnsi" w:hAnsiTheme="minorHAnsi" w:cstheme="minorHAnsi"/>
                <w:noProof/>
                <w:webHidden/>
              </w:rPr>
              <w:fldChar w:fldCharType="separate"/>
            </w:r>
            <w:r w:rsidR="00DE498E">
              <w:rPr>
                <w:rFonts w:asciiTheme="minorHAnsi" w:hAnsiTheme="minorHAnsi" w:cstheme="minorHAnsi"/>
                <w:noProof/>
                <w:webHidden/>
              </w:rPr>
              <w:t>4</w:t>
            </w:r>
            <w:r w:rsidRPr="00E23D64">
              <w:rPr>
                <w:rFonts w:asciiTheme="minorHAnsi" w:hAnsiTheme="minorHAnsi" w:cstheme="minorHAnsi"/>
                <w:noProof/>
                <w:webHidden/>
              </w:rPr>
              <w:fldChar w:fldCharType="end"/>
            </w:r>
          </w:hyperlink>
        </w:p>
        <w:p w:rsidR="00C85E3C" w:rsidRPr="00E23D64" w:rsidRDefault="00E43D28" w:rsidP="00DF69A9">
          <w:pPr>
            <w:rPr>
              <w:rFonts w:asciiTheme="minorHAnsi" w:hAnsiTheme="minorHAnsi" w:cstheme="minorHAnsi"/>
            </w:rPr>
          </w:pPr>
          <w:r w:rsidRPr="00E23D64">
            <w:rPr>
              <w:rFonts w:asciiTheme="minorHAnsi" w:hAnsiTheme="minorHAnsi" w:cstheme="minorHAnsi"/>
            </w:rPr>
            <w:fldChar w:fldCharType="end"/>
          </w:r>
        </w:p>
        <w:p w:rsidR="0017239E" w:rsidRPr="00E23D64" w:rsidRDefault="00C85E3C" w:rsidP="00DF69A9">
          <w:pPr>
            <w:rPr>
              <w:rFonts w:asciiTheme="minorHAnsi" w:hAnsiTheme="minorHAnsi" w:cstheme="minorHAnsi"/>
            </w:rPr>
          </w:pPr>
          <w:r w:rsidRPr="00E23D64">
            <w:rPr>
              <w:rFonts w:asciiTheme="minorHAnsi" w:hAnsiTheme="minorHAnsi" w:cstheme="minorHAnsi"/>
            </w:rPr>
            <w:tab/>
          </w:r>
          <w:r w:rsidRPr="00E23D64">
            <w:rPr>
              <w:rFonts w:asciiTheme="minorHAnsi" w:hAnsiTheme="minorHAnsi" w:cstheme="minorHAnsi"/>
              <w:b/>
            </w:rPr>
            <w:t xml:space="preserve">   Appendix</w:t>
          </w:r>
          <w:r w:rsidR="00CF3243" w:rsidRPr="00E23D64">
            <w:rPr>
              <w:rFonts w:asciiTheme="minorHAnsi" w:hAnsiTheme="minorHAnsi" w:cstheme="minorHAnsi"/>
              <w:b/>
            </w:rPr>
            <w:tab/>
          </w:r>
          <w:r w:rsidR="00CF3243" w:rsidRPr="00E23D64">
            <w:rPr>
              <w:rFonts w:asciiTheme="minorHAnsi" w:hAnsiTheme="minorHAnsi" w:cstheme="minorHAnsi"/>
              <w:b/>
            </w:rPr>
            <w:tab/>
          </w:r>
          <w:r w:rsidR="00CF3243" w:rsidRPr="00E23D64">
            <w:rPr>
              <w:rFonts w:asciiTheme="minorHAnsi" w:hAnsiTheme="minorHAnsi" w:cstheme="minorHAnsi"/>
              <w:b/>
            </w:rPr>
            <w:tab/>
          </w:r>
          <w:r w:rsidR="00CF3243" w:rsidRPr="00E23D64">
            <w:rPr>
              <w:rFonts w:asciiTheme="minorHAnsi" w:hAnsiTheme="minorHAnsi" w:cstheme="minorHAnsi"/>
              <w:b/>
            </w:rPr>
            <w:tab/>
          </w:r>
          <w:r w:rsidR="00CF3243" w:rsidRPr="00E23D64">
            <w:rPr>
              <w:rFonts w:asciiTheme="minorHAnsi" w:hAnsiTheme="minorHAnsi" w:cstheme="minorHAnsi"/>
              <w:b/>
            </w:rPr>
            <w:tab/>
          </w:r>
          <w:r w:rsidR="00CF3243" w:rsidRPr="00E23D64">
            <w:rPr>
              <w:rFonts w:asciiTheme="minorHAnsi" w:hAnsiTheme="minorHAnsi" w:cstheme="minorHAnsi"/>
              <w:b/>
            </w:rPr>
            <w:tab/>
          </w:r>
          <w:r w:rsidR="00CF3243" w:rsidRPr="00E23D64">
            <w:rPr>
              <w:rFonts w:asciiTheme="minorHAnsi" w:hAnsiTheme="minorHAnsi" w:cstheme="minorHAnsi"/>
              <w:b/>
            </w:rPr>
            <w:tab/>
          </w:r>
          <w:r w:rsidR="00CF3243" w:rsidRPr="00E23D64">
            <w:rPr>
              <w:rFonts w:asciiTheme="minorHAnsi" w:hAnsiTheme="minorHAnsi" w:cstheme="minorHAnsi"/>
              <w:b/>
            </w:rPr>
            <w:tab/>
          </w:r>
          <w:r w:rsidR="00CF3243" w:rsidRPr="00E23D64">
            <w:rPr>
              <w:rFonts w:asciiTheme="minorHAnsi" w:hAnsiTheme="minorHAnsi" w:cstheme="minorHAnsi"/>
              <w:b/>
            </w:rPr>
            <w:tab/>
          </w:r>
          <w:r w:rsidR="00CF3243" w:rsidRPr="00E23D64">
            <w:rPr>
              <w:rFonts w:asciiTheme="minorHAnsi" w:hAnsiTheme="minorHAnsi" w:cstheme="minorHAnsi"/>
              <w:b/>
            </w:rPr>
            <w:tab/>
          </w:r>
          <w:r w:rsidR="00CF3243" w:rsidRPr="00E23D64">
            <w:rPr>
              <w:rFonts w:asciiTheme="minorHAnsi" w:hAnsiTheme="minorHAnsi" w:cstheme="minorHAnsi"/>
              <w:b/>
            </w:rPr>
            <w:tab/>
          </w:r>
          <w:r w:rsidR="00CF3243" w:rsidRPr="00E23D64">
            <w:rPr>
              <w:rFonts w:asciiTheme="minorHAnsi" w:hAnsiTheme="minorHAnsi" w:cstheme="minorHAnsi"/>
              <w:b/>
            </w:rPr>
            <w:tab/>
          </w:r>
          <w:r w:rsidR="00CF3243" w:rsidRPr="00E23D64">
            <w:rPr>
              <w:rFonts w:asciiTheme="minorHAnsi" w:hAnsiTheme="minorHAnsi" w:cstheme="minorHAnsi"/>
              <w:b/>
            </w:rPr>
            <w:tab/>
          </w:r>
          <w:r w:rsidR="00CF3243" w:rsidRPr="00E23D64">
            <w:rPr>
              <w:rFonts w:asciiTheme="minorHAnsi" w:hAnsiTheme="minorHAnsi" w:cstheme="minorHAnsi"/>
              <w:b/>
            </w:rPr>
            <w:tab/>
            <w:t xml:space="preserve">  </w:t>
          </w:r>
          <w:r w:rsidR="00E23D64" w:rsidRPr="00E23D64">
            <w:rPr>
              <w:rFonts w:asciiTheme="minorHAnsi" w:hAnsiTheme="minorHAnsi" w:cstheme="minorHAnsi"/>
              <w:b/>
            </w:rPr>
            <w:t>5</w:t>
          </w:r>
          <w:r w:rsidR="00792A03">
            <w:rPr>
              <w:rFonts w:asciiTheme="minorHAnsi" w:hAnsiTheme="minorHAnsi" w:cstheme="minorHAnsi"/>
              <w:b/>
            </w:rPr>
            <w:t>5</w:t>
          </w:r>
        </w:p>
      </w:sdtContent>
    </w:sdt>
    <w:p w:rsidR="0017239E" w:rsidRPr="001C5BDB" w:rsidRDefault="0017239E">
      <w:pPr>
        <w:overflowPunct/>
        <w:autoSpaceDE/>
        <w:autoSpaceDN/>
        <w:adjustRightInd/>
        <w:spacing w:after="200" w:line="276" w:lineRule="auto"/>
        <w:textAlignment w:val="auto"/>
        <w:rPr>
          <w:rFonts w:asciiTheme="minorHAnsi" w:hAnsiTheme="minorHAnsi" w:cstheme="minorHAnsi"/>
          <w:b/>
          <w:sz w:val="28"/>
          <w:lang w:val="en-US"/>
        </w:rPr>
      </w:pPr>
      <w:r w:rsidRPr="00E23D64">
        <w:rPr>
          <w:rFonts w:asciiTheme="minorHAnsi" w:hAnsiTheme="minorHAnsi" w:cstheme="minorHAnsi"/>
          <w:lang w:val="en-US"/>
        </w:rPr>
        <w:br w:type="page"/>
      </w:r>
    </w:p>
    <w:p w:rsidR="002C347E" w:rsidRPr="009D3628" w:rsidRDefault="008F582D" w:rsidP="004A290D">
      <w:pPr>
        <w:pStyle w:val="Kop1"/>
        <w:rPr>
          <w:rFonts w:ascii="Calibri" w:hAnsi="Calibri" w:cs="Calibri"/>
          <w:lang w:val="en-US"/>
        </w:rPr>
      </w:pPr>
      <w:bookmarkStart w:id="0" w:name="_Toc331518346"/>
      <w:r w:rsidRPr="009D3628">
        <w:rPr>
          <w:rFonts w:ascii="Calibri" w:hAnsi="Calibri" w:cs="Calibri"/>
          <w:lang w:val="en-US"/>
        </w:rPr>
        <w:lastRenderedPageBreak/>
        <w:t>Introduction</w:t>
      </w:r>
      <w:bookmarkEnd w:id="0"/>
    </w:p>
    <w:p w:rsidR="008F582D" w:rsidRPr="009D3628" w:rsidRDefault="008F582D" w:rsidP="008F582D">
      <w:pPr>
        <w:pStyle w:val="000"/>
        <w:spacing w:line="360" w:lineRule="auto"/>
        <w:rPr>
          <w:rFonts w:ascii="Calibri" w:hAnsi="Calibri" w:cs="Calibri"/>
          <w:b/>
          <w:lang w:val="en-US"/>
        </w:rPr>
      </w:pPr>
    </w:p>
    <w:p w:rsidR="000F6E7F" w:rsidRPr="009D3628" w:rsidRDefault="000F6E7F" w:rsidP="000F6E7F">
      <w:pPr>
        <w:pStyle w:val="Kop2"/>
        <w:spacing w:line="360" w:lineRule="auto"/>
        <w:rPr>
          <w:rFonts w:ascii="Calibri" w:hAnsi="Calibri" w:cs="Calibri"/>
          <w:lang w:val="en-US"/>
        </w:rPr>
      </w:pPr>
      <w:bookmarkStart w:id="1" w:name="_Toc331518347"/>
      <w:r w:rsidRPr="009D3628">
        <w:rPr>
          <w:rFonts w:ascii="Calibri" w:hAnsi="Calibri" w:cs="Calibri"/>
          <w:lang w:val="en-US"/>
        </w:rPr>
        <w:t>Information content of earnings announcements</w:t>
      </w:r>
      <w:bookmarkEnd w:id="1"/>
    </w:p>
    <w:p w:rsidR="00056BC2" w:rsidRPr="009D3628" w:rsidRDefault="00BF4CFF" w:rsidP="008F582D">
      <w:pPr>
        <w:pStyle w:val="000"/>
        <w:spacing w:line="360" w:lineRule="auto"/>
        <w:rPr>
          <w:rFonts w:ascii="Calibri" w:hAnsi="Calibri" w:cs="Calibri"/>
          <w:lang w:val="en-US"/>
        </w:rPr>
      </w:pPr>
      <w:r w:rsidRPr="009D3628">
        <w:rPr>
          <w:rFonts w:ascii="Calibri" w:hAnsi="Calibri" w:cs="Calibri"/>
          <w:lang w:val="en-US"/>
        </w:rPr>
        <w:t xml:space="preserve">If a </w:t>
      </w:r>
      <w:r w:rsidR="00056BC2" w:rsidRPr="009D3628">
        <w:rPr>
          <w:rFonts w:ascii="Calibri" w:hAnsi="Calibri" w:cs="Calibri"/>
          <w:lang w:val="en-US"/>
        </w:rPr>
        <w:t xml:space="preserve">firm </w:t>
      </w:r>
      <w:r w:rsidRPr="009D3628">
        <w:rPr>
          <w:rFonts w:ascii="Calibri" w:hAnsi="Calibri" w:cs="Calibri"/>
          <w:lang w:val="en-US"/>
        </w:rPr>
        <w:t xml:space="preserve">releases an official public statement about its profitability for a specific time period, this is called an earnings announcement. </w:t>
      </w:r>
      <w:r w:rsidR="005B3C99" w:rsidRPr="009D3628">
        <w:rPr>
          <w:rFonts w:ascii="Calibri" w:hAnsi="Calibri" w:cs="Calibri"/>
          <w:lang w:val="en-US"/>
        </w:rPr>
        <w:t xml:space="preserve">When a firm releases an earnings announcement, this information will be interpreted by investors and they will react on this. </w:t>
      </w:r>
      <w:r w:rsidR="00E02E52" w:rsidRPr="009D3628">
        <w:rPr>
          <w:rFonts w:ascii="Calibri" w:hAnsi="Calibri" w:cs="Calibri"/>
          <w:lang w:val="en-US"/>
        </w:rPr>
        <w:t xml:space="preserve">By looking at the reaction of investors, you can measure the information content of the earnings announcement. The change in the stock price of the announcing firm visualizes the reaction of the investors on the financial information release. </w:t>
      </w:r>
      <w:r w:rsidR="003A5066" w:rsidRPr="009D3628">
        <w:rPr>
          <w:rFonts w:ascii="Calibri" w:hAnsi="Calibri" w:cs="Calibri"/>
          <w:lang w:val="en-US"/>
        </w:rPr>
        <w:t xml:space="preserve">By observing the abnormal returns in the stock price of the firm, the information content of the earnings information can be determined. </w:t>
      </w:r>
      <w:r w:rsidR="000F6E7F" w:rsidRPr="009D3628">
        <w:rPr>
          <w:rFonts w:ascii="Calibri" w:hAnsi="Calibri" w:cs="Calibri"/>
          <w:lang w:val="en-US"/>
        </w:rPr>
        <w:t>The abnormal return is the difference between the expected return and the actual ret</w:t>
      </w:r>
      <w:r w:rsidR="00660CE9" w:rsidRPr="009D3628">
        <w:rPr>
          <w:rFonts w:ascii="Calibri" w:hAnsi="Calibri" w:cs="Calibri"/>
          <w:lang w:val="en-US"/>
        </w:rPr>
        <w:t>urn. Stock exchange markets use</w:t>
      </w:r>
      <w:r w:rsidR="000F6E7F" w:rsidRPr="009D3628">
        <w:rPr>
          <w:rFonts w:ascii="Calibri" w:hAnsi="Calibri" w:cs="Calibri"/>
          <w:lang w:val="en-US"/>
        </w:rPr>
        <w:t xml:space="preserve"> a benchmark for expected return. If, after an earnings announcement, the actual return of a stock differs from the expected return according to the market, this indicates the level of information content of the earnings announcement.</w:t>
      </w:r>
      <w:r w:rsidR="00056BC2" w:rsidRPr="009D3628">
        <w:rPr>
          <w:rFonts w:ascii="Calibri" w:hAnsi="Calibri" w:cs="Calibri"/>
          <w:lang w:val="en-US"/>
        </w:rPr>
        <w:t xml:space="preserve"> </w:t>
      </w:r>
      <w:r w:rsidR="005B3C99" w:rsidRPr="009D3628">
        <w:rPr>
          <w:rFonts w:ascii="Calibri" w:hAnsi="Calibri" w:cs="Calibri"/>
          <w:lang w:val="en-US"/>
        </w:rPr>
        <w:t>Prior literature finds that the information content of</w:t>
      </w:r>
      <w:r w:rsidR="00660CE9" w:rsidRPr="009D3628">
        <w:rPr>
          <w:rFonts w:ascii="Calibri" w:hAnsi="Calibri" w:cs="Calibri"/>
          <w:lang w:val="en-US"/>
        </w:rPr>
        <w:t xml:space="preserve"> these earnings announcements has</w:t>
      </w:r>
      <w:r w:rsidR="005B3C99" w:rsidRPr="009D3628">
        <w:rPr>
          <w:rFonts w:ascii="Calibri" w:hAnsi="Calibri" w:cs="Calibri"/>
          <w:lang w:val="en-US"/>
        </w:rPr>
        <w:t xml:space="preserve"> increased over the last decades (Landsman and Maydew, 2002). </w:t>
      </w:r>
    </w:p>
    <w:p w:rsidR="00104FDA" w:rsidRPr="009D3628" w:rsidRDefault="00104FDA" w:rsidP="008F582D">
      <w:pPr>
        <w:pStyle w:val="000"/>
        <w:spacing w:line="360" w:lineRule="auto"/>
        <w:rPr>
          <w:rFonts w:ascii="Calibri" w:hAnsi="Calibri" w:cs="Calibri"/>
          <w:lang w:val="en-US"/>
        </w:rPr>
      </w:pPr>
    </w:p>
    <w:p w:rsidR="00056BC2" w:rsidRPr="009D3628" w:rsidRDefault="00056BC2" w:rsidP="00056BC2">
      <w:pPr>
        <w:pStyle w:val="Kop2"/>
        <w:spacing w:line="360" w:lineRule="auto"/>
        <w:rPr>
          <w:rFonts w:ascii="Calibri" w:hAnsi="Calibri" w:cs="Calibri"/>
          <w:lang w:val="en-US"/>
        </w:rPr>
      </w:pPr>
      <w:bookmarkStart w:id="2" w:name="_Toc331518348"/>
      <w:r w:rsidRPr="009D3628">
        <w:rPr>
          <w:rFonts w:ascii="Calibri" w:hAnsi="Calibri" w:cs="Calibri"/>
          <w:lang w:val="en-US"/>
        </w:rPr>
        <w:t>Intra-Industry information transfer</w:t>
      </w:r>
      <w:bookmarkEnd w:id="2"/>
    </w:p>
    <w:p w:rsidR="008F582D" w:rsidRPr="009D3628" w:rsidRDefault="005B3C99" w:rsidP="00056BC2">
      <w:pPr>
        <w:pStyle w:val="000"/>
        <w:spacing w:line="360" w:lineRule="auto"/>
        <w:rPr>
          <w:rFonts w:ascii="Calibri" w:hAnsi="Calibri" w:cs="Calibri"/>
          <w:lang w:val="en-US"/>
        </w:rPr>
      </w:pPr>
      <w:r w:rsidRPr="009D3628">
        <w:rPr>
          <w:rFonts w:ascii="Calibri" w:hAnsi="Calibri" w:cs="Calibri"/>
          <w:lang w:val="en-US"/>
        </w:rPr>
        <w:t>Next to that an earnings announcement of a firm provides financial information about the firm itself, it can also provide so called ‘industry-specific’</w:t>
      </w:r>
      <w:r w:rsidR="00407EA6" w:rsidRPr="009D3628">
        <w:rPr>
          <w:rFonts w:ascii="Calibri" w:hAnsi="Calibri" w:cs="Calibri"/>
          <w:lang w:val="en-US"/>
        </w:rPr>
        <w:t xml:space="preserve"> information. This indicates that some information contained in the announcement is als</w:t>
      </w:r>
      <w:r w:rsidR="00056BC2" w:rsidRPr="009D3628">
        <w:rPr>
          <w:rFonts w:ascii="Calibri" w:hAnsi="Calibri" w:cs="Calibri"/>
          <w:lang w:val="en-US"/>
        </w:rPr>
        <w:t>o applicable to</w:t>
      </w:r>
      <w:r w:rsidR="00407EA6" w:rsidRPr="009D3628">
        <w:rPr>
          <w:rFonts w:ascii="Calibri" w:hAnsi="Calibri" w:cs="Calibri"/>
          <w:lang w:val="en-US"/>
        </w:rPr>
        <w:t xml:space="preserve"> other firms operating in the same industry as the announcing firm. This phenomena is called ‘intra-industry information transfer’ and the </w:t>
      </w:r>
      <w:r w:rsidR="001C6B3A" w:rsidRPr="009D3628">
        <w:rPr>
          <w:rFonts w:ascii="Calibri" w:hAnsi="Calibri" w:cs="Calibri"/>
          <w:lang w:val="en-US"/>
        </w:rPr>
        <w:t>appearance</w:t>
      </w:r>
      <w:r w:rsidR="00407EA6" w:rsidRPr="009D3628">
        <w:rPr>
          <w:rFonts w:ascii="Calibri" w:hAnsi="Calibri" w:cs="Calibri"/>
          <w:lang w:val="en-US"/>
        </w:rPr>
        <w:t xml:space="preserve"> of it is already investigated by</w:t>
      </w:r>
      <w:r w:rsidR="00CB313F" w:rsidRPr="009D3628">
        <w:rPr>
          <w:rFonts w:ascii="Calibri" w:hAnsi="Calibri" w:cs="Calibri"/>
          <w:lang w:val="en-US"/>
        </w:rPr>
        <w:t xml:space="preserve"> multiple</w:t>
      </w:r>
      <w:r w:rsidR="00407EA6" w:rsidRPr="009D3628">
        <w:rPr>
          <w:rFonts w:ascii="Calibri" w:hAnsi="Calibri" w:cs="Calibri"/>
          <w:lang w:val="en-US"/>
        </w:rPr>
        <w:t xml:space="preserve"> prior studies (</w:t>
      </w:r>
      <w:r w:rsidR="00660CE9" w:rsidRPr="009D3628">
        <w:rPr>
          <w:rFonts w:ascii="Calibri" w:hAnsi="Calibri" w:cs="Calibri"/>
          <w:lang w:val="en-US"/>
        </w:rPr>
        <w:t xml:space="preserve">e.g. Foster, 1981; Freeman and Tse, 1992; </w:t>
      </w:r>
      <w:r w:rsidR="00407EA6" w:rsidRPr="009D3628">
        <w:rPr>
          <w:rFonts w:ascii="Calibri" w:hAnsi="Calibri" w:cs="Calibri"/>
          <w:lang w:val="en-US"/>
        </w:rPr>
        <w:t>Schipper, 1990)</w:t>
      </w:r>
      <w:r w:rsidR="00B70E73" w:rsidRPr="009D3628">
        <w:rPr>
          <w:rFonts w:ascii="Calibri" w:hAnsi="Calibri" w:cs="Calibri"/>
          <w:lang w:val="en-US"/>
        </w:rPr>
        <w:t>.</w:t>
      </w:r>
    </w:p>
    <w:p w:rsidR="00680BAD" w:rsidRPr="009D3628" w:rsidRDefault="00056BC2" w:rsidP="008F582D">
      <w:pPr>
        <w:pStyle w:val="000"/>
        <w:spacing w:line="360" w:lineRule="auto"/>
        <w:rPr>
          <w:rFonts w:ascii="Calibri" w:hAnsi="Calibri" w:cs="Calibri"/>
          <w:lang w:val="en-US"/>
        </w:rPr>
      </w:pPr>
      <w:r w:rsidRPr="009D3628">
        <w:rPr>
          <w:rFonts w:ascii="Calibri" w:hAnsi="Calibri" w:cs="Calibri"/>
          <w:lang w:val="en-US"/>
        </w:rPr>
        <w:t xml:space="preserve"> </w:t>
      </w:r>
      <w:r w:rsidR="007E0D67" w:rsidRPr="009D3628">
        <w:rPr>
          <w:rFonts w:ascii="Calibri" w:hAnsi="Calibri" w:cs="Calibri"/>
          <w:lang w:val="en-US"/>
        </w:rPr>
        <w:t>A way to test th</w:t>
      </w:r>
      <w:r w:rsidRPr="009D3628">
        <w:rPr>
          <w:rFonts w:ascii="Calibri" w:hAnsi="Calibri" w:cs="Calibri"/>
          <w:lang w:val="en-US"/>
        </w:rPr>
        <w:t>e response of</w:t>
      </w:r>
      <w:r w:rsidR="007E0D67" w:rsidRPr="009D3628">
        <w:rPr>
          <w:rFonts w:ascii="Calibri" w:hAnsi="Calibri" w:cs="Calibri"/>
          <w:lang w:val="en-US"/>
        </w:rPr>
        <w:t xml:space="preserve"> investors on the financial information contained in an earnings announce</w:t>
      </w:r>
      <w:r w:rsidR="004A5481" w:rsidRPr="009D3628">
        <w:rPr>
          <w:rFonts w:ascii="Calibri" w:hAnsi="Calibri" w:cs="Calibri"/>
          <w:lang w:val="en-US"/>
        </w:rPr>
        <w:t>ment, is to look at the change</w:t>
      </w:r>
      <w:r w:rsidR="007E0D67" w:rsidRPr="009D3628">
        <w:rPr>
          <w:rFonts w:ascii="Calibri" w:hAnsi="Calibri" w:cs="Calibri"/>
          <w:lang w:val="en-US"/>
        </w:rPr>
        <w:t xml:space="preserve"> in the stock price of the announcing firm.</w:t>
      </w:r>
      <w:r w:rsidR="004A5481" w:rsidRPr="009D3628">
        <w:rPr>
          <w:rFonts w:ascii="Calibri" w:hAnsi="Calibri" w:cs="Calibri"/>
          <w:lang w:val="en-US"/>
        </w:rPr>
        <w:t xml:space="preserve"> Investors will adapt especially the ‘new’ information contained in the earnings announcement and respond to this. </w:t>
      </w:r>
      <w:r w:rsidR="0032712B" w:rsidRPr="009D3628">
        <w:rPr>
          <w:rFonts w:ascii="Calibri" w:hAnsi="Calibri" w:cs="Calibri"/>
          <w:lang w:val="en-US"/>
        </w:rPr>
        <w:t xml:space="preserve">Investors always have information about the operations of a firm, on which they will estimate the expected earnings of the firm. If the earnings announcement contains </w:t>
      </w:r>
      <w:r w:rsidR="00DA5ECD" w:rsidRPr="009D3628">
        <w:rPr>
          <w:rFonts w:ascii="Calibri" w:hAnsi="Calibri" w:cs="Calibri"/>
          <w:lang w:val="en-US"/>
        </w:rPr>
        <w:t>unexpected earnings, this implies that the earnings announcement contains financial information, which was not already known by investors</w:t>
      </w:r>
      <w:r w:rsidR="0032712B" w:rsidRPr="009D3628">
        <w:rPr>
          <w:rFonts w:ascii="Calibri" w:hAnsi="Calibri" w:cs="Calibri"/>
          <w:lang w:val="en-US"/>
        </w:rPr>
        <w:t>.</w:t>
      </w:r>
      <w:r w:rsidR="00597F2E" w:rsidRPr="009D3628">
        <w:rPr>
          <w:rFonts w:ascii="Calibri" w:hAnsi="Calibri" w:cs="Calibri"/>
          <w:lang w:val="en-US"/>
        </w:rPr>
        <w:t xml:space="preserve"> The unexpected earnings of the announcing firm should be determined, because this part of the earnings is </w:t>
      </w:r>
      <w:r w:rsidR="00597F2E" w:rsidRPr="009D3628">
        <w:rPr>
          <w:rFonts w:ascii="Calibri" w:hAnsi="Calibri" w:cs="Calibri"/>
          <w:lang w:val="en-US"/>
        </w:rPr>
        <w:lastRenderedPageBreak/>
        <w:t>unknown by investors before the earnings announcement, and therefore this is the information where the investors will respond to at the time the earnings information is released.</w:t>
      </w:r>
      <w:r w:rsidR="004A5481" w:rsidRPr="009D3628">
        <w:rPr>
          <w:rFonts w:ascii="Calibri" w:hAnsi="Calibri" w:cs="Calibri"/>
          <w:lang w:val="en-US"/>
        </w:rPr>
        <w:t xml:space="preserve"> </w:t>
      </w:r>
      <w:r w:rsidR="007E0D67" w:rsidRPr="009D3628">
        <w:rPr>
          <w:rFonts w:ascii="Calibri" w:hAnsi="Calibri" w:cs="Calibri"/>
          <w:lang w:val="en-US"/>
        </w:rPr>
        <w:t xml:space="preserve">To investigate the presence of ‘intra-industry information transfer’ also the reaction </w:t>
      </w:r>
      <w:r w:rsidRPr="009D3628">
        <w:rPr>
          <w:rFonts w:ascii="Calibri" w:hAnsi="Calibri" w:cs="Calibri"/>
          <w:lang w:val="en-US"/>
        </w:rPr>
        <w:t xml:space="preserve">in the stock price </w:t>
      </w:r>
      <w:r w:rsidR="007E0D67" w:rsidRPr="009D3628">
        <w:rPr>
          <w:rFonts w:ascii="Calibri" w:hAnsi="Calibri" w:cs="Calibri"/>
          <w:lang w:val="en-US"/>
        </w:rPr>
        <w:t xml:space="preserve">of the non-announcing firms in the same industry </w:t>
      </w:r>
      <w:r w:rsidRPr="009D3628">
        <w:rPr>
          <w:rFonts w:ascii="Calibri" w:hAnsi="Calibri" w:cs="Calibri"/>
          <w:lang w:val="en-US"/>
        </w:rPr>
        <w:t>is</w:t>
      </w:r>
      <w:r w:rsidR="007E0D67" w:rsidRPr="009D3628">
        <w:rPr>
          <w:rFonts w:ascii="Calibri" w:hAnsi="Calibri" w:cs="Calibri"/>
          <w:lang w:val="en-US"/>
        </w:rPr>
        <w:t xml:space="preserve"> measured </w:t>
      </w:r>
      <w:r w:rsidRPr="009D3628">
        <w:rPr>
          <w:rFonts w:ascii="Calibri" w:hAnsi="Calibri" w:cs="Calibri"/>
          <w:lang w:val="en-US"/>
        </w:rPr>
        <w:t>after</w:t>
      </w:r>
      <w:r w:rsidR="007E0D67" w:rsidRPr="009D3628">
        <w:rPr>
          <w:rFonts w:ascii="Calibri" w:hAnsi="Calibri" w:cs="Calibri"/>
          <w:lang w:val="en-US"/>
        </w:rPr>
        <w:t xml:space="preserve"> the earnings announcement of the competitive firm.  </w:t>
      </w:r>
    </w:p>
    <w:p w:rsidR="00407EA6" w:rsidRDefault="00680BAD" w:rsidP="008F582D">
      <w:pPr>
        <w:pStyle w:val="000"/>
        <w:spacing w:line="360" w:lineRule="auto"/>
        <w:rPr>
          <w:rFonts w:ascii="Calibri" w:hAnsi="Calibri" w:cs="Calibri"/>
          <w:lang w:val="en-US"/>
        </w:rPr>
      </w:pPr>
      <w:r w:rsidRPr="009D3628">
        <w:rPr>
          <w:rFonts w:ascii="Calibri" w:hAnsi="Calibri" w:cs="Calibri"/>
          <w:lang w:val="en-US"/>
        </w:rPr>
        <w:t xml:space="preserve"> </w:t>
      </w:r>
      <w:r w:rsidR="00407EA6" w:rsidRPr="009D3628">
        <w:rPr>
          <w:rFonts w:ascii="Calibri" w:hAnsi="Calibri" w:cs="Calibri"/>
          <w:lang w:val="en-US"/>
        </w:rPr>
        <w:t xml:space="preserve">Foster </w:t>
      </w:r>
      <w:r w:rsidR="007E0D67" w:rsidRPr="009D3628">
        <w:rPr>
          <w:rFonts w:ascii="Calibri" w:hAnsi="Calibri" w:cs="Calibri"/>
          <w:lang w:val="en-US"/>
        </w:rPr>
        <w:t>(1981) started investigating this</w:t>
      </w:r>
      <w:r w:rsidR="00407EA6" w:rsidRPr="009D3628">
        <w:rPr>
          <w:rFonts w:ascii="Calibri" w:hAnsi="Calibri" w:cs="Calibri"/>
          <w:lang w:val="en-US"/>
        </w:rPr>
        <w:t xml:space="preserve"> relationship between </w:t>
      </w:r>
      <w:r w:rsidR="007E0D67" w:rsidRPr="009D3628">
        <w:rPr>
          <w:rFonts w:ascii="Calibri" w:hAnsi="Calibri" w:cs="Calibri"/>
          <w:lang w:val="en-US"/>
        </w:rPr>
        <w:t xml:space="preserve">the impact of an earnings announcement on the stock price of the announcing firm and the impact of the </w:t>
      </w:r>
      <w:r w:rsidR="0032712B" w:rsidRPr="009D3628">
        <w:rPr>
          <w:rFonts w:ascii="Calibri" w:hAnsi="Calibri" w:cs="Calibri"/>
          <w:lang w:val="en-US"/>
        </w:rPr>
        <w:t xml:space="preserve">same </w:t>
      </w:r>
      <w:r w:rsidR="007E0D67" w:rsidRPr="009D3628">
        <w:rPr>
          <w:rFonts w:ascii="Calibri" w:hAnsi="Calibri" w:cs="Calibri"/>
          <w:lang w:val="en-US"/>
        </w:rPr>
        <w:t xml:space="preserve">announcement on the stock prices of non-announcing firms in the same industry. </w:t>
      </w:r>
      <w:r w:rsidR="0032712B" w:rsidRPr="009D3628">
        <w:rPr>
          <w:rFonts w:ascii="Calibri" w:hAnsi="Calibri" w:cs="Calibri"/>
          <w:lang w:val="en-US"/>
        </w:rPr>
        <w:t xml:space="preserve">Foster (1981) also investigates the direction of the stock price reaction. </w:t>
      </w:r>
      <w:r w:rsidRPr="009D3628">
        <w:rPr>
          <w:rFonts w:ascii="Calibri" w:hAnsi="Calibri" w:cs="Calibri"/>
          <w:lang w:val="en-US"/>
        </w:rPr>
        <w:t xml:space="preserve">If a firm releases positive information, this will lead to an increase in the stock price of the announcing firm, because investors will respond to the flourishing earnings figures by buying more stocks of the firm. </w:t>
      </w:r>
      <w:r w:rsidR="00DA5ECD" w:rsidRPr="009D3628">
        <w:rPr>
          <w:rFonts w:ascii="Calibri" w:hAnsi="Calibri" w:cs="Calibri"/>
          <w:lang w:val="en-US"/>
        </w:rPr>
        <w:t xml:space="preserve">If the ‘good’ </w:t>
      </w:r>
      <w:r w:rsidR="00FD5F1E" w:rsidRPr="009D3628">
        <w:rPr>
          <w:rFonts w:ascii="Calibri" w:hAnsi="Calibri" w:cs="Calibri"/>
          <w:lang w:val="en-US"/>
        </w:rPr>
        <w:t xml:space="preserve">news for the announcing firm, is also interpreted by investors as good news for the other firms in the same industry, there will be a contagion effect. A contagion effect implies that the change in the stock price has the same direction for the announcing firm as for the non-announcing firms in the same industry. </w:t>
      </w:r>
      <w:r w:rsidRPr="009D3628">
        <w:rPr>
          <w:rFonts w:ascii="Calibri" w:hAnsi="Calibri" w:cs="Calibri"/>
          <w:lang w:val="en-US"/>
        </w:rPr>
        <w:t>But good news for the announcing firm not always has to be good news for the non-announcing firm</w:t>
      </w:r>
      <w:r w:rsidR="00FD5F1E" w:rsidRPr="009D3628">
        <w:rPr>
          <w:rFonts w:ascii="Calibri" w:hAnsi="Calibri" w:cs="Calibri"/>
          <w:lang w:val="en-US"/>
        </w:rPr>
        <w:t>s</w:t>
      </w:r>
      <w:r w:rsidRPr="009D3628">
        <w:rPr>
          <w:rFonts w:ascii="Calibri" w:hAnsi="Calibri" w:cs="Calibri"/>
          <w:lang w:val="en-US"/>
        </w:rPr>
        <w:t xml:space="preserve"> in the same industry. If there is high competition between firms </w:t>
      </w:r>
      <w:r w:rsidR="00FD5F1E" w:rsidRPr="009D3628">
        <w:rPr>
          <w:rFonts w:ascii="Calibri" w:hAnsi="Calibri" w:cs="Calibri"/>
          <w:lang w:val="en-US"/>
        </w:rPr>
        <w:t>in a rigid industry, it could be that higher earnings presented by the announcing firm, indicates lower earnings for competing firms operating in the same industry. If investors interpret this in such a way, ‘good’ new released by the announcing firm</w:t>
      </w:r>
      <w:r w:rsidR="005B25C0" w:rsidRPr="009D3628">
        <w:rPr>
          <w:rFonts w:ascii="Calibri" w:hAnsi="Calibri" w:cs="Calibri"/>
          <w:lang w:val="en-US"/>
        </w:rPr>
        <w:t xml:space="preserve">, will be ‘bad’ news for the other firms in the same industry. This will lead to decreases in stock prices for the non-announcing firms. If this is the case, the </w:t>
      </w:r>
      <w:r w:rsidR="00660CE9" w:rsidRPr="009D3628">
        <w:rPr>
          <w:rFonts w:ascii="Calibri" w:hAnsi="Calibri" w:cs="Calibri"/>
          <w:lang w:val="en-US"/>
        </w:rPr>
        <w:t>competition</w:t>
      </w:r>
      <w:r w:rsidR="005B25C0" w:rsidRPr="009D3628">
        <w:rPr>
          <w:rFonts w:ascii="Calibri" w:hAnsi="Calibri" w:cs="Calibri"/>
          <w:lang w:val="en-US"/>
        </w:rPr>
        <w:t xml:space="preserve"> effects apparently offset the contagion effects (Laux et al., 1998)</w:t>
      </w:r>
      <w:r w:rsidRPr="009D3628">
        <w:rPr>
          <w:rFonts w:ascii="Calibri" w:hAnsi="Calibri" w:cs="Calibri"/>
          <w:lang w:val="en-US"/>
        </w:rPr>
        <w:t xml:space="preserve">  </w:t>
      </w:r>
      <w:r w:rsidR="00056BC2" w:rsidRPr="009D3628">
        <w:rPr>
          <w:rFonts w:ascii="Calibri" w:hAnsi="Calibri" w:cs="Calibri"/>
          <w:lang w:val="en-US"/>
        </w:rPr>
        <w:t>Replicating</w:t>
      </w:r>
      <w:r w:rsidR="007E0D67" w:rsidRPr="009D3628">
        <w:rPr>
          <w:rFonts w:ascii="Calibri" w:hAnsi="Calibri" w:cs="Calibri"/>
          <w:lang w:val="en-US"/>
        </w:rPr>
        <w:t xml:space="preserve"> Foster (1981)</w:t>
      </w:r>
      <w:r w:rsidR="00056BC2" w:rsidRPr="009D3628">
        <w:rPr>
          <w:rFonts w:ascii="Calibri" w:hAnsi="Calibri" w:cs="Calibri"/>
          <w:lang w:val="en-US"/>
        </w:rPr>
        <w:t>,</w:t>
      </w:r>
      <w:r w:rsidR="007E0D67" w:rsidRPr="009D3628">
        <w:rPr>
          <w:rFonts w:ascii="Calibri" w:hAnsi="Calibri" w:cs="Calibri"/>
          <w:lang w:val="en-US"/>
        </w:rPr>
        <w:t xml:space="preserve"> several other studies</w:t>
      </w:r>
      <w:r w:rsidR="00A6526F" w:rsidRPr="009D3628">
        <w:rPr>
          <w:rFonts w:ascii="Calibri" w:hAnsi="Calibri" w:cs="Calibri"/>
          <w:lang w:val="en-US"/>
        </w:rPr>
        <w:t xml:space="preserve"> investigated intra-industry information transfers and most of them</w:t>
      </w:r>
      <w:r w:rsidR="007E0D67" w:rsidRPr="009D3628">
        <w:rPr>
          <w:rFonts w:ascii="Calibri" w:hAnsi="Calibri" w:cs="Calibri"/>
          <w:lang w:val="en-US"/>
        </w:rPr>
        <w:t xml:space="preserve"> found prove that there appears to be a positive correlation between the impact of an earnings announcement on the announcing firm’s stock price and on the non-announcing firms’ stock prices</w:t>
      </w:r>
      <w:r w:rsidR="00660CE9" w:rsidRPr="009D3628">
        <w:rPr>
          <w:rFonts w:ascii="Calibri" w:hAnsi="Calibri" w:cs="Calibri"/>
          <w:lang w:val="en-US"/>
        </w:rPr>
        <w:t xml:space="preserve"> operating in the same industry</w:t>
      </w:r>
      <w:r w:rsidR="007E0D67" w:rsidRPr="009D3628">
        <w:rPr>
          <w:rFonts w:ascii="Calibri" w:hAnsi="Calibri" w:cs="Calibri"/>
          <w:lang w:val="en-US"/>
        </w:rPr>
        <w:t xml:space="preserve"> (Han et al, 1989; Freeman and Tse, 1992; </w:t>
      </w:r>
      <w:r w:rsidR="009D494A" w:rsidRPr="009D3628">
        <w:rPr>
          <w:rFonts w:ascii="Calibri" w:hAnsi="Calibri" w:cs="Calibri"/>
          <w:lang w:val="en-US"/>
        </w:rPr>
        <w:t>Ramnath, 2002; Thomas and Zhang, 2008)</w:t>
      </w:r>
      <w:r w:rsidR="006B08CC" w:rsidRPr="009D3628">
        <w:rPr>
          <w:rFonts w:ascii="Calibri" w:hAnsi="Calibri" w:cs="Calibri"/>
          <w:lang w:val="en-US"/>
        </w:rPr>
        <w:t>.</w:t>
      </w:r>
    </w:p>
    <w:p w:rsidR="00C148E5" w:rsidRPr="009D3628" w:rsidRDefault="00C148E5" w:rsidP="008F582D">
      <w:pPr>
        <w:pStyle w:val="000"/>
        <w:spacing w:line="360" w:lineRule="auto"/>
        <w:rPr>
          <w:rFonts w:ascii="Calibri" w:hAnsi="Calibri" w:cs="Calibri"/>
          <w:lang w:val="en-US"/>
        </w:rPr>
      </w:pPr>
    </w:p>
    <w:p w:rsidR="006B08CC" w:rsidRPr="009D3628" w:rsidRDefault="006B08CC" w:rsidP="006B08CC">
      <w:pPr>
        <w:pStyle w:val="Kop2"/>
        <w:spacing w:line="360" w:lineRule="auto"/>
        <w:rPr>
          <w:rFonts w:ascii="Calibri" w:hAnsi="Calibri" w:cs="Calibri"/>
          <w:lang w:val="en-US"/>
        </w:rPr>
      </w:pPr>
      <w:bookmarkStart w:id="3" w:name="_Toc331518349"/>
      <w:r w:rsidRPr="009D3628">
        <w:rPr>
          <w:rFonts w:ascii="Calibri" w:hAnsi="Calibri" w:cs="Calibri"/>
          <w:lang w:val="en-US"/>
        </w:rPr>
        <w:t>The impact of IFRS on information quality</w:t>
      </w:r>
      <w:bookmarkEnd w:id="3"/>
    </w:p>
    <w:p w:rsidR="00822CF7" w:rsidRPr="009D3628" w:rsidRDefault="00822CF7" w:rsidP="006B08CC">
      <w:pPr>
        <w:pStyle w:val="000"/>
        <w:spacing w:line="360" w:lineRule="auto"/>
        <w:rPr>
          <w:rFonts w:ascii="Calibri" w:hAnsi="Calibri" w:cs="Calibri"/>
          <w:lang w:val="en-US"/>
        </w:rPr>
      </w:pPr>
      <w:r w:rsidRPr="009D3628">
        <w:rPr>
          <w:rFonts w:ascii="Calibri" w:hAnsi="Calibri" w:cs="Calibri"/>
          <w:lang w:val="en-US"/>
        </w:rPr>
        <w:t>In this study I examine intra-industry information transfers and the impact of the mandated adoption of International Financial Reporting Standards (I</w:t>
      </w:r>
      <w:r w:rsidR="00795E21" w:rsidRPr="009D3628">
        <w:rPr>
          <w:rFonts w:ascii="Calibri" w:hAnsi="Calibri" w:cs="Calibri"/>
          <w:lang w:val="en-US"/>
        </w:rPr>
        <w:t>FRS) by listed firms in Europe</w:t>
      </w:r>
      <w:r w:rsidRPr="009D3628">
        <w:rPr>
          <w:rFonts w:ascii="Calibri" w:hAnsi="Calibri" w:cs="Calibri"/>
          <w:lang w:val="en-US"/>
        </w:rPr>
        <w:t xml:space="preserve">. </w:t>
      </w:r>
    </w:p>
    <w:p w:rsidR="00332E7D" w:rsidRPr="009D3628" w:rsidRDefault="00660CE9" w:rsidP="008F582D">
      <w:pPr>
        <w:pStyle w:val="000"/>
        <w:spacing w:line="360" w:lineRule="auto"/>
        <w:rPr>
          <w:rFonts w:ascii="Calibri" w:hAnsi="Calibri" w:cs="Calibri"/>
          <w:lang w:val="en-US"/>
        </w:rPr>
      </w:pPr>
      <w:r w:rsidRPr="009D3628">
        <w:rPr>
          <w:rFonts w:ascii="Calibri" w:hAnsi="Calibri" w:cs="Calibri"/>
          <w:lang w:val="en-US"/>
        </w:rPr>
        <w:t>The reason why I</w:t>
      </w:r>
      <w:r w:rsidR="00C31405" w:rsidRPr="009D3628">
        <w:rPr>
          <w:rFonts w:ascii="Calibri" w:hAnsi="Calibri" w:cs="Calibri"/>
          <w:lang w:val="en-US"/>
        </w:rPr>
        <w:t xml:space="preserve"> investigate the impact of the adoption of IFRS is that according to </w:t>
      </w:r>
      <w:r w:rsidR="00E424A3" w:rsidRPr="009D3628">
        <w:rPr>
          <w:rFonts w:ascii="Calibri" w:hAnsi="Calibri" w:cs="Calibri"/>
          <w:lang w:val="en-US"/>
        </w:rPr>
        <w:t>the International Accounting Standards Board (IASB)</w:t>
      </w:r>
      <w:r w:rsidR="00C31405" w:rsidRPr="009D3628">
        <w:rPr>
          <w:rFonts w:ascii="Calibri" w:hAnsi="Calibri" w:cs="Calibri"/>
          <w:lang w:val="en-US"/>
        </w:rPr>
        <w:t xml:space="preserve">, IFRS should lead to </w:t>
      </w:r>
      <w:r w:rsidRPr="009D3628">
        <w:rPr>
          <w:rFonts w:ascii="Calibri" w:hAnsi="Calibri" w:cs="Calibri"/>
          <w:lang w:val="en-US"/>
        </w:rPr>
        <w:t>more transparent and comparable</w:t>
      </w:r>
      <w:r w:rsidR="00C31405" w:rsidRPr="009D3628">
        <w:rPr>
          <w:rFonts w:ascii="Calibri" w:hAnsi="Calibri" w:cs="Calibri"/>
          <w:lang w:val="en-US"/>
        </w:rPr>
        <w:t xml:space="preserve"> financial </w:t>
      </w:r>
      <w:r w:rsidR="00C31405" w:rsidRPr="009D3628">
        <w:rPr>
          <w:rFonts w:ascii="Calibri" w:hAnsi="Calibri" w:cs="Calibri"/>
          <w:lang w:val="en-US"/>
        </w:rPr>
        <w:lastRenderedPageBreak/>
        <w:t>information, and overall the implementation of IFRS should lead to an increase in the quality of financial informa</w:t>
      </w:r>
      <w:r w:rsidR="00B80A5C" w:rsidRPr="009D3628">
        <w:rPr>
          <w:rFonts w:ascii="Calibri" w:hAnsi="Calibri" w:cs="Calibri"/>
          <w:lang w:val="en-US"/>
        </w:rPr>
        <w:t>ti</w:t>
      </w:r>
      <w:r w:rsidRPr="009D3628">
        <w:rPr>
          <w:rFonts w:ascii="Calibri" w:hAnsi="Calibri" w:cs="Calibri"/>
          <w:lang w:val="en-US"/>
        </w:rPr>
        <w:t xml:space="preserve">on </w:t>
      </w:r>
      <w:r w:rsidR="00082F63">
        <w:rPr>
          <w:rFonts w:ascii="Calibri" w:hAnsi="Calibri" w:cs="Calibri"/>
          <w:lang w:val="en-US"/>
        </w:rPr>
        <w:t>(</w:t>
      </w:r>
      <w:r w:rsidR="00750013" w:rsidRPr="009D3628">
        <w:rPr>
          <w:rFonts w:ascii="Calibri" w:hAnsi="Calibri" w:cs="Calibri"/>
          <w:lang w:val="en-US"/>
        </w:rPr>
        <w:t xml:space="preserve">Ball, 2006; </w:t>
      </w:r>
      <w:r w:rsidR="00B80A5C" w:rsidRPr="009D3628">
        <w:rPr>
          <w:rFonts w:ascii="Calibri" w:hAnsi="Calibri" w:cs="Calibri"/>
          <w:lang w:val="en-US"/>
        </w:rPr>
        <w:t>Barth et al., 2008; Armstrong et al., 2010)</w:t>
      </w:r>
      <w:r w:rsidR="00854DA6" w:rsidRPr="009D3628">
        <w:rPr>
          <w:rFonts w:ascii="Calibri" w:hAnsi="Calibri" w:cs="Calibri"/>
          <w:lang w:val="en-US"/>
        </w:rPr>
        <w:t>.</w:t>
      </w:r>
      <w:r w:rsidR="00333D0E" w:rsidRPr="009D3628">
        <w:rPr>
          <w:rFonts w:ascii="Calibri" w:hAnsi="Calibri" w:cs="Calibri"/>
          <w:lang w:val="en-US"/>
        </w:rPr>
        <w:t xml:space="preserve"> So the implementation of IFRS should lead to better comparability between financial information of firms which results in a more transparent market. Next to the increase in information quality, IFRS will also lead to an increase in information quantity. </w:t>
      </w:r>
      <w:r w:rsidR="00DA5ECD" w:rsidRPr="009D3628">
        <w:rPr>
          <w:rFonts w:ascii="Calibri" w:hAnsi="Calibri" w:cs="Calibri"/>
          <w:lang w:val="en-US"/>
        </w:rPr>
        <w:t>F</w:t>
      </w:r>
      <w:r w:rsidR="00333D0E" w:rsidRPr="009D3628">
        <w:rPr>
          <w:rFonts w:ascii="Calibri" w:hAnsi="Calibri" w:cs="Calibri"/>
          <w:lang w:val="en-US"/>
        </w:rPr>
        <w:t>irms</w:t>
      </w:r>
      <w:r w:rsidR="00DA5ECD" w:rsidRPr="009D3628">
        <w:rPr>
          <w:rFonts w:ascii="Calibri" w:hAnsi="Calibri" w:cs="Calibri"/>
          <w:lang w:val="en-US"/>
        </w:rPr>
        <w:t xml:space="preserve"> that follow IFRS</w:t>
      </w:r>
      <w:r w:rsidR="00333D0E" w:rsidRPr="009D3628">
        <w:rPr>
          <w:rFonts w:ascii="Calibri" w:hAnsi="Calibri" w:cs="Calibri"/>
          <w:lang w:val="en-US"/>
        </w:rPr>
        <w:t xml:space="preserve"> are required to disclose more information to provide a better insight in </w:t>
      </w:r>
      <w:r w:rsidR="008A5545" w:rsidRPr="009D3628">
        <w:rPr>
          <w:rFonts w:ascii="Calibri" w:hAnsi="Calibri" w:cs="Calibri"/>
          <w:lang w:val="en-US"/>
        </w:rPr>
        <w:t xml:space="preserve">financial </w:t>
      </w:r>
      <w:r w:rsidR="005133D2" w:rsidRPr="009D3628">
        <w:rPr>
          <w:rFonts w:ascii="Calibri" w:hAnsi="Calibri" w:cs="Calibri"/>
          <w:lang w:val="en-US"/>
        </w:rPr>
        <w:t>figures to investors (Ball, 2006</w:t>
      </w:r>
      <w:r w:rsidR="008A5545" w:rsidRPr="009D3628">
        <w:rPr>
          <w:rFonts w:ascii="Calibri" w:hAnsi="Calibri" w:cs="Calibri"/>
          <w:lang w:val="en-US"/>
        </w:rPr>
        <w:t>).</w:t>
      </w:r>
      <w:r w:rsidR="005C5D7E" w:rsidRPr="009D3628">
        <w:rPr>
          <w:rFonts w:ascii="Calibri" w:hAnsi="Calibri" w:cs="Calibri"/>
          <w:lang w:val="en-US"/>
        </w:rPr>
        <w:t xml:space="preserve"> Based on</w:t>
      </w:r>
      <w:r w:rsidR="00333D0E" w:rsidRPr="009D3628">
        <w:rPr>
          <w:rFonts w:ascii="Calibri" w:hAnsi="Calibri" w:cs="Calibri"/>
          <w:lang w:val="en-US"/>
        </w:rPr>
        <w:t xml:space="preserve"> the results of </w:t>
      </w:r>
      <w:r w:rsidR="005C5D7E" w:rsidRPr="009D3628">
        <w:rPr>
          <w:rFonts w:ascii="Calibri" w:hAnsi="Calibri" w:cs="Calibri"/>
          <w:lang w:val="en-US"/>
        </w:rPr>
        <w:t xml:space="preserve">prior research </w:t>
      </w:r>
      <w:r w:rsidR="00333D0E" w:rsidRPr="009D3628">
        <w:rPr>
          <w:rFonts w:ascii="Calibri" w:hAnsi="Calibri" w:cs="Calibri"/>
          <w:lang w:val="en-US"/>
        </w:rPr>
        <w:t>I</w:t>
      </w:r>
      <w:r w:rsidR="003F30F5" w:rsidRPr="009D3628">
        <w:rPr>
          <w:rFonts w:ascii="Calibri" w:hAnsi="Calibri" w:cs="Calibri"/>
          <w:lang w:val="en-US"/>
        </w:rPr>
        <w:t xml:space="preserve"> expect that the adoption of IFRS will result in an increase in the quality of financial information</w:t>
      </w:r>
      <w:r w:rsidR="00333D0E" w:rsidRPr="009D3628">
        <w:rPr>
          <w:rFonts w:ascii="Calibri" w:hAnsi="Calibri" w:cs="Calibri"/>
          <w:lang w:val="en-US"/>
        </w:rPr>
        <w:t xml:space="preserve">. Because </w:t>
      </w:r>
      <w:r w:rsidRPr="009D3628">
        <w:rPr>
          <w:rFonts w:ascii="Calibri" w:hAnsi="Calibri" w:cs="Calibri"/>
          <w:lang w:val="en-US"/>
        </w:rPr>
        <w:t xml:space="preserve">firms reporting according to </w:t>
      </w:r>
      <w:r w:rsidR="006348DC" w:rsidRPr="009D3628">
        <w:rPr>
          <w:rFonts w:ascii="Calibri" w:hAnsi="Calibri" w:cs="Calibri"/>
          <w:lang w:val="en-US"/>
        </w:rPr>
        <w:t>IFRS</w:t>
      </w:r>
      <w:r w:rsidR="00333D0E" w:rsidRPr="009D3628">
        <w:rPr>
          <w:rFonts w:ascii="Calibri" w:hAnsi="Calibri" w:cs="Calibri"/>
          <w:lang w:val="en-US"/>
        </w:rPr>
        <w:t xml:space="preserve"> are required to disclose more information, </w:t>
      </w:r>
      <w:r w:rsidRPr="009D3628">
        <w:rPr>
          <w:rFonts w:ascii="Calibri" w:hAnsi="Calibri" w:cs="Calibri"/>
          <w:lang w:val="en-US"/>
        </w:rPr>
        <w:t xml:space="preserve">I expect to find an increase in </w:t>
      </w:r>
      <w:r w:rsidR="003F30F5" w:rsidRPr="009D3628">
        <w:rPr>
          <w:rFonts w:ascii="Calibri" w:hAnsi="Calibri" w:cs="Calibri"/>
          <w:lang w:val="en-US"/>
        </w:rPr>
        <w:t>positive</w:t>
      </w:r>
      <w:r w:rsidRPr="009D3628">
        <w:rPr>
          <w:rFonts w:ascii="Calibri" w:hAnsi="Calibri" w:cs="Calibri"/>
          <w:lang w:val="en-US"/>
        </w:rPr>
        <w:t xml:space="preserve"> as well as negative effects in information transfers due to the introduction of IFRS</w:t>
      </w:r>
      <w:r w:rsidR="003F30F5" w:rsidRPr="009D3628">
        <w:rPr>
          <w:rFonts w:ascii="Calibri" w:hAnsi="Calibri" w:cs="Calibri"/>
          <w:lang w:val="en-US"/>
        </w:rPr>
        <w:t xml:space="preserve">. </w:t>
      </w:r>
      <w:r w:rsidR="00DA5ECD" w:rsidRPr="009D3628">
        <w:rPr>
          <w:rFonts w:ascii="Calibri" w:hAnsi="Calibri" w:cs="Calibri"/>
          <w:lang w:val="en-US"/>
        </w:rPr>
        <w:t>This because the implementation of IFRS should lead to a higher transparency of financial statements and a better comparability between the financial statements of different firms</w:t>
      </w:r>
      <w:r w:rsidR="00332E7D" w:rsidRPr="009D3628">
        <w:rPr>
          <w:rFonts w:ascii="Calibri" w:hAnsi="Calibri" w:cs="Calibri"/>
          <w:lang w:val="en-US"/>
        </w:rPr>
        <w:t>.</w:t>
      </w:r>
      <w:r w:rsidR="00DA5ECD" w:rsidRPr="009D3628">
        <w:rPr>
          <w:rFonts w:ascii="Calibri" w:hAnsi="Calibri" w:cs="Calibri"/>
          <w:lang w:val="en-US"/>
        </w:rPr>
        <w:t xml:space="preserve"> This makes it more easy for investors to detect industry-specific information contained in an earnings announcement. </w:t>
      </w:r>
      <w:r w:rsidR="00332E7D" w:rsidRPr="009D3628">
        <w:rPr>
          <w:rFonts w:ascii="Calibri" w:hAnsi="Calibri" w:cs="Calibri"/>
          <w:lang w:val="en-US"/>
        </w:rPr>
        <w:t xml:space="preserve"> </w:t>
      </w:r>
      <w:r w:rsidR="008A5545" w:rsidRPr="009D3628">
        <w:rPr>
          <w:rFonts w:ascii="Calibri" w:hAnsi="Calibri" w:cs="Calibri"/>
          <w:lang w:val="en-US"/>
        </w:rPr>
        <w:t>B</w:t>
      </w:r>
      <w:r w:rsidR="00332E7D" w:rsidRPr="009D3628">
        <w:rPr>
          <w:rFonts w:ascii="Calibri" w:hAnsi="Calibri" w:cs="Calibri"/>
          <w:lang w:val="en-US"/>
        </w:rPr>
        <w:t>ecause the</w:t>
      </w:r>
      <w:r w:rsidR="00DA5ECD" w:rsidRPr="009D3628">
        <w:rPr>
          <w:rFonts w:ascii="Calibri" w:hAnsi="Calibri" w:cs="Calibri"/>
          <w:lang w:val="en-US"/>
        </w:rPr>
        <w:t xml:space="preserve"> increase in quality and the</w:t>
      </w:r>
      <w:r w:rsidR="00332E7D" w:rsidRPr="009D3628">
        <w:rPr>
          <w:rFonts w:ascii="Calibri" w:hAnsi="Calibri" w:cs="Calibri"/>
          <w:lang w:val="en-US"/>
        </w:rPr>
        <w:t xml:space="preserve"> higher amount of information which became available to investors, I expect an increase in intra-industry information transfer after the implementation of IFRS. </w:t>
      </w:r>
    </w:p>
    <w:p w:rsidR="00104FDA" w:rsidRPr="009D3628" w:rsidRDefault="00104FDA" w:rsidP="008F582D">
      <w:pPr>
        <w:pStyle w:val="000"/>
        <w:spacing w:line="360" w:lineRule="auto"/>
        <w:rPr>
          <w:rFonts w:ascii="Calibri" w:hAnsi="Calibri" w:cs="Calibri"/>
          <w:lang w:val="en-US"/>
        </w:rPr>
      </w:pPr>
    </w:p>
    <w:p w:rsidR="00332E7D" w:rsidRPr="009D3628" w:rsidRDefault="00332E7D" w:rsidP="00332E7D">
      <w:pPr>
        <w:pStyle w:val="Kop2"/>
        <w:spacing w:line="360" w:lineRule="auto"/>
        <w:rPr>
          <w:rFonts w:ascii="Calibri" w:hAnsi="Calibri" w:cs="Calibri"/>
          <w:lang w:val="en-US"/>
        </w:rPr>
      </w:pPr>
      <w:bookmarkStart w:id="4" w:name="_Toc331518350"/>
      <w:r w:rsidRPr="009D3628">
        <w:rPr>
          <w:rFonts w:ascii="Calibri" w:hAnsi="Calibri" w:cs="Calibri"/>
          <w:lang w:val="en-US"/>
        </w:rPr>
        <w:t>Relevance</w:t>
      </w:r>
      <w:bookmarkEnd w:id="4"/>
    </w:p>
    <w:p w:rsidR="007D5D54" w:rsidRPr="009D3628" w:rsidRDefault="008A5545" w:rsidP="00413F7A">
      <w:pPr>
        <w:pStyle w:val="000"/>
        <w:spacing w:line="360" w:lineRule="auto"/>
        <w:rPr>
          <w:rFonts w:ascii="Calibri" w:hAnsi="Calibri" w:cs="Calibri"/>
          <w:lang w:val="en-US"/>
        </w:rPr>
      </w:pPr>
      <w:r w:rsidRPr="009D3628">
        <w:rPr>
          <w:rFonts w:ascii="Calibri" w:hAnsi="Calibri" w:cs="Calibri"/>
          <w:lang w:val="en-US"/>
        </w:rPr>
        <w:t xml:space="preserve">The reason why firms are </w:t>
      </w:r>
      <w:r w:rsidR="004971F6" w:rsidRPr="009D3628">
        <w:rPr>
          <w:rFonts w:ascii="Calibri" w:hAnsi="Calibri" w:cs="Calibri"/>
          <w:lang w:val="en-US"/>
        </w:rPr>
        <w:t>required to present their financial figures in an annual account is to provide an in</w:t>
      </w:r>
      <w:r w:rsidR="000E4290" w:rsidRPr="009D3628">
        <w:rPr>
          <w:rFonts w:ascii="Calibri" w:hAnsi="Calibri" w:cs="Calibri"/>
          <w:lang w:val="en-US"/>
        </w:rPr>
        <w:t>sight in the firm’s performance to stakeholders</w:t>
      </w:r>
      <w:r w:rsidR="004971F6" w:rsidRPr="009D3628">
        <w:rPr>
          <w:rFonts w:ascii="Calibri" w:hAnsi="Calibri" w:cs="Calibri"/>
          <w:lang w:val="en-US"/>
        </w:rPr>
        <w:t xml:space="preserve">. </w:t>
      </w:r>
      <w:r w:rsidR="000E4290" w:rsidRPr="009D3628">
        <w:rPr>
          <w:rFonts w:ascii="Calibri" w:hAnsi="Calibri" w:cs="Calibri"/>
          <w:lang w:val="en-US"/>
        </w:rPr>
        <w:t>The definition of a stakeholder is: a</w:t>
      </w:r>
      <w:r w:rsidR="00413F7A" w:rsidRPr="009D3628">
        <w:rPr>
          <w:rFonts w:ascii="Calibri" w:hAnsi="Calibri" w:cs="Calibri"/>
          <w:lang w:val="en-US"/>
        </w:rPr>
        <w:t xml:space="preserve"> </w:t>
      </w:r>
      <w:hyperlink r:id="rId8" w:history="1">
        <w:r w:rsidR="00413F7A" w:rsidRPr="009D3628">
          <w:rPr>
            <w:rStyle w:val="Hyperlink"/>
            <w:rFonts w:ascii="Calibri" w:hAnsi="Calibri" w:cs="Calibri"/>
            <w:color w:val="auto"/>
            <w:u w:val="none"/>
            <w:lang w:val="en-US"/>
          </w:rPr>
          <w:t>person</w:t>
        </w:r>
      </w:hyperlink>
      <w:r w:rsidR="00413F7A" w:rsidRPr="009D3628">
        <w:rPr>
          <w:rFonts w:ascii="Calibri" w:hAnsi="Calibri" w:cs="Calibri"/>
          <w:lang w:val="en-US"/>
        </w:rPr>
        <w:t xml:space="preserve">, </w:t>
      </w:r>
      <w:hyperlink r:id="rId9" w:history="1">
        <w:r w:rsidR="00413F7A" w:rsidRPr="009D3628">
          <w:rPr>
            <w:rStyle w:val="Hyperlink"/>
            <w:rFonts w:ascii="Calibri" w:hAnsi="Calibri" w:cs="Calibri"/>
            <w:color w:val="auto"/>
            <w:u w:val="none"/>
            <w:lang w:val="en-US"/>
          </w:rPr>
          <w:t>group</w:t>
        </w:r>
      </w:hyperlink>
      <w:r w:rsidR="00413F7A" w:rsidRPr="009D3628">
        <w:rPr>
          <w:rFonts w:ascii="Calibri" w:hAnsi="Calibri" w:cs="Calibri"/>
          <w:lang w:val="en-US"/>
        </w:rPr>
        <w:t xml:space="preserve">, or organization that has direct or indirect stake in an organization because it can affect or be affected by the </w:t>
      </w:r>
      <w:hyperlink r:id="rId10" w:history="1">
        <w:r w:rsidR="00413F7A" w:rsidRPr="009D3628">
          <w:rPr>
            <w:rStyle w:val="Hyperlink"/>
            <w:rFonts w:ascii="Calibri" w:hAnsi="Calibri" w:cs="Calibri"/>
            <w:color w:val="auto"/>
            <w:u w:val="none"/>
            <w:lang w:val="en-US"/>
          </w:rPr>
          <w:t>organization's</w:t>
        </w:r>
      </w:hyperlink>
      <w:r w:rsidR="00413F7A" w:rsidRPr="009D3628">
        <w:rPr>
          <w:rFonts w:ascii="Calibri" w:hAnsi="Calibri" w:cs="Calibri"/>
          <w:lang w:val="en-US"/>
        </w:rPr>
        <w:t xml:space="preserve"> </w:t>
      </w:r>
      <w:hyperlink r:id="rId11" w:history="1">
        <w:r w:rsidR="00413F7A" w:rsidRPr="009D3628">
          <w:rPr>
            <w:rStyle w:val="Hyperlink"/>
            <w:rFonts w:ascii="Calibri" w:hAnsi="Calibri" w:cs="Calibri"/>
            <w:color w:val="auto"/>
            <w:u w:val="none"/>
            <w:lang w:val="en-US"/>
          </w:rPr>
          <w:t>actions</w:t>
        </w:r>
      </w:hyperlink>
      <w:r w:rsidR="00413F7A" w:rsidRPr="009D3628">
        <w:rPr>
          <w:rFonts w:ascii="Calibri" w:hAnsi="Calibri" w:cs="Calibri"/>
          <w:lang w:val="en-US"/>
        </w:rPr>
        <w:t xml:space="preserve">, </w:t>
      </w:r>
      <w:hyperlink r:id="rId12" w:history="1">
        <w:r w:rsidR="00413F7A" w:rsidRPr="009D3628">
          <w:rPr>
            <w:rStyle w:val="Hyperlink"/>
            <w:rFonts w:ascii="Calibri" w:hAnsi="Calibri" w:cs="Calibri"/>
            <w:color w:val="auto"/>
            <w:u w:val="none"/>
            <w:lang w:val="en-US"/>
          </w:rPr>
          <w:t>objectives</w:t>
        </w:r>
      </w:hyperlink>
      <w:r w:rsidR="00413F7A" w:rsidRPr="009D3628">
        <w:rPr>
          <w:rFonts w:ascii="Calibri" w:hAnsi="Calibri" w:cs="Calibri"/>
          <w:lang w:val="en-US"/>
        </w:rPr>
        <w:t xml:space="preserve">, and </w:t>
      </w:r>
      <w:hyperlink r:id="rId13" w:history="1">
        <w:r w:rsidR="00413F7A" w:rsidRPr="009D3628">
          <w:rPr>
            <w:rStyle w:val="Hyperlink"/>
            <w:rFonts w:ascii="Calibri" w:hAnsi="Calibri" w:cs="Calibri"/>
            <w:color w:val="auto"/>
            <w:u w:val="none"/>
            <w:lang w:val="en-US"/>
          </w:rPr>
          <w:t>policies</w:t>
        </w:r>
      </w:hyperlink>
      <w:r w:rsidR="00413F7A" w:rsidRPr="009D3628">
        <w:rPr>
          <w:rFonts w:ascii="Calibri" w:hAnsi="Calibri" w:cs="Calibri"/>
          <w:lang w:val="en-US"/>
        </w:rPr>
        <w:t xml:space="preserve">. Key stakeholders in a </w:t>
      </w:r>
      <w:hyperlink r:id="rId14" w:history="1">
        <w:r w:rsidR="00413F7A" w:rsidRPr="009D3628">
          <w:rPr>
            <w:rStyle w:val="Hyperlink"/>
            <w:rFonts w:ascii="Calibri" w:hAnsi="Calibri" w:cs="Calibri"/>
            <w:color w:val="auto"/>
            <w:u w:val="none"/>
            <w:lang w:val="en-US"/>
          </w:rPr>
          <w:t>business</w:t>
        </w:r>
      </w:hyperlink>
      <w:r w:rsidR="00413F7A" w:rsidRPr="009D3628">
        <w:rPr>
          <w:rFonts w:ascii="Calibri" w:hAnsi="Calibri" w:cs="Calibri"/>
          <w:lang w:val="en-US"/>
        </w:rPr>
        <w:t xml:space="preserve"> organization include </w:t>
      </w:r>
      <w:hyperlink r:id="rId15" w:history="1">
        <w:r w:rsidR="00413F7A" w:rsidRPr="009D3628">
          <w:rPr>
            <w:rStyle w:val="Hyperlink"/>
            <w:rFonts w:ascii="Calibri" w:hAnsi="Calibri" w:cs="Calibri"/>
            <w:color w:val="auto"/>
            <w:u w:val="none"/>
            <w:lang w:val="en-US"/>
          </w:rPr>
          <w:t>creditors</w:t>
        </w:r>
      </w:hyperlink>
      <w:r w:rsidR="00413F7A" w:rsidRPr="009D3628">
        <w:rPr>
          <w:rFonts w:ascii="Calibri" w:hAnsi="Calibri" w:cs="Calibri"/>
          <w:lang w:val="en-US"/>
        </w:rPr>
        <w:t xml:space="preserve">, </w:t>
      </w:r>
      <w:hyperlink r:id="rId16" w:history="1">
        <w:r w:rsidR="00413F7A" w:rsidRPr="009D3628">
          <w:rPr>
            <w:rStyle w:val="Hyperlink"/>
            <w:rFonts w:ascii="Calibri" w:hAnsi="Calibri" w:cs="Calibri"/>
            <w:color w:val="auto"/>
            <w:u w:val="none"/>
            <w:lang w:val="en-US"/>
          </w:rPr>
          <w:t>customers</w:t>
        </w:r>
      </w:hyperlink>
      <w:r w:rsidR="00413F7A" w:rsidRPr="009D3628">
        <w:rPr>
          <w:rFonts w:ascii="Calibri" w:hAnsi="Calibri" w:cs="Calibri"/>
          <w:lang w:val="en-US"/>
        </w:rPr>
        <w:t xml:space="preserve">, </w:t>
      </w:r>
      <w:hyperlink r:id="rId17" w:history="1">
        <w:r w:rsidR="00413F7A" w:rsidRPr="009D3628">
          <w:rPr>
            <w:rStyle w:val="Hyperlink"/>
            <w:rFonts w:ascii="Calibri" w:hAnsi="Calibri" w:cs="Calibri"/>
            <w:color w:val="auto"/>
            <w:u w:val="none"/>
            <w:lang w:val="en-US"/>
          </w:rPr>
          <w:t>directors</w:t>
        </w:r>
      </w:hyperlink>
      <w:r w:rsidR="00413F7A" w:rsidRPr="009D3628">
        <w:rPr>
          <w:rFonts w:ascii="Calibri" w:hAnsi="Calibri" w:cs="Calibri"/>
          <w:lang w:val="en-US"/>
        </w:rPr>
        <w:t xml:space="preserve">, </w:t>
      </w:r>
      <w:hyperlink r:id="rId18" w:history="1">
        <w:r w:rsidR="00413F7A" w:rsidRPr="009D3628">
          <w:rPr>
            <w:rStyle w:val="Hyperlink"/>
            <w:rFonts w:ascii="Calibri" w:hAnsi="Calibri" w:cs="Calibri"/>
            <w:color w:val="auto"/>
            <w:u w:val="none"/>
            <w:lang w:val="en-US"/>
          </w:rPr>
          <w:t>employees</w:t>
        </w:r>
      </w:hyperlink>
      <w:r w:rsidR="00413F7A" w:rsidRPr="009D3628">
        <w:rPr>
          <w:rFonts w:ascii="Calibri" w:hAnsi="Calibri" w:cs="Calibri"/>
          <w:lang w:val="en-US"/>
        </w:rPr>
        <w:t xml:space="preserve">, </w:t>
      </w:r>
      <w:hyperlink r:id="rId19" w:history="1">
        <w:r w:rsidR="00413F7A" w:rsidRPr="009D3628">
          <w:rPr>
            <w:rStyle w:val="Hyperlink"/>
            <w:rFonts w:ascii="Calibri" w:hAnsi="Calibri" w:cs="Calibri"/>
            <w:color w:val="auto"/>
            <w:u w:val="none"/>
            <w:lang w:val="en-US"/>
          </w:rPr>
          <w:t>government</w:t>
        </w:r>
      </w:hyperlink>
      <w:r w:rsidR="00413F7A" w:rsidRPr="009D3628">
        <w:rPr>
          <w:rFonts w:ascii="Calibri" w:hAnsi="Calibri" w:cs="Calibri"/>
          <w:lang w:val="en-US"/>
        </w:rPr>
        <w:t xml:space="preserve"> (and its </w:t>
      </w:r>
      <w:hyperlink r:id="rId20" w:history="1">
        <w:r w:rsidR="00413F7A" w:rsidRPr="009D3628">
          <w:rPr>
            <w:rStyle w:val="Hyperlink"/>
            <w:rFonts w:ascii="Calibri" w:hAnsi="Calibri" w:cs="Calibri"/>
            <w:color w:val="auto"/>
            <w:u w:val="none"/>
            <w:lang w:val="en-US"/>
          </w:rPr>
          <w:t>agencies</w:t>
        </w:r>
      </w:hyperlink>
      <w:r w:rsidR="00413F7A" w:rsidRPr="009D3628">
        <w:rPr>
          <w:rFonts w:ascii="Calibri" w:hAnsi="Calibri" w:cs="Calibri"/>
          <w:lang w:val="en-US"/>
        </w:rPr>
        <w:t xml:space="preserve">), </w:t>
      </w:r>
      <w:r w:rsidR="00CB4188" w:rsidRPr="009D3628">
        <w:rPr>
          <w:rFonts w:ascii="Calibri" w:hAnsi="Calibri" w:cs="Calibri"/>
          <w:lang w:val="en-US"/>
        </w:rPr>
        <w:t xml:space="preserve">shareholders </w:t>
      </w:r>
      <w:r w:rsidR="00413F7A" w:rsidRPr="009D3628">
        <w:rPr>
          <w:rFonts w:ascii="Calibri" w:hAnsi="Calibri" w:cs="Calibri"/>
          <w:lang w:val="en-US"/>
        </w:rPr>
        <w:t>(</w:t>
      </w:r>
      <w:hyperlink r:id="rId21" w:history="1">
        <w:r w:rsidR="00CB4188" w:rsidRPr="009D3628">
          <w:rPr>
            <w:rStyle w:val="Hyperlink"/>
            <w:rFonts w:ascii="Calibri" w:hAnsi="Calibri" w:cs="Calibri"/>
            <w:color w:val="auto"/>
            <w:u w:val="none"/>
            <w:lang w:val="en-US"/>
          </w:rPr>
          <w:t>investors</w:t>
        </w:r>
      </w:hyperlink>
      <w:r w:rsidR="00413F7A" w:rsidRPr="009D3628">
        <w:rPr>
          <w:rFonts w:ascii="Calibri" w:hAnsi="Calibri" w:cs="Calibri"/>
          <w:lang w:val="en-US"/>
        </w:rPr>
        <w:t xml:space="preserve">), </w:t>
      </w:r>
      <w:hyperlink r:id="rId22" w:history="1">
        <w:r w:rsidR="00413F7A" w:rsidRPr="009D3628">
          <w:rPr>
            <w:rStyle w:val="Hyperlink"/>
            <w:rFonts w:ascii="Calibri" w:hAnsi="Calibri" w:cs="Calibri"/>
            <w:color w:val="auto"/>
            <w:u w:val="none"/>
            <w:lang w:val="en-US"/>
          </w:rPr>
          <w:t>suppliers</w:t>
        </w:r>
      </w:hyperlink>
      <w:r w:rsidR="00413F7A" w:rsidRPr="009D3628">
        <w:rPr>
          <w:rFonts w:ascii="Calibri" w:hAnsi="Calibri" w:cs="Calibri"/>
          <w:lang w:val="en-US"/>
        </w:rPr>
        <w:t xml:space="preserve">, </w:t>
      </w:r>
      <w:hyperlink r:id="rId23" w:history="1">
        <w:r w:rsidR="00413F7A" w:rsidRPr="009D3628">
          <w:rPr>
            <w:rStyle w:val="Hyperlink"/>
            <w:rFonts w:ascii="Calibri" w:hAnsi="Calibri" w:cs="Calibri"/>
            <w:color w:val="auto"/>
            <w:u w:val="none"/>
            <w:lang w:val="en-US"/>
          </w:rPr>
          <w:t>unions</w:t>
        </w:r>
      </w:hyperlink>
      <w:r w:rsidR="00413F7A" w:rsidRPr="009D3628">
        <w:rPr>
          <w:rFonts w:ascii="Calibri" w:hAnsi="Calibri" w:cs="Calibri"/>
          <w:lang w:val="en-US"/>
        </w:rPr>
        <w:t xml:space="preserve">, and the </w:t>
      </w:r>
      <w:hyperlink r:id="rId24" w:history="1">
        <w:r w:rsidR="00413F7A" w:rsidRPr="009D3628">
          <w:rPr>
            <w:rStyle w:val="Hyperlink"/>
            <w:rFonts w:ascii="Calibri" w:hAnsi="Calibri" w:cs="Calibri"/>
            <w:color w:val="auto"/>
            <w:u w:val="none"/>
            <w:lang w:val="en-US"/>
          </w:rPr>
          <w:t>community</w:t>
        </w:r>
      </w:hyperlink>
      <w:r w:rsidR="00413F7A" w:rsidRPr="009D3628">
        <w:rPr>
          <w:rFonts w:ascii="Calibri" w:hAnsi="Calibri" w:cs="Calibri"/>
          <w:lang w:val="en-US"/>
        </w:rPr>
        <w:t xml:space="preserve"> from which the business </w:t>
      </w:r>
      <w:hyperlink r:id="rId25" w:history="1">
        <w:r w:rsidR="00413F7A" w:rsidRPr="009D3628">
          <w:rPr>
            <w:rStyle w:val="Hyperlink"/>
            <w:rFonts w:ascii="Calibri" w:hAnsi="Calibri" w:cs="Calibri"/>
            <w:color w:val="auto"/>
            <w:u w:val="none"/>
            <w:lang w:val="en-US"/>
          </w:rPr>
          <w:t>draws</w:t>
        </w:r>
      </w:hyperlink>
      <w:r w:rsidR="00413F7A" w:rsidRPr="009D3628">
        <w:rPr>
          <w:rFonts w:ascii="Calibri" w:hAnsi="Calibri" w:cs="Calibri"/>
          <w:lang w:val="en-US"/>
        </w:rPr>
        <w:t xml:space="preserve"> its </w:t>
      </w:r>
      <w:hyperlink r:id="rId26" w:history="1">
        <w:r w:rsidR="00413F7A" w:rsidRPr="009D3628">
          <w:rPr>
            <w:rStyle w:val="Hyperlink"/>
            <w:rFonts w:ascii="Calibri" w:hAnsi="Calibri" w:cs="Calibri"/>
            <w:color w:val="auto"/>
            <w:u w:val="none"/>
            <w:lang w:val="en-US"/>
          </w:rPr>
          <w:t>resources</w:t>
        </w:r>
      </w:hyperlink>
      <w:r w:rsidR="00413F7A" w:rsidRPr="009D3628">
        <w:rPr>
          <w:rFonts w:ascii="Calibri" w:hAnsi="Calibri" w:cs="Calibri"/>
          <w:lang w:val="en-US"/>
        </w:rPr>
        <w:t>.</w:t>
      </w:r>
      <w:r w:rsidR="00413F7A" w:rsidRPr="009D3628">
        <w:rPr>
          <w:rStyle w:val="Voetnootmarkering"/>
          <w:rFonts w:ascii="Calibri" w:hAnsi="Calibri" w:cs="Calibri"/>
          <w:lang w:val="en-US"/>
        </w:rPr>
        <w:footnoteReference w:id="2"/>
      </w:r>
      <w:r w:rsidR="00413F7A" w:rsidRPr="009D3628">
        <w:rPr>
          <w:rFonts w:ascii="Calibri" w:hAnsi="Calibri" w:cs="Calibri"/>
          <w:lang w:val="en-US"/>
        </w:rPr>
        <w:t xml:space="preserve"> </w:t>
      </w:r>
      <w:r w:rsidR="004971F6" w:rsidRPr="009D3628">
        <w:rPr>
          <w:rFonts w:ascii="Calibri" w:hAnsi="Calibri" w:cs="Calibri"/>
          <w:lang w:val="en-US"/>
        </w:rPr>
        <w:t xml:space="preserve">Investors can use </w:t>
      </w:r>
      <w:r w:rsidR="00CB4188" w:rsidRPr="009D3628">
        <w:rPr>
          <w:rFonts w:ascii="Calibri" w:hAnsi="Calibri" w:cs="Calibri"/>
          <w:lang w:val="en-US"/>
        </w:rPr>
        <w:t>the financial</w:t>
      </w:r>
      <w:r w:rsidR="004971F6" w:rsidRPr="009D3628">
        <w:rPr>
          <w:rFonts w:ascii="Calibri" w:hAnsi="Calibri" w:cs="Calibri"/>
          <w:lang w:val="en-US"/>
        </w:rPr>
        <w:t xml:space="preserve"> information </w:t>
      </w:r>
      <w:r w:rsidR="00153F69" w:rsidRPr="009D3628">
        <w:rPr>
          <w:rFonts w:ascii="Calibri" w:hAnsi="Calibri" w:cs="Calibri"/>
          <w:lang w:val="en-US"/>
        </w:rPr>
        <w:t xml:space="preserve">contained in the financial statements </w:t>
      </w:r>
      <w:r w:rsidR="00CB4188" w:rsidRPr="009D3628">
        <w:rPr>
          <w:rFonts w:ascii="Calibri" w:hAnsi="Calibri" w:cs="Calibri"/>
          <w:lang w:val="en-US"/>
        </w:rPr>
        <w:t>for</w:t>
      </w:r>
      <w:r w:rsidR="004971F6" w:rsidRPr="009D3628">
        <w:rPr>
          <w:rFonts w:ascii="Calibri" w:hAnsi="Calibri" w:cs="Calibri"/>
          <w:lang w:val="en-US"/>
        </w:rPr>
        <w:t xml:space="preserve"> making an investment decision. The relevance of investigating the information content of earnings announcements is the check if investors indeed </w:t>
      </w:r>
      <w:r w:rsidR="00CA6151" w:rsidRPr="009D3628">
        <w:rPr>
          <w:rFonts w:ascii="Calibri" w:hAnsi="Calibri" w:cs="Calibri"/>
          <w:lang w:val="en-US"/>
        </w:rPr>
        <w:t>respond</w:t>
      </w:r>
      <w:r w:rsidR="004971F6" w:rsidRPr="009D3628">
        <w:rPr>
          <w:rFonts w:ascii="Calibri" w:hAnsi="Calibri" w:cs="Calibri"/>
          <w:lang w:val="en-US"/>
        </w:rPr>
        <w:t xml:space="preserve"> to the financial information releases. </w:t>
      </w:r>
      <w:r w:rsidR="00CA6151" w:rsidRPr="009D3628">
        <w:rPr>
          <w:rFonts w:ascii="Calibri" w:hAnsi="Calibri" w:cs="Calibri"/>
          <w:lang w:val="en-US"/>
        </w:rPr>
        <w:t>It</w:t>
      </w:r>
      <w:r w:rsidR="004971F6" w:rsidRPr="009D3628">
        <w:rPr>
          <w:rFonts w:ascii="Calibri" w:hAnsi="Calibri" w:cs="Calibri"/>
          <w:lang w:val="en-US"/>
        </w:rPr>
        <w:t xml:space="preserve"> is interesting to investigate the existence of intra-industry information transfer in particular because the appearance of intra-industry information transfer indicates that investors use the earnings information released by firm</w:t>
      </w:r>
      <w:r w:rsidR="004971F6" w:rsidRPr="009D3628">
        <w:rPr>
          <w:rFonts w:ascii="Calibri" w:hAnsi="Calibri" w:cs="Calibri"/>
          <w:i/>
          <w:lang w:val="en-US"/>
        </w:rPr>
        <w:t xml:space="preserve"> i </w:t>
      </w:r>
      <w:r w:rsidR="004971F6" w:rsidRPr="009D3628">
        <w:rPr>
          <w:rFonts w:ascii="Calibri" w:hAnsi="Calibri" w:cs="Calibri"/>
          <w:lang w:val="en-US"/>
        </w:rPr>
        <w:t>for their expectatio</w:t>
      </w:r>
      <w:r w:rsidR="009D4B20" w:rsidRPr="009D3628">
        <w:rPr>
          <w:rFonts w:ascii="Calibri" w:hAnsi="Calibri" w:cs="Calibri"/>
          <w:lang w:val="en-US"/>
        </w:rPr>
        <w:t xml:space="preserve">n of the earnings figures of other firms operating in the same industry. </w:t>
      </w:r>
      <w:r w:rsidR="00153F69" w:rsidRPr="009D3628">
        <w:rPr>
          <w:rFonts w:ascii="Calibri" w:hAnsi="Calibri" w:cs="Calibri"/>
          <w:lang w:val="en-US"/>
        </w:rPr>
        <w:t xml:space="preserve">If there is information released by a firm which is important for the whole industry, the existence of intra-industry information transfer can be of </w:t>
      </w:r>
      <w:r w:rsidR="00153F69" w:rsidRPr="009D3628">
        <w:rPr>
          <w:rFonts w:ascii="Calibri" w:hAnsi="Calibri" w:cs="Calibri"/>
          <w:lang w:val="en-US"/>
        </w:rPr>
        <w:lastRenderedPageBreak/>
        <w:t xml:space="preserve">interest for important events in a certain industry. </w:t>
      </w:r>
      <w:r w:rsidR="00F5526D" w:rsidRPr="009D3628">
        <w:rPr>
          <w:rFonts w:ascii="Calibri" w:hAnsi="Calibri" w:cs="Calibri"/>
          <w:lang w:val="en-US"/>
        </w:rPr>
        <w:t>When a firm releases a bankruptcy announcement, because of intra-industry information transfer this can have high consequences for the whole industry. Investors can interpret this bankruptcy an</w:t>
      </w:r>
      <w:r w:rsidR="0015630B" w:rsidRPr="009D3628">
        <w:rPr>
          <w:rFonts w:ascii="Calibri" w:hAnsi="Calibri" w:cs="Calibri"/>
          <w:lang w:val="en-US"/>
        </w:rPr>
        <w:t>nouncement as an indication that the demand for products in the whole sector decreases, which will lead to declines in stock prices of the competitive firms in the industry. This is called the ‘contagion-effect’. It is also possible, in highly concentrated industries with low leverage, that competitor firms benefit from the difficulties of a bankrupt firm. If this is the case, we speak of a ‘competitive effect’ (Lang and Stulz, 1992).</w:t>
      </w:r>
      <w:r w:rsidR="00AC7B38" w:rsidRPr="009D3628">
        <w:rPr>
          <w:rFonts w:ascii="Calibri" w:hAnsi="Calibri" w:cs="Calibri"/>
          <w:lang w:val="en-US"/>
        </w:rPr>
        <w:t xml:space="preserve"> </w:t>
      </w:r>
      <w:r w:rsidR="007D5D54" w:rsidRPr="009D3628">
        <w:rPr>
          <w:rFonts w:ascii="Calibri" w:hAnsi="Calibri" w:cs="Calibri"/>
          <w:lang w:val="en-US"/>
        </w:rPr>
        <w:t xml:space="preserve">Both effects indicate that an announcement released by a firm can have big consequences for the whole industry the firm operates in, which implies that intra-industry information transfer can be debit to important events within an industry. </w:t>
      </w:r>
    </w:p>
    <w:p w:rsidR="008A5545" w:rsidRPr="009D3628" w:rsidRDefault="009D4B20" w:rsidP="00413F7A">
      <w:pPr>
        <w:pStyle w:val="000"/>
        <w:spacing w:line="360" w:lineRule="auto"/>
        <w:rPr>
          <w:rFonts w:ascii="Calibri" w:hAnsi="Calibri" w:cs="Calibri"/>
          <w:lang w:val="en-US"/>
        </w:rPr>
      </w:pPr>
      <w:r w:rsidRPr="009D3628">
        <w:rPr>
          <w:rFonts w:ascii="Calibri" w:hAnsi="Calibri" w:cs="Calibri"/>
          <w:lang w:val="en-US"/>
        </w:rPr>
        <w:t>The reason why I made the connection between intra-industry information transfer and the implementation of IFRS, is because IFRS is implemented to increase accounting quality.</w:t>
      </w:r>
      <w:r w:rsidR="007D5D54" w:rsidRPr="009D3628">
        <w:rPr>
          <w:rFonts w:ascii="Calibri" w:hAnsi="Calibri" w:cs="Calibri"/>
          <w:lang w:val="en-US"/>
        </w:rPr>
        <w:t xml:space="preserve"> </w:t>
      </w:r>
      <w:r w:rsidR="00224C1B" w:rsidRPr="009D3628">
        <w:rPr>
          <w:rFonts w:ascii="Calibri" w:hAnsi="Calibri" w:cs="Calibri"/>
          <w:lang w:val="en-US"/>
        </w:rPr>
        <w:t>Because of the better comparability of financial statements between firms after implementation of IFRS, it will become easier for investors to detect industry-specific information in earnings announcements.</w:t>
      </w:r>
      <w:r w:rsidRPr="009D3628">
        <w:rPr>
          <w:rFonts w:ascii="Calibri" w:hAnsi="Calibri" w:cs="Calibri"/>
          <w:lang w:val="en-US"/>
        </w:rPr>
        <w:t xml:space="preserve"> If this is indeed the case, than I expect to see an increase in the information content of earnings announcements and an increase in intra-industry information transfer for firms after they implemented IFRS. </w:t>
      </w:r>
      <w:r w:rsidR="004971F6" w:rsidRPr="009D3628">
        <w:rPr>
          <w:rFonts w:ascii="Calibri" w:hAnsi="Calibri" w:cs="Calibri"/>
          <w:i/>
          <w:lang w:val="en-US"/>
        </w:rPr>
        <w:t xml:space="preserve"> </w:t>
      </w:r>
    </w:p>
    <w:p w:rsidR="00600E41" w:rsidRPr="009D3628" w:rsidRDefault="00600E41" w:rsidP="00413F7A">
      <w:pPr>
        <w:pStyle w:val="000"/>
        <w:spacing w:line="360" w:lineRule="auto"/>
        <w:rPr>
          <w:rFonts w:ascii="Calibri" w:hAnsi="Calibri" w:cs="Calibri"/>
          <w:lang w:val="en-US"/>
        </w:rPr>
      </w:pPr>
      <w:r w:rsidRPr="009D3628">
        <w:rPr>
          <w:rFonts w:ascii="Calibri" w:hAnsi="Calibri" w:cs="Calibri"/>
          <w:lang w:val="en-US"/>
        </w:rPr>
        <w:t xml:space="preserve">While there is a lot of research done </w:t>
      </w:r>
      <w:r w:rsidR="00285839" w:rsidRPr="009D3628">
        <w:rPr>
          <w:rFonts w:ascii="Calibri" w:hAnsi="Calibri" w:cs="Calibri"/>
          <w:lang w:val="en-US"/>
        </w:rPr>
        <w:t>on</w:t>
      </w:r>
      <w:r w:rsidRPr="009D3628">
        <w:rPr>
          <w:rFonts w:ascii="Calibri" w:hAnsi="Calibri" w:cs="Calibri"/>
          <w:lang w:val="en-US"/>
        </w:rPr>
        <w:t xml:space="preserve"> information transfers, there is only one prior study which focuses on the effect of the adoption on IFRS on intra-industry information transfers (Kim and Li, 2010). Kim and Li (2010) took a sample which consists of observations from firms operating in countries that mandate IFRS adoption in 2005 and from countries that retain their local accounting standards over the sample period ranging from 1999 till 2007.</w:t>
      </w:r>
    </w:p>
    <w:p w:rsidR="00BA0286" w:rsidRPr="009D3628" w:rsidRDefault="006F7709" w:rsidP="00AC2494">
      <w:pPr>
        <w:pStyle w:val="000"/>
        <w:spacing w:line="360" w:lineRule="auto"/>
        <w:rPr>
          <w:rFonts w:ascii="Calibri" w:hAnsi="Calibri" w:cs="Calibri"/>
          <w:lang w:val="en-US"/>
        </w:rPr>
      </w:pPr>
      <w:r w:rsidRPr="009D3628">
        <w:rPr>
          <w:rFonts w:ascii="Calibri" w:hAnsi="Calibri" w:cs="Calibri"/>
          <w:lang w:val="en-US"/>
        </w:rPr>
        <w:t>B</w:t>
      </w:r>
      <w:r w:rsidR="00905060" w:rsidRPr="009D3628">
        <w:rPr>
          <w:rFonts w:ascii="Calibri" w:hAnsi="Calibri" w:cs="Calibri"/>
          <w:lang w:val="en-US"/>
        </w:rPr>
        <w:t xml:space="preserve">y investigating the impact of IFRS on intra-industry information transfer, Kim and Li (2010) are looking at firms </w:t>
      </w:r>
      <w:r w:rsidR="00600E41" w:rsidRPr="009D3628">
        <w:rPr>
          <w:rFonts w:ascii="Calibri" w:hAnsi="Calibri" w:cs="Calibri"/>
          <w:lang w:val="en-US"/>
        </w:rPr>
        <w:t>that</w:t>
      </w:r>
      <w:r w:rsidR="00905060" w:rsidRPr="009D3628">
        <w:rPr>
          <w:rFonts w:ascii="Calibri" w:hAnsi="Calibri" w:cs="Calibri"/>
          <w:lang w:val="en-US"/>
        </w:rPr>
        <w:t xml:space="preserve"> have adopted IFRS in 2005 and compare them to firms which retain local accounting standards. In contr</w:t>
      </w:r>
      <w:r w:rsidRPr="009D3628">
        <w:rPr>
          <w:rFonts w:ascii="Calibri" w:hAnsi="Calibri" w:cs="Calibri"/>
          <w:lang w:val="en-US"/>
        </w:rPr>
        <w:t>ast to Kim and Li (2010), I</w:t>
      </w:r>
      <w:r w:rsidR="00905060" w:rsidRPr="009D3628">
        <w:rPr>
          <w:rFonts w:ascii="Calibri" w:hAnsi="Calibri" w:cs="Calibri"/>
          <w:lang w:val="en-US"/>
        </w:rPr>
        <w:t xml:space="preserve"> focus in this study only on European listed firms </w:t>
      </w:r>
      <w:r w:rsidR="00600E41" w:rsidRPr="009D3628">
        <w:rPr>
          <w:rFonts w:ascii="Calibri" w:hAnsi="Calibri" w:cs="Calibri"/>
          <w:lang w:val="en-US"/>
        </w:rPr>
        <w:t>that</w:t>
      </w:r>
      <w:r w:rsidR="00905060" w:rsidRPr="009D3628">
        <w:rPr>
          <w:rFonts w:ascii="Calibri" w:hAnsi="Calibri" w:cs="Calibri"/>
          <w:lang w:val="en-US"/>
        </w:rPr>
        <w:t xml:space="preserve"> </w:t>
      </w:r>
      <w:r w:rsidR="00600E41" w:rsidRPr="009D3628">
        <w:rPr>
          <w:rFonts w:ascii="Calibri" w:hAnsi="Calibri" w:cs="Calibri"/>
          <w:lang w:val="en-US"/>
        </w:rPr>
        <w:t>have mandatorily</w:t>
      </w:r>
      <w:r w:rsidR="00BA6CE0" w:rsidRPr="009D3628">
        <w:rPr>
          <w:rFonts w:ascii="Calibri" w:hAnsi="Calibri" w:cs="Calibri"/>
          <w:lang w:val="en-US"/>
        </w:rPr>
        <w:t xml:space="preserve"> </w:t>
      </w:r>
      <w:r w:rsidRPr="009D3628">
        <w:rPr>
          <w:rFonts w:ascii="Calibri" w:hAnsi="Calibri" w:cs="Calibri"/>
          <w:lang w:val="en-US"/>
        </w:rPr>
        <w:t xml:space="preserve">adopted IFRS in 2005, and I </w:t>
      </w:r>
      <w:r w:rsidR="00CA6151" w:rsidRPr="009D3628">
        <w:rPr>
          <w:rFonts w:ascii="Calibri" w:hAnsi="Calibri" w:cs="Calibri"/>
          <w:lang w:val="en-US"/>
        </w:rPr>
        <w:t>compare the pre-</w:t>
      </w:r>
      <w:r w:rsidR="00BA6CE0" w:rsidRPr="009D3628">
        <w:rPr>
          <w:rFonts w:ascii="Calibri" w:hAnsi="Calibri" w:cs="Calibri"/>
          <w:lang w:val="en-US"/>
        </w:rPr>
        <w:t>IFRS pe</w:t>
      </w:r>
      <w:r w:rsidR="00CA6151" w:rsidRPr="009D3628">
        <w:rPr>
          <w:rFonts w:ascii="Calibri" w:hAnsi="Calibri" w:cs="Calibri"/>
          <w:lang w:val="en-US"/>
        </w:rPr>
        <w:t>riod (2000-2005) with the post-</w:t>
      </w:r>
      <w:r w:rsidR="00BA6CE0" w:rsidRPr="009D3628">
        <w:rPr>
          <w:rFonts w:ascii="Calibri" w:hAnsi="Calibri" w:cs="Calibri"/>
          <w:lang w:val="en-US"/>
        </w:rPr>
        <w:t>IFRS period (2006-2010). This method focuses m</w:t>
      </w:r>
      <w:r w:rsidR="00CA6151" w:rsidRPr="009D3628">
        <w:rPr>
          <w:rFonts w:ascii="Calibri" w:hAnsi="Calibri" w:cs="Calibri"/>
          <w:lang w:val="en-US"/>
        </w:rPr>
        <w:t xml:space="preserve">ore on the transition of firms </w:t>
      </w:r>
      <w:r w:rsidR="00BA6CE0" w:rsidRPr="009D3628">
        <w:rPr>
          <w:rFonts w:ascii="Calibri" w:hAnsi="Calibri" w:cs="Calibri"/>
          <w:lang w:val="en-US"/>
        </w:rPr>
        <w:t xml:space="preserve">from local accounting standards to IFRS, where Kim and Li </w:t>
      </w:r>
      <w:r w:rsidR="00600E41" w:rsidRPr="009D3628">
        <w:rPr>
          <w:rFonts w:ascii="Calibri" w:hAnsi="Calibri" w:cs="Calibri"/>
          <w:lang w:val="en-US"/>
        </w:rPr>
        <w:t>point to</w:t>
      </w:r>
      <w:r w:rsidR="00BA6CE0" w:rsidRPr="009D3628">
        <w:rPr>
          <w:rFonts w:ascii="Calibri" w:hAnsi="Calibri" w:cs="Calibri"/>
          <w:lang w:val="en-US"/>
        </w:rPr>
        <w:t xml:space="preserve"> the impact of IFRS by showing that there is a greater increase in intra-industry information transfer for firms who adopted IFRS in 2005 in comparison with firms who retained local accounting standards in the same period. </w:t>
      </w:r>
      <w:r w:rsidR="00AC2494" w:rsidRPr="009D3628">
        <w:rPr>
          <w:rFonts w:ascii="Calibri" w:hAnsi="Calibri" w:cs="Calibri"/>
          <w:lang w:val="en-US"/>
        </w:rPr>
        <w:t>So where Kim and Li (2010) are comparing</w:t>
      </w:r>
      <w:r w:rsidR="00CA6151" w:rsidRPr="009D3628">
        <w:rPr>
          <w:rFonts w:ascii="Calibri" w:hAnsi="Calibri" w:cs="Calibri"/>
          <w:lang w:val="en-US"/>
        </w:rPr>
        <w:t xml:space="preserve"> IFRS reporting firms with non-</w:t>
      </w:r>
      <w:r w:rsidR="00AC2494" w:rsidRPr="009D3628">
        <w:rPr>
          <w:rFonts w:ascii="Calibri" w:hAnsi="Calibri" w:cs="Calibri"/>
          <w:lang w:val="en-US"/>
        </w:rPr>
        <w:t>IFRS reporting firms, thi</w:t>
      </w:r>
      <w:r w:rsidRPr="009D3628">
        <w:rPr>
          <w:rFonts w:ascii="Calibri" w:hAnsi="Calibri" w:cs="Calibri"/>
          <w:lang w:val="en-US"/>
        </w:rPr>
        <w:t xml:space="preserve">s study </w:t>
      </w:r>
      <w:r w:rsidR="00AC2494" w:rsidRPr="009D3628">
        <w:rPr>
          <w:rFonts w:ascii="Calibri" w:hAnsi="Calibri" w:cs="Calibri"/>
          <w:lang w:val="en-US"/>
        </w:rPr>
        <w:t>only look</w:t>
      </w:r>
      <w:r w:rsidRPr="009D3628">
        <w:rPr>
          <w:rFonts w:ascii="Calibri" w:hAnsi="Calibri" w:cs="Calibri"/>
          <w:lang w:val="en-US"/>
        </w:rPr>
        <w:t>s</w:t>
      </w:r>
      <w:r w:rsidR="00AC2494" w:rsidRPr="009D3628">
        <w:rPr>
          <w:rFonts w:ascii="Calibri" w:hAnsi="Calibri" w:cs="Calibri"/>
          <w:lang w:val="en-US"/>
        </w:rPr>
        <w:t xml:space="preserve"> at IFRS reporting firms and compares pre- and post-IFRS periods. This study is relevant, because this is another way to look at the impact of IFRS </w:t>
      </w:r>
      <w:r w:rsidR="00AC2494" w:rsidRPr="009D3628">
        <w:rPr>
          <w:rFonts w:ascii="Calibri" w:hAnsi="Calibri" w:cs="Calibri"/>
          <w:lang w:val="en-US"/>
        </w:rPr>
        <w:lastRenderedPageBreak/>
        <w:t xml:space="preserve">implementation on intra-industry information transfer. Therefore this study contributes to the study of Kim and Li (2010) and it </w:t>
      </w:r>
      <w:r w:rsidRPr="009D3628">
        <w:rPr>
          <w:rFonts w:ascii="Calibri" w:hAnsi="Calibri" w:cs="Calibri"/>
          <w:lang w:val="en-US"/>
        </w:rPr>
        <w:t>might validate</w:t>
      </w:r>
      <w:r w:rsidR="00AC2494" w:rsidRPr="009D3628">
        <w:rPr>
          <w:rFonts w:ascii="Calibri" w:hAnsi="Calibri" w:cs="Calibri"/>
          <w:lang w:val="en-US"/>
        </w:rPr>
        <w:t xml:space="preserve"> the results. </w:t>
      </w:r>
    </w:p>
    <w:p w:rsidR="00104FDA" w:rsidRPr="009D3628" w:rsidRDefault="00104FDA" w:rsidP="00AC2494">
      <w:pPr>
        <w:pStyle w:val="000"/>
        <w:spacing w:line="360" w:lineRule="auto"/>
        <w:rPr>
          <w:rFonts w:ascii="Calibri" w:hAnsi="Calibri" w:cs="Calibri"/>
          <w:lang w:val="en-US"/>
        </w:rPr>
      </w:pPr>
    </w:p>
    <w:p w:rsidR="00BA0286" w:rsidRPr="009D3628" w:rsidRDefault="00BA0286" w:rsidP="00BA0286">
      <w:pPr>
        <w:pStyle w:val="Kop2"/>
        <w:spacing w:line="360" w:lineRule="auto"/>
        <w:rPr>
          <w:rFonts w:ascii="Calibri" w:hAnsi="Calibri" w:cs="Calibri"/>
          <w:lang w:val="en-US"/>
        </w:rPr>
      </w:pPr>
      <w:bookmarkStart w:id="5" w:name="_Toc331518351"/>
      <w:r w:rsidRPr="009D3628">
        <w:rPr>
          <w:rFonts w:ascii="Calibri" w:hAnsi="Calibri" w:cs="Calibri"/>
          <w:lang w:val="en-US"/>
        </w:rPr>
        <w:t xml:space="preserve">Formulating </w:t>
      </w:r>
      <w:r w:rsidR="00DA31A1" w:rsidRPr="009D3628">
        <w:rPr>
          <w:rFonts w:ascii="Calibri" w:hAnsi="Calibri" w:cs="Calibri"/>
          <w:lang w:val="en-US"/>
        </w:rPr>
        <w:t>research question</w:t>
      </w:r>
      <w:bookmarkEnd w:id="5"/>
    </w:p>
    <w:p w:rsidR="00BA0286" w:rsidRPr="009D3628" w:rsidRDefault="00BA0286" w:rsidP="00BA0286">
      <w:pPr>
        <w:pStyle w:val="000"/>
        <w:spacing w:line="360" w:lineRule="auto"/>
        <w:rPr>
          <w:rFonts w:ascii="Calibri" w:hAnsi="Calibri" w:cs="Calibri"/>
          <w:lang w:val="en-US"/>
        </w:rPr>
      </w:pPr>
      <w:r w:rsidRPr="009D3628">
        <w:rPr>
          <w:rFonts w:ascii="Calibri" w:hAnsi="Calibri" w:cs="Calibri"/>
          <w:lang w:val="en-US"/>
        </w:rPr>
        <w:t>In this study, I investigate the imp</w:t>
      </w:r>
      <w:r w:rsidR="006F7709" w:rsidRPr="009D3628">
        <w:rPr>
          <w:rFonts w:ascii="Calibri" w:hAnsi="Calibri" w:cs="Calibri"/>
          <w:lang w:val="en-US"/>
        </w:rPr>
        <w:t xml:space="preserve">act of the adoption of IFRS </w:t>
      </w:r>
      <w:r w:rsidRPr="009D3628">
        <w:rPr>
          <w:rFonts w:ascii="Calibri" w:hAnsi="Calibri" w:cs="Calibri"/>
          <w:lang w:val="en-US"/>
        </w:rPr>
        <w:t>on intra-industry information</w:t>
      </w:r>
      <w:r w:rsidR="006F7709" w:rsidRPr="009D3628">
        <w:rPr>
          <w:rFonts w:ascii="Calibri" w:hAnsi="Calibri" w:cs="Calibri"/>
          <w:lang w:val="en-US"/>
        </w:rPr>
        <w:t xml:space="preserve"> transfers. Prior studies posit</w:t>
      </w:r>
      <w:r w:rsidRPr="009D3628">
        <w:rPr>
          <w:rFonts w:ascii="Calibri" w:hAnsi="Calibri" w:cs="Calibri"/>
          <w:lang w:val="en-US"/>
        </w:rPr>
        <w:t xml:space="preserve"> that the adoption of IFRS results in better comparability of financial information, a more transparent market and overall an increase in accounting quality</w:t>
      </w:r>
      <w:r w:rsidR="006F7709" w:rsidRPr="009D3628">
        <w:rPr>
          <w:rFonts w:ascii="Calibri" w:hAnsi="Calibri" w:cs="Calibri"/>
          <w:lang w:val="en-US"/>
        </w:rPr>
        <w:t xml:space="preserve"> (Soderstrom and Sun, 2007; Barth et al, 2008)</w:t>
      </w:r>
      <w:r w:rsidRPr="009D3628">
        <w:rPr>
          <w:rFonts w:ascii="Calibri" w:hAnsi="Calibri" w:cs="Calibri"/>
          <w:lang w:val="en-US"/>
        </w:rPr>
        <w:t xml:space="preserve">. </w:t>
      </w:r>
      <w:r w:rsidR="00A41D98" w:rsidRPr="009D3628">
        <w:rPr>
          <w:rFonts w:ascii="Calibri" w:hAnsi="Calibri" w:cs="Calibri"/>
          <w:lang w:val="en-US"/>
        </w:rPr>
        <w:t xml:space="preserve">Bearing in mind that IFRS also requires firms to increase the quantity of financial information, I assume earnings information becomes more </w:t>
      </w:r>
      <w:r w:rsidR="00CA6151" w:rsidRPr="009D3628">
        <w:rPr>
          <w:rFonts w:ascii="Calibri" w:hAnsi="Calibri" w:cs="Calibri"/>
          <w:lang w:val="en-US"/>
        </w:rPr>
        <w:t>useful</w:t>
      </w:r>
      <w:r w:rsidR="00A41D98" w:rsidRPr="009D3628">
        <w:rPr>
          <w:rFonts w:ascii="Calibri" w:hAnsi="Calibri" w:cs="Calibri"/>
          <w:lang w:val="en-US"/>
        </w:rPr>
        <w:t xml:space="preserve"> to investors</w:t>
      </w:r>
      <w:r w:rsidR="005D62F5">
        <w:rPr>
          <w:rFonts w:ascii="Calibri" w:hAnsi="Calibri" w:cs="Calibri"/>
          <w:lang w:val="en-US"/>
        </w:rPr>
        <w:t xml:space="preserve"> (Horton et al, 2010</w:t>
      </w:r>
      <w:r w:rsidR="0068265E" w:rsidRPr="009D3628">
        <w:rPr>
          <w:rFonts w:ascii="Calibri" w:hAnsi="Calibri" w:cs="Calibri"/>
          <w:lang w:val="en-US"/>
        </w:rPr>
        <w:t>)</w:t>
      </w:r>
      <w:r w:rsidR="00A41D98" w:rsidRPr="009D3628">
        <w:rPr>
          <w:rFonts w:ascii="Calibri" w:hAnsi="Calibri" w:cs="Calibri"/>
          <w:lang w:val="en-US"/>
        </w:rPr>
        <w:t>. Because more earnings information becomes available, I assume that also the industry-specific information contained in an earnings announcement will increase. T</w:t>
      </w:r>
      <w:r w:rsidR="00E73FAA" w:rsidRPr="009D3628">
        <w:rPr>
          <w:rFonts w:ascii="Calibri" w:hAnsi="Calibri" w:cs="Calibri"/>
          <w:lang w:val="en-US"/>
        </w:rPr>
        <w:t>hen</w:t>
      </w:r>
      <w:r w:rsidR="0068265E" w:rsidRPr="009D3628">
        <w:rPr>
          <w:rFonts w:ascii="Calibri" w:hAnsi="Calibri" w:cs="Calibri"/>
          <w:lang w:val="en-US"/>
        </w:rPr>
        <w:t xml:space="preserve"> investors can use</w:t>
      </w:r>
      <w:r w:rsidR="00A41D98" w:rsidRPr="009D3628">
        <w:rPr>
          <w:rFonts w:ascii="Calibri" w:hAnsi="Calibri" w:cs="Calibri"/>
          <w:lang w:val="en-US"/>
        </w:rPr>
        <w:t xml:space="preserve"> more of this industry-specific information when the first announcing firm re</w:t>
      </w:r>
      <w:r w:rsidR="0068265E" w:rsidRPr="009D3628">
        <w:rPr>
          <w:rFonts w:ascii="Calibri" w:hAnsi="Calibri" w:cs="Calibri"/>
          <w:lang w:val="en-US"/>
        </w:rPr>
        <w:t>leases</w:t>
      </w:r>
      <w:r w:rsidR="00E73FAA" w:rsidRPr="009D3628">
        <w:rPr>
          <w:rFonts w:ascii="Calibri" w:hAnsi="Calibri" w:cs="Calibri"/>
          <w:lang w:val="en-US"/>
        </w:rPr>
        <w:t xml:space="preserve"> its earnings inf</w:t>
      </w:r>
      <w:r w:rsidR="00CA6151" w:rsidRPr="009D3628">
        <w:rPr>
          <w:rFonts w:ascii="Calibri" w:hAnsi="Calibri" w:cs="Calibri"/>
          <w:lang w:val="en-US"/>
        </w:rPr>
        <w:t>ormation, and use this industry-</w:t>
      </w:r>
      <w:r w:rsidR="00E73FAA" w:rsidRPr="009D3628">
        <w:rPr>
          <w:rFonts w:ascii="Calibri" w:hAnsi="Calibri" w:cs="Calibri"/>
          <w:lang w:val="en-US"/>
        </w:rPr>
        <w:t>specific information to</w:t>
      </w:r>
      <w:r w:rsidR="00CA6151" w:rsidRPr="009D3628">
        <w:rPr>
          <w:rFonts w:ascii="Calibri" w:hAnsi="Calibri" w:cs="Calibri"/>
          <w:lang w:val="en-US"/>
        </w:rPr>
        <w:t xml:space="preserve"> trade</w:t>
      </w:r>
      <w:r w:rsidR="00E73FAA" w:rsidRPr="009D3628">
        <w:rPr>
          <w:rFonts w:ascii="Calibri" w:hAnsi="Calibri" w:cs="Calibri"/>
          <w:lang w:val="en-US"/>
        </w:rPr>
        <w:t xml:space="preserve"> on the earnings figures of other firms within the same industry. Kim and Li (2010) found prove that, after switching to IFRS, investors are more likely to use earnings information of industry peers for stock valuation, and that both improved reporting quality and information comparability help explain this pattern. </w:t>
      </w:r>
      <w:r w:rsidR="0068265E" w:rsidRPr="009D3628">
        <w:rPr>
          <w:rFonts w:ascii="Calibri" w:hAnsi="Calibri" w:cs="Calibri"/>
          <w:lang w:val="en-US"/>
        </w:rPr>
        <w:t>In line with Kim and Li (2010), I</w:t>
      </w:r>
      <w:r w:rsidR="00AC2494" w:rsidRPr="009D3628">
        <w:rPr>
          <w:rFonts w:ascii="Calibri" w:hAnsi="Calibri" w:cs="Calibri"/>
          <w:lang w:val="en-US"/>
        </w:rPr>
        <w:t xml:space="preserve"> expect that after the implementation of IFRS in 2005, the financial information released in an earnings announcement becomes more</w:t>
      </w:r>
      <w:r w:rsidR="00CA6151" w:rsidRPr="009D3628">
        <w:rPr>
          <w:rFonts w:ascii="Calibri" w:hAnsi="Calibri" w:cs="Calibri"/>
          <w:lang w:val="en-US"/>
        </w:rPr>
        <w:t xml:space="preserve"> useful</w:t>
      </w:r>
      <w:r w:rsidR="00AC2494" w:rsidRPr="009D3628">
        <w:rPr>
          <w:rFonts w:ascii="Calibri" w:hAnsi="Calibri" w:cs="Calibri"/>
          <w:lang w:val="en-US"/>
        </w:rPr>
        <w:t xml:space="preserve"> to investors, so I expect a stronger reaction in the stock price for the announcing firm </w:t>
      </w:r>
      <w:r w:rsidR="0068265E" w:rsidRPr="009D3628">
        <w:rPr>
          <w:rFonts w:ascii="Calibri" w:hAnsi="Calibri" w:cs="Calibri"/>
          <w:lang w:val="en-US"/>
        </w:rPr>
        <w:t xml:space="preserve">as well </w:t>
      </w:r>
      <w:r w:rsidR="00AC2494" w:rsidRPr="009D3628">
        <w:rPr>
          <w:rFonts w:ascii="Calibri" w:hAnsi="Calibri" w:cs="Calibri"/>
          <w:lang w:val="en-US"/>
        </w:rPr>
        <w:t>as the non-announcing firms operating in the same industry.</w:t>
      </w:r>
      <w:r w:rsidRPr="009D3628">
        <w:rPr>
          <w:rFonts w:ascii="Calibri" w:hAnsi="Calibri" w:cs="Calibri"/>
          <w:lang w:val="en-US"/>
        </w:rPr>
        <w:t xml:space="preserve"> Therefore the </w:t>
      </w:r>
      <w:r w:rsidR="00E73FAA" w:rsidRPr="009D3628">
        <w:rPr>
          <w:rFonts w:ascii="Calibri" w:hAnsi="Calibri" w:cs="Calibri"/>
          <w:lang w:val="en-US"/>
        </w:rPr>
        <w:t>main research question of this study is:</w:t>
      </w:r>
    </w:p>
    <w:p w:rsidR="00BA0286" w:rsidRPr="009D3628" w:rsidRDefault="00BA0286" w:rsidP="00BA0286">
      <w:pPr>
        <w:pStyle w:val="000"/>
        <w:spacing w:line="360" w:lineRule="auto"/>
        <w:rPr>
          <w:rFonts w:ascii="Calibri" w:hAnsi="Calibri" w:cs="Calibri"/>
          <w:lang w:val="en-US"/>
        </w:rPr>
      </w:pPr>
    </w:p>
    <w:p w:rsidR="00AC2494" w:rsidRPr="009D3628" w:rsidRDefault="00CA6151" w:rsidP="00BA0286">
      <w:pPr>
        <w:pStyle w:val="000"/>
        <w:spacing w:line="360" w:lineRule="auto"/>
        <w:rPr>
          <w:rFonts w:ascii="Calibri" w:hAnsi="Calibri" w:cs="Calibri"/>
          <w:i/>
          <w:lang w:val="en-US"/>
        </w:rPr>
      </w:pPr>
      <w:r w:rsidRPr="009D3628">
        <w:rPr>
          <w:rFonts w:ascii="Calibri" w:hAnsi="Calibri" w:cs="Calibri"/>
          <w:i/>
          <w:lang w:val="en-US"/>
        </w:rPr>
        <w:t>Did</w:t>
      </w:r>
      <w:r w:rsidR="00E73FAA" w:rsidRPr="009D3628">
        <w:rPr>
          <w:rFonts w:ascii="Calibri" w:hAnsi="Calibri" w:cs="Calibri"/>
          <w:i/>
          <w:lang w:val="en-US"/>
        </w:rPr>
        <w:t xml:space="preserve"> t</w:t>
      </w:r>
      <w:r w:rsidR="00BA0286" w:rsidRPr="009D3628">
        <w:rPr>
          <w:rFonts w:ascii="Calibri" w:hAnsi="Calibri" w:cs="Calibri"/>
          <w:i/>
          <w:lang w:val="en-US"/>
        </w:rPr>
        <w:t>he mandatory adoption of IFRS by Europea</w:t>
      </w:r>
      <w:r w:rsidR="00E73FAA" w:rsidRPr="009D3628">
        <w:rPr>
          <w:rFonts w:ascii="Calibri" w:hAnsi="Calibri" w:cs="Calibri"/>
          <w:i/>
          <w:lang w:val="en-US"/>
        </w:rPr>
        <w:t>n firms</w:t>
      </w:r>
      <w:r w:rsidR="00BA0286" w:rsidRPr="009D3628">
        <w:rPr>
          <w:rFonts w:ascii="Calibri" w:hAnsi="Calibri" w:cs="Calibri"/>
          <w:i/>
          <w:lang w:val="en-US"/>
        </w:rPr>
        <w:t xml:space="preserve"> lead to an increase in intra-industry information transfer</w:t>
      </w:r>
      <w:r w:rsidR="00E73FAA" w:rsidRPr="009D3628">
        <w:rPr>
          <w:rFonts w:ascii="Calibri" w:hAnsi="Calibri" w:cs="Calibri"/>
          <w:i/>
          <w:lang w:val="en-US"/>
        </w:rPr>
        <w:t>?</w:t>
      </w:r>
    </w:p>
    <w:p w:rsidR="00E73FAA" w:rsidRPr="009D3628" w:rsidRDefault="00E73FAA" w:rsidP="00BA0286">
      <w:pPr>
        <w:pStyle w:val="000"/>
        <w:spacing w:line="360" w:lineRule="auto"/>
        <w:rPr>
          <w:rFonts w:ascii="Calibri" w:hAnsi="Calibri" w:cs="Calibri"/>
          <w:i/>
          <w:lang w:val="en-US"/>
        </w:rPr>
      </w:pPr>
    </w:p>
    <w:p w:rsidR="009E3077" w:rsidRPr="009D3628" w:rsidRDefault="00D43514" w:rsidP="00BA0286">
      <w:pPr>
        <w:pStyle w:val="000"/>
        <w:spacing w:line="360" w:lineRule="auto"/>
        <w:rPr>
          <w:rFonts w:ascii="Calibri" w:hAnsi="Calibri" w:cs="Calibri"/>
          <w:lang w:val="en-US"/>
        </w:rPr>
      </w:pPr>
      <w:r w:rsidRPr="009D3628">
        <w:rPr>
          <w:rFonts w:ascii="Calibri" w:hAnsi="Calibri" w:cs="Calibri"/>
          <w:lang w:val="en-US"/>
        </w:rPr>
        <w:t>To come to an answer on this research question</w:t>
      </w:r>
      <w:r w:rsidR="00FB10E9" w:rsidRPr="009D3628">
        <w:rPr>
          <w:rFonts w:ascii="Calibri" w:hAnsi="Calibri" w:cs="Calibri"/>
          <w:lang w:val="en-US"/>
        </w:rPr>
        <w:t>,</w:t>
      </w:r>
      <w:r w:rsidRPr="009D3628">
        <w:rPr>
          <w:rFonts w:ascii="Calibri" w:hAnsi="Calibri" w:cs="Calibri"/>
          <w:lang w:val="en-US"/>
        </w:rPr>
        <w:t xml:space="preserve"> I first select a sample which consist only of firms which adopted IFRS in 2005.</w:t>
      </w:r>
      <w:r w:rsidR="00CA6151" w:rsidRPr="009D3628">
        <w:rPr>
          <w:rFonts w:ascii="Calibri" w:hAnsi="Calibri" w:cs="Calibri"/>
          <w:lang w:val="en-US"/>
        </w:rPr>
        <w:t xml:space="preserve"> The sample period I investigate includes the years 2001-2010, of which the years 2001-2004 are indicated as the pre-IFRS period and 2005-2010 as the post-IFRS period.</w:t>
      </w:r>
      <w:r w:rsidRPr="009D3628">
        <w:rPr>
          <w:rFonts w:ascii="Calibri" w:hAnsi="Calibri" w:cs="Calibri"/>
          <w:lang w:val="en-US"/>
        </w:rPr>
        <w:t xml:space="preserve"> My final sample consist of </w:t>
      </w:r>
      <w:r w:rsidR="00A93476" w:rsidRPr="009D3628">
        <w:rPr>
          <w:rFonts w:ascii="Calibri" w:hAnsi="Calibri" w:cs="Calibri"/>
          <w:lang w:val="en-US"/>
        </w:rPr>
        <w:t xml:space="preserve">57 </w:t>
      </w:r>
      <w:r w:rsidRPr="009D3628">
        <w:rPr>
          <w:rFonts w:ascii="Calibri" w:hAnsi="Calibri" w:cs="Calibri"/>
          <w:lang w:val="en-US"/>
        </w:rPr>
        <w:t xml:space="preserve">firms divided over </w:t>
      </w:r>
      <w:r w:rsidR="00A93476" w:rsidRPr="009D3628">
        <w:rPr>
          <w:rFonts w:ascii="Calibri" w:hAnsi="Calibri" w:cs="Calibri"/>
          <w:lang w:val="en-US"/>
        </w:rPr>
        <w:t xml:space="preserve">11 </w:t>
      </w:r>
      <w:r w:rsidRPr="009D3628">
        <w:rPr>
          <w:rFonts w:ascii="Calibri" w:hAnsi="Calibri" w:cs="Calibri"/>
          <w:lang w:val="en-US"/>
        </w:rPr>
        <w:t>industries. Per industry, I indicate the firm which first releases its earnings announcements as the first announcer. For the</w:t>
      </w:r>
      <w:r w:rsidR="00AE2F04" w:rsidRPr="009D3628">
        <w:rPr>
          <w:rFonts w:ascii="Calibri" w:hAnsi="Calibri" w:cs="Calibri"/>
          <w:lang w:val="en-US"/>
        </w:rPr>
        <w:t xml:space="preserve"> first announcing firm I </w:t>
      </w:r>
      <w:r w:rsidR="0068265E" w:rsidRPr="009D3628">
        <w:rPr>
          <w:rFonts w:ascii="Calibri" w:hAnsi="Calibri" w:cs="Calibri"/>
          <w:lang w:val="en-US"/>
        </w:rPr>
        <w:t>calculate</w:t>
      </w:r>
      <w:r w:rsidR="00AE2F04" w:rsidRPr="009D3628">
        <w:rPr>
          <w:rFonts w:ascii="Calibri" w:hAnsi="Calibri" w:cs="Calibri"/>
          <w:lang w:val="en-US"/>
        </w:rPr>
        <w:t xml:space="preserve"> the </w:t>
      </w:r>
      <w:r w:rsidR="00A93476" w:rsidRPr="009D3628">
        <w:rPr>
          <w:rFonts w:ascii="Calibri" w:hAnsi="Calibri" w:cs="Calibri"/>
          <w:lang w:val="en-US"/>
        </w:rPr>
        <w:t>abnormal returns by performing an event study</w:t>
      </w:r>
      <w:r w:rsidR="00AE2F04" w:rsidRPr="009D3628">
        <w:rPr>
          <w:rFonts w:ascii="Calibri" w:hAnsi="Calibri" w:cs="Calibri"/>
          <w:lang w:val="en-US"/>
        </w:rPr>
        <w:t xml:space="preserve">. For the non-announcing firms in the same industry,  the abnormal </w:t>
      </w:r>
      <w:r w:rsidR="00AE2F04" w:rsidRPr="009D3628">
        <w:rPr>
          <w:rFonts w:ascii="Calibri" w:hAnsi="Calibri" w:cs="Calibri"/>
          <w:lang w:val="en-US"/>
        </w:rPr>
        <w:lastRenderedPageBreak/>
        <w:t>returns around the announcement date of the first earnings announcement</w:t>
      </w:r>
      <w:r w:rsidR="00A93476" w:rsidRPr="009D3628">
        <w:rPr>
          <w:rFonts w:ascii="Calibri" w:hAnsi="Calibri" w:cs="Calibri"/>
          <w:lang w:val="en-US"/>
        </w:rPr>
        <w:t xml:space="preserve"> are calculated by performing an equal event study as for the first-announcers</w:t>
      </w:r>
      <w:r w:rsidR="00AE2F04" w:rsidRPr="009D3628">
        <w:rPr>
          <w:rFonts w:ascii="Calibri" w:hAnsi="Calibri" w:cs="Calibri"/>
          <w:lang w:val="en-US"/>
        </w:rPr>
        <w:t xml:space="preserve">. </w:t>
      </w:r>
      <w:r w:rsidR="00A93476" w:rsidRPr="009D3628">
        <w:rPr>
          <w:rFonts w:ascii="Calibri" w:hAnsi="Calibri" w:cs="Calibri"/>
          <w:lang w:val="en-US"/>
        </w:rPr>
        <w:t>The event study calculates the abnormal returns</w:t>
      </w:r>
      <w:r w:rsidR="00AE2F04" w:rsidRPr="009D3628">
        <w:rPr>
          <w:rFonts w:ascii="Calibri" w:hAnsi="Calibri" w:cs="Calibri"/>
          <w:lang w:val="en-US"/>
        </w:rPr>
        <w:t xml:space="preserve"> by taking the difference between the actual return and the estimated return based on a benchmark which holds for the market. </w:t>
      </w:r>
      <w:r w:rsidR="0068265E" w:rsidRPr="009D3628">
        <w:rPr>
          <w:rFonts w:ascii="Calibri" w:hAnsi="Calibri" w:cs="Calibri"/>
          <w:lang w:val="en-US"/>
        </w:rPr>
        <w:t xml:space="preserve">This benchmark takes into account the average return of all firms in the market, so also non-IFRS reporting firms. </w:t>
      </w:r>
      <w:r w:rsidR="00F3172A">
        <w:rPr>
          <w:rFonts w:ascii="Calibri" w:hAnsi="Calibri" w:cs="Calibri"/>
          <w:lang w:val="en-US"/>
        </w:rPr>
        <w:t>Then for both announcing and non-announcing firms in the sample, the abnormal return variance is calculated. This variance shows the stock return variance in the window surrounding the announcement date, scaled by the stock return variance in the ‘non-announcing’ period. So it  actually shows which part of the abnormal return is assignable to the information release and is not caused by other factors. Finally a Spearman rank correlation test is performed to measure if intra-industry information transfer occurred in the selected samples, and both pre-IFRS and post-IFRS samples are compared to each other to say something about the impact of the implementation of IFRS.</w:t>
      </w:r>
    </w:p>
    <w:p w:rsidR="00104FDA" w:rsidRPr="009D3628" w:rsidRDefault="00104FDA" w:rsidP="00BA0286">
      <w:pPr>
        <w:pStyle w:val="000"/>
        <w:spacing w:line="360" w:lineRule="auto"/>
        <w:rPr>
          <w:rFonts w:ascii="Calibri" w:hAnsi="Calibri" w:cs="Calibri"/>
          <w:lang w:val="en-US"/>
        </w:rPr>
      </w:pPr>
    </w:p>
    <w:p w:rsidR="009E3077" w:rsidRPr="009D3628" w:rsidRDefault="00A93476" w:rsidP="00B5104C">
      <w:pPr>
        <w:pStyle w:val="Kop2"/>
        <w:spacing w:line="360" w:lineRule="auto"/>
        <w:rPr>
          <w:rFonts w:ascii="Calibri" w:hAnsi="Calibri" w:cs="Calibri"/>
          <w:lang w:val="en-US"/>
        </w:rPr>
      </w:pPr>
      <w:bookmarkStart w:id="6" w:name="_Toc331518352"/>
      <w:r w:rsidRPr="009D3628">
        <w:rPr>
          <w:rFonts w:ascii="Calibri" w:hAnsi="Calibri" w:cs="Calibri"/>
          <w:lang w:val="en-US"/>
        </w:rPr>
        <w:t>Outline</w:t>
      </w:r>
      <w:r w:rsidR="00B5104C" w:rsidRPr="009D3628">
        <w:rPr>
          <w:rFonts w:ascii="Calibri" w:hAnsi="Calibri" w:cs="Calibri"/>
          <w:lang w:val="en-US"/>
        </w:rPr>
        <w:t xml:space="preserve"> of the study</w:t>
      </w:r>
      <w:bookmarkEnd w:id="6"/>
    </w:p>
    <w:p w:rsidR="00D72530" w:rsidRPr="009D3628" w:rsidRDefault="00B5104C" w:rsidP="00B5104C">
      <w:pPr>
        <w:pStyle w:val="000"/>
        <w:spacing w:line="360" w:lineRule="auto"/>
        <w:rPr>
          <w:rFonts w:ascii="Calibri" w:hAnsi="Calibri" w:cs="Calibri"/>
          <w:lang w:val="en-US"/>
        </w:rPr>
      </w:pPr>
      <w:r w:rsidRPr="009D3628">
        <w:rPr>
          <w:rFonts w:ascii="Calibri" w:hAnsi="Calibri" w:cs="Calibri"/>
          <w:lang w:val="en-US"/>
        </w:rPr>
        <w:t xml:space="preserve">This </w:t>
      </w:r>
      <w:r w:rsidR="00A93476" w:rsidRPr="009D3628">
        <w:rPr>
          <w:rFonts w:ascii="Calibri" w:hAnsi="Calibri" w:cs="Calibri"/>
          <w:lang w:val="en-US"/>
        </w:rPr>
        <w:t>master’s thesis</w:t>
      </w:r>
      <w:r w:rsidRPr="009D3628">
        <w:rPr>
          <w:rFonts w:ascii="Calibri" w:hAnsi="Calibri" w:cs="Calibri"/>
          <w:lang w:val="en-US"/>
        </w:rPr>
        <w:t xml:space="preserve"> is organized as follows. Chapter 2 gives an overview of the background and the related literature. This section is subdivided in prior literature according to the information content of earnings, intra-industry information transfer studies, and IFRS related studies. In chapter 3 the research design is discussed. Chapter 4 describes the sample selection procedure. In chapter 5, the empirical results are presented</w:t>
      </w:r>
      <w:r w:rsidR="003B20D3" w:rsidRPr="009D3628">
        <w:rPr>
          <w:rFonts w:ascii="Calibri" w:hAnsi="Calibri" w:cs="Calibri"/>
          <w:lang w:val="en-US"/>
        </w:rPr>
        <w:t xml:space="preserve"> and analyzed</w:t>
      </w:r>
      <w:r w:rsidRPr="009D3628">
        <w:rPr>
          <w:rFonts w:ascii="Calibri" w:hAnsi="Calibri" w:cs="Calibri"/>
          <w:lang w:val="en-US"/>
        </w:rPr>
        <w:t xml:space="preserve">, and I conclude with a short summary in the sixth chapter. </w:t>
      </w:r>
    </w:p>
    <w:p w:rsidR="0017239E" w:rsidRDefault="0017239E">
      <w:pPr>
        <w:overflowPunct/>
        <w:autoSpaceDE/>
        <w:autoSpaceDN/>
        <w:adjustRightInd/>
        <w:spacing w:after="200" w:line="276" w:lineRule="auto"/>
        <w:textAlignment w:val="auto"/>
        <w:rPr>
          <w:rFonts w:ascii="Calibri" w:hAnsi="Calibri" w:cs="Calibri"/>
          <w:b/>
          <w:lang w:val="en-US"/>
        </w:rPr>
      </w:pPr>
    </w:p>
    <w:p w:rsidR="00C148E5" w:rsidRDefault="00C148E5">
      <w:pPr>
        <w:overflowPunct/>
        <w:autoSpaceDE/>
        <w:autoSpaceDN/>
        <w:adjustRightInd/>
        <w:spacing w:after="200" w:line="276" w:lineRule="auto"/>
        <w:textAlignment w:val="auto"/>
        <w:rPr>
          <w:rFonts w:ascii="Calibri" w:hAnsi="Calibri" w:cs="Calibri"/>
          <w:b/>
          <w:lang w:val="en-US"/>
        </w:rPr>
      </w:pPr>
    </w:p>
    <w:p w:rsidR="00C148E5" w:rsidRDefault="00C148E5">
      <w:pPr>
        <w:overflowPunct/>
        <w:autoSpaceDE/>
        <w:autoSpaceDN/>
        <w:adjustRightInd/>
        <w:spacing w:after="200" w:line="276" w:lineRule="auto"/>
        <w:textAlignment w:val="auto"/>
        <w:rPr>
          <w:rFonts w:ascii="Calibri" w:hAnsi="Calibri" w:cs="Calibri"/>
          <w:b/>
          <w:lang w:val="en-US"/>
        </w:rPr>
      </w:pPr>
    </w:p>
    <w:p w:rsidR="00C148E5" w:rsidRDefault="00C148E5">
      <w:pPr>
        <w:overflowPunct/>
        <w:autoSpaceDE/>
        <w:autoSpaceDN/>
        <w:adjustRightInd/>
        <w:spacing w:after="200" w:line="276" w:lineRule="auto"/>
        <w:textAlignment w:val="auto"/>
        <w:rPr>
          <w:rFonts w:ascii="Calibri" w:hAnsi="Calibri" w:cs="Calibri"/>
          <w:b/>
          <w:lang w:val="en-US"/>
        </w:rPr>
      </w:pPr>
    </w:p>
    <w:p w:rsidR="00C148E5" w:rsidRDefault="00C148E5">
      <w:pPr>
        <w:overflowPunct/>
        <w:autoSpaceDE/>
        <w:autoSpaceDN/>
        <w:adjustRightInd/>
        <w:spacing w:after="200" w:line="276" w:lineRule="auto"/>
        <w:textAlignment w:val="auto"/>
        <w:rPr>
          <w:rFonts w:ascii="Calibri" w:hAnsi="Calibri" w:cs="Calibri"/>
          <w:b/>
          <w:lang w:val="en-US"/>
        </w:rPr>
      </w:pPr>
    </w:p>
    <w:p w:rsidR="00C148E5" w:rsidRDefault="00C148E5">
      <w:pPr>
        <w:overflowPunct/>
        <w:autoSpaceDE/>
        <w:autoSpaceDN/>
        <w:adjustRightInd/>
        <w:spacing w:after="200" w:line="276" w:lineRule="auto"/>
        <w:textAlignment w:val="auto"/>
        <w:rPr>
          <w:rFonts w:ascii="Calibri" w:hAnsi="Calibri" w:cs="Calibri"/>
          <w:b/>
          <w:lang w:val="en-US"/>
        </w:rPr>
      </w:pPr>
    </w:p>
    <w:p w:rsidR="00C148E5" w:rsidRDefault="00C148E5">
      <w:pPr>
        <w:overflowPunct/>
        <w:autoSpaceDE/>
        <w:autoSpaceDN/>
        <w:adjustRightInd/>
        <w:spacing w:after="200" w:line="276" w:lineRule="auto"/>
        <w:textAlignment w:val="auto"/>
        <w:rPr>
          <w:rFonts w:ascii="Calibri" w:hAnsi="Calibri" w:cs="Calibri"/>
          <w:b/>
          <w:lang w:val="en-US"/>
        </w:rPr>
      </w:pPr>
    </w:p>
    <w:p w:rsidR="00C148E5" w:rsidRDefault="00C148E5">
      <w:pPr>
        <w:overflowPunct/>
        <w:autoSpaceDE/>
        <w:autoSpaceDN/>
        <w:adjustRightInd/>
        <w:spacing w:after="200" w:line="276" w:lineRule="auto"/>
        <w:textAlignment w:val="auto"/>
        <w:rPr>
          <w:rFonts w:ascii="Calibri" w:hAnsi="Calibri" w:cs="Calibri"/>
          <w:b/>
          <w:lang w:val="en-US"/>
        </w:rPr>
      </w:pPr>
    </w:p>
    <w:p w:rsidR="00C148E5" w:rsidRPr="00C148E5" w:rsidRDefault="00C148E5">
      <w:pPr>
        <w:overflowPunct/>
        <w:autoSpaceDE/>
        <w:autoSpaceDN/>
        <w:adjustRightInd/>
        <w:spacing w:after="200" w:line="276" w:lineRule="auto"/>
        <w:textAlignment w:val="auto"/>
        <w:rPr>
          <w:rFonts w:ascii="Calibri" w:hAnsi="Calibri" w:cs="Calibri"/>
          <w:lang w:val="en-US"/>
        </w:rPr>
      </w:pPr>
    </w:p>
    <w:p w:rsidR="00275721" w:rsidRPr="009D3628" w:rsidRDefault="00275721" w:rsidP="00B5104C">
      <w:pPr>
        <w:pStyle w:val="Kop1"/>
        <w:rPr>
          <w:rFonts w:ascii="Calibri" w:hAnsi="Calibri" w:cs="Calibri"/>
          <w:lang w:val="en-US"/>
        </w:rPr>
      </w:pPr>
      <w:bookmarkStart w:id="7" w:name="_Toc331518353"/>
      <w:r w:rsidRPr="009D3628">
        <w:rPr>
          <w:rFonts w:ascii="Calibri" w:hAnsi="Calibri" w:cs="Calibri"/>
          <w:lang w:val="en-US"/>
        </w:rPr>
        <w:lastRenderedPageBreak/>
        <w:t>Theoretical background and related literature</w:t>
      </w:r>
      <w:bookmarkEnd w:id="7"/>
    </w:p>
    <w:p w:rsidR="00B5104C" w:rsidRPr="009D3628" w:rsidRDefault="00B5104C" w:rsidP="00B5104C">
      <w:pPr>
        <w:pStyle w:val="000"/>
        <w:rPr>
          <w:rFonts w:ascii="Calibri" w:hAnsi="Calibri" w:cs="Calibri"/>
          <w:lang w:val="en-US"/>
        </w:rPr>
      </w:pPr>
    </w:p>
    <w:p w:rsidR="002A3671" w:rsidRPr="009D3628" w:rsidRDefault="002A3671" w:rsidP="002A3671">
      <w:pPr>
        <w:pStyle w:val="Kop2"/>
        <w:spacing w:line="360" w:lineRule="auto"/>
        <w:rPr>
          <w:rFonts w:ascii="Calibri" w:hAnsi="Calibri" w:cs="Calibri"/>
          <w:lang w:val="en-US"/>
        </w:rPr>
      </w:pPr>
      <w:bookmarkStart w:id="8" w:name="_Toc331518354"/>
      <w:r w:rsidRPr="009D3628">
        <w:rPr>
          <w:rFonts w:ascii="Calibri" w:hAnsi="Calibri" w:cs="Calibri"/>
          <w:lang w:val="en-US"/>
        </w:rPr>
        <w:t>Introduction</w:t>
      </w:r>
      <w:bookmarkEnd w:id="8"/>
      <w:r w:rsidRPr="009D3628">
        <w:rPr>
          <w:rFonts w:ascii="Calibri" w:hAnsi="Calibri" w:cs="Calibri"/>
          <w:lang w:val="en-US"/>
        </w:rPr>
        <w:t xml:space="preserve"> </w:t>
      </w:r>
    </w:p>
    <w:p w:rsidR="002A3671" w:rsidRPr="009D3628" w:rsidRDefault="00230D94" w:rsidP="002A3671">
      <w:pPr>
        <w:pStyle w:val="000"/>
        <w:spacing w:line="360" w:lineRule="auto"/>
        <w:rPr>
          <w:rFonts w:ascii="Calibri" w:hAnsi="Calibri" w:cs="Calibri"/>
          <w:lang w:val="en-US"/>
        </w:rPr>
      </w:pPr>
      <w:r w:rsidRPr="009D3628">
        <w:rPr>
          <w:rFonts w:ascii="Calibri" w:hAnsi="Calibri" w:cs="Calibri"/>
          <w:lang w:val="en-US"/>
        </w:rPr>
        <w:t>Ma</w:t>
      </w:r>
      <w:r w:rsidR="00761961" w:rsidRPr="009D3628">
        <w:rPr>
          <w:rFonts w:ascii="Calibri" w:hAnsi="Calibri" w:cs="Calibri"/>
          <w:lang w:val="en-US"/>
        </w:rPr>
        <w:t>rket-</w:t>
      </w:r>
      <w:r w:rsidR="0086017D" w:rsidRPr="009D3628">
        <w:rPr>
          <w:rFonts w:ascii="Calibri" w:hAnsi="Calibri" w:cs="Calibri"/>
          <w:lang w:val="en-US"/>
        </w:rPr>
        <w:t xml:space="preserve">based accounting research </w:t>
      </w:r>
      <w:r w:rsidRPr="009D3628">
        <w:rPr>
          <w:rFonts w:ascii="Calibri" w:hAnsi="Calibri" w:cs="Calibri"/>
          <w:lang w:val="en-US"/>
        </w:rPr>
        <w:t>examines relationships betw</w:t>
      </w:r>
      <w:r w:rsidR="00761961" w:rsidRPr="009D3628">
        <w:rPr>
          <w:rFonts w:ascii="Calibri" w:hAnsi="Calibri" w:cs="Calibri"/>
          <w:lang w:val="en-US"/>
        </w:rPr>
        <w:t>een published accounting information</w:t>
      </w:r>
      <w:r w:rsidRPr="009D3628">
        <w:rPr>
          <w:rFonts w:ascii="Calibri" w:hAnsi="Calibri" w:cs="Calibri"/>
          <w:lang w:val="en-US"/>
        </w:rPr>
        <w:t>, and share prices, stock returns, and trading volumes.</w:t>
      </w:r>
      <w:r w:rsidR="0086017D" w:rsidRPr="009D3628">
        <w:rPr>
          <w:rFonts w:ascii="Calibri" w:hAnsi="Calibri" w:cs="Calibri"/>
          <w:lang w:val="en-US"/>
        </w:rPr>
        <w:t xml:space="preserve"> There are two different perspectives to</w:t>
      </w:r>
      <w:r w:rsidR="00761961" w:rsidRPr="009D3628">
        <w:rPr>
          <w:rFonts w:ascii="Calibri" w:hAnsi="Calibri" w:cs="Calibri"/>
          <w:lang w:val="en-US"/>
        </w:rPr>
        <w:t xml:space="preserve"> conduct market-</w:t>
      </w:r>
      <w:r w:rsidR="0086017D" w:rsidRPr="009D3628">
        <w:rPr>
          <w:rFonts w:ascii="Calibri" w:hAnsi="Calibri" w:cs="Calibri"/>
          <w:lang w:val="en-US"/>
        </w:rPr>
        <w:t>based accounting research, which are the information perspective and the measurement perspective. The information perspective actually measures the information content. It measures the impact of new information o</w:t>
      </w:r>
      <w:r w:rsidR="0068297C" w:rsidRPr="009D3628">
        <w:rPr>
          <w:rFonts w:ascii="Calibri" w:hAnsi="Calibri" w:cs="Calibri"/>
          <w:lang w:val="en-US"/>
        </w:rPr>
        <w:t xml:space="preserve">n </w:t>
      </w:r>
      <w:r w:rsidR="00761961" w:rsidRPr="009D3628">
        <w:rPr>
          <w:rFonts w:ascii="Calibri" w:hAnsi="Calibri" w:cs="Calibri"/>
          <w:lang w:val="en-US"/>
        </w:rPr>
        <w:t>stock prices, stock returns and trading volumes</w:t>
      </w:r>
      <w:r w:rsidR="0086017D" w:rsidRPr="009D3628">
        <w:rPr>
          <w:rFonts w:ascii="Calibri" w:hAnsi="Calibri" w:cs="Calibri"/>
          <w:lang w:val="en-US"/>
        </w:rPr>
        <w:t>. It is often measured in a short window surrounding an earnings announcement</w:t>
      </w:r>
      <w:r w:rsidR="0068297C" w:rsidRPr="009D3628">
        <w:rPr>
          <w:rFonts w:ascii="Calibri" w:hAnsi="Calibri" w:cs="Calibri"/>
          <w:lang w:val="en-US"/>
        </w:rPr>
        <w:t xml:space="preserve"> and is normally done by an event study. Collins, Li and Xie (2009) for example, p</w:t>
      </w:r>
      <w:r w:rsidR="00761961" w:rsidRPr="009D3628">
        <w:rPr>
          <w:rFonts w:ascii="Calibri" w:hAnsi="Calibri" w:cs="Calibri"/>
          <w:lang w:val="en-US"/>
        </w:rPr>
        <w:t>resent</w:t>
      </w:r>
      <w:r w:rsidR="0068297C" w:rsidRPr="009D3628">
        <w:rPr>
          <w:rFonts w:ascii="Calibri" w:hAnsi="Calibri" w:cs="Calibri"/>
          <w:lang w:val="en-US"/>
        </w:rPr>
        <w:t xml:space="preserve"> an event study to investigate what drives the increased informativeness of earnings announcements over time. </w:t>
      </w:r>
    </w:p>
    <w:p w:rsidR="006573BD" w:rsidRPr="009D3628" w:rsidRDefault="006573BD" w:rsidP="002A3671">
      <w:pPr>
        <w:pStyle w:val="000"/>
        <w:spacing w:line="360" w:lineRule="auto"/>
        <w:rPr>
          <w:rFonts w:ascii="Calibri" w:hAnsi="Calibri" w:cs="Calibri"/>
          <w:lang w:val="en-US"/>
        </w:rPr>
      </w:pPr>
      <w:r w:rsidRPr="009D3628">
        <w:rPr>
          <w:rFonts w:ascii="Calibri" w:hAnsi="Calibri" w:cs="Calibri"/>
          <w:lang w:val="en-US"/>
        </w:rPr>
        <w:t>The measurement perspective measures the value relevance. The measurement perspective investigates i</w:t>
      </w:r>
      <w:r w:rsidR="002D304C" w:rsidRPr="009D3628">
        <w:rPr>
          <w:rFonts w:ascii="Calibri" w:hAnsi="Calibri" w:cs="Calibri"/>
          <w:lang w:val="en-US"/>
        </w:rPr>
        <w:t>f the changes in stock prices or</w:t>
      </w:r>
      <w:r w:rsidRPr="009D3628">
        <w:rPr>
          <w:rFonts w:ascii="Calibri" w:hAnsi="Calibri" w:cs="Calibri"/>
          <w:lang w:val="en-US"/>
        </w:rPr>
        <w:t xml:space="preserve"> returns are a good reflection of the underlying accounting numbers. So it is actually look</w:t>
      </w:r>
      <w:r w:rsidR="002D304C" w:rsidRPr="009D3628">
        <w:rPr>
          <w:rFonts w:ascii="Calibri" w:hAnsi="Calibri" w:cs="Calibri"/>
          <w:lang w:val="en-US"/>
        </w:rPr>
        <w:t>ing back the other way compared</w:t>
      </w:r>
      <w:r w:rsidRPr="009D3628">
        <w:rPr>
          <w:rFonts w:ascii="Calibri" w:hAnsi="Calibri" w:cs="Calibri"/>
          <w:lang w:val="en-US"/>
        </w:rPr>
        <w:t xml:space="preserve"> to the information perspective. The measurement perspective computes the association between accounting numbers and numbers from capital markets, for example the relation between earnings and returns. </w:t>
      </w:r>
    </w:p>
    <w:p w:rsidR="00D34CEC" w:rsidRPr="009D3628" w:rsidRDefault="00D34CEC" w:rsidP="002A3671">
      <w:pPr>
        <w:pStyle w:val="000"/>
        <w:spacing w:line="360" w:lineRule="auto"/>
        <w:rPr>
          <w:rFonts w:ascii="Calibri" w:hAnsi="Calibri" w:cs="Calibri"/>
          <w:lang w:val="en-US"/>
        </w:rPr>
      </w:pPr>
      <w:r w:rsidRPr="009D3628">
        <w:rPr>
          <w:rFonts w:ascii="Calibri" w:hAnsi="Calibri" w:cs="Calibri"/>
          <w:lang w:val="en-US"/>
        </w:rPr>
        <w:t xml:space="preserve">This study focuses on the information perspective. This by investigating the impact earnings announcements can have on the stock price of the announcing firm itself as well as on competitive firms within the same industry. </w:t>
      </w:r>
      <w:r w:rsidR="00E75E60" w:rsidRPr="009D3628">
        <w:rPr>
          <w:rFonts w:ascii="Calibri" w:hAnsi="Calibri" w:cs="Calibri"/>
          <w:lang w:val="en-US"/>
        </w:rPr>
        <w:t xml:space="preserve"> </w:t>
      </w:r>
      <w:r w:rsidR="00392E99" w:rsidRPr="009D3628">
        <w:rPr>
          <w:rFonts w:ascii="Calibri" w:hAnsi="Calibri" w:cs="Calibri"/>
          <w:lang w:val="en-US"/>
        </w:rPr>
        <w:t xml:space="preserve"> </w:t>
      </w:r>
    </w:p>
    <w:p w:rsidR="00E75E60" w:rsidRPr="009D3628" w:rsidRDefault="00E75E60" w:rsidP="00E75E60">
      <w:pPr>
        <w:pStyle w:val="000"/>
        <w:spacing w:line="360" w:lineRule="auto"/>
        <w:rPr>
          <w:rFonts w:ascii="Calibri" w:hAnsi="Calibri" w:cs="Calibri"/>
          <w:lang w:val="en-US"/>
        </w:rPr>
      </w:pPr>
      <w:r w:rsidRPr="009D3628">
        <w:rPr>
          <w:rFonts w:ascii="Calibri" w:hAnsi="Calibri" w:cs="Calibri"/>
          <w:lang w:val="en-US"/>
        </w:rPr>
        <w:t xml:space="preserve">This chapter gives an overview of the background and some prior literature related to this study. The chapter is subdivided as follows. It started with an introduction to the type of research which is done, by describing the different perspectives which can be used. The other </w:t>
      </w:r>
      <w:r w:rsidR="002D304C" w:rsidRPr="009D3628">
        <w:rPr>
          <w:rFonts w:ascii="Calibri" w:hAnsi="Calibri" w:cs="Calibri"/>
          <w:lang w:val="en-US"/>
        </w:rPr>
        <w:t>sections</w:t>
      </w:r>
      <w:r w:rsidRPr="009D3628">
        <w:rPr>
          <w:rFonts w:ascii="Calibri" w:hAnsi="Calibri" w:cs="Calibri"/>
          <w:lang w:val="en-US"/>
        </w:rPr>
        <w:t xml:space="preserve"> in this chapter discuss some important studies divided over three different topics. </w:t>
      </w:r>
      <w:r w:rsidR="002D304C" w:rsidRPr="009D3628">
        <w:rPr>
          <w:rFonts w:ascii="Calibri" w:hAnsi="Calibri" w:cs="Calibri"/>
          <w:lang w:val="en-US"/>
        </w:rPr>
        <w:t>Section</w:t>
      </w:r>
      <w:r w:rsidRPr="009D3628">
        <w:rPr>
          <w:rFonts w:ascii="Calibri" w:hAnsi="Calibri" w:cs="Calibri"/>
          <w:lang w:val="en-US"/>
        </w:rPr>
        <w:t xml:space="preserve"> 2.2 discusses the prior literature related to the information content of earnings announcements. </w:t>
      </w:r>
      <w:r w:rsidR="002D304C" w:rsidRPr="009D3628">
        <w:rPr>
          <w:rFonts w:ascii="Calibri" w:hAnsi="Calibri" w:cs="Calibri"/>
          <w:lang w:val="en-US"/>
        </w:rPr>
        <w:t>Section</w:t>
      </w:r>
      <w:r w:rsidRPr="009D3628">
        <w:rPr>
          <w:rFonts w:ascii="Calibri" w:hAnsi="Calibri" w:cs="Calibri"/>
          <w:lang w:val="en-US"/>
        </w:rPr>
        <w:t xml:space="preserve"> 2.3 focuses on the prior studies trying to prove existence of intra-industry information transfer. The fourth </w:t>
      </w:r>
      <w:r w:rsidR="002D304C" w:rsidRPr="009D3628">
        <w:rPr>
          <w:rFonts w:ascii="Calibri" w:hAnsi="Calibri" w:cs="Calibri"/>
          <w:lang w:val="en-US"/>
        </w:rPr>
        <w:t>section</w:t>
      </w:r>
      <w:r w:rsidRPr="009D3628">
        <w:rPr>
          <w:rFonts w:ascii="Calibri" w:hAnsi="Calibri" w:cs="Calibri"/>
          <w:lang w:val="en-US"/>
        </w:rPr>
        <w:t xml:space="preserve"> discusses some prior literature focusing on the implementation of IFRS and the consequences of this change in accounting standards. </w:t>
      </w:r>
    </w:p>
    <w:p w:rsidR="00230D94" w:rsidRPr="009D3628" w:rsidRDefault="00230D94" w:rsidP="002A3671">
      <w:pPr>
        <w:pStyle w:val="000"/>
        <w:spacing w:line="360" w:lineRule="auto"/>
        <w:rPr>
          <w:rFonts w:ascii="Calibri" w:hAnsi="Calibri" w:cs="Calibri"/>
          <w:lang w:val="en-US"/>
        </w:rPr>
      </w:pPr>
    </w:p>
    <w:p w:rsidR="00275721" w:rsidRPr="009D3628" w:rsidRDefault="00275721" w:rsidP="00B5104C">
      <w:pPr>
        <w:pStyle w:val="Kop2"/>
        <w:spacing w:line="360" w:lineRule="auto"/>
        <w:rPr>
          <w:rFonts w:ascii="Calibri" w:hAnsi="Calibri" w:cs="Calibri"/>
          <w:lang w:val="en-US"/>
        </w:rPr>
      </w:pPr>
      <w:bookmarkStart w:id="9" w:name="_Toc331518355"/>
      <w:r w:rsidRPr="009D3628">
        <w:rPr>
          <w:rFonts w:ascii="Calibri" w:hAnsi="Calibri" w:cs="Calibri"/>
          <w:lang w:val="en-US"/>
        </w:rPr>
        <w:lastRenderedPageBreak/>
        <w:t>Information content of earnings announcements</w:t>
      </w:r>
      <w:bookmarkEnd w:id="9"/>
    </w:p>
    <w:p w:rsidR="00275721" w:rsidRPr="009D3628" w:rsidRDefault="00275721" w:rsidP="00B5104C">
      <w:pPr>
        <w:pStyle w:val="000"/>
        <w:spacing w:line="360" w:lineRule="auto"/>
        <w:rPr>
          <w:rFonts w:ascii="Calibri" w:hAnsi="Calibri" w:cs="Calibri"/>
          <w:lang w:val="en-US"/>
        </w:rPr>
      </w:pPr>
      <w:r w:rsidRPr="009D3628">
        <w:rPr>
          <w:rFonts w:ascii="Calibri" w:hAnsi="Calibri" w:cs="Calibri"/>
          <w:lang w:val="en-US"/>
        </w:rPr>
        <w:t xml:space="preserve">There is a lot of research done related to the information content of earnings announcements. </w:t>
      </w:r>
      <w:r w:rsidR="003C3326" w:rsidRPr="009D3628">
        <w:rPr>
          <w:rFonts w:ascii="Calibri" w:hAnsi="Calibri" w:cs="Calibri"/>
          <w:lang w:val="en-US"/>
        </w:rPr>
        <w:t xml:space="preserve">The notion of information content first expressed by Kothari (2001) is: “If the level or variability of prices changes around the event date, then the conclusion is that the accounting event conveys new information about the amount, timing and/or uncertainty of future cash flows that revised the market’s previous expectations.” </w:t>
      </w:r>
      <w:r w:rsidRPr="009D3628">
        <w:rPr>
          <w:rFonts w:ascii="Calibri" w:hAnsi="Calibri" w:cs="Calibri"/>
          <w:lang w:val="en-US"/>
        </w:rPr>
        <w:t>The information content of earnings is an issue of obvious importance and is a focal point for many measurement controversies in accounting. Beaver (1968) studied the information content of annual earnings announcements, where he established that both trading volume and return volatility increase at the time of earnings announcements. Beaver (1968) defined abnormal volume (AVOL), using the following formula:</w:t>
      </w:r>
    </w:p>
    <w:p w:rsidR="00275721" w:rsidRPr="009D3628" w:rsidRDefault="00275721" w:rsidP="00275721">
      <w:pPr>
        <w:pStyle w:val="000"/>
        <w:spacing w:line="360" w:lineRule="auto"/>
        <w:rPr>
          <w:rFonts w:ascii="Calibri" w:hAnsi="Calibri" w:cs="Calibri"/>
          <w:lang w:val="en-US"/>
        </w:rPr>
      </w:pPr>
    </w:p>
    <w:p w:rsidR="00275721" w:rsidRPr="009D3628" w:rsidRDefault="00275721" w:rsidP="00275721">
      <w:pPr>
        <w:pStyle w:val="000"/>
        <w:spacing w:line="360" w:lineRule="auto"/>
        <w:jc w:val="center"/>
        <w:rPr>
          <w:rFonts w:ascii="Calibri" w:hAnsi="Calibri" w:cs="Calibri"/>
          <w:i/>
          <w:vertAlign w:val="subscript"/>
          <w:lang w:val="en-US"/>
        </w:rPr>
      </w:pPr>
      <w:r w:rsidRPr="009D3628">
        <w:rPr>
          <w:rFonts w:ascii="Calibri" w:hAnsi="Calibri" w:cs="Calibri"/>
          <w:i/>
          <w:lang w:val="en-US"/>
        </w:rPr>
        <w:t>AVOL</w:t>
      </w:r>
      <w:r w:rsidRPr="009D3628">
        <w:rPr>
          <w:rFonts w:ascii="Calibri" w:hAnsi="Calibri" w:cs="Calibri"/>
          <w:i/>
          <w:vertAlign w:val="subscript"/>
          <w:lang w:val="en-US"/>
        </w:rPr>
        <w:t>it</w:t>
      </w:r>
      <w:r w:rsidRPr="009D3628">
        <w:rPr>
          <w:rFonts w:ascii="Calibri" w:hAnsi="Calibri" w:cs="Calibri"/>
          <w:i/>
          <w:lang w:val="en-US"/>
        </w:rPr>
        <w:t xml:space="preserve"> = (V</w:t>
      </w:r>
      <w:r w:rsidRPr="009D3628">
        <w:rPr>
          <w:rFonts w:ascii="Calibri" w:hAnsi="Calibri" w:cs="Calibri"/>
          <w:i/>
          <w:vertAlign w:val="subscript"/>
          <w:lang w:val="en-US"/>
        </w:rPr>
        <w:t xml:space="preserve">it </w:t>
      </w:r>
      <w:r w:rsidRPr="009D3628">
        <w:rPr>
          <w:rFonts w:ascii="Calibri" w:hAnsi="Calibri" w:cs="Calibri"/>
          <w:i/>
          <w:lang w:val="en-US"/>
        </w:rPr>
        <w:t xml:space="preserve"> - </w:t>
      </w:r>
      <m:oMath>
        <m:acc>
          <m:accPr>
            <m:chr m:val="̃"/>
            <m:ctrlPr>
              <w:rPr>
                <w:rFonts w:ascii="Cambria Math" w:hAnsi="Calibri" w:cs="Calibri"/>
                <w:i/>
                <w:lang w:val="en-US"/>
              </w:rPr>
            </m:ctrlPr>
          </m:accPr>
          <m:e>
            <m:r>
              <w:rPr>
                <w:rFonts w:ascii="Cambria Math" w:hAnsi="Cambria Math" w:cs="Calibri"/>
                <w:lang w:val="en-US"/>
              </w:rPr>
              <m:t>V</m:t>
            </m:r>
          </m:e>
        </m:acc>
      </m:oMath>
      <w:r w:rsidRPr="009D3628">
        <w:rPr>
          <w:rFonts w:ascii="Calibri" w:hAnsi="Calibri" w:cs="Calibri"/>
          <w:i/>
          <w:vertAlign w:val="subscript"/>
          <w:lang w:val="en-US"/>
        </w:rPr>
        <w:t>it</w:t>
      </w:r>
      <w:r w:rsidRPr="009D3628">
        <w:rPr>
          <w:rFonts w:ascii="Calibri" w:hAnsi="Calibri" w:cs="Calibri"/>
          <w:i/>
          <w:lang w:val="en-US"/>
        </w:rPr>
        <w:t>) / σ</w:t>
      </w:r>
      <w:r w:rsidRPr="009D3628">
        <w:rPr>
          <w:rFonts w:ascii="Calibri" w:hAnsi="Calibri" w:cs="Calibri"/>
          <w:i/>
          <w:vertAlign w:val="subscript"/>
          <w:lang w:val="en-US"/>
        </w:rPr>
        <w:t>i</w:t>
      </w:r>
    </w:p>
    <w:p w:rsidR="00275721" w:rsidRPr="009D3628" w:rsidRDefault="00275721" w:rsidP="00275721">
      <w:pPr>
        <w:pStyle w:val="000"/>
        <w:spacing w:line="360" w:lineRule="auto"/>
        <w:rPr>
          <w:rFonts w:ascii="Calibri" w:hAnsi="Calibri" w:cs="Calibri"/>
          <w:i/>
          <w:vertAlign w:val="subscript"/>
          <w:lang w:val="en-US"/>
        </w:rPr>
      </w:pP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lang w:val="en-US"/>
        </w:rPr>
        <w:t xml:space="preserve">Where </w:t>
      </w:r>
      <w:r w:rsidRPr="009D3628">
        <w:rPr>
          <w:rFonts w:ascii="Calibri" w:hAnsi="Calibri" w:cs="Calibri"/>
          <w:i/>
          <w:lang w:val="en-US"/>
        </w:rPr>
        <w:t>V</w:t>
      </w:r>
      <w:r w:rsidRPr="009D3628">
        <w:rPr>
          <w:rFonts w:ascii="Calibri" w:hAnsi="Calibri" w:cs="Calibri"/>
          <w:i/>
          <w:vertAlign w:val="subscript"/>
          <w:lang w:val="en-US"/>
        </w:rPr>
        <w:t>it</w:t>
      </w:r>
      <w:r w:rsidRPr="009D3628">
        <w:rPr>
          <w:rFonts w:ascii="Calibri" w:hAnsi="Calibri" w:cs="Calibri"/>
          <w:lang w:val="en-US"/>
        </w:rPr>
        <w:t xml:space="preserve">  is the amount of shares of firm</w:t>
      </w:r>
      <w:r w:rsidRPr="009D3628">
        <w:rPr>
          <w:rFonts w:ascii="Calibri" w:hAnsi="Calibri" w:cs="Calibri"/>
          <w:i/>
          <w:lang w:val="en-US"/>
        </w:rPr>
        <w:t xml:space="preserve"> i</w:t>
      </w:r>
      <w:r w:rsidRPr="009D3628">
        <w:rPr>
          <w:rFonts w:ascii="Calibri" w:hAnsi="Calibri" w:cs="Calibri"/>
          <w:lang w:val="en-US"/>
        </w:rPr>
        <w:t xml:space="preserve"> traded during day </w:t>
      </w:r>
      <w:r w:rsidRPr="009D3628">
        <w:rPr>
          <w:rFonts w:ascii="Calibri" w:hAnsi="Calibri" w:cs="Calibri"/>
          <w:i/>
          <w:lang w:val="en-US"/>
        </w:rPr>
        <w:t>t</w:t>
      </w:r>
      <w:r w:rsidRPr="009D3628">
        <w:rPr>
          <w:rFonts w:ascii="Calibri" w:hAnsi="Calibri" w:cs="Calibri"/>
          <w:lang w:val="en-US"/>
        </w:rPr>
        <w:t xml:space="preserve">, </w:t>
      </w:r>
      <w:r w:rsidRPr="009D3628">
        <w:rPr>
          <w:rFonts w:ascii="Calibri" w:hAnsi="Calibri" w:cs="Calibri"/>
          <w:i/>
          <w:lang w:val="en-US"/>
        </w:rPr>
        <w:t>t</w:t>
      </w:r>
      <w:r w:rsidRPr="009D3628">
        <w:rPr>
          <w:rFonts w:ascii="Calibri" w:hAnsi="Calibri" w:cs="Calibri"/>
          <w:lang w:val="en-US"/>
        </w:rPr>
        <w:t xml:space="preserve"> = -1, 0, +1, relative to announcement day 0 for firm </w:t>
      </w:r>
      <w:r w:rsidRPr="009D3628">
        <w:rPr>
          <w:rFonts w:ascii="Calibri" w:hAnsi="Calibri" w:cs="Calibri"/>
          <w:i/>
          <w:lang w:val="en-US"/>
        </w:rPr>
        <w:t>i</w:t>
      </w:r>
      <w:r w:rsidRPr="009D3628">
        <w:rPr>
          <w:rFonts w:ascii="Calibri" w:hAnsi="Calibri" w:cs="Calibri"/>
          <w:lang w:val="en-US"/>
        </w:rPr>
        <w:t xml:space="preserve">, divided by shares outstanding of firm </w:t>
      </w:r>
      <w:r w:rsidRPr="009D3628">
        <w:rPr>
          <w:rFonts w:ascii="Calibri" w:hAnsi="Calibri" w:cs="Calibri"/>
          <w:i/>
          <w:lang w:val="en-US"/>
        </w:rPr>
        <w:t xml:space="preserve">i </w:t>
      </w:r>
      <w:r w:rsidRPr="009D3628">
        <w:rPr>
          <w:rFonts w:ascii="Calibri" w:hAnsi="Calibri" w:cs="Calibri"/>
          <w:lang w:val="en-US"/>
        </w:rPr>
        <w:t xml:space="preserve">during day </w:t>
      </w:r>
      <w:r w:rsidRPr="009D3628">
        <w:rPr>
          <w:rFonts w:ascii="Calibri" w:hAnsi="Calibri" w:cs="Calibri"/>
          <w:i/>
          <w:lang w:val="en-US"/>
        </w:rPr>
        <w:t>t</w:t>
      </w:r>
      <w:r w:rsidRPr="009D3628">
        <w:rPr>
          <w:rFonts w:ascii="Calibri" w:hAnsi="Calibri" w:cs="Calibri"/>
          <w:lang w:val="en-US"/>
        </w:rPr>
        <w:t xml:space="preserve">. </w:t>
      </w:r>
      <w:r w:rsidRPr="009D3628">
        <w:rPr>
          <w:rFonts w:ascii="Calibri" w:hAnsi="Calibri" w:cs="Calibri"/>
          <w:i/>
          <w:lang w:val="en-US"/>
        </w:rPr>
        <w:t xml:space="preserve"> </w:t>
      </w:r>
      <w:r w:rsidRPr="009D3628">
        <w:rPr>
          <w:rFonts w:ascii="Calibri" w:hAnsi="Calibri" w:cs="Calibri"/>
          <w:lang w:val="en-US"/>
        </w:rPr>
        <w:t xml:space="preserve"> </w:t>
      </w:r>
      <m:oMath>
        <m:acc>
          <m:accPr>
            <m:chr m:val="̃"/>
            <m:ctrlPr>
              <w:rPr>
                <w:rFonts w:ascii="Cambria Math" w:hAnsi="Calibri" w:cs="Calibri"/>
                <w:i/>
                <w:lang w:val="en-US"/>
              </w:rPr>
            </m:ctrlPr>
          </m:accPr>
          <m:e>
            <m:r>
              <w:rPr>
                <w:rFonts w:ascii="Cambria Math" w:hAnsi="Cambria Math" w:cs="Calibri"/>
                <w:lang w:val="en-US"/>
              </w:rPr>
              <m:t>V</m:t>
            </m:r>
          </m:e>
        </m:acc>
      </m:oMath>
      <w:r w:rsidRPr="009D3628">
        <w:rPr>
          <w:rFonts w:ascii="Calibri" w:hAnsi="Calibri" w:cs="Calibri"/>
          <w:i/>
          <w:vertAlign w:val="subscript"/>
          <w:lang w:val="en-US"/>
        </w:rPr>
        <w:t>it</w:t>
      </w:r>
      <w:r w:rsidRPr="009D3628">
        <w:rPr>
          <w:rFonts w:ascii="Calibri" w:hAnsi="Calibri" w:cs="Calibri"/>
          <w:lang w:val="en-US"/>
        </w:rPr>
        <w:t xml:space="preserve">  and </w:t>
      </w:r>
      <w:r w:rsidRPr="009D3628">
        <w:rPr>
          <w:rFonts w:ascii="Calibri" w:hAnsi="Calibri" w:cs="Calibri"/>
          <w:i/>
          <w:lang w:val="en-US"/>
        </w:rPr>
        <w:t>σ</w:t>
      </w:r>
      <w:r w:rsidRPr="009D3628">
        <w:rPr>
          <w:rFonts w:ascii="Calibri" w:hAnsi="Calibri" w:cs="Calibri"/>
          <w:i/>
          <w:vertAlign w:val="subscript"/>
          <w:lang w:val="en-US"/>
        </w:rPr>
        <w:t xml:space="preserve">i </w:t>
      </w:r>
      <w:r w:rsidRPr="009D3628">
        <w:rPr>
          <w:rFonts w:ascii="Calibri" w:hAnsi="Calibri" w:cs="Calibri"/>
          <w:lang w:val="en-US"/>
        </w:rPr>
        <w:t xml:space="preserve"> are the mean and standard deviation in daily trading volume  for firm </w:t>
      </w:r>
      <w:r w:rsidRPr="009D3628">
        <w:rPr>
          <w:rFonts w:ascii="Calibri" w:hAnsi="Calibri" w:cs="Calibri"/>
          <w:i/>
          <w:lang w:val="en-US"/>
        </w:rPr>
        <w:t xml:space="preserve">i </w:t>
      </w:r>
      <w:r w:rsidRPr="009D3628">
        <w:rPr>
          <w:rFonts w:ascii="Calibri" w:hAnsi="Calibri" w:cs="Calibri"/>
          <w:lang w:val="en-US"/>
        </w:rPr>
        <w:t xml:space="preserve">in the two years surrounding the earnings announcement, i. e., </w:t>
      </w:r>
      <w:r w:rsidRPr="009D3628">
        <w:rPr>
          <w:rFonts w:ascii="Calibri" w:hAnsi="Calibri" w:cs="Calibri"/>
          <w:i/>
          <w:lang w:val="en-US"/>
        </w:rPr>
        <w:t>t</w:t>
      </w:r>
      <w:r w:rsidRPr="009D3628">
        <w:rPr>
          <w:rFonts w:ascii="Calibri" w:hAnsi="Calibri" w:cs="Calibri"/>
          <w:lang w:val="en-US"/>
        </w:rPr>
        <w:t xml:space="preserve"> = -345 to -20 and </w:t>
      </w:r>
      <w:r w:rsidRPr="009D3628">
        <w:rPr>
          <w:rFonts w:ascii="Calibri" w:hAnsi="Calibri" w:cs="Calibri"/>
          <w:i/>
          <w:lang w:val="en-US"/>
        </w:rPr>
        <w:t>t</w:t>
      </w:r>
      <w:r w:rsidRPr="009D3628">
        <w:rPr>
          <w:rFonts w:ascii="Calibri" w:hAnsi="Calibri" w:cs="Calibri"/>
          <w:lang w:val="en-US"/>
        </w:rPr>
        <w:t xml:space="preserve"> = +20 to +345. </w:t>
      </w:r>
      <w:r w:rsidR="0063362A" w:rsidRPr="009D3628">
        <w:rPr>
          <w:rFonts w:ascii="Calibri" w:hAnsi="Calibri" w:cs="Calibri"/>
          <w:lang w:val="en-US"/>
        </w:rPr>
        <w:t>To investigate the information content of earnings announcements Beaver (1968) is interested in the change in trading volume surrounding the date the earnings announcement is made. He uses the window -1 till +1, to measure the impact of the earnings announcement on the trading volume. He compares this amount with the trading volume in the window -345 till +345, which he determines the average as the normal trading volume. The difference between  this normal trading volume and the trading volume in the window surrounding the announcement date, is determined as the abnormal trading volume, which is attributable to information released in the earnings announcement.</w:t>
      </w:r>
      <w:r w:rsidR="00D11B8C" w:rsidRPr="009D3628">
        <w:rPr>
          <w:rFonts w:ascii="Calibri" w:hAnsi="Calibri" w:cs="Calibri"/>
          <w:lang w:val="en-US"/>
        </w:rPr>
        <w:t xml:space="preserve"> Beaver (1968) formulated a second equation to calculate the abnormal volatility. </w:t>
      </w:r>
      <w:r w:rsidRPr="009D3628">
        <w:rPr>
          <w:rFonts w:ascii="Calibri" w:hAnsi="Calibri" w:cs="Calibri"/>
          <w:lang w:val="en-US"/>
        </w:rPr>
        <w:t>The definition of abnormal volatility, AVAR</w:t>
      </w:r>
      <w:r w:rsidRPr="009D3628">
        <w:rPr>
          <w:rFonts w:ascii="Calibri" w:hAnsi="Calibri" w:cs="Calibri"/>
          <w:vertAlign w:val="subscript"/>
          <w:lang w:val="en-US"/>
        </w:rPr>
        <w:t>it</w:t>
      </w:r>
      <w:r w:rsidRPr="009D3628">
        <w:rPr>
          <w:rFonts w:ascii="Calibri" w:hAnsi="Calibri" w:cs="Calibri"/>
          <w:lang w:val="en-US"/>
        </w:rPr>
        <w:t>, used by Beaver (1968) is designed according to the following formula:</w:t>
      </w:r>
    </w:p>
    <w:p w:rsidR="00275721" w:rsidRPr="009D3628" w:rsidRDefault="00275721" w:rsidP="00275721">
      <w:pPr>
        <w:pStyle w:val="000"/>
        <w:spacing w:line="360" w:lineRule="auto"/>
        <w:rPr>
          <w:rFonts w:ascii="Calibri" w:hAnsi="Calibri" w:cs="Calibri"/>
          <w:lang w:val="en-US"/>
        </w:rPr>
      </w:pPr>
    </w:p>
    <w:p w:rsidR="00275721" w:rsidRPr="009D3628" w:rsidRDefault="00275721" w:rsidP="00275721">
      <w:pPr>
        <w:pStyle w:val="000"/>
        <w:spacing w:line="360" w:lineRule="auto"/>
        <w:jc w:val="center"/>
        <w:rPr>
          <w:rFonts w:ascii="Calibri" w:hAnsi="Calibri" w:cs="Calibri"/>
          <w:lang w:val="en-US"/>
        </w:rPr>
      </w:pPr>
      <w:r w:rsidRPr="009D3628">
        <w:rPr>
          <w:rFonts w:ascii="Calibri" w:hAnsi="Calibri" w:cs="Calibri"/>
          <w:i/>
          <w:lang w:val="en-US"/>
        </w:rPr>
        <w:t>AVAR</w:t>
      </w:r>
      <w:r w:rsidRPr="009D3628">
        <w:rPr>
          <w:rFonts w:ascii="Calibri" w:hAnsi="Calibri" w:cs="Calibri"/>
          <w:i/>
          <w:vertAlign w:val="subscript"/>
          <w:lang w:val="en-US"/>
        </w:rPr>
        <w:t xml:space="preserve">it </w:t>
      </w:r>
      <w:r w:rsidRPr="009D3628">
        <w:rPr>
          <w:rFonts w:ascii="Calibri" w:hAnsi="Calibri" w:cs="Calibri"/>
          <w:i/>
          <w:lang w:val="en-US"/>
        </w:rPr>
        <w:t xml:space="preserve">= </w:t>
      </w:r>
      <w:r w:rsidR="002D304C" w:rsidRPr="009D3628">
        <w:rPr>
          <w:rFonts w:ascii="Calibri" w:hAnsi="Calibri" w:cs="Calibri"/>
          <w:i/>
          <w:lang w:val="en-US"/>
        </w:rPr>
        <w:t>U</w:t>
      </w:r>
      <w:r w:rsidRPr="009D3628">
        <w:rPr>
          <w:rFonts w:ascii="Calibri" w:hAnsi="Calibri" w:cs="Calibri"/>
          <w:i/>
          <w:vertAlign w:val="superscript"/>
          <w:lang w:val="en-US"/>
        </w:rPr>
        <w:t>2</w:t>
      </w:r>
      <w:r w:rsidRPr="009D3628">
        <w:rPr>
          <w:rFonts w:ascii="Calibri" w:hAnsi="Calibri" w:cs="Calibri"/>
          <w:i/>
          <w:vertAlign w:val="subscript"/>
          <w:lang w:val="en-US"/>
        </w:rPr>
        <w:t xml:space="preserve">it  </w:t>
      </w:r>
      <w:r w:rsidRPr="009D3628">
        <w:rPr>
          <w:rFonts w:ascii="Calibri" w:hAnsi="Calibri" w:cs="Calibri"/>
          <w:i/>
          <w:lang w:val="en-US"/>
        </w:rPr>
        <w:t>/ σ</w:t>
      </w:r>
      <w:r w:rsidRPr="009D3628">
        <w:rPr>
          <w:rFonts w:ascii="Calibri" w:hAnsi="Calibri" w:cs="Calibri"/>
          <w:i/>
          <w:vertAlign w:val="superscript"/>
          <w:lang w:val="en-US"/>
        </w:rPr>
        <w:t>2</w:t>
      </w:r>
      <w:r w:rsidRPr="009D3628">
        <w:rPr>
          <w:rFonts w:ascii="Calibri" w:hAnsi="Calibri" w:cs="Calibri"/>
          <w:i/>
          <w:vertAlign w:val="subscript"/>
          <w:lang w:val="en-US"/>
        </w:rPr>
        <w:t xml:space="preserve">i </w:t>
      </w:r>
    </w:p>
    <w:p w:rsidR="00275721" w:rsidRPr="009D3628" w:rsidRDefault="00275721" w:rsidP="00275721">
      <w:pPr>
        <w:pStyle w:val="000"/>
        <w:spacing w:line="360" w:lineRule="auto"/>
        <w:jc w:val="center"/>
        <w:rPr>
          <w:rFonts w:ascii="Calibri" w:hAnsi="Calibri" w:cs="Calibri"/>
          <w:lang w:val="en-US"/>
        </w:rPr>
      </w:pPr>
    </w:p>
    <w:p w:rsidR="00D11B8C" w:rsidRPr="009D3628" w:rsidRDefault="00D11B8C" w:rsidP="00275721">
      <w:pPr>
        <w:pStyle w:val="000"/>
        <w:spacing w:line="360" w:lineRule="auto"/>
        <w:rPr>
          <w:rFonts w:ascii="Calibri" w:hAnsi="Calibri" w:cs="Calibri"/>
          <w:lang w:val="en-US"/>
        </w:rPr>
      </w:pPr>
      <w:r w:rsidRPr="009D3628">
        <w:rPr>
          <w:rFonts w:ascii="Calibri" w:hAnsi="Calibri" w:cs="Calibri"/>
          <w:lang w:val="en-US"/>
        </w:rPr>
        <w:t>w</w:t>
      </w:r>
      <w:r w:rsidR="00275721" w:rsidRPr="009D3628">
        <w:rPr>
          <w:rFonts w:ascii="Calibri" w:hAnsi="Calibri" w:cs="Calibri"/>
          <w:lang w:val="en-US"/>
        </w:rPr>
        <w:t xml:space="preserve">here  </w:t>
      </w:r>
      <w:r w:rsidR="00275721" w:rsidRPr="009D3628">
        <w:rPr>
          <w:rFonts w:ascii="Calibri" w:hAnsi="Calibri" w:cs="Calibri"/>
          <w:i/>
          <w:lang w:val="en-US"/>
        </w:rPr>
        <w:t>u</w:t>
      </w:r>
      <w:r w:rsidR="00275721" w:rsidRPr="009D3628">
        <w:rPr>
          <w:rFonts w:ascii="Calibri" w:hAnsi="Calibri" w:cs="Calibri"/>
          <w:i/>
          <w:vertAlign w:val="subscript"/>
          <w:lang w:val="en-US"/>
        </w:rPr>
        <w:t xml:space="preserve">it  </w:t>
      </w:r>
      <w:r w:rsidR="00275721" w:rsidRPr="009D3628">
        <w:rPr>
          <w:rFonts w:ascii="Calibri" w:hAnsi="Calibri" w:cs="Calibri"/>
          <w:lang w:val="en-US"/>
        </w:rPr>
        <w:t>= R</w:t>
      </w:r>
      <w:r w:rsidR="00275721" w:rsidRPr="009D3628">
        <w:rPr>
          <w:rFonts w:ascii="Calibri" w:hAnsi="Calibri" w:cs="Calibri"/>
          <w:vertAlign w:val="subscript"/>
          <w:lang w:val="en-US"/>
        </w:rPr>
        <w:t xml:space="preserve">it </w:t>
      </w:r>
      <w:r w:rsidR="00275721" w:rsidRPr="009D3628">
        <w:rPr>
          <w:rFonts w:ascii="Calibri" w:hAnsi="Calibri" w:cs="Calibri"/>
          <w:lang w:val="en-US"/>
        </w:rPr>
        <w:t>– ( α</w:t>
      </w:r>
      <w:r w:rsidR="00275721" w:rsidRPr="009D3628">
        <w:rPr>
          <w:rFonts w:ascii="Calibri" w:hAnsi="Calibri" w:cs="Calibri"/>
          <w:vertAlign w:val="subscript"/>
          <w:lang w:val="en-US"/>
        </w:rPr>
        <w:t>i</w:t>
      </w:r>
      <w:r w:rsidR="00275721" w:rsidRPr="009D3628">
        <w:rPr>
          <w:rFonts w:ascii="Calibri" w:hAnsi="Calibri" w:cs="Calibri"/>
          <w:lang w:val="en-US"/>
        </w:rPr>
        <w:t xml:space="preserve"> + β</w:t>
      </w:r>
      <w:r w:rsidR="00275721" w:rsidRPr="009D3628">
        <w:rPr>
          <w:rFonts w:ascii="Calibri" w:hAnsi="Calibri" w:cs="Calibri"/>
          <w:vertAlign w:val="subscript"/>
          <w:lang w:val="en-US"/>
        </w:rPr>
        <w:t>i</w:t>
      </w:r>
      <w:r w:rsidR="00275721" w:rsidRPr="009D3628">
        <w:rPr>
          <w:rFonts w:ascii="Calibri" w:hAnsi="Calibri" w:cs="Calibri"/>
          <w:lang w:val="en-US"/>
        </w:rPr>
        <w:t xml:space="preserve"> R</w:t>
      </w:r>
      <w:r w:rsidR="00275721" w:rsidRPr="009D3628">
        <w:rPr>
          <w:rFonts w:ascii="Calibri" w:hAnsi="Calibri" w:cs="Calibri"/>
          <w:vertAlign w:val="subscript"/>
          <w:lang w:val="en-US"/>
        </w:rPr>
        <w:t>mt</w:t>
      </w:r>
      <w:r w:rsidR="00275721" w:rsidRPr="009D3628">
        <w:rPr>
          <w:rFonts w:ascii="Calibri" w:hAnsi="Calibri" w:cs="Calibri"/>
          <w:lang w:val="en-US"/>
        </w:rPr>
        <w:t xml:space="preserve"> ), with R</w:t>
      </w:r>
      <w:r w:rsidR="00275721" w:rsidRPr="009D3628">
        <w:rPr>
          <w:rFonts w:ascii="Calibri" w:hAnsi="Calibri" w:cs="Calibri"/>
          <w:vertAlign w:val="subscript"/>
          <w:lang w:val="en-US"/>
        </w:rPr>
        <w:t xml:space="preserve">it </w:t>
      </w:r>
      <w:r w:rsidR="00275721" w:rsidRPr="009D3628">
        <w:rPr>
          <w:rFonts w:ascii="Calibri" w:hAnsi="Calibri" w:cs="Calibri"/>
          <w:lang w:val="en-US"/>
        </w:rPr>
        <w:t xml:space="preserve">as the raw return of firm </w:t>
      </w:r>
      <w:r w:rsidR="00275721" w:rsidRPr="009D3628">
        <w:rPr>
          <w:rFonts w:ascii="Calibri" w:hAnsi="Calibri" w:cs="Calibri"/>
          <w:i/>
          <w:lang w:val="en-US"/>
        </w:rPr>
        <w:t>i</w:t>
      </w:r>
      <w:r w:rsidR="00275721" w:rsidRPr="009D3628">
        <w:rPr>
          <w:rFonts w:ascii="Calibri" w:hAnsi="Calibri" w:cs="Calibri"/>
          <w:lang w:val="en-US"/>
        </w:rPr>
        <w:t xml:space="preserve"> for day</w:t>
      </w:r>
      <w:r w:rsidR="00275721" w:rsidRPr="009D3628">
        <w:rPr>
          <w:rFonts w:ascii="Calibri" w:hAnsi="Calibri" w:cs="Calibri"/>
          <w:i/>
          <w:lang w:val="en-US"/>
        </w:rPr>
        <w:t xml:space="preserve"> t</w:t>
      </w:r>
      <w:r w:rsidR="00275721" w:rsidRPr="009D3628">
        <w:rPr>
          <w:rFonts w:ascii="Calibri" w:hAnsi="Calibri" w:cs="Calibri"/>
          <w:lang w:val="en-US"/>
        </w:rPr>
        <w:t>, and R</w:t>
      </w:r>
      <w:r w:rsidR="00275721" w:rsidRPr="009D3628">
        <w:rPr>
          <w:rFonts w:ascii="Calibri" w:hAnsi="Calibri" w:cs="Calibri"/>
          <w:vertAlign w:val="subscript"/>
          <w:lang w:val="en-US"/>
        </w:rPr>
        <w:t xml:space="preserve">mt </w:t>
      </w:r>
      <w:r w:rsidR="00275721" w:rsidRPr="009D3628">
        <w:rPr>
          <w:rFonts w:ascii="Calibri" w:hAnsi="Calibri" w:cs="Calibri"/>
          <w:lang w:val="en-US"/>
        </w:rPr>
        <w:t>as the equal weighted return of market for day</w:t>
      </w:r>
      <w:r w:rsidR="00275721" w:rsidRPr="009D3628">
        <w:rPr>
          <w:rFonts w:ascii="Calibri" w:hAnsi="Calibri" w:cs="Calibri"/>
          <w:i/>
          <w:lang w:val="en-US"/>
        </w:rPr>
        <w:t xml:space="preserve"> t</w:t>
      </w:r>
      <w:r w:rsidR="00275721" w:rsidRPr="009D3628">
        <w:rPr>
          <w:rFonts w:ascii="Calibri" w:hAnsi="Calibri" w:cs="Calibri"/>
          <w:lang w:val="en-US"/>
        </w:rPr>
        <w:t>.  α</w:t>
      </w:r>
      <w:r w:rsidR="00275721" w:rsidRPr="009D3628">
        <w:rPr>
          <w:rFonts w:ascii="Calibri" w:hAnsi="Calibri" w:cs="Calibri"/>
          <w:vertAlign w:val="subscript"/>
          <w:lang w:val="en-US"/>
        </w:rPr>
        <w:t xml:space="preserve">i </w:t>
      </w:r>
      <w:r w:rsidR="00275721" w:rsidRPr="009D3628">
        <w:rPr>
          <w:rFonts w:ascii="Calibri" w:hAnsi="Calibri" w:cs="Calibri"/>
          <w:lang w:val="en-US"/>
        </w:rPr>
        <w:t>and  β</w:t>
      </w:r>
      <w:r w:rsidR="00275721" w:rsidRPr="009D3628">
        <w:rPr>
          <w:rFonts w:ascii="Calibri" w:hAnsi="Calibri" w:cs="Calibri"/>
          <w:vertAlign w:val="subscript"/>
          <w:lang w:val="en-US"/>
        </w:rPr>
        <w:t>i</w:t>
      </w:r>
      <w:r w:rsidR="00275721" w:rsidRPr="009D3628">
        <w:rPr>
          <w:rFonts w:ascii="Calibri" w:hAnsi="Calibri" w:cs="Calibri"/>
          <w:lang w:val="en-US"/>
        </w:rPr>
        <w:t xml:space="preserve">  are firm </w:t>
      </w:r>
      <w:r w:rsidR="00275721" w:rsidRPr="009D3628">
        <w:rPr>
          <w:rFonts w:ascii="Calibri" w:hAnsi="Calibri" w:cs="Calibri"/>
          <w:i/>
          <w:lang w:val="en-US"/>
        </w:rPr>
        <w:t>i</w:t>
      </w:r>
      <w:r w:rsidR="00275721" w:rsidRPr="009D3628">
        <w:rPr>
          <w:rFonts w:ascii="Calibri" w:hAnsi="Calibri" w:cs="Calibri"/>
          <w:lang w:val="en-US"/>
        </w:rPr>
        <w:t>’s market model parameter estimates and σ</w:t>
      </w:r>
      <w:r w:rsidR="00275721" w:rsidRPr="009D3628">
        <w:rPr>
          <w:rFonts w:ascii="Calibri" w:hAnsi="Calibri" w:cs="Calibri"/>
          <w:vertAlign w:val="superscript"/>
          <w:lang w:val="en-US"/>
        </w:rPr>
        <w:t>2</w:t>
      </w:r>
      <w:r w:rsidR="00275721" w:rsidRPr="009D3628">
        <w:rPr>
          <w:rFonts w:ascii="Calibri" w:hAnsi="Calibri" w:cs="Calibri"/>
          <w:vertAlign w:val="subscript"/>
          <w:lang w:val="en-US"/>
        </w:rPr>
        <w:t xml:space="preserve">i  </w:t>
      </w:r>
      <w:r w:rsidR="00275721" w:rsidRPr="009D3628">
        <w:rPr>
          <w:rFonts w:ascii="Calibri" w:hAnsi="Calibri" w:cs="Calibri"/>
          <w:lang w:val="en-US"/>
        </w:rPr>
        <w:t xml:space="preserve">is the </w:t>
      </w:r>
      <w:r w:rsidR="00275721" w:rsidRPr="009D3628">
        <w:rPr>
          <w:rFonts w:ascii="Calibri" w:hAnsi="Calibri" w:cs="Calibri"/>
          <w:lang w:val="en-US"/>
        </w:rPr>
        <w:lastRenderedPageBreak/>
        <w:t>variance of firm i’s market model adjusted</w:t>
      </w:r>
      <w:r w:rsidRPr="009D3628">
        <w:rPr>
          <w:rFonts w:ascii="Calibri" w:hAnsi="Calibri" w:cs="Calibri"/>
          <w:lang w:val="en-US"/>
        </w:rPr>
        <w:t xml:space="preserve"> returns. </w:t>
      </w:r>
      <w:r w:rsidR="00275721" w:rsidRPr="009D3628">
        <w:rPr>
          <w:rFonts w:ascii="Calibri" w:hAnsi="Calibri" w:cs="Calibri"/>
          <w:lang w:val="en-US"/>
        </w:rPr>
        <w:t xml:space="preserve"> </w:t>
      </w:r>
      <w:r w:rsidRPr="009D3628">
        <w:rPr>
          <w:rFonts w:ascii="Calibri" w:hAnsi="Calibri" w:cs="Calibri"/>
          <w:lang w:val="en-US"/>
        </w:rPr>
        <w:t>α</w:t>
      </w:r>
      <w:r w:rsidRPr="009D3628">
        <w:rPr>
          <w:rFonts w:ascii="Calibri" w:hAnsi="Calibri" w:cs="Calibri"/>
          <w:vertAlign w:val="subscript"/>
          <w:lang w:val="en-US"/>
        </w:rPr>
        <w:t>i</w:t>
      </w:r>
      <w:r w:rsidRPr="009D3628">
        <w:rPr>
          <w:rFonts w:ascii="Calibri" w:hAnsi="Calibri" w:cs="Calibri"/>
          <w:lang w:val="en-US"/>
        </w:rPr>
        <w:t>, β</w:t>
      </w:r>
      <w:r w:rsidRPr="009D3628">
        <w:rPr>
          <w:rFonts w:ascii="Calibri" w:hAnsi="Calibri" w:cs="Calibri"/>
          <w:vertAlign w:val="subscript"/>
          <w:lang w:val="en-US"/>
        </w:rPr>
        <w:t>i</w:t>
      </w:r>
      <w:r w:rsidRPr="009D3628">
        <w:rPr>
          <w:rFonts w:ascii="Calibri" w:hAnsi="Calibri" w:cs="Calibri"/>
          <w:lang w:val="en-US"/>
        </w:rPr>
        <w:t xml:space="preserve"> and σ</w:t>
      </w:r>
      <w:r w:rsidRPr="009D3628">
        <w:rPr>
          <w:rFonts w:ascii="Calibri" w:hAnsi="Calibri" w:cs="Calibri"/>
          <w:vertAlign w:val="superscript"/>
          <w:lang w:val="en-US"/>
        </w:rPr>
        <w:t>2</w:t>
      </w:r>
      <w:r w:rsidRPr="009D3628">
        <w:rPr>
          <w:rFonts w:ascii="Calibri" w:hAnsi="Calibri" w:cs="Calibri"/>
          <w:vertAlign w:val="subscript"/>
          <w:lang w:val="en-US"/>
        </w:rPr>
        <w:t xml:space="preserve">i </w:t>
      </w:r>
      <w:r w:rsidRPr="009D3628">
        <w:rPr>
          <w:rFonts w:ascii="Calibri" w:hAnsi="Calibri" w:cs="Calibri"/>
          <w:lang w:val="en-US"/>
        </w:rPr>
        <w:t xml:space="preserve"> are all calculated over the window period t = -345 to t = -20 and t = +20 to t = + 345. So the same window is used as the one which is used for calculating the abnormal volume (AVOL). </w:t>
      </w:r>
      <w:r w:rsidR="000C7A34" w:rsidRPr="009D3628">
        <w:rPr>
          <w:rFonts w:ascii="Calibri" w:hAnsi="Calibri" w:cs="Calibri"/>
          <w:lang w:val="en-US"/>
        </w:rPr>
        <w:t>The results of this study show a price as</w:t>
      </w:r>
      <w:r w:rsidR="002D304C" w:rsidRPr="009D3628">
        <w:rPr>
          <w:rFonts w:ascii="Calibri" w:hAnsi="Calibri" w:cs="Calibri"/>
          <w:lang w:val="en-US"/>
        </w:rPr>
        <w:t xml:space="preserve"> well as</w:t>
      </w:r>
      <w:r w:rsidR="000C7A34" w:rsidRPr="009D3628">
        <w:rPr>
          <w:rFonts w:ascii="Calibri" w:hAnsi="Calibri" w:cs="Calibri"/>
          <w:lang w:val="en-US"/>
        </w:rPr>
        <w:t xml:space="preserve"> a volume reaction which indicates that investors indeed</w:t>
      </w:r>
      <w:r w:rsidR="0082105F" w:rsidRPr="009D3628">
        <w:rPr>
          <w:rFonts w:ascii="Calibri" w:hAnsi="Calibri" w:cs="Calibri"/>
          <w:lang w:val="en-US"/>
        </w:rPr>
        <w:t xml:space="preserve"> react</w:t>
      </w:r>
      <w:r w:rsidR="000C7A34" w:rsidRPr="009D3628">
        <w:rPr>
          <w:rFonts w:ascii="Calibri" w:hAnsi="Calibri" w:cs="Calibri"/>
          <w:lang w:val="en-US"/>
        </w:rPr>
        <w:t xml:space="preserve"> directly at the earnings reported in the annual account. The </w:t>
      </w:r>
      <w:r w:rsidR="002D304C" w:rsidRPr="009D3628">
        <w:rPr>
          <w:rFonts w:ascii="Calibri" w:hAnsi="Calibri" w:cs="Calibri"/>
          <w:lang w:val="en-US"/>
        </w:rPr>
        <w:t>results also indicate</w:t>
      </w:r>
      <w:r w:rsidR="00017DAA" w:rsidRPr="009D3628">
        <w:rPr>
          <w:rFonts w:ascii="Calibri" w:hAnsi="Calibri" w:cs="Calibri"/>
          <w:lang w:val="en-US"/>
        </w:rPr>
        <w:t xml:space="preserve"> that earnings announcements occurring prior to the earnings report, such as press releases, do not entirely preempt the information content of reported earnings (Beaver, 1968).</w:t>
      </w:r>
    </w:p>
    <w:p w:rsidR="00275721" w:rsidRPr="009D3628" w:rsidRDefault="00275721" w:rsidP="0014435B">
      <w:pPr>
        <w:pStyle w:val="000"/>
        <w:spacing w:line="360" w:lineRule="auto"/>
        <w:rPr>
          <w:rFonts w:ascii="Calibri" w:hAnsi="Calibri" w:cs="Calibri"/>
          <w:lang w:val="en-US"/>
        </w:rPr>
      </w:pPr>
      <w:r w:rsidRPr="009D3628">
        <w:rPr>
          <w:rFonts w:ascii="Calibri" w:hAnsi="Calibri" w:cs="Calibri"/>
          <w:lang w:val="en-US"/>
        </w:rPr>
        <w:t>To extend the research of Beaver (1968), Bamber (1980) uses</w:t>
      </w:r>
      <w:r w:rsidR="00017DAA" w:rsidRPr="009D3628">
        <w:rPr>
          <w:rFonts w:ascii="Calibri" w:hAnsi="Calibri" w:cs="Calibri"/>
          <w:lang w:val="en-US"/>
        </w:rPr>
        <w:t xml:space="preserve"> the same research method as Beaver (1968) she only took</w:t>
      </w:r>
      <w:r w:rsidRPr="009D3628">
        <w:rPr>
          <w:rFonts w:ascii="Calibri" w:hAnsi="Calibri" w:cs="Calibri"/>
          <w:lang w:val="en-US"/>
        </w:rPr>
        <w:t xml:space="preserve"> a larger sample to examine the associations between unexpected earnings, firm size, and trading volume and tested whether such associations can be generalized across fiscal year-end dates and stock exchange listing. The results show a continuous (positive) relationship between the magnitude of unexpected earnings</w:t>
      </w:r>
      <w:r w:rsidR="008E4B17" w:rsidRPr="009D3628">
        <w:rPr>
          <w:rFonts w:ascii="Calibri" w:hAnsi="Calibri" w:cs="Calibri"/>
          <w:lang w:val="en-US"/>
        </w:rPr>
        <w:t xml:space="preserve"> and trading volume</w:t>
      </w:r>
      <w:r w:rsidRPr="009D3628">
        <w:rPr>
          <w:rFonts w:ascii="Calibri" w:hAnsi="Calibri" w:cs="Calibri"/>
          <w:lang w:val="en-US"/>
        </w:rPr>
        <w:t>. Land</w:t>
      </w:r>
      <w:r w:rsidR="00376E3F" w:rsidRPr="009D3628">
        <w:rPr>
          <w:rFonts w:ascii="Calibri" w:hAnsi="Calibri" w:cs="Calibri"/>
          <w:lang w:val="en-US"/>
        </w:rPr>
        <w:t>s</w:t>
      </w:r>
      <w:r w:rsidRPr="009D3628">
        <w:rPr>
          <w:rFonts w:ascii="Calibri" w:hAnsi="Calibri" w:cs="Calibri"/>
          <w:lang w:val="en-US"/>
        </w:rPr>
        <w:t>man and Maydew (2002) investigated the information content of quarterly earnings announcements over the period 1972-1998. They did this by using the two met</w:t>
      </w:r>
      <w:r w:rsidR="001F5779" w:rsidRPr="009D3628">
        <w:rPr>
          <w:rFonts w:ascii="Calibri" w:hAnsi="Calibri" w:cs="Calibri"/>
          <w:lang w:val="en-US"/>
        </w:rPr>
        <w:t>rics also used by Beaver (1968):</w:t>
      </w:r>
      <w:r w:rsidRPr="009D3628">
        <w:rPr>
          <w:rFonts w:ascii="Calibri" w:hAnsi="Calibri" w:cs="Calibri"/>
          <w:lang w:val="en-US"/>
        </w:rPr>
        <w:t xml:space="preserve"> abnormal trading volume and abnormal stock price volatility. Their results suggest an increase over time in the informativeness of quarterly earnings announcements. </w:t>
      </w:r>
      <w:r w:rsidR="0014435B" w:rsidRPr="009D3628">
        <w:rPr>
          <w:rFonts w:ascii="Calibri" w:hAnsi="Calibri" w:cs="Calibri"/>
          <w:lang w:val="en-US"/>
        </w:rPr>
        <w:t>By increased informativeness they mean that the financial information attached in quarterly earnings announcements</w:t>
      </w:r>
      <w:r w:rsidR="00E23E67" w:rsidRPr="009D3628">
        <w:rPr>
          <w:rFonts w:ascii="Calibri" w:hAnsi="Calibri" w:cs="Calibri"/>
          <w:lang w:val="en-US"/>
        </w:rPr>
        <w:t>,</w:t>
      </w:r>
      <w:r w:rsidR="0014435B" w:rsidRPr="009D3628">
        <w:rPr>
          <w:rFonts w:ascii="Calibri" w:hAnsi="Calibri" w:cs="Calibri"/>
          <w:lang w:val="en-US"/>
        </w:rPr>
        <w:t xml:space="preserve"> became more useful for investors to estimate future earnings of the firm, and use this information as a basis for their investment decision. </w:t>
      </w:r>
    </w:p>
    <w:p w:rsidR="002D304C" w:rsidRPr="009D3628" w:rsidRDefault="00275721" w:rsidP="00275721">
      <w:pPr>
        <w:pStyle w:val="000"/>
        <w:spacing w:line="360" w:lineRule="auto"/>
        <w:rPr>
          <w:rFonts w:ascii="Calibri" w:hAnsi="Calibri" w:cs="Calibri"/>
          <w:lang w:val="en-US"/>
        </w:rPr>
      </w:pPr>
      <w:r w:rsidRPr="009D3628">
        <w:rPr>
          <w:rFonts w:ascii="Calibri" w:hAnsi="Calibri" w:cs="Calibri"/>
          <w:lang w:val="en-US"/>
        </w:rPr>
        <w:t>While Land</w:t>
      </w:r>
      <w:r w:rsidR="005F7763" w:rsidRPr="009D3628">
        <w:rPr>
          <w:rFonts w:ascii="Calibri" w:hAnsi="Calibri" w:cs="Calibri"/>
          <w:lang w:val="en-US"/>
        </w:rPr>
        <w:t>s</w:t>
      </w:r>
      <w:r w:rsidRPr="009D3628">
        <w:rPr>
          <w:rFonts w:ascii="Calibri" w:hAnsi="Calibri" w:cs="Calibri"/>
          <w:lang w:val="en-US"/>
        </w:rPr>
        <w:t>man and Maydew (2002) looked at the change in information content of quarterly earnings announcements over time, Francis</w:t>
      </w:r>
      <w:r w:rsidR="001F5779" w:rsidRPr="009D3628">
        <w:rPr>
          <w:rFonts w:ascii="Calibri" w:hAnsi="Calibri" w:cs="Calibri"/>
          <w:lang w:val="en-US"/>
        </w:rPr>
        <w:t xml:space="preserve"> et</w:t>
      </w:r>
      <w:r w:rsidRPr="009D3628">
        <w:rPr>
          <w:rFonts w:ascii="Calibri" w:hAnsi="Calibri" w:cs="Calibri"/>
          <w:lang w:val="en-US"/>
        </w:rPr>
        <w:t xml:space="preserve"> al. (2002) looked at a possible </w:t>
      </w:r>
      <w:r w:rsidR="0014435B" w:rsidRPr="009D3628">
        <w:rPr>
          <w:rFonts w:ascii="Calibri" w:hAnsi="Calibri" w:cs="Calibri"/>
          <w:lang w:val="en-US"/>
        </w:rPr>
        <w:t>explanation of this increase. They</w:t>
      </w:r>
      <w:r w:rsidRPr="009D3628">
        <w:rPr>
          <w:rFonts w:ascii="Calibri" w:hAnsi="Calibri" w:cs="Calibri"/>
          <w:lang w:val="en-US"/>
        </w:rPr>
        <w:t xml:space="preserve"> concluded that expanded concurrent disclosures in firms’ earnings announcements, especially the inclusion of detailed income statements, explain</w:t>
      </w:r>
      <w:r w:rsidR="006A635A" w:rsidRPr="009D3628">
        <w:rPr>
          <w:rFonts w:ascii="Calibri" w:hAnsi="Calibri" w:cs="Calibri"/>
          <w:lang w:val="en-US"/>
        </w:rPr>
        <w:t>s</w:t>
      </w:r>
      <w:r w:rsidRPr="009D3628">
        <w:rPr>
          <w:rFonts w:ascii="Calibri" w:hAnsi="Calibri" w:cs="Calibri"/>
          <w:lang w:val="en-US"/>
        </w:rPr>
        <w:t xml:space="preserve"> this increase. Later Co</w:t>
      </w:r>
      <w:r w:rsidR="006A635A" w:rsidRPr="009D3628">
        <w:rPr>
          <w:rFonts w:ascii="Calibri" w:hAnsi="Calibri" w:cs="Calibri"/>
          <w:lang w:val="en-US"/>
        </w:rPr>
        <w:t xml:space="preserve">llins, Li and Xie (2007) </w:t>
      </w:r>
      <w:r w:rsidR="00592DBD" w:rsidRPr="009D3628">
        <w:rPr>
          <w:rFonts w:ascii="Calibri" w:hAnsi="Calibri" w:cs="Calibri"/>
          <w:lang w:val="en-US"/>
        </w:rPr>
        <w:t>also investigate what drives the increased informativeness of earnings announcements over time. First of all they agree with Francis</w:t>
      </w:r>
      <w:r w:rsidR="001F5779" w:rsidRPr="009D3628">
        <w:rPr>
          <w:rFonts w:ascii="Calibri" w:hAnsi="Calibri" w:cs="Calibri"/>
          <w:lang w:val="en-US"/>
        </w:rPr>
        <w:t xml:space="preserve"> et</w:t>
      </w:r>
      <w:r w:rsidR="00592DBD" w:rsidRPr="009D3628">
        <w:rPr>
          <w:rFonts w:ascii="Calibri" w:hAnsi="Calibri" w:cs="Calibri"/>
          <w:lang w:val="en-US"/>
        </w:rPr>
        <w:t xml:space="preserve"> al. (2002) that expanded concurrent disclosure of GAAP-based information contributes to the temporal increase in the information content of earnings announcements.</w:t>
      </w:r>
      <w:r w:rsidRPr="009D3628">
        <w:rPr>
          <w:rFonts w:ascii="Calibri" w:hAnsi="Calibri" w:cs="Calibri"/>
          <w:lang w:val="en-US"/>
        </w:rPr>
        <w:t xml:space="preserve"> </w:t>
      </w:r>
      <w:r w:rsidR="00592DBD" w:rsidRPr="009D3628">
        <w:rPr>
          <w:rFonts w:ascii="Calibri" w:hAnsi="Calibri" w:cs="Calibri"/>
          <w:lang w:val="en-US"/>
        </w:rPr>
        <w:t>But</w:t>
      </w:r>
      <w:r w:rsidRPr="009D3628">
        <w:rPr>
          <w:rFonts w:ascii="Calibri" w:hAnsi="Calibri" w:cs="Calibri"/>
          <w:lang w:val="en-US"/>
        </w:rPr>
        <w:t xml:space="preserve"> </w:t>
      </w:r>
      <w:r w:rsidR="006A635A" w:rsidRPr="009D3628">
        <w:rPr>
          <w:rFonts w:ascii="Calibri" w:hAnsi="Calibri" w:cs="Calibri"/>
          <w:lang w:val="en-US"/>
        </w:rPr>
        <w:t xml:space="preserve">Collins, Li and Xie (2007) </w:t>
      </w:r>
      <w:r w:rsidR="00592DBD" w:rsidRPr="009D3628">
        <w:rPr>
          <w:rFonts w:ascii="Calibri" w:hAnsi="Calibri" w:cs="Calibri"/>
          <w:lang w:val="en-US"/>
        </w:rPr>
        <w:t xml:space="preserve">also </w:t>
      </w:r>
      <w:r w:rsidR="006A635A" w:rsidRPr="009D3628">
        <w:rPr>
          <w:rFonts w:ascii="Calibri" w:hAnsi="Calibri" w:cs="Calibri"/>
          <w:lang w:val="en-US"/>
        </w:rPr>
        <w:t xml:space="preserve">came with </w:t>
      </w:r>
      <w:r w:rsidR="00592DBD" w:rsidRPr="009D3628">
        <w:rPr>
          <w:rFonts w:ascii="Calibri" w:hAnsi="Calibri" w:cs="Calibri"/>
          <w:lang w:val="en-US"/>
        </w:rPr>
        <w:t>a competing explanation for the Landsman and Maydew (2002) finding.  They posit and find that the temporal increase in the intensity of the market’s reaction to Street earnings offers a competing explanation</w:t>
      </w:r>
      <w:r w:rsidRPr="009D3628">
        <w:rPr>
          <w:rFonts w:ascii="Calibri" w:hAnsi="Calibri" w:cs="Calibri"/>
          <w:lang w:val="en-US"/>
        </w:rPr>
        <w:t>.</w:t>
      </w:r>
      <w:r w:rsidR="00592DBD" w:rsidRPr="009D3628">
        <w:rPr>
          <w:rFonts w:ascii="Calibri" w:hAnsi="Calibri" w:cs="Calibri"/>
          <w:lang w:val="en-US"/>
        </w:rPr>
        <w:t xml:space="preserve"> In contrast to GAAP earnings, </w:t>
      </w:r>
      <w:r w:rsidR="00876C1D" w:rsidRPr="009D3628">
        <w:rPr>
          <w:rFonts w:ascii="Calibri" w:hAnsi="Calibri" w:cs="Calibri"/>
          <w:lang w:val="en-US"/>
        </w:rPr>
        <w:t>Street earnings typically exclude certain expenses and they are disseminated by analyst estimate clearing houses.</w:t>
      </w:r>
      <w:r w:rsidR="001F5779" w:rsidRPr="009D3628">
        <w:rPr>
          <w:rFonts w:ascii="Calibri" w:hAnsi="Calibri" w:cs="Calibri"/>
          <w:lang w:val="en-US"/>
        </w:rPr>
        <w:t xml:space="preserve"> Analyst estimate clearing houses are institutions where analyst make estimations about future earnings and returns.</w:t>
      </w:r>
      <w:r w:rsidR="00876C1D" w:rsidRPr="009D3628">
        <w:rPr>
          <w:rFonts w:ascii="Calibri" w:hAnsi="Calibri" w:cs="Calibri"/>
          <w:lang w:val="en-US"/>
        </w:rPr>
        <w:t xml:space="preserve"> </w:t>
      </w:r>
      <w:r w:rsidR="001F5779" w:rsidRPr="009D3628">
        <w:rPr>
          <w:rFonts w:ascii="Calibri" w:hAnsi="Calibri" w:cs="Calibri"/>
          <w:lang w:val="en-US"/>
        </w:rPr>
        <w:t>S</w:t>
      </w:r>
      <w:r w:rsidR="00876C1D" w:rsidRPr="009D3628">
        <w:rPr>
          <w:rFonts w:ascii="Calibri" w:hAnsi="Calibri" w:cs="Calibri"/>
          <w:lang w:val="en-US"/>
        </w:rPr>
        <w:t xml:space="preserve">treet earnings are generally released concurrently with firms’ earnings announcements. </w:t>
      </w:r>
      <w:r w:rsidRPr="009D3628">
        <w:rPr>
          <w:rFonts w:ascii="Calibri" w:hAnsi="Calibri" w:cs="Calibri"/>
          <w:lang w:val="en-US"/>
        </w:rPr>
        <w:t xml:space="preserve"> So Collins, Li and Xie </w:t>
      </w:r>
      <w:r w:rsidRPr="009D3628">
        <w:rPr>
          <w:rFonts w:ascii="Calibri" w:hAnsi="Calibri" w:cs="Calibri"/>
          <w:lang w:val="en-US"/>
        </w:rPr>
        <w:lastRenderedPageBreak/>
        <w:t xml:space="preserve">(2007) conclude that the market’s intensified reaction to Street earnings surprises is the dominant factor that explains the over-time increase in the information content of earnings announcements. </w:t>
      </w:r>
    </w:p>
    <w:p w:rsidR="00104FDA" w:rsidRPr="009D3628" w:rsidRDefault="00104FDA" w:rsidP="00275721">
      <w:pPr>
        <w:pStyle w:val="000"/>
        <w:spacing w:line="360" w:lineRule="auto"/>
        <w:rPr>
          <w:rFonts w:ascii="Calibri" w:hAnsi="Calibri" w:cs="Calibri"/>
          <w:lang w:val="en-US"/>
        </w:rPr>
      </w:pPr>
    </w:p>
    <w:p w:rsidR="00275721" w:rsidRPr="009D3628" w:rsidRDefault="00275721" w:rsidP="00B5104C">
      <w:pPr>
        <w:pStyle w:val="Kop2"/>
        <w:spacing w:line="360" w:lineRule="auto"/>
        <w:rPr>
          <w:rFonts w:ascii="Calibri" w:hAnsi="Calibri" w:cs="Calibri"/>
          <w:lang w:val="en-US"/>
        </w:rPr>
      </w:pPr>
      <w:bookmarkStart w:id="10" w:name="_Toc331518356"/>
      <w:r w:rsidRPr="009D3628">
        <w:rPr>
          <w:rFonts w:ascii="Calibri" w:hAnsi="Calibri" w:cs="Calibri"/>
          <w:lang w:val="en-US"/>
        </w:rPr>
        <w:t>Intra-industry information transfer</w:t>
      </w:r>
      <w:bookmarkEnd w:id="10"/>
    </w:p>
    <w:p w:rsidR="00275721" w:rsidRPr="009D3628" w:rsidRDefault="00483B94" w:rsidP="00B5104C">
      <w:pPr>
        <w:spacing w:line="360" w:lineRule="auto"/>
        <w:rPr>
          <w:rFonts w:ascii="Calibri" w:hAnsi="Calibri" w:cs="Calibri"/>
          <w:lang w:val="en-US"/>
        </w:rPr>
      </w:pPr>
      <w:r w:rsidRPr="009D3628">
        <w:rPr>
          <w:rFonts w:ascii="Calibri" w:hAnsi="Calibri" w:cs="Calibri"/>
          <w:lang w:val="en-US"/>
        </w:rPr>
        <w:t>Foster (1981) was the first to investigate</w:t>
      </w:r>
      <w:r w:rsidR="00275721" w:rsidRPr="009D3628">
        <w:rPr>
          <w:rFonts w:ascii="Calibri" w:hAnsi="Calibri" w:cs="Calibri"/>
          <w:lang w:val="en-US"/>
        </w:rPr>
        <w:t xml:space="preserve"> the impact that a firm’s earnings announcements have on the stock prices of other firms within the same industry,  better known as ‘intra-industry information transfers’. He f</w:t>
      </w:r>
      <w:r w:rsidR="007F4B65" w:rsidRPr="009D3628">
        <w:rPr>
          <w:rFonts w:ascii="Calibri" w:hAnsi="Calibri" w:cs="Calibri"/>
          <w:lang w:val="en-US"/>
        </w:rPr>
        <w:t>i</w:t>
      </w:r>
      <w:r w:rsidR="00275721" w:rsidRPr="009D3628">
        <w:rPr>
          <w:rFonts w:ascii="Calibri" w:hAnsi="Calibri" w:cs="Calibri"/>
          <w:lang w:val="en-US"/>
        </w:rPr>
        <w:t>nds prove that an ear</w:t>
      </w:r>
      <w:r w:rsidR="007F4B65" w:rsidRPr="009D3628">
        <w:rPr>
          <w:rFonts w:ascii="Calibri" w:hAnsi="Calibri" w:cs="Calibri"/>
          <w:lang w:val="en-US"/>
        </w:rPr>
        <w:t>nings announcement not only has</w:t>
      </w:r>
      <w:r w:rsidR="00275721" w:rsidRPr="009D3628">
        <w:rPr>
          <w:rFonts w:ascii="Calibri" w:hAnsi="Calibri" w:cs="Calibri"/>
          <w:lang w:val="en-US"/>
        </w:rPr>
        <w:t xml:space="preserve"> an impact on the stock price of the announcing firm, but it can also have an impact on the stock price of other firms within the same industry. In other words, investors not only interpret the earnings information as applicable for the announcing firm, but they also in</w:t>
      </w:r>
      <w:r w:rsidR="00770D3D" w:rsidRPr="009D3628">
        <w:rPr>
          <w:rFonts w:ascii="Calibri" w:hAnsi="Calibri" w:cs="Calibri"/>
          <w:lang w:val="en-US"/>
        </w:rPr>
        <w:t>terpret it (partly) as industry-</w:t>
      </w:r>
      <w:r w:rsidR="00275721" w:rsidRPr="009D3628">
        <w:rPr>
          <w:rFonts w:ascii="Calibri" w:hAnsi="Calibri" w:cs="Calibri"/>
          <w:lang w:val="en-US"/>
        </w:rPr>
        <w:t>specific information.  Information transfer actually reduces the value of the disclosed financial information contained in earning</w:t>
      </w:r>
      <w:r w:rsidR="007F4B65" w:rsidRPr="009D3628">
        <w:rPr>
          <w:rFonts w:ascii="Calibri" w:hAnsi="Calibri" w:cs="Calibri"/>
          <w:lang w:val="en-US"/>
        </w:rPr>
        <w:t>s announcements of companies that</w:t>
      </w:r>
      <w:r w:rsidR="00275721" w:rsidRPr="009D3628">
        <w:rPr>
          <w:rFonts w:ascii="Calibri" w:hAnsi="Calibri" w:cs="Calibri"/>
          <w:lang w:val="en-US"/>
        </w:rPr>
        <w:t xml:space="preserve"> release their earnings information later than other companies i</w:t>
      </w:r>
      <w:r w:rsidR="007F4B65" w:rsidRPr="009D3628">
        <w:rPr>
          <w:rFonts w:ascii="Calibri" w:hAnsi="Calibri" w:cs="Calibri"/>
          <w:lang w:val="en-US"/>
        </w:rPr>
        <w:t>n the same industry. The reason is that</w:t>
      </w:r>
      <w:r w:rsidR="00275721" w:rsidRPr="009D3628">
        <w:rPr>
          <w:rFonts w:ascii="Calibri" w:hAnsi="Calibri" w:cs="Calibri"/>
          <w:lang w:val="en-US"/>
        </w:rPr>
        <w:t xml:space="preserve"> investors already captured the ‘industry</w:t>
      </w:r>
      <w:r w:rsidR="00770D3D" w:rsidRPr="009D3628">
        <w:rPr>
          <w:rFonts w:ascii="Calibri" w:hAnsi="Calibri" w:cs="Calibri"/>
          <w:lang w:val="en-US"/>
        </w:rPr>
        <w:t>-</w:t>
      </w:r>
      <w:r w:rsidR="00275721" w:rsidRPr="009D3628">
        <w:rPr>
          <w:rFonts w:ascii="Calibri" w:hAnsi="Calibri" w:cs="Calibri"/>
          <w:lang w:val="en-US"/>
        </w:rPr>
        <w:t>specific’ earnings information contained in earnings announcements made by earlier announcing firms in the same industry. The f</w:t>
      </w:r>
      <w:r w:rsidR="00770D3D" w:rsidRPr="009D3628">
        <w:rPr>
          <w:rFonts w:ascii="Calibri" w:hAnsi="Calibri" w:cs="Calibri"/>
          <w:lang w:val="en-US"/>
        </w:rPr>
        <w:t>act that investors already used</w:t>
      </w:r>
      <w:r w:rsidR="00275721" w:rsidRPr="009D3628">
        <w:rPr>
          <w:rFonts w:ascii="Calibri" w:hAnsi="Calibri" w:cs="Calibri"/>
          <w:lang w:val="en-US"/>
        </w:rPr>
        <w:t xml:space="preserve"> the ‘industry specific’ earnings information from early announcements reduces the ‘new’ information contained in earnings announcements of later announcing firms in the same industry. Therefore it is important to consider the timing of information releases.  To investigate the occurrence of intr</w:t>
      </w:r>
      <w:r w:rsidR="00770D3D" w:rsidRPr="009D3628">
        <w:rPr>
          <w:rFonts w:ascii="Calibri" w:hAnsi="Calibri" w:cs="Calibri"/>
          <w:lang w:val="en-US"/>
        </w:rPr>
        <w:t>a-industry information transfer</w:t>
      </w:r>
      <w:r w:rsidR="00275721" w:rsidRPr="009D3628">
        <w:rPr>
          <w:rFonts w:ascii="Calibri" w:hAnsi="Calibri" w:cs="Calibri"/>
          <w:lang w:val="en-US"/>
        </w:rPr>
        <w:t xml:space="preserve">, which shows that the earnings information announcements of firm </w:t>
      </w:r>
      <w:r w:rsidR="00275721" w:rsidRPr="009D3628">
        <w:rPr>
          <w:rFonts w:ascii="Calibri" w:hAnsi="Calibri" w:cs="Calibri"/>
          <w:i/>
          <w:lang w:val="en-US"/>
        </w:rPr>
        <w:t>j (k,..,z)</w:t>
      </w:r>
      <w:r w:rsidR="00275721" w:rsidRPr="009D3628">
        <w:rPr>
          <w:rFonts w:ascii="Calibri" w:hAnsi="Calibri" w:cs="Calibri"/>
          <w:lang w:val="en-US"/>
        </w:rPr>
        <w:t xml:space="preserve"> can have an impact on the share price distribution of firm </w:t>
      </w:r>
      <w:r w:rsidR="00275721" w:rsidRPr="009D3628">
        <w:rPr>
          <w:rFonts w:ascii="Calibri" w:hAnsi="Calibri" w:cs="Calibri"/>
          <w:i/>
          <w:lang w:val="en-US"/>
        </w:rPr>
        <w:t xml:space="preserve">i, </w:t>
      </w:r>
      <w:r w:rsidR="00275721" w:rsidRPr="009D3628">
        <w:rPr>
          <w:rFonts w:ascii="Calibri" w:hAnsi="Calibri" w:cs="Calibri"/>
          <w:lang w:val="en-US"/>
        </w:rPr>
        <w:t>Foster (1981) designed the following equation:</w:t>
      </w:r>
    </w:p>
    <w:p w:rsidR="00275721" w:rsidRPr="009D3628" w:rsidRDefault="00275721" w:rsidP="00275721">
      <w:pPr>
        <w:spacing w:line="360" w:lineRule="auto"/>
        <w:rPr>
          <w:rFonts w:ascii="Calibri" w:hAnsi="Calibri" w:cs="Calibri"/>
          <w:lang w:val="en-US"/>
        </w:rPr>
      </w:pPr>
    </w:p>
    <w:p w:rsidR="00275721" w:rsidRPr="009D3628" w:rsidRDefault="00275721" w:rsidP="00275721">
      <w:pPr>
        <w:spacing w:line="360" w:lineRule="auto"/>
        <w:rPr>
          <w:rFonts w:ascii="Calibri" w:hAnsi="Calibri" w:cs="Calibri"/>
          <w:lang w:val="en-US"/>
        </w:rPr>
      </w:pPr>
      <m:oMathPara>
        <m:oMath>
          <m:r>
            <w:rPr>
              <w:rFonts w:ascii="Cambria Math" w:hAnsi="Cambria Math" w:cs="Calibri"/>
              <w:lang w:val="en-US"/>
            </w:rPr>
            <m:t>f</m:t>
          </m:r>
          <m:d>
            <m:dPr>
              <m:ctrlPr>
                <w:rPr>
                  <w:rFonts w:ascii="Cambria Math" w:hAnsi="Calibri" w:cs="Calibri"/>
                  <w:i/>
                  <w:lang w:val="en-US"/>
                </w:rPr>
              </m:ctrlPr>
            </m:dPr>
            <m:e>
              <m:sSub>
                <m:sSubPr>
                  <m:ctrlPr>
                    <w:rPr>
                      <w:rFonts w:ascii="Cambria Math" w:hAnsi="Calibri" w:cs="Calibri"/>
                      <w:i/>
                      <w:lang w:val="en-US"/>
                    </w:rPr>
                  </m:ctrlPr>
                </m:sSubPr>
                <m:e>
                  <m:r>
                    <w:rPr>
                      <w:rFonts w:ascii="Cambria Math" w:hAnsi="Cambria Math" w:cs="Calibri"/>
                      <w:lang w:val="en-US"/>
                    </w:rPr>
                    <m:t>P</m:t>
                  </m:r>
                </m:e>
                <m:sub>
                  <m:r>
                    <w:rPr>
                      <w:rFonts w:ascii="Cambria Math" w:hAnsi="Cambria Math" w:cs="Calibri"/>
                      <w:lang w:val="en-US"/>
                    </w:rPr>
                    <m:t>i</m:t>
                  </m:r>
                </m:sub>
              </m:sSub>
            </m:e>
            <m:e>
              <m:sSub>
                <m:sSubPr>
                  <m:ctrlPr>
                    <w:rPr>
                      <w:rFonts w:ascii="Cambria Math" w:hAnsi="Calibri" w:cs="Calibri"/>
                      <w:i/>
                      <w:lang w:val="en-US"/>
                    </w:rPr>
                  </m:ctrlPr>
                </m:sSubPr>
                <m:e>
                  <m:r>
                    <w:rPr>
                      <w:rFonts w:ascii="Cambria Math" w:hAnsi="Cambria Math" w:cs="Calibri"/>
                      <w:lang w:val="en-US"/>
                    </w:rPr>
                    <m:t>n</m:t>
                  </m:r>
                </m:e>
                <m:sub>
                  <m:r>
                    <w:rPr>
                      <w:rFonts w:ascii="Cambria Math" w:hAnsi="Cambria Math" w:cs="Calibri"/>
                      <w:lang w:val="en-US"/>
                    </w:rPr>
                    <m:t>i</m:t>
                  </m:r>
                </m:sub>
              </m:sSub>
            </m:e>
          </m:d>
          <m:r>
            <w:rPr>
              <w:rFonts w:ascii="Cambria Math" w:hAnsi="Calibri" w:cs="Calibri"/>
              <w:lang w:val="en-US"/>
            </w:rPr>
            <m:t>≠</m:t>
          </m:r>
          <m:r>
            <w:rPr>
              <w:rFonts w:ascii="Cambria Math" w:hAnsi="Cambria Math" w:cs="Calibri"/>
              <w:lang w:val="en-US"/>
            </w:rPr>
            <m:t>f</m:t>
          </m:r>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P</m:t>
              </m:r>
            </m:e>
            <m:sub>
              <m:r>
                <w:rPr>
                  <w:rFonts w:ascii="Cambria Math" w:hAnsi="Cambria Math" w:cs="Calibri"/>
                  <w:lang w:val="en-US"/>
                </w:rPr>
                <m:t>i</m:t>
              </m:r>
            </m:sub>
          </m:sSub>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n</m:t>
              </m:r>
            </m:e>
            <m:sub>
              <m:r>
                <w:rPr>
                  <w:rFonts w:ascii="Cambria Math" w:hAnsi="Cambria Math" w:cs="Calibri"/>
                  <w:lang w:val="en-US"/>
                </w:rPr>
                <m:t>i</m:t>
              </m:r>
            </m:sub>
          </m:sSub>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n</m:t>
              </m:r>
            </m:e>
            <m:sub>
              <m:r>
                <w:rPr>
                  <w:rFonts w:ascii="Cambria Math" w:hAnsi="Cambria Math" w:cs="Calibri"/>
                  <w:lang w:val="en-US"/>
                </w:rPr>
                <m:t>j</m:t>
              </m:r>
            </m:sub>
          </m:sSub>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n</m:t>
              </m:r>
            </m:e>
            <m:sub>
              <m:r>
                <w:rPr>
                  <w:rFonts w:ascii="Cambria Math" w:hAnsi="Cambria Math" w:cs="Calibri"/>
                  <w:lang w:val="en-US"/>
                </w:rPr>
                <m:t>k</m:t>
              </m:r>
            </m:sub>
          </m:sSub>
          <m:r>
            <w:rPr>
              <w:rFonts w:ascii="Cambria Math" w:hAnsi="Calibri" w:cs="Calibri"/>
              <w:lang w:val="en-US"/>
            </w:rPr>
            <m:t xml:space="preserve">, </m:t>
          </m:r>
          <m:r>
            <w:rPr>
              <w:rFonts w:ascii="Cambria Math" w:hAnsi="Calibri" w:cs="Calibri"/>
              <w:lang w:val="en-US"/>
            </w:rPr>
            <m:t>…</m:t>
          </m:r>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n</m:t>
              </m:r>
            </m:e>
            <m:sub>
              <m:r>
                <w:rPr>
                  <w:rFonts w:ascii="Cambria Math" w:hAnsi="Cambria Math" w:cs="Calibri"/>
                  <w:lang w:val="en-US"/>
                </w:rPr>
                <m:t>z</m:t>
              </m:r>
            </m:sub>
          </m:sSub>
          <m:r>
            <w:rPr>
              <w:rFonts w:ascii="Cambria Math" w:hAnsi="Calibri" w:cs="Calibri"/>
              <w:lang w:val="en-US"/>
            </w:rPr>
            <m:t xml:space="preserve"> )</m:t>
          </m:r>
        </m:oMath>
      </m:oMathPara>
    </w:p>
    <w:p w:rsidR="00275721" w:rsidRPr="009D3628" w:rsidRDefault="00275721" w:rsidP="00275721">
      <w:pPr>
        <w:spacing w:line="360" w:lineRule="auto"/>
        <w:rPr>
          <w:rFonts w:ascii="Calibri" w:hAnsi="Calibri" w:cs="Calibri"/>
          <w:b/>
          <w:lang w:val="en-US"/>
        </w:rPr>
      </w:pPr>
    </w:p>
    <w:p w:rsidR="00275721" w:rsidRPr="009D3628" w:rsidRDefault="007F4B65" w:rsidP="00275721">
      <w:pPr>
        <w:spacing w:line="360" w:lineRule="auto"/>
        <w:rPr>
          <w:rFonts w:ascii="Calibri" w:hAnsi="Calibri" w:cs="Calibri"/>
          <w:lang w:val="en-US"/>
        </w:rPr>
      </w:pPr>
      <w:r w:rsidRPr="009D3628">
        <w:rPr>
          <w:rFonts w:ascii="Calibri" w:hAnsi="Calibri" w:cs="Calibri"/>
          <w:lang w:val="en-US"/>
        </w:rPr>
        <w:t>w</w:t>
      </w:r>
      <w:r w:rsidR="00275721" w:rsidRPr="009D3628">
        <w:rPr>
          <w:rFonts w:ascii="Calibri" w:hAnsi="Calibri" w:cs="Calibri"/>
          <w:lang w:val="en-US"/>
        </w:rPr>
        <w:t xml:space="preserve">here </w:t>
      </w:r>
      <w:r w:rsidR="00275721" w:rsidRPr="009D3628">
        <w:rPr>
          <w:rFonts w:ascii="Calibri" w:hAnsi="Calibri" w:cs="Calibri"/>
          <w:i/>
          <w:lang w:val="en-US"/>
        </w:rPr>
        <w:t xml:space="preserve">f </w:t>
      </w:r>
      <w:r w:rsidR="00275721" w:rsidRPr="009D3628">
        <w:rPr>
          <w:rFonts w:ascii="Calibri" w:hAnsi="Calibri" w:cs="Calibri"/>
          <w:lang w:val="en-US"/>
        </w:rPr>
        <w:t xml:space="preserve">(.) is a distribution function, </w:t>
      </w:r>
      <w:r w:rsidR="00275721" w:rsidRPr="009D3628">
        <w:rPr>
          <w:rFonts w:ascii="Calibri" w:hAnsi="Calibri" w:cs="Calibri"/>
          <w:i/>
          <w:lang w:val="en-US"/>
        </w:rPr>
        <w:t xml:space="preserve">Pi </w:t>
      </w:r>
      <w:r w:rsidR="00275721" w:rsidRPr="009D3628">
        <w:rPr>
          <w:rFonts w:ascii="Calibri" w:hAnsi="Calibri" w:cs="Calibri"/>
          <w:lang w:val="en-US"/>
        </w:rPr>
        <w:t xml:space="preserve">is the share price of firm </w:t>
      </w:r>
      <w:r w:rsidR="00275721" w:rsidRPr="009D3628">
        <w:rPr>
          <w:rFonts w:ascii="Calibri" w:hAnsi="Calibri" w:cs="Calibri"/>
          <w:i/>
          <w:lang w:val="en-US"/>
        </w:rPr>
        <w:t xml:space="preserve">i </w:t>
      </w:r>
      <w:r w:rsidR="00275721" w:rsidRPr="009D3628">
        <w:rPr>
          <w:rFonts w:ascii="Calibri" w:hAnsi="Calibri" w:cs="Calibri"/>
          <w:lang w:val="en-US"/>
        </w:rPr>
        <w:t xml:space="preserve">and </w:t>
      </w:r>
      <w:r w:rsidR="00275721" w:rsidRPr="009D3628">
        <w:rPr>
          <w:rFonts w:ascii="Calibri" w:hAnsi="Calibri" w:cs="Calibri"/>
          <w:i/>
          <w:lang w:val="en-US"/>
        </w:rPr>
        <w:t>n</w:t>
      </w:r>
      <w:r w:rsidR="00275721" w:rsidRPr="009D3628">
        <w:rPr>
          <w:rFonts w:ascii="Calibri" w:hAnsi="Calibri" w:cs="Calibri"/>
          <w:i/>
          <w:vertAlign w:val="subscript"/>
          <w:lang w:val="en-US"/>
        </w:rPr>
        <w:t>i</w:t>
      </w:r>
      <w:r w:rsidR="00275721" w:rsidRPr="009D3628">
        <w:rPr>
          <w:rFonts w:ascii="Calibri" w:hAnsi="Calibri" w:cs="Calibri"/>
          <w:i/>
          <w:lang w:val="en-US"/>
        </w:rPr>
        <w:t xml:space="preserve"> (n</w:t>
      </w:r>
      <w:r w:rsidR="00275721" w:rsidRPr="009D3628">
        <w:rPr>
          <w:rFonts w:ascii="Calibri" w:hAnsi="Calibri" w:cs="Calibri"/>
          <w:i/>
          <w:vertAlign w:val="subscript"/>
          <w:lang w:val="en-US"/>
        </w:rPr>
        <w:t>j</w:t>
      </w:r>
      <w:r w:rsidR="00275721" w:rsidRPr="009D3628">
        <w:rPr>
          <w:rFonts w:ascii="Calibri" w:hAnsi="Calibri" w:cs="Calibri"/>
          <w:i/>
          <w:lang w:val="en-US"/>
        </w:rPr>
        <w:t xml:space="preserve">) </w:t>
      </w:r>
      <w:r w:rsidR="00275721" w:rsidRPr="009D3628">
        <w:rPr>
          <w:rFonts w:ascii="Calibri" w:hAnsi="Calibri" w:cs="Calibri"/>
          <w:lang w:val="en-US"/>
        </w:rPr>
        <w:t xml:space="preserve">is firm </w:t>
      </w:r>
      <w:r w:rsidR="00275721" w:rsidRPr="009D3628">
        <w:rPr>
          <w:rFonts w:ascii="Calibri" w:hAnsi="Calibri" w:cs="Calibri"/>
          <w:i/>
          <w:lang w:val="en-US"/>
        </w:rPr>
        <w:t xml:space="preserve">i’s (j’s) </w:t>
      </w:r>
      <w:r w:rsidR="00275721" w:rsidRPr="009D3628">
        <w:rPr>
          <w:rFonts w:ascii="Calibri" w:hAnsi="Calibri" w:cs="Calibri"/>
          <w:lang w:val="en-US"/>
        </w:rPr>
        <w:t xml:space="preserve">financial reporting system. </w:t>
      </w:r>
      <w:r w:rsidR="00885F84" w:rsidRPr="009D3628">
        <w:rPr>
          <w:rFonts w:ascii="Calibri" w:hAnsi="Calibri" w:cs="Calibri"/>
          <w:lang w:val="en-US"/>
        </w:rPr>
        <w:t>T</w:t>
      </w:r>
      <w:r w:rsidR="00CF1015" w:rsidRPr="009D3628">
        <w:rPr>
          <w:rFonts w:ascii="Calibri" w:hAnsi="Calibri" w:cs="Calibri"/>
          <w:lang w:val="en-US"/>
        </w:rPr>
        <w:t xml:space="preserve">his equation investigates if the earnings announcements of firm </w:t>
      </w:r>
      <w:r w:rsidR="00885F84" w:rsidRPr="009D3628">
        <w:rPr>
          <w:rFonts w:ascii="Calibri" w:hAnsi="Calibri" w:cs="Calibri"/>
          <w:i/>
          <w:lang w:val="en-US"/>
        </w:rPr>
        <w:t xml:space="preserve">j (k,..,z) </w:t>
      </w:r>
      <w:r w:rsidR="00885F84" w:rsidRPr="009D3628">
        <w:rPr>
          <w:rFonts w:ascii="Calibri" w:hAnsi="Calibri" w:cs="Calibri"/>
          <w:lang w:val="en-US"/>
        </w:rPr>
        <w:t xml:space="preserve">can be used to make inferences about the stock price distribution of firm </w:t>
      </w:r>
      <w:r w:rsidR="00885F84" w:rsidRPr="009D3628">
        <w:rPr>
          <w:rFonts w:ascii="Calibri" w:hAnsi="Calibri" w:cs="Calibri"/>
          <w:i/>
          <w:lang w:val="en-US"/>
        </w:rPr>
        <w:t>i.</w:t>
      </w:r>
      <w:r w:rsidR="00885F84" w:rsidRPr="009D3628">
        <w:rPr>
          <w:rFonts w:ascii="Calibri" w:hAnsi="Calibri" w:cs="Calibri"/>
          <w:lang w:val="en-US"/>
        </w:rPr>
        <w:t xml:space="preserve"> </w:t>
      </w:r>
    </w:p>
    <w:p w:rsidR="00275721" w:rsidRPr="009D3628" w:rsidRDefault="00275721" w:rsidP="00275721">
      <w:pPr>
        <w:spacing w:line="360" w:lineRule="auto"/>
        <w:rPr>
          <w:rFonts w:ascii="Calibri" w:hAnsi="Calibri" w:cs="Calibri"/>
          <w:i/>
          <w:lang w:val="en-US"/>
        </w:rPr>
      </w:pPr>
      <w:r w:rsidRPr="009D3628">
        <w:rPr>
          <w:rFonts w:ascii="Calibri" w:hAnsi="Calibri" w:cs="Calibri"/>
          <w:lang w:val="en-US"/>
        </w:rPr>
        <w:t>The earnings of firms can be affected by several factors, which can be subdivided into three classes, which are economy fac</w:t>
      </w:r>
      <w:r w:rsidR="00770D3D" w:rsidRPr="009D3628">
        <w:rPr>
          <w:rFonts w:ascii="Calibri" w:hAnsi="Calibri" w:cs="Calibri"/>
          <w:lang w:val="en-US"/>
        </w:rPr>
        <w:t>tors, industry factors and firm-</w:t>
      </w:r>
      <w:r w:rsidRPr="009D3628">
        <w:rPr>
          <w:rFonts w:ascii="Calibri" w:hAnsi="Calibri" w:cs="Calibri"/>
          <w:lang w:val="en-US"/>
        </w:rPr>
        <w:t>specific factors. Foster (1981) focuses in his research on the last two:</w:t>
      </w:r>
      <w:r w:rsidR="00770D3D" w:rsidRPr="009D3628">
        <w:rPr>
          <w:rFonts w:ascii="Calibri" w:hAnsi="Calibri" w:cs="Calibri"/>
          <w:lang w:val="en-US"/>
        </w:rPr>
        <w:t xml:space="preserve"> the industry and firm-specific </w:t>
      </w:r>
      <w:r w:rsidRPr="009D3628">
        <w:rPr>
          <w:rFonts w:ascii="Calibri" w:hAnsi="Calibri" w:cs="Calibri"/>
          <w:lang w:val="en-US"/>
        </w:rPr>
        <w:t xml:space="preserve">factors. </w:t>
      </w:r>
      <w:r w:rsidR="007F4B65" w:rsidRPr="009D3628">
        <w:rPr>
          <w:rFonts w:ascii="Calibri" w:hAnsi="Calibri" w:cs="Calibri"/>
          <w:lang w:val="en-US"/>
        </w:rPr>
        <w:t>His</w:t>
      </w:r>
      <w:r w:rsidRPr="009D3628">
        <w:rPr>
          <w:rFonts w:ascii="Calibri" w:hAnsi="Calibri" w:cs="Calibri"/>
          <w:lang w:val="en-US"/>
        </w:rPr>
        <w:t xml:space="preserve"> expectation is that information transfers can arise because the earnings announcement of firm </w:t>
      </w:r>
      <w:r w:rsidRPr="009D3628">
        <w:rPr>
          <w:rFonts w:ascii="Calibri" w:hAnsi="Calibri" w:cs="Calibri"/>
          <w:i/>
          <w:lang w:val="en-US"/>
        </w:rPr>
        <w:t xml:space="preserve">j </w:t>
      </w:r>
      <w:r w:rsidRPr="009D3628">
        <w:rPr>
          <w:rFonts w:ascii="Calibri" w:hAnsi="Calibri" w:cs="Calibri"/>
          <w:lang w:val="en-US"/>
        </w:rPr>
        <w:t xml:space="preserve">can convey industry-specific </w:t>
      </w:r>
      <w:r w:rsidRPr="009D3628">
        <w:rPr>
          <w:rFonts w:ascii="Calibri" w:hAnsi="Calibri" w:cs="Calibri"/>
          <w:lang w:val="en-US"/>
        </w:rPr>
        <w:lastRenderedPageBreak/>
        <w:t xml:space="preserve">information, which is also relevant for firm </w:t>
      </w:r>
      <w:r w:rsidRPr="009D3628">
        <w:rPr>
          <w:rFonts w:ascii="Calibri" w:hAnsi="Calibri" w:cs="Calibri"/>
          <w:i/>
          <w:lang w:val="en-US"/>
        </w:rPr>
        <w:t xml:space="preserve">i. </w:t>
      </w:r>
      <w:r w:rsidR="00770D3D" w:rsidRPr="009D3628">
        <w:rPr>
          <w:rFonts w:ascii="Calibri" w:hAnsi="Calibri" w:cs="Calibri"/>
          <w:lang w:val="en-US"/>
        </w:rPr>
        <w:t>In his</w:t>
      </w:r>
      <w:r w:rsidRPr="009D3628">
        <w:rPr>
          <w:rFonts w:ascii="Calibri" w:hAnsi="Calibri" w:cs="Calibri"/>
          <w:lang w:val="en-US"/>
        </w:rPr>
        <w:t xml:space="preserve"> study, Foster (1981) describes three possible scenario’s which can occur when firm </w:t>
      </w:r>
      <w:r w:rsidRPr="009D3628">
        <w:rPr>
          <w:rFonts w:ascii="Calibri" w:hAnsi="Calibri" w:cs="Calibri"/>
          <w:i/>
          <w:lang w:val="en-US"/>
        </w:rPr>
        <w:t xml:space="preserve">j </w:t>
      </w:r>
      <w:r w:rsidR="007F4B65" w:rsidRPr="009D3628">
        <w:rPr>
          <w:rFonts w:ascii="Calibri" w:hAnsi="Calibri" w:cs="Calibri"/>
          <w:lang w:val="en-US"/>
        </w:rPr>
        <w:t>releases</w:t>
      </w:r>
      <w:r w:rsidRPr="009D3628">
        <w:rPr>
          <w:rFonts w:ascii="Calibri" w:hAnsi="Calibri" w:cs="Calibri"/>
          <w:lang w:val="en-US"/>
        </w:rPr>
        <w:t xml:space="preserve"> a positive earnings announcement, where ‘good news’ is expressed. It could be that the earnings announcement which is favorable for firm </w:t>
      </w:r>
      <w:r w:rsidRPr="009D3628">
        <w:rPr>
          <w:rFonts w:ascii="Calibri" w:hAnsi="Calibri" w:cs="Calibri"/>
          <w:i/>
          <w:lang w:val="en-US"/>
        </w:rPr>
        <w:t xml:space="preserve">j </w:t>
      </w:r>
      <w:r w:rsidRPr="009D3628">
        <w:rPr>
          <w:rFonts w:ascii="Calibri" w:hAnsi="Calibri" w:cs="Calibri"/>
          <w:lang w:val="en-US"/>
        </w:rPr>
        <w:t xml:space="preserve">is also favorable for firm </w:t>
      </w:r>
      <w:r w:rsidRPr="009D3628">
        <w:rPr>
          <w:rFonts w:ascii="Calibri" w:hAnsi="Calibri" w:cs="Calibri"/>
          <w:i/>
          <w:lang w:val="en-US"/>
        </w:rPr>
        <w:t xml:space="preserve">i, </w:t>
      </w:r>
      <w:r w:rsidRPr="009D3628">
        <w:rPr>
          <w:rFonts w:ascii="Calibri" w:hAnsi="Calibri" w:cs="Calibri"/>
          <w:lang w:val="en-US"/>
        </w:rPr>
        <w:t xml:space="preserve">it could be that the favorable information for firm </w:t>
      </w:r>
      <w:r w:rsidRPr="009D3628">
        <w:rPr>
          <w:rFonts w:ascii="Calibri" w:hAnsi="Calibri" w:cs="Calibri"/>
          <w:i/>
          <w:lang w:val="en-US"/>
        </w:rPr>
        <w:t xml:space="preserve">j, </w:t>
      </w:r>
      <w:r w:rsidRPr="009D3628">
        <w:rPr>
          <w:rFonts w:ascii="Calibri" w:hAnsi="Calibri" w:cs="Calibri"/>
          <w:lang w:val="en-US"/>
        </w:rPr>
        <w:t xml:space="preserve">is unfavorable information for firm </w:t>
      </w:r>
      <w:r w:rsidRPr="009D3628">
        <w:rPr>
          <w:rFonts w:ascii="Calibri" w:hAnsi="Calibri" w:cs="Calibri"/>
          <w:i/>
          <w:lang w:val="en-US"/>
        </w:rPr>
        <w:t xml:space="preserve">i, </w:t>
      </w:r>
      <w:r w:rsidRPr="009D3628">
        <w:rPr>
          <w:rFonts w:ascii="Calibri" w:hAnsi="Calibri" w:cs="Calibri"/>
          <w:lang w:val="en-US"/>
        </w:rPr>
        <w:t xml:space="preserve">or the information released by firm </w:t>
      </w:r>
      <w:r w:rsidRPr="009D3628">
        <w:rPr>
          <w:rFonts w:ascii="Calibri" w:hAnsi="Calibri" w:cs="Calibri"/>
          <w:i/>
          <w:lang w:val="en-US"/>
        </w:rPr>
        <w:t xml:space="preserve">j </w:t>
      </w:r>
      <w:r w:rsidRPr="009D3628">
        <w:rPr>
          <w:rFonts w:ascii="Calibri" w:hAnsi="Calibri" w:cs="Calibri"/>
          <w:lang w:val="en-US"/>
        </w:rPr>
        <w:t xml:space="preserve">has no impact on firm </w:t>
      </w:r>
      <w:r w:rsidRPr="009D3628">
        <w:rPr>
          <w:rFonts w:ascii="Calibri" w:hAnsi="Calibri" w:cs="Calibri"/>
          <w:i/>
          <w:lang w:val="en-US"/>
        </w:rPr>
        <w:t xml:space="preserve">i </w:t>
      </w:r>
      <w:r w:rsidRPr="009D3628">
        <w:rPr>
          <w:rFonts w:ascii="Calibri" w:hAnsi="Calibri" w:cs="Calibri"/>
          <w:lang w:val="en-US"/>
        </w:rPr>
        <w:t>at all</w:t>
      </w:r>
      <w:r w:rsidRPr="009D3628">
        <w:rPr>
          <w:rFonts w:ascii="Calibri" w:hAnsi="Calibri" w:cs="Calibri"/>
          <w:i/>
          <w:lang w:val="en-US"/>
        </w:rPr>
        <w:t>.</w:t>
      </w:r>
    </w:p>
    <w:p w:rsidR="00275721" w:rsidRPr="009D3628" w:rsidRDefault="00275721" w:rsidP="00275721">
      <w:pPr>
        <w:spacing w:line="360" w:lineRule="auto"/>
        <w:rPr>
          <w:rFonts w:ascii="Calibri" w:hAnsi="Calibri" w:cs="Calibri"/>
          <w:lang w:val="en-US"/>
        </w:rPr>
      </w:pPr>
      <w:r w:rsidRPr="009D3628">
        <w:rPr>
          <w:rFonts w:ascii="Calibri" w:hAnsi="Calibri" w:cs="Calibri"/>
          <w:lang w:val="en-US"/>
        </w:rPr>
        <w:t>Foster (1981) uses two tests to investigate the occurrence of intra-industry i</w:t>
      </w:r>
      <w:r w:rsidR="002D304C" w:rsidRPr="009D3628">
        <w:rPr>
          <w:rFonts w:ascii="Calibri" w:hAnsi="Calibri" w:cs="Calibri"/>
          <w:lang w:val="en-US"/>
        </w:rPr>
        <w:t>nformation transfers. He start</w:t>
      </w:r>
      <w:r w:rsidR="00BD589E" w:rsidRPr="009D3628">
        <w:rPr>
          <w:rFonts w:ascii="Calibri" w:hAnsi="Calibri" w:cs="Calibri"/>
          <w:lang w:val="en-US"/>
        </w:rPr>
        <w:t>s</w:t>
      </w:r>
      <w:r w:rsidRPr="009D3628">
        <w:rPr>
          <w:rFonts w:ascii="Calibri" w:hAnsi="Calibri" w:cs="Calibri"/>
          <w:lang w:val="en-US"/>
        </w:rPr>
        <w:t xml:space="preserve"> to c</w:t>
      </w:r>
      <w:r w:rsidR="002D304C" w:rsidRPr="009D3628">
        <w:rPr>
          <w:rFonts w:ascii="Calibri" w:hAnsi="Calibri" w:cs="Calibri"/>
          <w:lang w:val="en-US"/>
        </w:rPr>
        <w:t>onduct a ‘non-directional’ test:</w:t>
      </w:r>
      <w:r w:rsidRPr="009D3628">
        <w:rPr>
          <w:rFonts w:ascii="Calibri" w:hAnsi="Calibri" w:cs="Calibri"/>
          <w:lang w:val="en-US"/>
        </w:rPr>
        <w:t xml:space="preserve"> this test examines if there is an abnormal return in the stock price of firm </w:t>
      </w:r>
      <w:r w:rsidRPr="009D3628">
        <w:rPr>
          <w:rFonts w:ascii="Calibri" w:hAnsi="Calibri" w:cs="Calibri"/>
          <w:i/>
          <w:lang w:val="en-US"/>
        </w:rPr>
        <w:t xml:space="preserve">i </w:t>
      </w:r>
      <w:r w:rsidRPr="009D3628">
        <w:rPr>
          <w:rFonts w:ascii="Calibri" w:hAnsi="Calibri" w:cs="Calibri"/>
          <w:lang w:val="en-US"/>
        </w:rPr>
        <w:t xml:space="preserve">at the time that firm </w:t>
      </w:r>
      <w:r w:rsidRPr="009D3628">
        <w:rPr>
          <w:rFonts w:ascii="Calibri" w:hAnsi="Calibri" w:cs="Calibri"/>
          <w:i/>
          <w:lang w:val="en-US"/>
        </w:rPr>
        <w:t xml:space="preserve">j </w:t>
      </w:r>
      <w:r w:rsidRPr="009D3628">
        <w:rPr>
          <w:rFonts w:ascii="Calibri" w:hAnsi="Calibri" w:cs="Calibri"/>
          <w:lang w:val="en-US"/>
        </w:rPr>
        <w:t>releases its earnings information. The non-directi</w:t>
      </w:r>
      <w:r w:rsidR="002D304C" w:rsidRPr="009D3628">
        <w:rPr>
          <w:rFonts w:ascii="Calibri" w:hAnsi="Calibri" w:cs="Calibri"/>
          <w:lang w:val="en-US"/>
        </w:rPr>
        <w:t xml:space="preserve">onal test </w:t>
      </w:r>
      <w:r w:rsidRPr="009D3628">
        <w:rPr>
          <w:rFonts w:ascii="Calibri" w:hAnsi="Calibri" w:cs="Calibri"/>
          <w:lang w:val="en-US"/>
        </w:rPr>
        <w:t xml:space="preserve">only measures if there is abnormal return behavior, it </w:t>
      </w:r>
      <w:r w:rsidR="00BD589E" w:rsidRPr="009D3628">
        <w:rPr>
          <w:rFonts w:ascii="Calibri" w:hAnsi="Calibri" w:cs="Calibri"/>
          <w:lang w:val="en-US"/>
        </w:rPr>
        <w:t>does not</w:t>
      </w:r>
      <w:r w:rsidRPr="009D3628">
        <w:rPr>
          <w:rFonts w:ascii="Calibri" w:hAnsi="Calibri" w:cs="Calibri"/>
          <w:lang w:val="en-US"/>
        </w:rPr>
        <w:t xml:space="preserve"> measure if it is favorable or unfavorable. The other test is a ‘directional’ test and this test investigates the direction of the abn</w:t>
      </w:r>
      <w:r w:rsidR="00BD589E" w:rsidRPr="009D3628">
        <w:rPr>
          <w:rFonts w:ascii="Calibri" w:hAnsi="Calibri" w:cs="Calibri"/>
          <w:lang w:val="en-US"/>
        </w:rPr>
        <w:t>ormal return. So it examines the correlation</w:t>
      </w:r>
      <w:r w:rsidRPr="009D3628">
        <w:rPr>
          <w:rFonts w:ascii="Calibri" w:hAnsi="Calibri" w:cs="Calibri"/>
          <w:lang w:val="en-US"/>
        </w:rPr>
        <w:t xml:space="preserve"> between the impact of firm </w:t>
      </w:r>
      <w:r w:rsidRPr="009D3628">
        <w:rPr>
          <w:rFonts w:ascii="Calibri" w:hAnsi="Calibri" w:cs="Calibri"/>
          <w:i/>
          <w:lang w:val="en-US"/>
        </w:rPr>
        <w:t>j</w:t>
      </w:r>
      <w:r w:rsidRPr="009D3628">
        <w:rPr>
          <w:rFonts w:ascii="Calibri" w:hAnsi="Calibri" w:cs="Calibri"/>
          <w:lang w:val="en-US"/>
        </w:rPr>
        <w:t>’s earnings announcement</w:t>
      </w:r>
      <w:r w:rsidRPr="009D3628">
        <w:rPr>
          <w:rFonts w:ascii="Calibri" w:hAnsi="Calibri" w:cs="Calibri"/>
          <w:i/>
          <w:lang w:val="en-US"/>
        </w:rPr>
        <w:t xml:space="preserve"> </w:t>
      </w:r>
      <w:r w:rsidRPr="009D3628">
        <w:rPr>
          <w:rFonts w:ascii="Calibri" w:hAnsi="Calibri" w:cs="Calibri"/>
          <w:lang w:val="en-US"/>
        </w:rPr>
        <w:t xml:space="preserve">on its own stock price and the impact of the same announcement on the stock price of firm </w:t>
      </w:r>
      <w:r w:rsidRPr="009D3628">
        <w:rPr>
          <w:rFonts w:ascii="Calibri" w:hAnsi="Calibri" w:cs="Calibri"/>
          <w:i/>
          <w:lang w:val="en-US"/>
        </w:rPr>
        <w:t xml:space="preserve">i. </w:t>
      </w:r>
    </w:p>
    <w:p w:rsidR="00275721" w:rsidRPr="009D3628" w:rsidRDefault="00275721" w:rsidP="00275721">
      <w:pPr>
        <w:spacing w:line="360" w:lineRule="auto"/>
        <w:rPr>
          <w:rFonts w:ascii="Calibri" w:hAnsi="Calibri" w:cs="Calibri"/>
          <w:b/>
          <w:i/>
          <w:lang w:val="en-US"/>
        </w:rPr>
      </w:pPr>
    </w:p>
    <w:p w:rsidR="00275721" w:rsidRPr="009D3628" w:rsidRDefault="00275721" w:rsidP="00275721">
      <w:pPr>
        <w:spacing w:line="360" w:lineRule="auto"/>
        <w:rPr>
          <w:rFonts w:ascii="Calibri" w:hAnsi="Calibri" w:cs="Calibri"/>
          <w:lang w:val="en-US"/>
        </w:rPr>
      </w:pPr>
      <w:r w:rsidRPr="009D3628">
        <w:rPr>
          <w:rFonts w:ascii="Calibri" w:hAnsi="Calibri" w:cs="Calibri"/>
          <w:lang w:val="en-US"/>
        </w:rPr>
        <w:t>Foster</w:t>
      </w:r>
      <w:r w:rsidR="00CF1015" w:rsidRPr="009D3628">
        <w:rPr>
          <w:rFonts w:ascii="Calibri" w:hAnsi="Calibri" w:cs="Calibri"/>
          <w:lang w:val="en-US"/>
        </w:rPr>
        <w:t xml:space="preserve"> (1981)</w:t>
      </w:r>
      <w:r w:rsidRPr="009D3628">
        <w:rPr>
          <w:rFonts w:ascii="Calibri" w:hAnsi="Calibri" w:cs="Calibri"/>
          <w:lang w:val="en-US"/>
        </w:rPr>
        <w:t xml:space="preserve"> uses a  non-directional cross-sectional residual methodology</w:t>
      </w:r>
      <w:r w:rsidR="00885F84" w:rsidRPr="009D3628">
        <w:rPr>
          <w:rFonts w:ascii="Calibri" w:hAnsi="Calibri" w:cs="Calibri"/>
          <w:lang w:val="en-US"/>
        </w:rPr>
        <w:t xml:space="preserve">. This methodology examines if there is abnormal return behavior for firm </w:t>
      </w:r>
      <w:r w:rsidR="00885F84" w:rsidRPr="009D3628">
        <w:rPr>
          <w:rFonts w:ascii="Calibri" w:hAnsi="Calibri" w:cs="Calibri"/>
          <w:i/>
          <w:lang w:val="en-US"/>
        </w:rPr>
        <w:t xml:space="preserve">i </w:t>
      </w:r>
      <w:r w:rsidR="00885F84" w:rsidRPr="009D3628">
        <w:rPr>
          <w:rFonts w:ascii="Calibri" w:hAnsi="Calibri" w:cs="Calibri"/>
          <w:lang w:val="en-US"/>
        </w:rPr>
        <w:t xml:space="preserve">at the time of the earnings announcement of firm </w:t>
      </w:r>
      <w:r w:rsidR="00885F84" w:rsidRPr="009D3628">
        <w:rPr>
          <w:rFonts w:ascii="Calibri" w:hAnsi="Calibri" w:cs="Calibri"/>
          <w:i/>
          <w:lang w:val="en-US"/>
        </w:rPr>
        <w:t>j</w:t>
      </w:r>
      <w:r w:rsidR="00885F84" w:rsidRPr="009D3628">
        <w:rPr>
          <w:rFonts w:ascii="Calibri" w:hAnsi="Calibri" w:cs="Calibri"/>
          <w:lang w:val="en-US"/>
        </w:rPr>
        <w:t xml:space="preserve">. Foster (1981) uses </w:t>
      </w:r>
      <w:r w:rsidRPr="009D3628">
        <w:rPr>
          <w:rFonts w:ascii="Calibri" w:hAnsi="Calibri" w:cs="Calibri"/>
          <w:lang w:val="en-US"/>
        </w:rPr>
        <w:t>the market model for estimating abnormal returns:</w:t>
      </w:r>
    </w:p>
    <w:p w:rsidR="00275721" w:rsidRPr="009D3628" w:rsidRDefault="00275721" w:rsidP="00275721">
      <w:pPr>
        <w:spacing w:line="360" w:lineRule="auto"/>
        <w:rPr>
          <w:rFonts w:ascii="Calibri" w:hAnsi="Calibri" w:cs="Calibri"/>
          <w:lang w:val="en-US"/>
        </w:rPr>
      </w:pPr>
    </w:p>
    <w:p w:rsidR="00275721" w:rsidRPr="009D3628" w:rsidRDefault="00E43D28" w:rsidP="00275721">
      <w:pPr>
        <w:spacing w:line="360" w:lineRule="auto"/>
        <w:jc w:val="center"/>
        <w:rPr>
          <w:rFonts w:ascii="Calibri" w:hAnsi="Calibri" w:cs="Calibri"/>
          <w:lang w:val="en-US"/>
        </w:rPr>
      </w:pPr>
      <m:oMathPara>
        <m:oMath>
          <m:sSub>
            <m:sSubPr>
              <m:ctrlPr>
                <w:rPr>
                  <w:rFonts w:ascii="Cambria Math" w:hAnsi="Calibri" w:cs="Calibri"/>
                  <w:i/>
                  <w:lang w:val="en-US"/>
                </w:rPr>
              </m:ctrlPr>
            </m:sSubPr>
            <m:e>
              <m:r>
                <w:rPr>
                  <w:rFonts w:ascii="Cambria Math" w:hAnsi="Cambria Math" w:cs="Calibri"/>
                  <w:lang w:val="en-US"/>
                </w:rPr>
                <m:t>U</m:t>
              </m:r>
            </m:e>
            <m:sub>
              <m:r>
                <w:rPr>
                  <w:rFonts w:ascii="Cambria Math" w:hAnsi="Cambria Math" w:cs="Calibri"/>
                  <w:lang w:val="en-US"/>
                </w:rPr>
                <m:t>it</m:t>
              </m:r>
            </m:sub>
          </m:sSub>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R</m:t>
              </m:r>
            </m:e>
            <m:sub>
              <m:r>
                <w:rPr>
                  <w:rFonts w:ascii="Cambria Math" w:hAnsi="Cambria Math" w:cs="Calibri"/>
                  <w:lang w:val="en-US"/>
                </w:rPr>
                <m:t>it</m:t>
              </m:r>
            </m:sub>
          </m:sSub>
          <m:r>
            <w:rPr>
              <w:rFonts w:ascii="Cambria Math" w:hAnsi="Calibri" w:cs="Calibri"/>
              <w:lang w:val="en-US"/>
            </w:rPr>
            <m:t>-</m:t>
          </m:r>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α</m:t>
              </m:r>
            </m:e>
            <m:sub>
              <m:r>
                <w:rPr>
                  <w:rFonts w:ascii="Cambria Math" w:hAnsi="Cambria Math" w:cs="Calibri"/>
                  <w:lang w:val="en-US"/>
                </w:rPr>
                <m:t>i</m:t>
              </m:r>
              <m:r>
                <w:rPr>
                  <w:rFonts w:ascii="Cambria Math" w:hAnsi="Calibri" w:cs="Calibri"/>
                  <w:lang w:val="en-US"/>
                </w:rPr>
                <m:t xml:space="preserve">  </m:t>
              </m:r>
            </m:sub>
          </m:sSub>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mbria Math" w:cs="Calibri"/>
                  <w:lang w:val="en-US"/>
                </w:rPr>
                <m:t>i</m:t>
              </m:r>
              <m:r>
                <w:rPr>
                  <w:rFonts w:ascii="Cambria Math" w:hAnsi="Calibri" w:cs="Calibri"/>
                  <w:lang w:val="en-US"/>
                </w:rPr>
                <m:t xml:space="preserve"> </m:t>
              </m:r>
            </m:sub>
          </m:sSub>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R</m:t>
              </m:r>
            </m:e>
            <m:sub>
              <m:r>
                <w:rPr>
                  <w:rFonts w:ascii="Cambria Math" w:hAnsi="Cambria Math" w:cs="Calibri"/>
                  <w:lang w:val="en-US"/>
                </w:rPr>
                <m:t>Mt</m:t>
              </m:r>
              <m:r>
                <w:rPr>
                  <w:rFonts w:ascii="Cambria Math" w:hAnsi="Calibri" w:cs="Calibri"/>
                  <w:lang w:val="en-US"/>
                </w:rPr>
                <m:t xml:space="preserve"> </m:t>
              </m:r>
            </m:sub>
          </m:sSub>
          <m:r>
            <w:rPr>
              <w:rFonts w:ascii="Cambria Math" w:hAnsi="Calibri" w:cs="Calibri"/>
              <w:lang w:val="en-US"/>
            </w:rPr>
            <m:t>)</m:t>
          </m:r>
        </m:oMath>
      </m:oMathPara>
    </w:p>
    <w:p w:rsidR="00275721" w:rsidRPr="009D3628" w:rsidRDefault="00275721" w:rsidP="00275721">
      <w:pPr>
        <w:spacing w:line="360" w:lineRule="auto"/>
        <w:rPr>
          <w:rFonts w:ascii="Calibri" w:hAnsi="Calibri" w:cs="Calibri"/>
          <w:lang w:val="en-US"/>
        </w:rPr>
      </w:pPr>
    </w:p>
    <w:p w:rsidR="00275721" w:rsidRPr="009D3628" w:rsidRDefault="00275721" w:rsidP="00275721">
      <w:pPr>
        <w:spacing w:line="360" w:lineRule="auto"/>
        <w:rPr>
          <w:rFonts w:ascii="Calibri" w:hAnsi="Calibri" w:cs="Calibri"/>
          <w:lang w:val="en-US"/>
        </w:rPr>
      </w:pPr>
      <w:r w:rsidRPr="009D3628">
        <w:rPr>
          <w:rFonts w:ascii="Calibri" w:hAnsi="Calibri" w:cs="Calibri"/>
          <w:lang w:val="en-US"/>
        </w:rPr>
        <w:t xml:space="preserve">Here </w:t>
      </w:r>
      <w:r w:rsidRPr="009D3628">
        <w:rPr>
          <w:rFonts w:ascii="Calibri" w:hAnsi="Calibri" w:cs="Calibri"/>
          <w:i/>
          <w:lang w:val="en-US"/>
        </w:rPr>
        <w:t>R</w:t>
      </w:r>
      <w:r w:rsidRPr="009D3628">
        <w:rPr>
          <w:rFonts w:ascii="Calibri" w:hAnsi="Calibri" w:cs="Calibri"/>
          <w:i/>
          <w:vertAlign w:val="subscript"/>
          <w:lang w:val="en-US"/>
        </w:rPr>
        <w:t>it</w:t>
      </w:r>
      <w:r w:rsidRPr="009D3628">
        <w:rPr>
          <w:rFonts w:ascii="Calibri" w:hAnsi="Calibri" w:cs="Calibri"/>
          <w:i/>
          <w:lang w:val="en-US"/>
        </w:rPr>
        <w:t xml:space="preserve"> </w:t>
      </w:r>
      <w:r w:rsidRPr="009D3628">
        <w:rPr>
          <w:rFonts w:ascii="Calibri" w:hAnsi="Calibri" w:cs="Calibri"/>
          <w:lang w:val="en-US"/>
        </w:rPr>
        <w:t xml:space="preserve">is the return on asset </w:t>
      </w:r>
      <w:r w:rsidRPr="009D3628">
        <w:rPr>
          <w:rFonts w:ascii="Calibri" w:hAnsi="Calibri" w:cs="Calibri"/>
          <w:i/>
          <w:lang w:val="en-US"/>
        </w:rPr>
        <w:t xml:space="preserve">i </w:t>
      </w:r>
      <w:r w:rsidRPr="009D3628">
        <w:rPr>
          <w:rFonts w:ascii="Calibri" w:hAnsi="Calibri" w:cs="Calibri"/>
          <w:lang w:val="en-US"/>
        </w:rPr>
        <w:t xml:space="preserve">in period </w:t>
      </w:r>
      <w:r w:rsidRPr="009D3628">
        <w:rPr>
          <w:rFonts w:ascii="Calibri" w:hAnsi="Calibri" w:cs="Calibri"/>
          <w:i/>
          <w:lang w:val="en-US"/>
        </w:rPr>
        <w:t xml:space="preserve">t, </w:t>
      </w:r>
      <w:r w:rsidRPr="009D3628">
        <w:rPr>
          <w:rFonts w:ascii="Calibri" w:hAnsi="Calibri" w:cs="Calibri"/>
          <w:lang w:val="en-US"/>
        </w:rPr>
        <w:t xml:space="preserve">and </w:t>
      </w:r>
      <w:r w:rsidRPr="009D3628">
        <w:rPr>
          <w:rFonts w:ascii="Calibri" w:hAnsi="Calibri" w:cs="Calibri"/>
          <w:i/>
          <w:lang w:val="en-US"/>
        </w:rPr>
        <w:t>R</w:t>
      </w:r>
      <w:r w:rsidRPr="009D3628">
        <w:rPr>
          <w:rFonts w:ascii="Calibri" w:hAnsi="Calibri" w:cs="Calibri"/>
          <w:i/>
          <w:vertAlign w:val="subscript"/>
          <w:lang w:val="en-US"/>
        </w:rPr>
        <w:t>mt</w:t>
      </w:r>
      <w:r w:rsidRPr="009D3628">
        <w:rPr>
          <w:rFonts w:ascii="Calibri" w:hAnsi="Calibri" w:cs="Calibri"/>
          <w:lang w:val="en-US"/>
        </w:rPr>
        <w:t xml:space="preserve"> is the return on the market portfolio in period </w:t>
      </w:r>
      <w:r w:rsidRPr="009D3628">
        <w:rPr>
          <w:rFonts w:ascii="Calibri" w:hAnsi="Calibri" w:cs="Calibri"/>
          <w:i/>
          <w:lang w:val="en-US"/>
        </w:rPr>
        <w:t xml:space="preserve">t. </w:t>
      </w:r>
      <w:r w:rsidRPr="009D3628">
        <w:rPr>
          <w:rFonts w:ascii="Calibri" w:hAnsi="Calibri" w:cs="Calibri"/>
          <w:lang w:val="en-US"/>
        </w:rPr>
        <w:t>In the cross-sectional methodology Foster (1981) split</w:t>
      </w:r>
      <w:r w:rsidR="000D563C" w:rsidRPr="009D3628">
        <w:rPr>
          <w:rFonts w:ascii="Calibri" w:hAnsi="Calibri" w:cs="Calibri"/>
          <w:lang w:val="en-US"/>
        </w:rPr>
        <w:t>s</w:t>
      </w:r>
      <w:r w:rsidRPr="009D3628">
        <w:rPr>
          <w:rFonts w:ascii="Calibri" w:hAnsi="Calibri" w:cs="Calibri"/>
          <w:lang w:val="en-US"/>
        </w:rPr>
        <w:t xml:space="preserve"> up the firms within a certain industry in two groups, the ‘announcing’ group and the ‘non-announcing’ group, where the ‘announcing’ group</w:t>
      </w:r>
      <w:r w:rsidR="000D563C" w:rsidRPr="009D3628">
        <w:rPr>
          <w:rFonts w:ascii="Calibri" w:hAnsi="Calibri" w:cs="Calibri"/>
          <w:lang w:val="en-US"/>
        </w:rPr>
        <w:t xml:space="preserve"> consists of the single firm that</w:t>
      </w:r>
      <w:r w:rsidRPr="009D3628">
        <w:rPr>
          <w:rFonts w:ascii="Calibri" w:hAnsi="Calibri" w:cs="Calibri"/>
          <w:lang w:val="en-US"/>
        </w:rPr>
        <w:t xml:space="preserve"> made the earnings announcement and the ‘non-announcement’ group consists of all the other firms in the same industry which are contained in the sample. The methodology strives to calculate the abnormal returns of the two groups. To do this, first the variance of the two-day ‘abnormal return’ in periods with no earnings releases should be computed </w:t>
      </w:r>
      <w:r w:rsidR="003A3D7F" w:rsidRPr="009D3628">
        <w:rPr>
          <w:rFonts w:ascii="Calibri" w:hAnsi="Calibri" w:cs="Calibri"/>
          <w:lang w:val="en-US"/>
        </w:rPr>
        <w:t xml:space="preserve">for each firm. The formula used to calculate the two-day abnormal return is:  </w:t>
      </w:r>
      <m:oMath>
        <m:sSup>
          <m:sSupPr>
            <m:ctrlPr>
              <w:rPr>
                <w:rFonts w:ascii="Cambria Math" w:hAnsi="Calibri" w:cs="Calibri"/>
                <w:i/>
                <w:lang w:val="en-US"/>
              </w:rPr>
            </m:ctrlPr>
          </m:sSupPr>
          <m:e>
            <m:r>
              <w:rPr>
                <w:rFonts w:ascii="Cambria Math" w:hAnsi="Cambria Math" w:cs="Calibri"/>
                <w:lang w:val="en-US"/>
              </w:rPr>
              <m:t>σ</m:t>
            </m:r>
          </m:e>
          <m:sup>
            <m:r>
              <w:rPr>
                <w:rFonts w:ascii="Cambria Math" w:hAnsi="Calibri" w:cs="Calibri"/>
                <w:lang w:val="en-US"/>
              </w:rPr>
              <m:t>2</m:t>
            </m:r>
          </m:sup>
        </m:sSup>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U</m:t>
            </m:r>
          </m:e>
          <m:sub>
            <m:r>
              <w:rPr>
                <w:rFonts w:ascii="Cambria Math" w:hAnsi="Cambria Math" w:cs="Calibri"/>
                <w:lang w:val="en-US"/>
              </w:rPr>
              <m:t>it</m:t>
            </m:r>
          </m:sub>
        </m:sSub>
        <m:r>
          <w:rPr>
            <w:rFonts w:ascii="Cambria Math" w:hAnsi="Calibri" w:cs="Calibri"/>
            <w:lang w:val="en-US"/>
          </w:rPr>
          <m:t xml:space="preserve">) </m:t>
        </m:r>
      </m:oMath>
      <w:r w:rsidR="003A3D7F" w:rsidRPr="009D3628">
        <w:rPr>
          <w:rFonts w:ascii="Calibri" w:hAnsi="Calibri" w:cs="Calibri"/>
          <w:lang w:val="en-US"/>
        </w:rPr>
        <w:t>. The rea</w:t>
      </w:r>
      <w:r w:rsidR="00310372" w:rsidRPr="009D3628">
        <w:rPr>
          <w:rFonts w:ascii="Calibri" w:hAnsi="Calibri" w:cs="Calibri"/>
          <w:lang w:val="en-US"/>
        </w:rPr>
        <w:t>son why the two-day period</w:t>
      </w:r>
      <w:r w:rsidR="003A3D7F" w:rsidRPr="009D3628">
        <w:rPr>
          <w:rFonts w:ascii="Calibri" w:hAnsi="Calibri" w:cs="Calibri"/>
          <w:lang w:val="en-US"/>
        </w:rPr>
        <w:t xml:space="preserve"> is used is because it is very difficult to specify the exact trading day that an earnings announcement becomes available to the market. An earnings announ</w:t>
      </w:r>
      <w:r w:rsidR="00310372" w:rsidRPr="009D3628">
        <w:rPr>
          <w:rFonts w:ascii="Calibri" w:hAnsi="Calibri" w:cs="Calibri"/>
          <w:lang w:val="en-US"/>
        </w:rPr>
        <w:t>cement can be released on a day</w:t>
      </w:r>
      <w:r w:rsidR="003A3D7F" w:rsidRPr="009D3628">
        <w:rPr>
          <w:rFonts w:ascii="Calibri" w:hAnsi="Calibri" w:cs="Calibri"/>
          <w:lang w:val="en-US"/>
        </w:rPr>
        <w:t xml:space="preserve"> after the close of the trading. Then the earnings information is actually re</w:t>
      </w:r>
      <w:r w:rsidR="00310372" w:rsidRPr="009D3628">
        <w:rPr>
          <w:rFonts w:ascii="Calibri" w:hAnsi="Calibri" w:cs="Calibri"/>
          <w:lang w:val="en-US"/>
        </w:rPr>
        <w:t>leased prior to trading on the next day</w:t>
      </w:r>
      <w:r w:rsidR="003A3D7F" w:rsidRPr="009D3628">
        <w:rPr>
          <w:rFonts w:ascii="Calibri" w:hAnsi="Calibri" w:cs="Calibri"/>
          <w:lang w:val="en-US"/>
        </w:rPr>
        <w:t xml:space="preserve">, which is the date determined as the actual announcement date. After the variances of the two-day abnormal returns </w:t>
      </w:r>
      <w:r w:rsidR="00310372" w:rsidRPr="009D3628">
        <w:rPr>
          <w:rFonts w:ascii="Calibri" w:hAnsi="Calibri" w:cs="Calibri"/>
          <w:lang w:val="en-US"/>
        </w:rPr>
        <w:t>in non-</w:t>
      </w:r>
      <w:r w:rsidR="00310372" w:rsidRPr="009D3628">
        <w:rPr>
          <w:rFonts w:ascii="Calibri" w:hAnsi="Calibri" w:cs="Calibri"/>
          <w:lang w:val="en-US"/>
        </w:rPr>
        <w:lastRenderedPageBreak/>
        <w:t xml:space="preserve">announcing periods </w:t>
      </w:r>
      <w:r w:rsidR="003A3D7F" w:rsidRPr="009D3628">
        <w:rPr>
          <w:rFonts w:ascii="Calibri" w:hAnsi="Calibri" w:cs="Calibri"/>
          <w:lang w:val="en-US"/>
        </w:rPr>
        <w:t xml:space="preserve">are computed for each firm, Foster determines per industry which firm is the one that releases its earnings announcement first. </w:t>
      </w:r>
      <w:r w:rsidR="000D563C" w:rsidRPr="009D3628">
        <w:rPr>
          <w:rFonts w:ascii="Calibri" w:hAnsi="Calibri" w:cs="Calibri"/>
          <w:lang w:val="en-US"/>
        </w:rPr>
        <w:t>Then the firm that</w:t>
      </w:r>
      <w:r w:rsidRPr="009D3628">
        <w:rPr>
          <w:rFonts w:ascii="Calibri" w:hAnsi="Calibri" w:cs="Calibri"/>
          <w:lang w:val="en-US"/>
        </w:rPr>
        <w:t xml:space="preserve"> releases his earnings information first  is taken and the combi</w:t>
      </w:r>
      <w:r w:rsidR="00F82C78" w:rsidRPr="009D3628">
        <w:rPr>
          <w:rFonts w:ascii="Calibri" w:hAnsi="Calibri" w:cs="Calibri"/>
          <w:lang w:val="en-US"/>
        </w:rPr>
        <w:t>ned two-day abnormal returns is computed by calculating</w:t>
      </w:r>
      <w:r w:rsidR="00310372" w:rsidRPr="009D3628">
        <w:rPr>
          <w:rFonts w:ascii="Calibri" w:hAnsi="Calibri" w:cs="Calibri"/>
          <w:lang w:val="en-US"/>
        </w:rPr>
        <w:t xml:space="preserve"> </w:t>
      </w:r>
      <w:r w:rsidRPr="009D3628">
        <w:rPr>
          <w:rFonts w:ascii="Calibri" w:hAnsi="Calibri" w:cs="Calibri"/>
          <w:lang w:val="en-US"/>
        </w:rPr>
        <w:t xml:space="preserve">the following </w:t>
      </w:r>
      <w:r w:rsidR="00F82C78" w:rsidRPr="009D3628">
        <w:rPr>
          <w:rFonts w:ascii="Calibri" w:hAnsi="Calibri" w:cs="Calibri"/>
          <w:lang w:val="en-US"/>
        </w:rPr>
        <w:t>ratio for the (-1,0) period</w:t>
      </w:r>
      <w:r w:rsidRPr="009D3628">
        <w:rPr>
          <w:rFonts w:ascii="Calibri" w:hAnsi="Calibri" w:cs="Calibri"/>
          <w:lang w:val="en-US"/>
        </w:rPr>
        <w:t>:</w:t>
      </w:r>
    </w:p>
    <w:p w:rsidR="00275721" w:rsidRPr="009D3628" w:rsidRDefault="00275721" w:rsidP="00275721">
      <w:pPr>
        <w:spacing w:line="360" w:lineRule="auto"/>
        <w:rPr>
          <w:rFonts w:ascii="Calibri" w:hAnsi="Calibri" w:cs="Calibri"/>
          <w:lang w:val="en-US"/>
        </w:rPr>
      </w:pPr>
    </w:p>
    <w:p w:rsidR="00275721" w:rsidRPr="009D3628" w:rsidRDefault="00E43D28" w:rsidP="00275721">
      <w:pPr>
        <w:spacing w:line="360" w:lineRule="auto"/>
        <w:rPr>
          <w:rFonts w:ascii="Calibri" w:hAnsi="Calibri" w:cs="Calibri"/>
          <w:lang w:val="en-US"/>
        </w:rPr>
      </w:pPr>
      <m:oMathPara>
        <m:oMath>
          <m:sSub>
            <m:sSubPr>
              <m:ctrlPr>
                <w:rPr>
                  <w:rFonts w:ascii="Cambria Math" w:hAnsi="Calibri" w:cs="Calibri"/>
                  <w:i/>
                  <w:lang w:val="en-US"/>
                </w:rPr>
              </m:ctrlPr>
            </m:sSubPr>
            <m:e>
              <m:r>
                <w:rPr>
                  <w:rFonts w:ascii="Cambria Math" w:hAnsi="Cambria Math" w:cs="Calibri"/>
                  <w:lang w:val="en-US"/>
                </w:rPr>
                <m:t>X</m:t>
              </m:r>
            </m:e>
            <m:sub>
              <m:r>
                <w:rPr>
                  <w:rFonts w:ascii="Cambria Math" w:hAnsi="Cambria Math" w:cs="Calibri"/>
                  <w:lang w:val="en-US"/>
                </w:rPr>
                <m:t>it</m:t>
              </m:r>
              <m:r>
                <w:rPr>
                  <w:rFonts w:ascii="Cambria Math" w:hAnsi="Calibri" w:cs="Calibri"/>
                  <w:lang w:val="en-US"/>
                </w:rPr>
                <m:t xml:space="preserve"> </m:t>
              </m:r>
            </m:sub>
          </m:sSub>
          <m:r>
            <w:rPr>
              <w:rFonts w:ascii="Cambria Math" w:hAnsi="Calibri" w:cs="Calibri"/>
              <w:lang w:val="en-US"/>
            </w:rPr>
            <m:t>=</m:t>
          </m:r>
          <m:f>
            <m:fPr>
              <m:ctrlPr>
                <w:rPr>
                  <w:rFonts w:ascii="Cambria Math" w:hAnsi="Calibri" w:cs="Calibri"/>
                  <w:i/>
                  <w:lang w:val="en-US"/>
                </w:rPr>
              </m:ctrlPr>
            </m:fPr>
            <m:num>
              <m:sSup>
                <m:sSupPr>
                  <m:ctrlPr>
                    <w:rPr>
                      <w:rFonts w:ascii="Cambria Math" w:hAnsi="Calibri" w:cs="Calibri"/>
                      <w:i/>
                      <w:lang w:val="en-US"/>
                    </w:rPr>
                  </m:ctrlPr>
                </m:sSupPr>
                <m:e>
                  <m:d>
                    <m:dPr>
                      <m:ctrlPr>
                        <w:rPr>
                          <w:rFonts w:ascii="Cambria Math" w:hAnsi="Calibri" w:cs="Calibri"/>
                          <w:i/>
                          <w:lang w:val="en-US"/>
                        </w:rPr>
                      </m:ctrlPr>
                    </m:dPr>
                    <m:e>
                      <m:sSub>
                        <m:sSubPr>
                          <m:ctrlPr>
                            <w:rPr>
                              <w:rFonts w:ascii="Cambria Math" w:hAnsi="Calibri" w:cs="Calibri"/>
                              <w:i/>
                              <w:lang w:val="en-US"/>
                            </w:rPr>
                          </m:ctrlPr>
                        </m:sSubPr>
                        <m:e>
                          <m:r>
                            <w:rPr>
                              <w:rFonts w:ascii="Cambria Math" w:hAnsi="Cambria Math" w:cs="Calibri"/>
                              <w:lang w:val="en-US"/>
                            </w:rPr>
                            <m:t>U</m:t>
                          </m:r>
                        </m:e>
                        <m:sub>
                          <m:r>
                            <w:rPr>
                              <w:rFonts w:ascii="Cambria Math" w:hAnsi="Cambria Math" w:cs="Calibri"/>
                              <w:lang w:val="en-US"/>
                            </w:rPr>
                            <m:t>it</m:t>
                          </m:r>
                        </m:sub>
                      </m:sSub>
                    </m:e>
                  </m:d>
                </m:e>
                <m:sup>
                  <m:r>
                    <w:rPr>
                      <w:rFonts w:ascii="Cambria Math" w:hAnsi="Calibri" w:cs="Calibri"/>
                      <w:lang w:val="en-US"/>
                    </w:rPr>
                    <m:t>2</m:t>
                  </m:r>
                </m:sup>
              </m:sSup>
            </m:num>
            <m:den>
              <m:sSup>
                <m:sSupPr>
                  <m:ctrlPr>
                    <w:rPr>
                      <w:rFonts w:ascii="Cambria Math" w:hAnsi="Calibri" w:cs="Calibri"/>
                      <w:i/>
                      <w:lang w:val="en-US"/>
                    </w:rPr>
                  </m:ctrlPr>
                </m:sSupPr>
                <m:e>
                  <m:r>
                    <w:rPr>
                      <w:rFonts w:ascii="Cambria Math" w:hAnsi="Cambria Math" w:cs="Calibri"/>
                      <w:lang w:val="en-US"/>
                    </w:rPr>
                    <m:t>σ</m:t>
                  </m:r>
                </m:e>
                <m:sup>
                  <m:r>
                    <w:rPr>
                      <w:rFonts w:ascii="Cambria Math" w:hAnsi="Calibri" w:cs="Calibri"/>
                      <w:lang w:val="en-US"/>
                    </w:rPr>
                    <m:t>2</m:t>
                  </m:r>
                </m:sup>
              </m:sSup>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U</m:t>
                  </m:r>
                </m:e>
                <m:sub>
                  <m:r>
                    <w:rPr>
                      <w:rFonts w:ascii="Cambria Math" w:hAnsi="Cambria Math" w:cs="Calibri"/>
                      <w:lang w:val="en-US"/>
                    </w:rPr>
                    <m:t>it</m:t>
                  </m:r>
                </m:sub>
              </m:sSub>
              <m:r>
                <w:rPr>
                  <w:rFonts w:ascii="Cambria Math" w:hAnsi="Calibri" w:cs="Calibri"/>
                  <w:lang w:val="en-US"/>
                </w:rPr>
                <m:t xml:space="preserve">) </m:t>
              </m:r>
            </m:den>
          </m:f>
        </m:oMath>
      </m:oMathPara>
    </w:p>
    <w:p w:rsidR="00275721" w:rsidRPr="009D3628" w:rsidRDefault="00275721" w:rsidP="00275721">
      <w:pPr>
        <w:spacing w:line="360" w:lineRule="auto"/>
        <w:rPr>
          <w:rFonts w:ascii="Calibri" w:hAnsi="Calibri" w:cs="Calibri"/>
          <w:i/>
          <w:lang w:val="en-US"/>
        </w:rPr>
      </w:pPr>
    </w:p>
    <w:p w:rsidR="00275721" w:rsidRPr="009D3628" w:rsidRDefault="000D563C" w:rsidP="00275721">
      <w:pPr>
        <w:spacing w:line="360" w:lineRule="auto"/>
        <w:rPr>
          <w:rFonts w:ascii="Calibri" w:hAnsi="Calibri" w:cs="Calibri"/>
          <w:lang w:val="en-US"/>
        </w:rPr>
      </w:pPr>
      <w:r w:rsidRPr="009D3628">
        <w:rPr>
          <w:rFonts w:ascii="Calibri" w:hAnsi="Calibri" w:cs="Calibri"/>
          <w:lang w:val="en-US"/>
        </w:rPr>
        <w:t>w</w:t>
      </w:r>
      <w:r w:rsidR="00275721" w:rsidRPr="009D3628">
        <w:rPr>
          <w:rFonts w:ascii="Calibri" w:hAnsi="Calibri" w:cs="Calibri"/>
          <w:lang w:val="en-US"/>
        </w:rPr>
        <w:t xml:space="preserve">here </w:t>
      </w:r>
      <w:r w:rsidR="00310372" w:rsidRPr="009D3628">
        <w:rPr>
          <w:rFonts w:ascii="Calibri" w:hAnsi="Calibri" w:cs="Calibri"/>
          <w:i/>
          <w:lang w:val="en-US"/>
        </w:rPr>
        <w:t>U</w:t>
      </w:r>
      <w:r w:rsidR="00310372" w:rsidRPr="009D3628">
        <w:rPr>
          <w:rFonts w:ascii="Calibri" w:hAnsi="Calibri" w:cs="Calibri"/>
          <w:i/>
          <w:vertAlign w:val="subscript"/>
          <w:lang w:val="en-US"/>
        </w:rPr>
        <w:t>it</w:t>
      </w:r>
      <w:r w:rsidR="00310372" w:rsidRPr="009D3628">
        <w:rPr>
          <w:rFonts w:ascii="Calibri" w:hAnsi="Calibri" w:cs="Calibri"/>
          <w:i/>
          <w:lang w:val="en-US"/>
        </w:rPr>
        <w:t xml:space="preserve"> </w:t>
      </w:r>
      <w:r w:rsidR="00310372" w:rsidRPr="009D3628">
        <w:rPr>
          <w:rFonts w:ascii="Calibri" w:hAnsi="Calibri" w:cs="Calibri"/>
          <w:lang w:val="en-US"/>
        </w:rPr>
        <w:t xml:space="preserve">is the abnormal return of firm </w:t>
      </w:r>
      <w:r w:rsidR="00310372" w:rsidRPr="009D3628">
        <w:rPr>
          <w:rFonts w:ascii="Calibri" w:hAnsi="Calibri" w:cs="Calibri"/>
          <w:i/>
          <w:lang w:val="en-US"/>
        </w:rPr>
        <w:t>i</w:t>
      </w:r>
      <w:r w:rsidR="00310372" w:rsidRPr="009D3628">
        <w:rPr>
          <w:rFonts w:ascii="Calibri" w:hAnsi="Calibri" w:cs="Calibri"/>
          <w:lang w:val="en-US"/>
        </w:rPr>
        <w:t xml:space="preserve"> at time </w:t>
      </w:r>
      <w:r w:rsidR="00310372" w:rsidRPr="009D3628">
        <w:rPr>
          <w:rFonts w:ascii="Calibri" w:hAnsi="Calibri" w:cs="Calibri"/>
          <w:i/>
          <w:lang w:val="en-US"/>
        </w:rPr>
        <w:t>t</w:t>
      </w:r>
      <w:r w:rsidR="00310372" w:rsidRPr="009D3628">
        <w:rPr>
          <w:rFonts w:ascii="Calibri" w:hAnsi="Calibri" w:cs="Calibri"/>
          <w:lang w:val="en-US"/>
        </w:rPr>
        <w:t xml:space="preserve">, and </w:t>
      </w:r>
      <w:r w:rsidR="00275721" w:rsidRPr="009D3628">
        <w:rPr>
          <w:rFonts w:ascii="Calibri" w:hAnsi="Calibri" w:cs="Calibri"/>
          <w:i/>
          <w:lang w:val="en-US"/>
        </w:rPr>
        <w:t>σ²(</w:t>
      </w:r>
      <w:r w:rsidRPr="009D3628">
        <w:rPr>
          <w:rFonts w:ascii="Calibri" w:hAnsi="Calibri" w:cs="Calibri"/>
          <w:i/>
          <w:lang w:val="en-US"/>
        </w:rPr>
        <w:t>U</w:t>
      </w:r>
      <w:r w:rsidR="00275721" w:rsidRPr="009D3628">
        <w:rPr>
          <w:rFonts w:ascii="Calibri" w:hAnsi="Calibri" w:cs="Calibri"/>
          <w:i/>
          <w:vertAlign w:val="subscript"/>
          <w:lang w:val="en-US"/>
        </w:rPr>
        <w:t>it</w:t>
      </w:r>
      <w:r w:rsidR="00275721" w:rsidRPr="009D3628">
        <w:rPr>
          <w:rFonts w:ascii="Calibri" w:hAnsi="Calibri" w:cs="Calibri"/>
          <w:i/>
          <w:lang w:val="en-US"/>
        </w:rPr>
        <w:t xml:space="preserve">) </w:t>
      </w:r>
      <w:r w:rsidR="00275721" w:rsidRPr="009D3628">
        <w:rPr>
          <w:rFonts w:ascii="Calibri" w:hAnsi="Calibri" w:cs="Calibri"/>
          <w:lang w:val="en-US"/>
        </w:rPr>
        <w:t xml:space="preserve">is the variance of the two-day ‘abnormal return’ in non-earnings report release periods of each firm. </w:t>
      </w:r>
      <w:r w:rsidR="00770D3D" w:rsidRPr="009D3628">
        <w:rPr>
          <w:rFonts w:ascii="Calibri" w:hAnsi="Calibri" w:cs="Calibri"/>
          <w:lang w:val="en-US"/>
        </w:rPr>
        <w:t xml:space="preserve">This </w:t>
      </w:r>
      <w:r w:rsidR="00770D3D" w:rsidRPr="009D3628">
        <w:rPr>
          <w:rFonts w:ascii="Calibri" w:hAnsi="Calibri" w:cs="Calibri"/>
          <w:i/>
          <w:lang w:val="en-US"/>
        </w:rPr>
        <w:t>X</w:t>
      </w:r>
      <w:r w:rsidR="00770D3D" w:rsidRPr="009D3628">
        <w:rPr>
          <w:rFonts w:ascii="Calibri" w:hAnsi="Calibri" w:cs="Calibri"/>
          <w:i/>
          <w:vertAlign w:val="subscript"/>
          <w:lang w:val="en-US"/>
        </w:rPr>
        <w:t xml:space="preserve">it </w:t>
      </w:r>
      <w:r w:rsidR="00770D3D" w:rsidRPr="009D3628">
        <w:rPr>
          <w:rFonts w:ascii="Calibri" w:hAnsi="Calibri" w:cs="Calibri"/>
          <w:lang w:val="en-US"/>
        </w:rPr>
        <w:t xml:space="preserve">formula </w:t>
      </w:r>
      <w:r w:rsidR="002A6004" w:rsidRPr="009D3628">
        <w:rPr>
          <w:rFonts w:ascii="Calibri" w:hAnsi="Calibri" w:cs="Calibri"/>
          <w:lang w:val="en-US"/>
        </w:rPr>
        <w:t>is the same as the (AVAR) formula designed by Beaver (1968).</w:t>
      </w:r>
      <w:r w:rsidR="00770D3D" w:rsidRPr="009D3628">
        <w:rPr>
          <w:rFonts w:ascii="Calibri" w:hAnsi="Calibri" w:cs="Calibri"/>
          <w:lang w:val="en-US"/>
        </w:rPr>
        <w:t xml:space="preserve"> </w:t>
      </w:r>
      <w:r w:rsidR="002A6004" w:rsidRPr="009D3628">
        <w:rPr>
          <w:rFonts w:ascii="Calibri" w:hAnsi="Calibri" w:cs="Calibri"/>
          <w:lang w:val="en-US"/>
        </w:rPr>
        <w:t>The</w:t>
      </w:r>
      <w:r w:rsidR="009E44AF" w:rsidRPr="009D3628">
        <w:rPr>
          <w:rFonts w:ascii="Calibri" w:hAnsi="Calibri" w:cs="Calibri"/>
          <w:lang w:val="en-US"/>
        </w:rPr>
        <w:t xml:space="preserve"> </w:t>
      </w:r>
      <w:r w:rsidR="009E44AF" w:rsidRPr="009D3628">
        <w:rPr>
          <w:rFonts w:ascii="Calibri" w:hAnsi="Calibri" w:cs="Calibri"/>
          <w:i/>
          <w:lang w:val="en-US"/>
        </w:rPr>
        <w:t>X</w:t>
      </w:r>
      <w:r w:rsidR="009E44AF" w:rsidRPr="009D3628">
        <w:rPr>
          <w:rFonts w:ascii="Calibri" w:hAnsi="Calibri" w:cs="Calibri"/>
          <w:i/>
          <w:vertAlign w:val="subscript"/>
          <w:lang w:val="en-US"/>
        </w:rPr>
        <w:t>it</w:t>
      </w:r>
      <w:r w:rsidR="009E44AF" w:rsidRPr="009D3628">
        <w:rPr>
          <w:rFonts w:ascii="Calibri" w:hAnsi="Calibri" w:cs="Calibri"/>
          <w:i/>
          <w:lang w:val="en-US"/>
        </w:rPr>
        <w:t xml:space="preserve"> </w:t>
      </w:r>
      <w:r w:rsidR="009E44AF" w:rsidRPr="009D3628">
        <w:rPr>
          <w:rFonts w:ascii="Calibri" w:hAnsi="Calibri" w:cs="Calibri"/>
          <w:lang w:val="en-US"/>
        </w:rPr>
        <w:t xml:space="preserve">value displays the change in abnormal return surrounding the earnings announcement compared with the abnormal return in a non-announcement period. So the difference between the abnormal return surrounding an earnings announcement, and the abnormal return in a non-announcing period, reflects the reaction in share price caused by the earnings announcement. </w:t>
      </w:r>
      <w:r w:rsidR="00275721" w:rsidRPr="009D3628">
        <w:rPr>
          <w:rFonts w:ascii="Calibri" w:hAnsi="Calibri" w:cs="Calibri"/>
          <w:lang w:val="en-US"/>
        </w:rPr>
        <w:t xml:space="preserve">After computing the </w:t>
      </w:r>
      <w:r w:rsidR="00275721" w:rsidRPr="009D3628">
        <w:rPr>
          <w:rFonts w:ascii="Calibri" w:hAnsi="Calibri" w:cs="Calibri"/>
          <w:i/>
          <w:lang w:val="en-US"/>
        </w:rPr>
        <w:t>X</w:t>
      </w:r>
      <w:r w:rsidR="00275721" w:rsidRPr="009D3628">
        <w:rPr>
          <w:rFonts w:ascii="Calibri" w:hAnsi="Calibri" w:cs="Calibri"/>
          <w:i/>
          <w:vertAlign w:val="subscript"/>
          <w:lang w:val="en-US"/>
        </w:rPr>
        <w:t>it</w:t>
      </w:r>
      <w:r w:rsidR="00275721" w:rsidRPr="009D3628">
        <w:rPr>
          <w:rFonts w:ascii="Calibri" w:hAnsi="Calibri" w:cs="Calibri"/>
          <w:i/>
          <w:lang w:val="en-US"/>
        </w:rPr>
        <w:t xml:space="preserve"> </w:t>
      </w:r>
      <w:r w:rsidR="00F82C78" w:rsidRPr="009D3628">
        <w:rPr>
          <w:rFonts w:ascii="Calibri" w:hAnsi="Calibri" w:cs="Calibri"/>
          <w:lang w:val="en-US"/>
        </w:rPr>
        <w:t>ratio</w:t>
      </w:r>
      <w:r w:rsidR="00275721" w:rsidRPr="009D3628">
        <w:rPr>
          <w:rFonts w:ascii="Calibri" w:hAnsi="Calibri" w:cs="Calibri"/>
          <w:lang w:val="en-US"/>
        </w:rPr>
        <w:t xml:space="preserve"> for the first releasing firm, the </w:t>
      </w:r>
      <w:r w:rsidR="00275721" w:rsidRPr="009D3628">
        <w:rPr>
          <w:rFonts w:ascii="Calibri" w:hAnsi="Calibri" w:cs="Calibri"/>
          <w:i/>
          <w:lang w:val="en-US"/>
        </w:rPr>
        <w:t>X</w:t>
      </w:r>
      <w:r w:rsidR="00275721" w:rsidRPr="009D3628">
        <w:rPr>
          <w:rFonts w:ascii="Calibri" w:hAnsi="Calibri" w:cs="Calibri"/>
          <w:i/>
          <w:vertAlign w:val="subscript"/>
          <w:lang w:val="en-US"/>
        </w:rPr>
        <w:t>it</w:t>
      </w:r>
      <w:r w:rsidR="00275721" w:rsidRPr="009D3628">
        <w:rPr>
          <w:rFonts w:ascii="Calibri" w:hAnsi="Calibri" w:cs="Calibri"/>
          <w:i/>
          <w:lang w:val="en-US"/>
        </w:rPr>
        <w:t xml:space="preserve"> </w:t>
      </w:r>
      <w:r w:rsidR="00275721" w:rsidRPr="009D3628">
        <w:rPr>
          <w:rFonts w:ascii="Calibri" w:hAnsi="Calibri" w:cs="Calibri"/>
          <w:lang w:val="en-US"/>
        </w:rPr>
        <w:t>values for all the other firms within the same industry are computed.</w:t>
      </w:r>
      <w:r w:rsidRPr="009D3628">
        <w:rPr>
          <w:rFonts w:ascii="Calibri" w:hAnsi="Calibri" w:cs="Calibri"/>
          <w:lang w:val="en-US"/>
        </w:rPr>
        <w:t xml:space="preserve"> After these calculations for the firm that</w:t>
      </w:r>
      <w:r w:rsidR="00275721" w:rsidRPr="009D3628">
        <w:rPr>
          <w:rFonts w:ascii="Calibri" w:hAnsi="Calibri" w:cs="Calibri"/>
          <w:lang w:val="en-US"/>
        </w:rPr>
        <w:t xml:space="preserve"> releases his earnings information first, the same calculations are made for the second releasing firm (the first releasing firm is now in the non-announcers group, while the second releasing firm is the announcing-group) and so on till the last releasing firm. To test for a correlation between all the </w:t>
      </w:r>
      <w:r w:rsidR="00275721" w:rsidRPr="009D3628">
        <w:rPr>
          <w:rFonts w:ascii="Calibri" w:hAnsi="Calibri" w:cs="Calibri"/>
          <w:i/>
          <w:lang w:val="en-US"/>
        </w:rPr>
        <w:t>X</w:t>
      </w:r>
      <w:r w:rsidR="00275721" w:rsidRPr="009D3628">
        <w:rPr>
          <w:rFonts w:ascii="Calibri" w:hAnsi="Calibri" w:cs="Calibri"/>
          <w:i/>
          <w:vertAlign w:val="subscript"/>
          <w:lang w:val="en-US"/>
        </w:rPr>
        <w:t xml:space="preserve">it </w:t>
      </w:r>
      <w:r w:rsidR="00275721" w:rsidRPr="009D3628">
        <w:rPr>
          <w:rFonts w:ascii="Calibri" w:hAnsi="Calibri" w:cs="Calibri"/>
          <w:i/>
          <w:lang w:val="en-US"/>
        </w:rPr>
        <w:t xml:space="preserve"> </w:t>
      </w:r>
      <w:r w:rsidR="00275721" w:rsidRPr="009D3628">
        <w:rPr>
          <w:rFonts w:ascii="Calibri" w:hAnsi="Calibri" w:cs="Calibri"/>
          <w:lang w:val="en-US"/>
        </w:rPr>
        <w:t xml:space="preserve">values of the groups for the announcing and non-announcing firms, Foster (1981) used the Spearman rank correlation. These Spearman rank correlation captures cross-sectional correlations in the abnormal returns of securities in the same industry. The Spearman rank test concludes that there are information transfers occurring and that the magnitude is (among others) influenced by the impact of  the announcing firm’s earnings information release on his own stock price. </w:t>
      </w:r>
    </w:p>
    <w:p w:rsidR="00D1552C" w:rsidRPr="009D3628" w:rsidRDefault="00275721" w:rsidP="00D1552C">
      <w:pPr>
        <w:spacing w:line="360" w:lineRule="auto"/>
        <w:rPr>
          <w:rFonts w:ascii="Calibri" w:hAnsi="Calibri" w:cs="Calibri"/>
          <w:lang w:val="en-US"/>
        </w:rPr>
      </w:pPr>
      <w:r w:rsidRPr="009D3628">
        <w:rPr>
          <w:rFonts w:ascii="Calibri" w:hAnsi="Calibri" w:cs="Calibri"/>
          <w:lang w:val="en-US"/>
        </w:rPr>
        <w:t>Where Foster (1981) showed an impact of an earnings announcement on the stock price of the announcing firm</w:t>
      </w:r>
      <w:r w:rsidR="00F82C78" w:rsidRPr="009D3628">
        <w:rPr>
          <w:rFonts w:ascii="Calibri" w:hAnsi="Calibri" w:cs="Calibri"/>
          <w:lang w:val="en-US"/>
        </w:rPr>
        <w:t xml:space="preserve"> as well</w:t>
      </w:r>
      <w:r w:rsidRPr="009D3628">
        <w:rPr>
          <w:rFonts w:ascii="Calibri" w:hAnsi="Calibri" w:cs="Calibri"/>
          <w:lang w:val="en-US"/>
        </w:rPr>
        <w:t xml:space="preserve"> as on the stock price of competitive firms within the same industry, Freeman</w:t>
      </w:r>
      <w:r w:rsidR="00F82C78" w:rsidRPr="009D3628">
        <w:rPr>
          <w:rFonts w:ascii="Calibri" w:hAnsi="Calibri" w:cs="Calibri"/>
          <w:lang w:val="en-US"/>
        </w:rPr>
        <w:t xml:space="preserve"> and Tse (1992) extend</w:t>
      </w:r>
      <w:r w:rsidRPr="009D3628">
        <w:rPr>
          <w:rFonts w:ascii="Calibri" w:hAnsi="Calibri" w:cs="Calibri"/>
          <w:lang w:val="en-US"/>
        </w:rPr>
        <w:t xml:space="preserve"> this literature by examining a specific earnings-based mechanism by which firms might convey information to non-announcing firms in the same industry. They find that security prices of late announcers react significantly to the information provided by early announcers in the same industry and that the greatest reaction is associated with the first industry announcement. </w:t>
      </w:r>
      <w:r w:rsidR="00D1552C" w:rsidRPr="009D3628">
        <w:rPr>
          <w:rFonts w:ascii="Calibri" w:hAnsi="Calibri" w:cs="Calibri"/>
          <w:lang w:val="en-US"/>
        </w:rPr>
        <w:t xml:space="preserve">Freeman and Tse (1992) also looked at the relation between actual information transfers and potential information </w:t>
      </w:r>
      <w:r w:rsidR="00D1552C" w:rsidRPr="009D3628">
        <w:rPr>
          <w:rFonts w:ascii="Calibri" w:hAnsi="Calibri" w:cs="Calibri"/>
          <w:lang w:val="en-US"/>
        </w:rPr>
        <w:lastRenderedPageBreak/>
        <w:t>transfers. Actual information transfer is described as the “non-announcers’ price reactions to related firms’ announcements”, where potential information transfer is described as “the strength of industry earnings comovement”. The hypothesis of their research is:</w:t>
      </w:r>
      <w:r w:rsidR="00D1552C" w:rsidRPr="009D3628">
        <w:rPr>
          <w:rFonts w:ascii="Calibri" w:hAnsi="Calibri" w:cs="Calibri"/>
          <w:lang w:val="en-US"/>
        </w:rPr>
        <w:br/>
      </w:r>
      <w:r w:rsidR="00D1552C" w:rsidRPr="009D3628">
        <w:rPr>
          <w:rFonts w:ascii="Calibri" w:hAnsi="Calibri" w:cs="Calibri"/>
          <w:i/>
          <w:lang w:val="en-US"/>
        </w:rPr>
        <w:t>The association between late announcers’ price reactions and early announcers’ news is strongest for industries with the highest earnings correlations.</w:t>
      </w:r>
      <w:r w:rsidR="00D1552C" w:rsidRPr="009D3628">
        <w:rPr>
          <w:rFonts w:ascii="Calibri" w:hAnsi="Calibri" w:cs="Calibri"/>
          <w:lang w:val="en-US"/>
        </w:rPr>
        <w:br/>
        <w:t xml:space="preserve">Because information transfers come up when it is possible to predict late announcers’ earnings with the early announcers’ news, this leads to the following regression model of earnings changes for each firm </w:t>
      </w:r>
      <w:r w:rsidR="00D1552C" w:rsidRPr="009D3628">
        <w:rPr>
          <w:rFonts w:ascii="Calibri" w:hAnsi="Calibri" w:cs="Calibri"/>
          <w:i/>
          <w:lang w:val="en-US"/>
        </w:rPr>
        <w:t>i</w:t>
      </w:r>
      <w:r w:rsidR="00D1552C" w:rsidRPr="009D3628">
        <w:rPr>
          <w:rFonts w:ascii="Calibri" w:hAnsi="Calibri" w:cs="Calibri"/>
          <w:lang w:val="en-US"/>
        </w:rPr>
        <w:t>, which is a late announcer:</w:t>
      </w:r>
      <w:r w:rsidR="00D1552C" w:rsidRPr="009D3628">
        <w:rPr>
          <w:rFonts w:ascii="Calibri" w:hAnsi="Calibri" w:cs="Calibri"/>
          <w:lang w:val="en-US"/>
        </w:rPr>
        <w:br/>
      </w:r>
    </w:p>
    <w:p w:rsidR="00D1552C" w:rsidRPr="009D3628" w:rsidRDefault="00D1552C" w:rsidP="00D1552C">
      <w:pPr>
        <w:spacing w:line="360" w:lineRule="auto"/>
        <w:jc w:val="center"/>
        <w:rPr>
          <w:rFonts w:ascii="Calibri" w:hAnsi="Calibri" w:cs="Calibri"/>
          <w:i/>
          <w:lang w:val="en-US"/>
        </w:rPr>
      </w:pPr>
      <w:r w:rsidRPr="009D3628">
        <w:rPr>
          <w:rFonts w:ascii="Calibri" w:hAnsi="Calibri" w:cs="Calibri"/>
          <w:i/>
          <w:lang w:val="en-US"/>
        </w:rPr>
        <w:t>DERN</w:t>
      </w:r>
      <w:r w:rsidRPr="009D3628">
        <w:rPr>
          <w:rFonts w:ascii="Calibri" w:hAnsi="Calibri" w:cs="Calibri"/>
          <w:i/>
          <w:vertAlign w:val="subscript"/>
          <w:lang w:val="en-US"/>
        </w:rPr>
        <w:t>i,q</w:t>
      </w:r>
      <w:r w:rsidRPr="009D3628">
        <w:rPr>
          <w:rFonts w:ascii="Calibri" w:hAnsi="Calibri" w:cs="Calibri"/>
          <w:i/>
          <w:lang w:val="en-US"/>
        </w:rPr>
        <w:t xml:space="preserve"> = α</w:t>
      </w:r>
      <w:r w:rsidRPr="009D3628">
        <w:rPr>
          <w:rFonts w:ascii="Calibri" w:hAnsi="Calibri" w:cs="Calibri"/>
          <w:i/>
          <w:vertAlign w:val="subscript"/>
          <w:lang w:val="en-US"/>
        </w:rPr>
        <w:t xml:space="preserve">0 </w:t>
      </w:r>
      <w:r w:rsidRPr="009D3628">
        <w:rPr>
          <w:rFonts w:ascii="Calibri" w:hAnsi="Calibri" w:cs="Calibri"/>
          <w:i/>
          <w:lang w:val="en-US"/>
        </w:rPr>
        <w:t>+ α</w:t>
      </w:r>
      <w:r w:rsidRPr="009D3628">
        <w:rPr>
          <w:rFonts w:ascii="Calibri" w:hAnsi="Calibri" w:cs="Calibri"/>
          <w:i/>
          <w:vertAlign w:val="subscript"/>
          <w:lang w:val="en-US"/>
        </w:rPr>
        <w:t>1</w:t>
      </w:r>
      <w:r w:rsidRPr="009D3628">
        <w:rPr>
          <w:rFonts w:ascii="Calibri" w:hAnsi="Calibri" w:cs="Calibri"/>
          <w:i/>
          <w:lang w:val="en-US"/>
        </w:rPr>
        <w:t>MSAL</w:t>
      </w:r>
      <w:r w:rsidRPr="009D3628">
        <w:rPr>
          <w:rFonts w:ascii="Calibri" w:hAnsi="Calibri" w:cs="Calibri"/>
          <w:i/>
          <w:vertAlign w:val="subscript"/>
          <w:lang w:val="en-US"/>
        </w:rPr>
        <w:t xml:space="preserve">i,q </w:t>
      </w:r>
      <w:r w:rsidRPr="009D3628">
        <w:rPr>
          <w:rFonts w:ascii="Calibri" w:hAnsi="Calibri" w:cs="Calibri"/>
          <w:i/>
          <w:lang w:val="en-US"/>
        </w:rPr>
        <w:t>+ α</w:t>
      </w:r>
      <w:r w:rsidRPr="009D3628">
        <w:rPr>
          <w:rFonts w:ascii="Calibri" w:hAnsi="Calibri" w:cs="Calibri"/>
          <w:i/>
          <w:vertAlign w:val="subscript"/>
          <w:lang w:val="en-US"/>
        </w:rPr>
        <w:t>2</w:t>
      </w:r>
      <w:r w:rsidRPr="009D3628">
        <w:rPr>
          <w:rFonts w:ascii="Calibri" w:hAnsi="Calibri" w:cs="Calibri"/>
          <w:i/>
          <w:lang w:val="en-US"/>
        </w:rPr>
        <w:t>MERN</w:t>
      </w:r>
      <w:r w:rsidRPr="009D3628">
        <w:rPr>
          <w:rFonts w:ascii="Calibri" w:hAnsi="Calibri" w:cs="Calibri"/>
          <w:i/>
          <w:vertAlign w:val="subscript"/>
          <w:lang w:val="en-US"/>
        </w:rPr>
        <w:t>i,q</w:t>
      </w:r>
      <w:r w:rsidRPr="009D3628">
        <w:rPr>
          <w:rFonts w:ascii="Calibri" w:hAnsi="Calibri" w:cs="Calibri"/>
          <w:i/>
          <w:lang w:val="en-US"/>
        </w:rPr>
        <w:t xml:space="preserve"> + ε</w:t>
      </w:r>
      <w:r w:rsidRPr="009D3628">
        <w:rPr>
          <w:rFonts w:ascii="Calibri" w:hAnsi="Calibri" w:cs="Calibri"/>
          <w:i/>
          <w:vertAlign w:val="subscript"/>
          <w:lang w:val="en-US"/>
        </w:rPr>
        <w:t>i,q</w:t>
      </w:r>
    </w:p>
    <w:p w:rsidR="00D1552C" w:rsidRPr="009D3628" w:rsidRDefault="00D1552C" w:rsidP="00D1552C">
      <w:pPr>
        <w:spacing w:line="360" w:lineRule="auto"/>
        <w:rPr>
          <w:rFonts w:ascii="Calibri" w:hAnsi="Calibri" w:cs="Calibri"/>
          <w:lang w:val="en-US"/>
        </w:rPr>
      </w:pPr>
    </w:p>
    <w:p w:rsidR="00D1552C" w:rsidRPr="009D3628" w:rsidRDefault="00D1552C" w:rsidP="00D1552C">
      <w:pPr>
        <w:spacing w:line="360" w:lineRule="auto"/>
        <w:rPr>
          <w:rFonts w:ascii="Calibri" w:hAnsi="Calibri" w:cs="Calibri"/>
          <w:lang w:val="en-US"/>
        </w:rPr>
      </w:pPr>
      <w:r w:rsidRPr="009D3628">
        <w:rPr>
          <w:rFonts w:ascii="Calibri" w:hAnsi="Calibri" w:cs="Calibri"/>
          <w:lang w:val="en-US"/>
        </w:rPr>
        <w:t>In this formula:</w:t>
      </w:r>
    </w:p>
    <w:p w:rsidR="00D1552C" w:rsidRPr="009D3628" w:rsidRDefault="00D1552C" w:rsidP="00D1552C">
      <w:pPr>
        <w:pStyle w:val="Lijstalinea"/>
        <w:numPr>
          <w:ilvl w:val="0"/>
          <w:numId w:val="25"/>
        </w:numPr>
        <w:spacing w:after="200" w:line="360" w:lineRule="auto"/>
        <w:rPr>
          <w:rFonts w:ascii="Calibri" w:hAnsi="Calibri" w:cs="Calibri"/>
          <w:sz w:val="22"/>
          <w:szCs w:val="22"/>
          <w:lang w:val="en-US"/>
        </w:rPr>
      </w:pPr>
      <w:r w:rsidRPr="009D3628">
        <w:rPr>
          <w:rFonts w:ascii="Calibri" w:hAnsi="Calibri" w:cs="Calibri"/>
          <w:sz w:val="22"/>
          <w:szCs w:val="22"/>
          <w:lang w:val="en-US"/>
        </w:rPr>
        <w:t>DERN</w:t>
      </w:r>
      <w:r w:rsidRPr="009D3628">
        <w:rPr>
          <w:rFonts w:ascii="Calibri" w:hAnsi="Calibri" w:cs="Calibri"/>
          <w:sz w:val="22"/>
          <w:szCs w:val="22"/>
          <w:vertAlign w:val="subscript"/>
          <w:lang w:val="en-US"/>
        </w:rPr>
        <w:t>i,q</w:t>
      </w:r>
      <w:r w:rsidRPr="009D3628">
        <w:rPr>
          <w:rFonts w:ascii="Calibri" w:hAnsi="Calibri" w:cs="Calibri"/>
          <w:sz w:val="22"/>
          <w:szCs w:val="22"/>
          <w:lang w:val="en-US"/>
        </w:rPr>
        <w:t xml:space="preserve"> is the change in earnings before extraordinary items for firm </w:t>
      </w:r>
      <w:r w:rsidRPr="009D3628">
        <w:rPr>
          <w:rFonts w:ascii="Calibri" w:hAnsi="Calibri" w:cs="Calibri"/>
          <w:i/>
          <w:sz w:val="22"/>
          <w:szCs w:val="22"/>
          <w:lang w:val="en-US"/>
        </w:rPr>
        <w:t>i</w:t>
      </w:r>
      <w:r w:rsidRPr="009D3628">
        <w:rPr>
          <w:rFonts w:ascii="Calibri" w:hAnsi="Calibri" w:cs="Calibri"/>
          <w:sz w:val="22"/>
          <w:szCs w:val="22"/>
          <w:lang w:val="en-US"/>
        </w:rPr>
        <w:t xml:space="preserve"> over the period from </w:t>
      </w:r>
      <w:r w:rsidR="002D304C" w:rsidRPr="009D3628">
        <w:rPr>
          <w:rFonts w:ascii="Calibri" w:hAnsi="Calibri" w:cs="Calibri"/>
          <w:sz w:val="22"/>
          <w:szCs w:val="22"/>
          <w:lang w:val="en-US"/>
        </w:rPr>
        <w:t xml:space="preserve">a year </w:t>
      </w:r>
      <w:r w:rsidRPr="009D3628">
        <w:rPr>
          <w:rFonts w:ascii="Calibri" w:hAnsi="Calibri" w:cs="Calibri"/>
          <w:sz w:val="22"/>
          <w:szCs w:val="22"/>
          <w:lang w:val="en-US"/>
        </w:rPr>
        <w:t>ago to the current quarter, q. This change in earnings is deflated by the market value of firm i’s common stock at the end of quarter q-1.</w:t>
      </w:r>
    </w:p>
    <w:p w:rsidR="00D1552C" w:rsidRPr="009D3628" w:rsidRDefault="00D1552C" w:rsidP="00D1552C">
      <w:pPr>
        <w:pStyle w:val="Lijstalinea"/>
        <w:numPr>
          <w:ilvl w:val="0"/>
          <w:numId w:val="25"/>
        </w:numPr>
        <w:spacing w:after="200" w:line="360" w:lineRule="auto"/>
        <w:rPr>
          <w:rFonts w:ascii="Calibri" w:hAnsi="Calibri" w:cs="Calibri"/>
          <w:sz w:val="22"/>
          <w:szCs w:val="22"/>
          <w:lang w:val="en-US"/>
        </w:rPr>
      </w:pPr>
      <w:r w:rsidRPr="009D3628">
        <w:rPr>
          <w:rFonts w:ascii="Calibri" w:hAnsi="Calibri" w:cs="Calibri"/>
          <w:sz w:val="22"/>
          <w:szCs w:val="22"/>
          <w:lang w:val="en-US"/>
        </w:rPr>
        <w:t>MSAL</w:t>
      </w:r>
      <w:r w:rsidRPr="009D3628">
        <w:rPr>
          <w:rFonts w:ascii="Calibri" w:hAnsi="Calibri" w:cs="Calibri"/>
          <w:sz w:val="22"/>
          <w:szCs w:val="22"/>
          <w:vertAlign w:val="subscript"/>
          <w:lang w:val="en-US"/>
        </w:rPr>
        <w:t xml:space="preserve">i,q </w:t>
      </w:r>
      <w:r w:rsidRPr="009D3628">
        <w:rPr>
          <w:rFonts w:ascii="Calibri" w:hAnsi="Calibri" w:cs="Calibri"/>
          <w:sz w:val="22"/>
          <w:szCs w:val="22"/>
          <w:lang w:val="en-US"/>
        </w:rPr>
        <w:t xml:space="preserve">is the change in total sales relative to the same quarter one year ago for all firms in firm </w:t>
      </w:r>
      <w:r w:rsidRPr="009D3628">
        <w:rPr>
          <w:rFonts w:ascii="Calibri" w:hAnsi="Calibri" w:cs="Calibri"/>
          <w:i/>
          <w:sz w:val="22"/>
          <w:szCs w:val="22"/>
          <w:lang w:val="en-US"/>
        </w:rPr>
        <w:t>i</w:t>
      </w:r>
      <w:r w:rsidRPr="009D3628">
        <w:rPr>
          <w:rFonts w:ascii="Calibri" w:hAnsi="Calibri" w:cs="Calibri"/>
          <w:sz w:val="22"/>
          <w:szCs w:val="22"/>
          <w:lang w:val="en-US"/>
        </w:rPr>
        <w:t>’s two digit SIC industry and which announced their results before firm</w:t>
      </w:r>
      <w:r w:rsidRPr="009D3628">
        <w:rPr>
          <w:rFonts w:ascii="Calibri" w:hAnsi="Calibri" w:cs="Calibri"/>
          <w:i/>
          <w:sz w:val="22"/>
          <w:szCs w:val="22"/>
          <w:lang w:val="en-US"/>
        </w:rPr>
        <w:t xml:space="preserve"> i </w:t>
      </w:r>
      <w:r w:rsidRPr="009D3628">
        <w:rPr>
          <w:rFonts w:ascii="Calibri" w:hAnsi="Calibri" w:cs="Calibri"/>
          <w:sz w:val="22"/>
          <w:szCs w:val="22"/>
          <w:lang w:val="en-US"/>
        </w:rPr>
        <w:t xml:space="preserve">did. This number </w:t>
      </w:r>
      <w:r w:rsidR="002D304C" w:rsidRPr="009D3628">
        <w:rPr>
          <w:rFonts w:ascii="Calibri" w:hAnsi="Calibri" w:cs="Calibri"/>
          <w:sz w:val="22"/>
          <w:szCs w:val="22"/>
          <w:lang w:val="en-US"/>
        </w:rPr>
        <w:t>is</w:t>
      </w:r>
      <w:r w:rsidRPr="009D3628">
        <w:rPr>
          <w:rFonts w:ascii="Calibri" w:hAnsi="Calibri" w:cs="Calibri"/>
          <w:sz w:val="22"/>
          <w:szCs w:val="22"/>
          <w:lang w:val="en-US"/>
        </w:rPr>
        <w:t xml:space="preserve"> deflated by the market value of the common stock of these early announcers at the end of quarter q-1.</w:t>
      </w:r>
    </w:p>
    <w:p w:rsidR="00D1552C" w:rsidRPr="009D3628" w:rsidRDefault="00D1552C" w:rsidP="00D1552C">
      <w:pPr>
        <w:pStyle w:val="Lijstalinea"/>
        <w:numPr>
          <w:ilvl w:val="0"/>
          <w:numId w:val="24"/>
        </w:numPr>
        <w:spacing w:after="200" w:line="360" w:lineRule="auto"/>
        <w:rPr>
          <w:rFonts w:ascii="Calibri" w:hAnsi="Calibri" w:cs="Calibri"/>
          <w:sz w:val="22"/>
          <w:szCs w:val="22"/>
          <w:lang w:val="en-US"/>
        </w:rPr>
      </w:pPr>
      <w:r w:rsidRPr="009D3628">
        <w:rPr>
          <w:rFonts w:ascii="Calibri" w:hAnsi="Calibri" w:cs="Calibri"/>
          <w:sz w:val="22"/>
          <w:szCs w:val="22"/>
          <w:lang w:val="en-US"/>
        </w:rPr>
        <w:t>MERN</w:t>
      </w:r>
      <w:r w:rsidRPr="009D3628">
        <w:rPr>
          <w:rFonts w:ascii="Calibri" w:hAnsi="Calibri" w:cs="Calibri"/>
          <w:sz w:val="22"/>
          <w:szCs w:val="22"/>
          <w:vertAlign w:val="subscript"/>
          <w:lang w:val="en-US"/>
        </w:rPr>
        <w:t>i,q</w:t>
      </w:r>
      <w:r w:rsidRPr="009D3628">
        <w:rPr>
          <w:rFonts w:ascii="Calibri" w:hAnsi="Calibri" w:cs="Calibri"/>
          <w:sz w:val="22"/>
          <w:szCs w:val="22"/>
          <w:lang w:val="en-US"/>
        </w:rPr>
        <w:t xml:space="preserve"> is the change in </w:t>
      </w:r>
      <w:r w:rsidR="002D304C" w:rsidRPr="009D3628">
        <w:rPr>
          <w:rFonts w:ascii="Calibri" w:hAnsi="Calibri" w:cs="Calibri"/>
          <w:sz w:val="22"/>
          <w:szCs w:val="22"/>
          <w:lang w:val="en-US"/>
        </w:rPr>
        <w:t>earnings</w:t>
      </w:r>
      <w:r w:rsidRPr="009D3628">
        <w:rPr>
          <w:rFonts w:ascii="Calibri" w:hAnsi="Calibri" w:cs="Calibri"/>
          <w:sz w:val="22"/>
          <w:szCs w:val="22"/>
          <w:lang w:val="en-US"/>
        </w:rPr>
        <w:t xml:space="preserve"> before extraordinary items relative to the same quarter one year ago for all firms in firm </w:t>
      </w:r>
      <w:r w:rsidRPr="009D3628">
        <w:rPr>
          <w:rFonts w:ascii="Calibri" w:hAnsi="Calibri" w:cs="Calibri"/>
          <w:i/>
          <w:sz w:val="22"/>
          <w:szCs w:val="22"/>
          <w:lang w:val="en-US"/>
        </w:rPr>
        <w:t>i</w:t>
      </w:r>
      <w:r w:rsidRPr="009D3628">
        <w:rPr>
          <w:rFonts w:ascii="Calibri" w:hAnsi="Calibri" w:cs="Calibri"/>
          <w:sz w:val="22"/>
          <w:szCs w:val="22"/>
          <w:lang w:val="en-US"/>
        </w:rPr>
        <w:t xml:space="preserve">’s two digit SIC industry and which firms announced their results before firm </w:t>
      </w:r>
      <w:r w:rsidRPr="009D3628">
        <w:rPr>
          <w:rFonts w:ascii="Calibri" w:hAnsi="Calibri" w:cs="Calibri"/>
          <w:i/>
          <w:sz w:val="22"/>
          <w:szCs w:val="22"/>
          <w:lang w:val="en-US"/>
        </w:rPr>
        <w:t>i.</w:t>
      </w:r>
      <w:r w:rsidRPr="009D3628">
        <w:rPr>
          <w:rFonts w:ascii="Calibri" w:hAnsi="Calibri" w:cs="Calibri"/>
          <w:sz w:val="22"/>
          <w:szCs w:val="22"/>
          <w:lang w:val="en-US"/>
        </w:rPr>
        <w:t xml:space="preserve"> This number is deflated by the total market value of the common stock of the early announcers at the end of quarter q-1.</w:t>
      </w:r>
    </w:p>
    <w:p w:rsidR="00D1552C" w:rsidRPr="009D3628" w:rsidRDefault="00D1552C" w:rsidP="00D1552C">
      <w:pPr>
        <w:pStyle w:val="Lijstalinea"/>
        <w:numPr>
          <w:ilvl w:val="0"/>
          <w:numId w:val="24"/>
        </w:numPr>
        <w:spacing w:after="200" w:line="360" w:lineRule="auto"/>
        <w:rPr>
          <w:rFonts w:ascii="Calibri" w:hAnsi="Calibri" w:cs="Calibri"/>
          <w:sz w:val="22"/>
          <w:szCs w:val="22"/>
          <w:lang w:val="en-US"/>
        </w:rPr>
      </w:pPr>
      <w:r w:rsidRPr="009D3628">
        <w:rPr>
          <w:rFonts w:ascii="Calibri" w:hAnsi="Calibri" w:cs="Calibri"/>
          <w:sz w:val="22"/>
          <w:szCs w:val="22"/>
          <w:lang w:val="en-US"/>
        </w:rPr>
        <w:t>ε</w:t>
      </w:r>
      <w:r w:rsidRPr="009D3628">
        <w:rPr>
          <w:rFonts w:ascii="Calibri" w:hAnsi="Calibri" w:cs="Calibri"/>
          <w:sz w:val="22"/>
          <w:szCs w:val="22"/>
          <w:vertAlign w:val="subscript"/>
          <w:lang w:val="en-US"/>
        </w:rPr>
        <w:t xml:space="preserve">i,q </w:t>
      </w:r>
      <w:r w:rsidRPr="009D3628">
        <w:rPr>
          <w:rFonts w:ascii="Calibri" w:hAnsi="Calibri" w:cs="Calibri"/>
          <w:sz w:val="22"/>
          <w:szCs w:val="22"/>
          <w:lang w:val="en-US"/>
        </w:rPr>
        <w:t>is the error term.</w:t>
      </w:r>
    </w:p>
    <w:p w:rsidR="00D1552C" w:rsidRPr="009D3628" w:rsidRDefault="00D1552C" w:rsidP="00D1552C">
      <w:pPr>
        <w:spacing w:line="360" w:lineRule="auto"/>
        <w:rPr>
          <w:rFonts w:ascii="Calibri" w:hAnsi="Calibri" w:cs="Calibri"/>
          <w:lang w:val="en-US"/>
        </w:rPr>
      </w:pPr>
      <w:r w:rsidRPr="009D3628">
        <w:rPr>
          <w:rFonts w:ascii="Calibri" w:hAnsi="Calibri" w:cs="Calibri"/>
          <w:lang w:val="en-US"/>
        </w:rPr>
        <w:t>The existence of positive information transfer could be confirmed when α</w:t>
      </w:r>
      <w:r w:rsidRPr="009D3628">
        <w:rPr>
          <w:rFonts w:ascii="Calibri" w:hAnsi="Calibri" w:cs="Calibri"/>
          <w:vertAlign w:val="subscript"/>
          <w:lang w:val="en-US"/>
        </w:rPr>
        <w:t>1</w:t>
      </w:r>
      <w:r w:rsidRPr="009D3628">
        <w:rPr>
          <w:rFonts w:ascii="Calibri" w:hAnsi="Calibri" w:cs="Calibri"/>
          <w:lang w:val="en-US"/>
        </w:rPr>
        <w:t xml:space="preserve"> and α</w:t>
      </w:r>
      <w:r w:rsidRPr="009D3628">
        <w:rPr>
          <w:rFonts w:ascii="Calibri" w:hAnsi="Calibri" w:cs="Calibri"/>
          <w:vertAlign w:val="subscript"/>
          <w:lang w:val="en-US"/>
        </w:rPr>
        <w:t>2</w:t>
      </w:r>
      <w:r w:rsidRPr="009D3628">
        <w:rPr>
          <w:rFonts w:ascii="Calibri" w:hAnsi="Calibri" w:cs="Calibri"/>
          <w:lang w:val="en-US"/>
        </w:rPr>
        <w:t xml:space="preserve"> are positive. This indicates that information about (respectively) sales and earnings could explain a change in earnings of firm </w:t>
      </w:r>
      <w:r w:rsidRPr="009D3628">
        <w:rPr>
          <w:rFonts w:ascii="Calibri" w:hAnsi="Calibri" w:cs="Calibri"/>
          <w:i/>
          <w:lang w:val="en-US"/>
        </w:rPr>
        <w:t>i.</w:t>
      </w:r>
      <w:r w:rsidRPr="009D3628">
        <w:rPr>
          <w:rFonts w:ascii="Calibri" w:hAnsi="Calibri" w:cs="Calibri"/>
          <w:lang w:val="en-US"/>
        </w:rPr>
        <w:t xml:space="preserve"> Freeman and Tse (1992)  conclude that information transfers of general trends are small relative to firm specific-information and may be limited to industries with strong earnings comovement.</w:t>
      </w:r>
    </w:p>
    <w:p w:rsidR="00275721" w:rsidRPr="009D3628" w:rsidRDefault="00275721" w:rsidP="00D1552C">
      <w:pPr>
        <w:pStyle w:val="000"/>
        <w:spacing w:line="360" w:lineRule="auto"/>
        <w:rPr>
          <w:rFonts w:ascii="Calibri" w:hAnsi="Calibri" w:cs="Calibri"/>
          <w:lang w:val="en-US"/>
        </w:rPr>
      </w:pPr>
    </w:p>
    <w:p w:rsidR="0017494B" w:rsidRPr="009D3628" w:rsidRDefault="00275721" w:rsidP="00275721">
      <w:pPr>
        <w:pStyle w:val="000"/>
        <w:spacing w:line="360" w:lineRule="auto"/>
        <w:rPr>
          <w:rFonts w:ascii="Calibri" w:hAnsi="Calibri" w:cs="Calibri"/>
          <w:lang w:val="en-US"/>
        </w:rPr>
      </w:pPr>
      <w:r w:rsidRPr="009D3628">
        <w:rPr>
          <w:rFonts w:ascii="Calibri" w:hAnsi="Calibri" w:cs="Calibri"/>
          <w:lang w:val="en-US"/>
        </w:rPr>
        <w:lastRenderedPageBreak/>
        <w:t>Together with Foster (1981) and Freeman and Tse (1992), ther</w:t>
      </w:r>
      <w:r w:rsidR="00F82C78" w:rsidRPr="009D3628">
        <w:rPr>
          <w:rFonts w:ascii="Calibri" w:hAnsi="Calibri" w:cs="Calibri"/>
          <w:lang w:val="en-US"/>
        </w:rPr>
        <w:t>e are a lot of other studies that examine</w:t>
      </w:r>
      <w:r w:rsidRPr="009D3628">
        <w:rPr>
          <w:rFonts w:ascii="Calibri" w:hAnsi="Calibri" w:cs="Calibri"/>
          <w:lang w:val="en-US"/>
        </w:rPr>
        <w:t xml:space="preserve"> intra-industry information transfers from earnings announcements</w:t>
      </w:r>
      <w:r w:rsidR="00281043" w:rsidRPr="009D3628">
        <w:rPr>
          <w:rFonts w:ascii="Calibri" w:hAnsi="Calibri" w:cs="Calibri"/>
          <w:lang w:val="en-US"/>
        </w:rPr>
        <w:t xml:space="preserve"> as annual or quarterly reports. Ramnath</w:t>
      </w:r>
      <w:r w:rsidRPr="009D3628">
        <w:rPr>
          <w:rFonts w:ascii="Calibri" w:hAnsi="Calibri" w:cs="Calibri"/>
          <w:lang w:val="en-US"/>
        </w:rPr>
        <w:t xml:space="preserve"> </w:t>
      </w:r>
      <w:r w:rsidR="00281043" w:rsidRPr="009D3628">
        <w:rPr>
          <w:rFonts w:ascii="Calibri" w:hAnsi="Calibri" w:cs="Calibri"/>
          <w:lang w:val="en-US"/>
        </w:rPr>
        <w:t>(</w:t>
      </w:r>
      <w:r w:rsidRPr="009D3628">
        <w:rPr>
          <w:rFonts w:ascii="Calibri" w:hAnsi="Calibri" w:cs="Calibri"/>
          <w:lang w:val="en-US"/>
        </w:rPr>
        <w:t>2002</w:t>
      </w:r>
      <w:r w:rsidR="00281043" w:rsidRPr="009D3628">
        <w:rPr>
          <w:rFonts w:ascii="Calibri" w:hAnsi="Calibri" w:cs="Calibri"/>
          <w:lang w:val="en-US"/>
        </w:rPr>
        <w:t>) examines the extent to which investors and analysts use the information provided by firms through earnings announcements. He evaluates whether investors and analysts fully incorporate the information provided by early announcing firms in the industry when revising the earnings expectations they made for firms which still have to release their earnings information for the period.</w:t>
      </w:r>
      <w:r w:rsidRPr="009D3628">
        <w:rPr>
          <w:rFonts w:ascii="Calibri" w:hAnsi="Calibri" w:cs="Calibri"/>
          <w:lang w:val="en-US"/>
        </w:rPr>
        <w:t xml:space="preserve"> </w:t>
      </w:r>
      <w:r w:rsidR="001D57F8" w:rsidRPr="009D3628">
        <w:rPr>
          <w:rFonts w:ascii="Calibri" w:hAnsi="Calibri" w:cs="Calibri"/>
          <w:lang w:val="en-US"/>
        </w:rPr>
        <w:t>Ramnath (2002) first computed the Pre-first-announcement forecast for all firms in a certain industry two days prior to the announcement date of the first earnings announcement. Ramnath</w:t>
      </w:r>
      <w:r w:rsidR="00F5084D" w:rsidRPr="009D3628">
        <w:rPr>
          <w:rFonts w:ascii="Calibri" w:hAnsi="Calibri" w:cs="Calibri"/>
          <w:lang w:val="en-US"/>
        </w:rPr>
        <w:t xml:space="preserve"> (2002)</w:t>
      </w:r>
      <w:r w:rsidR="001D57F8" w:rsidRPr="009D3628">
        <w:rPr>
          <w:rFonts w:ascii="Calibri" w:hAnsi="Calibri" w:cs="Calibri"/>
          <w:lang w:val="en-US"/>
        </w:rPr>
        <w:t xml:space="preserve"> assumes that analysts base their earnings forecast for other firms in the same industry on all the earnings announcements prior to the firm’s own earnings announ</w:t>
      </w:r>
      <w:r w:rsidR="00AE378E" w:rsidRPr="009D3628">
        <w:rPr>
          <w:rFonts w:ascii="Calibri" w:hAnsi="Calibri" w:cs="Calibri"/>
          <w:lang w:val="en-US"/>
        </w:rPr>
        <w:t xml:space="preserve">cement. Let’s say that firm </w:t>
      </w:r>
      <w:r w:rsidR="00AE378E" w:rsidRPr="009D3628">
        <w:rPr>
          <w:rFonts w:ascii="Calibri" w:hAnsi="Calibri" w:cs="Calibri"/>
          <w:i/>
          <w:lang w:val="en-US"/>
        </w:rPr>
        <w:t>j</w:t>
      </w:r>
      <w:r w:rsidR="001D57F8" w:rsidRPr="009D3628">
        <w:rPr>
          <w:rFonts w:ascii="Calibri" w:hAnsi="Calibri" w:cs="Calibri"/>
          <w:i/>
          <w:lang w:val="en-US"/>
        </w:rPr>
        <w:t xml:space="preserve"> </w:t>
      </w:r>
      <w:r w:rsidR="00AE378E" w:rsidRPr="009D3628">
        <w:rPr>
          <w:rFonts w:ascii="Calibri" w:hAnsi="Calibri" w:cs="Calibri"/>
          <w:lang w:val="en-US"/>
        </w:rPr>
        <w:t>is the first</w:t>
      </w:r>
      <w:r w:rsidR="001D57F8" w:rsidRPr="009D3628">
        <w:rPr>
          <w:rFonts w:ascii="Calibri" w:hAnsi="Calibri" w:cs="Calibri"/>
          <w:lang w:val="en-US"/>
        </w:rPr>
        <w:t xml:space="preserve"> announcer in the industry group and firm </w:t>
      </w:r>
      <w:r w:rsidR="001D57F8" w:rsidRPr="009D3628">
        <w:rPr>
          <w:rFonts w:ascii="Calibri" w:hAnsi="Calibri" w:cs="Calibri"/>
          <w:i/>
          <w:lang w:val="en-US"/>
        </w:rPr>
        <w:t>m</w:t>
      </w:r>
      <w:r w:rsidR="00AE378E" w:rsidRPr="009D3628">
        <w:rPr>
          <w:rFonts w:ascii="Calibri" w:hAnsi="Calibri" w:cs="Calibri"/>
          <w:lang w:val="en-US"/>
        </w:rPr>
        <w:t xml:space="preserve"> is</w:t>
      </w:r>
      <w:r w:rsidR="001D57F8" w:rsidRPr="009D3628">
        <w:rPr>
          <w:rFonts w:ascii="Calibri" w:hAnsi="Calibri" w:cs="Calibri"/>
          <w:lang w:val="en-US"/>
        </w:rPr>
        <w:t xml:space="preserve"> the latest </w:t>
      </w:r>
      <w:r w:rsidR="00AE378E" w:rsidRPr="009D3628">
        <w:rPr>
          <w:rFonts w:ascii="Calibri" w:hAnsi="Calibri" w:cs="Calibri"/>
          <w:lang w:val="en-US"/>
        </w:rPr>
        <w:t xml:space="preserve">announcer in the industry group, and firm </w:t>
      </w:r>
      <w:r w:rsidR="00AE378E" w:rsidRPr="009D3628">
        <w:rPr>
          <w:rFonts w:ascii="Calibri" w:hAnsi="Calibri" w:cs="Calibri"/>
          <w:i/>
          <w:lang w:val="en-US"/>
        </w:rPr>
        <w:t xml:space="preserve">k </w:t>
      </w:r>
      <w:r w:rsidR="00AE378E" w:rsidRPr="009D3628">
        <w:rPr>
          <w:rFonts w:ascii="Calibri" w:hAnsi="Calibri" w:cs="Calibri"/>
          <w:lang w:val="en-US"/>
        </w:rPr>
        <w:t xml:space="preserve">and firm </w:t>
      </w:r>
      <w:r w:rsidR="00AE378E" w:rsidRPr="009D3628">
        <w:rPr>
          <w:rFonts w:ascii="Calibri" w:hAnsi="Calibri" w:cs="Calibri"/>
          <w:i/>
          <w:lang w:val="en-US"/>
        </w:rPr>
        <w:t>l</w:t>
      </w:r>
      <w:r w:rsidR="00AE378E" w:rsidRPr="009D3628">
        <w:rPr>
          <w:rFonts w:ascii="Calibri" w:hAnsi="Calibri" w:cs="Calibri"/>
          <w:lang w:val="en-US"/>
        </w:rPr>
        <w:t xml:space="preserve"> release their earnings information in between. If firm j (first announcer) announces its earnings, analyst’s base their forecast for firms </w:t>
      </w:r>
      <w:r w:rsidR="00AE378E" w:rsidRPr="009D3628">
        <w:rPr>
          <w:rFonts w:ascii="Calibri" w:hAnsi="Calibri" w:cs="Calibri"/>
          <w:i/>
          <w:lang w:val="en-US"/>
        </w:rPr>
        <w:t xml:space="preserve">k,l </w:t>
      </w:r>
      <w:r w:rsidR="00AE378E" w:rsidRPr="009D3628">
        <w:rPr>
          <w:rFonts w:ascii="Calibri" w:hAnsi="Calibri" w:cs="Calibri"/>
          <w:lang w:val="en-US"/>
        </w:rPr>
        <w:t>and</w:t>
      </w:r>
      <w:r w:rsidR="00AE378E" w:rsidRPr="009D3628">
        <w:rPr>
          <w:rFonts w:ascii="Calibri" w:hAnsi="Calibri" w:cs="Calibri"/>
          <w:i/>
          <w:lang w:val="en-US"/>
        </w:rPr>
        <w:t xml:space="preserve"> m </w:t>
      </w:r>
      <w:r w:rsidR="00AE378E" w:rsidRPr="009D3628">
        <w:rPr>
          <w:rFonts w:ascii="Calibri" w:hAnsi="Calibri" w:cs="Calibri"/>
          <w:lang w:val="en-US"/>
        </w:rPr>
        <w:t>on this announcement. If firm k then announces its earnings for the period</w:t>
      </w:r>
      <w:r w:rsidR="0017494B" w:rsidRPr="009D3628">
        <w:rPr>
          <w:rFonts w:ascii="Calibri" w:hAnsi="Calibri" w:cs="Calibri"/>
          <w:lang w:val="en-US"/>
        </w:rPr>
        <w:t xml:space="preserve">, analysts will revise their forecast for firms </w:t>
      </w:r>
      <w:r w:rsidR="0017494B" w:rsidRPr="009D3628">
        <w:rPr>
          <w:rFonts w:ascii="Calibri" w:hAnsi="Calibri" w:cs="Calibri"/>
          <w:i/>
          <w:lang w:val="en-US"/>
        </w:rPr>
        <w:t xml:space="preserve">l </w:t>
      </w:r>
      <w:r w:rsidR="0017494B" w:rsidRPr="009D3628">
        <w:rPr>
          <w:rFonts w:ascii="Calibri" w:hAnsi="Calibri" w:cs="Calibri"/>
          <w:lang w:val="en-US"/>
        </w:rPr>
        <w:t>and</w:t>
      </w:r>
      <w:r w:rsidR="0017494B" w:rsidRPr="009D3628">
        <w:rPr>
          <w:rFonts w:ascii="Calibri" w:hAnsi="Calibri" w:cs="Calibri"/>
          <w:i/>
          <w:lang w:val="en-US"/>
        </w:rPr>
        <w:t xml:space="preserve"> m</w:t>
      </w:r>
      <w:r w:rsidR="0017494B" w:rsidRPr="009D3628">
        <w:rPr>
          <w:rFonts w:ascii="Calibri" w:hAnsi="Calibri" w:cs="Calibri"/>
          <w:lang w:val="en-US"/>
        </w:rPr>
        <w:t>, because the forecast is now not only based on the earnings announcement of firm</w:t>
      </w:r>
      <w:r w:rsidR="0017494B" w:rsidRPr="009D3628">
        <w:rPr>
          <w:rFonts w:ascii="Calibri" w:hAnsi="Calibri" w:cs="Calibri"/>
          <w:i/>
          <w:lang w:val="en-US"/>
        </w:rPr>
        <w:t xml:space="preserve"> j</w:t>
      </w:r>
      <w:r w:rsidR="0017494B" w:rsidRPr="009D3628">
        <w:rPr>
          <w:rFonts w:ascii="Calibri" w:hAnsi="Calibri" w:cs="Calibri"/>
          <w:lang w:val="en-US"/>
        </w:rPr>
        <w:t xml:space="preserve"> but also on the announcement of firm </w:t>
      </w:r>
      <w:r w:rsidR="0017494B" w:rsidRPr="009D3628">
        <w:rPr>
          <w:rFonts w:ascii="Calibri" w:hAnsi="Calibri" w:cs="Calibri"/>
          <w:i/>
          <w:lang w:val="en-US"/>
        </w:rPr>
        <w:t>k</w:t>
      </w:r>
      <w:r w:rsidR="0017494B" w:rsidRPr="009D3628">
        <w:rPr>
          <w:rFonts w:ascii="Calibri" w:hAnsi="Calibri" w:cs="Calibri"/>
          <w:lang w:val="en-US"/>
        </w:rPr>
        <w:t xml:space="preserve">. If then firm </w:t>
      </w:r>
      <w:r w:rsidR="0017494B" w:rsidRPr="009D3628">
        <w:rPr>
          <w:rFonts w:ascii="Calibri" w:hAnsi="Calibri" w:cs="Calibri"/>
          <w:i/>
          <w:lang w:val="en-US"/>
        </w:rPr>
        <w:t>l</w:t>
      </w:r>
      <w:r w:rsidR="0017494B" w:rsidRPr="009D3628">
        <w:rPr>
          <w:rFonts w:ascii="Calibri" w:hAnsi="Calibri" w:cs="Calibri"/>
          <w:lang w:val="en-US"/>
        </w:rPr>
        <w:t xml:space="preserve"> releases its earnings information, analysts again revise their forecast for firm </w:t>
      </w:r>
      <w:r w:rsidR="0017494B" w:rsidRPr="009D3628">
        <w:rPr>
          <w:rFonts w:ascii="Calibri" w:hAnsi="Calibri" w:cs="Calibri"/>
          <w:i/>
          <w:lang w:val="en-US"/>
        </w:rPr>
        <w:t>m</w:t>
      </w:r>
      <w:r w:rsidR="0017494B" w:rsidRPr="009D3628">
        <w:rPr>
          <w:rFonts w:ascii="Calibri" w:hAnsi="Calibri" w:cs="Calibri"/>
          <w:lang w:val="en-US"/>
        </w:rPr>
        <w:t xml:space="preserve">, which is now based on the earnings announcements of </w:t>
      </w:r>
      <w:r w:rsidR="0017494B" w:rsidRPr="009D3628">
        <w:rPr>
          <w:rFonts w:ascii="Calibri" w:hAnsi="Calibri" w:cs="Calibri"/>
          <w:i/>
          <w:lang w:val="en-US"/>
        </w:rPr>
        <w:t xml:space="preserve">firms j, k </w:t>
      </w:r>
      <w:r w:rsidR="0017494B" w:rsidRPr="009D3628">
        <w:rPr>
          <w:rFonts w:ascii="Calibri" w:hAnsi="Calibri" w:cs="Calibri"/>
          <w:lang w:val="en-US"/>
        </w:rPr>
        <w:t>and</w:t>
      </w:r>
      <w:r w:rsidR="0017494B" w:rsidRPr="009D3628">
        <w:rPr>
          <w:rFonts w:ascii="Calibri" w:hAnsi="Calibri" w:cs="Calibri"/>
          <w:i/>
          <w:lang w:val="en-US"/>
        </w:rPr>
        <w:t xml:space="preserve"> l</w:t>
      </w:r>
      <w:r w:rsidR="0017494B" w:rsidRPr="009D3628">
        <w:rPr>
          <w:rFonts w:ascii="Calibri" w:hAnsi="Calibri" w:cs="Calibri"/>
          <w:lang w:val="en-US"/>
        </w:rPr>
        <w:t>. Now the predicted pre-first-announcement forecast error for late announcer m for period t, is estimated according to the following equation:</w:t>
      </w:r>
    </w:p>
    <w:p w:rsidR="0017494B" w:rsidRPr="009D3628" w:rsidRDefault="0017494B" w:rsidP="00275721">
      <w:pPr>
        <w:pStyle w:val="000"/>
        <w:spacing w:line="360" w:lineRule="auto"/>
        <w:rPr>
          <w:rFonts w:ascii="Calibri" w:hAnsi="Calibri" w:cs="Calibri"/>
          <w:lang w:val="en-US"/>
        </w:rPr>
      </w:pPr>
    </w:p>
    <w:p w:rsidR="0017494B" w:rsidRPr="009D3628" w:rsidRDefault="00E43D28" w:rsidP="00275721">
      <w:pPr>
        <w:pStyle w:val="000"/>
        <w:spacing w:line="360" w:lineRule="auto"/>
        <w:rPr>
          <w:rFonts w:ascii="Calibri" w:hAnsi="Calibri" w:cs="Calibri"/>
          <w:lang w:val="en-US"/>
        </w:rPr>
      </w:pPr>
      <m:oMathPara>
        <m:oMath>
          <m:sSub>
            <m:sSubPr>
              <m:ctrlPr>
                <w:rPr>
                  <w:rFonts w:ascii="Cambria Math" w:hAnsi="Calibri" w:cs="Calibri"/>
                  <w:i/>
                  <w:lang w:val="en-US"/>
                </w:rPr>
              </m:ctrlPr>
            </m:sSubPr>
            <m:e>
              <m:r>
                <w:rPr>
                  <w:rFonts w:ascii="Cambria Math" w:hAnsi="Cambria Math" w:cs="Calibri"/>
                  <w:lang w:val="en-US"/>
                </w:rPr>
                <m:t>FREV</m:t>
              </m:r>
            </m:e>
            <m:sub>
              <m:r>
                <w:rPr>
                  <w:rFonts w:ascii="Cambria Math" w:hAnsi="Cambria Math" w:cs="Calibri"/>
                  <w:lang w:val="en-US"/>
                </w:rPr>
                <m:t>m</m:t>
              </m:r>
              <m:r>
                <w:rPr>
                  <w:rFonts w:ascii="Cambria Math" w:hAnsi="Calibri" w:cs="Calibri"/>
                  <w:lang w:val="en-US"/>
                </w:rPr>
                <m:t>,</m:t>
              </m:r>
              <m:r>
                <w:rPr>
                  <w:rFonts w:ascii="Cambria Math" w:hAnsi="Cambria Math" w:cs="Calibri"/>
                  <w:lang w:val="en-US"/>
                </w:rPr>
                <m:t>t</m:t>
              </m:r>
            </m:sub>
          </m:sSub>
          <m:r>
            <w:rPr>
              <w:rFonts w:ascii="Cambria Math" w:hAnsi="Calibri" w:cs="Calibri"/>
              <w:lang w:val="en-US"/>
            </w:rPr>
            <m:t xml:space="preserve">= </m:t>
          </m:r>
          <m:r>
            <w:rPr>
              <w:rFonts w:ascii="Cambria Math" w:hAnsi="Cambria Math" w:cs="Calibri"/>
              <w:lang w:val="en-US"/>
            </w:rPr>
            <m:t>α</m:t>
          </m:r>
          <m:r>
            <w:rPr>
              <w:rFonts w:ascii="Cambria Math" w:hAnsi="Calibri" w:cs="Calibri"/>
              <w:lang w:val="en-US"/>
            </w:rPr>
            <m:t xml:space="preserve">+ </m:t>
          </m:r>
          <m:r>
            <w:rPr>
              <w:rFonts w:ascii="Cambria Math" w:hAnsi="Cambria Math" w:cs="Calibri"/>
              <w:lang w:val="en-US"/>
            </w:rPr>
            <m:t>β*</m:t>
          </m:r>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PPFE</m:t>
              </m:r>
            </m:e>
            <m:sub>
              <m:r>
                <w:rPr>
                  <w:rFonts w:ascii="Cambria Math" w:hAnsi="Cambria Math" w:cs="Calibri"/>
                  <w:lang w:val="en-US"/>
                </w:rPr>
                <m:t>m</m:t>
              </m:r>
              <m:r>
                <w:rPr>
                  <w:rFonts w:ascii="Cambria Math" w:hAnsi="Calibri" w:cs="Calibri"/>
                  <w:lang w:val="en-US"/>
                </w:rPr>
                <m:t>,</m:t>
              </m:r>
              <m:r>
                <w:rPr>
                  <w:rFonts w:ascii="Cambria Math" w:hAnsi="Cambria Math" w:cs="Calibri"/>
                  <w:lang w:val="en-US"/>
                </w:rPr>
                <m:t>t</m:t>
              </m:r>
            </m:sub>
          </m:sSub>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ε</m:t>
              </m:r>
            </m:e>
            <m:sub>
              <m:r>
                <w:rPr>
                  <w:rFonts w:ascii="Cambria Math" w:hAnsi="Cambria Math" w:cs="Calibri"/>
                  <w:lang w:val="en-US"/>
                </w:rPr>
                <m:t>m</m:t>
              </m:r>
              <m:r>
                <w:rPr>
                  <w:rFonts w:ascii="Cambria Math" w:hAnsi="Calibri" w:cs="Calibri"/>
                  <w:lang w:val="en-US"/>
                </w:rPr>
                <m:t>,</m:t>
              </m:r>
              <m:r>
                <w:rPr>
                  <w:rFonts w:ascii="Cambria Math" w:hAnsi="Cambria Math" w:cs="Calibri"/>
                  <w:lang w:val="en-US"/>
                </w:rPr>
                <m:t>t</m:t>
              </m:r>
            </m:sub>
          </m:sSub>
        </m:oMath>
      </m:oMathPara>
    </w:p>
    <w:p w:rsidR="009926E4" w:rsidRPr="009D3628" w:rsidRDefault="009926E4" w:rsidP="00275721">
      <w:pPr>
        <w:pStyle w:val="000"/>
        <w:spacing w:line="360" w:lineRule="auto"/>
        <w:rPr>
          <w:rFonts w:ascii="Calibri" w:hAnsi="Calibri" w:cs="Calibri"/>
          <w:lang w:val="en-US"/>
        </w:rPr>
      </w:pPr>
    </w:p>
    <w:p w:rsidR="009926E4" w:rsidRPr="009D3628" w:rsidRDefault="009926E4" w:rsidP="00275721">
      <w:pPr>
        <w:pStyle w:val="000"/>
        <w:spacing w:line="360" w:lineRule="auto"/>
        <w:rPr>
          <w:rFonts w:ascii="Calibri" w:hAnsi="Calibri" w:cs="Calibri"/>
          <w:vertAlign w:val="subscript"/>
          <w:lang w:val="en-US"/>
        </w:rPr>
      </w:pPr>
      <w:r w:rsidRPr="009D3628">
        <w:rPr>
          <w:rFonts w:ascii="Calibri" w:hAnsi="Calibri" w:cs="Calibri"/>
          <w:lang w:val="en-US"/>
        </w:rPr>
        <w:t xml:space="preserve">In this equation, </w:t>
      </w:r>
      <w:r w:rsidRPr="009D3628">
        <w:rPr>
          <w:rFonts w:ascii="Calibri" w:hAnsi="Calibri" w:cs="Calibri"/>
          <w:i/>
          <w:vertAlign w:val="subscript"/>
          <w:lang w:val="en-US"/>
        </w:rPr>
        <w:t xml:space="preserve"> </w:t>
      </w:r>
      <m:oMath>
        <m:sSub>
          <m:sSubPr>
            <m:ctrlPr>
              <w:rPr>
                <w:rFonts w:ascii="Cambria Math" w:hAnsi="Calibri" w:cs="Calibri"/>
                <w:i/>
                <w:lang w:val="en-US"/>
              </w:rPr>
            </m:ctrlPr>
          </m:sSubPr>
          <m:e>
            <m:r>
              <w:rPr>
                <w:rFonts w:ascii="Cambria Math" w:hAnsi="Cambria Math" w:cs="Calibri"/>
                <w:lang w:val="en-US"/>
              </w:rPr>
              <m:t>FREV</m:t>
            </m:r>
          </m:e>
          <m:sub>
            <m:r>
              <w:rPr>
                <w:rFonts w:ascii="Cambria Math" w:hAnsi="Cambria Math" w:cs="Calibri"/>
                <w:lang w:val="en-US"/>
              </w:rPr>
              <m:t>m</m:t>
            </m:r>
            <m:r>
              <w:rPr>
                <w:rFonts w:ascii="Cambria Math" w:hAnsi="Calibri" w:cs="Calibri"/>
                <w:lang w:val="en-US"/>
              </w:rPr>
              <m:t>,</m:t>
            </m:r>
            <m:r>
              <w:rPr>
                <w:rFonts w:ascii="Cambria Math" w:hAnsi="Cambria Math" w:cs="Calibri"/>
                <w:lang w:val="en-US"/>
              </w:rPr>
              <m:t>t</m:t>
            </m:r>
          </m:sub>
        </m:sSub>
      </m:oMath>
      <w:r w:rsidR="006422C7" w:rsidRPr="009D3628">
        <w:rPr>
          <w:rFonts w:ascii="Calibri" w:hAnsi="Calibri" w:cs="Calibri"/>
          <w:lang w:val="en-US"/>
        </w:rPr>
        <w:t xml:space="preserve"> is the earnings for</w:t>
      </w:r>
      <w:r w:rsidRPr="009D3628">
        <w:rPr>
          <w:rFonts w:ascii="Calibri" w:hAnsi="Calibri" w:cs="Calibri"/>
          <w:lang w:val="en-US"/>
        </w:rPr>
        <w:t xml:space="preserve">ecast revision for late announcer m in period t, scaled by its stock price at the end of period t-1, and </w:t>
      </w:r>
      <m:oMath>
        <m:sSub>
          <m:sSubPr>
            <m:ctrlPr>
              <w:rPr>
                <w:rFonts w:ascii="Cambria Math" w:hAnsi="Calibri" w:cs="Calibri"/>
                <w:i/>
                <w:lang w:val="en-US"/>
              </w:rPr>
            </m:ctrlPr>
          </m:sSubPr>
          <m:e>
            <m:r>
              <w:rPr>
                <w:rFonts w:ascii="Cambria Math" w:hAnsi="Cambria Math" w:cs="Calibri"/>
                <w:lang w:val="en-US"/>
              </w:rPr>
              <m:t>PPFE</m:t>
            </m:r>
          </m:e>
          <m:sub>
            <m:r>
              <w:rPr>
                <w:rFonts w:ascii="Cambria Math" w:hAnsi="Cambria Math" w:cs="Calibri"/>
                <w:lang w:val="en-US"/>
              </w:rPr>
              <m:t>m</m:t>
            </m:r>
            <m:r>
              <w:rPr>
                <w:rFonts w:ascii="Cambria Math" w:hAnsi="Calibri" w:cs="Calibri"/>
                <w:lang w:val="en-US"/>
              </w:rPr>
              <m:t>,</m:t>
            </m:r>
            <m:r>
              <w:rPr>
                <w:rFonts w:ascii="Cambria Math" w:hAnsi="Cambria Math" w:cs="Calibri"/>
                <w:lang w:val="en-US"/>
              </w:rPr>
              <m:t>t</m:t>
            </m:r>
          </m:sub>
        </m:sSub>
      </m:oMath>
      <w:r w:rsidRPr="009D3628">
        <w:rPr>
          <w:rFonts w:ascii="Calibri" w:hAnsi="Calibri" w:cs="Calibri"/>
          <w:lang w:val="en-US"/>
        </w:rPr>
        <w:t xml:space="preserve"> is the predicted pre-first-announcement forecast error for late announcer m for period t, estimated based on the weighted average forecast error of all firms in the industry that announce their earnings at least two trading days before </w:t>
      </w:r>
      <w:r w:rsidR="006422C7" w:rsidRPr="009D3628">
        <w:rPr>
          <w:rFonts w:ascii="Calibri" w:hAnsi="Calibri" w:cs="Calibri"/>
          <w:lang w:val="en-US"/>
        </w:rPr>
        <w:t xml:space="preserve">the last analyst forecast date </w:t>
      </w:r>
      <w:r w:rsidRPr="009D3628">
        <w:rPr>
          <w:rFonts w:ascii="Calibri" w:hAnsi="Calibri" w:cs="Calibri"/>
          <w:lang w:val="en-US"/>
        </w:rPr>
        <w:t>(Ramnath, 2002)</w:t>
      </w:r>
      <w:r w:rsidR="006422C7" w:rsidRPr="009D3628">
        <w:rPr>
          <w:rFonts w:ascii="Calibri" w:hAnsi="Calibri" w:cs="Calibri"/>
          <w:lang w:val="en-US"/>
        </w:rPr>
        <w:t>.</w:t>
      </w:r>
    </w:p>
    <w:p w:rsidR="001523BE" w:rsidRPr="009D3628" w:rsidRDefault="009926E4" w:rsidP="00275721">
      <w:pPr>
        <w:pStyle w:val="000"/>
        <w:spacing w:line="360" w:lineRule="auto"/>
        <w:rPr>
          <w:rFonts w:ascii="Calibri" w:hAnsi="Calibri" w:cs="Calibri"/>
          <w:lang w:val="en-US"/>
        </w:rPr>
      </w:pPr>
      <w:r w:rsidRPr="009D3628">
        <w:rPr>
          <w:rFonts w:ascii="Calibri" w:hAnsi="Calibri" w:cs="Calibri"/>
          <w:lang w:val="en-US"/>
        </w:rPr>
        <w:t>Ramnath (2002) found evidence</w:t>
      </w:r>
      <w:r w:rsidR="00C81BEE" w:rsidRPr="009D3628">
        <w:rPr>
          <w:rFonts w:ascii="Calibri" w:hAnsi="Calibri" w:cs="Calibri"/>
          <w:lang w:val="en-US"/>
        </w:rPr>
        <w:t xml:space="preserve"> that the forecast error of the first announcing firm provides information about the error in the simultaneous earnings forecasts of other firms in the same industry, which still have to report their earnings. </w:t>
      </w:r>
      <w:r w:rsidR="00E12719" w:rsidRPr="009D3628">
        <w:rPr>
          <w:rFonts w:ascii="Calibri" w:hAnsi="Calibri" w:cs="Calibri"/>
          <w:lang w:val="en-US"/>
        </w:rPr>
        <w:t xml:space="preserve">The result of this study shows investors and analyst under-reaction to publicly available information. </w:t>
      </w:r>
    </w:p>
    <w:p w:rsidR="006422C7" w:rsidRPr="009D3628" w:rsidRDefault="00275721" w:rsidP="001523BE">
      <w:pPr>
        <w:spacing w:line="360" w:lineRule="auto"/>
        <w:rPr>
          <w:rFonts w:ascii="Calibri" w:hAnsi="Calibri" w:cs="Calibri"/>
          <w:lang w:val="en-US"/>
        </w:rPr>
      </w:pPr>
      <w:r w:rsidRPr="009D3628">
        <w:rPr>
          <w:rFonts w:ascii="Calibri" w:hAnsi="Calibri" w:cs="Calibri"/>
          <w:lang w:val="en-US"/>
        </w:rPr>
        <w:lastRenderedPageBreak/>
        <w:t>Thomas and Zhang (2008)</w:t>
      </w:r>
      <w:r w:rsidR="00C81BEE" w:rsidRPr="009D3628">
        <w:rPr>
          <w:rFonts w:ascii="Calibri" w:hAnsi="Calibri" w:cs="Calibri"/>
          <w:lang w:val="en-US"/>
        </w:rPr>
        <w:t xml:space="preserve"> also focus on the first-announcing firm within an industry. They</w:t>
      </w:r>
      <w:r w:rsidRPr="009D3628">
        <w:rPr>
          <w:rFonts w:ascii="Calibri" w:hAnsi="Calibri" w:cs="Calibri"/>
          <w:lang w:val="en-US"/>
        </w:rPr>
        <w:t xml:space="preserve"> </w:t>
      </w:r>
      <w:r w:rsidR="00F82C78" w:rsidRPr="009D3628">
        <w:rPr>
          <w:rFonts w:ascii="Calibri" w:hAnsi="Calibri" w:cs="Calibri"/>
          <w:lang w:val="en-US"/>
        </w:rPr>
        <w:t>show that the magnitude of intra-industry information transfer is greatest at the time the first earnings announcement in de industry is released</w:t>
      </w:r>
      <w:r w:rsidRPr="009D3628">
        <w:rPr>
          <w:rFonts w:ascii="Calibri" w:hAnsi="Calibri" w:cs="Calibri"/>
          <w:lang w:val="en-US"/>
        </w:rPr>
        <w:t>.</w:t>
      </w:r>
      <w:r w:rsidR="00F82C78" w:rsidRPr="009D3628">
        <w:rPr>
          <w:rFonts w:ascii="Calibri" w:hAnsi="Calibri" w:cs="Calibri"/>
          <w:lang w:val="en-US"/>
        </w:rPr>
        <w:t xml:space="preserve"> Because at these first announcement the amount of ‘new’ information is bigger than at later earnings announcements.</w:t>
      </w:r>
      <w:r w:rsidRPr="009D3628">
        <w:rPr>
          <w:rFonts w:ascii="Calibri" w:hAnsi="Calibri" w:cs="Calibri"/>
          <w:lang w:val="en-US"/>
        </w:rPr>
        <w:t xml:space="preserve"> They posit that investors overreact to intra-industry information transfer</w:t>
      </w:r>
      <w:r w:rsidR="00F82C78" w:rsidRPr="009D3628">
        <w:rPr>
          <w:rFonts w:ascii="Calibri" w:hAnsi="Calibri" w:cs="Calibri"/>
          <w:lang w:val="en-US"/>
        </w:rPr>
        <w:t xml:space="preserve"> at early announcements</w:t>
      </w:r>
      <w:r w:rsidRPr="009D3628">
        <w:rPr>
          <w:rFonts w:ascii="Calibri" w:hAnsi="Calibri" w:cs="Calibri"/>
          <w:lang w:val="en-US"/>
        </w:rPr>
        <w:t xml:space="preserve">, which leads to a correction of this overestimation at the time when late announcing firms disclose their earnings information. </w:t>
      </w:r>
    </w:p>
    <w:p w:rsidR="001523BE" w:rsidRPr="009D3628" w:rsidRDefault="001523BE" w:rsidP="001523BE">
      <w:pPr>
        <w:spacing w:line="360" w:lineRule="auto"/>
        <w:rPr>
          <w:rFonts w:ascii="Calibri" w:hAnsi="Calibri" w:cs="Calibri"/>
          <w:lang w:val="en-US"/>
        </w:rPr>
      </w:pPr>
      <w:r w:rsidRPr="009D3628">
        <w:rPr>
          <w:rFonts w:ascii="Calibri" w:hAnsi="Calibri" w:cs="Calibri"/>
          <w:lang w:val="en-US"/>
        </w:rPr>
        <w:t>To come to this findings Thomas and Zhang (2008) used firm’s quarterly earnings</w:t>
      </w:r>
      <w:r w:rsidR="006422C7" w:rsidRPr="009D3628">
        <w:rPr>
          <w:rFonts w:ascii="Calibri" w:hAnsi="Calibri" w:cs="Calibri"/>
          <w:lang w:val="en-US"/>
        </w:rPr>
        <w:t xml:space="preserve"> information and announcement dates. </w:t>
      </w:r>
      <w:r w:rsidRPr="009D3628">
        <w:rPr>
          <w:rFonts w:ascii="Calibri" w:hAnsi="Calibri" w:cs="Calibri"/>
          <w:lang w:val="en-US"/>
        </w:rPr>
        <w:t xml:space="preserve">Thomas and Zhang (2008) focus on the late-announcing firms. For each late announcing firm </w:t>
      </w:r>
      <w:r w:rsidRPr="009D3628">
        <w:rPr>
          <w:rFonts w:ascii="Calibri" w:hAnsi="Calibri" w:cs="Calibri"/>
          <w:i/>
          <w:lang w:val="en-US"/>
        </w:rPr>
        <w:t xml:space="preserve">i, </w:t>
      </w:r>
      <w:r w:rsidRPr="009D3628">
        <w:rPr>
          <w:rFonts w:ascii="Calibri" w:hAnsi="Calibri" w:cs="Calibri"/>
          <w:lang w:val="en-US"/>
        </w:rPr>
        <w:t xml:space="preserve">they measure its reaction in share price after an early announcement of a competitive firm in the same industry, and they measure its reaction in share price after its own (late) earnings announcement. They take a three-day return period (where Foster (1981) took a two-day return period). Thomas and Zhang (2008) look at the (-1,1) period, where 0 is the day the earnings announcement is released. The first variable from firm </w:t>
      </w:r>
      <w:r w:rsidRPr="009D3628">
        <w:rPr>
          <w:rFonts w:ascii="Calibri" w:hAnsi="Calibri" w:cs="Calibri"/>
          <w:i/>
          <w:lang w:val="en-US"/>
        </w:rPr>
        <w:t>i</w:t>
      </w:r>
      <w:r w:rsidRPr="009D3628">
        <w:rPr>
          <w:rFonts w:ascii="Calibri" w:hAnsi="Calibri" w:cs="Calibri"/>
          <w:lang w:val="en-US"/>
        </w:rPr>
        <w:t xml:space="preserve">’s the excess return in the tree-day time period around its own earnings announcement (ARET). And the second variable for firm </w:t>
      </w:r>
      <w:r w:rsidRPr="009D3628">
        <w:rPr>
          <w:rFonts w:ascii="Calibri" w:hAnsi="Calibri" w:cs="Calibri"/>
          <w:i/>
          <w:lang w:val="en-US"/>
        </w:rPr>
        <w:t>i</w:t>
      </w:r>
      <w:r w:rsidRPr="009D3628">
        <w:rPr>
          <w:rFonts w:ascii="Calibri" w:hAnsi="Calibri" w:cs="Calibri"/>
          <w:lang w:val="en-US"/>
        </w:rPr>
        <w:t>’s the excess return over the same three-day time window as response on the earnings releases of competitive firms in the same industry who have already released their earnings information earlier (RESP).</w:t>
      </w:r>
    </w:p>
    <w:p w:rsidR="001523BE" w:rsidRPr="009D3628" w:rsidRDefault="001523BE" w:rsidP="001523BE">
      <w:pPr>
        <w:pStyle w:val="000"/>
        <w:spacing w:line="360" w:lineRule="auto"/>
        <w:rPr>
          <w:rFonts w:ascii="Calibri" w:hAnsi="Calibri" w:cs="Calibri"/>
          <w:lang w:val="en-US"/>
        </w:rPr>
      </w:pPr>
      <w:r w:rsidRPr="009D3628">
        <w:rPr>
          <w:rFonts w:ascii="Calibri" w:hAnsi="Calibri" w:cs="Calibri"/>
          <w:lang w:val="en-US"/>
        </w:rPr>
        <w:t xml:space="preserve">The results show that the mean, at the time of the own earnings announcement (ARET), is close to zero, while in prior researches this mean was always positive, suggesting positive earnings information leads to </w:t>
      </w:r>
      <w:r w:rsidR="002E02C3" w:rsidRPr="009D3628">
        <w:rPr>
          <w:rFonts w:ascii="Calibri" w:hAnsi="Calibri" w:cs="Calibri"/>
          <w:lang w:val="en-US"/>
        </w:rPr>
        <w:t>increasing</w:t>
      </w:r>
      <w:r w:rsidRPr="009D3628">
        <w:rPr>
          <w:rFonts w:ascii="Calibri" w:hAnsi="Calibri" w:cs="Calibri"/>
          <w:lang w:val="en-US"/>
        </w:rPr>
        <w:t xml:space="preserve"> share prices. Thomas and Zhang (2008) give a possible solution for the difference in outcomes compared to prior studies. The difference in outcome with prior studies can be caused by the fact that Thomas and Zhang (2008) excluded the first-announcing firms in each industry, because </w:t>
      </w:r>
      <w:r w:rsidR="002E02C3" w:rsidRPr="009D3628">
        <w:rPr>
          <w:rFonts w:ascii="Calibri" w:hAnsi="Calibri" w:cs="Calibri"/>
          <w:lang w:val="en-US"/>
        </w:rPr>
        <w:t>they cannot</w:t>
      </w:r>
      <w:r w:rsidRPr="009D3628">
        <w:rPr>
          <w:rFonts w:ascii="Calibri" w:hAnsi="Calibri" w:cs="Calibri"/>
          <w:lang w:val="en-US"/>
        </w:rPr>
        <w:t xml:space="preserve"> react on earlier announcements. This suggests that there is a high positive correlation between the earnings announcement and the reaction in the share price for early announcing firms, and also the other firms in the same industry have a high positive share</w:t>
      </w:r>
      <w:r w:rsidR="002E02C3" w:rsidRPr="009D3628">
        <w:rPr>
          <w:rFonts w:ascii="Calibri" w:hAnsi="Calibri" w:cs="Calibri"/>
          <w:lang w:val="en-US"/>
        </w:rPr>
        <w:t xml:space="preserve"> price</w:t>
      </w:r>
      <w:r w:rsidRPr="009D3628">
        <w:rPr>
          <w:rFonts w:ascii="Calibri" w:hAnsi="Calibri" w:cs="Calibri"/>
          <w:lang w:val="en-US"/>
        </w:rPr>
        <w:t xml:space="preserve"> reaction when the first firm in the industry releases its earnings information.</w:t>
      </w:r>
      <w:r w:rsidR="002E02C3" w:rsidRPr="009D3628">
        <w:rPr>
          <w:rFonts w:ascii="Calibri" w:hAnsi="Calibri" w:cs="Calibri"/>
          <w:lang w:val="en-US"/>
        </w:rPr>
        <w:t xml:space="preserve"> Thomas and Zhang (2008) expect, and also find</w:t>
      </w:r>
      <w:r w:rsidRPr="009D3628">
        <w:rPr>
          <w:rFonts w:ascii="Calibri" w:hAnsi="Calibri" w:cs="Calibri"/>
          <w:lang w:val="en-US"/>
        </w:rPr>
        <w:t>, that for the second and third earnings announcements and so on the distribution in share price become</w:t>
      </w:r>
      <w:r w:rsidR="002E02C3" w:rsidRPr="009D3628">
        <w:rPr>
          <w:rFonts w:ascii="Calibri" w:hAnsi="Calibri" w:cs="Calibri"/>
          <w:lang w:val="en-US"/>
        </w:rPr>
        <w:t>s smaller and smaller</w:t>
      </w:r>
      <w:r w:rsidRPr="009D3628">
        <w:rPr>
          <w:rFonts w:ascii="Calibri" w:hAnsi="Calibri" w:cs="Calibri"/>
          <w:lang w:val="en-US"/>
        </w:rPr>
        <w:t>, because almost all the industry information is already absorbed in the share prices at the time of the first earnings announcement. This can lead to even a negative correlation</w:t>
      </w:r>
      <w:r w:rsidR="002E02C3" w:rsidRPr="009D3628">
        <w:rPr>
          <w:rFonts w:ascii="Calibri" w:hAnsi="Calibri" w:cs="Calibri"/>
          <w:lang w:val="en-US"/>
        </w:rPr>
        <w:t xml:space="preserve"> between the impact of the earnings announcement and the change in share price</w:t>
      </w:r>
      <w:r w:rsidRPr="009D3628">
        <w:rPr>
          <w:rFonts w:ascii="Calibri" w:hAnsi="Calibri" w:cs="Calibri"/>
          <w:lang w:val="en-US"/>
        </w:rPr>
        <w:t xml:space="preserve"> in case of the last-announcing firm.</w:t>
      </w:r>
    </w:p>
    <w:p w:rsidR="00C81BEE" w:rsidRPr="009D3628" w:rsidRDefault="001523BE" w:rsidP="001523BE">
      <w:pPr>
        <w:pStyle w:val="000"/>
        <w:spacing w:line="360" w:lineRule="auto"/>
        <w:rPr>
          <w:rFonts w:ascii="Calibri" w:hAnsi="Calibri" w:cs="Calibri"/>
          <w:lang w:val="en-US"/>
        </w:rPr>
      </w:pPr>
      <w:r w:rsidRPr="009D3628">
        <w:rPr>
          <w:rFonts w:ascii="Calibri" w:hAnsi="Calibri" w:cs="Calibri"/>
          <w:lang w:val="en-US"/>
        </w:rPr>
        <w:t>A</w:t>
      </w:r>
      <w:r w:rsidR="003E751D" w:rsidRPr="009D3628">
        <w:rPr>
          <w:rFonts w:ascii="Calibri" w:hAnsi="Calibri" w:cs="Calibri"/>
          <w:lang w:val="en-US"/>
        </w:rPr>
        <w:t>s Thomas and Zhang (2008) posit</w:t>
      </w:r>
      <w:r w:rsidRPr="009D3628">
        <w:rPr>
          <w:rFonts w:ascii="Calibri" w:hAnsi="Calibri" w:cs="Calibri"/>
          <w:lang w:val="en-US"/>
        </w:rPr>
        <w:t xml:space="preserve"> that there was an overreaction to the information transfer from the first-announcing firm, this overreaction will be corrected at the time the last-announcing firm releases its </w:t>
      </w:r>
      <w:r w:rsidRPr="009D3628">
        <w:rPr>
          <w:rFonts w:ascii="Calibri" w:hAnsi="Calibri" w:cs="Calibri"/>
          <w:lang w:val="en-US"/>
        </w:rPr>
        <w:lastRenderedPageBreak/>
        <w:t>own earnings information, which will indicate this negative correlation between the earnings announcement and the share price distribution of the last-announcing firm.</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lang w:val="en-US"/>
        </w:rPr>
        <w:t xml:space="preserve">Where all the above mentioned studies focus on the relationship between earnings announcements and intra-industry transfers, there are also studies </w:t>
      </w:r>
      <w:r w:rsidR="00C81BEE" w:rsidRPr="009D3628">
        <w:rPr>
          <w:rFonts w:ascii="Calibri" w:hAnsi="Calibri" w:cs="Calibri"/>
          <w:lang w:val="en-US"/>
        </w:rPr>
        <w:t>that investigate</w:t>
      </w:r>
      <w:r w:rsidRPr="009D3628">
        <w:rPr>
          <w:rFonts w:ascii="Calibri" w:hAnsi="Calibri" w:cs="Calibri"/>
          <w:lang w:val="en-US"/>
        </w:rPr>
        <w:t xml:space="preserve"> other </w:t>
      </w:r>
      <w:r w:rsidR="00E027C2" w:rsidRPr="009D3628">
        <w:rPr>
          <w:rFonts w:ascii="Calibri" w:hAnsi="Calibri" w:cs="Calibri"/>
          <w:lang w:val="en-US"/>
        </w:rPr>
        <w:t>predictions or announcements</w:t>
      </w:r>
      <w:r w:rsidRPr="009D3628">
        <w:rPr>
          <w:rFonts w:ascii="Calibri" w:hAnsi="Calibri" w:cs="Calibri"/>
          <w:lang w:val="en-US"/>
        </w:rPr>
        <w:t xml:space="preserve"> which can lead to information transfer.  But if you examine information transfers from dividend announcements (Laux et al., 1998), management forecasts (Baginski, 1987; Han</w:t>
      </w:r>
      <w:r w:rsidR="003E751D" w:rsidRPr="009D3628">
        <w:rPr>
          <w:rFonts w:ascii="Calibri" w:hAnsi="Calibri" w:cs="Calibri"/>
          <w:lang w:val="en-US"/>
        </w:rPr>
        <w:t xml:space="preserve"> et a</w:t>
      </w:r>
      <w:r w:rsidRPr="009D3628">
        <w:rPr>
          <w:rFonts w:ascii="Calibri" w:hAnsi="Calibri" w:cs="Calibri"/>
          <w:lang w:val="en-US"/>
        </w:rPr>
        <w:t>l, 1989; Pyo &amp; Lustgarten, 1990) or bankruptcy announcements (Lang and Stulz, 1992) it will always lead to the same positive relation, which is that the release of any sort of earnings related information will lead to intra</w:t>
      </w:r>
      <w:r w:rsidR="00B5104C" w:rsidRPr="009D3628">
        <w:rPr>
          <w:rFonts w:ascii="Calibri" w:hAnsi="Calibri" w:cs="Calibri"/>
          <w:lang w:val="en-US"/>
        </w:rPr>
        <w:t>-industry information transfer.</w:t>
      </w:r>
    </w:p>
    <w:p w:rsidR="00104FDA" w:rsidRPr="009D3628" w:rsidRDefault="00104FDA" w:rsidP="00275721">
      <w:pPr>
        <w:pStyle w:val="000"/>
        <w:spacing w:line="360" w:lineRule="auto"/>
        <w:rPr>
          <w:rFonts w:ascii="Calibri" w:hAnsi="Calibri" w:cs="Calibri"/>
          <w:i/>
          <w:lang w:val="en-US"/>
        </w:rPr>
      </w:pPr>
    </w:p>
    <w:p w:rsidR="00275721" w:rsidRPr="009D3628" w:rsidRDefault="00275721" w:rsidP="00B5104C">
      <w:pPr>
        <w:pStyle w:val="Kop2"/>
        <w:spacing w:line="360" w:lineRule="auto"/>
        <w:rPr>
          <w:rFonts w:ascii="Calibri" w:hAnsi="Calibri" w:cs="Calibri"/>
          <w:lang w:val="en-US"/>
        </w:rPr>
      </w:pPr>
      <w:bookmarkStart w:id="11" w:name="_Toc331518357"/>
      <w:r w:rsidRPr="009D3628">
        <w:rPr>
          <w:rFonts w:ascii="Calibri" w:hAnsi="Calibri" w:cs="Calibri"/>
          <w:lang w:val="en-US"/>
        </w:rPr>
        <w:t>The impact of mandatory adoption of IFRS</w:t>
      </w:r>
      <w:bookmarkEnd w:id="11"/>
    </w:p>
    <w:p w:rsidR="00275721" w:rsidRPr="009D3628" w:rsidRDefault="00275721" w:rsidP="00A02013">
      <w:pPr>
        <w:overflowPunct/>
        <w:spacing w:line="360" w:lineRule="auto"/>
        <w:textAlignment w:val="auto"/>
        <w:rPr>
          <w:rFonts w:ascii="Calibri" w:hAnsi="Calibri" w:cs="Calibri"/>
          <w:szCs w:val="22"/>
          <w:lang w:val="en-US"/>
        </w:rPr>
      </w:pPr>
      <w:r w:rsidRPr="009D3628">
        <w:rPr>
          <w:rFonts w:ascii="Calibri" w:hAnsi="Calibri" w:cs="Calibri"/>
          <w:lang w:val="en-US"/>
        </w:rPr>
        <w:t xml:space="preserve">In 2005 IFRS was implemented and this should lead to an increase in transparency and comparability of the financial information of firms across countries. Overall </w:t>
      </w:r>
      <w:r w:rsidRPr="009D3628">
        <w:rPr>
          <w:rFonts w:ascii="Calibri" w:hAnsi="Calibri" w:cs="Calibri"/>
          <w:szCs w:val="22"/>
          <w:lang w:val="en-US"/>
        </w:rPr>
        <w:t>it should lead to an increase in the quality of the financial information</w:t>
      </w:r>
      <w:r w:rsidR="00865AE5" w:rsidRPr="009D3628">
        <w:rPr>
          <w:rFonts w:ascii="Calibri" w:hAnsi="Calibri" w:cs="Calibri"/>
          <w:szCs w:val="22"/>
          <w:lang w:val="en-US"/>
        </w:rPr>
        <w:t xml:space="preserve"> </w:t>
      </w:r>
      <w:r w:rsidR="00865AE5" w:rsidRPr="00CD1664">
        <w:rPr>
          <w:rFonts w:ascii="Calibri" w:hAnsi="Calibri" w:cs="Calibri"/>
          <w:szCs w:val="22"/>
          <w:lang w:val="en-US"/>
        </w:rPr>
        <w:t>(</w:t>
      </w:r>
      <w:r w:rsidR="00CD1664" w:rsidRPr="00CD1664">
        <w:rPr>
          <w:rFonts w:ascii="Calibri" w:hAnsi="Calibri" w:cs="Calibri"/>
          <w:szCs w:val="22"/>
          <w:lang w:val="en-US"/>
        </w:rPr>
        <w:t>Barth et al., 2008</w:t>
      </w:r>
      <w:r w:rsidR="00865AE5" w:rsidRPr="00CD1664">
        <w:rPr>
          <w:rFonts w:ascii="Calibri" w:hAnsi="Calibri" w:cs="Calibri"/>
          <w:szCs w:val="22"/>
          <w:lang w:val="en-US"/>
        </w:rPr>
        <w:t>). Ball (2006</w:t>
      </w:r>
      <w:r w:rsidR="004D5912" w:rsidRPr="00CD1664">
        <w:rPr>
          <w:rFonts w:ascii="Calibri" w:hAnsi="Calibri" w:cs="Calibri"/>
          <w:szCs w:val="22"/>
          <w:lang w:val="en-US"/>
        </w:rPr>
        <w:t xml:space="preserve">) </w:t>
      </w:r>
      <w:r w:rsidR="00E027C2" w:rsidRPr="00CD1664">
        <w:rPr>
          <w:rFonts w:ascii="Calibri" w:hAnsi="Calibri" w:cs="Calibri"/>
          <w:szCs w:val="22"/>
          <w:lang w:val="en-US"/>
        </w:rPr>
        <w:t xml:space="preserve">criticizes </w:t>
      </w:r>
      <w:r w:rsidRPr="00CD1664">
        <w:rPr>
          <w:rFonts w:ascii="Calibri" w:hAnsi="Calibri" w:cs="Calibri"/>
          <w:szCs w:val="22"/>
          <w:lang w:val="en-US"/>
        </w:rPr>
        <w:t>on the statement that IFRS will lead to an increase in accounting quality just because</w:t>
      </w:r>
      <w:r w:rsidRPr="009D3628">
        <w:rPr>
          <w:rFonts w:ascii="Calibri" w:hAnsi="Calibri" w:cs="Calibri"/>
          <w:szCs w:val="22"/>
          <w:lang w:val="en-US"/>
        </w:rPr>
        <w:t xml:space="preserve"> the accounting standards across European countries a</w:t>
      </w:r>
      <w:r w:rsidR="00E027C2" w:rsidRPr="009D3628">
        <w:rPr>
          <w:rFonts w:ascii="Calibri" w:hAnsi="Calibri" w:cs="Calibri"/>
          <w:szCs w:val="22"/>
          <w:lang w:val="en-US"/>
        </w:rPr>
        <w:t>re now the same. He investigates</w:t>
      </w:r>
      <w:r w:rsidRPr="009D3628">
        <w:rPr>
          <w:rFonts w:ascii="Calibri" w:hAnsi="Calibri" w:cs="Calibri"/>
          <w:szCs w:val="22"/>
          <w:lang w:val="en-US"/>
        </w:rPr>
        <w:t xml:space="preserve"> the advantages and disadvantages of the implementation of IFRS for investors.</w:t>
      </w:r>
      <w:r w:rsidR="004D5912" w:rsidRPr="009D3628">
        <w:rPr>
          <w:rFonts w:ascii="Calibri" w:hAnsi="Calibri" w:cs="Calibri"/>
          <w:szCs w:val="22"/>
          <w:lang w:val="en-US"/>
        </w:rPr>
        <w:t xml:space="preserve"> Ball concluded that the biggest advantage of the implementation of IFRS has been achieved in developing a comprehensive set of ‘high quality’ IFRS sta</w:t>
      </w:r>
      <w:r w:rsidR="00E411E5" w:rsidRPr="009D3628">
        <w:rPr>
          <w:rFonts w:ascii="Calibri" w:hAnsi="Calibri" w:cs="Calibri"/>
          <w:szCs w:val="22"/>
          <w:lang w:val="en-US"/>
        </w:rPr>
        <w:t>ndards. As biggest disadvantage he</w:t>
      </w:r>
      <w:r w:rsidR="004D5912" w:rsidRPr="009D3628">
        <w:rPr>
          <w:rFonts w:ascii="Calibri" w:hAnsi="Calibri" w:cs="Calibri"/>
          <w:szCs w:val="22"/>
          <w:lang w:val="en-US"/>
        </w:rPr>
        <w:t xml:space="preserve"> </w:t>
      </w:r>
      <w:r w:rsidR="00A02013" w:rsidRPr="009D3628">
        <w:rPr>
          <w:rFonts w:ascii="Calibri" w:hAnsi="Calibri" w:cs="Calibri"/>
          <w:szCs w:val="22"/>
          <w:lang w:val="en-US"/>
        </w:rPr>
        <w:t xml:space="preserve">envisage problems with the current fascination of the IASB (and the FASB) with fair value accounting. </w:t>
      </w:r>
      <w:r w:rsidRPr="009D3628">
        <w:rPr>
          <w:rFonts w:ascii="Calibri" w:hAnsi="Calibri" w:cs="Calibri"/>
          <w:szCs w:val="22"/>
          <w:lang w:val="en-US"/>
        </w:rPr>
        <w:t>If he weight out the advantages and disadvantages against each other, he concludes that the notion that uniform standards alone will produce uniform fin</w:t>
      </w:r>
      <w:r w:rsidR="00A02013" w:rsidRPr="009D3628">
        <w:rPr>
          <w:rFonts w:ascii="Calibri" w:hAnsi="Calibri" w:cs="Calibri"/>
          <w:szCs w:val="22"/>
          <w:lang w:val="en-US"/>
        </w:rPr>
        <w:t>ancial reporting seems naïve (Ball,</w:t>
      </w:r>
      <w:r w:rsidR="00865AE5" w:rsidRPr="009D3628">
        <w:rPr>
          <w:rFonts w:ascii="Calibri" w:hAnsi="Calibri" w:cs="Calibri"/>
          <w:szCs w:val="22"/>
          <w:lang w:val="en-US"/>
        </w:rPr>
        <w:t xml:space="preserve"> 2006</w:t>
      </w:r>
      <w:r w:rsidR="00A02013" w:rsidRPr="009D3628">
        <w:rPr>
          <w:rFonts w:ascii="Calibri" w:hAnsi="Calibri" w:cs="Calibri"/>
          <w:szCs w:val="22"/>
          <w:lang w:val="en-US"/>
        </w:rPr>
        <w:t>).</w:t>
      </w:r>
    </w:p>
    <w:p w:rsidR="00275721" w:rsidRPr="009D3628" w:rsidRDefault="00275721" w:rsidP="00275721">
      <w:pPr>
        <w:pStyle w:val="000"/>
        <w:spacing w:line="360" w:lineRule="auto"/>
        <w:rPr>
          <w:rFonts w:ascii="Calibri" w:hAnsi="Calibri" w:cs="Calibri"/>
          <w:szCs w:val="22"/>
          <w:lang w:val="en-US"/>
        </w:rPr>
      </w:pPr>
      <w:r w:rsidRPr="009D3628">
        <w:rPr>
          <w:rFonts w:ascii="Calibri" w:hAnsi="Calibri" w:cs="Calibri"/>
          <w:szCs w:val="22"/>
          <w:lang w:val="en-US"/>
        </w:rPr>
        <w:t>S</w:t>
      </w:r>
      <w:r w:rsidR="00E027C2" w:rsidRPr="009D3628">
        <w:rPr>
          <w:rFonts w:ascii="Calibri" w:hAnsi="Calibri" w:cs="Calibri"/>
          <w:szCs w:val="22"/>
          <w:lang w:val="en-US"/>
        </w:rPr>
        <w:t>ö</w:t>
      </w:r>
      <w:r w:rsidRPr="009D3628">
        <w:rPr>
          <w:rFonts w:ascii="Calibri" w:hAnsi="Calibri" w:cs="Calibri"/>
          <w:szCs w:val="22"/>
          <w:lang w:val="en-US"/>
        </w:rPr>
        <w:t xml:space="preserve">derstrom and Sun (2007) conclude in </w:t>
      </w:r>
      <w:r w:rsidR="004855C6" w:rsidRPr="009D3628">
        <w:rPr>
          <w:rFonts w:ascii="Calibri" w:hAnsi="Calibri" w:cs="Calibri"/>
          <w:szCs w:val="22"/>
          <w:lang w:val="en-US"/>
        </w:rPr>
        <w:t>their study about the quality of financial information under</w:t>
      </w:r>
      <w:r w:rsidRPr="009D3628">
        <w:rPr>
          <w:rFonts w:ascii="Calibri" w:hAnsi="Calibri" w:cs="Calibri"/>
          <w:szCs w:val="22"/>
          <w:lang w:val="en-US"/>
        </w:rPr>
        <w:t xml:space="preserve"> IFRS that accounting quality after IFRS adoption depends on three factors which are, the quality of the standards, a country’s legal and political system and financial reporting incentives. All these three factors have a direct effect on the quality of the financial information. </w:t>
      </w:r>
    </w:p>
    <w:p w:rsidR="00BD07DC" w:rsidRPr="009D3628" w:rsidRDefault="00275721" w:rsidP="00275721">
      <w:pPr>
        <w:pStyle w:val="000"/>
        <w:spacing w:line="360" w:lineRule="auto"/>
        <w:rPr>
          <w:rFonts w:ascii="Calibri" w:hAnsi="Calibri" w:cs="Calibri"/>
          <w:szCs w:val="22"/>
          <w:lang w:val="en-US"/>
        </w:rPr>
      </w:pPr>
      <w:r w:rsidRPr="009D3628">
        <w:rPr>
          <w:rFonts w:ascii="Calibri" w:hAnsi="Calibri" w:cs="Calibri"/>
          <w:szCs w:val="22"/>
          <w:lang w:val="en-US"/>
        </w:rPr>
        <w:t xml:space="preserve"> Landsman, Maydew and Thornock (2011) examine whether the information content of earnings announcements – abnormal return volatility and abnormal trading volume – increases in countries following mandatory IFRS adoption, and conditions and mechanisms through which increases occur. </w:t>
      </w:r>
      <w:r w:rsidR="00BD07DC" w:rsidRPr="009D3628">
        <w:rPr>
          <w:rFonts w:ascii="Calibri" w:hAnsi="Calibri" w:cs="Calibri"/>
          <w:szCs w:val="22"/>
          <w:lang w:val="en-US"/>
        </w:rPr>
        <w:t>To test whether abnormal return volatility and abnormal trading volume increase following mandatory adoption of IFRS, Landsman, Maydew and Thornock (2011) formulated the following equations:</w:t>
      </w:r>
    </w:p>
    <w:p w:rsidR="00BD07DC" w:rsidRPr="009D3628" w:rsidRDefault="00BD07DC" w:rsidP="00275721">
      <w:pPr>
        <w:pStyle w:val="000"/>
        <w:spacing w:line="360" w:lineRule="auto"/>
        <w:rPr>
          <w:rFonts w:ascii="Calibri" w:hAnsi="Calibri" w:cs="Calibri"/>
          <w:szCs w:val="22"/>
          <w:lang w:val="en-US"/>
        </w:rPr>
      </w:pPr>
    </w:p>
    <w:p w:rsidR="00BD07DC" w:rsidRPr="009D3628" w:rsidRDefault="00E43D28" w:rsidP="00275721">
      <w:pPr>
        <w:pStyle w:val="000"/>
        <w:spacing w:line="360" w:lineRule="auto"/>
        <w:rPr>
          <w:rFonts w:ascii="Calibri" w:hAnsi="Calibri" w:cs="Calibri"/>
          <w:szCs w:val="22"/>
          <w:lang w:val="en-US"/>
        </w:rPr>
      </w:pPr>
      <m:oMathPara>
        <m:oMath>
          <m:sSub>
            <m:sSubPr>
              <m:ctrlPr>
                <w:rPr>
                  <w:rFonts w:ascii="Cambria Math" w:hAnsi="Calibri" w:cs="Calibri"/>
                  <w:i/>
                  <w:szCs w:val="22"/>
                  <w:lang w:val="en-US"/>
                </w:rPr>
              </m:ctrlPr>
            </m:sSubPr>
            <m:e>
              <m:r>
                <w:rPr>
                  <w:rFonts w:ascii="Cambria Math" w:hAnsi="Cambria Math" w:cs="Calibri"/>
                  <w:szCs w:val="22"/>
                  <w:lang w:val="en-US"/>
                </w:rPr>
                <m:t>AVAR</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0</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1</m:t>
              </m:r>
            </m:sub>
          </m:sSub>
          <m:sSub>
            <m:sSubPr>
              <m:ctrlPr>
                <w:rPr>
                  <w:rFonts w:ascii="Cambria Math" w:hAnsi="Calibri" w:cs="Calibri"/>
                  <w:i/>
                  <w:szCs w:val="22"/>
                  <w:lang w:val="en-US"/>
                </w:rPr>
              </m:ctrlPr>
            </m:sSubPr>
            <m:e>
              <m:r>
                <w:rPr>
                  <w:rFonts w:ascii="Cambria Math" w:hAnsi="Cambria Math" w:cs="Calibri"/>
                  <w:szCs w:val="22"/>
                  <w:lang w:val="en-US"/>
                </w:rPr>
                <m:t>POST</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2</m:t>
              </m:r>
            </m:sub>
          </m:sSub>
          <m:sSub>
            <m:sSubPr>
              <m:ctrlPr>
                <w:rPr>
                  <w:rFonts w:ascii="Cambria Math" w:hAnsi="Calibri" w:cs="Calibri"/>
                  <w:i/>
                  <w:szCs w:val="22"/>
                  <w:lang w:val="en-US"/>
                </w:rPr>
              </m:ctrlPr>
            </m:sSubPr>
            <m:e>
              <m:r>
                <w:rPr>
                  <w:rFonts w:ascii="Cambria Math" w:hAnsi="Cambria Math" w:cs="Calibri"/>
                  <w:szCs w:val="22"/>
                  <w:lang w:val="en-US"/>
                </w:rPr>
                <m:t>TIME</m:t>
              </m:r>
            </m:e>
            <m:sub>
              <m:r>
                <w:rPr>
                  <w:rFonts w:ascii="Cambria Math" w:hAnsi="Cambria Math" w:cs="Calibri"/>
                  <w:szCs w:val="22"/>
                  <w:lang w:val="en-US"/>
                </w:rPr>
                <m:t>it</m:t>
              </m:r>
            </m:sub>
          </m:sSub>
          <m:r>
            <w:rPr>
              <w:rFonts w:ascii="Cambria Math" w:hAnsi="Calibri" w:cs="Calibri"/>
              <w:szCs w:val="22"/>
              <w:lang w:val="en-US"/>
            </w:rPr>
            <m:t>+</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3</m:t>
              </m:r>
            </m:sub>
          </m:sSub>
          <m:sSub>
            <m:sSubPr>
              <m:ctrlPr>
                <w:rPr>
                  <w:rFonts w:ascii="Cambria Math" w:hAnsi="Calibri" w:cs="Calibri"/>
                  <w:i/>
                  <w:szCs w:val="22"/>
                  <w:lang w:val="en-US"/>
                </w:rPr>
              </m:ctrlPr>
            </m:sSubPr>
            <m:e>
              <m:r>
                <w:rPr>
                  <w:rFonts w:ascii="Cambria Math" w:hAnsi="Cambria Math" w:cs="Calibri"/>
                  <w:szCs w:val="22"/>
                  <w:lang w:val="en-US"/>
                </w:rPr>
                <m:t>SIZE</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4</m:t>
              </m:r>
            </m:sub>
          </m:sSub>
          <m:sSub>
            <m:sSubPr>
              <m:ctrlPr>
                <w:rPr>
                  <w:rFonts w:ascii="Cambria Math" w:hAnsi="Calibri" w:cs="Calibri"/>
                  <w:i/>
                  <w:szCs w:val="22"/>
                  <w:lang w:val="en-US"/>
                </w:rPr>
              </m:ctrlPr>
            </m:sSubPr>
            <m:e>
              <m:r>
                <w:rPr>
                  <w:rFonts w:ascii="Cambria Math" w:hAnsi="Cambria Math" w:cs="Calibri"/>
                  <w:szCs w:val="22"/>
                  <w:lang w:val="en-US"/>
                </w:rPr>
                <m:t>NUMEST</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5</m:t>
              </m:r>
            </m:sub>
          </m:sSub>
          <m:sSub>
            <m:sSubPr>
              <m:ctrlPr>
                <w:rPr>
                  <w:rFonts w:ascii="Cambria Math" w:hAnsi="Calibri" w:cs="Calibri"/>
                  <w:i/>
                  <w:szCs w:val="22"/>
                  <w:lang w:val="en-US"/>
                </w:rPr>
              </m:ctrlPr>
            </m:sSubPr>
            <m:e>
              <m:r>
                <w:rPr>
                  <w:rFonts w:ascii="Cambria Math" w:hAnsi="Cambria Math" w:cs="Calibri"/>
                  <w:szCs w:val="22"/>
                  <w:lang w:val="en-US"/>
                </w:rPr>
                <m:t>REPLAG</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6</m:t>
              </m:r>
            </m:sub>
          </m:sSub>
          <m:sSub>
            <m:sSubPr>
              <m:ctrlPr>
                <w:rPr>
                  <w:rFonts w:ascii="Cambria Math" w:hAnsi="Calibri" w:cs="Calibri"/>
                  <w:i/>
                  <w:szCs w:val="22"/>
                  <w:lang w:val="en-US"/>
                </w:rPr>
              </m:ctrlPr>
            </m:sSubPr>
            <m:e>
              <m:r>
                <w:rPr>
                  <w:rFonts w:ascii="Cambria Math" w:hAnsi="Cambria Math" w:cs="Calibri"/>
                  <w:szCs w:val="22"/>
                  <w:lang w:val="en-US"/>
                </w:rPr>
                <m:t>LEV</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7</m:t>
              </m:r>
            </m:sub>
          </m:sSub>
          <m:sSub>
            <m:sSubPr>
              <m:ctrlPr>
                <w:rPr>
                  <w:rFonts w:ascii="Cambria Math" w:hAnsi="Calibri" w:cs="Calibri"/>
                  <w:i/>
                  <w:szCs w:val="22"/>
                  <w:lang w:val="en-US"/>
                </w:rPr>
              </m:ctrlPr>
            </m:sSubPr>
            <m:e>
              <m:r>
                <w:rPr>
                  <w:rFonts w:ascii="Cambria Math" w:hAnsi="Cambria Math" w:cs="Calibri"/>
                  <w:szCs w:val="22"/>
                  <w:lang w:val="en-US"/>
                </w:rPr>
                <m:t>DLOSS</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8</m:t>
              </m:r>
            </m:sub>
          </m:sSub>
          <m:sSub>
            <m:sSubPr>
              <m:ctrlPr>
                <w:rPr>
                  <w:rFonts w:ascii="Cambria Math" w:hAnsi="Calibri" w:cs="Calibri"/>
                  <w:i/>
                  <w:szCs w:val="22"/>
                  <w:lang w:val="en-US"/>
                </w:rPr>
              </m:ctrlPr>
            </m:sSubPr>
            <m:e>
              <m:r>
                <w:rPr>
                  <w:rFonts w:ascii="Cambria Math" w:hAnsi="Calibri" w:cs="Calibri"/>
                  <w:szCs w:val="22"/>
                  <w:lang w:val="en-US"/>
                </w:rPr>
                <m:t>|</m:t>
              </m:r>
              <m:r>
                <w:rPr>
                  <w:rFonts w:ascii="Cambria Math" w:hAnsi="Cambria Math" w:cs="Calibri"/>
                  <w:szCs w:val="22"/>
                  <w:lang w:val="en-US"/>
                </w:rPr>
                <m:t>UE</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9</m:t>
              </m:r>
            </m:sub>
          </m:sSub>
          <m:sSub>
            <m:sSubPr>
              <m:ctrlPr>
                <w:rPr>
                  <w:rFonts w:ascii="Cambria Math" w:hAnsi="Calibri" w:cs="Calibri"/>
                  <w:i/>
                  <w:szCs w:val="22"/>
                  <w:lang w:val="en-US"/>
                </w:rPr>
              </m:ctrlPr>
            </m:sSubPr>
            <m:e>
              <m:r>
                <w:rPr>
                  <w:rFonts w:ascii="Cambria Math" w:hAnsi="Cambria Math" w:cs="Calibri"/>
                  <w:szCs w:val="22"/>
                  <w:lang w:val="en-US"/>
                </w:rPr>
                <m:t>DISP</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10</m:t>
              </m:r>
            </m:sub>
          </m:sSub>
          <m:sSub>
            <m:sSubPr>
              <m:ctrlPr>
                <w:rPr>
                  <w:rFonts w:ascii="Cambria Math" w:hAnsi="Calibri" w:cs="Calibri"/>
                  <w:i/>
                  <w:szCs w:val="22"/>
                  <w:lang w:val="en-US"/>
                </w:rPr>
              </m:ctrlPr>
            </m:sSubPr>
            <m:e>
              <m:r>
                <w:rPr>
                  <w:rFonts w:ascii="Cambria Math" w:hAnsi="Cambria Math" w:cs="Calibri"/>
                  <w:szCs w:val="22"/>
                  <w:lang w:val="en-US"/>
                </w:rPr>
                <m:t>ADR</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ε</m:t>
              </m:r>
            </m:e>
            <m:sub>
              <m:r>
                <w:rPr>
                  <w:rFonts w:ascii="Cambria Math" w:hAnsi="Cambria Math" w:cs="Calibri"/>
                  <w:szCs w:val="22"/>
                  <w:lang w:val="en-US"/>
                </w:rPr>
                <m:t>it</m:t>
              </m:r>
            </m:sub>
          </m:sSub>
        </m:oMath>
      </m:oMathPara>
    </w:p>
    <w:p w:rsidR="00BD07DC" w:rsidRPr="009D3628" w:rsidRDefault="00BD07DC" w:rsidP="00275721">
      <w:pPr>
        <w:pStyle w:val="000"/>
        <w:spacing w:line="360" w:lineRule="auto"/>
        <w:rPr>
          <w:rFonts w:ascii="Calibri" w:hAnsi="Calibri" w:cs="Calibri"/>
          <w:szCs w:val="22"/>
          <w:lang w:val="en-US"/>
        </w:rPr>
      </w:pPr>
    </w:p>
    <w:p w:rsidR="00BD07DC" w:rsidRPr="009D3628" w:rsidRDefault="00E43D28" w:rsidP="00BD07DC">
      <w:pPr>
        <w:pStyle w:val="000"/>
        <w:spacing w:line="360" w:lineRule="auto"/>
        <w:rPr>
          <w:rFonts w:ascii="Calibri" w:hAnsi="Calibri" w:cs="Calibri"/>
          <w:szCs w:val="22"/>
          <w:lang w:val="en-US"/>
        </w:rPr>
      </w:pPr>
      <m:oMathPara>
        <m:oMath>
          <m:sSub>
            <m:sSubPr>
              <m:ctrlPr>
                <w:rPr>
                  <w:rFonts w:ascii="Cambria Math" w:hAnsi="Calibri" w:cs="Calibri"/>
                  <w:i/>
                  <w:szCs w:val="22"/>
                  <w:lang w:val="en-US"/>
                </w:rPr>
              </m:ctrlPr>
            </m:sSubPr>
            <m:e>
              <m:r>
                <w:rPr>
                  <w:rFonts w:ascii="Cambria Math" w:hAnsi="Cambria Math" w:cs="Calibri"/>
                  <w:szCs w:val="22"/>
                  <w:lang w:val="en-US"/>
                </w:rPr>
                <m:t>AVOL</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0</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1</m:t>
              </m:r>
            </m:sub>
          </m:sSub>
          <m:sSub>
            <m:sSubPr>
              <m:ctrlPr>
                <w:rPr>
                  <w:rFonts w:ascii="Cambria Math" w:hAnsi="Calibri" w:cs="Calibri"/>
                  <w:i/>
                  <w:szCs w:val="22"/>
                  <w:lang w:val="en-US"/>
                </w:rPr>
              </m:ctrlPr>
            </m:sSubPr>
            <m:e>
              <m:r>
                <w:rPr>
                  <w:rFonts w:ascii="Cambria Math" w:hAnsi="Cambria Math" w:cs="Calibri"/>
                  <w:szCs w:val="22"/>
                  <w:lang w:val="en-US"/>
                </w:rPr>
                <m:t>POST</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2</m:t>
              </m:r>
            </m:sub>
          </m:sSub>
          <m:sSub>
            <m:sSubPr>
              <m:ctrlPr>
                <w:rPr>
                  <w:rFonts w:ascii="Cambria Math" w:hAnsi="Calibri" w:cs="Calibri"/>
                  <w:i/>
                  <w:szCs w:val="22"/>
                  <w:lang w:val="en-US"/>
                </w:rPr>
              </m:ctrlPr>
            </m:sSubPr>
            <m:e>
              <m:r>
                <w:rPr>
                  <w:rFonts w:ascii="Cambria Math" w:hAnsi="Cambria Math" w:cs="Calibri"/>
                  <w:szCs w:val="22"/>
                  <w:lang w:val="en-US"/>
                </w:rPr>
                <m:t>TIME</m:t>
              </m:r>
            </m:e>
            <m:sub>
              <m:r>
                <w:rPr>
                  <w:rFonts w:ascii="Cambria Math" w:hAnsi="Cambria Math" w:cs="Calibri"/>
                  <w:szCs w:val="22"/>
                  <w:lang w:val="en-US"/>
                </w:rPr>
                <m:t>it</m:t>
              </m:r>
            </m:sub>
          </m:sSub>
          <m:r>
            <w:rPr>
              <w:rFonts w:ascii="Cambria Math" w:hAnsi="Calibri" w:cs="Calibri"/>
              <w:szCs w:val="22"/>
              <w:lang w:val="en-US"/>
            </w:rPr>
            <m:t>+</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3</m:t>
              </m:r>
            </m:sub>
          </m:sSub>
          <m:sSub>
            <m:sSubPr>
              <m:ctrlPr>
                <w:rPr>
                  <w:rFonts w:ascii="Cambria Math" w:hAnsi="Calibri" w:cs="Calibri"/>
                  <w:i/>
                  <w:szCs w:val="22"/>
                  <w:lang w:val="en-US"/>
                </w:rPr>
              </m:ctrlPr>
            </m:sSubPr>
            <m:e>
              <m:r>
                <w:rPr>
                  <w:rFonts w:ascii="Cambria Math" w:hAnsi="Cambria Math" w:cs="Calibri"/>
                  <w:szCs w:val="22"/>
                  <w:lang w:val="en-US"/>
                </w:rPr>
                <m:t>SIZE</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4</m:t>
              </m:r>
            </m:sub>
          </m:sSub>
          <m:sSub>
            <m:sSubPr>
              <m:ctrlPr>
                <w:rPr>
                  <w:rFonts w:ascii="Cambria Math" w:hAnsi="Calibri" w:cs="Calibri"/>
                  <w:i/>
                  <w:szCs w:val="22"/>
                  <w:lang w:val="en-US"/>
                </w:rPr>
              </m:ctrlPr>
            </m:sSubPr>
            <m:e>
              <m:r>
                <w:rPr>
                  <w:rFonts w:ascii="Cambria Math" w:hAnsi="Cambria Math" w:cs="Calibri"/>
                  <w:szCs w:val="22"/>
                  <w:lang w:val="en-US"/>
                </w:rPr>
                <m:t>NUMEST</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5</m:t>
              </m:r>
            </m:sub>
          </m:sSub>
          <m:sSub>
            <m:sSubPr>
              <m:ctrlPr>
                <w:rPr>
                  <w:rFonts w:ascii="Cambria Math" w:hAnsi="Calibri" w:cs="Calibri"/>
                  <w:i/>
                  <w:szCs w:val="22"/>
                  <w:lang w:val="en-US"/>
                </w:rPr>
              </m:ctrlPr>
            </m:sSubPr>
            <m:e>
              <m:r>
                <w:rPr>
                  <w:rFonts w:ascii="Cambria Math" w:hAnsi="Cambria Math" w:cs="Calibri"/>
                  <w:szCs w:val="22"/>
                  <w:lang w:val="en-US"/>
                </w:rPr>
                <m:t>REPLAG</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6</m:t>
              </m:r>
            </m:sub>
          </m:sSub>
          <m:sSub>
            <m:sSubPr>
              <m:ctrlPr>
                <w:rPr>
                  <w:rFonts w:ascii="Cambria Math" w:hAnsi="Calibri" w:cs="Calibri"/>
                  <w:i/>
                  <w:szCs w:val="22"/>
                  <w:lang w:val="en-US"/>
                </w:rPr>
              </m:ctrlPr>
            </m:sSubPr>
            <m:e>
              <m:r>
                <w:rPr>
                  <w:rFonts w:ascii="Cambria Math" w:hAnsi="Cambria Math" w:cs="Calibri"/>
                  <w:szCs w:val="22"/>
                  <w:lang w:val="en-US"/>
                </w:rPr>
                <m:t>LEV</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7</m:t>
              </m:r>
            </m:sub>
          </m:sSub>
          <m:sSub>
            <m:sSubPr>
              <m:ctrlPr>
                <w:rPr>
                  <w:rFonts w:ascii="Cambria Math" w:hAnsi="Calibri" w:cs="Calibri"/>
                  <w:i/>
                  <w:szCs w:val="22"/>
                  <w:lang w:val="en-US"/>
                </w:rPr>
              </m:ctrlPr>
            </m:sSubPr>
            <m:e>
              <m:r>
                <w:rPr>
                  <w:rFonts w:ascii="Cambria Math" w:hAnsi="Cambria Math" w:cs="Calibri"/>
                  <w:szCs w:val="22"/>
                  <w:lang w:val="en-US"/>
                </w:rPr>
                <m:t>DLOSS</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8</m:t>
              </m:r>
            </m:sub>
          </m:sSub>
          <m:sSub>
            <m:sSubPr>
              <m:ctrlPr>
                <w:rPr>
                  <w:rFonts w:ascii="Cambria Math" w:hAnsi="Calibri" w:cs="Calibri"/>
                  <w:i/>
                  <w:szCs w:val="22"/>
                  <w:lang w:val="en-US"/>
                </w:rPr>
              </m:ctrlPr>
            </m:sSubPr>
            <m:e>
              <m:r>
                <w:rPr>
                  <w:rFonts w:ascii="Cambria Math" w:hAnsi="Calibri" w:cs="Calibri"/>
                  <w:szCs w:val="22"/>
                  <w:lang w:val="en-US"/>
                </w:rPr>
                <m:t>|</m:t>
              </m:r>
              <m:r>
                <w:rPr>
                  <w:rFonts w:ascii="Cambria Math" w:hAnsi="Cambria Math" w:cs="Calibri"/>
                  <w:szCs w:val="22"/>
                  <w:lang w:val="en-US"/>
                </w:rPr>
                <m:t>UE</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9</m:t>
              </m:r>
            </m:sub>
          </m:sSub>
          <m:sSub>
            <m:sSubPr>
              <m:ctrlPr>
                <w:rPr>
                  <w:rFonts w:ascii="Cambria Math" w:hAnsi="Calibri" w:cs="Calibri"/>
                  <w:i/>
                  <w:szCs w:val="22"/>
                  <w:lang w:val="en-US"/>
                </w:rPr>
              </m:ctrlPr>
            </m:sSubPr>
            <m:e>
              <m:r>
                <w:rPr>
                  <w:rFonts w:ascii="Cambria Math" w:hAnsi="Cambria Math" w:cs="Calibri"/>
                  <w:szCs w:val="22"/>
                  <w:lang w:val="en-US"/>
                </w:rPr>
                <m:t>DISP</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10</m:t>
              </m:r>
            </m:sub>
          </m:sSub>
          <m:sSub>
            <m:sSubPr>
              <m:ctrlPr>
                <w:rPr>
                  <w:rFonts w:ascii="Cambria Math" w:hAnsi="Calibri" w:cs="Calibri"/>
                  <w:i/>
                  <w:szCs w:val="22"/>
                  <w:lang w:val="en-US"/>
                </w:rPr>
              </m:ctrlPr>
            </m:sSubPr>
            <m:e>
              <m:r>
                <w:rPr>
                  <w:rFonts w:ascii="Cambria Math" w:hAnsi="Cambria Math" w:cs="Calibri"/>
                  <w:szCs w:val="22"/>
                  <w:lang w:val="en-US"/>
                </w:rPr>
                <m:t>ADR</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ε</m:t>
              </m:r>
            </m:e>
            <m:sub>
              <m:r>
                <w:rPr>
                  <w:rFonts w:ascii="Cambria Math" w:hAnsi="Cambria Math" w:cs="Calibri"/>
                  <w:szCs w:val="22"/>
                  <w:lang w:val="en-US"/>
                </w:rPr>
                <m:t>it</m:t>
              </m:r>
            </m:sub>
          </m:sSub>
        </m:oMath>
      </m:oMathPara>
    </w:p>
    <w:p w:rsidR="00BD07DC" w:rsidRPr="009D3628" w:rsidRDefault="00BD07DC" w:rsidP="00275721">
      <w:pPr>
        <w:pStyle w:val="000"/>
        <w:spacing w:line="360" w:lineRule="auto"/>
        <w:rPr>
          <w:rFonts w:ascii="Calibri" w:hAnsi="Calibri" w:cs="Calibri"/>
          <w:szCs w:val="22"/>
          <w:lang w:val="en-US"/>
        </w:rPr>
      </w:pPr>
    </w:p>
    <w:p w:rsidR="00F94B46" w:rsidRPr="009D3628" w:rsidRDefault="00BD07DC" w:rsidP="00275721">
      <w:pPr>
        <w:pStyle w:val="000"/>
        <w:spacing w:line="360" w:lineRule="auto"/>
        <w:rPr>
          <w:rFonts w:ascii="Calibri" w:hAnsi="Calibri" w:cs="Calibri"/>
          <w:szCs w:val="22"/>
          <w:lang w:val="en-US"/>
        </w:rPr>
      </w:pPr>
      <w:r w:rsidRPr="009D3628">
        <w:rPr>
          <w:rFonts w:ascii="Calibri" w:hAnsi="Calibri" w:cs="Calibri"/>
          <w:szCs w:val="22"/>
          <w:lang w:val="en-US"/>
        </w:rPr>
        <w:t xml:space="preserve">Here </w:t>
      </w:r>
      <w:r w:rsidRPr="009D3628">
        <w:rPr>
          <w:rFonts w:ascii="Calibri" w:hAnsi="Calibri" w:cs="Calibri"/>
          <w:i/>
          <w:szCs w:val="22"/>
          <w:lang w:val="en-US"/>
        </w:rPr>
        <w:t>AVAR</w:t>
      </w:r>
      <w:r w:rsidRPr="009D3628">
        <w:rPr>
          <w:rFonts w:ascii="Calibri" w:hAnsi="Calibri" w:cs="Calibri"/>
          <w:szCs w:val="22"/>
          <w:lang w:val="en-US"/>
        </w:rPr>
        <w:t xml:space="preserve"> and </w:t>
      </w:r>
      <w:r w:rsidRPr="009D3628">
        <w:rPr>
          <w:rFonts w:ascii="Calibri" w:hAnsi="Calibri" w:cs="Calibri"/>
          <w:i/>
          <w:szCs w:val="22"/>
          <w:lang w:val="en-US"/>
        </w:rPr>
        <w:t>AVOL</w:t>
      </w:r>
      <w:r w:rsidRPr="009D3628">
        <w:rPr>
          <w:rFonts w:ascii="Calibri" w:hAnsi="Calibri" w:cs="Calibri"/>
          <w:szCs w:val="22"/>
          <w:lang w:val="en-US"/>
        </w:rPr>
        <w:t xml:space="preserve"> are </w:t>
      </w:r>
      <w:r w:rsidR="00F94B46" w:rsidRPr="009D3628">
        <w:rPr>
          <w:rFonts w:ascii="Calibri" w:hAnsi="Calibri" w:cs="Calibri"/>
          <w:szCs w:val="22"/>
          <w:lang w:val="en-US"/>
        </w:rPr>
        <w:t xml:space="preserve">defined the same as done by Beaver (1968) and the other variables are controls which are identified by prior research as variables which can affect trading volume and </w:t>
      </w:r>
      <w:r w:rsidR="00E411E5" w:rsidRPr="009D3628">
        <w:rPr>
          <w:rFonts w:ascii="Calibri" w:hAnsi="Calibri" w:cs="Calibri"/>
          <w:szCs w:val="22"/>
          <w:lang w:val="en-US"/>
        </w:rPr>
        <w:t>return volatility. To test if a</w:t>
      </w:r>
      <w:r w:rsidR="00F94B46" w:rsidRPr="009D3628">
        <w:rPr>
          <w:rFonts w:ascii="Calibri" w:hAnsi="Calibri" w:cs="Calibri"/>
          <w:szCs w:val="22"/>
          <w:lang w:val="en-US"/>
        </w:rPr>
        <w:t xml:space="preserve"> potential increase in </w:t>
      </w:r>
      <w:r w:rsidR="00F94B46" w:rsidRPr="009D3628">
        <w:rPr>
          <w:rFonts w:ascii="Calibri" w:hAnsi="Calibri" w:cs="Calibri"/>
          <w:i/>
          <w:szCs w:val="22"/>
          <w:lang w:val="en-US"/>
        </w:rPr>
        <w:t>AVAR</w:t>
      </w:r>
      <w:r w:rsidR="00F94B46" w:rsidRPr="009D3628">
        <w:rPr>
          <w:rFonts w:ascii="Calibri" w:hAnsi="Calibri" w:cs="Calibri"/>
          <w:szCs w:val="22"/>
          <w:lang w:val="en-US"/>
        </w:rPr>
        <w:t xml:space="preserve"> and</w:t>
      </w:r>
      <w:r w:rsidR="00F94B46" w:rsidRPr="009D3628">
        <w:rPr>
          <w:rFonts w:ascii="Calibri" w:hAnsi="Calibri" w:cs="Calibri"/>
          <w:i/>
          <w:szCs w:val="22"/>
          <w:lang w:val="en-US"/>
        </w:rPr>
        <w:t xml:space="preserve"> AVOL</w:t>
      </w:r>
      <w:r w:rsidR="00F94B46" w:rsidRPr="009D3628">
        <w:rPr>
          <w:rFonts w:ascii="Calibri" w:hAnsi="Calibri" w:cs="Calibri"/>
          <w:szCs w:val="22"/>
          <w:lang w:val="en-US"/>
        </w:rPr>
        <w:t xml:space="preserve"> is greater for firms in countries where the adoption of I</w:t>
      </w:r>
      <w:r w:rsidR="00E411E5" w:rsidRPr="009D3628">
        <w:rPr>
          <w:rFonts w:ascii="Calibri" w:hAnsi="Calibri" w:cs="Calibri"/>
          <w:szCs w:val="22"/>
          <w:lang w:val="en-US"/>
        </w:rPr>
        <w:t xml:space="preserve">FRS is mandatory than for firms </w:t>
      </w:r>
      <w:r w:rsidR="00F94B46" w:rsidRPr="009D3628">
        <w:rPr>
          <w:rFonts w:ascii="Calibri" w:hAnsi="Calibri" w:cs="Calibri"/>
          <w:szCs w:val="22"/>
          <w:lang w:val="en-US"/>
        </w:rPr>
        <w:t xml:space="preserve">in non-IFRS adopting countries, an indicator variable is added to </w:t>
      </w:r>
      <w:r w:rsidR="00F94B46" w:rsidRPr="009D3628">
        <w:rPr>
          <w:rFonts w:ascii="Calibri" w:hAnsi="Calibri" w:cs="Calibri"/>
          <w:i/>
          <w:szCs w:val="22"/>
          <w:lang w:val="en-US"/>
        </w:rPr>
        <w:t>AVAR</w:t>
      </w:r>
      <w:r w:rsidR="00F94B46" w:rsidRPr="009D3628">
        <w:rPr>
          <w:rFonts w:ascii="Calibri" w:hAnsi="Calibri" w:cs="Calibri"/>
          <w:szCs w:val="22"/>
          <w:lang w:val="en-US"/>
        </w:rPr>
        <w:t xml:space="preserve"> and</w:t>
      </w:r>
      <w:r w:rsidR="00F94B46" w:rsidRPr="009D3628">
        <w:rPr>
          <w:rFonts w:ascii="Calibri" w:hAnsi="Calibri" w:cs="Calibri"/>
          <w:i/>
          <w:szCs w:val="22"/>
          <w:lang w:val="en-US"/>
        </w:rPr>
        <w:t xml:space="preserve"> AVOL</w:t>
      </w:r>
      <w:r w:rsidR="00F94B46" w:rsidRPr="009D3628">
        <w:rPr>
          <w:rFonts w:ascii="Calibri" w:hAnsi="Calibri" w:cs="Calibri"/>
          <w:szCs w:val="22"/>
          <w:lang w:val="en-US"/>
        </w:rPr>
        <w:t xml:space="preserve"> equations described above. This results in the following formulas:</w:t>
      </w:r>
    </w:p>
    <w:p w:rsidR="00CA384A" w:rsidRPr="009D3628" w:rsidRDefault="00CA384A" w:rsidP="00275721">
      <w:pPr>
        <w:pStyle w:val="000"/>
        <w:spacing w:line="360" w:lineRule="auto"/>
        <w:rPr>
          <w:rFonts w:ascii="Calibri" w:hAnsi="Calibri" w:cs="Calibri"/>
          <w:szCs w:val="22"/>
          <w:lang w:val="en-US"/>
        </w:rPr>
      </w:pPr>
    </w:p>
    <w:p w:rsidR="00F94B46" w:rsidRPr="009D3628" w:rsidRDefault="00E43D28" w:rsidP="00275721">
      <w:pPr>
        <w:pStyle w:val="000"/>
        <w:spacing w:line="360" w:lineRule="auto"/>
        <w:rPr>
          <w:rFonts w:ascii="Calibri" w:hAnsi="Calibri" w:cs="Calibri"/>
          <w:szCs w:val="22"/>
          <w:lang w:val="en-US"/>
        </w:rPr>
      </w:pPr>
      <m:oMathPara>
        <m:oMath>
          <m:sSub>
            <m:sSubPr>
              <m:ctrlPr>
                <w:rPr>
                  <w:rFonts w:ascii="Cambria Math" w:hAnsi="Calibri" w:cs="Calibri"/>
                  <w:i/>
                  <w:szCs w:val="22"/>
                  <w:lang w:val="en-US"/>
                </w:rPr>
              </m:ctrlPr>
            </m:sSubPr>
            <m:e>
              <m:r>
                <w:rPr>
                  <w:rFonts w:ascii="Cambria Math" w:hAnsi="Cambria Math" w:cs="Calibri"/>
                  <w:szCs w:val="22"/>
                  <w:lang w:val="en-US"/>
                </w:rPr>
                <m:t>AVAR</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0</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1</m:t>
              </m:r>
            </m:sub>
          </m:sSub>
          <m:sSub>
            <m:sSubPr>
              <m:ctrlPr>
                <w:rPr>
                  <w:rFonts w:ascii="Cambria Math" w:hAnsi="Calibri" w:cs="Calibri"/>
                  <w:i/>
                  <w:szCs w:val="22"/>
                  <w:lang w:val="en-US"/>
                </w:rPr>
              </m:ctrlPr>
            </m:sSubPr>
            <m:e>
              <m:r>
                <w:rPr>
                  <w:rFonts w:ascii="Cambria Math" w:hAnsi="Cambria Math" w:cs="Calibri"/>
                  <w:szCs w:val="22"/>
                  <w:lang w:val="en-US"/>
                </w:rPr>
                <m:t>IFRS</m:t>
              </m:r>
            </m:e>
            <m:sub>
              <m:r>
                <w:rPr>
                  <w:rFonts w:ascii="Cambria Math" w:hAnsi="Cambria Math" w:cs="Calibri"/>
                  <w:szCs w:val="22"/>
                  <w:lang w:val="en-US"/>
                </w:rPr>
                <m:t>it</m:t>
              </m:r>
            </m:sub>
          </m:sSub>
          <m:r>
            <w:rPr>
              <w:rFonts w:ascii="Cambria Math" w:hAnsi="Calibri" w:cs="Calibri"/>
              <w:szCs w:val="22"/>
              <w:lang w:val="en-US"/>
            </w:rPr>
            <m:t>+</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2</m:t>
              </m:r>
            </m:sub>
          </m:sSub>
          <m:sSub>
            <m:sSubPr>
              <m:ctrlPr>
                <w:rPr>
                  <w:rFonts w:ascii="Cambria Math" w:hAnsi="Calibri" w:cs="Calibri"/>
                  <w:i/>
                  <w:szCs w:val="22"/>
                  <w:lang w:val="en-US"/>
                </w:rPr>
              </m:ctrlPr>
            </m:sSubPr>
            <m:e>
              <m:r>
                <w:rPr>
                  <w:rFonts w:ascii="Cambria Math" w:hAnsi="Cambria Math" w:cs="Calibri"/>
                  <w:szCs w:val="22"/>
                  <w:lang w:val="en-US"/>
                </w:rPr>
                <m:t>POST</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3</m:t>
              </m:r>
            </m:sub>
          </m:sSub>
          <m:r>
            <w:rPr>
              <w:rFonts w:ascii="Cambria Math" w:hAnsi="Cambria Math" w:cs="Calibri"/>
              <w:szCs w:val="22"/>
              <w:lang w:val="en-US"/>
            </w:rPr>
            <m:t>IFRS*</m:t>
          </m:r>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POST</m:t>
              </m:r>
            </m:e>
            <m:sub>
              <m:r>
                <w:rPr>
                  <w:rFonts w:ascii="Cambria Math" w:hAnsi="Cambria Math" w:cs="Calibri"/>
                  <w:szCs w:val="22"/>
                  <w:lang w:val="en-US"/>
                </w:rPr>
                <m:t>it</m:t>
              </m:r>
            </m:sub>
          </m:sSub>
          <m:r>
            <w:rPr>
              <w:rFonts w:ascii="Cambria Math" w:hAnsi="Calibri" w:cs="Calibri"/>
              <w:szCs w:val="22"/>
              <w:lang w:val="en-US"/>
            </w:rPr>
            <m:t xml:space="preserve">+ </m:t>
          </m:r>
          <m:nary>
            <m:naryPr>
              <m:chr m:val="∑"/>
              <m:limLoc m:val="undOvr"/>
              <m:supHide m:val="on"/>
              <m:ctrlPr>
                <w:rPr>
                  <w:rFonts w:ascii="Cambria Math" w:hAnsi="Calibri" w:cs="Calibri"/>
                  <w:i/>
                  <w:szCs w:val="22"/>
                  <w:lang w:val="en-US"/>
                </w:rPr>
              </m:ctrlPr>
            </m:naryPr>
            <m:sub>
              <m:r>
                <w:rPr>
                  <w:rFonts w:ascii="Cambria Math" w:hAnsi="Cambria Math" w:cs="Calibri"/>
                  <w:szCs w:val="22"/>
                  <w:lang w:val="en-US"/>
                </w:rPr>
                <m:t>k</m:t>
              </m:r>
            </m:sub>
            <m:sup/>
            <m:e>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mbria Math" w:cs="Calibri"/>
                      <w:szCs w:val="22"/>
                      <w:lang w:val="en-US"/>
                    </w:rPr>
                    <m:t>k</m:t>
                  </m:r>
                </m:sub>
              </m:sSub>
            </m:e>
          </m:nary>
          <m:sSubSup>
            <m:sSubSupPr>
              <m:ctrlPr>
                <w:rPr>
                  <w:rFonts w:ascii="Cambria Math" w:hAnsi="Calibri" w:cs="Calibri"/>
                  <w:i/>
                  <w:szCs w:val="22"/>
                  <w:lang w:val="en-US"/>
                </w:rPr>
              </m:ctrlPr>
            </m:sSubSupPr>
            <m:e>
              <m:r>
                <w:rPr>
                  <w:rFonts w:ascii="Cambria Math" w:hAnsi="Cambria Math" w:cs="Calibri"/>
                  <w:szCs w:val="22"/>
                  <w:lang w:val="en-US"/>
                </w:rPr>
                <m:t>CONTROL</m:t>
              </m:r>
            </m:e>
            <m:sub>
              <m:r>
                <w:rPr>
                  <w:rFonts w:ascii="Cambria Math" w:hAnsi="Cambria Math" w:cs="Calibri"/>
                  <w:szCs w:val="22"/>
                  <w:lang w:val="en-US"/>
                </w:rPr>
                <m:t>it</m:t>
              </m:r>
            </m:sub>
            <m:sup>
              <m:r>
                <w:rPr>
                  <w:rFonts w:ascii="Cambria Math" w:hAnsi="Cambria Math" w:cs="Calibri"/>
                  <w:szCs w:val="22"/>
                  <w:lang w:val="en-US"/>
                </w:rPr>
                <m:t>k</m:t>
              </m:r>
            </m:sup>
          </m:sSubSup>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ε</m:t>
              </m:r>
            </m:e>
            <m:sub>
              <m:r>
                <w:rPr>
                  <w:rFonts w:ascii="Cambria Math" w:hAnsi="Cambria Math" w:cs="Calibri"/>
                  <w:szCs w:val="22"/>
                  <w:lang w:val="en-US"/>
                </w:rPr>
                <m:t>it</m:t>
              </m:r>
            </m:sub>
          </m:sSub>
        </m:oMath>
      </m:oMathPara>
    </w:p>
    <w:p w:rsidR="00CA384A" w:rsidRPr="009D3628" w:rsidRDefault="00E43D28" w:rsidP="00CA384A">
      <w:pPr>
        <w:pStyle w:val="000"/>
        <w:spacing w:line="360" w:lineRule="auto"/>
        <w:rPr>
          <w:rFonts w:ascii="Calibri" w:hAnsi="Calibri" w:cs="Calibri"/>
          <w:szCs w:val="22"/>
          <w:lang w:val="en-US"/>
        </w:rPr>
      </w:pPr>
      <m:oMathPara>
        <m:oMath>
          <m:sSub>
            <m:sSubPr>
              <m:ctrlPr>
                <w:rPr>
                  <w:rFonts w:ascii="Cambria Math" w:hAnsi="Calibri" w:cs="Calibri"/>
                  <w:i/>
                  <w:szCs w:val="22"/>
                  <w:lang w:val="en-US"/>
                </w:rPr>
              </m:ctrlPr>
            </m:sSubPr>
            <m:e>
              <m:r>
                <w:rPr>
                  <w:rFonts w:ascii="Cambria Math" w:hAnsi="Cambria Math" w:cs="Calibri"/>
                  <w:szCs w:val="22"/>
                  <w:lang w:val="en-US"/>
                </w:rPr>
                <m:t>AVOL</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0</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1</m:t>
              </m:r>
            </m:sub>
          </m:sSub>
          <m:sSub>
            <m:sSubPr>
              <m:ctrlPr>
                <w:rPr>
                  <w:rFonts w:ascii="Cambria Math" w:hAnsi="Calibri" w:cs="Calibri"/>
                  <w:i/>
                  <w:szCs w:val="22"/>
                  <w:lang w:val="en-US"/>
                </w:rPr>
              </m:ctrlPr>
            </m:sSubPr>
            <m:e>
              <m:r>
                <w:rPr>
                  <w:rFonts w:ascii="Cambria Math" w:hAnsi="Cambria Math" w:cs="Calibri"/>
                  <w:szCs w:val="22"/>
                  <w:lang w:val="en-US"/>
                </w:rPr>
                <m:t>IFRS</m:t>
              </m:r>
            </m:e>
            <m:sub>
              <m:r>
                <w:rPr>
                  <w:rFonts w:ascii="Cambria Math" w:hAnsi="Cambria Math" w:cs="Calibri"/>
                  <w:szCs w:val="22"/>
                  <w:lang w:val="en-US"/>
                </w:rPr>
                <m:t>it</m:t>
              </m:r>
            </m:sub>
          </m:sSub>
          <m:r>
            <w:rPr>
              <w:rFonts w:ascii="Cambria Math" w:hAnsi="Calibri" w:cs="Calibri"/>
              <w:szCs w:val="22"/>
              <w:lang w:val="en-US"/>
            </w:rPr>
            <m:t>+</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2</m:t>
              </m:r>
            </m:sub>
          </m:sSub>
          <m:sSub>
            <m:sSubPr>
              <m:ctrlPr>
                <w:rPr>
                  <w:rFonts w:ascii="Cambria Math" w:hAnsi="Calibri" w:cs="Calibri"/>
                  <w:i/>
                  <w:szCs w:val="22"/>
                  <w:lang w:val="en-US"/>
                </w:rPr>
              </m:ctrlPr>
            </m:sSubPr>
            <m:e>
              <m:r>
                <w:rPr>
                  <w:rFonts w:ascii="Cambria Math" w:hAnsi="Cambria Math" w:cs="Calibri"/>
                  <w:szCs w:val="22"/>
                  <w:lang w:val="en-US"/>
                </w:rPr>
                <m:t>POST</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3</m:t>
              </m:r>
            </m:sub>
          </m:sSub>
          <m:r>
            <w:rPr>
              <w:rFonts w:ascii="Cambria Math" w:hAnsi="Cambria Math" w:cs="Calibri"/>
              <w:szCs w:val="22"/>
              <w:lang w:val="en-US"/>
            </w:rPr>
            <m:t>IFRS*</m:t>
          </m:r>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POST</m:t>
              </m:r>
            </m:e>
            <m:sub>
              <m:r>
                <w:rPr>
                  <w:rFonts w:ascii="Cambria Math" w:hAnsi="Cambria Math" w:cs="Calibri"/>
                  <w:szCs w:val="22"/>
                  <w:lang w:val="en-US"/>
                </w:rPr>
                <m:t>it</m:t>
              </m:r>
            </m:sub>
          </m:sSub>
          <m:r>
            <w:rPr>
              <w:rFonts w:ascii="Cambria Math" w:hAnsi="Calibri" w:cs="Calibri"/>
              <w:szCs w:val="22"/>
              <w:lang w:val="en-US"/>
            </w:rPr>
            <m:t xml:space="preserve">+ </m:t>
          </m:r>
          <m:nary>
            <m:naryPr>
              <m:chr m:val="∑"/>
              <m:limLoc m:val="undOvr"/>
              <m:supHide m:val="on"/>
              <m:ctrlPr>
                <w:rPr>
                  <w:rFonts w:ascii="Cambria Math" w:hAnsi="Calibri" w:cs="Calibri"/>
                  <w:i/>
                  <w:szCs w:val="22"/>
                  <w:lang w:val="en-US"/>
                </w:rPr>
              </m:ctrlPr>
            </m:naryPr>
            <m:sub>
              <m:r>
                <w:rPr>
                  <w:rFonts w:ascii="Cambria Math" w:hAnsi="Cambria Math" w:cs="Calibri"/>
                  <w:szCs w:val="22"/>
                  <w:lang w:val="en-US"/>
                </w:rPr>
                <m:t>k</m:t>
              </m:r>
            </m:sub>
            <m:sup/>
            <m:e>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mbria Math" w:cs="Calibri"/>
                      <w:szCs w:val="22"/>
                      <w:lang w:val="en-US"/>
                    </w:rPr>
                    <m:t>k</m:t>
                  </m:r>
                </m:sub>
              </m:sSub>
            </m:e>
          </m:nary>
          <m:sSubSup>
            <m:sSubSupPr>
              <m:ctrlPr>
                <w:rPr>
                  <w:rFonts w:ascii="Cambria Math" w:hAnsi="Calibri" w:cs="Calibri"/>
                  <w:i/>
                  <w:szCs w:val="22"/>
                  <w:lang w:val="en-US"/>
                </w:rPr>
              </m:ctrlPr>
            </m:sSubSupPr>
            <m:e>
              <m:r>
                <w:rPr>
                  <w:rFonts w:ascii="Cambria Math" w:hAnsi="Cambria Math" w:cs="Calibri"/>
                  <w:szCs w:val="22"/>
                  <w:lang w:val="en-US"/>
                </w:rPr>
                <m:t>CONTROL</m:t>
              </m:r>
            </m:e>
            <m:sub>
              <m:r>
                <w:rPr>
                  <w:rFonts w:ascii="Cambria Math" w:hAnsi="Cambria Math" w:cs="Calibri"/>
                  <w:szCs w:val="22"/>
                  <w:lang w:val="en-US"/>
                </w:rPr>
                <m:t>it</m:t>
              </m:r>
            </m:sub>
            <m:sup>
              <m:r>
                <w:rPr>
                  <w:rFonts w:ascii="Cambria Math" w:hAnsi="Cambria Math" w:cs="Calibri"/>
                  <w:szCs w:val="22"/>
                  <w:lang w:val="en-US"/>
                </w:rPr>
                <m:t>k</m:t>
              </m:r>
            </m:sup>
          </m:sSubSup>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ε</m:t>
              </m:r>
            </m:e>
            <m:sub>
              <m:r>
                <w:rPr>
                  <w:rFonts w:ascii="Cambria Math" w:hAnsi="Cambria Math" w:cs="Calibri"/>
                  <w:szCs w:val="22"/>
                  <w:lang w:val="en-US"/>
                </w:rPr>
                <m:t>it</m:t>
              </m:r>
            </m:sub>
          </m:sSub>
        </m:oMath>
      </m:oMathPara>
    </w:p>
    <w:p w:rsidR="00CA384A" w:rsidRPr="009D3628" w:rsidRDefault="00CA384A" w:rsidP="00CA384A">
      <w:pPr>
        <w:pStyle w:val="000"/>
        <w:spacing w:line="360" w:lineRule="auto"/>
        <w:rPr>
          <w:rFonts w:ascii="Calibri" w:hAnsi="Calibri" w:cs="Calibri"/>
          <w:szCs w:val="22"/>
          <w:lang w:val="en-US"/>
        </w:rPr>
      </w:pPr>
    </w:p>
    <w:p w:rsidR="00F94B46" w:rsidRPr="009D3628" w:rsidRDefault="00CA384A" w:rsidP="00275721">
      <w:pPr>
        <w:pStyle w:val="000"/>
        <w:spacing w:line="360" w:lineRule="auto"/>
        <w:rPr>
          <w:rFonts w:ascii="Calibri" w:hAnsi="Calibri" w:cs="Calibri"/>
          <w:szCs w:val="22"/>
          <w:lang w:val="en-US"/>
        </w:rPr>
      </w:pPr>
      <w:r w:rsidRPr="009D3628">
        <w:rPr>
          <w:rFonts w:ascii="Calibri" w:hAnsi="Calibri" w:cs="Calibri"/>
          <w:szCs w:val="22"/>
          <w:lang w:val="en-US"/>
        </w:rPr>
        <w:t xml:space="preserve">The interaction variable </w:t>
      </w:r>
      <m:oMath>
        <m:r>
          <w:rPr>
            <w:rFonts w:ascii="Cambria Math" w:hAnsi="Cambria Math" w:cs="Calibri"/>
            <w:szCs w:val="22"/>
            <w:lang w:val="en-US"/>
          </w:rPr>
          <m:t>IFRS*</m:t>
        </m:r>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POST</m:t>
            </m:r>
          </m:e>
          <m:sub>
            <m:r>
              <w:rPr>
                <w:rFonts w:ascii="Cambria Math" w:hAnsi="Cambria Math" w:cs="Calibri"/>
                <w:szCs w:val="22"/>
                <w:lang w:val="en-US"/>
              </w:rPr>
              <m:t>it</m:t>
            </m:r>
          </m:sub>
        </m:sSub>
      </m:oMath>
      <w:r w:rsidRPr="009D3628">
        <w:rPr>
          <w:rFonts w:ascii="Calibri" w:hAnsi="Calibri" w:cs="Calibri"/>
          <w:szCs w:val="22"/>
          <w:lang w:val="en-US"/>
        </w:rPr>
        <w:t xml:space="preserve"> measures the difference-in-changes in </w:t>
      </w:r>
      <w:r w:rsidRPr="009D3628">
        <w:rPr>
          <w:rFonts w:ascii="Calibri" w:hAnsi="Calibri" w:cs="Calibri"/>
          <w:i/>
          <w:szCs w:val="22"/>
          <w:lang w:val="en-US"/>
        </w:rPr>
        <w:t>AVAR</w:t>
      </w:r>
      <w:r w:rsidRPr="009D3628">
        <w:rPr>
          <w:rFonts w:ascii="Calibri" w:hAnsi="Calibri" w:cs="Calibri"/>
          <w:szCs w:val="22"/>
          <w:lang w:val="en-US"/>
        </w:rPr>
        <w:t xml:space="preserve"> and </w:t>
      </w:r>
      <w:r w:rsidRPr="009D3628">
        <w:rPr>
          <w:rFonts w:ascii="Calibri" w:hAnsi="Calibri" w:cs="Calibri"/>
          <w:i/>
          <w:szCs w:val="22"/>
          <w:lang w:val="en-US"/>
        </w:rPr>
        <w:t xml:space="preserve">AVOL </w:t>
      </w:r>
      <w:r w:rsidRPr="009D3628">
        <w:rPr>
          <w:rFonts w:ascii="Calibri" w:hAnsi="Calibri" w:cs="Calibri"/>
          <w:szCs w:val="22"/>
          <w:lang w:val="en-US"/>
        </w:rPr>
        <w:t>effectively for the group of firms which adopted IFRS mandatory relative to the non-IFRS control group. At last, Landsman, Maydew and Thornock (2011) take into accoun</w:t>
      </w:r>
      <w:r w:rsidR="00E411E5" w:rsidRPr="009D3628">
        <w:rPr>
          <w:rFonts w:ascii="Calibri" w:hAnsi="Calibri" w:cs="Calibri"/>
          <w:szCs w:val="22"/>
          <w:lang w:val="en-US"/>
        </w:rPr>
        <w:t>t the role of legal enforcement; they do</w:t>
      </w:r>
      <w:r w:rsidRPr="009D3628">
        <w:rPr>
          <w:rFonts w:ascii="Calibri" w:hAnsi="Calibri" w:cs="Calibri"/>
          <w:szCs w:val="22"/>
          <w:lang w:val="en-US"/>
        </w:rPr>
        <w:t xml:space="preserve"> this because they expect a variation in the effect of mandatory IFRS adoption on the information content of earnings </w:t>
      </w:r>
      <w:r w:rsidR="00FC0294" w:rsidRPr="009D3628">
        <w:rPr>
          <w:rFonts w:ascii="Calibri" w:hAnsi="Calibri" w:cs="Calibri"/>
          <w:szCs w:val="22"/>
          <w:lang w:val="en-US"/>
        </w:rPr>
        <w:t>which depends on the institutional differences across countries. By using the following equation</w:t>
      </w:r>
      <w:r w:rsidR="00E411E5" w:rsidRPr="009D3628">
        <w:rPr>
          <w:rFonts w:ascii="Calibri" w:hAnsi="Calibri" w:cs="Calibri"/>
          <w:szCs w:val="22"/>
          <w:lang w:val="en-US"/>
        </w:rPr>
        <w:t xml:space="preserve"> they investigate whether the</w:t>
      </w:r>
      <w:r w:rsidR="00FC0294" w:rsidRPr="009D3628">
        <w:rPr>
          <w:rFonts w:ascii="Calibri" w:hAnsi="Calibri" w:cs="Calibri"/>
          <w:szCs w:val="22"/>
          <w:lang w:val="en-US"/>
        </w:rPr>
        <w:t xml:space="preserve"> information content of earnings following IFRS</w:t>
      </w:r>
      <w:r w:rsidR="00E411E5" w:rsidRPr="009D3628">
        <w:rPr>
          <w:rFonts w:ascii="Calibri" w:hAnsi="Calibri" w:cs="Calibri"/>
          <w:szCs w:val="22"/>
          <w:lang w:val="en-US"/>
        </w:rPr>
        <w:t xml:space="preserve"> adoption is greater for firms </w:t>
      </w:r>
      <w:r w:rsidR="00FC0294" w:rsidRPr="009D3628">
        <w:rPr>
          <w:rFonts w:ascii="Calibri" w:hAnsi="Calibri" w:cs="Calibri"/>
          <w:szCs w:val="22"/>
          <w:lang w:val="en-US"/>
        </w:rPr>
        <w:t>in countries where they have high legal enforcement relative to firms in counties with low legal enforcement:</w:t>
      </w:r>
    </w:p>
    <w:p w:rsidR="00FC0294" w:rsidRPr="009D3628" w:rsidRDefault="00FC0294" w:rsidP="00275721">
      <w:pPr>
        <w:pStyle w:val="000"/>
        <w:spacing w:line="360" w:lineRule="auto"/>
        <w:rPr>
          <w:rFonts w:ascii="Calibri" w:hAnsi="Calibri" w:cs="Calibri"/>
          <w:szCs w:val="22"/>
          <w:lang w:val="en-US"/>
        </w:rPr>
      </w:pPr>
    </w:p>
    <w:p w:rsidR="00FC0294" w:rsidRPr="009D3628" w:rsidRDefault="00E43D28" w:rsidP="00FC0294">
      <w:pPr>
        <w:pStyle w:val="000"/>
        <w:spacing w:line="360" w:lineRule="auto"/>
        <w:rPr>
          <w:rFonts w:ascii="Calibri" w:hAnsi="Calibri" w:cs="Calibri"/>
          <w:szCs w:val="22"/>
          <w:lang w:val="en-US"/>
        </w:rPr>
      </w:pPr>
      <m:oMathPara>
        <m:oMath>
          <m:sSub>
            <m:sSubPr>
              <m:ctrlPr>
                <w:rPr>
                  <w:rFonts w:ascii="Cambria Math" w:hAnsi="Calibri" w:cs="Calibri"/>
                  <w:i/>
                  <w:szCs w:val="22"/>
                  <w:lang w:val="en-US"/>
                </w:rPr>
              </m:ctrlPr>
            </m:sSubPr>
            <m:e>
              <m:r>
                <w:rPr>
                  <w:rFonts w:ascii="Cambria Math" w:hAnsi="Cambria Math" w:cs="Calibri"/>
                  <w:szCs w:val="22"/>
                  <w:lang w:val="en-US"/>
                </w:rPr>
                <m:t>AVAR</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0</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1</m:t>
              </m:r>
            </m:sub>
          </m:sSub>
          <m:sSub>
            <m:sSubPr>
              <m:ctrlPr>
                <w:rPr>
                  <w:rFonts w:ascii="Cambria Math" w:hAnsi="Calibri" w:cs="Calibri"/>
                  <w:i/>
                  <w:szCs w:val="22"/>
                  <w:lang w:val="en-US"/>
                </w:rPr>
              </m:ctrlPr>
            </m:sSubPr>
            <m:e>
              <m:r>
                <w:rPr>
                  <w:rFonts w:ascii="Cambria Math" w:hAnsi="Cambria Math" w:cs="Calibri"/>
                  <w:szCs w:val="22"/>
                  <w:lang w:val="en-US"/>
                </w:rPr>
                <m:t>DENFORCEMENT</m:t>
              </m:r>
            </m:e>
            <m:sub>
              <m:r>
                <w:rPr>
                  <w:rFonts w:ascii="Cambria Math" w:hAnsi="Cambria Math" w:cs="Calibri"/>
                  <w:szCs w:val="22"/>
                  <w:lang w:val="en-US"/>
                </w:rPr>
                <m:t>it</m:t>
              </m:r>
            </m:sub>
          </m:sSub>
          <m:r>
            <w:rPr>
              <w:rFonts w:ascii="Cambria Math" w:hAnsi="Calibri" w:cs="Calibri"/>
              <w:szCs w:val="22"/>
              <w:lang w:val="en-US"/>
            </w:rPr>
            <m:t>+</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2</m:t>
              </m:r>
            </m:sub>
          </m:sSub>
          <m:sSub>
            <m:sSubPr>
              <m:ctrlPr>
                <w:rPr>
                  <w:rFonts w:ascii="Cambria Math" w:hAnsi="Calibri" w:cs="Calibri"/>
                  <w:i/>
                  <w:szCs w:val="22"/>
                  <w:lang w:val="en-US"/>
                </w:rPr>
              </m:ctrlPr>
            </m:sSubPr>
            <m:e>
              <m:r>
                <w:rPr>
                  <w:rFonts w:ascii="Cambria Math" w:hAnsi="Cambria Math" w:cs="Calibri"/>
                  <w:szCs w:val="22"/>
                  <w:lang w:val="en-US"/>
                </w:rPr>
                <m:t>POST</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3</m:t>
              </m:r>
            </m:sub>
          </m:sSub>
          <m:r>
            <w:rPr>
              <w:rFonts w:ascii="Cambria Math" w:hAnsi="Cambria Math" w:cs="Calibri"/>
              <w:szCs w:val="22"/>
              <w:lang w:val="en-US"/>
            </w:rPr>
            <m:t>DENFORCEMENT*</m:t>
          </m:r>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POST</m:t>
              </m:r>
            </m:e>
            <m:sub>
              <m:r>
                <w:rPr>
                  <w:rFonts w:ascii="Cambria Math" w:hAnsi="Cambria Math" w:cs="Calibri"/>
                  <w:szCs w:val="22"/>
                  <w:lang w:val="en-US"/>
                </w:rPr>
                <m:t>it</m:t>
              </m:r>
            </m:sub>
          </m:sSub>
          <m:r>
            <w:rPr>
              <w:rFonts w:ascii="Cambria Math" w:hAnsi="Calibri" w:cs="Calibri"/>
              <w:szCs w:val="22"/>
              <w:lang w:val="en-US"/>
            </w:rPr>
            <m:t xml:space="preserve">+ </m:t>
          </m:r>
          <m:nary>
            <m:naryPr>
              <m:chr m:val="∑"/>
              <m:limLoc m:val="undOvr"/>
              <m:supHide m:val="on"/>
              <m:ctrlPr>
                <w:rPr>
                  <w:rFonts w:ascii="Cambria Math" w:hAnsi="Calibri" w:cs="Calibri"/>
                  <w:i/>
                  <w:szCs w:val="22"/>
                  <w:lang w:val="en-US"/>
                </w:rPr>
              </m:ctrlPr>
            </m:naryPr>
            <m:sub>
              <m:r>
                <w:rPr>
                  <w:rFonts w:ascii="Cambria Math" w:hAnsi="Cambria Math" w:cs="Calibri"/>
                  <w:szCs w:val="22"/>
                  <w:lang w:val="en-US"/>
                </w:rPr>
                <m:t>k</m:t>
              </m:r>
            </m:sub>
            <m:sup/>
            <m:e>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mbria Math" w:cs="Calibri"/>
                      <w:szCs w:val="22"/>
                      <w:lang w:val="en-US"/>
                    </w:rPr>
                    <m:t>k</m:t>
                  </m:r>
                </m:sub>
              </m:sSub>
            </m:e>
          </m:nary>
          <m:sSubSup>
            <m:sSubSupPr>
              <m:ctrlPr>
                <w:rPr>
                  <w:rFonts w:ascii="Cambria Math" w:hAnsi="Calibri" w:cs="Calibri"/>
                  <w:i/>
                  <w:szCs w:val="22"/>
                  <w:lang w:val="en-US"/>
                </w:rPr>
              </m:ctrlPr>
            </m:sSubSupPr>
            <m:e>
              <m:r>
                <w:rPr>
                  <w:rFonts w:ascii="Cambria Math" w:hAnsi="Cambria Math" w:cs="Calibri"/>
                  <w:szCs w:val="22"/>
                  <w:lang w:val="en-US"/>
                </w:rPr>
                <m:t>CONTROL</m:t>
              </m:r>
            </m:e>
            <m:sub>
              <m:r>
                <w:rPr>
                  <w:rFonts w:ascii="Cambria Math" w:hAnsi="Cambria Math" w:cs="Calibri"/>
                  <w:szCs w:val="22"/>
                  <w:lang w:val="en-US"/>
                </w:rPr>
                <m:t>it</m:t>
              </m:r>
            </m:sub>
            <m:sup>
              <m:r>
                <w:rPr>
                  <w:rFonts w:ascii="Cambria Math" w:hAnsi="Cambria Math" w:cs="Calibri"/>
                  <w:szCs w:val="22"/>
                  <w:lang w:val="en-US"/>
                </w:rPr>
                <m:t>k</m:t>
              </m:r>
            </m:sup>
          </m:sSubSup>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ε</m:t>
              </m:r>
            </m:e>
            <m:sub>
              <m:r>
                <w:rPr>
                  <w:rFonts w:ascii="Cambria Math" w:hAnsi="Cambria Math" w:cs="Calibri"/>
                  <w:szCs w:val="22"/>
                  <w:lang w:val="en-US"/>
                </w:rPr>
                <m:t>it</m:t>
              </m:r>
            </m:sub>
          </m:sSub>
        </m:oMath>
      </m:oMathPara>
    </w:p>
    <w:p w:rsidR="00FC0294" w:rsidRPr="009D3628" w:rsidRDefault="00E43D28" w:rsidP="00FC0294">
      <w:pPr>
        <w:pStyle w:val="000"/>
        <w:spacing w:line="360" w:lineRule="auto"/>
        <w:rPr>
          <w:rFonts w:ascii="Calibri" w:hAnsi="Calibri" w:cs="Calibri"/>
          <w:szCs w:val="22"/>
          <w:lang w:val="en-US"/>
        </w:rPr>
      </w:pPr>
      <m:oMathPara>
        <m:oMath>
          <m:sSub>
            <m:sSubPr>
              <m:ctrlPr>
                <w:rPr>
                  <w:rFonts w:ascii="Cambria Math" w:hAnsi="Calibri" w:cs="Calibri"/>
                  <w:i/>
                  <w:szCs w:val="22"/>
                  <w:lang w:val="en-US"/>
                </w:rPr>
              </m:ctrlPr>
            </m:sSubPr>
            <m:e>
              <m:r>
                <w:rPr>
                  <w:rFonts w:ascii="Cambria Math" w:hAnsi="Cambria Math" w:cs="Calibri"/>
                  <w:szCs w:val="22"/>
                  <w:lang w:val="en-US"/>
                </w:rPr>
                <m:t>AVOL</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0</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1</m:t>
              </m:r>
            </m:sub>
          </m:sSub>
          <m:sSub>
            <m:sSubPr>
              <m:ctrlPr>
                <w:rPr>
                  <w:rFonts w:ascii="Cambria Math" w:hAnsi="Calibri" w:cs="Calibri"/>
                  <w:i/>
                  <w:szCs w:val="22"/>
                  <w:lang w:val="en-US"/>
                </w:rPr>
              </m:ctrlPr>
            </m:sSubPr>
            <m:e>
              <m:r>
                <w:rPr>
                  <w:rFonts w:ascii="Cambria Math" w:hAnsi="Cambria Math" w:cs="Calibri"/>
                  <w:szCs w:val="22"/>
                  <w:lang w:val="en-US"/>
                </w:rPr>
                <m:t>DENFORCEM</m:t>
              </m:r>
              <m:r>
                <w:rPr>
                  <w:rFonts w:ascii="Cambria Math" w:hAnsi="Cambria Math" w:cs="Calibri"/>
                  <w:szCs w:val="22"/>
                  <w:lang w:val="en-US"/>
                </w:rPr>
                <m:t>ENT</m:t>
              </m:r>
            </m:e>
            <m:sub>
              <m:r>
                <w:rPr>
                  <w:rFonts w:ascii="Cambria Math" w:hAnsi="Cambria Math" w:cs="Calibri"/>
                  <w:szCs w:val="22"/>
                  <w:lang w:val="en-US"/>
                </w:rPr>
                <m:t>it</m:t>
              </m:r>
            </m:sub>
          </m:sSub>
          <m:r>
            <w:rPr>
              <w:rFonts w:ascii="Cambria Math" w:hAnsi="Calibri" w:cs="Calibri"/>
              <w:szCs w:val="22"/>
              <w:lang w:val="en-US"/>
            </w:rPr>
            <m:t>+</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2</m:t>
              </m:r>
            </m:sub>
          </m:sSub>
          <m:sSub>
            <m:sSubPr>
              <m:ctrlPr>
                <w:rPr>
                  <w:rFonts w:ascii="Cambria Math" w:hAnsi="Calibri" w:cs="Calibri"/>
                  <w:i/>
                  <w:szCs w:val="22"/>
                  <w:lang w:val="en-US"/>
                </w:rPr>
              </m:ctrlPr>
            </m:sSubPr>
            <m:e>
              <m:r>
                <w:rPr>
                  <w:rFonts w:ascii="Cambria Math" w:hAnsi="Cambria Math" w:cs="Calibri"/>
                  <w:szCs w:val="22"/>
                  <w:lang w:val="en-US"/>
                </w:rPr>
                <m:t>POST</m:t>
              </m:r>
            </m:e>
            <m:sub>
              <m:r>
                <w:rPr>
                  <w:rFonts w:ascii="Cambria Math" w:hAnsi="Cambria Math" w:cs="Calibri"/>
                  <w:szCs w:val="22"/>
                  <w:lang w:val="en-US"/>
                </w:rPr>
                <m:t>it</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libri" w:cs="Calibri"/>
                  <w:szCs w:val="22"/>
                  <w:lang w:val="en-US"/>
                </w:rPr>
                <m:t>3</m:t>
              </m:r>
            </m:sub>
          </m:sSub>
          <m:r>
            <w:rPr>
              <w:rFonts w:ascii="Cambria Math" w:hAnsi="Cambria Math" w:cs="Calibri"/>
              <w:szCs w:val="22"/>
              <w:lang w:val="en-US"/>
            </w:rPr>
            <m:t>DENFORCEMENT*</m:t>
          </m:r>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POST</m:t>
              </m:r>
            </m:e>
            <m:sub>
              <m:r>
                <w:rPr>
                  <w:rFonts w:ascii="Cambria Math" w:hAnsi="Cambria Math" w:cs="Calibri"/>
                  <w:szCs w:val="22"/>
                  <w:lang w:val="en-US"/>
                </w:rPr>
                <m:t>it</m:t>
              </m:r>
            </m:sub>
          </m:sSub>
          <m:r>
            <w:rPr>
              <w:rFonts w:ascii="Cambria Math" w:hAnsi="Calibri" w:cs="Calibri"/>
              <w:szCs w:val="22"/>
              <w:lang w:val="en-US"/>
            </w:rPr>
            <m:t xml:space="preserve">+ </m:t>
          </m:r>
          <m:nary>
            <m:naryPr>
              <m:chr m:val="∑"/>
              <m:limLoc m:val="undOvr"/>
              <m:supHide m:val="on"/>
              <m:ctrlPr>
                <w:rPr>
                  <w:rFonts w:ascii="Cambria Math" w:hAnsi="Calibri" w:cs="Calibri"/>
                  <w:i/>
                  <w:szCs w:val="22"/>
                  <w:lang w:val="en-US"/>
                </w:rPr>
              </m:ctrlPr>
            </m:naryPr>
            <m:sub>
              <m:r>
                <w:rPr>
                  <w:rFonts w:ascii="Cambria Math" w:hAnsi="Cambria Math" w:cs="Calibri"/>
                  <w:szCs w:val="22"/>
                  <w:lang w:val="en-US"/>
                </w:rPr>
                <m:t>k</m:t>
              </m:r>
            </m:sub>
            <m:sup/>
            <m:e>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mbria Math" w:cs="Calibri"/>
                      <w:szCs w:val="22"/>
                      <w:lang w:val="en-US"/>
                    </w:rPr>
                    <m:t>k</m:t>
                  </m:r>
                </m:sub>
              </m:sSub>
            </m:e>
          </m:nary>
          <m:sSubSup>
            <m:sSubSupPr>
              <m:ctrlPr>
                <w:rPr>
                  <w:rFonts w:ascii="Cambria Math" w:hAnsi="Calibri" w:cs="Calibri"/>
                  <w:i/>
                  <w:szCs w:val="22"/>
                  <w:lang w:val="en-US"/>
                </w:rPr>
              </m:ctrlPr>
            </m:sSubSupPr>
            <m:e>
              <m:r>
                <w:rPr>
                  <w:rFonts w:ascii="Cambria Math" w:hAnsi="Cambria Math" w:cs="Calibri"/>
                  <w:szCs w:val="22"/>
                  <w:lang w:val="en-US"/>
                </w:rPr>
                <m:t>CONTROL</m:t>
              </m:r>
            </m:e>
            <m:sub>
              <m:r>
                <w:rPr>
                  <w:rFonts w:ascii="Cambria Math" w:hAnsi="Cambria Math" w:cs="Calibri"/>
                  <w:szCs w:val="22"/>
                  <w:lang w:val="en-US"/>
                </w:rPr>
                <m:t>it</m:t>
              </m:r>
            </m:sub>
            <m:sup>
              <m:r>
                <w:rPr>
                  <w:rFonts w:ascii="Cambria Math" w:hAnsi="Cambria Math" w:cs="Calibri"/>
                  <w:szCs w:val="22"/>
                  <w:lang w:val="en-US"/>
                </w:rPr>
                <m:t>k</m:t>
              </m:r>
            </m:sup>
          </m:sSubSup>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ε</m:t>
              </m:r>
            </m:e>
            <m:sub>
              <m:r>
                <w:rPr>
                  <w:rFonts w:ascii="Cambria Math" w:hAnsi="Cambria Math" w:cs="Calibri"/>
                  <w:szCs w:val="22"/>
                  <w:lang w:val="en-US"/>
                </w:rPr>
                <m:t>it</m:t>
              </m:r>
            </m:sub>
          </m:sSub>
        </m:oMath>
      </m:oMathPara>
    </w:p>
    <w:p w:rsidR="00347177" w:rsidRPr="009D3628" w:rsidRDefault="00347177" w:rsidP="00FC0294">
      <w:pPr>
        <w:pStyle w:val="000"/>
        <w:spacing w:line="360" w:lineRule="auto"/>
        <w:rPr>
          <w:rFonts w:ascii="Calibri" w:hAnsi="Calibri" w:cs="Calibri"/>
          <w:szCs w:val="22"/>
          <w:lang w:val="en-US"/>
        </w:rPr>
      </w:pPr>
    </w:p>
    <w:p w:rsidR="00347177" w:rsidRPr="009D3628" w:rsidRDefault="00347177" w:rsidP="00FC0294">
      <w:pPr>
        <w:pStyle w:val="000"/>
        <w:spacing w:line="360" w:lineRule="auto"/>
        <w:rPr>
          <w:rFonts w:ascii="Calibri" w:hAnsi="Calibri" w:cs="Calibri"/>
          <w:szCs w:val="22"/>
          <w:lang w:val="en-US"/>
        </w:rPr>
      </w:pPr>
      <w:r w:rsidRPr="009D3628">
        <w:rPr>
          <w:rFonts w:ascii="Calibri" w:hAnsi="Calibri" w:cs="Calibri"/>
          <w:szCs w:val="22"/>
          <w:lang w:val="en-US"/>
        </w:rPr>
        <w:t xml:space="preserve">Where </w:t>
      </w:r>
      <m:oMath>
        <m:r>
          <w:rPr>
            <w:rFonts w:ascii="Cambria Math" w:hAnsi="Cambria Math" w:cs="Calibri"/>
            <w:szCs w:val="22"/>
            <w:lang w:val="en-US"/>
          </w:rPr>
          <m:t>DENFORCEMENT</m:t>
        </m:r>
      </m:oMath>
      <w:r w:rsidRPr="009D3628">
        <w:rPr>
          <w:rFonts w:ascii="Calibri" w:hAnsi="Calibri" w:cs="Calibri"/>
          <w:szCs w:val="22"/>
          <w:lang w:val="en-US"/>
        </w:rPr>
        <w:t xml:space="preserve"> is an indicator variable for whether the level of enforcement in a country is above the sample median level. </w:t>
      </w:r>
    </w:p>
    <w:p w:rsidR="00FC0294" w:rsidRPr="009D3628" w:rsidRDefault="00FC0294" w:rsidP="00275721">
      <w:pPr>
        <w:pStyle w:val="000"/>
        <w:spacing w:line="360" w:lineRule="auto"/>
        <w:rPr>
          <w:rFonts w:ascii="Calibri" w:hAnsi="Calibri" w:cs="Calibri"/>
          <w:szCs w:val="22"/>
          <w:lang w:val="en-US"/>
        </w:rPr>
      </w:pPr>
    </w:p>
    <w:p w:rsidR="00275721" w:rsidRPr="009D3628" w:rsidRDefault="00275721" w:rsidP="00275721">
      <w:pPr>
        <w:pStyle w:val="000"/>
        <w:spacing w:line="360" w:lineRule="auto"/>
        <w:rPr>
          <w:rFonts w:ascii="Calibri" w:hAnsi="Calibri" w:cs="Calibri"/>
          <w:szCs w:val="22"/>
          <w:lang w:val="en-US"/>
        </w:rPr>
      </w:pPr>
      <w:r w:rsidRPr="009D3628">
        <w:rPr>
          <w:rFonts w:ascii="Calibri" w:hAnsi="Calibri" w:cs="Calibri"/>
          <w:szCs w:val="22"/>
          <w:lang w:val="en-US"/>
        </w:rPr>
        <w:t xml:space="preserve">Findings </w:t>
      </w:r>
      <w:r w:rsidR="00347177" w:rsidRPr="009D3628">
        <w:rPr>
          <w:rFonts w:ascii="Calibri" w:hAnsi="Calibri" w:cs="Calibri"/>
          <w:szCs w:val="22"/>
          <w:lang w:val="en-US"/>
        </w:rPr>
        <w:t xml:space="preserve">of the study of Landsman, Maydew and Thornock (2011) </w:t>
      </w:r>
      <w:r w:rsidRPr="009D3628">
        <w:rPr>
          <w:rFonts w:ascii="Calibri" w:hAnsi="Calibri" w:cs="Calibri"/>
          <w:szCs w:val="22"/>
          <w:lang w:val="en-US"/>
        </w:rPr>
        <w:t>suggest</w:t>
      </w:r>
      <w:r w:rsidR="00347177" w:rsidRPr="009D3628">
        <w:rPr>
          <w:rFonts w:ascii="Calibri" w:hAnsi="Calibri" w:cs="Calibri"/>
          <w:szCs w:val="22"/>
          <w:lang w:val="en-US"/>
        </w:rPr>
        <w:t xml:space="preserve"> that the </w:t>
      </w:r>
      <w:r w:rsidRPr="009D3628">
        <w:rPr>
          <w:rFonts w:ascii="Calibri" w:hAnsi="Calibri" w:cs="Calibri"/>
          <w:szCs w:val="22"/>
          <w:lang w:val="en-US"/>
        </w:rPr>
        <w:t xml:space="preserve"> information content</w:t>
      </w:r>
      <w:r w:rsidR="00347177" w:rsidRPr="009D3628">
        <w:rPr>
          <w:rFonts w:ascii="Calibri" w:hAnsi="Calibri" w:cs="Calibri"/>
          <w:szCs w:val="22"/>
          <w:lang w:val="en-US"/>
        </w:rPr>
        <w:t xml:space="preserve"> of earnings</w:t>
      </w:r>
      <w:r w:rsidRPr="009D3628">
        <w:rPr>
          <w:rFonts w:ascii="Calibri" w:hAnsi="Calibri" w:cs="Calibri"/>
          <w:szCs w:val="22"/>
          <w:lang w:val="en-US"/>
        </w:rPr>
        <w:t xml:space="preserve"> increased in 16 countries that mandated adoption of IFRS relative to 11 that maintained domestic accounting standards, although the effect of mandatory IFRS adoption depends on the strength of legal enforcement in the adopting country. </w:t>
      </w:r>
      <w:r w:rsidR="006C00D7" w:rsidRPr="009D3628">
        <w:rPr>
          <w:rFonts w:ascii="Calibri" w:hAnsi="Calibri" w:cs="Calibri"/>
          <w:szCs w:val="22"/>
          <w:lang w:val="en-US"/>
        </w:rPr>
        <w:t>T</w:t>
      </w:r>
      <w:r w:rsidRPr="009D3628">
        <w:rPr>
          <w:rFonts w:ascii="Calibri" w:hAnsi="Calibri" w:cs="Calibri"/>
          <w:szCs w:val="22"/>
          <w:lang w:val="en-US"/>
        </w:rPr>
        <w:t xml:space="preserve">hey find evidence of three mechanisms through which IFRS adoption increases information content: reducing reporting lag, increasing analyst following, and increasing foreign investment. </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szCs w:val="22"/>
          <w:lang w:val="en-US"/>
        </w:rPr>
        <w:t xml:space="preserve">Where Landsman, Maydew </w:t>
      </w:r>
      <w:r w:rsidR="006C00D7" w:rsidRPr="009D3628">
        <w:rPr>
          <w:rFonts w:ascii="Calibri" w:hAnsi="Calibri" w:cs="Calibri"/>
          <w:szCs w:val="22"/>
          <w:lang w:val="en-US"/>
        </w:rPr>
        <w:t>and Thornock (2011) investigate</w:t>
      </w:r>
      <w:r w:rsidRPr="009D3628">
        <w:rPr>
          <w:rFonts w:ascii="Calibri" w:hAnsi="Calibri" w:cs="Calibri"/>
          <w:szCs w:val="22"/>
          <w:lang w:val="en-US"/>
        </w:rPr>
        <w:t xml:space="preserve"> the impact of IFRS on the information content of earnings announcements, Kim and Li (2010) examined the impact of widespread mandatory IFRS adoption in 2005 on intra-industry information transfers from earnings announcements. They took a sample of firms from 50 c</w:t>
      </w:r>
      <w:r w:rsidRPr="009D3628">
        <w:rPr>
          <w:rFonts w:ascii="Calibri" w:hAnsi="Calibri" w:cs="Calibri"/>
          <w:lang w:val="en-US"/>
        </w:rPr>
        <w:t xml:space="preserve">ountries in the period from 1999-2007. They find that investors of IFRS firms react more strongly to earnings releases of other IFRS firms in the same industry after 2005, consistent with externality gains from mandatory IFRS adoption. </w:t>
      </w:r>
      <w:r w:rsidR="006C00D7" w:rsidRPr="009D3628">
        <w:rPr>
          <w:rFonts w:ascii="Calibri" w:hAnsi="Calibri" w:cs="Calibri"/>
          <w:lang w:val="en-US"/>
        </w:rPr>
        <w:t>These externality gains are the improvements in accounting quality due to the implementation of IFRS, such as more financial information disclosure, better comparability of financial information and a more transparent market</w:t>
      </w:r>
      <w:r w:rsidR="00D1312F" w:rsidRPr="009D3628">
        <w:rPr>
          <w:rFonts w:ascii="Calibri" w:hAnsi="Calibri" w:cs="Calibri"/>
          <w:lang w:val="en-US"/>
        </w:rPr>
        <w:t xml:space="preserve">. </w:t>
      </w:r>
      <w:r w:rsidRPr="009D3628">
        <w:rPr>
          <w:rFonts w:ascii="Calibri" w:hAnsi="Calibri" w:cs="Calibri"/>
          <w:lang w:val="en-US"/>
        </w:rPr>
        <w:t>They provide evidence that, after mandatory IFRS adoption, intra-industry information transfers become stronger among firms from countries that mandate IFRS in 2005, compared to information transfers across firms from countries that do not adopt IFRS or across firms with either the announcer of the non-announcer firm residing in a non-IFRS adopting country. Kim and Li (2010) measured intra-industry information transfer using non-announcing firms’ abnormal stock return variance around the earnings announcements of first announcing firms in the same in</w:t>
      </w:r>
      <w:r w:rsidR="004855C6" w:rsidRPr="009D3628">
        <w:rPr>
          <w:rFonts w:ascii="Calibri" w:hAnsi="Calibri" w:cs="Calibri"/>
          <w:lang w:val="en-US"/>
        </w:rPr>
        <w:t>dustry. Where prior studies use</w:t>
      </w:r>
      <w:r w:rsidRPr="009D3628">
        <w:rPr>
          <w:rFonts w:ascii="Calibri" w:hAnsi="Calibri" w:cs="Calibri"/>
          <w:lang w:val="en-US"/>
        </w:rPr>
        <w:t xml:space="preserve"> Standard Industrial Classification (SIC) codes to define industries (e.g. Foster, 1981), Kim</w:t>
      </w:r>
      <w:r w:rsidR="004855C6" w:rsidRPr="009D3628">
        <w:rPr>
          <w:rFonts w:ascii="Calibri" w:hAnsi="Calibri" w:cs="Calibri"/>
          <w:lang w:val="en-US"/>
        </w:rPr>
        <w:t xml:space="preserve"> and Li (2010) use</w:t>
      </w:r>
      <w:r w:rsidRPr="009D3628">
        <w:rPr>
          <w:rFonts w:ascii="Calibri" w:hAnsi="Calibri" w:cs="Calibri"/>
          <w:lang w:val="en-US"/>
        </w:rPr>
        <w:t xml:space="preserve"> 8-digit Global Industry Classification </w:t>
      </w:r>
      <w:r w:rsidRPr="009D3628">
        <w:rPr>
          <w:rFonts w:ascii="Calibri" w:hAnsi="Calibri" w:cs="Calibri"/>
          <w:lang w:val="en-US"/>
        </w:rPr>
        <w:lastRenderedPageBreak/>
        <w:t>Standard (GICS) codes.</w:t>
      </w:r>
      <w:r w:rsidR="00D1312F" w:rsidRPr="009D3628">
        <w:rPr>
          <w:rStyle w:val="Voetnootmarkering"/>
          <w:rFonts w:ascii="Calibri" w:hAnsi="Calibri" w:cs="Calibri"/>
          <w:lang w:val="en-US"/>
        </w:rPr>
        <w:footnoteReference w:id="3"/>
      </w:r>
      <w:r w:rsidRPr="009D3628">
        <w:rPr>
          <w:rFonts w:ascii="Calibri" w:hAnsi="Calibri" w:cs="Calibri"/>
          <w:lang w:val="en-US"/>
        </w:rPr>
        <w:t xml:space="preserve"> Kim and Li (2010) focus on the first earnings announcements in a certain industry, because prior studies show that the first announcement contains more ‘new’ industry-specific information than later announcements and therefore has stronger impact on the earning expectations of competitive firms within the same industry (Freeman and Tse; Ramnath, 2002; Thomas and Zhang, 2008). For calculating abnormal return variance (AVA</w:t>
      </w:r>
      <w:r w:rsidR="00E75E60" w:rsidRPr="009D3628">
        <w:rPr>
          <w:rFonts w:ascii="Calibri" w:hAnsi="Calibri" w:cs="Calibri"/>
          <w:lang w:val="en-US"/>
        </w:rPr>
        <w:t>R) for non-announcing firms</w:t>
      </w:r>
      <w:r w:rsidR="00AC6904" w:rsidRPr="009D3628">
        <w:rPr>
          <w:rFonts w:ascii="Calibri" w:hAnsi="Calibri" w:cs="Calibri"/>
          <w:lang w:val="en-US"/>
        </w:rPr>
        <w:t xml:space="preserve">. </w:t>
      </w:r>
      <w:r w:rsidR="00E75E60" w:rsidRPr="009D3628">
        <w:rPr>
          <w:rFonts w:ascii="Calibri" w:hAnsi="Calibri" w:cs="Calibri"/>
          <w:lang w:val="en-US"/>
        </w:rPr>
        <w:t>Kim and Li (2010)</w:t>
      </w:r>
      <w:r w:rsidRPr="009D3628">
        <w:rPr>
          <w:rFonts w:ascii="Calibri" w:hAnsi="Calibri" w:cs="Calibri"/>
          <w:lang w:val="en-US"/>
        </w:rPr>
        <w:t xml:space="preserve"> use the formulas designed by Beaver (1968), where greater intra-industry information transfer is indicated by a higher abnormal return variance. </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lang w:val="en-US"/>
        </w:rPr>
        <w:t xml:space="preserve">To examine the impact of the implementation of IFRS on intra-industry information transfers, they set up </w:t>
      </w:r>
      <w:r w:rsidR="00E411E5" w:rsidRPr="009D3628">
        <w:rPr>
          <w:rFonts w:ascii="Calibri" w:hAnsi="Calibri" w:cs="Calibri"/>
          <w:lang w:val="en-US"/>
        </w:rPr>
        <w:t>a regression, where they regre</w:t>
      </w:r>
      <w:r w:rsidR="005D62F5">
        <w:rPr>
          <w:rFonts w:ascii="Calibri" w:hAnsi="Calibri" w:cs="Calibri"/>
          <w:lang w:val="en-US"/>
        </w:rPr>
        <w:t>s</w:t>
      </w:r>
      <w:r w:rsidR="00E411E5" w:rsidRPr="009D3628">
        <w:rPr>
          <w:rFonts w:ascii="Calibri" w:hAnsi="Calibri" w:cs="Calibri"/>
          <w:lang w:val="en-US"/>
        </w:rPr>
        <w:t>s</w:t>
      </w:r>
      <w:r w:rsidRPr="009D3628">
        <w:rPr>
          <w:rFonts w:ascii="Calibri" w:hAnsi="Calibri" w:cs="Calibri"/>
          <w:lang w:val="en-US"/>
        </w:rPr>
        <w:t xml:space="preserve"> non-announcing firms’ abnormal return variance on several indicator variables and several control variables.  Kim and Li (2010) se</w:t>
      </w:r>
      <w:r w:rsidR="00805E75" w:rsidRPr="009D3628">
        <w:rPr>
          <w:rFonts w:ascii="Calibri" w:hAnsi="Calibri" w:cs="Calibri"/>
          <w:lang w:val="en-US"/>
        </w:rPr>
        <w:t xml:space="preserve">t up two different regressions. The first </w:t>
      </w:r>
      <w:r w:rsidRPr="009D3628">
        <w:rPr>
          <w:rFonts w:ascii="Calibri" w:hAnsi="Calibri" w:cs="Calibri"/>
          <w:lang w:val="en-US"/>
        </w:rPr>
        <w:t>one</w:t>
      </w:r>
      <w:r w:rsidR="00805E75" w:rsidRPr="009D3628">
        <w:rPr>
          <w:rFonts w:ascii="Calibri" w:hAnsi="Calibri" w:cs="Calibri"/>
          <w:lang w:val="en-US"/>
        </w:rPr>
        <w:t xml:space="preserve"> is</w:t>
      </w:r>
      <w:r w:rsidRPr="009D3628">
        <w:rPr>
          <w:rFonts w:ascii="Calibri" w:hAnsi="Calibri" w:cs="Calibri"/>
          <w:lang w:val="en-US"/>
        </w:rPr>
        <w:t xml:space="preserve"> to measure the impact of adopting IFRS on information transfers for firms within the same country, </w:t>
      </w:r>
      <w:r w:rsidR="00E75E60" w:rsidRPr="009D3628">
        <w:rPr>
          <w:rFonts w:ascii="Calibri" w:hAnsi="Calibri" w:cs="Calibri"/>
          <w:lang w:val="en-US"/>
        </w:rPr>
        <w:t>t</w:t>
      </w:r>
      <w:r w:rsidR="00805E75" w:rsidRPr="009D3628">
        <w:rPr>
          <w:rFonts w:ascii="Calibri" w:hAnsi="Calibri" w:cs="Calibri"/>
          <w:lang w:val="en-US"/>
        </w:rPr>
        <w:t>he second formula</w:t>
      </w:r>
      <w:r w:rsidRPr="009D3628">
        <w:rPr>
          <w:rFonts w:ascii="Calibri" w:hAnsi="Calibri" w:cs="Calibri"/>
          <w:lang w:val="en-US"/>
        </w:rPr>
        <w:t xml:space="preserve"> </w:t>
      </w:r>
      <w:r w:rsidR="00805E75" w:rsidRPr="009D3628">
        <w:rPr>
          <w:rFonts w:ascii="Calibri" w:hAnsi="Calibri" w:cs="Calibri"/>
          <w:lang w:val="en-US"/>
        </w:rPr>
        <w:t xml:space="preserve">insert an alternative indicator, IFRS_cross, which is coded one when first-announcing firm and non-announcing are from different </w:t>
      </w:r>
      <w:r w:rsidR="008219E9" w:rsidRPr="009D3628">
        <w:rPr>
          <w:rFonts w:ascii="Calibri" w:hAnsi="Calibri" w:cs="Calibri"/>
          <w:lang w:val="en-US"/>
        </w:rPr>
        <w:t>countries, and zero otherwise.</w:t>
      </w:r>
      <w:r w:rsidRPr="009D3628">
        <w:rPr>
          <w:rFonts w:ascii="Calibri" w:hAnsi="Calibri" w:cs="Calibri"/>
          <w:lang w:val="en-US"/>
        </w:rPr>
        <w:t xml:space="preserve"> The regression models are as follows:</w:t>
      </w:r>
    </w:p>
    <w:p w:rsidR="00275721" w:rsidRPr="009D3628" w:rsidRDefault="00275721" w:rsidP="00275721">
      <w:pPr>
        <w:pStyle w:val="000"/>
        <w:spacing w:line="360" w:lineRule="auto"/>
        <w:rPr>
          <w:rFonts w:ascii="Calibri" w:hAnsi="Calibri" w:cs="Calibri"/>
          <w:lang w:val="en-US"/>
        </w:rPr>
      </w:pPr>
    </w:p>
    <w:p w:rsidR="00275721" w:rsidRPr="009D3628" w:rsidRDefault="00275721" w:rsidP="00275721">
      <w:pPr>
        <w:pStyle w:val="000"/>
        <w:spacing w:line="360" w:lineRule="auto"/>
        <w:jc w:val="center"/>
        <w:rPr>
          <w:rFonts w:ascii="Calibri" w:hAnsi="Calibri" w:cs="Calibri"/>
          <w:lang w:val="en-US"/>
        </w:rPr>
      </w:pPr>
      <m:oMathPara>
        <m:oMath>
          <m:r>
            <w:rPr>
              <w:rFonts w:ascii="Cambria Math" w:hAnsi="Cambria Math" w:cs="Calibri"/>
              <w:lang w:val="en-US"/>
            </w:rPr>
            <m:t>AVAR</m:t>
          </m:r>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0</m:t>
              </m:r>
            </m:sub>
          </m:sSub>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1</m:t>
              </m:r>
            </m:sub>
          </m:sSub>
          <m:d>
            <m:dPr>
              <m:ctrlPr>
                <w:rPr>
                  <w:rFonts w:ascii="Cambria Math" w:hAnsi="Calibri" w:cs="Calibri"/>
                  <w:i/>
                  <w:lang w:val="en-US"/>
                </w:rPr>
              </m:ctrlPr>
            </m:dPr>
            <m:e>
              <m:r>
                <w:rPr>
                  <w:rFonts w:ascii="Cambria Math" w:hAnsi="Cambria Math" w:cs="Calibri"/>
                  <w:lang w:val="en-US"/>
                </w:rPr>
                <m:t>POST</m:t>
              </m:r>
            </m:e>
          </m:d>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2</m:t>
              </m:r>
            </m:sub>
          </m:sSub>
          <m:d>
            <m:dPr>
              <m:ctrlPr>
                <w:rPr>
                  <w:rFonts w:ascii="Cambria Math" w:hAnsi="Calibri" w:cs="Calibri"/>
                  <w:i/>
                  <w:lang w:val="en-US"/>
                </w:rPr>
              </m:ctrlPr>
            </m:dPr>
            <m:e>
              <m:r>
                <w:rPr>
                  <w:rFonts w:ascii="Cambria Math" w:hAnsi="Cambria Math" w:cs="Calibri"/>
                  <w:lang w:val="en-US"/>
                </w:rPr>
                <m:t>IFRS</m:t>
              </m:r>
            </m:e>
          </m:d>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3</m:t>
              </m:r>
            </m:sub>
          </m:sSub>
          <m:d>
            <m:dPr>
              <m:ctrlPr>
                <w:rPr>
                  <w:rFonts w:ascii="Cambria Math" w:hAnsi="Calibri" w:cs="Calibri"/>
                  <w:i/>
                  <w:lang w:val="en-US"/>
                </w:rPr>
              </m:ctrlPr>
            </m:dPr>
            <m:e>
              <m:r>
                <w:rPr>
                  <w:rFonts w:ascii="Cambria Math" w:hAnsi="Cambria Math" w:cs="Calibri"/>
                  <w:lang w:val="en-US"/>
                </w:rPr>
                <m:t>POST</m:t>
              </m:r>
              <m:r>
                <w:rPr>
                  <w:rFonts w:ascii="Calibri" w:hAnsi="Cambria Math" w:cs="Calibri"/>
                  <w:lang w:val="en-US"/>
                </w:rPr>
                <m:t>*</m:t>
              </m:r>
              <m:r>
                <w:rPr>
                  <w:rFonts w:ascii="Cambria Math" w:hAnsi="Cambria Math" w:cs="Calibri"/>
                  <w:lang w:val="en-US"/>
                </w:rPr>
                <m:t>IFRS</m:t>
              </m:r>
            </m:e>
          </m:d>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4</m:t>
              </m:r>
            </m:sub>
          </m:sSub>
          <m:r>
            <w:rPr>
              <w:rFonts w:ascii="Cambria Math" w:hAnsi="Calibri" w:cs="Calibri"/>
              <w:lang w:val="en-US"/>
            </w:rPr>
            <m:t>(</m:t>
          </m:r>
          <m:r>
            <w:rPr>
              <w:rFonts w:ascii="Cambria Math" w:hAnsi="Cambria Math" w:cs="Calibri"/>
              <w:lang w:val="en-US"/>
            </w:rPr>
            <m:t>Abs</m:t>
          </m:r>
          <m:r>
            <w:rPr>
              <w:rFonts w:ascii="Cambria Math" w:hAnsi="Calibri" w:cs="Calibri"/>
              <w:lang w:val="en-US"/>
            </w:rPr>
            <m:t>_</m:t>
          </m:r>
          <m:r>
            <w:rPr>
              <w:rFonts w:ascii="Cambria Math" w:hAnsi="Cambria Math" w:cs="Calibri"/>
              <w:lang w:val="en-US"/>
            </w:rPr>
            <m:t>UE</m:t>
          </m:r>
          <m:r>
            <w:rPr>
              <w:rFonts w:ascii="Cambria Math" w:hAnsi="Calibri" w:cs="Calibri"/>
              <w:lang w:val="en-US"/>
            </w:rPr>
            <m:t>_</m:t>
          </m:r>
          <m:r>
            <w:rPr>
              <w:rFonts w:ascii="Cambria Math" w:hAnsi="Cambria Math" w:cs="Calibri"/>
              <w:lang w:val="en-US"/>
            </w:rPr>
            <m:t>first</m:t>
          </m:r>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5</m:t>
              </m:r>
            </m:sub>
          </m:sSub>
          <m:r>
            <w:rPr>
              <w:rFonts w:ascii="Cambria Math" w:hAnsi="Calibri" w:cs="Calibri"/>
              <w:lang w:val="en-US"/>
            </w:rPr>
            <m:t>(</m:t>
          </m:r>
          <m:r>
            <w:rPr>
              <w:rFonts w:ascii="Cambria Math" w:hAnsi="Cambria Math" w:cs="Calibri"/>
              <w:lang w:val="en-US"/>
            </w:rPr>
            <m:t>Neg</m:t>
          </m:r>
          <m:r>
            <w:rPr>
              <w:rFonts w:ascii="Cambria Math" w:hAnsi="Calibri" w:cs="Calibri"/>
              <w:lang w:val="en-US"/>
            </w:rPr>
            <m:t>_</m:t>
          </m:r>
          <m:r>
            <w:rPr>
              <w:rFonts w:ascii="Cambria Math" w:hAnsi="Cambria Math" w:cs="Calibri"/>
              <w:lang w:val="en-US"/>
            </w:rPr>
            <m:t>UE</m:t>
          </m:r>
          <m:r>
            <w:rPr>
              <w:rFonts w:ascii="Cambria Math" w:hAnsi="Calibri" w:cs="Calibri"/>
              <w:lang w:val="en-US"/>
            </w:rPr>
            <m:t xml:space="preserve">) +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6</m:t>
              </m:r>
            </m:sub>
          </m:sSub>
          <m:r>
            <w:rPr>
              <w:rFonts w:ascii="Cambria Math" w:hAnsi="Calibri" w:cs="Calibri"/>
              <w:lang w:val="en-US"/>
            </w:rPr>
            <m:t>(</m:t>
          </m:r>
          <m:r>
            <w:rPr>
              <w:rFonts w:ascii="Cambria Math" w:hAnsi="Cambria Math" w:cs="Calibri"/>
              <w:lang w:val="en-US"/>
            </w:rPr>
            <m:t>Abs</m:t>
          </m:r>
          <m:r>
            <w:rPr>
              <w:rFonts w:ascii="Cambria Math" w:hAnsi="Calibri" w:cs="Calibri"/>
              <w:lang w:val="en-US"/>
            </w:rPr>
            <m:t>_</m:t>
          </m:r>
          <m:r>
            <w:rPr>
              <w:rFonts w:ascii="Cambria Math" w:hAnsi="Cambria Math" w:cs="Calibri"/>
              <w:lang w:val="en-US"/>
            </w:rPr>
            <m:t>UE</m:t>
          </m:r>
          <m:r>
            <w:rPr>
              <w:rFonts w:ascii="Cambria Math" w:hAnsi="Calibri" w:cs="Calibri"/>
              <w:lang w:val="en-US"/>
            </w:rPr>
            <m:t>_</m:t>
          </m:r>
          <m:r>
            <w:rPr>
              <w:rFonts w:ascii="Cambria Math" w:hAnsi="Cambria Math" w:cs="Calibri"/>
              <w:lang w:val="en-US"/>
            </w:rPr>
            <m:t>first</m:t>
          </m:r>
          <m:r>
            <w:rPr>
              <w:rFonts w:ascii="Calibri" w:hAnsi="Cambria Math" w:cs="Calibri"/>
              <w:lang w:val="en-US"/>
            </w:rPr>
            <m:t>*</m:t>
          </m:r>
          <m:r>
            <w:rPr>
              <w:rFonts w:ascii="Cambria Math" w:hAnsi="Cambria Math" w:cs="Calibri"/>
              <w:lang w:val="en-US"/>
            </w:rPr>
            <m:t>Neg</m:t>
          </m:r>
          <m:r>
            <w:rPr>
              <w:rFonts w:ascii="Cambria Math" w:hAnsi="Calibri" w:cs="Calibri"/>
              <w:lang w:val="en-US"/>
            </w:rPr>
            <m:t>_</m:t>
          </m:r>
          <m:r>
            <w:rPr>
              <w:rFonts w:ascii="Cambria Math" w:hAnsi="Cambria Math" w:cs="Calibri"/>
              <w:lang w:val="en-US"/>
            </w:rPr>
            <m:t>UE</m:t>
          </m:r>
          <m:r>
            <w:rPr>
              <w:rFonts w:ascii="Cambria Math" w:hAnsi="Calibri" w:cs="Calibri"/>
              <w:lang w:val="en-US"/>
            </w:rPr>
            <m:t xml:space="preserve">) +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7</m:t>
              </m:r>
            </m:sub>
          </m:sSub>
          <m:d>
            <m:dPr>
              <m:ctrlPr>
                <w:rPr>
                  <w:rFonts w:ascii="Cambria Math" w:hAnsi="Calibri" w:cs="Calibri"/>
                  <w:i/>
                  <w:lang w:val="en-US"/>
                </w:rPr>
              </m:ctrlPr>
            </m:dPr>
            <m:e>
              <m:r>
                <w:rPr>
                  <w:rFonts w:ascii="Cambria Math" w:hAnsi="Cambria Math" w:cs="Calibri"/>
                  <w:lang w:val="en-US"/>
                </w:rPr>
                <m:t>Loss</m:t>
              </m:r>
            </m:e>
          </m:d>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8</m:t>
              </m:r>
            </m:sub>
          </m:sSub>
          <m:d>
            <m:dPr>
              <m:ctrlPr>
                <w:rPr>
                  <w:rFonts w:ascii="Cambria Math" w:hAnsi="Calibri" w:cs="Calibri"/>
                  <w:i/>
                  <w:lang w:val="en-US"/>
                </w:rPr>
              </m:ctrlPr>
            </m:dPr>
            <m:e>
              <m:r>
                <w:rPr>
                  <w:rFonts w:ascii="Cambria Math" w:hAnsi="Cambria Math" w:cs="Calibri"/>
                  <w:lang w:val="en-US"/>
                </w:rPr>
                <m:t>Size</m:t>
              </m:r>
            </m:e>
          </m:d>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9</m:t>
              </m:r>
            </m:sub>
          </m:sSub>
          <m:r>
            <w:rPr>
              <w:rFonts w:ascii="Cambria Math" w:hAnsi="Calibri" w:cs="Calibri"/>
              <w:lang w:val="en-US"/>
            </w:rPr>
            <m:t>(</m:t>
          </m:r>
          <m:r>
            <w:rPr>
              <w:rFonts w:ascii="Cambria Math" w:hAnsi="Cambria Math" w:cs="Calibri"/>
              <w:lang w:val="en-US"/>
            </w:rPr>
            <m:t>BM</m:t>
          </m:r>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10</m:t>
              </m:r>
            </m:sub>
          </m:sSub>
          <m:d>
            <m:dPr>
              <m:ctrlPr>
                <w:rPr>
                  <w:rFonts w:ascii="Cambria Math" w:hAnsi="Calibri" w:cs="Calibri"/>
                  <w:i/>
                  <w:lang w:val="en-US"/>
                </w:rPr>
              </m:ctrlPr>
            </m:dPr>
            <m:e>
              <m:r>
                <w:rPr>
                  <w:rFonts w:ascii="Cambria Math" w:hAnsi="Cambria Math" w:cs="Calibri"/>
                  <w:lang w:val="en-US"/>
                </w:rPr>
                <m:t>Lev</m:t>
              </m:r>
            </m:e>
          </m:d>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11</m:t>
              </m:r>
            </m:sub>
          </m:sSub>
          <m:d>
            <m:dPr>
              <m:ctrlPr>
                <w:rPr>
                  <w:rFonts w:ascii="Cambria Math" w:hAnsi="Calibri" w:cs="Calibri"/>
                  <w:i/>
                  <w:lang w:val="en-US"/>
                </w:rPr>
              </m:ctrlPr>
            </m:dPr>
            <m:e>
              <m:r>
                <w:rPr>
                  <w:rFonts w:ascii="Cambria Math" w:hAnsi="Cambria Math" w:cs="Calibri"/>
                  <w:lang w:val="en-US"/>
                </w:rPr>
                <m:t>Numest</m:t>
              </m:r>
            </m:e>
          </m:d>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12</m:t>
              </m:r>
            </m:sub>
          </m:sSub>
          <m:r>
            <w:rPr>
              <w:rFonts w:ascii="Cambria Math" w:hAnsi="Calibri" w:cs="Calibri"/>
              <w:lang w:val="en-US"/>
            </w:rPr>
            <m:t>(</m:t>
          </m:r>
          <m:r>
            <w:rPr>
              <w:rFonts w:ascii="Cambria Math" w:hAnsi="Cambria Math" w:cs="Calibri"/>
              <w:lang w:val="en-US"/>
            </w:rPr>
            <m:t>Lag</m:t>
          </m:r>
          <m:r>
            <w:rPr>
              <w:rFonts w:ascii="Cambria Math" w:hAnsi="Calibri" w:cs="Calibri"/>
              <w:lang w:val="en-US"/>
            </w:rPr>
            <m:t>_</m:t>
          </m:r>
          <m:r>
            <w:rPr>
              <w:rFonts w:ascii="Cambria Math" w:hAnsi="Cambria Math" w:cs="Calibri"/>
              <w:lang w:val="en-US"/>
            </w:rPr>
            <m:t>first</m:t>
          </m:r>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β</m:t>
              </m:r>
            </m:e>
            <m:sub>
              <m:r>
                <w:rPr>
                  <w:rFonts w:ascii="Cambria Math" w:hAnsi="Cambria Math" w:cs="Calibri"/>
                  <w:lang w:val="en-US"/>
                </w:rPr>
                <m:t>n</m:t>
              </m:r>
            </m:sub>
          </m:sSub>
          <m:d>
            <m:dPr>
              <m:ctrlPr>
                <w:rPr>
                  <w:rFonts w:ascii="Cambria Math" w:hAnsi="Calibri" w:cs="Calibri"/>
                  <w:i/>
                  <w:lang w:val="en-US"/>
                </w:rPr>
              </m:ctrlPr>
            </m:dPr>
            <m:e>
              <m:r>
                <w:rPr>
                  <w:rFonts w:ascii="Cambria Math" w:hAnsi="Cambria Math" w:cs="Calibri"/>
                  <w:lang w:val="en-US"/>
                </w:rPr>
                <m:t>DCountry</m:t>
              </m:r>
            </m:e>
          </m:d>
          <m:r>
            <w:rPr>
              <w:rFonts w:ascii="Cambria Math" w:hAnsi="Calibri" w:cs="Calibri"/>
              <w:lang w:val="en-US"/>
            </w:rPr>
            <m:t>+</m:t>
          </m:r>
          <m:r>
            <w:rPr>
              <w:rFonts w:ascii="Cambria Math" w:hAnsi="Cambria Math" w:cs="Calibri"/>
              <w:lang w:val="en-US"/>
            </w:rPr>
            <m:t>ε</m:t>
          </m:r>
        </m:oMath>
      </m:oMathPara>
    </w:p>
    <w:p w:rsidR="00275721" w:rsidRPr="009D3628" w:rsidRDefault="00275721" w:rsidP="00275721">
      <w:pPr>
        <w:pStyle w:val="000"/>
        <w:spacing w:line="360" w:lineRule="auto"/>
        <w:jc w:val="center"/>
        <w:rPr>
          <w:rFonts w:ascii="Calibri" w:hAnsi="Calibri" w:cs="Calibri"/>
          <w:lang w:val="en-US"/>
        </w:rPr>
      </w:pPr>
    </w:p>
    <w:p w:rsidR="00275721" w:rsidRPr="009D3628" w:rsidRDefault="00275721" w:rsidP="00275721">
      <w:pPr>
        <w:pStyle w:val="000"/>
        <w:spacing w:line="360" w:lineRule="auto"/>
        <w:jc w:val="center"/>
        <w:rPr>
          <w:rFonts w:ascii="Calibri" w:hAnsi="Calibri" w:cs="Calibri"/>
          <w:lang w:val="en-US"/>
        </w:rPr>
      </w:pPr>
    </w:p>
    <w:p w:rsidR="00275721" w:rsidRPr="009D3628" w:rsidRDefault="0048734E" w:rsidP="00275721">
      <w:pPr>
        <w:pStyle w:val="000"/>
        <w:spacing w:line="360" w:lineRule="auto"/>
        <w:rPr>
          <w:rFonts w:ascii="Calibri" w:hAnsi="Calibri" w:cs="Calibri"/>
          <w:lang w:val="en-US"/>
        </w:rPr>
      </w:pPr>
      <m:oMathPara>
        <m:oMath>
          <m:r>
            <w:rPr>
              <w:rFonts w:ascii="Cambria Math" w:hAnsi="Cambria Math" w:cs="Calibri"/>
              <w:lang w:val="en-US"/>
            </w:rPr>
            <m:t>AVOL</m:t>
          </m:r>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0</m:t>
              </m:r>
            </m:sub>
          </m:sSub>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1</m:t>
              </m:r>
            </m:sub>
          </m:sSub>
          <m:d>
            <m:dPr>
              <m:ctrlPr>
                <w:rPr>
                  <w:rFonts w:ascii="Cambria Math" w:hAnsi="Calibri" w:cs="Calibri"/>
                  <w:i/>
                  <w:lang w:val="en-US"/>
                </w:rPr>
              </m:ctrlPr>
            </m:dPr>
            <m:e>
              <m:r>
                <w:rPr>
                  <w:rFonts w:ascii="Cambria Math" w:hAnsi="Cambria Math" w:cs="Calibri"/>
                  <w:lang w:val="en-US"/>
                </w:rPr>
                <m:t>POST</m:t>
              </m:r>
            </m:e>
          </m:d>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2</m:t>
              </m:r>
            </m:sub>
          </m:sSub>
          <m:d>
            <m:dPr>
              <m:ctrlPr>
                <w:rPr>
                  <w:rFonts w:ascii="Cambria Math" w:hAnsi="Calibri" w:cs="Calibri"/>
                  <w:i/>
                  <w:lang w:val="en-US"/>
                </w:rPr>
              </m:ctrlPr>
            </m:dPr>
            <m:e>
              <m:r>
                <w:rPr>
                  <w:rFonts w:ascii="Cambria Math" w:hAnsi="Cambria Math" w:cs="Calibri"/>
                  <w:lang w:val="en-US"/>
                </w:rPr>
                <m:t>IFRS</m:t>
              </m:r>
              <m:r>
                <w:rPr>
                  <w:rFonts w:ascii="Cambria Math" w:hAnsi="Calibri" w:cs="Calibri"/>
                  <w:lang w:val="en-US"/>
                </w:rPr>
                <m:t>_</m:t>
              </m:r>
              <m:r>
                <w:rPr>
                  <w:rFonts w:ascii="Cambria Math" w:hAnsi="Cambria Math" w:cs="Calibri"/>
                  <w:lang w:val="en-US"/>
                </w:rPr>
                <m:t>cross</m:t>
              </m:r>
            </m:e>
          </m:d>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3</m:t>
              </m:r>
            </m:sub>
          </m:sSub>
          <m:d>
            <m:dPr>
              <m:ctrlPr>
                <w:rPr>
                  <w:rFonts w:ascii="Cambria Math" w:hAnsi="Calibri" w:cs="Calibri"/>
                  <w:i/>
                  <w:lang w:val="en-US"/>
                </w:rPr>
              </m:ctrlPr>
            </m:dPr>
            <m:e>
              <m:r>
                <w:rPr>
                  <w:rFonts w:ascii="Cambria Math" w:hAnsi="Cambria Math" w:cs="Calibri"/>
                  <w:lang w:val="en-US"/>
                </w:rPr>
                <m:t>POST</m:t>
              </m:r>
              <m:r>
                <w:rPr>
                  <w:rFonts w:ascii="Calibri" w:hAnsi="Cambria Math" w:cs="Calibri"/>
                  <w:lang w:val="en-US"/>
                </w:rPr>
                <m:t>*</m:t>
              </m:r>
              <m:r>
                <w:rPr>
                  <w:rFonts w:ascii="Cambria Math" w:hAnsi="Cambria Math" w:cs="Calibri"/>
                  <w:lang w:val="en-US"/>
                </w:rPr>
                <m:t>IFRS</m:t>
              </m:r>
              <m:r>
                <w:rPr>
                  <w:rFonts w:ascii="Cambria Math" w:hAnsi="Calibri" w:cs="Calibri"/>
                  <w:lang w:val="en-US"/>
                </w:rPr>
                <m:t>_</m:t>
              </m:r>
              <m:r>
                <w:rPr>
                  <w:rFonts w:ascii="Cambria Math" w:hAnsi="Cambria Math" w:cs="Calibri"/>
                  <w:lang w:val="en-US"/>
                </w:rPr>
                <m:t>cross</m:t>
              </m:r>
            </m:e>
          </m:d>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4</m:t>
              </m:r>
            </m:sub>
          </m:sSub>
          <m:r>
            <w:rPr>
              <w:rFonts w:ascii="Cambria Math" w:hAnsi="Calibri" w:cs="Calibri"/>
              <w:lang w:val="en-US"/>
            </w:rPr>
            <m:t>(</m:t>
          </m:r>
          <m:r>
            <w:rPr>
              <w:rFonts w:ascii="Cambria Math" w:hAnsi="Cambria Math" w:cs="Calibri"/>
              <w:lang w:val="en-US"/>
            </w:rPr>
            <m:t>Abs</m:t>
          </m:r>
          <m:r>
            <w:rPr>
              <w:rFonts w:ascii="Cambria Math" w:hAnsi="Calibri" w:cs="Calibri"/>
              <w:lang w:val="en-US"/>
            </w:rPr>
            <m:t>_</m:t>
          </m:r>
          <m:r>
            <w:rPr>
              <w:rFonts w:ascii="Cambria Math" w:hAnsi="Cambria Math" w:cs="Calibri"/>
              <w:lang w:val="en-US"/>
            </w:rPr>
            <m:t>UE</m:t>
          </m:r>
          <m:r>
            <w:rPr>
              <w:rFonts w:ascii="Cambria Math" w:hAnsi="Calibri" w:cs="Calibri"/>
              <w:lang w:val="en-US"/>
            </w:rPr>
            <m:t>_</m:t>
          </m:r>
          <m:r>
            <w:rPr>
              <w:rFonts w:ascii="Cambria Math" w:hAnsi="Cambria Math" w:cs="Calibri"/>
              <w:lang w:val="en-US"/>
            </w:rPr>
            <m:t>first</m:t>
          </m:r>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5</m:t>
              </m:r>
            </m:sub>
          </m:sSub>
          <m:r>
            <w:rPr>
              <w:rFonts w:ascii="Cambria Math" w:hAnsi="Calibri" w:cs="Calibri"/>
              <w:lang w:val="en-US"/>
            </w:rPr>
            <m:t>(</m:t>
          </m:r>
          <m:r>
            <w:rPr>
              <w:rFonts w:ascii="Cambria Math" w:hAnsi="Cambria Math" w:cs="Calibri"/>
              <w:lang w:val="en-US"/>
            </w:rPr>
            <m:t>Neg</m:t>
          </m:r>
          <m:r>
            <w:rPr>
              <w:rFonts w:ascii="Cambria Math" w:hAnsi="Calibri" w:cs="Calibri"/>
              <w:lang w:val="en-US"/>
            </w:rPr>
            <m:t>_</m:t>
          </m:r>
          <m:r>
            <w:rPr>
              <w:rFonts w:ascii="Cambria Math" w:hAnsi="Cambria Math" w:cs="Calibri"/>
              <w:lang w:val="en-US"/>
            </w:rPr>
            <m:t>UE</m:t>
          </m:r>
          <m:r>
            <w:rPr>
              <w:rFonts w:ascii="Cambria Math" w:hAnsi="Calibri" w:cs="Calibri"/>
              <w:lang w:val="en-US"/>
            </w:rPr>
            <m:t xml:space="preserve">) +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6</m:t>
              </m:r>
            </m:sub>
          </m:sSub>
          <m:r>
            <w:rPr>
              <w:rFonts w:ascii="Cambria Math" w:hAnsi="Calibri" w:cs="Calibri"/>
              <w:lang w:val="en-US"/>
            </w:rPr>
            <m:t>(</m:t>
          </m:r>
          <m:r>
            <w:rPr>
              <w:rFonts w:ascii="Cambria Math" w:hAnsi="Cambria Math" w:cs="Calibri"/>
              <w:lang w:val="en-US"/>
            </w:rPr>
            <m:t>Abs</m:t>
          </m:r>
          <m:r>
            <w:rPr>
              <w:rFonts w:ascii="Cambria Math" w:hAnsi="Calibri" w:cs="Calibri"/>
              <w:lang w:val="en-US"/>
            </w:rPr>
            <m:t>_</m:t>
          </m:r>
          <m:r>
            <w:rPr>
              <w:rFonts w:ascii="Cambria Math" w:hAnsi="Cambria Math" w:cs="Calibri"/>
              <w:lang w:val="en-US"/>
            </w:rPr>
            <m:t>UE</m:t>
          </m:r>
          <m:r>
            <w:rPr>
              <w:rFonts w:ascii="Cambria Math" w:hAnsi="Calibri" w:cs="Calibri"/>
              <w:lang w:val="en-US"/>
            </w:rPr>
            <m:t>_</m:t>
          </m:r>
          <m:r>
            <w:rPr>
              <w:rFonts w:ascii="Cambria Math" w:hAnsi="Cambria Math" w:cs="Calibri"/>
              <w:lang w:val="en-US"/>
            </w:rPr>
            <m:t>first</m:t>
          </m:r>
          <m:r>
            <w:rPr>
              <w:rFonts w:ascii="Calibri" w:hAnsi="Cambria Math" w:cs="Calibri"/>
              <w:lang w:val="en-US"/>
            </w:rPr>
            <m:t>*</m:t>
          </m:r>
          <m:r>
            <w:rPr>
              <w:rFonts w:ascii="Cambria Math" w:hAnsi="Cambria Math" w:cs="Calibri"/>
              <w:lang w:val="en-US"/>
            </w:rPr>
            <m:t>Neg</m:t>
          </m:r>
          <m:r>
            <w:rPr>
              <w:rFonts w:ascii="Cambria Math" w:hAnsi="Calibri" w:cs="Calibri"/>
              <w:lang w:val="en-US"/>
            </w:rPr>
            <m:t>_</m:t>
          </m:r>
          <m:r>
            <w:rPr>
              <w:rFonts w:ascii="Cambria Math" w:hAnsi="Cambria Math" w:cs="Calibri"/>
              <w:lang w:val="en-US"/>
            </w:rPr>
            <m:t>UE</m:t>
          </m:r>
          <m:r>
            <w:rPr>
              <w:rFonts w:ascii="Cambria Math" w:hAnsi="Calibri" w:cs="Calibri"/>
              <w:lang w:val="en-US"/>
            </w:rPr>
            <m:t xml:space="preserve">) +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7</m:t>
              </m:r>
            </m:sub>
          </m:sSub>
          <m:d>
            <m:dPr>
              <m:ctrlPr>
                <w:rPr>
                  <w:rFonts w:ascii="Cambria Math" w:hAnsi="Calibri" w:cs="Calibri"/>
                  <w:i/>
                  <w:lang w:val="en-US"/>
                </w:rPr>
              </m:ctrlPr>
            </m:dPr>
            <m:e>
              <m:r>
                <w:rPr>
                  <w:rFonts w:ascii="Cambria Math" w:hAnsi="Cambria Math" w:cs="Calibri"/>
                  <w:lang w:val="en-US"/>
                </w:rPr>
                <m:t>Loss</m:t>
              </m:r>
            </m:e>
          </m:d>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8</m:t>
              </m:r>
            </m:sub>
          </m:sSub>
          <m:d>
            <m:dPr>
              <m:ctrlPr>
                <w:rPr>
                  <w:rFonts w:ascii="Cambria Math" w:hAnsi="Calibri" w:cs="Calibri"/>
                  <w:i/>
                  <w:lang w:val="en-US"/>
                </w:rPr>
              </m:ctrlPr>
            </m:dPr>
            <m:e>
              <m:r>
                <w:rPr>
                  <w:rFonts w:ascii="Cambria Math" w:hAnsi="Cambria Math" w:cs="Calibri"/>
                  <w:lang w:val="en-US"/>
                </w:rPr>
                <m:t>Size</m:t>
              </m:r>
            </m:e>
          </m:d>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9</m:t>
              </m:r>
            </m:sub>
          </m:sSub>
          <m:r>
            <w:rPr>
              <w:rFonts w:ascii="Cambria Math" w:hAnsi="Calibri" w:cs="Calibri"/>
              <w:lang w:val="en-US"/>
            </w:rPr>
            <m:t>(</m:t>
          </m:r>
          <m:r>
            <w:rPr>
              <w:rFonts w:ascii="Cambria Math" w:hAnsi="Cambria Math" w:cs="Calibri"/>
              <w:lang w:val="en-US"/>
            </w:rPr>
            <m:t>BM</m:t>
          </m:r>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10</m:t>
              </m:r>
            </m:sub>
          </m:sSub>
          <m:d>
            <m:dPr>
              <m:ctrlPr>
                <w:rPr>
                  <w:rFonts w:ascii="Cambria Math" w:hAnsi="Calibri" w:cs="Calibri"/>
                  <w:i/>
                  <w:lang w:val="en-US"/>
                </w:rPr>
              </m:ctrlPr>
            </m:dPr>
            <m:e>
              <m:r>
                <w:rPr>
                  <w:rFonts w:ascii="Cambria Math" w:hAnsi="Cambria Math" w:cs="Calibri"/>
                  <w:lang w:val="en-US"/>
                </w:rPr>
                <m:t>Lev</m:t>
              </m:r>
            </m:e>
          </m:d>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11</m:t>
              </m:r>
            </m:sub>
          </m:sSub>
          <m:d>
            <m:dPr>
              <m:ctrlPr>
                <w:rPr>
                  <w:rFonts w:ascii="Cambria Math" w:hAnsi="Calibri" w:cs="Calibri"/>
                  <w:i/>
                  <w:lang w:val="en-US"/>
                </w:rPr>
              </m:ctrlPr>
            </m:dPr>
            <m:e>
              <m:r>
                <w:rPr>
                  <w:rFonts w:ascii="Cambria Math" w:hAnsi="Cambria Math" w:cs="Calibri"/>
                  <w:lang w:val="en-US"/>
                </w:rPr>
                <m:t>Numest</m:t>
              </m:r>
            </m:e>
          </m:d>
          <m:r>
            <w:rPr>
              <w:rFonts w:ascii="Cambria Math" w:hAnsi="Calibri" w:cs="Calibri"/>
              <w:lang w:val="en-US"/>
            </w:rPr>
            <m:t xml:space="preserve"> +</m:t>
          </m:r>
          <m:sSub>
            <m:sSubPr>
              <m:ctrlPr>
                <w:rPr>
                  <w:rFonts w:ascii="Cambria Math" w:hAnsi="Calibri" w:cs="Calibri"/>
                  <w:i/>
                  <w:lang w:val="en-US"/>
                </w:rPr>
              </m:ctrlPr>
            </m:sSubPr>
            <m:e>
              <m:r>
                <w:rPr>
                  <w:rFonts w:ascii="Cambria Math" w:hAnsi="Cambria Math" w:cs="Calibri"/>
                  <w:lang w:val="en-US"/>
                </w:rPr>
                <m:t>β</m:t>
              </m:r>
            </m:e>
            <m:sub>
              <m:r>
                <w:rPr>
                  <w:rFonts w:ascii="Cambria Math" w:hAnsi="Calibri" w:cs="Calibri"/>
                  <w:lang w:val="en-US"/>
                </w:rPr>
                <m:t>12</m:t>
              </m:r>
            </m:sub>
          </m:sSub>
          <m:r>
            <w:rPr>
              <w:rFonts w:ascii="Cambria Math" w:hAnsi="Calibri" w:cs="Calibri"/>
              <w:lang w:val="en-US"/>
            </w:rPr>
            <m:t>(</m:t>
          </m:r>
          <m:r>
            <w:rPr>
              <w:rFonts w:ascii="Cambria Math" w:hAnsi="Cambria Math" w:cs="Calibri"/>
              <w:lang w:val="en-US"/>
            </w:rPr>
            <m:t>Lag</m:t>
          </m:r>
          <m:r>
            <w:rPr>
              <w:rFonts w:ascii="Cambria Math" w:hAnsi="Calibri" w:cs="Calibri"/>
              <w:lang w:val="en-US"/>
            </w:rPr>
            <m:t>_</m:t>
          </m:r>
          <m:r>
            <w:rPr>
              <w:rFonts w:ascii="Cambria Math" w:hAnsi="Cambria Math" w:cs="Calibri"/>
              <w:lang w:val="en-US"/>
            </w:rPr>
            <m:t>first</m:t>
          </m:r>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β</m:t>
              </m:r>
            </m:e>
            <m:sub>
              <m:r>
                <w:rPr>
                  <w:rFonts w:ascii="Cambria Math" w:hAnsi="Cambria Math" w:cs="Calibri"/>
                  <w:lang w:val="en-US"/>
                </w:rPr>
                <m:t>n</m:t>
              </m:r>
            </m:sub>
          </m:sSub>
          <m:d>
            <m:dPr>
              <m:ctrlPr>
                <w:rPr>
                  <w:rFonts w:ascii="Cambria Math" w:hAnsi="Calibri" w:cs="Calibri"/>
                  <w:i/>
                  <w:lang w:val="en-US"/>
                </w:rPr>
              </m:ctrlPr>
            </m:dPr>
            <m:e>
              <m:r>
                <w:rPr>
                  <w:rFonts w:ascii="Cambria Math" w:hAnsi="Cambria Math" w:cs="Calibri"/>
                  <w:lang w:val="en-US"/>
                </w:rPr>
                <m:t>DCountry</m:t>
              </m:r>
            </m:e>
          </m:d>
          <m:r>
            <w:rPr>
              <w:rFonts w:ascii="Cambria Math" w:hAnsi="Calibri" w:cs="Calibri"/>
              <w:lang w:val="en-US"/>
            </w:rPr>
            <m:t>+</m:t>
          </m:r>
          <m:r>
            <w:rPr>
              <w:rFonts w:ascii="Cambria Math" w:hAnsi="Cambria Math" w:cs="Calibri"/>
              <w:lang w:val="en-US"/>
            </w:rPr>
            <m:t>ε</m:t>
          </m:r>
        </m:oMath>
      </m:oMathPara>
    </w:p>
    <w:p w:rsidR="00275721" w:rsidRPr="009D3628" w:rsidRDefault="00275721" w:rsidP="00275721">
      <w:pPr>
        <w:pStyle w:val="000"/>
        <w:spacing w:line="360" w:lineRule="auto"/>
        <w:rPr>
          <w:rFonts w:ascii="Calibri" w:hAnsi="Calibri" w:cs="Calibri"/>
          <w:lang w:val="en-US"/>
        </w:rPr>
      </w:pP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lang w:val="en-US"/>
        </w:rPr>
        <w:t xml:space="preserve">Where the two </w:t>
      </w:r>
      <w:r w:rsidR="00E75E60" w:rsidRPr="009D3628">
        <w:rPr>
          <w:rFonts w:ascii="Calibri" w:hAnsi="Calibri" w:cs="Calibri"/>
          <w:lang w:val="en-US"/>
        </w:rPr>
        <w:t xml:space="preserve">indicator variables are </w:t>
      </w:r>
      <m:oMath>
        <m:d>
          <m:dPr>
            <m:ctrlPr>
              <w:rPr>
                <w:rFonts w:ascii="Cambria Math" w:hAnsi="Calibri" w:cs="Calibri"/>
                <w:i/>
                <w:lang w:val="en-US"/>
              </w:rPr>
            </m:ctrlPr>
          </m:dPr>
          <m:e>
            <m:r>
              <w:rPr>
                <w:rFonts w:ascii="Cambria Math" w:hAnsi="Cambria Math" w:cs="Calibri"/>
                <w:lang w:val="en-US"/>
              </w:rPr>
              <m:t>POST</m:t>
            </m:r>
          </m:e>
        </m:d>
      </m:oMath>
      <w:r w:rsidR="008219E9" w:rsidRPr="009D3628">
        <w:rPr>
          <w:rFonts w:ascii="Calibri" w:hAnsi="Calibri" w:cs="Calibri"/>
          <w:lang w:val="en-US"/>
        </w:rPr>
        <w:t>,which is a dummy variable</w:t>
      </w:r>
      <w:r w:rsidRPr="009D3628">
        <w:rPr>
          <w:rFonts w:ascii="Calibri" w:hAnsi="Calibri" w:cs="Calibri"/>
          <w:lang w:val="en-US"/>
        </w:rPr>
        <w:t xml:space="preserve"> for the time period which made a distinction between the pre- and post-IFRS period, and </w:t>
      </w:r>
      <m:oMath>
        <m:d>
          <m:dPr>
            <m:ctrlPr>
              <w:rPr>
                <w:rFonts w:ascii="Cambria Math" w:hAnsi="Calibri" w:cs="Calibri"/>
                <w:i/>
                <w:lang w:val="en-US"/>
              </w:rPr>
            </m:ctrlPr>
          </m:dPr>
          <m:e>
            <m:r>
              <w:rPr>
                <w:rFonts w:ascii="Cambria Math" w:hAnsi="Cambria Math" w:cs="Calibri"/>
                <w:lang w:val="en-US"/>
              </w:rPr>
              <m:t>IFRS</m:t>
            </m:r>
          </m:e>
        </m:d>
      </m:oMath>
      <w:r w:rsidRPr="009D3628">
        <w:rPr>
          <w:rFonts w:ascii="Calibri" w:hAnsi="Calibri" w:cs="Calibri"/>
          <w:lang w:val="en-US"/>
        </w:rPr>
        <w:t xml:space="preserve"> which indicates if both the announcing and the non-announcing firm are firms who mandatory adopted IFRS, if yes the indicator variable is 1, if no, the variable is 0. </w:t>
      </w:r>
      <m:oMath>
        <m:d>
          <m:dPr>
            <m:ctrlPr>
              <w:rPr>
                <w:rFonts w:ascii="Cambria Math" w:hAnsi="Calibri" w:cs="Calibri"/>
                <w:i/>
                <w:lang w:val="en-US"/>
              </w:rPr>
            </m:ctrlPr>
          </m:dPr>
          <m:e>
            <m:r>
              <w:rPr>
                <w:rFonts w:ascii="Cambria Math" w:hAnsi="Cambria Math" w:cs="Calibri"/>
                <w:lang w:val="en-US"/>
              </w:rPr>
              <m:t>POST</m:t>
            </m:r>
            <m:r>
              <w:rPr>
                <w:rFonts w:ascii="Calibri" w:hAnsi="Cambria Math" w:cs="Calibri"/>
                <w:lang w:val="en-US"/>
              </w:rPr>
              <m:t>*</m:t>
            </m:r>
            <m:r>
              <w:rPr>
                <w:rFonts w:ascii="Cambria Math" w:hAnsi="Cambria Math" w:cs="Calibri"/>
                <w:lang w:val="en-US"/>
              </w:rPr>
              <m:t>IFRS</m:t>
            </m:r>
          </m:e>
        </m:d>
      </m:oMath>
      <w:r w:rsidRPr="009D3628">
        <w:rPr>
          <w:rFonts w:ascii="Calibri" w:hAnsi="Calibri" w:cs="Calibri"/>
          <w:lang w:val="en-US"/>
        </w:rPr>
        <w:t xml:space="preserve"> is the interaction between the two indicator variables and is the primary variable of interest in the study of Kim and Li (2010). The coefficient of this </w:t>
      </w:r>
      <w:r w:rsidRPr="009D3628">
        <w:rPr>
          <w:rFonts w:ascii="Calibri" w:hAnsi="Calibri" w:cs="Calibri"/>
          <w:lang w:val="en-US"/>
        </w:rPr>
        <w:lastRenderedPageBreak/>
        <w:t>interaction term captures the change in the reactions of non-announcing firms to the earnings announcement of the first-announcer after 2005 for firms which adopted IFRS, relative to the corresponding change for the benchmark group.</w:t>
      </w:r>
      <w:r w:rsidR="00E75E60" w:rsidRPr="009D3628">
        <w:rPr>
          <w:rFonts w:ascii="Calibri" w:hAnsi="Calibri" w:cs="Calibri"/>
          <w:lang w:val="en-US"/>
        </w:rPr>
        <w:t xml:space="preserve"> Here the benchmark group consist of all the firms on the market, including firms which have not adopted IFRS. </w:t>
      </w:r>
      <w:r w:rsidRPr="009D3628">
        <w:rPr>
          <w:rFonts w:ascii="Calibri" w:hAnsi="Calibri" w:cs="Calibri"/>
          <w:lang w:val="en-US"/>
        </w:rPr>
        <w:t>The control variables included in the regression model are likely to have a correlation with the abnormal return variance of non-announcing firms. Th</w:t>
      </w:r>
      <w:r w:rsidR="00D1312F" w:rsidRPr="009D3628">
        <w:rPr>
          <w:rFonts w:ascii="Calibri" w:hAnsi="Calibri" w:cs="Calibri"/>
          <w:lang w:val="en-US"/>
        </w:rPr>
        <w:t>e following control variables w</w:t>
      </w:r>
      <w:r w:rsidRPr="009D3628">
        <w:rPr>
          <w:rFonts w:ascii="Calibri" w:hAnsi="Calibri" w:cs="Calibri"/>
          <w:lang w:val="en-US"/>
        </w:rPr>
        <w:t>ere included in the regression model:</w:t>
      </w:r>
    </w:p>
    <w:p w:rsidR="00275721" w:rsidRPr="009D3628" w:rsidRDefault="00275721" w:rsidP="00275721">
      <w:pPr>
        <w:pStyle w:val="000"/>
        <w:spacing w:line="360" w:lineRule="auto"/>
        <w:rPr>
          <w:rFonts w:ascii="Calibri" w:hAnsi="Calibri" w:cs="Calibri"/>
          <w:lang w:val="en-US"/>
        </w:rPr>
      </w:pP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b/>
          <w:i/>
          <w:iCs/>
          <w:lang w:val="en-US"/>
        </w:rPr>
        <w:t>Abs_UE_first</w:t>
      </w:r>
      <w:r w:rsidRPr="009D3628">
        <w:rPr>
          <w:rFonts w:ascii="Calibri" w:hAnsi="Calibri" w:cs="Calibri"/>
          <w:b/>
          <w:lang w:val="en-US"/>
        </w:rPr>
        <w:t>:</w:t>
      </w:r>
      <w:r w:rsidRPr="009D3628">
        <w:rPr>
          <w:rFonts w:ascii="Calibri" w:hAnsi="Calibri" w:cs="Calibri"/>
          <w:lang w:val="en-US"/>
        </w:rPr>
        <w:t xml:space="preserve"> The absolute value of the unexpected earnings for the first announcing firm,</w:t>
      </w:r>
      <w:r w:rsidR="00E75E60" w:rsidRPr="009D3628">
        <w:rPr>
          <w:rFonts w:ascii="Calibri" w:hAnsi="Calibri" w:cs="Calibri"/>
          <w:lang w:val="en-US"/>
        </w:rPr>
        <w:t xml:space="preserve"> </w:t>
      </w:r>
      <w:r w:rsidRPr="009D3628">
        <w:rPr>
          <w:rFonts w:ascii="Calibri" w:hAnsi="Calibri" w:cs="Calibri"/>
          <w:lang w:val="en-US"/>
        </w:rPr>
        <w:t>computed as the difference between annual earnings and the most recent mean consensus</w:t>
      </w:r>
      <w:r w:rsidR="00E411E5" w:rsidRPr="009D3628">
        <w:rPr>
          <w:rFonts w:ascii="Calibri" w:hAnsi="Calibri" w:cs="Calibri"/>
          <w:lang w:val="en-US"/>
        </w:rPr>
        <w:t xml:space="preserve"> </w:t>
      </w:r>
      <w:r w:rsidRPr="009D3628">
        <w:rPr>
          <w:rFonts w:ascii="Calibri" w:hAnsi="Calibri" w:cs="Calibri"/>
          <w:lang w:val="en-US"/>
        </w:rPr>
        <w:t>earnings forecast, scaled by the stock price at the end of the prior year. All data are from</w:t>
      </w:r>
      <w:r w:rsidR="00E411E5" w:rsidRPr="009D3628">
        <w:rPr>
          <w:rFonts w:ascii="Calibri" w:hAnsi="Calibri" w:cs="Calibri"/>
          <w:lang w:val="en-US"/>
        </w:rPr>
        <w:t xml:space="preserve"> </w:t>
      </w:r>
      <w:r w:rsidRPr="009D3628">
        <w:rPr>
          <w:rFonts w:ascii="Calibri" w:hAnsi="Calibri" w:cs="Calibri"/>
          <w:lang w:val="en-US"/>
        </w:rPr>
        <w:t>I/B/E/S;</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b/>
          <w:i/>
          <w:iCs/>
          <w:lang w:val="en-US"/>
        </w:rPr>
        <w:t>Neg_UE</w:t>
      </w:r>
      <w:r w:rsidRPr="009D3628">
        <w:rPr>
          <w:rFonts w:ascii="Calibri" w:hAnsi="Calibri" w:cs="Calibri"/>
          <w:b/>
          <w:lang w:val="en-US"/>
        </w:rPr>
        <w:t>:</w:t>
      </w:r>
      <w:r w:rsidRPr="009D3628">
        <w:rPr>
          <w:rFonts w:ascii="Calibri" w:hAnsi="Calibri" w:cs="Calibri"/>
          <w:lang w:val="en-US"/>
        </w:rPr>
        <w:t xml:space="preserve"> Dummy variable equal to one if the unexpected earnings of the first announcing firm is negative, and zero otherwise;</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b/>
          <w:i/>
          <w:iCs/>
          <w:lang w:val="en-US"/>
        </w:rPr>
        <w:t>Loss</w:t>
      </w:r>
      <w:r w:rsidRPr="009D3628">
        <w:rPr>
          <w:rFonts w:ascii="Calibri" w:hAnsi="Calibri" w:cs="Calibri"/>
          <w:b/>
          <w:lang w:val="en-US"/>
        </w:rPr>
        <w:t>:</w:t>
      </w:r>
      <w:r w:rsidRPr="009D3628">
        <w:rPr>
          <w:rFonts w:ascii="Calibri" w:hAnsi="Calibri" w:cs="Calibri"/>
          <w:lang w:val="en-US"/>
        </w:rPr>
        <w:t xml:space="preserve"> Dummy variable equal to one if the non-announcing firm experiences a loss (i.e., actual</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lang w:val="en-US"/>
        </w:rPr>
        <w:t>annual earnings as reported in I/B/E/S are less than zero), and zero otherwise;</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b/>
          <w:i/>
          <w:iCs/>
          <w:lang w:val="en-US"/>
        </w:rPr>
        <w:t>Size</w:t>
      </w:r>
      <w:r w:rsidRPr="009D3628">
        <w:rPr>
          <w:rFonts w:ascii="Calibri" w:hAnsi="Calibri" w:cs="Calibri"/>
          <w:b/>
          <w:lang w:val="en-US"/>
        </w:rPr>
        <w:t>:</w:t>
      </w:r>
      <w:r w:rsidRPr="009D3628">
        <w:rPr>
          <w:rFonts w:ascii="Calibri" w:hAnsi="Calibri" w:cs="Calibri"/>
          <w:lang w:val="en-US"/>
        </w:rPr>
        <w:t xml:space="preserve"> The natural logarithm of the market value of equity at the end of the prior year for the non-announcing firm;</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b/>
          <w:i/>
          <w:iCs/>
          <w:lang w:val="en-US"/>
        </w:rPr>
        <w:t>BM</w:t>
      </w:r>
      <w:r w:rsidRPr="009D3628">
        <w:rPr>
          <w:rFonts w:ascii="Calibri" w:hAnsi="Calibri" w:cs="Calibri"/>
          <w:b/>
          <w:lang w:val="en-US"/>
        </w:rPr>
        <w:t>:</w:t>
      </w:r>
      <w:r w:rsidRPr="009D3628">
        <w:rPr>
          <w:rFonts w:ascii="Calibri" w:hAnsi="Calibri" w:cs="Calibri"/>
          <w:lang w:val="en-US"/>
        </w:rPr>
        <w:t xml:space="preserve"> The book-to-market ratio for the non-announcing firm, calculated as the book value of</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lang w:val="en-US"/>
        </w:rPr>
        <w:t>equity divided by the market value of equity;</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b/>
          <w:i/>
          <w:iCs/>
          <w:lang w:val="en-US"/>
        </w:rPr>
        <w:t>LEV</w:t>
      </w:r>
      <w:r w:rsidRPr="009D3628">
        <w:rPr>
          <w:rFonts w:ascii="Calibri" w:hAnsi="Calibri" w:cs="Calibri"/>
          <w:b/>
          <w:lang w:val="en-US"/>
        </w:rPr>
        <w:t>:</w:t>
      </w:r>
      <w:r w:rsidRPr="009D3628">
        <w:rPr>
          <w:rFonts w:ascii="Calibri" w:hAnsi="Calibri" w:cs="Calibri"/>
          <w:lang w:val="en-US"/>
        </w:rPr>
        <w:t xml:space="preserve"> Financial leverage for the non-announcing firm, computed as the ratio of total liabilities to total assets;</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b/>
          <w:i/>
          <w:iCs/>
          <w:lang w:val="en-US"/>
        </w:rPr>
        <w:t>Numest</w:t>
      </w:r>
      <w:r w:rsidRPr="009D3628">
        <w:rPr>
          <w:rFonts w:ascii="Calibri" w:hAnsi="Calibri" w:cs="Calibri"/>
          <w:b/>
          <w:lang w:val="en-US"/>
        </w:rPr>
        <w:t>:</w:t>
      </w:r>
      <w:r w:rsidRPr="009D3628">
        <w:rPr>
          <w:rFonts w:ascii="Calibri" w:hAnsi="Calibri" w:cs="Calibri"/>
          <w:lang w:val="en-US"/>
        </w:rPr>
        <w:t xml:space="preserve"> The number of analyst forecasts included in the most recent I/B/E/S consensus forecast of annual earnings prior to the annual earnings announcement date for the non-announcing firm;</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b/>
          <w:i/>
          <w:iCs/>
          <w:lang w:val="en-US"/>
        </w:rPr>
        <w:t>Lag_first</w:t>
      </w:r>
      <w:r w:rsidRPr="009D3628">
        <w:rPr>
          <w:rFonts w:ascii="Calibri" w:hAnsi="Calibri" w:cs="Calibri"/>
          <w:b/>
          <w:lang w:val="en-US"/>
        </w:rPr>
        <w:t>:</w:t>
      </w:r>
      <w:r w:rsidRPr="009D3628">
        <w:rPr>
          <w:rFonts w:ascii="Calibri" w:hAnsi="Calibri" w:cs="Calibri"/>
          <w:lang w:val="en-US"/>
        </w:rPr>
        <w:t xml:space="preserve"> The first announcer’s reporting lag, computed as the number of days from the fiscal</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lang w:val="en-US"/>
        </w:rPr>
        <w:t>year-end to the annual earnings announcement date reported in I/B/E/S; and</w:t>
      </w:r>
    </w:p>
    <w:p w:rsidR="00275721" w:rsidRPr="009D3628" w:rsidRDefault="00275721" w:rsidP="00275721">
      <w:pPr>
        <w:pStyle w:val="000"/>
        <w:spacing w:line="360" w:lineRule="auto"/>
        <w:rPr>
          <w:rFonts w:ascii="Calibri" w:hAnsi="Calibri" w:cs="Calibri"/>
          <w:lang w:val="en-US"/>
        </w:rPr>
      </w:pPr>
      <w:r w:rsidRPr="009D3628">
        <w:rPr>
          <w:rFonts w:ascii="Calibri" w:hAnsi="Calibri" w:cs="Calibri"/>
          <w:b/>
          <w:i/>
          <w:iCs/>
          <w:lang w:val="en-US"/>
        </w:rPr>
        <w:t>DCountry</w:t>
      </w:r>
      <w:r w:rsidRPr="009D3628">
        <w:rPr>
          <w:rFonts w:ascii="Calibri" w:hAnsi="Calibri" w:cs="Calibri"/>
          <w:b/>
          <w:lang w:val="en-US"/>
        </w:rPr>
        <w:t>:</w:t>
      </w:r>
      <w:r w:rsidRPr="009D3628">
        <w:rPr>
          <w:rFonts w:ascii="Calibri" w:hAnsi="Calibri" w:cs="Calibri"/>
          <w:lang w:val="en-US"/>
        </w:rPr>
        <w:t xml:space="preserve"> Indicator variables for countries. (Kim and Li, 2010)</w:t>
      </w:r>
    </w:p>
    <w:p w:rsidR="00275721" w:rsidRPr="009D3628" w:rsidRDefault="00275721" w:rsidP="00275721">
      <w:pPr>
        <w:pStyle w:val="000"/>
        <w:spacing w:line="360" w:lineRule="auto"/>
        <w:rPr>
          <w:rFonts w:ascii="Calibri" w:hAnsi="Calibri" w:cs="Calibri"/>
          <w:lang w:val="en-US"/>
        </w:rPr>
      </w:pPr>
    </w:p>
    <w:p w:rsidR="00275721" w:rsidRPr="009D3628" w:rsidRDefault="00275721" w:rsidP="008F582D">
      <w:pPr>
        <w:pStyle w:val="000"/>
        <w:spacing w:line="360" w:lineRule="auto"/>
        <w:rPr>
          <w:rFonts w:ascii="Calibri" w:hAnsi="Calibri" w:cs="Calibri"/>
          <w:lang w:val="en-US"/>
        </w:rPr>
      </w:pPr>
      <w:r w:rsidRPr="009D3628">
        <w:rPr>
          <w:rFonts w:ascii="Calibri" w:hAnsi="Calibri" w:cs="Calibri"/>
          <w:lang w:val="en-US"/>
        </w:rPr>
        <w:t>Overall, the outcome of the Kim and Li (2010) study is that the mandatory adoption of IFRS is associated with an externality gain, and both the quality and comparability of the financial information can be improved by this gain.</w:t>
      </w:r>
    </w:p>
    <w:p w:rsidR="008A7B1B" w:rsidRPr="009D3628" w:rsidRDefault="008A7B1B" w:rsidP="008F582D">
      <w:pPr>
        <w:pStyle w:val="000"/>
        <w:spacing w:line="360" w:lineRule="auto"/>
        <w:rPr>
          <w:rFonts w:ascii="Calibri" w:hAnsi="Calibri" w:cs="Calibri"/>
          <w:lang w:val="en-US"/>
        </w:rPr>
      </w:pPr>
    </w:p>
    <w:p w:rsidR="008A7B1B" w:rsidRPr="009D3628" w:rsidRDefault="008A7B1B" w:rsidP="008A7B1B">
      <w:pPr>
        <w:pStyle w:val="Kop2"/>
        <w:rPr>
          <w:rFonts w:ascii="Calibri" w:hAnsi="Calibri" w:cs="Calibri"/>
          <w:lang w:val="en-US"/>
        </w:rPr>
      </w:pPr>
      <w:bookmarkStart w:id="12" w:name="_Toc331518358"/>
      <w:r w:rsidRPr="009D3628">
        <w:rPr>
          <w:rFonts w:ascii="Calibri" w:hAnsi="Calibri" w:cs="Calibri"/>
          <w:lang w:val="en-US"/>
        </w:rPr>
        <w:lastRenderedPageBreak/>
        <w:t>Summary</w:t>
      </w:r>
      <w:bookmarkEnd w:id="12"/>
    </w:p>
    <w:p w:rsidR="00B73533" w:rsidRPr="009D3628" w:rsidRDefault="00B73533" w:rsidP="008A7B1B">
      <w:pPr>
        <w:pStyle w:val="000"/>
        <w:spacing w:line="360" w:lineRule="auto"/>
        <w:rPr>
          <w:rFonts w:ascii="Calibri" w:hAnsi="Calibri" w:cs="Calibri"/>
          <w:lang w:val="en-US"/>
        </w:rPr>
      </w:pPr>
    </w:p>
    <w:p w:rsidR="00270413" w:rsidRPr="009D3628" w:rsidRDefault="00EB7C6D" w:rsidP="008A7B1B">
      <w:pPr>
        <w:pStyle w:val="000"/>
        <w:spacing w:line="360" w:lineRule="auto"/>
        <w:rPr>
          <w:rFonts w:ascii="Calibri" w:hAnsi="Calibri" w:cs="Calibri"/>
          <w:lang w:val="en-US"/>
        </w:rPr>
      </w:pPr>
      <w:r w:rsidRPr="009D3628">
        <w:rPr>
          <w:rFonts w:ascii="Calibri" w:hAnsi="Calibri" w:cs="Calibri"/>
          <w:lang w:val="en-US"/>
        </w:rPr>
        <w:t xml:space="preserve">This chapter presents the most important findings of prior literature relating to information content of earnings announcements, intra-industry information transfer and the implementation of IFRS. Landsman and Maydew (2002) show that the information content of earnings announcements increased over the last three decades, which implies that investors are more and more anticipating to financial information releases. Foster (1981) found evidence for the existence of intra-industry information transfer, which implies that investors do also use the industry-specific  information contained in an earnings announcement to predict financial figures of firms operating in the same industry. </w:t>
      </w:r>
      <w:r w:rsidR="00781232" w:rsidRPr="009D3628">
        <w:rPr>
          <w:rFonts w:ascii="Calibri" w:hAnsi="Calibri" w:cs="Calibri"/>
          <w:lang w:val="en-US"/>
        </w:rPr>
        <w:t>The reason why IFRS is implemented in 2005 is because it would lead to higher accounting quality (Barth</w:t>
      </w:r>
      <w:r w:rsidR="00E411E5" w:rsidRPr="009D3628">
        <w:rPr>
          <w:rFonts w:ascii="Calibri" w:hAnsi="Calibri" w:cs="Calibri"/>
          <w:lang w:val="en-US"/>
        </w:rPr>
        <w:t xml:space="preserve"> et al.</w:t>
      </w:r>
      <w:r w:rsidR="00781232" w:rsidRPr="009D3628">
        <w:rPr>
          <w:rFonts w:ascii="Calibri" w:hAnsi="Calibri" w:cs="Calibri"/>
          <w:lang w:val="en-US"/>
        </w:rPr>
        <w:t>, 2008; S</w:t>
      </w:r>
      <w:r w:rsidR="0045289E" w:rsidRPr="009D3628">
        <w:rPr>
          <w:rFonts w:ascii="Calibri" w:hAnsi="Calibri" w:cs="Calibri"/>
          <w:lang w:val="en-US"/>
        </w:rPr>
        <w:t>ö</w:t>
      </w:r>
      <w:r w:rsidR="00781232" w:rsidRPr="009D3628">
        <w:rPr>
          <w:rFonts w:ascii="Calibri" w:hAnsi="Calibri" w:cs="Calibri"/>
          <w:lang w:val="en-US"/>
        </w:rPr>
        <w:t xml:space="preserve">derstrom and Sun, 2007). </w:t>
      </w:r>
      <w:r w:rsidR="006F7860" w:rsidRPr="009D3628">
        <w:rPr>
          <w:rFonts w:ascii="Calibri" w:hAnsi="Calibri" w:cs="Calibri"/>
          <w:lang w:val="en-US"/>
        </w:rPr>
        <w:t>Landsma</w:t>
      </w:r>
      <w:r w:rsidR="00E411E5" w:rsidRPr="009D3628">
        <w:rPr>
          <w:rFonts w:ascii="Calibri" w:hAnsi="Calibri" w:cs="Calibri"/>
          <w:lang w:val="en-US"/>
        </w:rPr>
        <w:t>n, Maydew and Thornock (2011) w</w:t>
      </w:r>
      <w:r w:rsidR="006F7860" w:rsidRPr="009D3628">
        <w:rPr>
          <w:rFonts w:ascii="Calibri" w:hAnsi="Calibri" w:cs="Calibri"/>
          <w:lang w:val="en-US"/>
        </w:rPr>
        <w:t xml:space="preserve">ere the first who investigated the impact of the mandatory adoption of IFRS on the information content of earnings announcements. </w:t>
      </w:r>
      <w:r w:rsidR="00270413" w:rsidRPr="009D3628">
        <w:rPr>
          <w:rFonts w:ascii="Calibri" w:hAnsi="Calibri" w:cs="Calibri"/>
          <w:lang w:val="en-US"/>
        </w:rPr>
        <w:t>The results of the study indicates that firms in IFRS adopting countries experience a greater increase in abnormal return volatility and abnormal trading volume than firms from countries with domestic accounting standards. Next to this they found evidence that the change in information content is gr</w:t>
      </w:r>
      <w:r w:rsidR="00082F63">
        <w:rPr>
          <w:rFonts w:ascii="Calibri" w:hAnsi="Calibri" w:cs="Calibri"/>
          <w:lang w:val="en-US"/>
        </w:rPr>
        <w:t>e</w:t>
      </w:r>
      <w:r w:rsidR="00270413" w:rsidRPr="009D3628">
        <w:rPr>
          <w:rFonts w:ascii="Calibri" w:hAnsi="Calibri" w:cs="Calibri"/>
          <w:lang w:val="en-US"/>
        </w:rPr>
        <w:t xml:space="preserve">ater for firms in countries with strong legal enforcement in comparison with firms from countries with low legal enforcement. </w:t>
      </w:r>
    </w:p>
    <w:p w:rsidR="00D72530" w:rsidRPr="009D3628" w:rsidRDefault="00781232" w:rsidP="008A7B1B">
      <w:pPr>
        <w:pStyle w:val="000"/>
        <w:spacing w:line="360" w:lineRule="auto"/>
        <w:rPr>
          <w:rFonts w:ascii="Calibri" w:hAnsi="Calibri" w:cs="Calibri"/>
          <w:lang w:val="en-US"/>
        </w:rPr>
      </w:pPr>
      <w:r w:rsidRPr="009D3628">
        <w:rPr>
          <w:rFonts w:ascii="Calibri" w:hAnsi="Calibri" w:cs="Calibri"/>
          <w:lang w:val="en-US"/>
        </w:rPr>
        <w:t xml:space="preserve">The first study which investigates the effect of the implementation of IFRS on intra-industry information transfer was the study of Kim and Li (2010). They found that there </w:t>
      </w:r>
      <w:r w:rsidR="00270413" w:rsidRPr="009D3628">
        <w:rPr>
          <w:rFonts w:ascii="Calibri" w:hAnsi="Calibri" w:cs="Calibri"/>
          <w:lang w:val="en-US"/>
        </w:rPr>
        <w:t xml:space="preserve">appeared to be </w:t>
      </w:r>
      <w:r w:rsidRPr="009D3628">
        <w:rPr>
          <w:rFonts w:ascii="Calibri" w:hAnsi="Calibri" w:cs="Calibri"/>
          <w:lang w:val="en-US"/>
        </w:rPr>
        <w:t xml:space="preserve">more intra-industry information transfer between firms reporting according to IFRS in comparison to firms who report according to domestic accounting standards. </w:t>
      </w:r>
    </w:p>
    <w:p w:rsidR="00EB7C6D" w:rsidRPr="009D3628" w:rsidRDefault="00EB7C6D" w:rsidP="00D72530">
      <w:pPr>
        <w:overflowPunct/>
        <w:autoSpaceDE/>
        <w:autoSpaceDN/>
        <w:adjustRightInd/>
        <w:spacing w:after="200" w:line="276" w:lineRule="auto"/>
        <w:textAlignment w:val="auto"/>
        <w:rPr>
          <w:rFonts w:ascii="Calibri" w:hAnsi="Calibri" w:cs="Calibri"/>
          <w:lang w:val="en-US"/>
        </w:rPr>
      </w:pPr>
    </w:p>
    <w:p w:rsidR="00B73533" w:rsidRPr="009D3628" w:rsidRDefault="00B73533" w:rsidP="008A7B1B">
      <w:pPr>
        <w:pStyle w:val="000"/>
        <w:spacing w:line="360" w:lineRule="auto"/>
        <w:rPr>
          <w:rFonts w:ascii="Calibri" w:hAnsi="Calibri" w:cs="Calibri"/>
          <w:lang w:val="en-US"/>
        </w:rPr>
      </w:pPr>
    </w:p>
    <w:p w:rsidR="00B73533" w:rsidRPr="009D3628" w:rsidRDefault="00B73533" w:rsidP="008A7B1B">
      <w:pPr>
        <w:pStyle w:val="000"/>
        <w:spacing w:line="360" w:lineRule="auto"/>
        <w:rPr>
          <w:rFonts w:ascii="Calibri" w:hAnsi="Calibri" w:cs="Calibri"/>
          <w:lang w:val="en-US"/>
        </w:rPr>
      </w:pPr>
    </w:p>
    <w:p w:rsidR="00B73533" w:rsidRPr="009D3628" w:rsidRDefault="00B73533" w:rsidP="008A7B1B">
      <w:pPr>
        <w:pStyle w:val="000"/>
        <w:spacing w:line="360" w:lineRule="auto"/>
        <w:rPr>
          <w:rFonts w:ascii="Calibri" w:hAnsi="Calibri" w:cs="Calibri"/>
          <w:lang w:val="en-US"/>
        </w:rPr>
      </w:pPr>
    </w:p>
    <w:p w:rsidR="00B73533" w:rsidRPr="009D3628" w:rsidRDefault="00B73533" w:rsidP="008A7B1B">
      <w:pPr>
        <w:pStyle w:val="000"/>
        <w:spacing w:line="360" w:lineRule="auto"/>
        <w:rPr>
          <w:rFonts w:ascii="Calibri" w:hAnsi="Calibri" w:cs="Calibri"/>
          <w:lang w:val="en-US"/>
        </w:rPr>
      </w:pPr>
    </w:p>
    <w:p w:rsidR="00E411E5" w:rsidRDefault="00E411E5" w:rsidP="008A7B1B">
      <w:pPr>
        <w:pStyle w:val="000"/>
        <w:spacing w:line="360" w:lineRule="auto"/>
        <w:rPr>
          <w:rFonts w:ascii="Calibri" w:hAnsi="Calibri" w:cs="Calibri"/>
          <w:lang w:val="en-US"/>
        </w:rPr>
      </w:pPr>
    </w:p>
    <w:p w:rsidR="0017239E" w:rsidRPr="009D3628" w:rsidRDefault="0017239E" w:rsidP="008A7B1B">
      <w:pPr>
        <w:pStyle w:val="000"/>
        <w:spacing w:line="360" w:lineRule="auto"/>
        <w:rPr>
          <w:rFonts w:ascii="Calibri" w:hAnsi="Calibri" w:cs="Calibri"/>
          <w:lang w:val="en-US"/>
        </w:rPr>
      </w:pPr>
    </w:p>
    <w:p w:rsidR="0017239E" w:rsidRPr="00FB63DB" w:rsidRDefault="0017239E">
      <w:pPr>
        <w:overflowPunct/>
        <w:autoSpaceDE/>
        <w:autoSpaceDN/>
        <w:adjustRightInd/>
        <w:spacing w:after="200" w:line="276" w:lineRule="auto"/>
        <w:textAlignment w:val="auto"/>
        <w:rPr>
          <w:rFonts w:ascii="Calibri" w:hAnsi="Calibri" w:cs="Calibri"/>
          <w:b/>
          <w:sz w:val="28"/>
          <w:lang w:val="en-US"/>
        </w:rPr>
      </w:pPr>
      <w:r w:rsidRPr="00FB63DB">
        <w:rPr>
          <w:rFonts w:ascii="Calibri" w:hAnsi="Calibri" w:cs="Calibri"/>
          <w:lang w:val="en-US"/>
        </w:rPr>
        <w:br w:type="page"/>
      </w:r>
    </w:p>
    <w:p w:rsidR="00BA16D1" w:rsidRPr="009D3628" w:rsidRDefault="00BA16D1" w:rsidP="00BA16D1">
      <w:pPr>
        <w:pStyle w:val="Kop1"/>
        <w:rPr>
          <w:rFonts w:ascii="Calibri" w:hAnsi="Calibri" w:cs="Calibri"/>
          <w:lang w:val="en-US"/>
        </w:rPr>
      </w:pPr>
      <w:bookmarkStart w:id="13" w:name="_Toc331518359"/>
      <w:r w:rsidRPr="009D3628">
        <w:rPr>
          <w:rFonts w:ascii="Calibri" w:hAnsi="Calibri" w:cs="Calibri"/>
        </w:rPr>
        <w:lastRenderedPageBreak/>
        <w:t>Sample</w:t>
      </w:r>
      <w:r w:rsidRPr="009D3628">
        <w:rPr>
          <w:rFonts w:ascii="Calibri" w:hAnsi="Calibri" w:cs="Calibri"/>
          <w:lang w:val="en-US"/>
        </w:rPr>
        <w:t xml:space="preserve"> </w:t>
      </w:r>
      <w:r w:rsidRPr="009D3628">
        <w:rPr>
          <w:rFonts w:ascii="Calibri" w:hAnsi="Calibri" w:cs="Calibri"/>
        </w:rPr>
        <w:t>Selection</w:t>
      </w:r>
      <w:bookmarkEnd w:id="13"/>
    </w:p>
    <w:p w:rsidR="00BA16D1" w:rsidRPr="009D3628" w:rsidRDefault="00BA16D1" w:rsidP="00BA16D1">
      <w:pPr>
        <w:pStyle w:val="000"/>
        <w:spacing w:line="360" w:lineRule="auto"/>
        <w:rPr>
          <w:rFonts w:ascii="Calibri" w:hAnsi="Calibri" w:cs="Calibri"/>
          <w:szCs w:val="22"/>
          <w:lang w:val="en-US"/>
        </w:rPr>
      </w:pPr>
    </w:p>
    <w:p w:rsidR="00BA16D1" w:rsidRPr="009D3628" w:rsidRDefault="00BA16D1" w:rsidP="00BA16D1">
      <w:pPr>
        <w:pStyle w:val="Kop2"/>
        <w:rPr>
          <w:rFonts w:ascii="Calibri" w:hAnsi="Calibri" w:cs="Calibri"/>
          <w:lang w:val="en-US"/>
        </w:rPr>
      </w:pPr>
      <w:bookmarkStart w:id="14" w:name="_Toc331518360"/>
      <w:r w:rsidRPr="009D3628">
        <w:rPr>
          <w:rFonts w:ascii="Calibri" w:hAnsi="Calibri" w:cs="Calibri"/>
        </w:rPr>
        <w:t>Introduction</w:t>
      </w:r>
      <w:bookmarkEnd w:id="14"/>
    </w:p>
    <w:p w:rsidR="00BA16D1" w:rsidRPr="009D3628" w:rsidRDefault="00BA16D1" w:rsidP="00BA16D1">
      <w:pPr>
        <w:pStyle w:val="000"/>
        <w:rPr>
          <w:rFonts w:ascii="Calibri" w:hAnsi="Calibri" w:cs="Calibri"/>
          <w:lang w:val="en-US"/>
        </w:rPr>
      </w:pPr>
    </w:p>
    <w:p w:rsidR="00BA16D1" w:rsidRPr="009D3628" w:rsidRDefault="00BA16D1" w:rsidP="00BA16D1">
      <w:pPr>
        <w:pStyle w:val="000"/>
        <w:spacing w:line="360" w:lineRule="auto"/>
        <w:rPr>
          <w:rFonts w:ascii="Calibri" w:hAnsi="Calibri" w:cs="Calibri"/>
          <w:szCs w:val="22"/>
          <w:lang w:val="en-US"/>
        </w:rPr>
      </w:pPr>
      <w:r w:rsidRPr="009D3628">
        <w:rPr>
          <w:rFonts w:ascii="Calibri" w:hAnsi="Calibri" w:cs="Calibri"/>
          <w:szCs w:val="22"/>
          <w:lang w:val="en-US"/>
        </w:rPr>
        <w:t xml:space="preserve">In this study I investigate the impact the implementation of IFRS by European firms can have on the magnitude of intra-industry information transfers. The sample will consist of European firms reporting according to domestic accounting standards in the period 2001-2004, and changed their accounting standard to IFRS in 2005. The total sample period taken for this study is 2001 till 2010 of which the period 2001-2004 is seen as the pre-IFRS period and 2005-2010 is taken is the post-IFRS period. A comparison between the two periods should show if the change to IFRS as accounting standard, leads to an increase in the magnitude of intra-industry information transfer. </w:t>
      </w:r>
    </w:p>
    <w:p w:rsidR="00BA16D1" w:rsidRPr="009D3628" w:rsidRDefault="00BA16D1" w:rsidP="00BA16D1">
      <w:pPr>
        <w:pStyle w:val="000"/>
        <w:spacing w:line="360" w:lineRule="auto"/>
        <w:rPr>
          <w:rFonts w:ascii="Calibri" w:hAnsi="Calibri" w:cs="Calibri"/>
          <w:szCs w:val="22"/>
          <w:lang w:val="en-US"/>
        </w:rPr>
      </w:pPr>
    </w:p>
    <w:p w:rsidR="00BA16D1" w:rsidRPr="009D3628" w:rsidRDefault="00BA16D1" w:rsidP="00BA16D1">
      <w:pPr>
        <w:pStyle w:val="Kop2"/>
        <w:rPr>
          <w:rFonts w:ascii="Calibri" w:hAnsi="Calibri" w:cs="Calibri"/>
          <w:lang w:val="en-US"/>
        </w:rPr>
      </w:pPr>
      <w:bookmarkStart w:id="15" w:name="_Toc331518361"/>
      <w:r w:rsidRPr="009D3628">
        <w:rPr>
          <w:rFonts w:ascii="Calibri" w:hAnsi="Calibri" w:cs="Calibri"/>
          <w:lang w:val="en-US"/>
        </w:rPr>
        <w:t>Description of selection criteria</w:t>
      </w:r>
      <w:bookmarkEnd w:id="15"/>
    </w:p>
    <w:p w:rsidR="00BA16D1" w:rsidRPr="009D3628" w:rsidRDefault="00BA16D1" w:rsidP="00BA16D1">
      <w:pPr>
        <w:pStyle w:val="000"/>
        <w:rPr>
          <w:rFonts w:ascii="Calibri" w:hAnsi="Calibri" w:cs="Calibri"/>
          <w:lang w:val="en-US"/>
        </w:rPr>
      </w:pPr>
    </w:p>
    <w:p w:rsidR="00BA16D1" w:rsidRPr="009D3628" w:rsidRDefault="00BA16D1" w:rsidP="00BA16D1">
      <w:pPr>
        <w:pStyle w:val="000"/>
        <w:spacing w:line="360" w:lineRule="auto"/>
        <w:rPr>
          <w:rFonts w:ascii="Calibri" w:hAnsi="Calibri" w:cs="Calibri"/>
          <w:szCs w:val="22"/>
          <w:lang w:val="en-US"/>
        </w:rPr>
      </w:pPr>
      <w:r w:rsidRPr="009D3628">
        <w:rPr>
          <w:rFonts w:ascii="Calibri" w:hAnsi="Calibri" w:cs="Calibri"/>
          <w:szCs w:val="22"/>
          <w:lang w:val="en-US"/>
        </w:rPr>
        <w:t xml:space="preserve">To investigate the appearance of intra-industry information transfer I should select a sample of firms operating in the same industry. To define industries I used the 8-digit Global Industry Classification Standard (GICS) codes. This because according to the study of Bhojraj et al. (2003) the GICS classifications perform best in terms of explaining stock return comovements, compared to other industry classifications such as Standard Industrial Classifications (SIC). </w:t>
      </w:r>
    </w:p>
    <w:p w:rsidR="00BA16D1" w:rsidRPr="009D3628" w:rsidRDefault="00BA16D1" w:rsidP="00BA16D1">
      <w:pPr>
        <w:pStyle w:val="000"/>
        <w:spacing w:line="360" w:lineRule="auto"/>
        <w:rPr>
          <w:rFonts w:ascii="Calibri" w:hAnsi="Calibri" w:cs="Calibri"/>
          <w:szCs w:val="22"/>
          <w:lang w:val="en-US"/>
        </w:rPr>
      </w:pPr>
    </w:p>
    <w:p w:rsidR="00BA16D1" w:rsidRPr="009D3628" w:rsidRDefault="00BA16D1" w:rsidP="00BA16D1">
      <w:pPr>
        <w:pStyle w:val="000"/>
        <w:spacing w:line="360" w:lineRule="auto"/>
        <w:rPr>
          <w:rFonts w:ascii="Calibri" w:hAnsi="Calibri" w:cs="Calibri"/>
          <w:szCs w:val="22"/>
          <w:lang w:val="en-US"/>
        </w:rPr>
      </w:pPr>
      <w:r w:rsidRPr="009D3628">
        <w:rPr>
          <w:rFonts w:ascii="Calibri" w:hAnsi="Calibri" w:cs="Calibri"/>
          <w:szCs w:val="22"/>
          <w:lang w:val="en-US"/>
        </w:rPr>
        <w:t>To select a sample of firms and to assign the firms to the industry they operate in based on GICS codes, I collect firm annual data out of the Compustat Global database. I focus on annual earnings announcements because quarterly earnings announcement data is very hard to find and often incomplete for European firms (Kim and Li, 2010; DeFond et al., 2007) To come to a final sample, several steps were taken:</w:t>
      </w:r>
    </w:p>
    <w:p w:rsidR="00BA16D1" w:rsidRPr="009D3628" w:rsidRDefault="00BA16D1" w:rsidP="00BA16D1">
      <w:pPr>
        <w:pStyle w:val="000"/>
        <w:spacing w:line="360" w:lineRule="auto"/>
        <w:rPr>
          <w:rFonts w:ascii="Calibri" w:hAnsi="Calibri" w:cs="Calibri"/>
          <w:szCs w:val="22"/>
          <w:lang w:val="en-US"/>
        </w:rPr>
      </w:pPr>
    </w:p>
    <w:p w:rsidR="00BA16D1" w:rsidRPr="009D3628" w:rsidRDefault="00BA16D1" w:rsidP="00BA16D1">
      <w:pPr>
        <w:pStyle w:val="000"/>
        <w:spacing w:line="360" w:lineRule="auto"/>
        <w:rPr>
          <w:rFonts w:ascii="Calibri" w:hAnsi="Calibri" w:cs="Calibri"/>
          <w:szCs w:val="22"/>
          <w:lang w:val="en-US"/>
        </w:rPr>
      </w:pPr>
      <w:r w:rsidRPr="009D3628">
        <w:rPr>
          <w:rFonts w:ascii="Calibri" w:hAnsi="Calibri" w:cs="Calibri"/>
          <w:szCs w:val="22"/>
          <w:lang w:val="en-US"/>
        </w:rPr>
        <w:t xml:space="preserve">Starting with a file from Compustat Global consisting of 204.000 observations, I started to remove observations not applicable for this study. First I restrict the sample to firms with December fiscal year-ends, this to be sure that all the firms in the sample report their financial information over the same fiscal period. This is consistent with prior studies of Kim and Li (2010), Freeman and Tse (1992) and Thomas and Zhang (2008). Then, because I only look at firms which adopted IFRS in 2005, I eliminated </w:t>
      </w:r>
      <w:r w:rsidR="00082F63">
        <w:rPr>
          <w:rFonts w:ascii="Calibri" w:hAnsi="Calibri" w:cs="Calibri"/>
          <w:szCs w:val="22"/>
          <w:lang w:val="en-US"/>
        </w:rPr>
        <w:lastRenderedPageBreak/>
        <w:t>firms which</w:t>
      </w:r>
      <w:r w:rsidRPr="009D3628">
        <w:rPr>
          <w:rFonts w:ascii="Calibri" w:hAnsi="Calibri" w:cs="Calibri"/>
          <w:szCs w:val="22"/>
          <w:lang w:val="en-US"/>
        </w:rPr>
        <w:t xml:space="preserve"> not have the accounting standard code “DI” in 2005 and later. “DI” is the accounting standard code for IFRS in Compustat Global. I also eliminate firms which already implemented IFRS before 2005. </w:t>
      </w:r>
    </w:p>
    <w:p w:rsidR="00BA16D1" w:rsidRPr="009D3628" w:rsidRDefault="00BA16D1" w:rsidP="00BA16D1">
      <w:pPr>
        <w:pStyle w:val="000"/>
        <w:spacing w:line="360" w:lineRule="auto"/>
        <w:rPr>
          <w:rFonts w:ascii="Calibri" w:hAnsi="Calibri" w:cs="Calibri"/>
          <w:szCs w:val="22"/>
          <w:lang w:val="en-US"/>
        </w:rPr>
      </w:pPr>
    </w:p>
    <w:p w:rsidR="00BA16D1" w:rsidRPr="009D3628" w:rsidRDefault="00BA16D1" w:rsidP="00BA16D1">
      <w:pPr>
        <w:pStyle w:val="000"/>
        <w:spacing w:line="360" w:lineRule="auto"/>
        <w:rPr>
          <w:rFonts w:ascii="Calibri" w:hAnsi="Calibri" w:cs="Calibri"/>
          <w:szCs w:val="22"/>
          <w:lang w:val="en-US"/>
        </w:rPr>
      </w:pPr>
      <w:r w:rsidRPr="009D3628">
        <w:rPr>
          <w:rFonts w:ascii="Calibri" w:hAnsi="Calibri" w:cs="Calibri"/>
          <w:szCs w:val="22"/>
          <w:lang w:val="en-US"/>
        </w:rPr>
        <w:t xml:space="preserve">Second step is to allocate the firms in the sample to the GICS industry they belong to according to the Compustat Global database. For the final sample I only look at the industries consisting of at least 2 firms and maximum 12 firms. The reason why I used a minimum of 2 firms is because when there are 2 firms operating in the same industry, there can be intra-industry information transfer. The reason why I took 12 firms as a maximum is to reduce the severity of the ‘simultaneous release’ issue and to keep the data collection task manageable (Foster, 1981). The simultaneous release issue is the chance that 2 firms in the same industry release their earnings information on the same day. This results in a sample of 193 firms divided over 22 industries. </w:t>
      </w:r>
    </w:p>
    <w:p w:rsidR="00BA16D1" w:rsidRPr="009D3628" w:rsidRDefault="00BA16D1" w:rsidP="00BA16D1">
      <w:pPr>
        <w:pStyle w:val="000"/>
        <w:spacing w:line="360" w:lineRule="auto"/>
        <w:rPr>
          <w:rFonts w:ascii="Calibri" w:hAnsi="Calibri" w:cs="Calibri"/>
          <w:szCs w:val="22"/>
          <w:lang w:val="en-US"/>
        </w:rPr>
      </w:pPr>
    </w:p>
    <w:p w:rsidR="00BA16D1" w:rsidRPr="009D3628" w:rsidRDefault="00BA16D1" w:rsidP="00BA16D1">
      <w:pPr>
        <w:pStyle w:val="000"/>
        <w:spacing w:line="360" w:lineRule="auto"/>
        <w:rPr>
          <w:rFonts w:ascii="Calibri" w:hAnsi="Calibri" w:cs="Calibri"/>
          <w:szCs w:val="22"/>
          <w:lang w:val="en-US"/>
        </w:rPr>
      </w:pPr>
      <w:r w:rsidRPr="009D3628">
        <w:rPr>
          <w:rFonts w:ascii="Calibri" w:hAnsi="Calibri" w:cs="Calibri"/>
          <w:szCs w:val="22"/>
          <w:lang w:val="en-US"/>
        </w:rPr>
        <w:t>For t</w:t>
      </w:r>
      <w:r w:rsidR="00082F63">
        <w:rPr>
          <w:rFonts w:ascii="Calibri" w:hAnsi="Calibri" w:cs="Calibri"/>
          <w:szCs w:val="22"/>
          <w:lang w:val="en-US"/>
        </w:rPr>
        <w:t>he</w:t>
      </w:r>
      <w:r w:rsidRPr="009D3628">
        <w:rPr>
          <w:rFonts w:ascii="Calibri" w:hAnsi="Calibri" w:cs="Calibri"/>
          <w:szCs w:val="22"/>
          <w:lang w:val="en-US"/>
        </w:rPr>
        <w:t xml:space="preserve"> final sample I need to collect the announcement dates from I/B/E/S and determined per industry per year who the first-announcer was in the industry. To link the companies of the selected sample from Compustat Global with the I/B/E/S database, the I/B/E/S-tickers belonging to the companies are needed. Because these tickers cannot be obtained from the Compustat Global database, I should obtain them from the Thomson One banker database. Unfortunately not all the I/B/E/S-ticker codes for the companies in the sample are available, which result in a reduction from the sample. For 96 firms, I/B/E/S-tickers were not available at the Thompson One Banker database, which leads to a reduction of the sample to 97 firms divided over 21 industries. </w:t>
      </w:r>
    </w:p>
    <w:p w:rsidR="00BA16D1" w:rsidRPr="009D3628" w:rsidRDefault="00BA16D1" w:rsidP="00BA16D1">
      <w:pPr>
        <w:pStyle w:val="000"/>
        <w:spacing w:line="360" w:lineRule="auto"/>
        <w:rPr>
          <w:rFonts w:ascii="Calibri" w:hAnsi="Calibri" w:cs="Calibri"/>
          <w:szCs w:val="22"/>
          <w:lang w:val="en-US"/>
        </w:rPr>
      </w:pPr>
    </w:p>
    <w:p w:rsidR="00BA16D1" w:rsidRPr="009D3628" w:rsidRDefault="00BA16D1" w:rsidP="00BA16D1">
      <w:pPr>
        <w:pStyle w:val="000"/>
        <w:spacing w:line="360" w:lineRule="auto"/>
        <w:rPr>
          <w:rFonts w:ascii="Calibri" w:hAnsi="Calibri" w:cs="Calibri"/>
          <w:szCs w:val="22"/>
          <w:lang w:val="en-US"/>
        </w:rPr>
      </w:pPr>
      <w:r w:rsidRPr="009D3628">
        <w:rPr>
          <w:rFonts w:ascii="Calibri" w:hAnsi="Calibri" w:cs="Calibri"/>
          <w:szCs w:val="22"/>
          <w:lang w:val="en-US"/>
        </w:rPr>
        <w:t xml:space="preserve">For these 97 companies, the announcement dates of their annual earnings information release were obtained. By dividing the companies over the industries they belong to according to the 8-digit GICS industry codes derived from Compustat Global, unfortunately I had to conclude that for some industries there was no data available for the years before 2005. This makes it impossible to compare the pre-IFRS period with the post-IFRS period for that certain industry. By deleting the industries where a comparison between pre- and post-IFRS periods is impossible 10 industries are removed from the sample. This leads to the final sample for this study, which consist of 57 firms divided over 11 industries. The eleven industries and the number of firms in each industry are presented in table 1. </w:t>
      </w:r>
    </w:p>
    <w:p w:rsidR="00BA16D1" w:rsidRPr="009D3628" w:rsidRDefault="00BA16D1" w:rsidP="00BA16D1">
      <w:pPr>
        <w:pStyle w:val="Tabletitle"/>
        <w:rPr>
          <w:rFonts w:ascii="Calibri" w:hAnsi="Calibri" w:cs="Calibri"/>
          <w:b w:val="0"/>
          <w:color w:val="auto"/>
          <w:sz w:val="22"/>
          <w:szCs w:val="22"/>
          <w:lang w:val="en-US"/>
        </w:rPr>
      </w:pPr>
    </w:p>
    <w:p w:rsidR="00BA16D1" w:rsidRPr="00CF3243" w:rsidRDefault="00BA16D1" w:rsidP="00BA16D1">
      <w:pPr>
        <w:pStyle w:val="Tabletitle"/>
        <w:rPr>
          <w:rFonts w:ascii="Calibri" w:hAnsi="Calibri" w:cs="Calibri"/>
          <w:sz w:val="22"/>
          <w:szCs w:val="22"/>
          <w:lang w:val="en-US"/>
        </w:rPr>
      </w:pPr>
      <w:r w:rsidRPr="00CF3243">
        <w:rPr>
          <w:rFonts w:ascii="Calibri" w:hAnsi="Calibri" w:cs="Calibri"/>
          <w:sz w:val="22"/>
          <w:szCs w:val="22"/>
          <w:lang w:val="en-US"/>
        </w:rPr>
        <w:t>Table 1: Summary statistics on industries represented in sample.</w:t>
      </w:r>
    </w:p>
    <w:p w:rsidR="00BA16D1" w:rsidRPr="009D3628" w:rsidRDefault="00BA16D1" w:rsidP="00BA16D1">
      <w:pPr>
        <w:pStyle w:val="Tabletext"/>
        <w:rPr>
          <w:rFonts w:ascii="Calibri" w:hAnsi="Calibri" w:cs="Calibri"/>
          <w:lang w:val="en-US"/>
        </w:rPr>
      </w:pPr>
    </w:p>
    <w:tbl>
      <w:tblPr>
        <w:tblStyle w:val="Tabelraster"/>
        <w:tblW w:w="4002"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2098"/>
        <w:gridCol w:w="4252"/>
        <w:gridCol w:w="1356"/>
      </w:tblGrid>
      <w:tr w:rsidR="00BA16D1" w:rsidRPr="009D3628" w:rsidTr="00365D2A">
        <w:trPr>
          <w:trHeight w:val="154"/>
        </w:trPr>
        <w:tc>
          <w:tcPr>
            <w:tcW w:w="1361" w:type="pct"/>
            <w:shd w:val="clear" w:color="auto" w:fill="999999"/>
          </w:tcPr>
          <w:p w:rsidR="00BA16D1" w:rsidRPr="009D3628" w:rsidRDefault="00BA16D1" w:rsidP="00365D2A">
            <w:pPr>
              <w:pStyle w:val="Tableheading1"/>
              <w:rPr>
                <w:rFonts w:ascii="Calibri" w:hAnsi="Calibri" w:cs="Calibri"/>
                <w:lang w:val="en-US"/>
              </w:rPr>
            </w:pPr>
            <w:r w:rsidRPr="009D3628">
              <w:rPr>
                <w:rFonts w:ascii="Calibri" w:hAnsi="Calibri" w:cs="Calibri"/>
                <w:lang w:val="en-US"/>
              </w:rPr>
              <w:t>8-digit GICS code</w:t>
            </w:r>
          </w:p>
        </w:tc>
        <w:tc>
          <w:tcPr>
            <w:tcW w:w="2759" w:type="pct"/>
            <w:shd w:val="clear" w:color="auto" w:fill="999999"/>
          </w:tcPr>
          <w:p w:rsidR="00BA16D1" w:rsidRPr="009D3628" w:rsidRDefault="00BA16D1" w:rsidP="00365D2A">
            <w:pPr>
              <w:pStyle w:val="Tableheading1"/>
              <w:rPr>
                <w:rFonts w:ascii="Calibri" w:hAnsi="Calibri" w:cs="Calibri"/>
                <w:lang w:val="en-US"/>
              </w:rPr>
            </w:pPr>
            <w:r w:rsidRPr="009D3628">
              <w:rPr>
                <w:rFonts w:ascii="Calibri" w:hAnsi="Calibri" w:cs="Calibri"/>
                <w:lang w:val="en-US"/>
              </w:rPr>
              <w:t>Industry</w:t>
            </w:r>
          </w:p>
        </w:tc>
        <w:tc>
          <w:tcPr>
            <w:tcW w:w="881" w:type="pct"/>
            <w:shd w:val="clear" w:color="auto" w:fill="999999"/>
          </w:tcPr>
          <w:p w:rsidR="00BA16D1" w:rsidRPr="009D3628" w:rsidRDefault="00BA16D1" w:rsidP="00365D2A">
            <w:pPr>
              <w:pStyle w:val="Tableheading1"/>
              <w:rPr>
                <w:rFonts w:ascii="Calibri" w:hAnsi="Calibri" w:cs="Calibri"/>
                <w:lang w:val="en-US"/>
              </w:rPr>
            </w:pPr>
            <w:r w:rsidRPr="009D3628">
              <w:rPr>
                <w:rFonts w:ascii="Calibri" w:hAnsi="Calibri" w:cs="Calibri"/>
                <w:lang w:val="en-US"/>
              </w:rPr>
              <w:t>No. of firms</w:t>
            </w:r>
          </w:p>
        </w:tc>
      </w:tr>
      <w:tr w:rsidR="00BA16D1" w:rsidRPr="009D3628" w:rsidTr="00365D2A">
        <w:trPr>
          <w:trHeight w:val="255"/>
        </w:trPr>
        <w:tc>
          <w:tcPr>
            <w:tcW w:w="136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10102010</w:t>
            </w:r>
          </w:p>
        </w:tc>
        <w:tc>
          <w:tcPr>
            <w:tcW w:w="2759"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Integrated oil and gas</w:t>
            </w:r>
          </w:p>
        </w:tc>
        <w:tc>
          <w:tcPr>
            <w:tcW w:w="88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5</w:t>
            </w:r>
          </w:p>
        </w:tc>
      </w:tr>
      <w:tr w:rsidR="00BA16D1" w:rsidRPr="009D3628" w:rsidTr="00365D2A">
        <w:tc>
          <w:tcPr>
            <w:tcW w:w="136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15101040</w:t>
            </w:r>
          </w:p>
        </w:tc>
        <w:tc>
          <w:tcPr>
            <w:tcW w:w="2759"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Industrial gases</w:t>
            </w:r>
          </w:p>
        </w:tc>
        <w:tc>
          <w:tcPr>
            <w:tcW w:w="88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3</w:t>
            </w:r>
          </w:p>
        </w:tc>
      </w:tr>
      <w:tr w:rsidR="00BA16D1" w:rsidRPr="009D3628" w:rsidTr="00365D2A">
        <w:tc>
          <w:tcPr>
            <w:tcW w:w="136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20105010</w:t>
            </w:r>
          </w:p>
        </w:tc>
        <w:tc>
          <w:tcPr>
            <w:tcW w:w="2759"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Industrial conglomerates</w:t>
            </w:r>
          </w:p>
        </w:tc>
        <w:tc>
          <w:tcPr>
            <w:tcW w:w="88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7</w:t>
            </w:r>
          </w:p>
        </w:tc>
      </w:tr>
      <w:tr w:rsidR="00BA16D1" w:rsidRPr="009D3628" w:rsidTr="00365D2A">
        <w:tc>
          <w:tcPr>
            <w:tcW w:w="136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25102010</w:t>
            </w:r>
          </w:p>
        </w:tc>
        <w:tc>
          <w:tcPr>
            <w:tcW w:w="2759"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Automobile manufacturers</w:t>
            </w:r>
          </w:p>
        </w:tc>
        <w:tc>
          <w:tcPr>
            <w:tcW w:w="88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6</w:t>
            </w:r>
          </w:p>
        </w:tc>
      </w:tr>
      <w:tr w:rsidR="00BA16D1" w:rsidRPr="009D3628" w:rsidTr="00365D2A">
        <w:trPr>
          <w:trHeight w:val="255"/>
        </w:trPr>
        <w:tc>
          <w:tcPr>
            <w:tcW w:w="136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25201010</w:t>
            </w:r>
          </w:p>
        </w:tc>
        <w:tc>
          <w:tcPr>
            <w:tcW w:w="2759"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Consumer Electronics</w:t>
            </w:r>
          </w:p>
        </w:tc>
        <w:tc>
          <w:tcPr>
            <w:tcW w:w="88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5</w:t>
            </w:r>
          </w:p>
        </w:tc>
      </w:tr>
      <w:tr w:rsidR="00BA16D1" w:rsidRPr="009D3628" w:rsidTr="00365D2A">
        <w:tc>
          <w:tcPr>
            <w:tcW w:w="136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25201030</w:t>
            </w:r>
          </w:p>
        </w:tc>
        <w:tc>
          <w:tcPr>
            <w:tcW w:w="2759"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Home building</w:t>
            </w:r>
          </w:p>
        </w:tc>
        <w:tc>
          <w:tcPr>
            <w:tcW w:w="88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7</w:t>
            </w:r>
          </w:p>
        </w:tc>
      </w:tr>
      <w:tr w:rsidR="00BA16D1" w:rsidRPr="009D3628" w:rsidTr="00365D2A">
        <w:tc>
          <w:tcPr>
            <w:tcW w:w="136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25504040</w:t>
            </w:r>
          </w:p>
        </w:tc>
        <w:tc>
          <w:tcPr>
            <w:tcW w:w="2759"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Specialty stores</w:t>
            </w:r>
          </w:p>
        </w:tc>
        <w:tc>
          <w:tcPr>
            <w:tcW w:w="88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4</w:t>
            </w:r>
          </w:p>
        </w:tc>
      </w:tr>
      <w:tr w:rsidR="00BA16D1" w:rsidRPr="009D3628" w:rsidTr="00365D2A">
        <w:tc>
          <w:tcPr>
            <w:tcW w:w="136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30201020</w:t>
            </w:r>
          </w:p>
        </w:tc>
        <w:tc>
          <w:tcPr>
            <w:tcW w:w="2759"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Distillers &amp; Vintners</w:t>
            </w:r>
          </w:p>
        </w:tc>
        <w:tc>
          <w:tcPr>
            <w:tcW w:w="88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6</w:t>
            </w:r>
          </w:p>
        </w:tc>
      </w:tr>
      <w:tr w:rsidR="00BA16D1" w:rsidRPr="009D3628" w:rsidTr="00365D2A">
        <w:trPr>
          <w:trHeight w:val="255"/>
        </w:trPr>
        <w:tc>
          <w:tcPr>
            <w:tcW w:w="136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35101020</w:t>
            </w:r>
          </w:p>
        </w:tc>
        <w:tc>
          <w:tcPr>
            <w:tcW w:w="2759"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Health care supplies</w:t>
            </w:r>
          </w:p>
        </w:tc>
        <w:tc>
          <w:tcPr>
            <w:tcW w:w="88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2</w:t>
            </w:r>
          </w:p>
        </w:tc>
      </w:tr>
      <w:tr w:rsidR="00BA16D1" w:rsidRPr="009D3628" w:rsidTr="00365D2A">
        <w:tc>
          <w:tcPr>
            <w:tcW w:w="136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40402060</w:t>
            </w:r>
          </w:p>
        </w:tc>
        <w:tc>
          <w:tcPr>
            <w:tcW w:w="2759"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 xml:space="preserve">Retail REIT’s </w:t>
            </w:r>
          </w:p>
        </w:tc>
        <w:tc>
          <w:tcPr>
            <w:tcW w:w="88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6</w:t>
            </w:r>
          </w:p>
        </w:tc>
      </w:tr>
      <w:tr w:rsidR="00BA16D1" w:rsidRPr="009D3628" w:rsidTr="00365D2A">
        <w:tc>
          <w:tcPr>
            <w:tcW w:w="136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45202010</w:t>
            </w:r>
          </w:p>
        </w:tc>
        <w:tc>
          <w:tcPr>
            <w:tcW w:w="2759"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Computer hardware</w:t>
            </w:r>
          </w:p>
        </w:tc>
        <w:tc>
          <w:tcPr>
            <w:tcW w:w="88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6</w:t>
            </w:r>
          </w:p>
        </w:tc>
      </w:tr>
      <w:tr w:rsidR="00BA16D1" w:rsidRPr="009D3628" w:rsidTr="00365D2A">
        <w:tc>
          <w:tcPr>
            <w:tcW w:w="1361" w:type="pct"/>
          </w:tcPr>
          <w:p w:rsidR="00BA16D1" w:rsidRPr="009D3628" w:rsidRDefault="00BA16D1" w:rsidP="00365D2A">
            <w:pPr>
              <w:pStyle w:val="Tabletext"/>
              <w:rPr>
                <w:rFonts w:ascii="Calibri" w:hAnsi="Calibri" w:cs="Calibri"/>
                <w:lang w:val="en-US"/>
              </w:rPr>
            </w:pPr>
          </w:p>
        </w:tc>
        <w:tc>
          <w:tcPr>
            <w:tcW w:w="2759"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Total Sample</w:t>
            </w:r>
          </w:p>
        </w:tc>
        <w:tc>
          <w:tcPr>
            <w:tcW w:w="881" w:type="pct"/>
          </w:tcPr>
          <w:p w:rsidR="00BA16D1" w:rsidRPr="009D3628" w:rsidRDefault="00BA16D1" w:rsidP="00365D2A">
            <w:pPr>
              <w:pStyle w:val="Tabletext"/>
              <w:rPr>
                <w:rFonts w:ascii="Calibri" w:hAnsi="Calibri" w:cs="Calibri"/>
                <w:lang w:val="en-US"/>
              </w:rPr>
            </w:pPr>
            <w:r w:rsidRPr="009D3628">
              <w:rPr>
                <w:rFonts w:ascii="Calibri" w:hAnsi="Calibri" w:cs="Calibri"/>
                <w:lang w:val="en-US"/>
              </w:rPr>
              <w:t>57</w:t>
            </w:r>
          </w:p>
        </w:tc>
      </w:tr>
    </w:tbl>
    <w:p w:rsidR="00BA16D1" w:rsidRPr="009D3628" w:rsidRDefault="00BA16D1" w:rsidP="008A7B1B">
      <w:pPr>
        <w:pStyle w:val="000"/>
        <w:spacing w:line="360" w:lineRule="auto"/>
        <w:rPr>
          <w:rFonts w:ascii="Calibri" w:hAnsi="Calibri" w:cs="Calibri"/>
          <w:lang w:val="en-US"/>
        </w:rPr>
      </w:pPr>
    </w:p>
    <w:p w:rsidR="00BA16D1" w:rsidRPr="005165C6" w:rsidRDefault="005165C6" w:rsidP="005165C6">
      <w:pPr>
        <w:pStyle w:val="Kop2"/>
        <w:rPr>
          <w:rFonts w:asciiTheme="minorHAnsi" w:hAnsiTheme="minorHAnsi" w:cstheme="minorHAnsi"/>
          <w:lang w:val="en-US"/>
        </w:rPr>
      </w:pPr>
      <w:bookmarkStart w:id="16" w:name="_Toc331518362"/>
      <w:r w:rsidRPr="005165C6">
        <w:rPr>
          <w:rFonts w:asciiTheme="minorHAnsi" w:hAnsiTheme="minorHAnsi" w:cstheme="minorHAnsi"/>
          <w:lang w:val="en-US"/>
        </w:rPr>
        <w:t>Summary</w:t>
      </w:r>
      <w:bookmarkEnd w:id="16"/>
    </w:p>
    <w:p w:rsidR="00BA16D1" w:rsidRPr="009D3628" w:rsidRDefault="00BA16D1" w:rsidP="008A7B1B">
      <w:pPr>
        <w:pStyle w:val="000"/>
        <w:spacing w:line="360" w:lineRule="auto"/>
        <w:rPr>
          <w:rFonts w:ascii="Calibri" w:hAnsi="Calibri" w:cs="Calibri"/>
          <w:lang w:val="en-US"/>
        </w:rPr>
      </w:pPr>
    </w:p>
    <w:p w:rsidR="00BA16D1" w:rsidRPr="009D3628" w:rsidRDefault="005165C6" w:rsidP="008A7B1B">
      <w:pPr>
        <w:pStyle w:val="000"/>
        <w:spacing w:line="360" w:lineRule="auto"/>
        <w:rPr>
          <w:rFonts w:ascii="Calibri" w:hAnsi="Calibri" w:cs="Calibri"/>
          <w:lang w:val="en-US"/>
        </w:rPr>
      </w:pPr>
      <w:r>
        <w:rPr>
          <w:rFonts w:ascii="Calibri" w:hAnsi="Calibri" w:cs="Calibri"/>
          <w:lang w:val="en-US"/>
        </w:rPr>
        <w:t>Due to all the requirements where the firms must satisfy to be suitable for this study, the final samples became relatively small. This is not per se a problem for performing this study, because it is very detailed. If we compare this sample selection to the one designed by Foster (1981) it is not so different. The sample of Foster (1981) consist of 75 firms divided over 10 industries, where the samples in this study contain 57 firms divided over 11 industries. What makes the number of observations less in this study comparing to the study of Foster (1981) is that Foster (1981) uses quarterly earnings announcements</w:t>
      </w:r>
      <w:r w:rsidR="00552552">
        <w:rPr>
          <w:rFonts w:ascii="Calibri" w:hAnsi="Calibri" w:cs="Calibri"/>
          <w:lang w:val="en-US"/>
        </w:rPr>
        <w:t xml:space="preserve">, while I use annually earnings announcements. The reason why I use only annual earnings announcements is because of the unavailability of quarterly information data of European firms. But this makes the samples in this study at once four times smaller. Second reason why the samples in this study consist of less observations than the one used in Foster (1981) is that I only investigate intra-industry information transfer caused by the earnings announcement of the first-announcing firm in the industry. This because prior studies show that the </w:t>
      </w:r>
      <w:r w:rsidR="00552552" w:rsidRPr="009D3628">
        <w:rPr>
          <w:rFonts w:ascii="Calibri" w:hAnsi="Calibri" w:cs="Calibri"/>
          <w:lang w:val="en-US"/>
        </w:rPr>
        <w:t>magnitude of intra-industry information transfer is greatest at the time the first earnings announc</w:t>
      </w:r>
      <w:r w:rsidR="00552552">
        <w:rPr>
          <w:rFonts w:ascii="Calibri" w:hAnsi="Calibri" w:cs="Calibri"/>
          <w:lang w:val="en-US"/>
        </w:rPr>
        <w:t xml:space="preserve">ement in de industry is released and declines for subsequent announcements. Foster considers all the firms in an industry one time as first announcer and measures the abnormal return of the other firms surrounding this announcement date. This results in more observations contained in his sample. </w:t>
      </w:r>
      <w:r w:rsidR="005C72CF">
        <w:rPr>
          <w:rFonts w:ascii="Calibri" w:hAnsi="Calibri" w:cs="Calibri"/>
          <w:lang w:val="en-US"/>
        </w:rPr>
        <w:t xml:space="preserve">There is a possibility of some selection </w:t>
      </w:r>
      <w:r w:rsidR="005C72CF">
        <w:rPr>
          <w:rFonts w:ascii="Calibri" w:hAnsi="Calibri" w:cs="Calibri"/>
          <w:lang w:val="en-US"/>
        </w:rPr>
        <w:lastRenderedPageBreak/>
        <w:t xml:space="preserve">bias in the sample. This because the unavailability of I/B/E/S-ticker codes of some firms contained in the sample. The firms of which the I/B/E/S-ticker was not available were excluded from the sample. Because of the unavailability of the I/B/E/S-ticker it became impossible to find the  announcement dates of these firms. It could be that one of these excluded firms was the actual first-announcing firm in a certain industry, so the exclusion of these firms could be a bias in the sample selection. </w:t>
      </w:r>
    </w:p>
    <w:p w:rsidR="0017239E" w:rsidRDefault="0017239E">
      <w:pPr>
        <w:overflowPunct/>
        <w:autoSpaceDE/>
        <w:autoSpaceDN/>
        <w:adjustRightInd/>
        <w:spacing w:after="200" w:line="276" w:lineRule="auto"/>
        <w:textAlignment w:val="auto"/>
        <w:rPr>
          <w:rFonts w:ascii="Calibri" w:hAnsi="Calibri" w:cs="Calibri"/>
          <w:b/>
          <w:sz w:val="28"/>
          <w:lang w:val="en-US"/>
        </w:rPr>
      </w:pPr>
      <w:r>
        <w:rPr>
          <w:rFonts w:ascii="Calibri" w:hAnsi="Calibri" w:cs="Calibri"/>
          <w:lang w:val="en-US"/>
        </w:rPr>
        <w:br w:type="page"/>
      </w:r>
    </w:p>
    <w:p w:rsidR="00B73533" w:rsidRPr="009D3628" w:rsidRDefault="00B73533" w:rsidP="00B73533">
      <w:pPr>
        <w:pStyle w:val="Kop1"/>
        <w:spacing w:line="360" w:lineRule="auto"/>
        <w:rPr>
          <w:rFonts w:ascii="Calibri" w:hAnsi="Calibri" w:cs="Calibri"/>
          <w:lang w:val="en-US"/>
        </w:rPr>
      </w:pPr>
      <w:bookmarkStart w:id="17" w:name="_Toc331518363"/>
      <w:r w:rsidRPr="009D3628">
        <w:rPr>
          <w:rFonts w:ascii="Calibri" w:hAnsi="Calibri" w:cs="Calibri"/>
          <w:lang w:val="en-US"/>
        </w:rPr>
        <w:lastRenderedPageBreak/>
        <w:t>Research Design</w:t>
      </w:r>
      <w:bookmarkEnd w:id="17"/>
    </w:p>
    <w:p w:rsidR="00AE048C" w:rsidRPr="009D3628" w:rsidRDefault="00AE048C" w:rsidP="00AE048C">
      <w:pPr>
        <w:pStyle w:val="000"/>
        <w:rPr>
          <w:rFonts w:ascii="Calibri" w:hAnsi="Calibri" w:cs="Calibri"/>
          <w:lang w:val="en-US"/>
        </w:rPr>
      </w:pPr>
    </w:p>
    <w:p w:rsidR="00080E07" w:rsidRPr="009D3628" w:rsidRDefault="00080E07" w:rsidP="00080E07">
      <w:pPr>
        <w:pStyle w:val="Kop2"/>
        <w:rPr>
          <w:rFonts w:ascii="Calibri" w:hAnsi="Calibri" w:cs="Calibri"/>
        </w:rPr>
      </w:pPr>
      <w:bookmarkStart w:id="18" w:name="_Toc331518364"/>
      <w:r w:rsidRPr="009D3628">
        <w:rPr>
          <w:rFonts w:ascii="Calibri" w:hAnsi="Calibri" w:cs="Calibri"/>
        </w:rPr>
        <w:t>Introduction</w:t>
      </w:r>
      <w:bookmarkEnd w:id="18"/>
    </w:p>
    <w:p w:rsidR="00080E07" w:rsidRPr="009D3628" w:rsidRDefault="00080E07" w:rsidP="00080E07">
      <w:pPr>
        <w:pStyle w:val="000"/>
        <w:rPr>
          <w:rFonts w:ascii="Calibri" w:hAnsi="Calibri" w:cs="Calibri"/>
          <w:szCs w:val="22"/>
        </w:rPr>
      </w:pP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szCs w:val="22"/>
          <w:lang w:val="en-US"/>
        </w:rPr>
        <w:t>Intra-industry information transfer can be measured in different ways. The first, and most used approach is the one where the announcing firm’s abnormal return is taken as a proxy for intra-industry information transfer. A criticism on this approach is that the information signal generally overstate</w:t>
      </w:r>
      <w:r w:rsidR="00082F63">
        <w:rPr>
          <w:rFonts w:ascii="Calibri" w:hAnsi="Calibri" w:cs="Calibri"/>
          <w:szCs w:val="22"/>
          <w:lang w:val="en-US"/>
        </w:rPr>
        <w:t>s</w:t>
      </w:r>
      <w:r w:rsidRPr="009D3628">
        <w:rPr>
          <w:rFonts w:ascii="Calibri" w:hAnsi="Calibri" w:cs="Calibri"/>
          <w:szCs w:val="22"/>
          <w:lang w:val="en-US"/>
        </w:rPr>
        <w:t xml:space="preserve"> the significance of the information transfer due to cross-covariation of regression disturbances. Another way to measure information transfer, which is less sensitive to assumptions about regression disturbances, is to use an approach based on direct estimation of  the information signal (Frost, 1995).</w:t>
      </w: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szCs w:val="22"/>
          <w:lang w:val="en-US"/>
        </w:rPr>
        <w:t>In this study I will replicate the research methodology used by Foster (1981), this methodology consist</w:t>
      </w:r>
      <w:r w:rsidR="00082F63">
        <w:rPr>
          <w:rFonts w:ascii="Calibri" w:hAnsi="Calibri" w:cs="Calibri"/>
          <w:szCs w:val="22"/>
          <w:lang w:val="en-US"/>
        </w:rPr>
        <w:t>s of a</w:t>
      </w:r>
      <w:r w:rsidRPr="009D3628">
        <w:rPr>
          <w:rFonts w:ascii="Calibri" w:hAnsi="Calibri" w:cs="Calibri"/>
          <w:szCs w:val="22"/>
          <w:lang w:val="en-US"/>
        </w:rPr>
        <w:t xml:space="preserve"> non-directional test, which uses the announcing firm’s abnormal return as proxy for intra-industry information transfer. </w:t>
      </w:r>
      <w:r w:rsidR="00143B64" w:rsidRPr="009D3628">
        <w:rPr>
          <w:rFonts w:ascii="Calibri" w:hAnsi="Calibri" w:cs="Calibri"/>
          <w:szCs w:val="22"/>
          <w:lang w:val="en-US"/>
        </w:rPr>
        <w:t xml:space="preserve">The abnormal returns of the first-announcing firms as well as the non-announcing firms are calculated in an event study. </w:t>
      </w:r>
      <w:r w:rsidRPr="009D3628">
        <w:rPr>
          <w:rFonts w:ascii="Calibri" w:hAnsi="Calibri" w:cs="Calibri"/>
          <w:szCs w:val="22"/>
          <w:lang w:val="en-US"/>
        </w:rPr>
        <w:t>According to the study of Frost (1995) this type of measurement</w:t>
      </w:r>
      <w:r w:rsidR="00143B64" w:rsidRPr="009D3628">
        <w:rPr>
          <w:rFonts w:ascii="Calibri" w:hAnsi="Calibri" w:cs="Calibri"/>
          <w:szCs w:val="22"/>
          <w:lang w:val="en-US"/>
        </w:rPr>
        <w:t>, using a firm’s abnormal return as proxy for intra-industry information transfer,</w:t>
      </w:r>
      <w:r w:rsidRPr="009D3628">
        <w:rPr>
          <w:rFonts w:ascii="Calibri" w:hAnsi="Calibri" w:cs="Calibri"/>
          <w:szCs w:val="22"/>
          <w:lang w:val="en-US"/>
        </w:rPr>
        <w:t xml:space="preserve"> can result in an overstatement of the significance of intra-industry information transfer, so the results should be interpreted with caution. </w:t>
      </w:r>
    </w:p>
    <w:p w:rsidR="00177E5D" w:rsidRPr="009D3628" w:rsidRDefault="00177E5D" w:rsidP="00080E07">
      <w:pPr>
        <w:pStyle w:val="000"/>
        <w:spacing w:line="360" w:lineRule="auto"/>
        <w:rPr>
          <w:rFonts w:ascii="Calibri" w:hAnsi="Calibri" w:cs="Calibri"/>
          <w:szCs w:val="22"/>
          <w:lang w:val="en-US"/>
        </w:rPr>
      </w:pPr>
    </w:p>
    <w:p w:rsidR="00177E5D" w:rsidRPr="009D3628" w:rsidRDefault="00177E5D" w:rsidP="00177E5D">
      <w:pPr>
        <w:pStyle w:val="Kop2"/>
        <w:spacing w:line="360" w:lineRule="auto"/>
        <w:rPr>
          <w:rFonts w:ascii="Calibri" w:hAnsi="Calibri" w:cs="Calibri"/>
          <w:lang w:val="en-US"/>
        </w:rPr>
      </w:pPr>
      <w:bookmarkStart w:id="19" w:name="_Toc331518365"/>
      <w:r w:rsidRPr="009D3628">
        <w:rPr>
          <w:rFonts w:ascii="Calibri" w:hAnsi="Calibri" w:cs="Calibri"/>
          <w:lang w:val="en-US"/>
        </w:rPr>
        <w:t>Event Study</w:t>
      </w:r>
      <w:bookmarkEnd w:id="19"/>
    </w:p>
    <w:p w:rsidR="00177E5D" w:rsidRPr="009D3628" w:rsidRDefault="00177E5D" w:rsidP="00177E5D">
      <w:pPr>
        <w:pStyle w:val="000"/>
        <w:spacing w:line="360" w:lineRule="auto"/>
        <w:rPr>
          <w:rFonts w:ascii="Calibri" w:hAnsi="Calibri" w:cs="Calibri"/>
          <w:lang w:val="en-US"/>
        </w:rPr>
      </w:pPr>
      <w:r w:rsidRPr="009D3628">
        <w:rPr>
          <w:rFonts w:ascii="Calibri" w:hAnsi="Calibri" w:cs="Calibri"/>
          <w:lang w:val="en-US"/>
        </w:rPr>
        <w:t xml:space="preserve">Before I </w:t>
      </w:r>
      <w:r w:rsidR="00143B64" w:rsidRPr="009D3628">
        <w:rPr>
          <w:rFonts w:ascii="Calibri" w:hAnsi="Calibri" w:cs="Calibri"/>
          <w:lang w:val="en-US"/>
        </w:rPr>
        <w:t>elaborate</w:t>
      </w:r>
      <w:r w:rsidRPr="009D3628">
        <w:rPr>
          <w:rFonts w:ascii="Calibri" w:hAnsi="Calibri" w:cs="Calibri"/>
          <w:lang w:val="en-US"/>
        </w:rPr>
        <w:t xml:space="preserve"> </w:t>
      </w:r>
      <w:r w:rsidR="00143B64" w:rsidRPr="009D3628">
        <w:rPr>
          <w:rFonts w:ascii="Calibri" w:hAnsi="Calibri" w:cs="Calibri"/>
          <w:lang w:val="en-US"/>
        </w:rPr>
        <w:t xml:space="preserve">on </w:t>
      </w:r>
      <w:r w:rsidRPr="009D3628">
        <w:rPr>
          <w:rFonts w:ascii="Calibri" w:hAnsi="Calibri" w:cs="Calibri"/>
          <w:lang w:val="en-US"/>
        </w:rPr>
        <w:t>the non-direction</w:t>
      </w:r>
      <w:r w:rsidR="00143B64" w:rsidRPr="009D3628">
        <w:rPr>
          <w:rFonts w:ascii="Calibri" w:hAnsi="Calibri" w:cs="Calibri"/>
          <w:lang w:val="en-US"/>
        </w:rPr>
        <w:t xml:space="preserve">al test methodology used in this study, it is first important to explain how the abnormal returns are calculated by means of an event study. </w:t>
      </w:r>
      <w:r w:rsidR="00F853A8" w:rsidRPr="009D3628">
        <w:rPr>
          <w:rFonts w:ascii="Calibri" w:hAnsi="Calibri" w:cs="Calibri"/>
          <w:lang w:val="en-US"/>
        </w:rPr>
        <w:t>Event studies are used to measure the effect of an economic event on the value of firms. Given rationality in the marketplace, the effects of an event, in this study the earnings announcement of the first-announcing firm in the industry, are reflected immediately in security prices (MacKinley, 1997).</w:t>
      </w:r>
    </w:p>
    <w:p w:rsidR="00F853A8" w:rsidRPr="009D3628" w:rsidRDefault="00F853A8" w:rsidP="00177E5D">
      <w:pPr>
        <w:pStyle w:val="000"/>
        <w:spacing w:line="360" w:lineRule="auto"/>
        <w:rPr>
          <w:rFonts w:ascii="Calibri" w:hAnsi="Calibri" w:cs="Calibri"/>
          <w:lang w:val="en-US"/>
        </w:rPr>
      </w:pPr>
      <w:r w:rsidRPr="009D3628">
        <w:rPr>
          <w:rFonts w:ascii="Calibri" w:hAnsi="Calibri" w:cs="Calibri"/>
          <w:lang w:val="en-US"/>
        </w:rPr>
        <w:t xml:space="preserve">The initial task of conducting is to define the event of interest and identify the period over which the security prices of the firms involved in this event will be examined, this period is called the event window. In this study </w:t>
      </w:r>
      <w:r w:rsidR="00D4635A" w:rsidRPr="009D3628">
        <w:rPr>
          <w:rFonts w:ascii="Calibri" w:hAnsi="Calibri" w:cs="Calibri"/>
          <w:lang w:val="en-US"/>
        </w:rPr>
        <w:t>I am looking at the information content of earnings with as proxy the abnormal returns. The earnings announcement of the first-announcing firm in the industry is the event,</w:t>
      </w:r>
      <w:r w:rsidR="00082F63">
        <w:rPr>
          <w:rFonts w:ascii="Calibri" w:hAnsi="Calibri" w:cs="Calibri"/>
          <w:lang w:val="en-US"/>
        </w:rPr>
        <w:t xml:space="preserve"> and the event window contains th</w:t>
      </w:r>
      <w:r w:rsidR="00D4635A" w:rsidRPr="009D3628">
        <w:rPr>
          <w:rFonts w:ascii="Calibri" w:hAnsi="Calibri" w:cs="Calibri"/>
          <w:lang w:val="en-US"/>
        </w:rPr>
        <w:t xml:space="preserve">e days 0, which is the day of the earnings announcement, and day -1, which is </w:t>
      </w:r>
      <w:r w:rsidR="00D4635A" w:rsidRPr="009D3628">
        <w:rPr>
          <w:rFonts w:ascii="Calibri" w:hAnsi="Calibri" w:cs="Calibri"/>
          <w:lang w:val="en-US"/>
        </w:rPr>
        <w:lastRenderedPageBreak/>
        <w:t>the day before the earnings announcement</w:t>
      </w:r>
      <w:r w:rsidR="00334EA2" w:rsidRPr="009D3628">
        <w:rPr>
          <w:rStyle w:val="Voetnootmarkering"/>
          <w:rFonts w:ascii="Calibri" w:hAnsi="Calibri" w:cs="Calibri"/>
          <w:lang w:val="en-US"/>
        </w:rPr>
        <w:footnoteReference w:id="4"/>
      </w:r>
      <w:r w:rsidR="00D4635A" w:rsidRPr="009D3628">
        <w:rPr>
          <w:rFonts w:ascii="Calibri" w:hAnsi="Calibri" w:cs="Calibri"/>
          <w:lang w:val="en-US"/>
        </w:rPr>
        <w:t xml:space="preserve">. </w:t>
      </w:r>
      <w:r w:rsidR="00022D6D" w:rsidRPr="009D3628">
        <w:rPr>
          <w:rFonts w:ascii="Calibri" w:hAnsi="Calibri" w:cs="Calibri"/>
          <w:lang w:val="en-US"/>
        </w:rPr>
        <w:t>Because I replicate the study of Foster (1981) who also investigate</w:t>
      </w:r>
      <w:r w:rsidR="00082F63">
        <w:rPr>
          <w:rFonts w:ascii="Calibri" w:hAnsi="Calibri" w:cs="Calibri"/>
          <w:lang w:val="en-US"/>
        </w:rPr>
        <w:t>s</w:t>
      </w:r>
      <w:r w:rsidR="00022D6D" w:rsidRPr="009D3628">
        <w:rPr>
          <w:rFonts w:ascii="Calibri" w:hAnsi="Calibri" w:cs="Calibri"/>
          <w:lang w:val="en-US"/>
        </w:rPr>
        <w:t xml:space="preserve"> the event windows ranging from (-11,-10) till (9,10) surrounding the announcement date window, I </w:t>
      </w:r>
      <w:r w:rsidR="00685E37" w:rsidRPr="009D3628">
        <w:rPr>
          <w:rFonts w:ascii="Calibri" w:hAnsi="Calibri" w:cs="Calibri"/>
          <w:lang w:val="en-US"/>
        </w:rPr>
        <w:t xml:space="preserve">also include this two-trading-day periods in the event window. This results in an event window which starts at trading day -11 and ends at trading day +10. For calculating the ‘normal return’ of the firm in non-announcing period I selected the trading days </w:t>
      </w:r>
      <w:r w:rsidR="0041096C" w:rsidRPr="009D3628">
        <w:rPr>
          <w:rFonts w:ascii="Calibri" w:hAnsi="Calibri" w:cs="Calibri"/>
          <w:lang w:val="en-US"/>
        </w:rPr>
        <w:t xml:space="preserve">-21 till -220, which contains the daily return data in the eleven months before the earnings announcements. </w:t>
      </w:r>
    </w:p>
    <w:p w:rsidR="0041096C" w:rsidRPr="009D3628" w:rsidRDefault="0041096C" w:rsidP="00177E5D">
      <w:pPr>
        <w:pStyle w:val="000"/>
        <w:spacing w:line="360" w:lineRule="auto"/>
        <w:rPr>
          <w:rFonts w:ascii="Calibri" w:hAnsi="Calibri" w:cs="Calibri"/>
          <w:lang w:val="en-US"/>
        </w:rPr>
      </w:pPr>
      <w:r w:rsidRPr="009D3628">
        <w:rPr>
          <w:rFonts w:ascii="Calibri" w:hAnsi="Calibri" w:cs="Calibri"/>
          <w:lang w:val="en-US"/>
        </w:rPr>
        <w:t>Before examining the event study I already determined the sample for this study which consist</w:t>
      </w:r>
      <w:r w:rsidR="00082F63">
        <w:rPr>
          <w:rFonts w:ascii="Calibri" w:hAnsi="Calibri" w:cs="Calibri"/>
          <w:lang w:val="en-US"/>
        </w:rPr>
        <w:t>s</w:t>
      </w:r>
      <w:r w:rsidRPr="009D3628">
        <w:rPr>
          <w:rFonts w:ascii="Calibri" w:hAnsi="Calibri" w:cs="Calibri"/>
          <w:lang w:val="en-US"/>
        </w:rPr>
        <w:t xml:space="preserve"> of 57 firms divided over 11 industries. For every industry-year I determined which firm was the first-announcer. For all the first-announcing firms, the return data on the days selected in the estimation window are required from the event study. </w:t>
      </w:r>
      <w:r w:rsidR="002A3B95" w:rsidRPr="009D3628">
        <w:rPr>
          <w:rFonts w:ascii="Calibri" w:hAnsi="Calibri" w:cs="Calibri"/>
          <w:lang w:val="en-US"/>
        </w:rPr>
        <w:t xml:space="preserve">The event window range from -11 till +10, and the estimation window range from -21 from -220 of which 0 is the data of the earnings release of the first announcing firm in the industry. For the non-announcing firms in the sample the same event study is performed, with the date of the earnings announcement of the first-announcer in that industry-year as estimation date 0. </w:t>
      </w:r>
      <w:r w:rsidR="00151332" w:rsidRPr="009D3628">
        <w:rPr>
          <w:rFonts w:ascii="Calibri" w:hAnsi="Calibri" w:cs="Calibri"/>
          <w:lang w:val="en-US"/>
        </w:rPr>
        <w:t>The output required from the event study includes the following data:</w:t>
      </w:r>
    </w:p>
    <w:p w:rsidR="00151332" w:rsidRPr="00CF3243" w:rsidRDefault="00BA16D1" w:rsidP="00151332">
      <w:pPr>
        <w:pStyle w:val="Tabletitle"/>
        <w:rPr>
          <w:rFonts w:ascii="Calibri" w:hAnsi="Calibri" w:cs="Calibri"/>
          <w:sz w:val="22"/>
          <w:szCs w:val="22"/>
          <w:lang w:val="en-US"/>
        </w:rPr>
      </w:pPr>
      <w:r w:rsidRPr="00CF3243">
        <w:rPr>
          <w:rFonts w:ascii="Calibri" w:hAnsi="Calibri" w:cs="Calibri"/>
          <w:sz w:val="22"/>
          <w:szCs w:val="22"/>
          <w:lang w:val="en-US"/>
        </w:rPr>
        <w:t xml:space="preserve">Table 2: </w:t>
      </w:r>
      <w:r w:rsidR="00151332" w:rsidRPr="00CF3243">
        <w:rPr>
          <w:rFonts w:ascii="Calibri" w:hAnsi="Calibri" w:cs="Calibri"/>
          <w:sz w:val="22"/>
          <w:szCs w:val="22"/>
          <w:lang w:val="en-US"/>
        </w:rPr>
        <w:t>Output Datastream event study</w:t>
      </w:r>
    </w:p>
    <w:p w:rsidR="00151332" w:rsidRPr="009D3628" w:rsidRDefault="00151332" w:rsidP="00151332">
      <w:pPr>
        <w:pStyle w:val="Tabletext"/>
        <w:rPr>
          <w:rFonts w:ascii="Calibri" w:hAnsi="Calibri" w:cs="Calibri"/>
          <w:lang w:val="en-US"/>
        </w:rPr>
      </w:pPr>
    </w:p>
    <w:tbl>
      <w:tblPr>
        <w:tblStyle w:val="Tabelraster"/>
        <w:tblW w:w="4989"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2519"/>
        <w:gridCol w:w="7088"/>
      </w:tblGrid>
      <w:tr w:rsidR="00151332" w:rsidRPr="009D3628" w:rsidTr="00151332">
        <w:trPr>
          <w:trHeight w:val="154"/>
        </w:trPr>
        <w:tc>
          <w:tcPr>
            <w:tcW w:w="1311" w:type="pct"/>
            <w:shd w:val="clear" w:color="auto" w:fill="999999"/>
          </w:tcPr>
          <w:p w:rsidR="00151332" w:rsidRPr="009D3628" w:rsidRDefault="00151332" w:rsidP="00151332">
            <w:pPr>
              <w:pStyle w:val="Tableheading1"/>
              <w:rPr>
                <w:rFonts w:ascii="Calibri" w:hAnsi="Calibri" w:cs="Calibri"/>
                <w:lang w:val="en-US"/>
              </w:rPr>
            </w:pPr>
            <w:r w:rsidRPr="009D3628">
              <w:rPr>
                <w:rFonts w:ascii="Calibri" w:hAnsi="Calibri" w:cs="Calibri"/>
                <w:lang w:val="en-US"/>
              </w:rPr>
              <w:t>Data</w:t>
            </w:r>
          </w:p>
        </w:tc>
        <w:tc>
          <w:tcPr>
            <w:tcW w:w="3689" w:type="pct"/>
            <w:shd w:val="clear" w:color="auto" w:fill="999999"/>
          </w:tcPr>
          <w:p w:rsidR="00151332" w:rsidRPr="009D3628" w:rsidRDefault="00151332" w:rsidP="00151332">
            <w:pPr>
              <w:pStyle w:val="Tableheading1"/>
              <w:rPr>
                <w:rFonts w:ascii="Calibri" w:hAnsi="Calibri" w:cs="Calibri"/>
                <w:lang w:val="en-US"/>
              </w:rPr>
            </w:pPr>
            <w:r w:rsidRPr="009D3628">
              <w:rPr>
                <w:rFonts w:ascii="Calibri" w:hAnsi="Calibri" w:cs="Calibri"/>
                <w:lang w:val="en-US"/>
              </w:rPr>
              <w:t>Definition</w:t>
            </w:r>
          </w:p>
        </w:tc>
      </w:tr>
      <w:tr w:rsidR="00151332" w:rsidRPr="009D3628" w:rsidTr="00151332">
        <w:trPr>
          <w:trHeight w:val="255"/>
        </w:trPr>
        <w:tc>
          <w:tcPr>
            <w:tcW w:w="1311" w:type="pct"/>
          </w:tcPr>
          <w:p w:rsidR="00151332" w:rsidRPr="009D3628" w:rsidRDefault="00151332" w:rsidP="00151332">
            <w:pPr>
              <w:pStyle w:val="Tabletext"/>
              <w:rPr>
                <w:rFonts w:ascii="Calibri" w:hAnsi="Calibri" w:cs="Calibri"/>
                <w:lang w:val="en-US"/>
              </w:rPr>
            </w:pPr>
            <w:r w:rsidRPr="009D3628">
              <w:rPr>
                <w:rFonts w:ascii="Calibri" w:hAnsi="Calibri" w:cs="Calibri"/>
                <w:lang w:val="en-US"/>
              </w:rPr>
              <w:t>Name</w:t>
            </w:r>
          </w:p>
        </w:tc>
        <w:tc>
          <w:tcPr>
            <w:tcW w:w="3689" w:type="pct"/>
          </w:tcPr>
          <w:p w:rsidR="00151332" w:rsidRPr="009D3628" w:rsidRDefault="00151332" w:rsidP="00151332">
            <w:pPr>
              <w:pStyle w:val="Tabletext"/>
              <w:rPr>
                <w:rFonts w:ascii="Calibri" w:hAnsi="Calibri" w:cs="Calibri"/>
                <w:lang w:val="en-US"/>
              </w:rPr>
            </w:pPr>
            <w:r w:rsidRPr="009D3628">
              <w:rPr>
                <w:rFonts w:ascii="Calibri" w:hAnsi="Calibri" w:cs="Calibri"/>
                <w:lang w:val="en-US"/>
              </w:rPr>
              <w:t>Identifier of the company.</w:t>
            </w:r>
          </w:p>
        </w:tc>
      </w:tr>
      <w:tr w:rsidR="00151332" w:rsidRPr="00186C61" w:rsidTr="00151332">
        <w:tc>
          <w:tcPr>
            <w:tcW w:w="1311" w:type="pct"/>
          </w:tcPr>
          <w:p w:rsidR="00151332" w:rsidRPr="009D3628" w:rsidRDefault="00151332" w:rsidP="00151332">
            <w:pPr>
              <w:pStyle w:val="Tabletext"/>
              <w:rPr>
                <w:rFonts w:ascii="Calibri" w:hAnsi="Calibri" w:cs="Calibri"/>
                <w:lang w:val="en-US"/>
              </w:rPr>
            </w:pPr>
            <w:r w:rsidRPr="009D3628">
              <w:rPr>
                <w:rFonts w:ascii="Calibri" w:hAnsi="Calibri" w:cs="Calibri"/>
                <w:lang w:val="en-US"/>
              </w:rPr>
              <w:t>Event Date</w:t>
            </w:r>
          </w:p>
        </w:tc>
        <w:tc>
          <w:tcPr>
            <w:tcW w:w="3689" w:type="pct"/>
          </w:tcPr>
          <w:p w:rsidR="00151332" w:rsidRPr="009D3628" w:rsidRDefault="00151332" w:rsidP="00151332">
            <w:pPr>
              <w:pStyle w:val="Tabletext"/>
              <w:rPr>
                <w:rFonts w:ascii="Calibri" w:hAnsi="Calibri" w:cs="Calibri"/>
                <w:lang w:val="en-US"/>
              </w:rPr>
            </w:pPr>
            <w:r w:rsidRPr="009D3628">
              <w:rPr>
                <w:rFonts w:ascii="Calibri" w:hAnsi="Calibri" w:cs="Calibri"/>
                <w:lang w:val="en-US"/>
              </w:rPr>
              <w:t xml:space="preserve">The entered event date (date of earnings announcement of the first-announcing firm. </w:t>
            </w:r>
          </w:p>
        </w:tc>
      </w:tr>
      <w:tr w:rsidR="00151332" w:rsidRPr="00186C61" w:rsidTr="00151332">
        <w:tc>
          <w:tcPr>
            <w:tcW w:w="1311" w:type="pct"/>
          </w:tcPr>
          <w:p w:rsidR="00151332" w:rsidRPr="009D3628" w:rsidRDefault="00151332" w:rsidP="00151332">
            <w:pPr>
              <w:pStyle w:val="Tabletext"/>
              <w:rPr>
                <w:rFonts w:ascii="Calibri" w:hAnsi="Calibri" w:cs="Calibri"/>
                <w:lang w:val="en-US"/>
              </w:rPr>
            </w:pPr>
            <w:r w:rsidRPr="009D3628">
              <w:rPr>
                <w:rFonts w:ascii="Calibri" w:hAnsi="Calibri" w:cs="Calibri"/>
                <w:lang w:val="en-US"/>
              </w:rPr>
              <w:t>Average</w:t>
            </w:r>
          </w:p>
        </w:tc>
        <w:tc>
          <w:tcPr>
            <w:tcW w:w="3689" w:type="pct"/>
          </w:tcPr>
          <w:p w:rsidR="00151332" w:rsidRPr="009D3628" w:rsidRDefault="00151332" w:rsidP="00151332">
            <w:pPr>
              <w:pStyle w:val="Tabletext"/>
              <w:rPr>
                <w:rFonts w:ascii="Calibri" w:hAnsi="Calibri" w:cs="Calibri"/>
                <w:lang w:val="en-US"/>
              </w:rPr>
            </w:pPr>
            <w:r w:rsidRPr="009D3628">
              <w:rPr>
                <w:rFonts w:ascii="Calibri" w:hAnsi="Calibri" w:cs="Calibri"/>
                <w:lang w:val="en-US"/>
              </w:rPr>
              <w:t>The average return of the stock in the estimation period.</w:t>
            </w:r>
          </w:p>
        </w:tc>
      </w:tr>
      <w:tr w:rsidR="00151332" w:rsidRPr="00186C61" w:rsidTr="00151332">
        <w:tc>
          <w:tcPr>
            <w:tcW w:w="1311" w:type="pct"/>
          </w:tcPr>
          <w:p w:rsidR="00151332" w:rsidRPr="009D3628" w:rsidRDefault="00151332" w:rsidP="00151332">
            <w:pPr>
              <w:pStyle w:val="Tabletext"/>
              <w:rPr>
                <w:rFonts w:ascii="Calibri" w:hAnsi="Calibri" w:cs="Calibri"/>
                <w:lang w:val="en-US"/>
              </w:rPr>
            </w:pPr>
            <w:r w:rsidRPr="009D3628">
              <w:rPr>
                <w:rFonts w:ascii="Calibri" w:hAnsi="Calibri" w:cs="Calibri"/>
                <w:lang w:val="en-US"/>
              </w:rPr>
              <w:t>Intercept</w:t>
            </w:r>
          </w:p>
        </w:tc>
        <w:tc>
          <w:tcPr>
            <w:tcW w:w="3689" w:type="pct"/>
          </w:tcPr>
          <w:p w:rsidR="00151332" w:rsidRPr="009D3628" w:rsidRDefault="00151332" w:rsidP="00151332">
            <w:pPr>
              <w:pStyle w:val="Tabletext"/>
              <w:rPr>
                <w:rFonts w:ascii="Calibri" w:hAnsi="Calibri" w:cs="Calibri"/>
                <w:lang w:val="en-US"/>
              </w:rPr>
            </w:pPr>
            <w:r w:rsidRPr="009D3628">
              <w:rPr>
                <w:rFonts w:ascii="Calibri" w:hAnsi="Calibri" w:cs="Calibri"/>
                <w:lang w:val="en-US"/>
              </w:rPr>
              <w:t>Alpha estimated over the estimation period in the market model.</w:t>
            </w:r>
          </w:p>
        </w:tc>
      </w:tr>
      <w:tr w:rsidR="00151332" w:rsidRPr="00186C61" w:rsidTr="00151332">
        <w:tc>
          <w:tcPr>
            <w:tcW w:w="1311" w:type="pct"/>
          </w:tcPr>
          <w:p w:rsidR="00151332" w:rsidRPr="009D3628" w:rsidRDefault="00151332" w:rsidP="00151332">
            <w:pPr>
              <w:pStyle w:val="Tabletext"/>
              <w:rPr>
                <w:rFonts w:ascii="Calibri" w:hAnsi="Calibri" w:cs="Calibri"/>
                <w:lang w:val="en-US"/>
              </w:rPr>
            </w:pPr>
            <w:r w:rsidRPr="009D3628">
              <w:rPr>
                <w:rFonts w:ascii="Calibri" w:hAnsi="Calibri" w:cs="Calibri"/>
                <w:lang w:val="en-US"/>
              </w:rPr>
              <w:t>Slope</w:t>
            </w:r>
          </w:p>
        </w:tc>
        <w:tc>
          <w:tcPr>
            <w:tcW w:w="3689" w:type="pct"/>
          </w:tcPr>
          <w:p w:rsidR="00151332" w:rsidRPr="009D3628" w:rsidRDefault="00151332" w:rsidP="00151332">
            <w:pPr>
              <w:pStyle w:val="Tabletext"/>
              <w:rPr>
                <w:rFonts w:ascii="Calibri" w:hAnsi="Calibri" w:cs="Calibri"/>
                <w:lang w:val="en-US"/>
              </w:rPr>
            </w:pPr>
            <w:r w:rsidRPr="009D3628">
              <w:rPr>
                <w:rFonts w:ascii="Calibri" w:hAnsi="Calibri" w:cs="Calibri"/>
                <w:lang w:val="en-US"/>
              </w:rPr>
              <w:t xml:space="preserve">Beta estimated over the estimation period in the market model. </w:t>
            </w:r>
          </w:p>
        </w:tc>
      </w:tr>
      <w:tr w:rsidR="00D55BBC" w:rsidRPr="00186C61" w:rsidTr="00151332">
        <w:tc>
          <w:tcPr>
            <w:tcW w:w="1311" w:type="pct"/>
          </w:tcPr>
          <w:p w:rsidR="00D55BBC" w:rsidRPr="009D3628" w:rsidRDefault="00D55BBC" w:rsidP="00151332">
            <w:pPr>
              <w:pStyle w:val="Tabletext"/>
              <w:rPr>
                <w:rFonts w:ascii="Calibri" w:hAnsi="Calibri" w:cs="Calibri"/>
                <w:lang w:val="en-US"/>
              </w:rPr>
            </w:pPr>
            <w:r w:rsidRPr="009D3628">
              <w:rPr>
                <w:rFonts w:ascii="Calibri" w:hAnsi="Calibri" w:cs="Calibri"/>
                <w:lang w:val="en-US"/>
              </w:rPr>
              <w:t>RetIndEstDay1</w:t>
            </w:r>
          </w:p>
        </w:tc>
        <w:tc>
          <w:tcPr>
            <w:tcW w:w="3689" w:type="pct"/>
          </w:tcPr>
          <w:p w:rsidR="00D55BBC" w:rsidRPr="009D3628" w:rsidRDefault="00D55BBC" w:rsidP="00151332">
            <w:pPr>
              <w:pStyle w:val="Tabletext"/>
              <w:rPr>
                <w:rFonts w:ascii="Calibri" w:hAnsi="Calibri" w:cs="Calibri"/>
                <w:lang w:val="en-US"/>
              </w:rPr>
            </w:pPr>
            <w:r w:rsidRPr="009D3628">
              <w:rPr>
                <w:rFonts w:ascii="Calibri" w:hAnsi="Calibri" w:cs="Calibri"/>
                <w:lang w:val="en-US"/>
              </w:rPr>
              <w:t xml:space="preserve">Return of the index at day 1 of the estimation period. </w:t>
            </w:r>
          </w:p>
        </w:tc>
      </w:tr>
      <w:tr w:rsidR="00D55BBC" w:rsidRPr="00186C61" w:rsidTr="00151332">
        <w:tc>
          <w:tcPr>
            <w:tcW w:w="1311" w:type="pct"/>
          </w:tcPr>
          <w:p w:rsidR="00D55BBC" w:rsidRPr="009D3628" w:rsidRDefault="00D55BBC" w:rsidP="00151332">
            <w:pPr>
              <w:pStyle w:val="Tabletext"/>
              <w:rPr>
                <w:rFonts w:ascii="Calibri" w:hAnsi="Calibri" w:cs="Calibri"/>
                <w:lang w:val="en-US"/>
              </w:rPr>
            </w:pPr>
            <w:r w:rsidRPr="009D3628">
              <w:rPr>
                <w:rFonts w:ascii="Calibri" w:hAnsi="Calibri" w:cs="Calibri"/>
                <w:lang w:val="en-US"/>
              </w:rPr>
              <w:t>RetIndEvlDay1</w:t>
            </w:r>
          </w:p>
        </w:tc>
        <w:tc>
          <w:tcPr>
            <w:tcW w:w="3689" w:type="pct"/>
          </w:tcPr>
          <w:p w:rsidR="00D55BBC" w:rsidRPr="009D3628" w:rsidRDefault="00D55BBC" w:rsidP="00151332">
            <w:pPr>
              <w:pStyle w:val="Tabletext"/>
              <w:rPr>
                <w:rFonts w:ascii="Calibri" w:hAnsi="Calibri" w:cs="Calibri"/>
                <w:lang w:val="en-US"/>
              </w:rPr>
            </w:pPr>
            <w:r w:rsidRPr="009D3628">
              <w:rPr>
                <w:rFonts w:ascii="Calibri" w:hAnsi="Calibri" w:cs="Calibri"/>
                <w:lang w:val="en-US"/>
              </w:rPr>
              <w:t xml:space="preserve">Return of the index at day 1 of the evaluation period. </w:t>
            </w:r>
          </w:p>
        </w:tc>
      </w:tr>
      <w:tr w:rsidR="00D55BBC" w:rsidRPr="00186C61" w:rsidTr="00151332">
        <w:tc>
          <w:tcPr>
            <w:tcW w:w="1311" w:type="pct"/>
          </w:tcPr>
          <w:p w:rsidR="00D55BBC" w:rsidRPr="009D3628" w:rsidRDefault="00D55BBC" w:rsidP="00151332">
            <w:pPr>
              <w:pStyle w:val="Tabletext"/>
              <w:rPr>
                <w:rFonts w:ascii="Calibri" w:hAnsi="Calibri" w:cs="Calibri"/>
                <w:lang w:val="en-US"/>
              </w:rPr>
            </w:pPr>
            <w:r w:rsidRPr="009D3628">
              <w:rPr>
                <w:rFonts w:ascii="Calibri" w:hAnsi="Calibri" w:cs="Calibri"/>
                <w:lang w:val="en-US"/>
              </w:rPr>
              <w:t>MarketModelAdjRet1</w:t>
            </w:r>
          </w:p>
          <w:p w:rsidR="00D55BBC" w:rsidRPr="009D3628" w:rsidRDefault="00D55BBC" w:rsidP="00151332">
            <w:pPr>
              <w:pStyle w:val="Tabletext"/>
              <w:rPr>
                <w:rFonts w:ascii="Calibri" w:hAnsi="Calibri" w:cs="Calibri"/>
                <w:lang w:val="en-US"/>
              </w:rPr>
            </w:pPr>
            <w:r w:rsidRPr="009D3628">
              <w:rPr>
                <w:rFonts w:ascii="Calibri" w:hAnsi="Calibri" w:cs="Calibri"/>
                <w:lang w:val="en-US"/>
              </w:rPr>
              <w:t>(Market model adjusted return)</w:t>
            </w:r>
          </w:p>
        </w:tc>
        <w:tc>
          <w:tcPr>
            <w:tcW w:w="3689" w:type="pct"/>
          </w:tcPr>
          <w:p w:rsidR="00D55BBC" w:rsidRPr="009D3628" w:rsidRDefault="00D55BBC" w:rsidP="00151332">
            <w:pPr>
              <w:pStyle w:val="Tabletext"/>
              <w:rPr>
                <w:rFonts w:ascii="Calibri" w:hAnsi="Calibri" w:cs="Calibri"/>
                <w:lang w:val="en-US"/>
              </w:rPr>
            </w:pPr>
            <w:r w:rsidRPr="009D3628">
              <w:rPr>
                <w:rFonts w:ascii="Calibri" w:hAnsi="Calibri" w:cs="Calibri"/>
                <w:lang w:val="en-US"/>
              </w:rPr>
              <w:t>Stock return at day 1 of the evaluation period minus alpha minus the index return at day 1 multiplied by the stock’s beta. Stock return adjusted for the overall trend in the market.</w:t>
            </w:r>
            <w:r w:rsidRPr="009D3628">
              <w:rPr>
                <w:rStyle w:val="Voetnootmarkering"/>
                <w:rFonts w:ascii="Calibri" w:hAnsi="Calibri" w:cs="Calibri"/>
                <w:lang w:val="en-US"/>
              </w:rPr>
              <w:footnoteReference w:id="5"/>
            </w:r>
            <w:r w:rsidRPr="009D3628">
              <w:rPr>
                <w:rFonts w:ascii="Calibri" w:hAnsi="Calibri" w:cs="Calibri"/>
                <w:lang w:val="en-US"/>
              </w:rPr>
              <w:t xml:space="preserve"> </w:t>
            </w:r>
          </w:p>
        </w:tc>
      </w:tr>
    </w:tbl>
    <w:p w:rsidR="00151332" w:rsidRPr="009D3628" w:rsidRDefault="00151332" w:rsidP="00177E5D">
      <w:pPr>
        <w:pStyle w:val="000"/>
        <w:spacing w:line="360" w:lineRule="auto"/>
        <w:rPr>
          <w:rFonts w:ascii="Calibri" w:hAnsi="Calibri" w:cs="Calibri"/>
          <w:lang w:val="en-US"/>
        </w:rPr>
      </w:pPr>
    </w:p>
    <w:p w:rsidR="000E2F9F" w:rsidRPr="009D3628" w:rsidRDefault="000E2F9F" w:rsidP="00177E5D">
      <w:pPr>
        <w:pStyle w:val="000"/>
        <w:spacing w:line="360" w:lineRule="auto"/>
        <w:rPr>
          <w:rFonts w:ascii="Calibri" w:hAnsi="Calibri" w:cs="Calibri"/>
          <w:szCs w:val="22"/>
          <w:lang w:val="en-US"/>
        </w:rPr>
      </w:pPr>
      <w:r w:rsidRPr="009D3628">
        <w:rPr>
          <w:rFonts w:ascii="Calibri" w:hAnsi="Calibri" w:cs="Calibri"/>
          <w:szCs w:val="22"/>
          <w:lang w:val="en-US"/>
        </w:rPr>
        <w:t>The data required for performing the non-directional methodology are the market model adjusted returns for the event windows ranging from (-11,-10) till (9,10). These market model adjusted returns are the abnormal returns calculated according to the market model formula:</w:t>
      </w:r>
    </w:p>
    <w:p w:rsidR="000E2F9F" w:rsidRPr="009D3628" w:rsidRDefault="000E2F9F" w:rsidP="00177E5D">
      <w:pPr>
        <w:pStyle w:val="000"/>
        <w:spacing w:line="360" w:lineRule="auto"/>
        <w:rPr>
          <w:rFonts w:ascii="Calibri" w:hAnsi="Calibri" w:cs="Calibri"/>
          <w:szCs w:val="22"/>
          <w:lang w:val="en-US"/>
        </w:rPr>
      </w:pPr>
    </w:p>
    <w:p w:rsidR="000E2F9F" w:rsidRPr="009D3628" w:rsidRDefault="00E43D28" w:rsidP="000E2F9F">
      <w:pPr>
        <w:spacing w:line="360" w:lineRule="auto"/>
        <w:jc w:val="center"/>
        <w:rPr>
          <w:rFonts w:ascii="Calibri" w:hAnsi="Calibri" w:cs="Calibri"/>
          <w:szCs w:val="22"/>
          <w:lang w:val="en-US"/>
        </w:rPr>
      </w:pPr>
      <m:oMathPara>
        <m:oMath>
          <m:sSub>
            <m:sSubPr>
              <m:ctrlPr>
                <w:rPr>
                  <w:rFonts w:ascii="Cambria Math" w:hAnsi="Calibri" w:cs="Calibri"/>
                  <w:i/>
                  <w:szCs w:val="22"/>
                  <w:lang w:val="en-US"/>
                </w:rPr>
              </m:ctrlPr>
            </m:sSubPr>
            <m:e>
              <m:r>
                <w:rPr>
                  <w:rFonts w:ascii="Cambria Math" w:hAnsi="Cambria Math" w:cs="Calibri"/>
                  <w:szCs w:val="22"/>
                  <w:lang w:val="en-US"/>
                </w:rPr>
                <m:t>U</m:t>
              </m:r>
            </m:e>
            <m:sub>
              <m:r>
                <w:rPr>
                  <w:rFonts w:ascii="Cambria Math" w:hAnsi="Cambria Math" w:cs="Calibri"/>
                  <w:szCs w:val="22"/>
                  <w:lang w:val="en-US"/>
                </w:rPr>
                <m:t>it</m:t>
              </m:r>
            </m:sub>
          </m:sSub>
          <m:r>
            <w:rPr>
              <w:rFonts w:ascii="Cambria Math" w:hAnsi="Calibri" w:cs="Calibri"/>
              <w:szCs w:val="22"/>
              <w:lang w:val="en-US"/>
            </w:rPr>
            <m:t>=</m:t>
          </m:r>
          <m:sSub>
            <m:sSubPr>
              <m:ctrlPr>
                <w:rPr>
                  <w:rFonts w:ascii="Cambria Math" w:hAnsi="Calibri" w:cs="Calibri"/>
                  <w:i/>
                  <w:szCs w:val="22"/>
                  <w:lang w:val="en-US"/>
                </w:rPr>
              </m:ctrlPr>
            </m:sSubPr>
            <m:e>
              <m:r>
                <w:rPr>
                  <w:rFonts w:ascii="Cambria Math" w:hAnsi="Cambria Math" w:cs="Calibri"/>
                  <w:szCs w:val="22"/>
                  <w:lang w:val="en-US"/>
                </w:rPr>
                <m:t>R</m:t>
              </m:r>
            </m:e>
            <m:sub>
              <m:r>
                <w:rPr>
                  <w:rFonts w:ascii="Cambria Math" w:hAnsi="Cambria Math" w:cs="Calibri"/>
                  <w:szCs w:val="22"/>
                  <w:lang w:val="en-US"/>
                </w:rPr>
                <m:t>it</m:t>
              </m:r>
            </m:sub>
          </m:sSub>
          <m:r>
            <w:rPr>
              <w:rFonts w:ascii="Calibri" w:hAnsi="Calibri" w:cs="Calibri"/>
              <w:szCs w:val="22"/>
              <w:lang w:val="en-US"/>
            </w:rPr>
            <m:t>-</m:t>
          </m:r>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α</m:t>
              </m:r>
            </m:e>
            <m:sub>
              <m:r>
                <w:rPr>
                  <w:rFonts w:ascii="Cambria Math" w:hAnsi="Cambria Math" w:cs="Calibri"/>
                  <w:szCs w:val="22"/>
                  <w:lang w:val="en-US"/>
                </w:rPr>
                <m:t>i</m:t>
              </m:r>
              <m:r>
                <w:rPr>
                  <w:rFonts w:ascii="Cambria Math" w:hAnsi="Calibri" w:cs="Calibri"/>
                  <w:szCs w:val="22"/>
                  <w:lang w:val="en-US"/>
                </w:rPr>
                <m:t xml:space="preserve">  </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mbria Math" w:cs="Calibri"/>
                  <w:szCs w:val="22"/>
                  <w:lang w:val="en-US"/>
                </w:rPr>
                <m:t>i</m:t>
              </m:r>
              <m:r>
                <w:rPr>
                  <w:rFonts w:ascii="Cambria Math" w:hAnsi="Calibri" w:cs="Calibri"/>
                  <w:szCs w:val="22"/>
                  <w:lang w:val="en-US"/>
                </w:rPr>
                <m:t xml:space="preserve"> </m:t>
              </m:r>
            </m:sub>
          </m:sSub>
          <m:r>
            <w:rPr>
              <w:rFonts w:ascii="Calibri" w:hAnsi="Calibri" w:cs="Calibri"/>
              <w:szCs w:val="22"/>
              <w:lang w:val="en-US"/>
            </w:rPr>
            <m:t>∙</m:t>
          </m:r>
          <m:sSub>
            <m:sSubPr>
              <m:ctrlPr>
                <w:rPr>
                  <w:rFonts w:ascii="Cambria Math" w:hAnsi="Calibri" w:cs="Calibri"/>
                  <w:i/>
                  <w:szCs w:val="22"/>
                  <w:lang w:val="en-US"/>
                </w:rPr>
              </m:ctrlPr>
            </m:sSubPr>
            <m:e>
              <m:r>
                <w:rPr>
                  <w:rFonts w:ascii="Cambria Math" w:hAnsi="Cambria Math" w:cs="Calibri"/>
                  <w:szCs w:val="22"/>
                  <w:lang w:val="en-US"/>
                </w:rPr>
                <m:t>R</m:t>
              </m:r>
            </m:e>
            <m:sub>
              <m:r>
                <w:rPr>
                  <w:rFonts w:ascii="Cambria Math" w:hAnsi="Cambria Math" w:cs="Calibri"/>
                  <w:szCs w:val="22"/>
                  <w:lang w:val="en-US"/>
                </w:rPr>
                <m:t>Mt</m:t>
              </m:r>
              <m:r>
                <w:rPr>
                  <w:rFonts w:ascii="Cambria Math" w:hAnsi="Calibri" w:cs="Calibri"/>
                  <w:szCs w:val="22"/>
                  <w:lang w:val="en-US"/>
                </w:rPr>
                <m:t xml:space="preserve"> </m:t>
              </m:r>
            </m:sub>
          </m:sSub>
          <m:r>
            <w:rPr>
              <w:rFonts w:ascii="Cambria Math" w:hAnsi="Calibri" w:cs="Calibri"/>
              <w:szCs w:val="22"/>
              <w:lang w:val="en-US"/>
            </w:rPr>
            <m:t>)</m:t>
          </m:r>
        </m:oMath>
      </m:oMathPara>
    </w:p>
    <w:p w:rsidR="000E2F9F" w:rsidRPr="009D3628" w:rsidRDefault="000E2F9F" w:rsidP="000E2F9F">
      <w:pPr>
        <w:pStyle w:val="000"/>
        <w:spacing w:line="360" w:lineRule="auto"/>
        <w:rPr>
          <w:rFonts w:ascii="Calibri" w:hAnsi="Calibri" w:cs="Calibri"/>
          <w:szCs w:val="22"/>
          <w:lang w:val="en-US"/>
        </w:rPr>
      </w:pPr>
    </w:p>
    <w:p w:rsidR="000E2F9F" w:rsidRPr="009D3628" w:rsidRDefault="000E2F9F" w:rsidP="000E2F9F">
      <w:pPr>
        <w:pStyle w:val="000"/>
        <w:spacing w:line="360" w:lineRule="auto"/>
        <w:rPr>
          <w:rFonts w:ascii="Calibri" w:hAnsi="Calibri" w:cs="Calibri"/>
          <w:szCs w:val="22"/>
          <w:lang w:val="en-US"/>
        </w:rPr>
      </w:pPr>
      <w:r w:rsidRPr="009D3628">
        <w:rPr>
          <w:rFonts w:ascii="Calibri" w:hAnsi="Calibri" w:cs="Calibri"/>
          <w:szCs w:val="22"/>
          <w:lang w:val="en-US"/>
        </w:rPr>
        <w:t xml:space="preserve">Where </w:t>
      </w:r>
      <m:oMath>
        <m:sSub>
          <m:sSubPr>
            <m:ctrlPr>
              <w:rPr>
                <w:rFonts w:ascii="Cambria Math" w:hAnsi="Calibri" w:cs="Calibri"/>
                <w:i/>
                <w:szCs w:val="22"/>
                <w:lang w:val="en-US"/>
              </w:rPr>
            </m:ctrlPr>
          </m:sSubPr>
          <m:e>
            <m:r>
              <w:rPr>
                <w:rFonts w:ascii="Cambria Math" w:hAnsi="Cambria Math" w:cs="Calibri"/>
                <w:szCs w:val="22"/>
                <w:lang w:val="en-US"/>
              </w:rPr>
              <m:t>U</m:t>
            </m:r>
          </m:e>
          <m:sub>
            <m:r>
              <w:rPr>
                <w:rFonts w:ascii="Cambria Math" w:hAnsi="Cambria Math" w:cs="Calibri"/>
                <w:szCs w:val="22"/>
                <w:lang w:val="en-US"/>
              </w:rPr>
              <m:t>it</m:t>
            </m:r>
          </m:sub>
        </m:sSub>
      </m:oMath>
      <w:r w:rsidRPr="009D3628">
        <w:rPr>
          <w:rFonts w:ascii="Calibri" w:hAnsi="Calibri" w:cs="Calibri"/>
          <w:szCs w:val="22"/>
          <w:lang w:val="en-US"/>
        </w:rPr>
        <w:t xml:space="preserve"> is the abnormal return on asset </w:t>
      </w:r>
      <w:r w:rsidRPr="009D3628">
        <w:rPr>
          <w:rFonts w:ascii="Calibri" w:hAnsi="Calibri" w:cs="Calibri"/>
          <w:i/>
          <w:szCs w:val="22"/>
          <w:lang w:val="en-US"/>
        </w:rPr>
        <w:t xml:space="preserve">i </w:t>
      </w:r>
      <w:r w:rsidRPr="009D3628">
        <w:rPr>
          <w:rFonts w:ascii="Calibri" w:hAnsi="Calibri" w:cs="Calibri"/>
          <w:szCs w:val="22"/>
          <w:lang w:val="en-US"/>
        </w:rPr>
        <w:t>in period</w:t>
      </w:r>
      <w:r w:rsidRPr="009D3628">
        <w:rPr>
          <w:rFonts w:ascii="Calibri" w:hAnsi="Calibri" w:cs="Calibri"/>
          <w:i/>
          <w:szCs w:val="22"/>
          <w:lang w:val="en-US"/>
        </w:rPr>
        <w:t xml:space="preserve"> t, </w:t>
      </w:r>
      <m:oMath>
        <m:sSub>
          <m:sSubPr>
            <m:ctrlPr>
              <w:rPr>
                <w:rFonts w:ascii="Cambria Math" w:hAnsi="Calibri" w:cs="Calibri"/>
                <w:i/>
                <w:szCs w:val="22"/>
                <w:lang w:val="en-US"/>
              </w:rPr>
            </m:ctrlPr>
          </m:sSubPr>
          <m:e>
            <m:r>
              <w:rPr>
                <w:rFonts w:ascii="Cambria Math" w:hAnsi="Cambria Math" w:cs="Calibri"/>
                <w:szCs w:val="22"/>
                <w:lang w:val="en-US"/>
              </w:rPr>
              <m:t>R</m:t>
            </m:r>
          </m:e>
          <m:sub>
            <m:r>
              <w:rPr>
                <w:rFonts w:ascii="Cambria Math" w:hAnsi="Cambria Math" w:cs="Calibri"/>
                <w:szCs w:val="22"/>
                <w:lang w:val="en-US"/>
              </w:rPr>
              <m:t>it</m:t>
            </m:r>
          </m:sub>
        </m:sSub>
      </m:oMath>
      <w:r w:rsidRPr="009D3628">
        <w:rPr>
          <w:rFonts w:ascii="Calibri" w:hAnsi="Calibri" w:cs="Calibri"/>
          <w:i/>
          <w:szCs w:val="22"/>
          <w:lang w:val="en-US"/>
        </w:rPr>
        <w:t xml:space="preserve"> </w:t>
      </w:r>
      <w:r w:rsidRPr="009D3628">
        <w:rPr>
          <w:rFonts w:ascii="Calibri" w:hAnsi="Calibri" w:cs="Calibri"/>
          <w:szCs w:val="22"/>
          <w:lang w:val="en-US"/>
        </w:rPr>
        <w:t xml:space="preserve">is the return on asset </w:t>
      </w:r>
      <w:r w:rsidRPr="009D3628">
        <w:rPr>
          <w:rFonts w:ascii="Calibri" w:hAnsi="Calibri" w:cs="Calibri"/>
          <w:i/>
          <w:szCs w:val="22"/>
          <w:lang w:val="en-US"/>
        </w:rPr>
        <w:t xml:space="preserve">i </w:t>
      </w:r>
      <w:r w:rsidRPr="009D3628">
        <w:rPr>
          <w:rFonts w:ascii="Calibri" w:hAnsi="Calibri" w:cs="Calibri"/>
          <w:szCs w:val="22"/>
          <w:lang w:val="en-US"/>
        </w:rPr>
        <w:t xml:space="preserve">in period </w:t>
      </w:r>
      <w:r w:rsidRPr="009D3628">
        <w:rPr>
          <w:rFonts w:ascii="Calibri" w:hAnsi="Calibri" w:cs="Calibri"/>
          <w:i/>
          <w:szCs w:val="22"/>
          <w:lang w:val="en-US"/>
        </w:rPr>
        <w:t xml:space="preserve">t </w:t>
      </w:r>
      <w:r w:rsidRPr="009D3628">
        <w:rPr>
          <w:rFonts w:ascii="Calibri" w:hAnsi="Calibri" w:cs="Calibri"/>
          <w:szCs w:val="22"/>
          <w:lang w:val="en-US"/>
        </w:rPr>
        <w:t xml:space="preserve">and </w:t>
      </w:r>
      <m:oMath>
        <m:sSub>
          <m:sSubPr>
            <m:ctrlPr>
              <w:rPr>
                <w:rFonts w:ascii="Cambria Math" w:hAnsi="Calibri" w:cs="Calibri"/>
                <w:i/>
                <w:szCs w:val="22"/>
                <w:lang w:val="en-US"/>
              </w:rPr>
            </m:ctrlPr>
          </m:sSubPr>
          <m:e>
            <m:r>
              <w:rPr>
                <w:rFonts w:ascii="Cambria Math" w:hAnsi="Cambria Math" w:cs="Calibri"/>
                <w:szCs w:val="22"/>
                <w:lang w:val="en-US"/>
              </w:rPr>
              <m:t>R</m:t>
            </m:r>
          </m:e>
          <m:sub>
            <m:r>
              <w:rPr>
                <w:rFonts w:ascii="Cambria Math" w:hAnsi="Cambria Math" w:cs="Calibri"/>
                <w:szCs w:val="22"/>
                <w:lang w:val="en-US"/>
              </w:rPr>
              <m:t>Mt</m:t>
            </m:r>
            <m:r>
              <w:rPr>
                <w:rFonts w:ascii="Cambria Math" w:hAnsi="Calibri" w:cs="Calibri"/>
                <w:szCs w:val="22"/>
                <w:lang w:val="en-US"/>
              </w:rPr>
              <m:t xml:space="preserve"> </m:t>
            </m:r>
          </m:sub>
        </m:sSub>
      </m:oMath>
      <w:r w:rsidRPr="009D3628">
        <w:rPr>
          <w:rFonts w:ascii="Calibri" w:hAnsi="Calibri" w:cs="Calibri"/>
          <w:szCs w:val="22"/>
          <w:lang w:val="en-US"/>
        </w:rPr>
        <w:t xml:space="preserve"> is the return of the market portfolio in period </w:t>
      </w:r>
      <w:r w:rsidRPr="009D3628">
        <w:rPr>
          <w:rFonts w:ascii="Calibri" w:hAnsi="Calibri" w:cs="Calibri"/>
          <w:i/>
          <w:szCs w:val="22"/>
          <w:lang w:val="en-US"/>
        </w:rPr>
        <w:t xml:space="preserve">t. </w:t>
      </w:r>
      <w:r w:rsidRPr="009D3628">
        <w:rPr>
          <w:rFonts w:ascii="Calibri" w:hAnsi="Calibri" w:cs="Calibri"/>
          <w:szCs w:val="22"/>
          <w:lang w:val="en-US"/>
        </w:rPr>
        <w:t xml:space="preserve">To determine </w:t>
      </w:r>
      <m:oMath>
        <m:sSub>
          <m:sSubPr>
            <m:ctrlPr>
              <w:rPr>
                <w:rFonts w:ascii="Cambria Math" w:hAnsi="Calibri" w:cs="Calibri"/>
                <w:i/>
                <w:szCs w:val="22"/>
                <w:lang w:val="en-US"/>
              </w:rPr>
            </m:ctrlPr>
          </m:sSubPr>
          <m:e>
            <m:r>
              <w:rPr>
                <w:rFonts w:ascii="Cambria Math" w:hAnsi="Cambria Math" w:cs="Calibri"/>
                <w:szCs w:val="22"/>
                <w:lang w:val="en-US"/>
              </w:rPr>
              <m:t>R</m:t>
            </m:r>
          </m:e>
          <m:sub>
            <m:r>
              <w:rPr>
                <w:rFonts w:ascii="Cambria Math" w:hAnsi="Cambria Math" w:cs="Calibri"/>
                <w:szCs w:val="22"/>
                <w:lang w:val="en-US"/>
              </w:rPr>
              <m:t>Mt</m:t>
            </m:r>
            <m:r>
              <w:rPr>
                <w:rFonts w:ascii="Cambria Math" w:hAnsi="Calibri" w:cs="Calibri"/>
                <w:szCs w:val="22"/>
                <w:lang w:val="en-US"/>
              </w:rPr>
              <m:t xml:space="preserve"> </m:t>
            </m:r>
          </m:sub>
        </m:sSub>
      </m:oMath>
      <w:r w:rsidRPr="009D3628">
        <w:rPr>
          <w:rFonts w:ascii="Calibri" w:hAnsi="Calibri" w:cs="Calibri"/>
          <w:szCs w:val="22"/>
          <w:lang w:val="en-US"/>
        </w:rPr>
        <w:t xml:space="preserve"> the value weighted index of all Euronext100 stocks is used. </w:t>
      </w:r>
      <w:r w:rsidRPr="009D3628">
        <w:rPr>
          <w:rFonts w:ascii="Calibri" w:hAnsi="Calibri" w:cs="Calibri"/>
          <w:i/>
          <w:szCs w:val="22"/>
          <w:lang w:val="en-US"/>
        </w:rPr>
        <w:t xml:space="preserve"> </w:t>
      </w:r>
      <m:oMath>
        <m:sSub>
          <m:sSubPr>
            <m:ctrlPr>
              <w:rPr>
                <w:rFonts w:ascii="Cambria Math" w:hAnsi="Calibri" w:cs="Calibri"/>
                <w:i/>
                <w:szCs w:val="22"/>
                <w:lang w:val="en-US"/>
              </w:rPr>
            </m:ctrlPr>
          </m:sSubPr>
          <m:e>
            <m:r>
              <w:rPr>
                <w:rFonts w:ascii="Cambria Math" w:hAnsi="Cambria Math" w:cs="Calibri"/>
                <w:szCs w:val="22"/>
                <w:lang w:val="en-US"/>
              </w:rPr>
              <m:t>α</m:t>
            </m:r>
          </m:e>
          <m:sub>
            <m:r>
              <w:rPr>
                <w:rFonts w:ascii="Cambria Math" w:hAnsi="Cambria Math" w:cs="Calibri"/>
                <w:szCs w:val="22"/>
                <w:lang w:val="en-US"/>
              </w:rPr>
              <m:t>i</m:t>
            </m:r>
            <m:r>
              <w:rPr>
                <w:rFonts w:ascii="Cambria Math" w:hAnsi="Calibri" w:cs="Calibri"/>
                <w:szCs w:val="22"/>
                <w:lang w:val="en-US"/>
              </w:rPr>
              <m:t xml:space="preserve">  </m:t>
            </m:r>
          </m:sub>
        </m:sSub>
        <m:r>
          <m:rPr>
            <m:sty m:val="p"/>
          </m:rPr>
          <w:rPr>
            <w:rFonts w:ascii="Cambria Math" w:hAnsi="Calibri" w:cs="Calibri"/>
            <w:szCs w:val="22"/>
            <w:lang w:val="en-US"/>
          </w:rPr>
          <m:t>and</m:t>
        </m:r>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mbria Math" w:cs="Calibri"/>
                <w:szCs w:val="22"/>
                <w:lang w:val="en-US"/>
              </w:rPr>
              <m:t>i</m:t>
            </m:r>
            <m:r>
              <w:rPr>
                <w:rFonts w:ascii="Cambria Math" w:hAnsi="Calibri" w:cs="Calibri"/>
                <w:szCs w:val="22"/>
                <w:lang w:val="en-US"/>
              </w:rPr>
              <m:t xml:space="preserve"> </m:t>
            </m:r>
          </m:sub>
        </m:sSub>
      </m:oMath>
      <w:r w:rsidRPr="009D3628">
        <w:rPr>
          <w:rFonts w:ascii="Calibri" w:hAnsi="Calibri" w:cs="Calibri"/>
          <w:i/>
          <w:szCs w:val="22"/>
          <w:lang w:val="en-US"/>
        </w:rPr>
        <w:t xml:space="preserve"> </w:t>
      </w:r>
      <w:r w:rsidRPr="009D3628">
        <w:rPr>
          <w:rFonts w:ascii="Calibri" w:hAnsi="Calibri" w:cs="Calibri"/>
          <w:szCs w:val="22"/>
          <w:lang w:val="en-US"/>
        </w:rPr>
        <w:t>are estimates based on data from Datastream daily return file. These abnormal return values tell something about the information content of earnings, but to investigate intra-industry information transfers a non-directional residual test should be performed.</w:t>
      </w:r>
    </w:p>
    <w:p w:rsidR="000E2F9F" w:rsidRPr="009D3628" w:rsidRDefault="000E2F9F" w:rsidP="00177E5D">
      <w:pPr>
        <w:pStyle w:val="000"/>
        <w:spacing w:line="360" w:lineRule="auto"/>
        <w:rPr>
          <w:rFonts w:ascii="Calibri" w:hAnsi="Calibri" w:cs="Calibri"/>
          <w:szCs w:val="22"/>
          <w:lang w:val="en-US"/>
        </w:rPr>
      </w:pPr>
    </w:p>
    <w:p w:rsidR="00080E07" w:rsidRPr="009D3628" w:rsidRDefault="00080E07" w:rsidP="00177E5D">
      <w:pPr>
        <w:pStyle w:val="Kop2"/>
        <w:spacing w:line="360" w:lineRule="auto"/>
        <w:rPr>
          <w:rFonts w:ascii="Calibri" w:hAnsi="Calibri" w:cs="Calibri"/>
          <w:lang w:val="en-US"/>
        </w:rPr>
      </w:pPr>
      <w:bookmarkStart w:id="20" w:name="_Toc331518366"/>
      <w:r w:rsidRPr="009D3628">
        <w:rPr>
          <w:rFonts w:ascii="Calibri" w:hAnsi="Calibri" w:cs="Calibri"/>
          <w:lang w:val="en-US"/>
        </w:rPr>
        <w:t>Non-directional residual methodology</w:t>
      </w:r>
      <w:bookmarkEnd w:id="20"/>
    </w:p>
    <w:p w:rsidR="00080E07" w:rsidRPr="009D3628" w:rsidRDefault="00080E07" w:rsidP="00177E5D">
      <w:pPr>
        <w:pStyle w:val="000"/>
        <w:spacing w:line="360" w:lineRule="auto"/>
        <w:rPr>
          <w:rFonts w:ascii="Calibri" w:hAnsi="Calibri" w:cs="Calibri"/>
          <w:lang w:val="en-US"/>
        </w:rPr>
      </w:pP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szCs w:val="22"/>
          <w:lang w:val="en-US"/>
        </w:rPr>
        <w:t xml:space="preserve">Foster’s non-directional test uses the abnormal return of the announcing firm as a proxy for an information signal which can lead to intra-industry information transfer. To examine if there is abnormal return behavior for firm </w:t>
      </w:r>
      <w:r w:rsidRPr="009D3628">
        <w:rPr>
          <w:rFonts w:ascii="Calibri" w:hAnsi="Calibri" w:cs="Calibri"/>
          <w:i/>
          <w:szCs w:val="22"/>
          <w:lang w:val="en-US"/>
        </w:rPr>
        <w:t xml:space="preserve">i </w:t>
      </w:r>
      <w:r w:rsidRPr="009D3628">
        <w:rPr>
          <w:rFonts w:ascii="Calibri" w:hAnsi="Calibri" w:cs="Calibri"/>
          <w:szCs w:val="22"/>
          <w:lang w:val="en-US"/>
        </w:rPr>
        <w:t xml:space="preserve">at the time firm </w:t>
      </w:r>
      <w:r w:rsidRPr="009D3628">
        <w:rPr>
          <w:rFonts w:ascii="Calibri" w:hAnsi="Calibri" w:cs="Calibri"/>
          <w:i/>
          <w:szCs w:val="22"/>
          <w:lang w:val="en-US"/>
        </w:rPr>
        <w:t>j</w:t>
      </w:r>
      <w:r w:rsidRPr="009D3628">
        <w:rPr>
          <w:rFonts w:ascii="Calibri" w:hAnsi="Calibri" w:cs="Calibri"/>
          <w:szCs w:val="22"/>
          <w:lang w:val="en-US"/>
        </w:rPr>
        <w:t xml:space="preserve"> (which is operating in the same industry as firm</w:t>
      </w:r>
      <w:r w:rsidRPr="009D3628">
        <w:rPr>
          <w:rFonts w:ascii="Calibri" w:hAnsi="Calibri" w:cs="Calibri"/>
          <w:i/>
          <w:szCs w:val="22"/>
          <w:lang w:val="en-US"/>
        </w:rPr>
        <w:t xml:space="preserve"> i</w:t>
      </w:r>
      <w:r w:rsidRPr="009D3628">
        <w:rPr>
          <w:rFonts w:ascii="Calibri" w:hAnsi="Calibri" w:cs="Calibri"/>
          <w:szCs w:val="22"/>
          <w:lang w:val="en-US"/>
        </w:rPr>
        <w:t xml:space="preserve">) comes up with an earnings announcement, the market model is used to calculate abnormal returns. The market model compares the return on the asset of the non-announcing firm at the time of the earnings announcement of firm </w:t>
      </w:r>
      <w:r w:rsidRPr="009D3628">
        <w:rPr>
          <w:rFonts w:ascii="Calibri" w:hAnsi="Calibri" w:cs="Calibri"/>
          <w:i/>
          <w:szCs w:val="22"/>
          <w:lang w:val="en-US"/>
        </w:rPr>
        <w:t>j,</w:t>
      </w:r>
      <w:r w:rsidRPr="009D3628">
        <w:rPr>
          <w:rFonts w:ascii="Calibri" w:hAnsi="Calibri" w:cs="Calibri"/>
          <w:szCs w:val="22"/>
          <w:lang w:val="en-US"/>
        </w:rPr>
        <w:t xml:space="preserve"> with the average return of the market. The difference between the return on the asset of the announcing firm and the average return of the market is the abnormal return due to the information released in the earnings announcement. The formula of the market model is the following:</w:t>
      </w:r>
    </w:p>
    <w:p w:rsidR="00080E07" w:rsidRPr="009D3628" w:rsidRDefault="00080E07" w:rsidP="00080E07">
      <w:pPr>
        <w:pStyle w:val="000"/>
        <w:spacing w:line="360" w:lineRule="auto"/>
        <w:rPr>
          <w:rFonts w:ascii="Calibri" w:hAnsi="Calibri" w:cs="Calibri"/>
          <w:szCs w:val="22"/>
          <w:lang w:val="en-US"/>
        </w:rPr>
      </w:pPr>
    </w:p>
    <w:p w:rsidR="00080E07" w:rsidRPr="009D3628" w:rsidRDefault="00E43D28" w:rsidP="00080E07">
      <w:pPr>
        <w:spacing w:line="360" w:lineRule="auto"/>
        <w:jc w:val="center"/>
        <w:rPr>
          <w:rFonts w:ascii="Calibri" w:hAnsi="Calibri" w:cs="Calibri"/>
          <w:szCs w:val="22"/>
          <w:lang w:val="en-US"/>
        </w:rPr>
      </w:pPr>
      <m:oMathPara>
        <m:oMath>
          <m:sSub>
            <m:sSubPr>
              <m:ctrlPr>
                <w:rPr>
                  <w:rFonts w:ascii="Cambria Math" w:hAnsi="Calibri" w:cs="Calibri"/>
                  <w:i/>
                  <w:szCs w:val="22"/>
                  <w:lang w:val="en-US"/>
                </w:rPr>
              </m:ctrlPr>
            </m:sSubPr>
            <m:e>
              <m:r>
                <w:rPr>
                  <w:rFonts w:ascii="Cambria Math" w:hAnsi="Cambria Math" w:cs="Calibri"/>
                  <w:szCs w:val="22"/>
                  <w:lang w:val="en-US"/>
                </w:rPr>
                <m:t>U</m:t>
              </m:r>
            </m:e>
            <m:sub>
              <m:r>
                <w:rPr>
                  <w:rFonts w:ascii="Cambria Math" w:hAnsi="Cambria Math" w:cs="Calibri"/>
                  <w:szCs w:val="22"/>
                  <w:lang w:val="en-US"/>
                </w:rPr>
                <m:t>it</m:t>
              </m:r>
            </m:sub>
          </m:sSub>
          <m:r>
            <w:rPr>
              <w:rFonts w:ascii="Cambria Math" w:hAnsi="Calibri" w:cs="Calibri"/>
              <w:szCs w:val="22"/>
              <w:lang w:val="en-US"/>
            </w:rPr>
            <m:t>=</m:t>
          </m:r>
          <m:sSub>
            <m:sSubPr>
              <m:ctrlPr>
                <w:rPr>
                  <w:rFonts w:ascii="Cambria Math" w:hAnsi="Calibri" w:cs="Calibri"/>
                  <w:i/>
                  <w:szCs w:val="22"/>
                  <w:lang w:val="en-US"/>
                </w:rPr>
              </m:ctrlPr>
            </m:sSubPr>
            <m:e>
              <m:r>
                <w:rPr>
                  <w:rFonts w:ascii="Cambria Math" w:hAnsi="Cambria Math" w:cs="Calibri"/>
                  <w:szCs w:val="22"/>
                  <w:lang w:val="en-US"/>
                </w:rPr>
                <m:t>R</m:t>
              </m:r>
            </m:e>
            <m:sub>
              <m:r>
                <w:rPr>
                  <w:rFonts w:ascii="Cambria Math" w:hAnsi="Cambria Math" w:cs="Calibri"/>
                  <w:szCs w:val="22"/>
                  <w:lang w:val="en-US"/>
                </w:rPr>
                <m:t>it</m:t>
              </m:r>
            </m:sub>
          </m:sSub>
          <m:r>
            <w:rPr>
              <w:rFonts w:ascii="Calibri" w:hAnsi="Calibri" w:cs="Calibri"/>
              <w:szCs w:val="22"/>
              <w:lang w:val="en-US"/>
            </w:rPr>
            <m:t>-</m:t>
          </m:r>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α</m:t>
              </m:r>
            </m:e>
            <m:sub>
              <m:r>
                <w:rPr>
                  <w:rFonts w:ascii="Cambria Math" w:hAnsi="Cambria Math" w:cs="Calibri"/>
                  <w:szCs w:val="22"/>
                  <w:lang w:val="en-US"/>
                </w:rPr>
                <m:t>i</m:t>
              </m:r>
              <m:r>
                <w:rPr>
                  <w:rFonts w:ascii="Cambria Math" w:hAnsi="Calibri" w:cs="Calibri"/>
                  <w:szCs w:val="22"/>
                  <w:lang w:val="en-US"/>
                </w:rPr>
                <m:t xml:space="preserve">  </m:t>
              </m:r>
            </m:sub>
          </m:sSub>
          <m:r>
            <w:rPr>
              <w:rFonts w:ascii="Cambria Math" w:hAnsi="Calibri" w:cs="Calibri"/>
              <w:szCs w:val="22"/>
              <w:lang w:val="en-US"/>
            </w:rPr>
            <m:t xml:space="preserve">+ </m:t>
          </m:r>
          <m:sSub>
            <m:sSubPr>
              <m:ctrlPr>
                <w:rPr>
                  <w:rFonts w:ascii="Cambria Math" w:hAnsi="Calibri" w:cs="Calibri"/>
                  <w:i/>
                  <w:szCs w:val="22"/>
                  <w:lang w:val="en-US"/>
                </w:rPr>
              </m:ctrlPr>
            </m:sSubPr>
            <m:e>
              <m:r>
                <w:rPr>
                  <w:rFonts w:ascii="Cambria Math" w:hAnsi="Cambria Math" w:cs="Calibri"/>
                  <w:szCs w:val="22"/>
                  <w:lang w:val="en-US"/>
                </w:rPr>
                <m:t>β</m:t>
              </m:r>
            </m:e>
            <m:sub>
              <m:r>
                <w:rPr>
                  <w:rFonts w:ascii="Cambria Math" w:hAnsi="Cambria Math" w:cs="Calibri"/>
                  <w:szCs w:val="22"/>
                  <w:lang w:val="en-US"/>
                </w:rPr>
                <m:t>i</m:t>
              </m:r>
              <m:r>
                <w:rPr>
                  <w:rFonts w:ascii="Cambria Math" w:hAnsi="Calibri" w:cs="Calibri"/>
                  <w:szCs w:val="22"/>
                  <w:lang w:val="en-US"/>
                </w:rPr>
                <m:t xml:space="preserve"> </m:t>
              </m:r>
            </m:sub>
          </m:sSub>
          <m:r>
            <w:rPr>
              <w:rFonts w:ascii="Calibri" w:hAnsi="Calibri" w:cs="Calibri"/>
              <w:szCs w:val="22"/>
              <w:lang w:val="en-US"/>
            </w:rPr>
            <m:t>∙</m:t>
          </m:r>
          <m:sSub>
            <m:sSubPr>
              <m:ctrlPr>
                <w:rPr>
                  <w:rFonts w:ascii="Cambria Math" w:hAnsi="Calibri" w:cs="Calibri"/>
                  <w:i/>
                  <w:szCs w:val="22"/>
                  <w:lang w:val="en-US"/>
                </w:rPr>
              </m:ctrlPr>
            </m:sSubPr>
            <m:e>
              <m:r>
                <w:rPr>
                  <w:rFonts w:ascii="Cambria Math" w:hAnsi="Cambria Math" w:cs="Calibri"/>
                  <w:szCs w:val="22"/>
                  <w:lang w:val="en-US"/>
                </w:rPr>
                <m:t>R</m:t>
              </m:r>
            </m:e>
            <m:sub>
              <m:r>
                <w:rPr>
                  <w:rFonts w:ascii="Cambria Math" w:hAnsi="Cambria Math" w:cs="Calibri"/>
                  <w:szCs w:val="22"/>
                  <w:lang w:val="en-US"/>
                </w:rPr>
                <m:t>Mt</m:t>
              </m:r>
              <m:r>
                <w:rPr>
                  <w:rFonts w:ascii="Cambria Math" w:hAnsi="Calibri" w:cs="Calibri"/>
                  <w:szCs w:val="22"/>
                  <w:lang w:val="en-US"/>
                </w:rPr>
                <m:t xml:space="preserve"> </m:t>
              </m:r>
            </m:sub>
          </m:sSub>
          <m:r>
            <w:rPr>
              <w:rFonts w:ascii="Cambria Math" w:hAnsi="Calibri" w:cs="Calibri"/>
              <w:szCs w:val="22"/>
              <w:lang w:val="en-US"/>
            </w:rPr>
            <m:t>)</m:t>
          </m:r>
        </m:oMath>
      </m:oMathPara>
    </w:p>
    <w:p w:rsidR="00A02C00" w:rsidRPr="009D3628" w:rsidRDefault="00A02C00" w:rsidP="00080E07">
      <w:pPr>
        <w:spacing w:line="360" w:lineRule="auto"/>
        <w:jc w:val="center"/>
        <w:rPr>
          <w:rFonts w:ascii="Calibri" w:hAnsi="Calibri" w:cs="Calibri"/>
          <w:szCs w:val="22"/>
          <w:lang w:val="en-US"/>
        </w:rPr>
      </w:pPr>
    </w:p>
    <w:p w:rsidR="00A02C00" w:rsidRPr="009D3628" w:rsidRDefault="00A02C00" w:rsidP="00A02C00">
      <w:pPr>
        <w:spacing w:line="360" w:lineRule="auto"/>
        <w:rPr>
          <w:rFonts w:ascii="Calibri" w:hAnsi="Calibri" w:cs="Calibri"/>
          <w:szCs w:val="22"/>
          <w:lang w:val="en-US"/>
        </w:rPr>
      </w:pPr>
      <w:r w:rsidRPr="009D3628">
        <w:rPr>
          <w:rFonts w:ascii="Calibri" w:hAnsi="Calibri" w:cs="Calibri"/>
          <w:szCs w:val="22"/>
          <w:lang w:val="en-US"/>
        </w:rPr>
        <w:t xml:space="preserve">The </w:t>
      </w:r>
      <m:oMath>
        <m:sSub>
          <m:sSubPr>
            <m:ctrlPr>
              <w:rPr>
                <w:rFonts w:ascii="Cambria Math" w:hAnsi="Calibri" w:cs="Calibri"/>
                <w:i/>
                <w:szCs w:val="22"/>
                <w:lang w:val="en-US"/>
              </w:rPr>
            </m:ctrlPr>
          </m:sSubPr>
          <m:e>
            <m:r>
              <w:rPr>
                <w:rFonts w:ascii="Cambria Math" w:hAnsi="Cambria Math" w:cs="Calibri"/>
                <w:szCs w:val="22"/>
                <w:lang w:val="en-US"/>
              </w:rPr>
              <m:t>U</m:t>
            </m:r>
          </m:e>
          <m:sub>
            <m:r>
              <w:rPr>
                <w:rFonts w:ascii="Cambria Math" w:hAnsi="Cambria Math" w:cs="Calibri"/>
                <w:szCs w:val="22"/>
                <w:lang w:val="en-US"/>
              </w:rPr>
              <m:t>it</m:t>
            </m:r>
          </m:sub>
        </m:sSub>
      </m:oMath>
      <w:r w:rsidRPr="009D3628">
        <w:rPr>
          <w:rFonts w:ascii="Calibri" w:hAnsi="Calibri" w:cs="Calibri"/>
          <w:szCs w:val="22"/>
          <w:lang w:val="en-US"/>
        </w:rPr>
        <w:t xml:space="preserve"> values for the announcing firms as well as for the non-announcing firms are calculated by the Datastream event study. </w:t>
      </w:r>
    </w:p>
    <w:p w:rsidR="00080E07" w:rsidRPr="009D3628" w:rsidRDefault="00080E07" w:rsidP="00080E07">
      <w:pPr>
        <w:pStyle w:val="000"/>
        <w:spacing w:line="360" w:lineRule="auto"/>
        <w:rPr>
          <w:rFonts w:ascii="Calibri" w:hAnsi="Calibri" w:cs="Calibri"/>
          <w:szCs w:val="22"/>
          <w:lang w:val="en-US"/>
        </w:rPr>
      </w:pP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szCs w:val="22"/>
          <w:lang w:val="en-US"/>
        </w:rPr>
        <w:t xml:space="preserve">According to Foster (1981), this non-directional cross-sectional methodology is best illustrated by giving a specific example. </w:t>
      </w:r>
    </w:p>
    <w:p w:rsidR="00080E07" w:rsidRPr="009D3628" w:rsidRDefault="00080E07" w:rsidP="00080E07">
      <w:pPr>
        <w:pStyle w:val="000"/>
        <w:spacing w:line="360" w:lineRule="auto"/>
        <w:rPr>
          <w:rFonts w:ascii="Calibri" w:hAnsi="Calibri" w:cs="Calibri"/>
          <w:szCs w:val="22"/>
          <w:lang w:val="en-US"/>
        </w:rPr>
      </w:pP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szCs w:val="22"/>
          <w:lang w:val="en-US"/>
        </w:rPr>
        <w:lastRenderedPageBreak/>
        <w:t>If we consider the earnings announcement for the fiscal year 2006 for the 6 firms in the GICS sub-industry ‘Automobile manufacturers’ (code: 25102010), the earnings information of the 6 firms is released on the following dates:</w:t>
      </w:r>
    </w:p>
    <w:p w:rsidR="00080E07" w:rsidRPr="009D3628" w:rsidRDefault="00080E07" w:rsidP="00080E07">
      <w:pPr>
        <w:pStyle w:val="000"/>
        <w:spacing w:line="360" w:lineRule="auto"/>
        <w:rPr>
          <w:rFonts w:ascii="Calibri" w:hAnsi="Calibri" w:cs="Calibri"/>
          <w:szCs w:val="22"/>
          <w:lang w:val="en-US"/>
        </w:rPr>
      </w:pPr>
    </w:p>
    <w:p w:rsidR="00080E07" w:rsidRPr="009D3628" w:rsidRDefault="00080E07" w:rsidP="00080E07">
      <w:pPr>
        <w:pStyle w:val="000"/>
        <w:numPr>
          <w:ilvl w:val="0"/>
          <w:numId w:val="26"/>
        </w:numPr>
        <w:spacing w:line="360" w:lineRule="auto"/>
        <w:rPr>
          <w:rFonts w:ascii="Calibri" w:hAnsi="Calibri" w:cs="Calibri"/>
          <w:szCs w:val="22"/>
          <w:lang w:val="en-US"/>
        </w:rPr>
      </w:pPr>
      <w:r w:rsidRPr="009D3628">
        <w:rPr>
          <w:rFonts w:ascii="Calibri" w:hAnsi="Calibri" w:cs="Calibri"/>
          <w:szCs w:val="22"/>
          <w:lang w:val="en-US"/>
        </w:rPr>
        <w:t>January 30</w:t>
      </w:r>
      <w:r w:rsidR="006805F5">
        <w:rPr>
          <w:rFonts w:ascii="Calibri" w:hAnsi="Calibri" w:cs="Calibri"/>
          <w:szCs w:val="22"/>
          <w:lang w:val="en-US"/>
        </w:rPr>
        <w:tab/>
      </w:r>
      <w:r w:rsidRPr="009D3628">
        <w:rPr>
          <w:rFonts w:ascii="Calibri" w:hAnsi="Calibri" w:cs="Calibri"/>
          <w:szCs w:val="22"/>
          <w:lang w:val="en-US"/>
        </w:rPr>
        <w:tab/>
        <w:t>(Monday)</w:t>
      </w:r>
      <w:r w:rsidRPr="009D3628">
        <w:rPr>
          <w:rFonts w:ascii="Calibri" w:hAnsi="Calibri" w:cs="Calibri"/>
          <w:szCs w:val="22"/>
          <w:lang w:val="en-US"/>
        </w:rPr>
        <w:tab/>
      </w:r>
      <w:r w:rsidRPr="009D3628">
        <w:rPr>
          <w:rFonts w:ascii="Calibri" w:hAnsi="Calibri" w:cs="Calibri"/>
          <w:szCs w:val="22"/>
          <w:lang w:val="en-US"/>
        </w:rPr>
        <w:tab/>
        <w:t>- Fiat</w:t>
      </w:r>
    </w:p>
    <w:p w:rsidR="00080E07" w:rsidRPr="009D3628" w:rsidRDefault="00080E07" w:rsidP="00080E07">
      <w:pPr>
        <w:pStyle w:val="000"/>
        <w:numPr>
          <w:ilvl w:val="0"/>
          <w:numId w:val="26"/>
        </w:numPr>
        <w:spacing w:line="360" w:lineRule="auto"/>
        <w:rPr>
          <w:rFonts w:ascii="Calibri" w:hAnsi="Calibri" w:cs="Calibri"/>
          <w:szCs w:val="22"/>
          <w:lang w:val="en-US"/>
        </w:rPr>
      </w:pPr>
      <w:r w:rsidRPr="009D3628">
        <w:rPr>
          <w:rFonts w:ascii="Calibri" w:hAnsi="Calibri" w:cs="Calibri"/>
          <w:szCs w:val="22"/>
          <w:lang w:val="en-US"/>
        </w:rPr>
        <w:t xml:space="preserve">February 6 </w:t>
      </w:r>
      <w:r w:rsidRPr="009D3628">
        <w:rPr>
          <w:rFonts w:ascii="Calibri" w:hAnsi="Calibri" w:cs="Calibri"/>
          <w:szCs w:val="22"/>
          <w:lang w:val="en-US"/>
        </w:rPr>
        <w:tab/>
        <w:t>(Monday)</w:t>
      </w:r>
      <w:r w:rsidRPr="009D3628">
        <w:rPr>
          <w:rFonts w:ascii="Calibri" w:hAnsi="Calibri" w:cs="Calibri"/>
          <w:szCs w:val="22"/>
          <w:lang w:val="en-US"/>
        </w:rPr>
        <w:tab/>
      </w:r>
      <w:r w:rsidRPr="009D3628">
        <w:rPr>
          <w:rFonts w:ascii="Calibri" w:hAnsi="Calibri" w:cs="Calibri"/>
          <w:szCs w:val="22"/>
          <w:lang w:val="en-US"/>
        </w:rPr>
        <w:tab/>
        <w:t>- Pininfarina</w:t>
      </w:r>
    </w:p>
    <w:p w:rsidR="00080E07" w:rsidRPr="009D3628" w:rsidRDefault="00080E07" w:rsidP="00080E07">
      <w:pPr>
        <w:pStyle w:val="000"/>
        <w:numPr>
          <w:ilvl w:val="0"/>
          <w:numId w:val="26"/>
        </w:numPr>
        <w:spacing w:line="360" w:lineRule="auto"/>
        <w:rPr>
          <w:rFonts w:ascii="Calibri" w:hAnsi="Calibri" w:cs="Calibri"/>
          <w:szCs w:val="22"/>
          <w:lang w:val="en-US"/>
        </w:rPr>
      </w:pPr>
      <w:r w:rsidRPr="009D3628">
        <w:rPr>
          <w:rFonts w:ascii="Calibri" w:hAnsi="Calibri" w:cs="Calibri"/>
          <w:szCs w:val="22"/>
          <w:lang w:val="en-US"/>
        </w:rPr>
        <w:t xml:space="preserve">February 7 </w:t>
      </w:r>
      <w:r w:rsidRPr="009D3628">
        <w:rPr>
          <w:rFonts w:ascii="Calibri" w:hAnsi="Calibri" w:cs="Calibri"/>
          <w:szCs w:val="22"/>
          <w:lang w:val="en-US"/>
        </w:rPr>
        <w:tab/>
        <w:t>(Tuesday)</w:t>
      </w:r>
      <w:r w:rsidRPr="009D3628">
        <w:rPr>
          <w:rFonts w:ascii="Calibri" w:hAnsi="Calibri" w:cs="Calibri"/>
          <w:szCs w:val="22"/>
          <w:lang w:val="en-US"/>
        </w:rPr>
        <w:tab/>
      </w:r>
      <w:r w:rsidRPr="009D3628">
        <w:rPr>
          <w:rFonts w:ascii="Calibri" w:hAnsi="Calibri" w:cs="Calibri"/>
          <w:szCs w:val="22"/>
          <w:lang w:val="en-US"/>
        </w:rPr>
        <w:tab/>
        <w:t>- Peugeot</w:t>
      </w:r>
    </w:p>
    <w:p w:rsidR="00080E07" w:rsidRPr="009D3628" w:rsidRDefault="00080E07" w:rsidP="00080E07">
      <w:pPr>
        <w:pStyle w:val="000"/>
        <w:numPr>
          <w:ilvl w:val="0"/>
          <w:numId w:val="26"/>
        </w:numPr>
        <w:spacing w:line="360" w:lineRule="auto"/>
        <w:rPr>
          <w:rFonts w:ascii="Calibri" w:hAnsi="Calibri" w:cs="Calibri"/>
          <w:szCs w:val="22"/>
          <w:lang w:val="en-US"/>
        </w:rPr>
      </w:pPr>
      <w:r w:rsidRPr="009D3628">
        <w:rPr>
          <w:rFonts w:ascii="Calibri" w:hAnsi="Calibri" w:cs="Calibri"/>
          <w:szCs w:val="22"/>
          <w:lang w:val="en-US"/>
        </w:rPr>
        <w:t xml:space="preserve">February 14 </w:t>
      </w:r>
      <w:r w:rsidRPr="009D3628">
        <w:rPr>
          <w:rFonts w:ascii="Calibri" w:hAnsi="Calibri" w:cs="Calibri"/>
          <w:szCs w:val="22"/>
          <w:lang w:val="en-US"/>
        </w:rPr>
        <w:tab/>
        <w:t>(Tuesday)</w:t>
      </w:r>
      <w:r w:rsidRPr="009D3628">
        <w:rPr>
          <w:rFonts w:ascii="Calibri" w:hAnsi="Calibri" w:cs="Calibri"/>
          <w:szCs w:val="22"/>
          <w:lang w:val="en-US"/>
        </w:rPr>
        <w:tab/>
        <w:t xml:space="preserve">     </w:t>
      </w:r>
      <w:r w:rsidRPr="009D3628">
        <w:rPr>
          <w:rFonts w:ascii="Calibri" w:hAnsi="Calibri" w:cs="Calibri"/>
          <w:szCs w:val="22"/>
          <w:lang w:val="en-US"/>
        </w:rPr>
        <w:tab/>
        <w:t>- Daimler Chrysler</w:t>
      </w:r>
    </w:p>
    <w:p w:rsidR="00080E07" w:rsidRPr="009D3628" w:rsidRDefault="00080E07" w:rsidP="00080E07">
      <w:pPr>
        <w:pStyle w:val="000"/>
        <w:numPr>
          <w:ilvl w:val="0"/>
          <w:numId w:val="26"/>
        </w:numPr>
        <w:spacing w:line="360" w:lineRule="auto"/>
        <w:rPr>
          <w:rFonts w:ascii="Calibri" w:hAnsi="Calibri" w:cs="Calibri"/>
          <w:szCs w:val="22"/>
          <w:lang w:val="en-US"/>
        </w:rPr>
      </w:pPr>
      <w:r w:rsidRPr="009D3628">
        <w:rPr>
          <w:rFonts w:ascii="Calibri" w:hAnsi="Calibri" w:cs="Calibri"/>
          <w:szCs w:val="22"/>
          <w:lang w:val="en-US"/>
        </w:rPr>
        <w:t>February 21</w:t>
      </w:r>
      <w:r w:rsidRPr="009D3628">
        <w:rPr>
          <w:rFonts w:ascii="Calibri" w:hAnsi="Calibri" w:cs="Calibri"/>
          <w:szCs w:val="22"/>
          <w:lang w:val="en-US"/>
        </w:rPr>
        <w:tab/>
        <w:t>(Wednesday)</w:t>
      </w:r>
      <w:r w:rsidRPr="009D3628">
        <w:rPr>
          <w:rFonts w:ascii="Calibri" w:hAnsi="Calibri" w:cs="Calibri"/>
          <w:szCs w:val="22"/>
          <w:lang w:val="en-US"/>
        </w:rPr>
        <w:tab/>
        <w:t>- Volkswagen</w:t>
      </w:r>
    </w:p>
    <w:p w:rsidR="00080E07" w:rsidRPr="009D3628" w:rsidRDefault="00080E07" w:rsidP="00080E07">
      <w:pPr>
        <w:pStyle w:val="000"/>
        <w:numPr>
          <w:ilvl w:val="0"/>
          <w:numId w:val="26"/>
        </w:numPr>
        <w:spacing w:line="360" w:lineRule="auto"/>
        <w:rPr>
          <w:rFonts w:ascii="Calibri" w:hAnsi="Calibri" w:cs="Calibri"/>
          <w:szCs w:val="22"/>
          <w:lang w:val="en-US"/>
        </w:rPr>
      </w:pPr>
      <w:r w:rsidRPr="009D3628">
        <w:rPr>
          <w:rFonts w:ascii="Calibri" w:hAnsi="Calibri" w:cs="Calibri"/>
          <w:szCs w:val="22"/>
          <w:lang w:val="en-US"/>
        </w:rPr>
        <w:t xml:space="preserve">March 15   </w:t>
      </w:r>
      <w:r w:rsidRPr="009D3628">
        <w:rPr>
          <w:rFonts w:ascii="Calibri" w:hAnsi="Calibri" w:cs="Calibri"/>
          <w:szCs w:val="22"/>
          <w:lang w:val="en-US"/>
        </w:rPr>
        <w:tab/>
        <w:t>(Thursday)</w:t>
      </w:r>
      <w:r w:rsidRPr="009D3628">
        <w:rPr>
          <w:rFonts w:ascii="Calibri" w:hAnsi="Calibri" w:cs="Calibri"/>
          <w:szCs w:val="22"/>
          <w:lang w:val="en-US"/>
        </w:rPr>
        <w:tab/>
      </w:r>
      <w:r w:rsidRPr="009D3628">
        <w:rPr>
          <w:rFonts w:ascii="Calibri" w:hAnsi="Calibri" w:cs="Calibri"/>
          <w:szCs w:val="22"/>
          <w:lang w:val="en-US"/>
        </w:rPr>
        <w:tab/>
        <w:t>- Audi</w:t>
      </w:r>
    </w:p>
    <w:p w:rsidR="00080E07" w:rsidRPr="009D3628" w:rsidRDefault="00080E07" w:rsidP="00080E07">
      <w:pPr>
        <w:pStyle w:val="000"/>
        <w:spacing w:line="360" w:lineRule="auto"/>
        <w:rPr>
          <w:rFonts w:ascii="Calibri" w:hAnsi="Calibri" w:cs="Calibri"/>
          <w:szCs w:val="22"/>
          <w:lang w:val="en-US"/>
        </w:rPr>
      </w:pP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szCs w:val="22"/>
          <w:lang w:val="en-US"/>
        </w:rPr>
        <w:t>This methodology aims at examining abnormal returns of two groups which are an ‘announcing’ group of firms, and a ‘non-announcing’ group of firms. Here the ‘announcing’ group of firms consist</w:t>
      </w:r>
      <w:r w:rsidR="00082F63">
        <w:rPr>
          <w:rFonts w:ascii="Calibri" w:hAnsi="Calibri" w:cs="Calibri"/>
          <w:szCs w:val="22"/>
          <w:lang w:val="en-US"/>
        </w:rPr>
        <w:t>s</w:t>
      </w:r>
      <w:r w:rsidRPr="009D3628">
        <w:rPr>
          <w:rFonts w:ascii="Calibri" w:hAnsi="Calibri" w:cs="Calibri"/>
          <w:szCs w:val="22"/>
          <w:lang w:val="en-US"/>
        </w:rPr>
        <w:t xml:space="preserve"> of all the first announcers from the eleven industries in the sample over the period 2001-2010, and the ‘non-announcing’ group consist</w:t>
      </w:r>
      <w:r w:rsidR="00082F63">
        <w:rPr>
          <w:rFonts w:ascii="Calibri" w:hAnsi="Calibri" w:cs="Calibri"/>
          <w:szCs w:val="22"/>
          <w:lang w:val="en-US"/>
        </w:rPr>
        <w:t>s</w:t>
      </w:r>
      <w:r w:rsidRPr="009D3628">
        <w:rPr>
          <w:rFonts w:ascii="Calibri" w:hAnsi="Calibri" w:cs="Calibri"/>
          <w:szCs w:val="22"/>
          <w:lang w:val="en-US"/>
        </w:rPr>
        <w:t xml:space="preserve"> of the abnormal returns of the non-announcing firms surrounding the date of the earnings announcement of the first announcing firm.  Where Foster (1981) used this methodology to examine intra-industry information transfer over the time period: 1963-1978, I selected two periods of which I will examine the magnitude of intra-industry information transfer. By examining the magnitude of intra-industry information transfer in the pre-IFRS period (2001-2004) as well is in the post-IFRS period (2005-2010), I expect to see an increase in the magnitude of intra-industry information transfer over time. </w:t>
      </w:r>
    </w:p>
    <w:p w:rsidR="00080E07" w:rsidRPr="009D3628" w:rsidRDefault="00080E07" w:rsidP="00080E07">
      <w:pPr>
        <w:pStyle w:val="000"/>
        <w:spacing w:line="360" w:lineRule="auto"/>
        <w:rPr>
          <w:rFonts w:ascii="Calibri" w:hAnsi="Calibri" w:cs="Calibri"/>
          <w:szCs w:val="22"/>
          <w:lang w:val="en-US"/>
        </w:rPr>
      </w:pP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szCs w:val="22"/>
          <w:lang w:val="en-US"/>
        </w:rPr>
        <w:t>To determine the magnitude of intra-industry information transfer the following steps were taken:</w:t>
      </w:r>
    </w:p>
    <w:p w:rsidR="00080E07" w:rsidRPr="009D3628" w:rsidRDefault="00080E07" w:rsidP="00080E07">
      <w:pPr>
        <w:pStyle w:val="000"/>
        <w:spacing w:line="360" w:lineRule="auto"/>
        <w:rPr>
          <w:rFonts w:ascii="Calibri" w:hAnsi="Calibri" w:cs="Calibri"/>
          <w:szCs w:val="22"/>
          <w:lang w:val="en-US"/>
        </w:rPr>
      </w:pP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i/>
          <w:szCs w:val="22"/>
          <w:lang w:val="en-US"/>
        </w:rPr>
        <w:t>Step one:</w:t>
      </w:r>
      <w:r w:rsidRPr="009D3628">
        <w:rPr>
          <w:rFonts w:ascii="Calibri" w:hAnsi="Calibri" w:cs="Calibri"/>
          <w:szCs w:val="22"/>
          <w:lang w:val="en-US"/>
        </w:rPr>
        <w:t xml:space="preserve"> </w:t>
      </w:r>
      <w:r w:rsidRPr="009D3628">
        <w:rPr>
          <w:rFonts w:ascii="Calibri" w:hAnsi="Calibri" w:cs="Calibri"/>
          <w:szCs w:val="22"/>
          <w:lang w:val="en-US"/>
        </w:rPr>
        <w:tab/>
        <w:t>First, the variance of the abnormal return in non-announcement periods should be computed. Foster</w:t>
      </w:r>
      <w:r w:rsidR="001D474C" w:rsidRPr="009D3628">
        <w:rPr>
          <w:rFonts w:ascii="Calibri" w:hAnsi="Calibri" w:cs="Calibri"/>
          <w:szCs w:val="22"/>
          <w:lang w:val="en-US"/>
        </w:rPr>
        <w:t xml:space="preserve"> </w:t>
      </w:r>
      <w:r w:rsidRPr="009D3628">
        <w:rPr>
          <w:rFonts w:ascii="Calibri" w:hAnsi="Calibri" w:cs="Calibri"/>
          <w:szCs w:val="22"/>
          <w:lang w:val="en-US"/>
        </w:rPr>
        <w:t xml:space="preserve">(1981), who looked at quarterly earnings announcements, assumed that the months March, June, September and December were the non-announcement periods.  For this study I look at annual earnings announcements, and I consider </w:t>
      </w:r>
      <w:r w:rsidR="00A02C00" w:rsidRPr="009D3628">
        <w:rPr>
          <w:rFonts w:ascii="Calibri" w:hAnsi="Calibri" w:cs="Calibri"/>
          <w:szCs w:val="22"/>
          <w:lang w:val="en-US"/>
        </w:rPr>
        <w:t>the estimation dates -21 till -220 as the trading day</w:t>
      </w:r>
      <w:r w:rsidR="00082F63">
        <w:rPr>
          <w:rFonts w:ascii="Calibri" w:hAnsi="Calibri" w:cs="Calibri"/>
          <w:szCs w:val="22"/>
          <w:lang w:val="en-US"/>
        </w:rPr>
        <w:t>s</w:t>
      </w:r>
      <w:r w:rsidR="00A02C00" w:rsidRPr="009D3628">
        <w:rPr>
          <w:rFonts w:ascii="Calibri" w:hAnsi="Calibri" w:cs="Calibri"/>
          <w:szCs w:val="22"/>
          <w:lang w:val="en-US"/>
        </w:rPr>
        <w:t xml:space="preserve"> in non-announcements periods. This means that I consider the period ranging from a month before the earnings announcement till a year before the earnings announcement as non-announcement period</w:t>
      </w:r>
      <w:r w:rsidRPr="009D3628">
        <w:rPr>
          <w:rFonts w:ascii="Calibri" w:hAnsi="Calibri" w:cs="Calibri"/>
          <w:szCs w:val="22"/>
          <w:lang w:val="en-US"/>
        </w:rPr>
        <w:t xml:space="preserve">. </w:t>
      </w:r>
      <w:r w:rsidRPr="009D3628">
        <w:rPr>
          <w:rFonts w:ascii="Calibri" w:hAnsi="Calibri" w:cs="Calibri"/>
          <w:szCs w:val="22"/>
          <w:lang w:val="en-US"/>
        </w:rPr>
        <w:lastRenderedPageBreak/>
        <w:t xml:space="preserve">Based on the abnormal returns in these </w:t>
      </w:r>
      <w:r w:rsidR="00A02C00" w:rsidRPr="009D3628">
        <w:rPr>
          <w:rFonts w:ascii="Calibri" w:hAnsi="Calibri" w:cs="Calibri"/>
          <w:szCs w:val="22"/>
          <w:lang w:val="en-US"/>
        </w:rPr>
        <w:t>non-announcing period,</w:t>
      </w:r>
      <w:r w:rsidRPr="009D3628">
        <w:rPr>
          <w:rFonts w:ascii="Calibri" w:hAnsi="Calibri" w:cs="Calibri"/>
          <w:szCs w:val="22"/>
          <w:lang w:val="en-US"/>
        </w:rPr>
        <w:t xml:space="preserve"> the variance of a two-day abnormal return is computed for each firm -- </w:t>
      </w:r>
      <m:oMath>
        <m:sSup>
          <m:sSupPr>
            <m:ctrlPr>
              <w:rPr>
                <w:rFonts w:ascii="Cambria Math" w:hAnsi="Calibri" w:cs="Calibri"/>
                <w:i/>
                <w:szCs w:val="22"/>
                <w:lang w:val="en-US"/>
              </w:rPr>
            </m:ctrlPr>
          </m:sSupPr>
          <m:e>
            <m:r>
              <w:rPr>
                <w:rFonts w:ascii="Cambria Math" w:hAnsi="Cambria Math" w:cs="Calibri"/>
                <w:szCs w:val="22"/>
                <w:lang w:val="en-US"/>
              </w:rPr>
              <m:t>σ</m:t>
            </m:r>
          </m:e>
          <m:sup>
            <m:r>
              <w:rPr>
                <w:rFonts w:ascii="Cambria Math" w:hAnsi="Calibri" w:cs="Calibri"/>
                <w:szCs w:val="22"/>
                <w:lang w:val="en-US"/>
              </w:rPr>
              <m:t>2</m:t>
            </m:r>
          </m:sup>
        </m:sSup>
        <m:d>
          <m:dPr>
            <m:ctrlPr>
              <w:rPr>
                <w:rFonts w:ascii="Cambria Math" w:hAnsi="Calibri" w:cs="Calibri"/>
                <w:i/>
                <w:szCs w:val="22"/>
                <w:lang w:val="en-US"/>
              </w:rPr>
            </m:ctrlPr>
          </m:dPr>
          <m:e>
            <m:sSub>
              <m:sSubPr>
                <m:ctrlPr>
                  <w:rPr>
                    <w:rFonts w:ascii="Cambria Math" w:hAnsi="Calibri" w:cs="Calibri"/>
                    <w:i/>
                    <w:szCs w:val="22"/>
                    <w:lang w:val="en-US"/>
                  </w:rPr>
                </m:ctrlPr>
              </m:sSubPr>
              <m:e>
                <m:r>
                  <w:rPr>
                    <w:rFonts w:ascii="Cambria Math" w:hAnsi="Cambria Math" w:cs="Calibri"/>
                    <w:szCs w:val="22"/>
                    <w:lang w:val="en-US"/>
                  </w:rPr>
                  <m:t>U</m:t>
                </m:r>
              </m:e>
              <m:sub>
                <m:r>
                  <w:rPr>
                    <w:rFonts w:ascii="Cambria Math" w:hAnsi="Cambria Math" w:cs="Calibri"/>
                    <w:szCs w:val="22"/>
                    <w:lang w:val="en-US"/>
                  </w:rPr>
                  <m:t>it</m:t>
                </m:r>
              </m:sub>
            </m:sSub>
          </m:e>
        </m:d>
        <m:r>
          <w:rPr>
            <w:rFonts w:ascii="Cambria Math" w:hAnsi="Calibri" w:cs="Calibri"/>
            <w:szCs w:val="22"/>
            <w:lang w:val="en-US"/>
          </w:rPr>
          <m:t xml:space="preserve">. </m:t>
        </m:r>
      </m:oMath>
      <w:r w:rsidRPr="009D3628">
        <w:rPr>
          <w:rFonts w:ascii="Calibri" w:hAnsi="Calibri" w:cs="Calibri"/>
          <w:szCs w:val="22"/>
          <w:lang w:val="en-US"/>
        </w:rPr>
        <w:t xml:space="preserve"> </w:t>
      </w: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szCs w:val="22"/>
          <w:lang w:val="en-US"/>
        </w:rPr>
        <w:br/>
      </w:r>
      <w:r w:rsidRPr="009D3628">
        <w:rPr>
          <w:rFonts w:ascii="Calibri" w:hAnsi="Calibri" w:cs="Calibri"/>
          <w:i/>
          <w:szCs w:val="22"/>
          <w:lang w:val="en-US"/>
        </w:rPr>
        <w:t>Step two:</w:t>
      </w:r>
      <w:r w:rsidRPr="009D3628">
        <w:rPr>
          <w:rFonts w:ascii="Calibri" w:hAnsi="Calibri" w:cs="Calibri"/>
          <w:i/>
          <w:szCs w:val="22"/>
          <w:lang w:val="en-US"/>
        </w:rPr>
        <w:tab/>
      </w:r>
      <w:r w:rsidR="00082F63">
        <w:rPr>
          <w:rFonts w:ascii="Calibri" w:hAnsi="Calibri" w:cs="Calibri"/>
          <w:szCs w:val="22"/>
          <w:lang w:val="en-US"/>
        </w:rPr>
        <w:t>Now the firm which</w:t>
      </w:r>
      <w:r w:rsidRPr="009D3628">
        <w:rPr>
          <w:rFonts w:ascii="Calibri" w:hAnsi="Calibri" w:cs="Calibri"/>
          <w:szCs w:val="22"/>
          <w:lang w:val="en-US"/>
        </w:rPr>
        <w:t xml:space="preserve"> first releases its earnings information (further: the first-announcer) is taken, and for this first-announcer the combined two-day abnormal return for the period (-1,0) should be computed. Here 0 is the announcement date of the earnings release of the first-announcer and -1 is the day before the earnings announcement. In this example, Fiat is the first-announcer and the days in the (-1,0) window are January 27 and January 30 (January 28 – 29 is a weekend, and are not considered as trading days</w:t>
      </w:r>
      <w:r w:rsidR="00082F63">
        <w:rPr>
          <w:rFonts w:ascii="Calibri" w:hAnsi="Calibri" w:cs="Calibri"/>
          <w:szCs w:val="22"/>
          <w:lang w:val="en-US"/>
        </w:rPr>
        <w:t xml:space="preserve">). For the (-1,0) window the </w:t>
      </w:r>
      <w:r w:rsidRPr="009D3628">
        <w:rPr>
          <w:rFonts w:ascii="Calibri" w:hAnsi="Calibri" w:cs="Calibri"/>
          <w:szCs w:val="22"/>
          <w:lang w:val="en-US"/>
        </w:rPr>
        <w:t>ratio for the first-announcer (Fiat) should be calculated</w:t>
      </w:r>
      <w:r w:rsidR="00082F63">
        <w:rPr>
          <w:rFonts w:ascii="Calibri" w:hAnsi="Calibri" w:cs="Calibri"/>
          <w:szCs w:val="22"/>
          <w:lang w:val="en-US"/>
        </w:rPr>
        <w:t xml:space="preserve"> as follows</w:t>
      </w:r>
      <w:r w:rsidRPr="009D3628">
        <w:rPr>
          <w:rFonts w:ascii="Calibri" w:hAnsi="Calibri" w:cs="Calibri"/>
          <w:szCs w:val="22"/>
          <w:lang w:val="en-US"/>
        </w:rPr>
        <w:t>:</w:t>
      </w:r>
    </w:p>
    <w:p w:rsidR="00080E07" w:rsidRPr="009D3628" w:rsidRDefault="00080E07" w:rsidP="00080E07">
      <w:pPr>
        <w:pStyle w:val="000"/>
        <w:spacing w:line="360" w:lineRule="auto"/>
        <w:rPr>
          <w:rFonts w:ascii="Calibri" w:hAnsi="Calibri" w:cs="Calibri"/>
          <w:szCs w:val="22"/>
          <w:lang w:val="en-US"/>
        </w:rPr>
      </w:pPr>
    </w:p>
    <w:p w:rsidR="00080E07" w:rsidRPr="009D3628" w:rsidRDefault="00E43D28" w:rsidP="00080E07">
      <w:pPr>
        <w:spacing w:line="360" w:lineRule="auto"/>
        <w:rPr>
          <w:rFonts w:ascii="Calibri" w:hAnsi="Calibri" w:cs="Calibri"/>
          <w:lang w:val="en-US"/>
        </w:rPr>
      </w:pPr>
      <m:oMathPara>
        <m:oMath>
          <m:sSub>
            <m:sSubPr>
              <m:ctrlPr>
                <w:rPr>
                  <w:rFonts w:ascii="Cambria Math" w:hAnsi="Calibri" w:cs="Calibri"/>
                  <w:i/>
                  <w:lang w:val="en-US"/>
                </w:rPr>
              </m:ctrlPr>
            </m:sSubPr>
            <m:e>
              <m:r>
                <w:rPr>
                  <w:rFonts w:ascii="Cambria Math" w:hAnsi="Cambria Math" w:cs="Calibri"/>
                  <w:lang w:val="en-US"/>
                </w:rPr>
                <m:t>X</m:t>
              </m:r>
            </m:e>
            <m:sub>
              <m:r>
                <w:rPr>
                  <w:rFonts w:ascii="Cambria Math" w:hAnsi="Cambria Math" w:cs="Calibri"/>
                  <w:lang w:val="en-US"/>
                </w:rPr>
                <m:t>it</m:t>
              </m:r>
              <m:r>
                <w:rPr>
                  <w:rFonts w:ascii="Cambria Math" w:hAnsi="Calibri" w:cs="Calibri"/>
                  <w:lang w:val="en-US"/>
                </w:rPr>
                <m:t xml:space="preserve"> </m:t>
              </m:r>
            </m:sub>
          </m:sSub>
          <m:r>
            <w:rPr>
              <w:rFonts w:ascii="Cambria Math" w:hAnsi="Calibri" w:cs="Calibri"/>
              <w:lang w:val="en-US"/>
            </w:rPr>
            <m:t>=</m:t>
          </m:r>
          <m:f>
            <m:fPr>
              <m:ctrlPr>
                <w:rPr>
                  <w:rFonts w:ascii="Cambria Math" w:hAnsi="Calibri" w:cs="Calibri"/>
                  <w:i/>
                  <w:lang w:val="en-US"/>
                </w:rPr>
              </m:ctrlPr>
            </m:fPr>
            <m:num>
              <m:sSup>
                <m:sSupPr>
                  <m:ctrlPr>
                    <w:rPr>
                      <w:rFonts w:ascii="Cambria Math" w:hAnsi="Calibri" w:cs="Calibri"/>
                      <w:i/>
                      <w:lang w:val="en-US"/>
                    </w:rPr>
                  </m:ctrlPr>
                </m:sSupPr>
                <m:e>
                  <m:d>
                    <m:dPr>
                      <m:ctrlPr>
                        <w:rPr>
                          <w:rFonts w:ascii="Cambria Math" w:hAnsi="Calibri" w:cs="Calibri"/>
                          <w:i/>
                          <w:lang w:val="en-US"/>
                        </w:rPr>
                      </m:ctrlPr>
                    </m:dPr>
                    <m:e>
                      <m:sSub>
                        <m:sSubPr>
                          <m:ctrlPr>
                            <w:rPr>
                              <w:rFonts w:ascii="Cambria Math" w:hAnsi="Calibri" w:cs="Calibri"/>
                              <w:i/>
                              <w:lang w:val="en-US"/>
                            </w:rPr>
                          </m:ctrlPr>
                        </m:sSubPr>
                        <m:e>
                          <m:r>
                            <w:rPr>
                              <w:rFonts w:ascii="Cambria Math" w:hAnsi="Cambria Math" w:cs="Calibri"/>
                              <w:lang w:val="en-US"/>
                            </w:rPr>
                            <m:t>U</m:t>
                          </m:r>
                        </m:e>
                        <m:sub>
                          <m:r>
                            <w:rPr>
                              <w:rFonts w:ascii="Cambria Math" w:hAnsi="Cambria Math" w:cs="Calibri"/>
                              <w:lang w:val="en-US"/>
                            </w:rPr>
                            <m:t>it</m:t>
                          </m:r>
                        </m:sub>
                      </m:sSub>
                    </m:e>
                  </m:d>
                </m:e>
                <m:sup>
                  <m:r>
                    <w:rPr>
                      <w:rFonts w:ascii="Cambria Math" w:hAnsi="Calibri" w:cs="Calibri"/>
                      <w:lang w:val="en-US"/>
                    </w:rPr>
                    <m:t>2</m:t>
                  </m:r>
                </m:sup>
              </m:sSup>
            </m:num>
            <m:den>
              <m:sSup>
                <m:sSupPr>
                  <m:ctrlPr>
                    <w:rPr>
                      <w:rFonts w:ascii="Cambria Math" w:hAnsi="Calibri" w:cs="Calibri"/>
                      <w:i/>
                      <w:lang w:val="en-US"/>
                    </w:rPr>
                  </m:ctrlPr>
                </m:sSupPr>
                <m:e>
                  <m:r>
                    <w:rPr>
                      <w:rFonts w:ascii="Cambria Math" w:hAnsi="Cambria Math" w:cs="Calibri"/>
                      <w:lang w:val="en-US"/>
                    </w:rPr>
                    <m:t>σ</m:t>
                  </m:r>
                </m:e>
                <m:sup>
                  <m:r>
                    <w:rPr>
                      <w:rFonts w:ascii="Cambria Math" w:hAnsi="Calibri" w:cs="Calibri"/>
                      <w:lang w:val="en-US"/>
                    </w:rPr>
                    <m:t>2</m:t>
                  </m:r>
                </m:sup>
              </m:sSup>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U</m:t>
                  </m:r>
                </m:e>
                <m:sub>
                  <m:r>
                    <w:rPr>
                      <w:rFonts w:ascii="Cambria Math" w:hAnsi="Cambria Math" w:cs="Calibri"/>
                      <w:lang w:val="en-US"/>
                    </w:rPr>
                    <m:t>it</m:t>
                  </m:r>
                </m:sub>
              </m:sSub>
              <m:r>
                <w:rPr>
                  <w:rFonts w:ascii="Cambria Math" w:hAnsi="Calibri" w:cs="Calibri"/>
                  <w:lang w:val="en-US"/>
                </w:rPr>
                <m:t xml:space="preserve">) </m:t>
              </m:r>
            </m:den>
          </m:f>
        </m:oMath>
      </m:oMathPara>
    </w:p>
    <w:p w:rsidR="00080E07" w:rsidRPr="009D3628" w:rsidRDefault="00080E07" w:rsidP="00080E07">
      <w:pPr>
        <w:pStyle w:val="000"/>
        <w:spacing w:line="360" w:lineRule="auto"/>
        <w:rPr>
          <w:rFonts w:ascii="Calibri" w:hAnsi="Calibri" w:cs="Calibri"/>
          <w:lang w:val="en-US"/>
        </w:rPr>
      </w:pPr>
    </w:p>
    <w:p w:rsidR="00A02C00" w:rsidRPr="009D3628" w:rsidRDefault="00FD4CF2" w:rsidP="00080E07">
      <w:pPr>
        <w:pStyle w:val="000"/>
        <w:spacing w:line="360" w:lineRule="auto"/>
        <w:rPr>
          <w:rFonts w:ascii="Calibri" w:hAnsi="Calibri" w:cs="Calibri"/>
          <w:szCs w:val="22"/>
          <w:lang w:val="en-US"/>
        </w:rPr>
      </w:pPr>
      <w:r w:rsidRPr="009D3628">
        <w:rPr>
          <w:rFonts w:ascii="Calibri" w:hAnsi="Calibri" w:cs="Calibri"/>
          <w:szCs w:val="22"/>
          <w:lang w:val="en-US"/>
        </w:rPr>
        <w:t xml:space="preserve">This formula is the same as the (AVAR) formula designed by Beaver (1968), which means that the </w:t>
      </w:r>
      <m:oMath>
        <m:sSub>
          <m:sSubPr>
            <m:ctrlPr>
              <w:rPr>
                <w:rFonts w:ascii="Cambria Math" w:hAnsi="Calibri" w:cs="Calibri"/>
                <w:i/>
                <w:lang w:val="en-US"/>
              </w:rPr>
            </m:ctrlPr>
          </m:sSubPr>
          <m:e>
            <m:r>
              <w:rPr>
                <w:rFonts w:ascii="Cambria Math" w:hAnsi="Cambria Math" w:cs="Calibri"/>
                <w:lang w:val="en-US"/>
              </w:rPr>
              <m:t>X</m:t>
            </m:r>
          </m:e>
          <m:sub>
            <m:r>
              <w:rPr>
                <w:rFonts w:ascii="Cambria Math" w:hAnsi="Cambria Math" w:cs="Calibri"/>
                <w:lang w:val="en-US"/>
              </w:rPr>
              <m:t>it</m:t>
            </m:r>
            <m:r>
              <w:rPr>
                <w:rFonts w:ascii="Cambria Math" w:hAnsi="Calibri" w:cs="Calibri"/>
                <w:lang w:val="en-US"/>
              </w:rPr>
              <m:t xml:space="preserve"> </m:t>
            </m:r>
          </m:sub>
        </m:sSub>
      </m:oMath>
      <w:r w:rsidRPr="009D3628">
        <w:rPr>
          <w:rFonts w:ascii="Calibri" w:hAnsi="Calibri" w:cs="Calibri"/>
          <w:lang w:val="en-US"/>
        </w:rPr>
        <w:t xml:space="preserve"> values calculated in this formula give an indication about the abnormal stock price volatility. What is actually done in this formula is that the abnormal return of firm i on day t is compared with the ‘normal’ abnormal return during the year. This should give an indication if the abnormal return surrounding the earnings announcement of the first-announcer is bigger than normal, which implies a reaction to the earnings release. </w:t>
      </w: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szCs w:val="22"/>
          <w:lang w:val="en-US"/>
        </w:rPr>
        <w:t xml:space="preserve">After calculating this </w:t>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ratio, this ratio should be classified in one of six mutually exclusive categories. The categories are named A till F and based on the </w:t>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value the earnings announcement of Fiat is placed in a certain category. The categories are divided as follows:</w:t>
      </w:r>
    </w:p>
    <w:p w:rsidR="00080E07" w:rsidRPr="009D3628" w:rsidRDefault="00080E07" w:rsidP="00080E07">
      <w:pPr>
        <w:pStyle w:val="000"/>
        <w:spacing w:line="360" w:lineRule="auto"/>
        <w:rPr>
          <w:rFonts w:ascii="Calibri" w:hAnsi="Calibri" w:cs="Calibri"/>
          <w:szCs w:val="22"/>
          <w:lang w:val="en-US"/>
        </w:rPr>
      </w:pPr>
    </w:p>
    <w:p w:rsidR="00C148E5" w:rsidRDefault="00080E07" w:rsidP="00080E07">
      <w:pPr>
        <w:pStyle w:val="000"/>
        <w:spacing w:line="360" w:lineRule="auto"/>
        <w:rPr>
          <w:rFonts w:ascii="Calibri" w:hAnsi="Calibri" w:cs="Calibri"/>
          <w:szCs w:val="22"/>
          <w:lang w:val="en-US"/>
        </w:rPr>
      </w:pPr>
      <w:r w:rsidRPr="009D3628">
        <w:rPr>
          <w:rFonts w:ascii="Calibri" w:hAnsi="Calibri" w:cs="Calibri"/>
          <w:szCs w:val="22"/>
          <w:lang w:val="en-US"/>
        </w:rPr>
        <w:t xml:space="preserve">                                                        </w:t>
      </w:r>
    </w:p>
    <w:p w:rsidR="00080E07" w:rsidRPr="009D3628" w:rsidRDefault="00080E07" w:rsidP="00C148E5">
      <w:pPr>
        <w:pStyle w:val="000"/>
        <w:spacing w:line="360" w:lineRule="auto"/>
        <w:ind w:left="2835" w:firstLine="567"/>
        <w:rPr>
          <w:rFonts w:ascii="Calibri" w:hAnsi="Calibri" w:cs="Calibri"/>
          <w:szCs w:val="22"/>
          <w:lang w:val="en-US"/>
        </w:rPr>
      </w:pPr>
      <w:r w:rsidRPr="009D3628">
        <w:rPr>
          <w:rFonts w:ascii="Calibri" w:hAnsi="Calibri" w:cs="Calibri"/>
          <w:szCs w:val="22"/>
          <w:lang w:val="en-US"/>
        </w:rPr>
        <w:t>A:</w:t>
      </w:r>
      <w:r w:rsidRPr="009D3628">
        <w:rPr>
          <w:rFonts w:ascii="Calibri" w:hAnsi="Calibri" w:cs="Calibri"/>
          <w:szCs w:val="22"/>
          <w:lang w:val="en-US"/>
        </w:rPr>
        <w:tab/>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&gt; 6,</w:t>
      </w:r>
    </w:p>
    <w:p w:rsidR="00080E07" w:rsidRPr="009D3628" w:rsidRDefault="00080E07" w:rsidP="00080E07">
      <w:pPr>
        <w:pStyle w:val="000"/>
        <w:spacing w:line="360" w:lineRule="auto"/>
        <w:jc w:val="center"/>
        <w:rPr>
          <w:rFonts w:ascii="Calibri" w:hAnsi="Calibri" w:cs="Calibri"/>
          <w:szCs w:val="22"/>
          <w:lang w:val="en-US"/>
        </w:rPr>
      </w:pPr>
      <w:r w:rsidRPr="009D3628">
        <w:rPr>
          <w:rFonts w:ascii="Calibri" w:hAnsi="Calibri" w:cs="Calibri"/>
          <w:szCs w:val="22"/>
          <w:lang w:val="en-US"/>
        </w:rPr>
        <w:t>B:</w:t>
      </w:r>
      <w:r w:rsidRPr="009D3628">
        <w:rPr>
          <w:rFonts w:ascii="Calibri" w:hAnsi="Calibri" w:cs="Calibri"/>
          <w:szCs w:val="22"/>
          <w:lang w:val="en-US"/>
        </w:rPr>
        <w:tab/>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&gt; 4</w:t>
      </w:r>
      <w:r w:rsidRPr="009D3628">
        <w:rPr>
          <w:rFonts w:ascii="Calibri" w:hAnsi="Calibri" w:cs="Calibri"/>
          <w:szCs w:val="22"/>
          <w:lang w:val="en-US"/>
        </w:rPr>
        <w:tab/>
        <w:t>but</w:t>
      </w:r>
      <w:r w:rsidRPr="009D3628">
        <w:rPr>
          <w:rFonts w:ascii="Calibri" w:hAnsi="Calibri" w:cs="Calibri"/>
          <w:szCs w:val="22"/>
          <w:lang w:val="en-US"/>
        </w:rPr>
        <w:tab/>
      </w:r>
      <m:oMath>
        <m:r>
          <w:rPr>
            <w:rFonts w:ascii="Cambria Math" w:hAnsi="Calibri" w:cs="Calibri"/>
            <w:szCs w:val="22"/>
            <w:lang w:val="en-US"/>
          </w:rPr>
          <m:t>≤</m:t>
        </m:r>
      </m:oMath>
      <w:r w:rsidRPr="009D3628">
        <w:rPr>
          <w:rFonts w:ascii="Calibri" w:hAnsi="Calibri" w:cs="Calibri"/>
          <w:szCs w:val="22"/>
          <w:lang w:val="en-US"/>
        </w:rPr>
        <w:t xml:space="preserve"> 6,</w:t>
      </w:r>
    </w:p>
    <w:p w:rsidR="00080E07" w:rsidRPr="009D3628" w:rsidRDefault="00080E07" w:rsidP="00080E07">
      <w:pPr>
        <w:pStyle w:val="000"/>
        <w:spacing w:line="360" w:lineRule="auto"/>
        <w:jc w:val="center"/>
        <w:rPr>
          <w:rFonts w:ascii="Calibri" w:hAnsi="Calibri" w:cs="Calibri"/>
          <w:szCs w:val="22"/>
          <w:lang w:val="en-US"/>
        </w:rPr>
      </w:pPr>
      <w:r w:rsidRPr="009D3628">
        <w:rPr>
          <w:rFonts w:ascii="Calibri" w:hAnsi="Calibri" w:cs="Calibri"/>
          <w:szCs w:val="22"/>
          <w:lang w:val="en-US"/>
        </w:rPr>
        <w:t>C:</w:t>
      </w:r>
      <w:r w:rsidRPr="009D3628">
        <w:rPr>
          <w:rFonts w:ascii="Calibri" w:hAnsi="Calibri" w:cs="Calibri"/>
          <w:szCs w:val="22"/>
          <w:lang w:val="en-US"/>
        </w:rPr>
        <w:tab/>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&gt; 3</w:t>
      </w:r>
      <w:r w:rsidRPr="009D3628">
        <w:rPr>
          <w:rFonts w:ascii="Calibri" w:hAnsi="Calibri" w:cs="Calibri"/>
          <w:szCs w:val="22"/>
          <w:lang w:val="en-US"/>
        </w:rPr>
        <w:tab/>
        <w:t>but</w:t>
      </w:r>
      <w:r w:rsidRPr="009D3628">
        <w:rPr>
          <w:rFonts w:ascii="Calibri" w:hAnsi="Calibri" w:cs="Calibri"/>
          <w:szCs w:val="22"/>
          <w:lang w:val="en-US"/>
        </w:rPr>
        <w:tab/>
      </w:r>
      <m:oMath>
        <m:r>
          <w:rPr>
            <w:rFonts w:ascii="Cambria Math" w:hAnsi="Calibri" w:cs="Calibri"/>
            <w:szCs w:val="22"/>
            <w:lang w:val="en-US"/>
          </w:rPr>
          <m:t>≤</m:t>
        </m:r>
      </m:oMath>
      <w:r w:rsidRPr="009D3628">
        <w:rPr>
          <w:rFonts w:ascii="Calibri" w:hAnsi="Calibri" w:cs="Calibri"/>
          <w:szCs w:val="22"/>
          <w:lang w:val="en-US"/>
        </w:rPr>
        <w:t xml:space="preserve"> 4,</w:t>
      </w:r>
    </w:p>
    <w:p w:rsidR="00080E07" w:rsidRPr="009D3628" w:rsidRDefault="00080E07" w:rsidP="00080E07">
      <w:pPr>
        <w:pStyle w:val="000"/>
        <w:spacing w:line="360" w:lineRule="auto"/>
        <w:jc w:val="center"/>
        <w:rPr>
          <w:rFonts w:ascii="Calibri" w:hAnsi="Calibri" w:cs="Calibri"/>
          <w:szCs w:val="22"/>
          <w:lang w:val="en-US"/>
        </w:rPr>
      </w:pPr>
      <w:r w:rsidRPr="009D3628">
        <w:rPr>
          <w:rFonts w:ascii="Calibri" w:hAnsi="Calibri" w:cs="Calibri"/>
          <w:szCs w:val="22"/>
          <w:lang w:val="en-US"/>
        </w:rPr>
        <w:t>D:</w:t>
      </w:r>
      <w:r w:rsidRPr="009D3628">
        <w:rPr>
          <w:rFonts w:ascii="Calibri" w:hAnsi="Calibri" w:cs="Calibri"/>
          <w:szCs w:val="22"/>
          <w:lang w:val="en-US"/>
        </w:rPr>
        <w:tab/>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&gt; 2</w:t>
      </w:r>
      <w:r w:rsidRPr="009D3628">
        <w:rPr>
          <w:rFonts w:ascii="Calibri" w:hAnsi="Calibri" w:cs="Calibri"/>
          <w:szCs w:val="22"/>
          <w:lang w:val="en-US"/>
        </w:rPr>
        <w:tab/>
        <w:t>but</w:t>
      </w:r>
      <w:r w:rsidRPr="009D3628">
        <w:rPr>
          <w:rFonts w:ascii="Calibri" w:hAnsi="Calibri" w:cs="Calibri"/>
          <w:szCs w:val="22"/>
          <w:lang w:val="en-US"/>
        </w:rPr>
        <w:tab/>
      </w:r>
      <m:oMath>
        <m:r>
          <w:rPr>
            <w:rFonts w:ascii="Cambria Math" w:hAnsi="Calibri" w:cs="Calibri"/>
            <w:szCs w:val="22"/>
            <w:lang w:val="en-US"/>
          </w:rPr>
          <m:t>≤</m:t>
        </m:r>
      </m:oMath>
      <w:r w:rsidRPr="009D3628">
        <w:rPr>
          <w:rFonts w:ascii="Calibri" w:hAnsi="Calibri" w:cs="Calibri"/>
          <w:szCs w:val="22"/>
          <w:lang w:val="en-US"/>
        </w:rPr>
        <w:t xml:space="preserve"> 3,</w:t>
      </w:r>
    </w:p>
    <w:p w:rsidR="00080E07" w:rsidRPr="009D3628" w:rsidRDefault="00080E07" w:rsidP="00080E07">
      <w:pPr>
        <w:pStyle w:val="000"/>
        <w:spacing w:line="360" w:lineRule="auto"/>
        <w:jc w:val="center"/>
        <w:rPr>
          <w:rFonts w:ascii="Calibri" w:hAnsi="Calibri" w:cs="Calibri"/>
          <w:szCs w:val="22"/>
          <w:lang w:val="en-US"/>
        </w:rPr>
      </w:pPr>
      <w:r w:rsidRPr="009D3628">
        <w:rPr>
          <w:rFonts w:ascii="Calibri" w:hAnsi="Calibri" w:cs="Calibri"/>
          <w:szCs w:val="22"/>
          <w:lang w:val="en-US"/>
        </w:rPr>
        <w:t>E:</w:t>
      </w:r>
      <w:r w:rsidRPr="009D3628">
        <w:rPr>
          <w:rFonts w:ascii="Calibri" w:hAnsi="Calibri" w:cs="Calibri"/>
          <w:szCs w:val="22"/>
          <w:lang w:val="en-US"/>
        </w:rPr>
        <w:tab/>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&gt; 1</w:t>
      </w:r>
      <w:r w:rsidRPr="009D3628">
        <w:rPr>
          <w:rFonts w:ascii="Calibri" w:hAnsi="Calibri" w:cs="Calibri"/>
          <w:szCs w:val="22"/>
          <w:lang w:val="en-US"/>
        </w:rPr>
        <w:tab/>
        <w:t>but</w:t>
      </w:r>
      <w:r w:rsidRPr="009D3628">
        <w:rPr>
          <w:rFonts w:ascii="Calibri" w:hAnsi="Calibri" w:cs="Calibri"/>
          <w:szCs w:val="22"/>
          <w:lang w:val="en-US"/>
        </w:rPr>
        <w:tab/>
      </w:r>
      <m:oMath>
        <m:r>
          <w:rPr>
            <w:rFonts w:ascii="Cambria Math" w:hAnsi="Calibri" w:cs="Calibri"/>
            <w:szCs w:val="22"/>
            <w:lang w:val="en-US"/>
          </w:rPr>
          <m:t>≤</m:t>
        </m:r>
      </m:oMath>
      <w:r w:rsidRPr="009D3628">
        <w:rPr>
          <w:rFonts w:ascii="Calibri" w:hAnsi="Calibri" w:cs="Calibri"/>
          <w:szCs w:val="22"/>
          <w:lang w:val="en-US"/>
        </w:rPr>
        <w:t xml:space="preserve"> 2,</w:t>
      </w: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szCs w:val="22"/>
          <w:lang w:val="en-US"/>
        </w:rPr>
        <w:t xml:space="preserve">                                                          </w:t>
      </w:r>
      <w:r w:rsidR="00C148E5">
        <w:rPr>
          <w:rFonts w:ascii="Calibri" w:hAnsi="Calibri" w:cs="Calibri"/>
          <w:szCs w:val="22"/>
          <w:lang w:val="en-US"/>
        </w:rPr>
        <w:tab/>
      </w:r>
      <w:r w:rsidRPr="009D3628">
        <w:rPr>
          <w:rFonts w:ascii="Calibri" w:hAnsi="Calibri" w:cs="Calibri"/>
          <w:szCs w:val="22"/>
          <w:lang w:val="en-US"/>
        </w:rPr>
        <w:t>F:</w:t>
      </w:r>
      <w:r w:rsidRPr="009D3628">
        <w:rPr>
          <w:rFonts w:ascii="Calibri" w:hAnsi="Calibri" w:cs="Calibri"/>
          <w:szCs w:val="22"/>
          <w:lang w:val="en-US"/>
        </w:rPr>
        <w:tab/>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w:t>
      </w:r>
      <m:oMath>
        <m:r>
          <w:rPr>
            <w:rFonts w:ascii="Cambria Math" w:hAnsi="Calibri" w:cs="Calibri"/>
            <w:szCs w:val="22"/>
            <w:lang w:val="en-US"/>
          </w:rPr>
          <m:t>≤</m:t>
        </m:r>
      </m:oMath>
      <w:r w:rsidRPr="009D3628">
        <w:rPr>
          <w:rFonts w:ascii="Calibri" w:hAnsi="Calibri" w:cs="Calibri"/>
          <w:szCs w:val="22"/>
          <w:lang w:val="en-US"/>
        </w:rPr>
        <w:t xml:space="preserve"> 1.</w:t>
      </w:r>
    </w:p>
    <w:p w:rsidR="00080E07" w:rsidRPr="009D3628" w:rsidRDefault="00080E07" w:rsidP="00080E07">
      <w:pPr>
        <w:pStyle w:val="000"/>
        <w:spacing w:line="360" w:lineRule="auto"/>
        <w:rPr>
          <w:rFonts w:ascii="Calibri" w:hAnsi="Calibri" w:cs="Calibri"/>
          <w:lang w:val="en-US"/>
        </w:rPr>
      </w:pP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szCs w:val="22"/>
          <w:lang w:val="en-US"/>
        </w:rPr>
        <w:t xml:space="preserve">If we assume here that the  </w:t>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value in the (-1,0) window = 2,5, then the earnings announcement of Fiat for January 2006 is placed in category D for the ‘announcing’ group of firms. After doing this, I will also compute the </w:t>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values for Fiat in the trading day periods surrounding the earnings announcement period. The two-day trading day windows surrounding the January 27-30 period for which an </w:t>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ratio will be computed, range from (-11,-10) till (9,10). The computed </w:t>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values for these windows are recorded in the same category as the </w:t>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value for the (-1,0) period, so in this example category D. </w:t>
      </w:r>
    </w:p>
    <w:p w:rsidR="00080E07" w:rsidRPr="009D3628" w:rsidRDefault="00080E07" w:rsidP="00080E07">
      <w:pPr>
        <w:pStyle w:val="000"/>
        <w:spacing w:line="360" w:lineRule="auto"/>
        <w:rPr>
          <w:rFonts w:ascii="Calibri" w:hAnsi="Calibri" w:cs="Calibri"/>
          <w:szCs w:val="22"/>
          <w:lang w:val="en-US"/>
        </w:rPr>
      </w:pP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i/>
          <w:szCs w:val="22"/>
          <w:lang w:val="en-US"/>
        </w:rPr>
        <w:t>Step three:</w:t>
      </w:r>
      <w:r w:rsidRPr="009D3628">
        <w:rPr>
          <w:rFonts w:ascii="Calibri" w:hAnsi="Calibri" w:cs="Calibri"/>
          <w:szCs w:val="22"/>
          <w:lang w:val="en-US"/>
        </w:rPr>
        <w:tab/>
        <w:t xml:space="preserve">    Now the </w:t>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values for the non-announcing firms should be computed. The non-announcing firms are the other firms in the same industry, in this example the group of non-announcing firms includes Pininfarina, Peugeot, Daimler-Chrysler, Volkswagen and Audi. The </w:t>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values for these non-announcing firms should be computed for the same windows as for the announcing firm, with the announcement date of the first announcer as day 0. The </w:t>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it</m:t>
            </m:r>
            <m:r>
              <w:rPr>
                <w:rFonts w:ascii="Cambria Math" w:hAnsi="Calibri" w:cs="Calibri"/>
                <w:szCs w:val="22"/>
                <w:lang w:val="en-US"/>
              </w:rPr>
              <m:t xml:space="preserve"> </m:t>
            </m:r>
          </m:sub>
        </m:sSub>
      </m:oMath>
      <w:r w:rsidRPr="009D3628">
        <w:rPr>
          <w:rFonts w:ascii="Calibri" w:hAnsi="Calibri" w:cs="Calibri"/>
          <w:szCs w:val="22"/>
          <w:lang w:val="en-US"/>
        </w:rPr>
        <w:t xml:space="preserve"> values for the non-announcing firms computed for the time windows (-11,-10) till (9,10) should be placed in the same category as the </w:t>
      </w:r>
      <m:oMath>
        <m:sSub>
          <m:sSubPr>
            <m:ctrlPr>
              <w:rPr>
                <w:rFonts w:ascii="Cambria Math" w:hAnsi="Calibri" w:cs="Calibri"/>
                <w:i/>
                <w:szCs w:val="22"/>
                <w:lang w:val="en-US"/>
              </w:rPr>
            </m:ctrlPr>
          </m:sSubPr>
          <m:e>
            <m:r>
              <w:rPr>
                <w:rFonts w:ascii="Cambria Math" w:hAnsi="Cambria Math" w:cs="Calibri"/>
                <w:szCs w:val="22"/>
                <w:lang w:val="en-US"/>
              </w:rPr>
              <m:t>X</m:t>
            </m:r>
          </m:e>
          <m:sub>
            <m:r>
              <w:rPr>
                <w:rFonts w:ascii="Cambria Math" w:hAnsi="Cambria Math" w:cs="Calibri"/>
                <w:szCs w:val="22"/>
                <w:lang w:val="en-US"/>
              </w:rPr>
              <m:t>i</m:t>
            </m:r>
            <m:r>
              <w:rPr>
                <w:rFonts w:ascii="Cambria Math" w:hAnsi="Cambria Math" w:cs="Calibri"/>
                <w:szCs w:val="22"/>
                <w:lang w:val="en-US"/>
              </w:rPr>
              <m:t>t</m:t>
            </m:r>
            <m:r>
              <w:rPr>
                <w:rFonts w:ascii="Cambria Math" w:hAnsi="Calibri" w:cs="Calibri"/>
                <w:szCs w:val="22"/>
                <w:lang w:val="en-US"/>
              </w:rPr>
              <m:t xml:space="preserve"> </m:t>
            </m:r>
          </m:sub>
        </m:sSub>
      </m:oMath>
      <w:r w:rsidRPr="009D3628">
        <w:rPr>
          <w:rFonts w:ascii="Calibri" w:hAnsi="Calibri" w:cs="Calibri"/>
          <w:szCs w:val="22"/>
          <w:lang w:val="en-US"/>
        </w:rPr>
        <w:t xml:space="preserve"> values of the first-announcing firm, so in this example in category D. </w:t>
      </w:r>
    </w:p>
    <w:p w:rsidR="00080E07" w:rsidRPr="009D3628" w:rsidRDefault="00080E07" w:rsidP="00080E07">
      <w:pPr>
        <w:pStyle w:val="000"/>
        <w:spacing w:line="360" w:lineRule="auto"/>
        <w:rPr>
          <w:rFonts w:ascii="Calibri" w:hAnsi="Calibri" w:cs="Calibri"/>
          <w:szCs w:val="22"/>
          <w:lang w:val="en-US"/>
        </w:rPr>
      </w:pPr>
    </w:p>
    <w:p w:rsidR="00080E07" w:rsidRPr="009D3628" w:rsidRDefault="00080E07" w:rsidP="00080E07">
      <w:pPr>
        <w:pStyle w:val="000"/>
        <w:spacing w:line="360" w:lineRule="auto"/>
        <w:rPr>
          <w:rFonts w:ascii="Calibri" w:hAnsi="Calibri" w:cs="Calibri"/>
          <w:szCs w:val="22"/>
          <w:lang w:val="en-US"/>
        </w:rPr>
      </w:pPr>
      <w:r w:rsidRPr="009D3628">
        <w:rPr>
          <w:rFonts w:ascii="Calibri" w:hAnsi="Calibri" w:cs="Calibri"/>
          <w:i/>
          <w:szCs w:val="22"/>
          <w:lang w:val="en-US"/>
        </w:rPr>
        <w:t>Step four:</w:t>
      </w:r>
      <w:r w:rsidRPr="009D3628">
        <w:rPr>
          <w:rFonts w:ascii="Calibri" w:hAnsi="Calibri" w:cs="Calibri"/>
          <w:i/>
          <w:szCs w:val="22"/>
          <w:lang w:val="en-US"/>
        </w:rPr>
        <w:tab/>
      </w:r>
      <w:r w:rsidRPr="009D3628">
        <w:rPr>
          <w:rFonts w:ascii="Calibri" w:hAnsi="Calibri" w:cs="Calibri"/>
          <w:szCs w:val="22"/>
          <w:lang w:val="en-US"/>
        </w:rPr>
        <w:t xml:space="preserve">Foster (1981) also includes a fourth step in his methodology where he also investigates the reaction on the earnings announcements of the other firms in the industry. He did  this by taking the firm which was the second announcer in the industry (in this example Pininfirina) and considers this firm as the first-announcer. Now steps two and three are repeated with Pininfirina as first-announcer and Fiat is included in the non-announcers group. </w:t>
      </w:r>
    </w:p>
    <w:p w:rsidR="00D72530" w:rsidRPr="009D3628" w:rsidRDefault="00080E07" w:rsidP="00D72530">
      <w:pPr>
        <w:pStyle w:val="000"/>
        <w:spacing w:line="360" w:lineRule="auto"/>
        <w:rPr>
          <w:rFonts w:ascii="Calibri" w:hAnsi="Calibri" w:cs="Calibri"/>
          <w:szCs w:val="22"/>
          <w:lang w:val="en-US"/>
        </w:rPr>
      </w:pPr>
      <w:r w:rsidRPr="009D3628">
        <w:rPr>
          <w:rFonts w:ascii="Calibri" w:hAnsi="Calibri" w:cs="Calibri"/>
          <w:szCs w:val="22"/>
          <w:lang w:val="en-US"/>
        </w:rPr>
        <w:t>After repeating steps two and three for the second-announcer, he considers the third announcer as first-announcer and again repeat</w:t>
      </w:r>
      <w:r w:rsidR="00082F63">
        <w:rPr>
          <w:rFonts w:ascii="Calibri" w:hAnsi="Calibri" w:cs="Calibri"/>
          <w:szCs w:val="22"/>
          <w:lang w:val="en-US"/>
        </w:rPr>
        <w:t>s</w:t>
      </w:r>
      <w:r w:rsidRPr="009D3628">
        <w:rPr>
          <w:rFonts w:ascii="Calibri" w:hAnsi="Calibri" w:cs="Calibri"/>
          <w:szCs w:val="22"/>
          <w:lang w:val="en-US"/>
        </w:rPr>
        <w:t xml:space="preserve"> steps two and three. Foster (1981) did this for every firm in the industry, so the impact of every earnings announcement is measured. I only focus on the impact of the earnings announcement of the first-announcer, because according to prior studies the information transfers from first announcements have stronger implications for earnings expectations of other firms in the same industry than subsequent announcements (e.g., Freeman and Tse, 1992; Ramnath, 2002; Kim and Li, 2010).</w:t>
      </w:r>
    </w:p>
    <w:p w:rsidR="00FD4CF2" w:rsidRPr="009D3628" w:rsidRDefault="00FD4CF2" w:rsidP="00D72530">
      <w:pPr>
        <w:pStyle w:val="000"/>
        <w:spacing w:line="360" w:lineRule="auto"/>
        <w:rPr>
          <w:rFonts w:ascii="Calibri" w:hAnsi="Calibri" w:cs="Calibri"/>
          <w:szCs w:val="22"/>
          <w:lang w:val="en-US"/>
        </w:rPr>
      </w:pPr>
    </w:p>
    <w:p w:rsidR="00FD4CF2" w:rsidRDefault="00FD4CF2" w:rsidP="00D72530">
      <w:pPr>
        <w:pStyle w:val="000"/>
        <w:spacing w:line="360" w:lineRule="auto"/>
        <w:rPr>
          <w:rFonts w:ascii="Calibri" w:hAnsi="Calibri" w:cs="Calibri"/>
          <w:szCs w:val="22"/>
          <w:lang w:val="en-US"/>
        </w:rPr>
      </w:pPr>
      <w:r w:rsidRPr="009D3628">
        <w:rPr>
          <w:rFonts w:ascii="Calibri" w:hAnsi="Calibri" w:cs="Calibri"/>
          <w:szCs w:val="22"/>
          <w:lang w:val="en-US"/>
        </w:rPr>
        <w:t>Steps one to four are walked through for all the industry-years over the 2001-2010 period for all the 11 GICS industries described in table 1.</w:t>
      </w:r>
    </w:p>
    <w:p w:rsidR="00726361" w:rsidRDefault="00726361" w:rsidP="00D72530">
      <w:pPr>
        <w:pStyle w:val="000"/>
        <w:spacing w:line="360" w:lineRule="auto"/>
        <w:rPr>
          <w:rFonts w:ascii="Calibri" w:hAnsi="Calibri" w:cs="Calibri"/>
          <w:szCs w:val="22"/>
          <w:lang w:val="en-US"/>
        </w:rPr>
      </w:pPr>
    </w:p>
    <w:p w:rsidR="00726361" w:rsidRPr="009B6B88" w:rsidRDefault="00726361" w:rsidP="00D72530">
      <w:pPr>
        <w:pStyle w:val="000"/>
        <w:spacing w:line="360" w:lineRule="auto"/>
        <w:rPr>
          <w:rFonts w:ascii="Calibri" w:hAnsi="Calibri" w:cs="Calibri"/>
          <w:szCs w:val="22"/>
          <w:lang w:val="en-US"/>
        </w:rPr>
      </w:pPr>
      <w:r>
        <w:rPr>
          <w:rFonts w:ascii="Calibri" w:hAnsi="Calibri" w:cs="Calibri"/>
          <w:szCs w:val="22"/>
          <w:lang w:val="en-US"/>
        </w:rPr>
        <w:t>The abnormal return variances calculated by the non-directional test are categorized in six groups. For every firm-year observation the abnormal return variances are calculated for the two-day event window (-1,0) and for ten two-day estimation windows surrounding the announcement date. The results of the non-directional test are presented in tables 3 and 4 and are further discussed in t</w:t>
      </w:r>
      <w:r w:rsidR="00082F63">
        <w:rPr>
          <w:rFonts w:ascii="Calibri" w:hAnsi="Calibri" w:cs="Calibri"/>
          <w:szCs w:val="22"/>
          <w:lang w:val="en-US"/>
        </w:rPr>
        <w:t>he following chapter. To test if</w:t>
      </w:r>
      <w:r>
        <w:rPr>
          <w:rFonts w:ascii="Calibri" w:hAnsi="Calibri" w:cs="Calibri"/>
          <w:szCs w:val="22"/>
          <w:lang w:val="en-US"/>
        </w:rPr>
        <w:t xml:space="preserve"> these abnormal return variances are normally distributed a Kolmogorov-Smirnov test is performed. </w:t>
      </w:r>
      <w:r w:rsidR="00106E68">
        <w:rPr>
          <w:rFonts w:ascii="Calibri" w:hAnsi="Calibri" w:cs="Calibri"/>
          <w:szCs w:val="22"/>
          <w:lang w:val="en-US"/>
        </w:rPr>
        <w:t>This test is used to examine the distribution of X</w:t>
      </w:r>
      <w:r w:rsidR="00106E68">
        <w:rPr>
          <w:rFonts w:ascii="Calibri" w:hAnsi="Calibri" w:cs="Calibri"/>
          <w:szCs w:val="22"/>
          <w:vertAlign w:val="subscript"/>
          <w:lang w:val="en-US"/>
        </w:rPr>
        <w:t xml:space="preserve">it </w:t>
      </w:r>
      <w:r w:rsidR="00106E68">
        <w:rPr>
          <w:rFonts w:ascii="Calibri" w:hAnsi="Calibri" w:cs="Calibri"/>
          <w:szCs w:val="22"/>
          <w:lang w:val="en-US"/>
        </w:rPr>
        <w:t xml:space="preserve">at the (-1,0) event date compared with the surrounding two-day trading periods. </w:t>
      </w:r>
      <w:r w:rsidR="009B6B88">
        <w:rPr>
          <w:rFonts w:ascii="Calibri" w:hAnsi="Calibri" w:cs="Calibri"/>
          <w:szCs w:val="22"/>
          <w:lang w:val="en-US"/>
        </w:rPr>
        <w:t>At the end a Spearman rank correlation test is performed. This test investigates if there is a correlation between the average abnormal return variances (X</w:t>
      </w:r>
      <w:r w:rsidR="009B6B88">
        <w:rPr>
          <w:rFonts w:ascii="Calibri" w:hAnsi="Calibri" w:cs="Calibri"/>
          <w:szCs w:val="22"/>
          <w:vertAlign w:val="subscript"/>
          <w:lang w:val="en-US"/>
        </w:rPr>
        <w:t>it</w:t>
      </w:r>
      <w:r w:rsidR="009B6B88">
        <w:rPr>
          <w:rFonts w:ascii="Calibri" w:hAnsi="Calibri" w:cs="Calibri"/>
          <w:szCs w:val="22"/>
          <w:lang w:val="en-US"/>
        </w:rPr>
        <w:t>) of the announcing firms and the X</w:t>
      </w:r>
      <w:r w:rsidR="009B6B88">
        <w:rPr>
          <w:rFonts w:ascii="Calibri" w:hAnsi="Calibri" w:cs="Calibri"/>
          <w:szCs w:val="22"/>
          <w:vertAlign w:val="subscript"/>
          <w:lang w:val="en-US"/>
        </w:rPr>
        <w:t xml:space="preserve">it </w:t>
      </w:r>
      <w:r w:rsidR="009B6B88">
        <w:rPr>
          <w:rFonts w:ascii="Calibri" w:hAnsi="Calibri" w:cs="Calibri"/>
          <w:szCs w:val="22"/>
          <w:lang w:val="en-US"/>
        </w:rPr>
        <w:t xml:space="preserve">values of the non-announcing firms, both in the (-1,0) event window. If the results of the Spearman rank correlation test are significant this implies that intra-industry information transfer occurs and that one determinant of their magnitude is the impact of the announcing firm’s release on its own share price. The Kolmogorov-Smirnov test and the Spearman rank correlation test are further described in the next chapter, where the results of this study are presented. </w:t>
      </w:r>
    </w:p>
    <w:p w:rsidR="00D72530" w:rsidRPr="009D3628" w:rsidRDefault="00D72530" w:rsidP="00D72530">
      <w:pPr>
        <w:pStyle w:val="000"/>
        <w:spacing w:line="360" w:lineRule="auto"/>
        <w:rPr>
          <w:rFonts w:ascii="Calibri" w:hAnsi="Calibri" w:cs="Calibri"/>
          <w:szCs w:val="22"/>
          <w:lang w:val="en-US"/>
        </w:rPr>
      </w:pPr>
    </w:p>
    <w:p w:rsidR="00D72530" w:rsidRPr="00156CD7" w:rsidRDefault="00156CD7" w:rsidP="00156CD7">
      <w:pPr>
        <w:pStyle w:val="Kop2"/>
        <w:rPr>
          <w:rFonts w:asciiTheme="minorHAnsi" w:hAnsiTheme="minorHAnsi" w:cstheme="minorHAnsi"/>
          <w:lang w:val="en-US"/>
        </w:rPr>
      </w:pPr>
      <w:bookmarkStart w:id="21" w:name="_Toc331518367"/>
      <w:r w:rsidRPr="00156CD7">
        <w:rPr>
          <w:rFonts w:asciiTheme="minorHAnsi" w:hAnsiTheme="minorHAnsi" w:cstheme="minorHAnsi"/>
          <w:lang w:val="en-US"/>
        </w:rPr>
        <w:t>Summary</w:t>
      </w:r>
      <w:bookmarkEnd w:id="21"/>
    </w:p>
    <w:p w:rsidR="00156CD7" w:rsidRDefault="00156CD7" w:rsidP="00156CD7">
      <w:pPr>
        <w:pStyle w:val="000"/>
        <w:rPr>
          <w:lang w:val="en-US"/>
        </w:rPr>
      </w:pPr>
    </w:p>
    <w:p w:rsidR="00D72530" w:rsidRPr="00CD3B9E" w:rsidRDefault="00753986" w:rsidP="00D72530">
      <w:pPr>
        <w:pStyle w:val="000"/>
        <w:spacing w:line="360" w:lineRule="auto"/>
        <w:rPr>
          <w:rFonts w:asciiTheme="minorHAnsi" w:hAnsiTheme="minorHAnsi" w:cstheme="minorHAnsi"/>
          <w:lang w:val="en-US"/>
        </w:rPr>
      </w:pPr>
      <w:r>
        <w:rPr>
          <w:rFonts w:asciiTheme="minorHAnsi" w:hAnsiTheme="minorHAnsi" w:cstheme="minorHAnsi"/>
          <w:lang w:val="en-US"/>
        </w:rPr>
        <w:t xml:space="preserve">In this chapter the methodology used to measure intra-industry information transfer is described. First a datastream event study is performed for both the ‘announcing’ group of firms and the ‘non-announcing’ group of firms. </w:t>
      </w:r>
      <w:r w:rsidR="00CF773F">
        <w:rPr>
          <w:rFonts w:asciiTheme="minorHAnsi" w:hAnsiTheme="minorHAnsi" w:cstheme="minorHAnsi"/>
          <w:lang w:val="en-US"/>
        </w:rPr>
        <w:t xml:space="preserve">The abnormal return values derived from the event study are then used to calculate the abnormal return variance. This is the amount of abnormal return surrounding the announcement date compared to the abnormal return in ‘non-announcing’ periods. A higher abnormal return variance indicates greater intra-industry information transfer. </w:t>
      </w:r>
      <w:r w:rsidR="00997C75">
        <w:rPr>
          <w:rFonts w:asciiTheme="minorHAnsi" w:hAnsiTheme="minorHAnsi" w:cstheme="minorHAnsi"/>
          <w:lang w:val="en-US"/>
        </w:rPr>
        <w:t xml:space="preserve">These abnormal return variances are categorized in the non-directional test. The results of the non-directional test contain the average abnormal return variances calculated for the event window (-1,0) and the surrounding estimation windows ranging from (-11,-10) till (9,10). These average abnormal return variances are tested on normality by performing a Kolmogorov-Smirnov test. At the end a Spearman rank correlation between the average abnormal return variances of the ‘announcing’ group of firms and the ‘non-announcing’ group of firms is performed. These test captures cross-sectional correlations in the abnormal returns of securities in the same industry (Foster, 1981). </w:t>
      </w:r>
      <w:r w:rsidR="00250C6B">
        <w:rPr>
          <w:rFonts w:asciiTheme="minorHAnsi" w:hAnsiTheme="minorHAnsi" w:cstheme="minorHAnsi"/>
          <w:lang w:val="en-US"/>
        </w:rPr>
        <w:t xml:space="preserve">Results of these tests are discussed in the following chapter. </w:t>
      </w:r>
    </w:p>
    <w:p w:rsidR="00D72530" w:rsidRPr="009D3628" w:rsidRDefault="00D72530" w:rsidP="00D72530">
      <w:pPr>
        <w:pStyle w:val="000"/>
        <w:spacing w:line="360" w:lineRule="auto"/>
        <w:rPr>
          <w:rFonts w:ascii="Calibri" w:hAnsi="Calibri" w:cs="Calibri"/>
          <w:szCs w:val="22"/>
          <w:lang w:val="en-US"/>
        </w:rPr>
      </w:pPr>
    </w:p>
    <w:p w:rsidR="00BA16D1" w:rsidRPr="009D3628" w:rsidRDefault="00BA16D1" w:rsidP="00365D2A">
      <w:pPr>
        <w:pStyle w:val="Kop1"/>
        <w:spacing w:line="360" w:lineRule="auto"/>
        <w:rPr>
          <w:rFonts w:ascii="Calibri" w:hAnsi="Calibri" w:cs="Calibri"/>
          <w:lang w:val="en-US"/>
        </w:rPr>
      </w:pPr>
      <w:bookmarkStart w:id="22" w:name="_Toc331518368"/>
      <w:r w:rsidRPr="009D3628">
        <w:rPr>
          <w:rFonts w:ascii="Calibri" w:hAnsi="Calibri" w:cs="Calibri"/>
          <w:lang w:val="en-US"/>
        </w:rPr>
        <w:lastRenderedPageBreak/>
        <w:t>Results</w:t>
      </w:r>
      <w:bookmarkEnd w:id="22"/>
    </w:p>
    <w:p w:rsidR="00BA16D1" w:rsidRPr="009D3628" w:rsidRDefault="00BA16D1" w:rsidP="00365D2A">
      <w:pPr>
        <w:pStyle w:val="Kop2"/>
        <w:spacing w:line="360" w:lineRule="auto"/>
        <w:rPr>
          <w:rFonts w:ascii="Calibri" w:hAnsi="Calibri" w:cs="Calibri"/>
          <w:lang w:val="en-US"/>
        </w:rPr>
      </w:pPr>
      <w:bookmarkStart w:id="23" w:name="_Toc331518369"/>
      <w:r w:rsidRPr="009D3628">
        <w:rPr>
          <w:rFonts w:ascii="Calibri" w:hAnsi="Calibri" w:cs="Calibri"/>
          <w:lang w:val="en-US"/>
        </w:rPr>
        <w:t>Introduction</w:t>
      </w:r>
      <w:bookmarkEnd w:id="23"/>
    </w:p>
    <w:p w:rsidR="006E2D2A" w:rsidRPr="009D3628" w:rsidRDefault="003E23BA" w:rsidP="00365D2A">
      <w:pPr>
        <w:pStyle w:val="000"/>
        <w:spacing w:line="360" w:lineRule="auto"/>
        <w:rPr>
          <w:rFonts w:ascii="Calibri" w:hAnsi="Calibri" w:cs="Calibri"/>
          <w:szCs w:val="22"/>
          <w:lang w:val="en-US"/>
        </w:rPr>
      </w:pPr>
      <w:r w:rsidRPr="009D3628">
        <w:rPr>
          <w:rFonts w:ascii="Calibri" w:hAnsi="Calibri" w:cs="Calibri"/>
          <w:szCs w:val="22"/>
          <w:lang w:val="en-US"/>
        </w:rPr>
        <w:t xml:space="preserve">In this section the results of the non-directional test are presented. The </w:t>
      </w:r>
      <w:r w:rsidR="00365D2A" w:rsidRPr="009D3628">
        <w:rPr>
          <w:rFonts w:ascii="Calibri" w:hAnsi="Calibri" w:cs="Calibri"/>
          <w:szCs w:val="22"/>
          <w:lang w:val="en-US"/>
        </w:rPr>
        <w:t>sample of this study consist</w:t>
      </w:r>
      <w:r w:rsidR="00082F63">
        <w:rPr>
          <w:rFonts w:ascii="Calibri" w:hAnsi="Calibri" w:cs="Calibri"/>
          <w:szCs w:val="22"/>
          <w:lang w:val="en-US"/>
        </w:rPr>
        <w:t>s</w:t>
      </w:r>
      <w:r w:rsidR="00365D2A" w:rsidRPr="009D3628">
        <w:rPr>
          <w:rFonts w:ascii="Calibri" w:hAnsi="Calibri" w:cs="Calibri"/>
          <w:szCs w:val="22"/>
          <w:lang w:val="en-US"/>
        </w:rPr>
        <w:t xml:space="preserve"> of two parts. I consider the period 2001-2004 as the pre-IFRS period and the years 2005 till 2010 are considered as the post-IFRS period. To test if the magnitude of intra-industry information transfer has increased after the implementation of IFRS, the results of both sample periods will be compared to each other. </w:t>
      </w:r>
    </w:p>
    <w:p w:rsidR="00365D2A" w:rsidRPr="009D3628" w:rsidRDefault="00365D2A" w:rsidP="00365D2A">
      <w:pPr>
        <w:pStyle w:val="000"/>
        <w:spacing w:line="360" w:lineRule="auto"/>
        <w:rPr>
          <w:rFonts w:ascii="Calibri" w:hAnsi="Calibri" w:cs="Calibri"/>
          <w:szCs w:val="22"/>
          <w:lang w:val="en-US"/>
        </w:rPr>
      </w:pPr>
    </w:p>
    <w:p w:rsidR="00365D2A" w:rsidRPr="009D3628" w:rsidRDefault="00365D2A" w:rsidP="00365D2A">
      <w:pPr>
        <w:pStyle w:val="Kop2"/>
        <w:spacing w:line="360" w:lineRule="auto"/>
        <w:rPr>
          <w:rFonts w:ascii="Calibri" w:hAnsi="Calibri" w:cs="Calibri"/>
          <w:lang w:val="en-US"/>
        </w:rPr>
      </w:pPr>
      <w:bookmarkStart w:id="24" w:name="_Toc331518370"/>
      <w:r w:rsidRPr="009D3628">
        <w:rPr>
          <w:rFonts w:ascii="Calibri" w:hAnsi="Calibri" w:cs="Calibri"/>
          <w:lang w:val="en-US"/>
        </w:rPr>
        <w:t>Results non-directional residual test</w:t>
      </w:r>
      <w:bookmarkEnd w:id="24"/>
    </w:p>
    <w:p w:rsidR="00365D2A" w:rsidRPr="009D3628" w:rsidRDefault="00365D2A" w:rsidP="00365D2A">
      <w:pPr>
        <w:pStyle w:val="000"/>
        <w:spacing w:line="360" w:lineRule="auto"/>
        <w:rPr>
          <w:rFonts w:ascii="Calibri" w:hAnsi="Calibri" w:cs="Calibri"/>
          <w:lang w:val="en-US"/>
        </w:rPr>
      </w:pPr>
      <w:r w:rsidRPr="009D3628">
        <w:rPr>
          <w:rFonts w:ascii="Calibri" w:hAnsi="Calibri" w:cs="Calibri"/>
          <w:lang w:val="en-US"/>
        </w:rPr>
        <w:t xml:space="preserve">The non-directional residual test investigates the </w:t>
      </w:r>
      <w:r w:rsidR="007C7453" w:rsidRPr="009D3628">
        <w:rPr>
          <w:rFonts w:ascii="Calibri" w:hAnsi="Calibri" w:cs="Calibri"/>
          <w:lang w:val="en-US"/>
        </w:rPr>
        <w:t>abnormal return volatility of firms stock prices surrounding an earnings announcement. The abnormal return volatility of a firm’s stock is computed by the following formula:</w:t>
      </w:r>
    </w:p>
    <w:p w:rsidR="006E2D2A" w:rsidRPr="009D3628" w:rsidRDefault="006E2D2A" w:rsidP="00365D2A">
      <w:pPr>
        <w:pStyle w:val="000"/>
        <w:spacing w:line="360" w:lineRule="auto"/>
        <w:rPr>
          <w:rFonts w:ascii="Calibri" w:hAnsi="Calibri" w:cs="Calibri"/>
          <w:szCs w:val="22"/>
          <w:lang w:val="en-US"/>
        </w:rPr>
      </w:pPr>
    </w:p>
    <w:p w:rsidR="007C7453" w:rsidRPr="009D3628" w:rsidRDefault="00E43D28" w:rsidP="007C7453">
      <w:pPr>
        <w:spacing w:line="360" w:lineRule="auto"/>
        <w:rPr>
          <w:rFonts w:ascii="Calibri" w:hAnsi="Calibri" w:cs="Calibri"/>
          <w:lang w:val="en-US"/>
        </w:rPr>
      </w:pPr>
      <m:oMathPara>
        <m:oMath>
          <m:sSub>
            <m:sSubPr>
              <m:ctrlPr>
                <w:rPr>
                  <w:rFonts w:ascii="Cambria Math" w:hAnsi="Calibri" w:cs="Calibri"/>
                  <w:i/>
                  <w:lang w:val="en-US"/>
                </w:rPr>
              </m:ctrlPr>
            </m:sSubPr>
            <m:e>
              <m:r>
                <w:rPr>
                  <w:rFonts w:ascii="Cambria Math" w:hAnsi="Cambria Math" w:cs="Calibri"/>
                  <w:lang w:val="en-US"/>
                </w:rPr>
                <m:t>X</m:t>
              </m:r>
            </m:e>
            <m:sub>
              <m:r>
                <w:rPr>
                  <w:rFonts w:ascii="Cambria Math" w:hAnsi="Cambria Math" w:cs="Calibri"/>
                  <w:lang w:val="en-US"/>
                </w:rPr>
                <m:t>it</m:t>
              </m:r>
              <m:r>
                <w:rPr>
                  <w:rFonts w:ascii="Cambria Math" w:hAnsi="Calibri" w:cs="Calibri"/>
                  <w:lang w:val="en-US"/>
                </w:rPr>
                <m:t xml:space="preserve"> </m:t>
              </m:r>
            </m:sub>
          </m:sSub>
          <m:r>
            <w:rPr>
              <w:rFonts w:ascii="Cambria Math" w:hAnsi="Calibri" w:cs="Calibri"/>
              <w:lang w:val="en-US"/>
            </w:rPr>
            <m:t>=</m:t>
          </m:r>
          <m:f>
            <m:fPr>
              <m:ctrlPr>
                <w:rPr>
                  <w:rFonts w:ascii="Cambria Math" w:hAnsi="Calibri" w:cs="Calibri"/>
                  <w:i/>
                  <w:lang w:val="en-US"/>
                </w:rPr>
              </m:ctrlPr>
            </m:fPr>
            <m:num>
              <m:sSup>
                <m:sSupPr>
                  <m:ctrlPr>
                    <w:rPr>
                      <w:rFonts w:ascii="Cambria Math" w:hAnsi="Calibri" w:cs="Calibri"/>
                      <w:i/>
                      <w:lang w:val="en-US"/>
                    </w:rPr>
                  </m:ctrlPr>
                </m:sSupPr>
                <m:e>
                  <m:d>
                    <m:dPr>
                      <m:ctrlPr>
                        <w:rPr>
                          <w:rFonts w:ascii="Cambria Math" w:hAnsi="Calibri" w:cs="Calibri"/>
                          <w:i/>
                          <w:lang w:val="en-US"/>
                        </w:rPr>
                      </m:ctrlPr>
                    </m:dPr>
                    <m:e>
                      <m:sSub>
                        <m:sSubPr>
                          <m:ctrlPr>
                            <w:rPr>
                              <w:rFonts w:ascii="Cambria Math" w:hAnsi="Calibri" w:cs="Calibri"/>
                              <w:i/>
                              <w:lang w:val="en-US"/>
                            </w:rPr>
                          </m:ctrlPr>
                        </m:sSubPr>
                        <m:e>
                          <m:r>
                            <w:rPr>
                              <w:rFonts w:ascii="Cambria Math" w:hAnsi="Cambria Math" w:cs="Calibri"/>
                              <w:lang w:val="en-US"/>
                            </w:rPr>
                            <m:t>U</m:t>
                          </m:r>
                        </m:e>
                        <m:sub>
                          <m:r>
                            <w:rPr>
                              <w:rFonts w:ascii="Cambria Math" w:hAnsi="Cambria Math" w:cs="Calibri"/>
                              <w:lang w:val="en-US"/>
                            </w:rPr>
                            <m:t>it</m:t>
                          </m:r>
                        </m:sub>
                      </m:sSub>
                    </m:e>
                  </m:d>
                </m:e>
                <m:sup>
                  <m:r>
                    <w:rPr>
                      <w:rFonts w:ascii="Cambria Math" w:hAnsi="Calibri" w:cs="Calibri"/>
                      <w:lang w:val="en-US"/>
                    </w:rPr>
                    <m:t>2</m:t>
                  </m:r>
                </m:sup>
              </m:sSup>
            </m:num>
            <m:den>
              <m:sSup>
                <m:sSupPr>
                  <m:ctrlPr>
                    <w:rPr>
                      <w:rFonts w:ascii="Cambria Math" w:hAnsi="Calibri" w:cs="Calibri"/>
                      <w:i/>
                      <w:lang w:val="en-US"/>
                    </w:rPr>
                  </m:ctrlPr>
                </m:sSupPr>
                <m:e>
                  <m:r>
                    <w:rPr>
                      <w:rFonts w:ascii="Cambria Math" w:hAnsi="Cambria Math" w:cs="Calibri"/>
                      <w:lang w:val="en-US"/>
                    </w:rPr>
                    <m:t>σ</m:t>
                  </m:r>
                </m:e>
                <m:sup>
                  <m:r>
                    <w:rPr>
                      <w:rFonts w:ascii="Cambria Math" w:hAnsi="Calibri" w:cs="Calibri"/>
                      <w:lang w:val="en-US"/>
                    </w:rPr>
                    <m:t>2</m:t>
                  </m:r>
                </m:sup>
              </m:sSup>
              <m:r>
                <w:rPr>
                  <w:rFonts w:ascii="Cambria Math" w:hAnsi="Calibri" w:cs="Calibri"/>
                  <w:lang w:val="en-US"/>
                </w:rPr>
                <m:t>(</m:t>
              </m:r>
              <m:sSub>
                <m:sSubPr>
                  <m:ctrlPr>
                    <w:rPr>
                      <w:rFonts w:ascii="Cambria Math" w:hAnsi="Calibri" w:cs="Calibri"/>
                      <w:i/>
                      <w:lang w:val="en-US"/>
                    </w:rPr>
                  </m:ctrlPr>
                </m:sSubPr>
                <m:e>
                  <m:r>
                    <w:rPr>
                      <w:rFonts w:ascii="Cambria Math" w:hAnsi="Cambria Math" w:cs="Calibri"/>
                      <w:lang w:val="en-US"/>
                    </w:rPr>
                    <m:t>U</m:t>
                  </m:r>
                </m:e>
                <m:sub>
                  <m:r>
                    <w:rPr>
                      <w:rFonts w:ascii="Cambria Math" w:hAnsi="Cambria Math" w:cs="Calibri"/>
                      <w:lang w:val="en-US"/>
                    </w:rPr>
                    <m:t>it</m:t>
                  </m:r>
                </m:sub>
              </m:sSub>
              <m:r>
                <w:rPr>
                  <w:rFonts w:ascii="Cambria Math" w:hAnsi="Calibri" w:cs="Calibri"/>
                  <w:lang w:val="en-US"/>
                </w:rPr>
                <m:t xml:space="preserve">) </m:t>
              </m:r>
            </m:den>
          </m:f>
        </m:oMath>
      </m:oMathPara>
    </w:p>
    <w:p w:rsidR="006E2D2A" w:rsidRPr="009D3628" w:rsidRDefault="006E2D2A" w:rsidP="00365D2A">
      <w:pPr>
        <w:pStyle w:val="000"/>
        <w:spacing w:line="360" w:lineRule="auto"/>
        <w:rPr>
          <w:rFonts w:ascii="Calibri" w:hAnsi="Calibri" w:cs="Calibri"/>
          <w:szCs w:val="22"/>
          <w:lang w:val="en-US"/>
        </w:rPr>
      </w:pPr>
    </w:p>
    <w:p w:rsidR="007C7453" w:rsidRPr="009D3628" w:rsidRDefault="007C7453" w:rsidP="00365D2A">
      <w:pPr>
        <w:pStyle w:val="000"/>
        <w:spacing w:line="360" w:lineRule="auto"/>
        <w:rPr>
          <w:rFonts w:ascii="Calibri" w:hAnsi="Calibri" w:cs="Calibri"/>
          <w:lang w:val="en-US"/>
        </w:rPr>
      </w:pPr>
      <w:r w:rsidRPr="009D3628">
        <w:rPr>
          <w:rFonts w:ascii="Calibri" w:hAnsi="Calibri" w:cs="Calibri"/>
          <w:szCs w:val="22"/>
          <w:lang w:val="en-US"/>
        </w:rPr>
        <w:t xml:space="preserve">The results pertaining to the behavior of </w:t>
      </w:r>
      <m:oMath>
        <m:sSub>
          <m:sSubPr>
            <m:ctrlPr>
              <w:rPr>
                <w:rFonts w:ascii="Cambria Math" w:hAnsi="Calibri" w:cs="Calibri"/>
                <w:i/>
                <w:lang w:val="en-US"/>
              </w:rPr>
            </m:ctrlPr>
          </m:sSubPr>
          <m:e>
            <m:r>
              <w:rPr>
                <w:rFonts w:ascii="Cambria Math" w:hAnsi="Cambria Math" w:cs="Calibri"/>
                <w:lang w:val="en-US"/>
              </w:rPr>
              <m:t>X</m:t>
            </m:r>
          </m:e>
          <m:sub>
            <m:r>
              <w:rPr>
                <w:rFonts w:ascii="Cambria Math" w:hAnsi="Cambria Math" w:cs="Calibri"/>
                <w:lang w:val="en-US"/>
              </w:rPr>
              <m:t>it</m:t>
            </m:r>
            <m:r>
              <w:rPr>
                <w:rFonts w:ascii="Cambria Math" w:hAnsi="Calibri" w:cs="Calibri"/>
                <w:lang w:val="en-US"/>
              </w:rPr>
              <m:t xml:space="preserve"> </m:t>
            </m:r>
          </m:sub>
        </m:sSub>
      </m:oMath>
      <w:r w:rsidRPr="009D3628">
        <w:rPr>
          <w:rFonts w:ascii="Calibri" w:hAnsi="Calibri" w:cs="Calibri"/>
          <w:lang w:val="en-US"/>
        </w:rPr>
        <w:t xml:space="preserve"> are calculated for the announcing firms and the non-announcing firms separately. The results for the pre-IFRS period</w:t>
      </w:r>
      <w:r w:rsidR="009D3628">
        <w:rPr>
          <w:rFonts w:ascii="Calibri" w:hAnsi="Calibri" w:cs="Calibri"/>
          <w:lang w:val="en-US"/>
        </w:rPr>
        <w:t xml:space="preserve"> (2001-2004)</w:t>
      </w:r>
      <w:r w:rsidRPr="009D3628">
        <w:rPr>
          <w:rFonts w:ascii="Calibri" w:hAnsi="Calibri" w:cs="Calibri"/>
          <w:lang w:val="en-US"/>
        </w:rPr>
        <w:t xml:space="preserve"> are presented in table 3, and the results for the post-IFRS period </w:t>
      </w:r>
      <w:r w:rsidR="009D3628">
        <w:rPr>
          <w:rFonts w:ascii="Calibri" w:hAnsi="Calibri" w:cs="Calibri"/>
          <w:lang w:val="en-US"/>
        </w:rPr>
        <w:t xml:space="preserve">(2005-2010) </w:t>
      </w:r>
      <w:r w:rsidRPr="009D3628">
        <w:rPr>
          <w:rFonts w:ascii="Calibri" w:hAnsi="Calibri" w:cs="Calibri"/>
          <w:lang w:val="en-US"/>
        </w:rPr>
        <w:t xml:space="preserve">in table 4. </w:t>
      </w:r>
    </w:p>
    <w:p w:rsidR="007C7453" w:rsidRPr="009D3628" w:rsidRDefault="007C7453" w:rsidP="007C7453">
      <w:pPr>
        <w:pStyle w:val="Tabletitle"/>
        <w:rPr>
          <w:rFonts w:ascii="Calibri" w:hAnsi="Calibri" w:cs="Calibri"/>
          <w:sz w:val="22"/>
          <w:szCs w:val="22"/>
          <w:lang w:val="en-US"/>
        </w:rPr>
      </w:pPr>
      <w:r w:rsidRPr="009D3628">
        <w:rPr>
          <w:rFonts w:ascii="Calibri" w:hAnsi="Calibri" w:cs="Calibri"/>
          <w:sz w:val="22"/>
          <w:szCs w:val="22"/>
          <w:lang w:val="en-US"/>
        </w:rPr>
        <w:t>Table 3: Non-directional test of ‘abnormal returns’ surrounding the announcement date of the announcing firm; average X</w:t>
      </w:r>
      <w:r w:rsidRPr="009D3628">
        <w:rPr>
          <w:rFonts w:ascii="Calibri" w:hAnsi="Calibri" w:cs="Calibri"/>
          <w:sz w:val="22"/>
          <w:szCs w:val="22"/>
          <w:vertAlign w:val="subscript"/>
          <w:lang w:val="en-US"/>
        </w:rPr>
        <w:t xml:space="preserve">it </w:t>
      </w:r>
      <w:r w:rsidRPr="009D3628">
        <w:rPr>
          <w:rFonts w:ascii="Calibri" w:hAnsi="Calibri" w:cs="Calibri"/>
          <w:sz w:val="22"/>
          <w:szCs w:val="22"/>
          <w:lang w:val="en-US"/>
        </w:rPr>
        <w:t>for single release observations of GICS industry for the PRE-IFRS period sample (2001-2004).</w:t>
      </w:r>
      <w:r w:rsidR="00650F54">
        <w:rPr>
          <w:rFonts w:ascii="Calibri" w:hAnsi="Calibri" w:cs="Calibri"/>
          <w:sz w:val="22"/>
          <w:szCs w:val="22"/>
          <w:vertAlign w:val="superscript"/>
          <w:lang w:val="en-US"/>
        </w:rPr>
        <w:t>a</w:t>
      </w:r>
      <w:r w:rsidRPr="009D3628">
        <w:rPr>
          <w:rFonts w:ascii="Calibri" w:hAnsi="Calibri" w:cs="Calibri"/>
          <w:sz w:val="22"/>
          <w:szCs w:val="22"/>
          <w:lang w:val="en-US"/>
        </w:rPr>
        <w:t xml:space="preserve"> </w:t>
      </w:r>
    </w:p>
    <w:p w:rsidR="007C7453" w:rsidRPr="009D3628" w:rsidRDefault="007C7453" w:rsidP="007C7453">
      <w:pPr>
        <w:pStyle w:val="Tabletext"/>
        <w:rPr>
          <w:rFonts w:ascii="Calibri" w:hAnsi="Calibri" w:cs="Calibri"/>
          <w:i/>
          <w:lang w:val="en-US"/>
        </w:rPr>
      </w:pPr>
      <w:r w:rsidRPr="009D3628">
        <w:rPr>
          <w:rFonts w:ascii="Calibri" w:hAnsi="Calibri" w:cs="Calibri"/>
          <w:i/>
          <w:lang w:val="en-US"/>
        </w:rPr>
        <w:t>Panel 1: Announcing firms</w:t>
      </w:r>
    </w:p>
    <w:p w:rsidR="007C7453" w:rsidRPr="009D3628" w:rsidRDefault="007C7453" w:rsidP="007C7453">
      <w:pPr>
        <w:pStyle w:val="Tabletext"/>
        <w:rPr>
          <w:rFonts w:ascii="Calibri" w:hAnsi="Calibri" w:cs="Calibri"/>
          <w:lang w:val="en-US"/>
        </w:rPr>
      </w:pPr>
    </w:p>
    <w:tbl>
      <w:tblPr>
        <w:tblStyle w:val="Tabelraster"/>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1350"/>
        <w:gridCol w:w="1169"/>
        <w:gridCol w:w="1132"/>
        <w:gridCol w:w="1134"/>
        <w:gridCol w:w="1086"/>
        <w:gridCol w:w="1042"/>
        <w:gridCol w:w="1134"/>
        <w:gridCol w:w="1581"/>
      </w:tblGrid>
      <w:tr w:rsidR="007C7453" w:rsidRPr="00186C61" w:rsidTr="009D3628">
        <w:trPr>
          <w:trHeight w:val="154"/>
        </w:trPr>
        <w:tc>
          <w:tcPr>
            <w:tcW w:w="701"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Event time</w:t>
            </w:r>
          </w:p>
        </w:tc>
        <w:tc>
          <w:tcPr>
            <w:tcW w:w="607"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A:</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&gt; 6</w:t>
            </w:r>
          </w:p>
        </w:tc>
        <w:tc>
          <w:tcPr>
            <w:tcW w:w="588"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B:</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4-6</w:t>
            </w:r>
          </w:p>
        </w:tc>
        <w:tc>
          <w:tcPr>
            <w:tcW w:w="589"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C:</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3-4</w:t>
            </w:r>
          </w:p>
        </w:tc>
        <w:tc>
          <w:tcPr>
            <w:tcW w:w="564"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D:</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2-3</w:t>
            </w:r>
          </w:p>
        </w:tc>
        <w:tc>
          <w:tcPr>
            <w:tcW w:w="541"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E:</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1-2</w:t>
            </w:r>
          </w:p>
        </w:tc>
        <w:tc>
          <w:tcPr>
            <w:tcW w:w="589"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F:</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0-1</w:t>
            </w:r>
          </w:p>
        </w:tc>
        <w:tc>
          <w:tcPr>
            <w:tcW w:w="821"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Groups A-F: full sample</w:t>
            </w:r>
          </w:p>
        </w:tc>
      </w:tr>
      <w:tr w:rsidR="007C7453" w:rsidRPr="009D3628" w:rsidTr="009D3628">
        <w:trPr>
          <w:trHeight w:val="255"/>
        </w:trPr>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(-11,-10)</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2,28</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0,04</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0,70</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2,10</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0,42</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1,00</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1,21</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(-9,-8)</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5,44</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2,01</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0,06</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0,23</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0,02</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0,13</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0,78</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(-7,-6)</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1,49</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0,24</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0,00</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6,59</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0,04</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0,89</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1,73</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(-5,-4)</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0,66</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0,85</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0,05</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7,10</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0,16</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1,25</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1,98</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(-3,-2)</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2,50</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2,37</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0,11</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2,96</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0,11</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1,49</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1,76</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(--1,0)</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8,19</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5,68</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3,76</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2,42</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1,22</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0,22</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1,80</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(1,2)</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2,40</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8,59</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0,00</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0,59</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0,59</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3,50</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2,96</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lastRenderedPageBreak/>
              <w:t>X (3,4)</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1,76</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0,93</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0,22</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1,74</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0,08</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0,91</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1,06</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(5,6)</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0,79</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3,42</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0,33</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0,30</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0,71</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1,72</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1,40</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(7,8)</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5,35</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2,15</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1,29</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0,13</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1,26</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1,37</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1,62</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(9,10)</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2,59</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0,92</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0,98</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1,41</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0,21</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1,01</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1,19</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Number of observations</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4</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6</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24</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39</w:t>
            </w:r>
          </w:p>
        </w:tc>
      </w:tr>
    </w:tbl>
    <w:p w:rsidR="007C7453" w:rsidRPr="00650F54" w:rsidRDefault="007C7453" w:rsidP="007C7453">
      <w:pPr>
        <w:pStyle w:val="000"/>
        <w:rPr>
          <w:rFonts w:ascii="Calibri" w:hAnsi="Calibri" w:cs="Calibri"/>
          <w:lang w:val="en-US"/>
        </w:rPr>
      </w:pPr>
    </w:p>
    <w:p w:rsidR="007C7453" w:rsidRPr="009D3628" w:rsidRDefault="007C7453" w:rsidP="007C7453">
      <w:pPr>
        <w:pStyle w:val="000"/>
        <w:rPr>
          <w:rFonts w:ascii="Calibri" w:hAnsi="Calibri" w:cs="Calibri"/>
          <w:i/>
          <w:sz w:val="20"/>
          <w:lang w:val="en-US"/>
        </w:rPr>
      </w:pPr>
      <w:r w:rsidRPr="009D3628">
        <w:rPr>
          <w:rFonts w:ascii="Calibri" w:hAnsi="Calibri" w:cs="Calibri"/>
          <w:i/>
          <w:sz w:val="20"/>
          <w:lang w:val="en-US"/>
        </w:rPr>
        <w:t>Panel 2: Non-announcing firms</w:t>
      </w:r>
    </w:p>
    <w:p w:rsidR="007C7453" w:rsidRPr="009D3628" w:rsidRDefault="007C7453" w:rsidP="007C7453">
      <w:pPr>
        <w:pStyle w:val="000"/>
        <w:rPr>
          <w:rFonts w:ascii="Calibri" w:hAnsi="Calibri" w:cs="Calibri"/>
          <w:i/>
          <w:lang w:val="en-US"/>
        </w:rPr>
      </w:pPr>
    </w:p>
    <w:tbl>
      <w:tblPr>
        <w:tblStyle w:val="Tabelraster"/>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1350"/>
        <w:gridCol w:w="1169"/>
        <w:gridCol w:w="1132"/>
        <w:gridCol w:w="1134"/>
        <w:gridCol w:w="1086"/>
        <w:gridCol w:w="1042"/>
        <w:gridCol w:w="1134"/>
        <w:gridCol w:w="1581"/>
      </w:tblGrid>
      <w:tr w:rsidR="007C7453" w:rsidRPr="00186C61" w:rsidTr="009D3628">
        <w:trPr>
          <w:trHeight w:val="154"/>
        </w:trPr>
        <w:tc>
          <w:tcPr>
            <w:tcW w:w="701"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Event time</w:t>
            </w:r>
          </w:p>
        </w:tc>
        <w:tc>
          <w:tcPr>
            <w:tcW w:w="607"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A:</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&gt; 6</w:t>
            </w:r>
          </w:p>
        </w:tc>
        <w:tc>
          <w:tcPr>
            <w:tcW w:w="588"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B:</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4-6</w:t>
            </w:r>
          </w:p>
        </w:tc>
        <w:tc>
          <w:tcPr>
            <w:tcW w:w="589"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C:</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3-4</w:t>
            </w:r>
          </w:p>
        </w:tc>
        <w:tc>
          <w:tcPr>
            <w:tcW w:w="564"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D:</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2-3</w:t>
            </w:r>
          </w:p>
        </w:tc>
        <w:tc>
          <w:tcPr>
            <w:tcW w:w="541"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E:</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1-2</w:t>
            </w:r>
          </w:p>
        </w:tc>
        <w:tc>
          <w:tcPr>
            <w:tcW w:w="589"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F:</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0-1</w:t>
            </w:r>
          </w:p>
        </w:tc>
        <w:tc>
          <w:tcPr>
            <w:tcW w:w="821"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Groups A-F: full sample</w:t>
            </w:r>
          </w:p>
        </w:tc>
      </w:tr>
      <w:tr w:rsidR="007C7453" w:rsidRPr="009D3628" w:rsidTr="009D3628">
        <w:trPr>
          <w:trHeight w:val="255"/>
        </w:trPr>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(-11,-10)</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0,73</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2,07</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0,33</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0,62</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1,96</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1,29</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1,18</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(-9,-8)</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0,86</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4,24</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0,67</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1,32</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0,62</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1,33</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1,40</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(-7,-6)</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0,36</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3,06</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0,15</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1,29</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0,16</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1,88</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1,54</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(-5,-4)</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1,84</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0,41</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1,51</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1,06</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1,80</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1,97</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1,69</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(-3,-2)</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0,83</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1,61</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0,61</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1,03</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0,43</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1,26</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1,13</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(--1,0)</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1,17</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1,27</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2,20</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1,09</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0,37</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1,87</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1,56</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(1,2)</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0,80</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0,94</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0,73</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0,78</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0,70</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1,64</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1,29</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(3,4)</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0,81</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2,85</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0,09</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3,79</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4,30</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1,49</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1,95</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(5,6)</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3,24</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0,32</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1,13</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2,59</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1,54</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1,62</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1,85</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(7,8)</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3,35</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1,07</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1,69</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2,57</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2,68</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3,01</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2,80</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(9,10)</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2,77</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1,89</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0,10</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1,34</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2,91</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2,02</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1,98</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Number of observations</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6</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5</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55</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94</w:t>
            </w:r>
          </w:p>
        </w:tc>
      </w:tr>
    </w:tbl>
    <w:p w:rsidR="00650F54" w:rsidRPr="00650F54" w:rsidRDefault="00650F54" w:rsidP="00650F54">
      <w:pPr>
        <w:pStyle w:val="000"/>
        <w:rPr>
          <w:rFonts w:ascii="Calibri" w:hAnsi="Calibri" w:cs="Calibri"/>
          <w:sz w:val="20"/>
          <w:lang w:val="en-US"/>
        </w:rPr>
      </w:pPr>
      <w:r>
        <w:rPr>
          <w:rFonts w:ascii="Calibri" w:hAnsi="Calibri" w:cs="Calibri"/>
          <w:sz w:val="20"/>
          <w:vertAlign w:val="superscript"/>
          <w:lang w:val="en-US"/>
        </w:rPr>
        <w:t>a</w:t>
      </w:r>
      <w:r w:rsidRPr="00650F54">
        <w:rPr>
          <w:rFonts w:ascii="Calibri" w:hAnsi="Calibri" w:cs="Calibri"/>
          <w:sz w:val="20"/>
          <w:lang w:val="en-US"/>
        </w:rPr>
        <w:t>X</w:t>
      </w:r>
      <w:r w:rsidRPr="00650F54">
        <w:rPr>
          <w:rFonts w:ascii="Calibri" w:hAnsi="Calibri" w:cs="Calibri"/>
          <w:sz w:val="20"/>
          <w:vertAlign w:val="subscript"/>
          <w:lang w:val="en-US"/>
        </w:rPr>
        <w:t xml:space="preserve">it </w:t>
      </w:r>
      <w:r w:rsidRPr="00650F54">
        <w:rPr>
          <w:rFonts w:ascii="Calibri" w:hAnsi="Calibri" w:cs="Calibri"/>
          <w:sz w:val="20"/>
          <w:lang w:val="en-US"/>
        </w:rPr>
        <w:t>is (U</w:t>
      </w:r>
      <w:r w:rsidRPr="00650F54">
        <w:rPr>
          <w:rFonts w:ascii="Calibri" w:hAnsi="Calibri" w:cs="Calibri"/>
          <w:sz w:val="20"/>
          <w:vertAlign w:val="subscript"/>
          <w:lang w:val="en-US"/>
        </w:rPr>
        <w:t>it</w:t>
      </w:r>
      <w:r w:rsidRPr="00650F54">
        <w:rPr>
          <w:rFonts w:ascii="Calibri" w:hAnsi="Calibri" w:cs="Calibri"/>
          <w:sz w:val="20"/>
          <w:lang w:val="en-US"/>
        </w:rPr>
        <w:t>)</w:t>
      </w:r>
      <w:r w:rsidRPr="00650F54">
        <w:rPr>
          <w:rFonts w:ascii="Calibri" w:hAnsi="Calibri" w:cs="Calibri"/>
          <w:sz w:val="20"/>
          <w:vertAlign w:val="superscript"/>
          <w:lang w:val="en-US"/>
        </w:rPr>
        <w:t>2</w:t>
      </w:r>
      <w:r w:rsidRPr="00650F54">
        <w:rPr>
          <w:rFonts w:ascii="Calibri" w:hAnsi="Calibri" w:cs="Calibri"/>
          <w:sz w:val="20"/>
          <w:lang w:val="en-US"/>
        </w:rPr>
        <w:t>/</w:t>
      </w:r>
      <w:r w:rsidRPr="00650F54">
        <w:rPr>
          <w:rFonts w:ascii="Calibri" w:hAnsi="Calibri" w:cs="Calibri"/>
          <w:sz w:val="20"/>
        </w:rPr>
        <w:t>σ</w:t>
      </w:r>
      <w:r w:rsidRPr="00650F54">
        <w:rPr>
          <w:rFonts w:ascii="Calibri" w:hAnsi="Calibri" w:cs="Calibri"/>
          <w:sz w:val="20"/>
          <w:vertAlign w:val="superscript"/>
          <w:lang w:val="en-US"/>
        </w:rPr>
        <w:t>2</w:t>
      </w:r>
      <w:r w:rsidRPr="00650F54">
        <w:rPr>
          <w:rFonts w:ascii="Calibri" w:hAnsi="Calibri" w:cs="Calibri"/>
          <w:sz w:val="20"/>
          <w:lang w:val="en-US"/>
        </w:rPr>
        <w:t>(U</w:t>
      </w:r>
      <w:r w:rsidRPr="00650F54">
        <w:rPr>
          <w:rFonts w:ascii="Calibri" w:hAnsi="Calibri" w:cs="Calibri"/>
          <w:sz w:val="20"/>
          <w:vertAlign w:val="subscript"/>
          <w:lang w:val="en-US"/>
        </w:rPr>
        <w:t>it</w:t>
      </w:r>
      <w:r w:rsidRPr="00650F54">
        <w:rPr>
          <w:rFonts w:ascii="Calibri" w:hAnsi="Calibri" w:cs="Calibri"/>
          <w:sz w:val="20"/>
          <w:lang w:val="en-US"/>
        </w:rPr>
        <w:t>) where U</w:t>
      </w:r>
      <w:r w:rsidRPr="00650F54">
        <w:rPr>
          <w:rFonts w:ascii="Calibri" w:hAnsi="Calibri" w:cs="Calibri"/>
          <w:sz w:val="20"/>
          <w:vertAlign w:val="subscript"/>
          <w:lang w:val="en-US"/>
        </w:rPr>
        <w:t>it</w:t>
      </w:r>
      <w:r w:rsidRPr="00650F54">
        <w:rPr>
          <w:rFonts w:ascii="Calibri" w:hAnsi="Calibri" w:cs="Calibri"/>
          <w:sz w:val="20"/>
          <w:lang w:val="en-US"/>
        </w:rPr>
        <w:t xml:space="preserve"> is the two-day abnormal return</w:t>
      </w:r>
      <w:r>
        <w:rPr>
          <w:rFonts w:ascii="Calibri" w:hAnsi="Calibri" w:cs="Calibri"/>
          <w:sz w:val="20"/>
          <w:lang w:val="en-US"/>
        </w:rPr>
        <w:t>.</w:t>
      </w:r>
    </w:p>
    <w:p w:rsidR="007C7453" w:rsidRPr="009D3628" w:rsidRDefault="007C7453" w:rsidP="00365D2A">
      <w:pPr>
        <w:pStyle w:val="000"/>
        <w:spacing w:line="360" w:lineRule="auto"/>
        <w:rPr>
          <w:rFonts w:ascii="Calibri" w:hAnsi="Calibri" w:cs="Calibri"/>
          <w:szCs w:val="22"/>
          <w:lang w:val="en-US"/>
        </w:rPr>
      </w:pPr>
    </w:p>
    <w:p w:rsidR="007C7453" w:rsidRPr="009D3628" w:rsidRDefault="007C7453" w:rsidP="007C7453">
      <w:pPr>
        <w:pStyle w:val="Tabletitle"/>
        <w:rPr>
          <w:rFonts w:ascii="Calibri" w:hAnsi="Calibri" w:cs="Calibri"/>
          <w:sz w:val="22"/>
          <w:szCs w:val="22"/>
          <w:lang w:val="en-US"/>
        </w:rPr>
      </w:pPr>
      <w:r w:rsidRPr="009D3628">
        <w:rPr>
          <w:rFonts w:ascii="Calibri" w:hAnsi="Calibri" w:cs="Calibri"/>
          <w:sz w:val="22"/>
          <w:szCs w:val="22"/>
          <w:lang w:val="en-US"/>
        </w:rPr>
        <w:t>Table 4: Non-directional test of ‘abnormal returns’ surrounding the announcement date of the announcing firm; average X</w:t>
      </w:r>
      <w:r w:rsidRPr="009D3628">
        <w:rPr>
          <w:rFonts w:ascii="Calibri" w:hAnsi="Calibri" w:cs="Calibri"/>
          <w:sz w:val="22"/>
          <w:szCs w:val="22"/>
          <w:vertAlign w:val="subscript"/>
          <w:lang w:val="en-US"/>
        </w:rPr>
        <w:t xml:space="preserve">it </w:t>
      </w:r>
      <w:r w:rsidRPr="009D3628">
        <w:rPr>
          <w:rFonts w:ascii="Calibri" w:hAnsi="Calibri" w:cs="Calibri"/>
          <w:sz w:val="22"/>
          <w:szCs w:val="22"/>
          <w:lang w:val="en-US"/>
        </w:rPr>
        <w:t>for single release observations of GICS industry for the POST-IFRS period sample (2005-2010).</w:t>
      </w:r>
      <w:r w:rsidR="00650F54">
        <w:rPr>
          <w:rFonts w:ascii="Calibri" w:hAnsi="Calibri" w:cs="Calibri"/>
          <w:sz w:val="22"/>
          <w:szCs w:val="22"/>
          <w:vertAlign w:val="superscript"/>
          <w:lang w:val="en-US"/>
        </w:rPr>
        <w:t>a</w:t>
      </w:r>
      <w:r w:rsidRPr="009D3628">
        <w:rPr>
          <w:rFonts w:ascii="Calibri" w:hAnsi="Calibri" w:cs="Calibri"/>
          <w:sz w:val="22"/>
          <w:szCs w:val="22"/>
          <w:lang w:val="en-US"/>
        </w:rPr>
        <w:t xml:space="preserve"> </w:t>
      </w:r>
    </w:p>
    <w:p w:rsidR="007C7453" w:rsidRPr="009D3628" w:rsidRDefault="007C7453" w:rsidP="007C7453">
      <w:pPr>
        <w:pStyle w:val="000"/>
        <w:rPr>
          <w:rFonts w:ascii="Calibri" w:hAnsi="Calibri" w:cs="Calibri"/>
          <w:i/>
          <w:sz w:val="20"/>
          <w:lang w:val="en-US"/>
        </w:rPr>
      </w:pPr>
      <w:r w:rsidRPr="009D3628">
        <w:rPr>
          <w:rFonts w:ascii="Calibri" w:hAnsi="Calibri" w:cs="Calibri"/>
          <w:i/>
          <w:sz w:val="20"/>
          <w:lang w:val="en-US"/>
        </w:rPr>
        <w:t>Panel1: Announcing firms</w:t>
      </w:r>
    </w:p>
    <w:p w:rsidR="007C7453" w:rsidRPr="009D3628" w:rsidRDefault="007C7453" w:rsidP="007C7453">
      <w:pPr>
        <w:pStyle w:val="000"/>
        <w:rPr>
          <w:rFonts w:ascii="Calibri" w:hAnsi="Calibri" w:cs="Calibri"/>
          <w:lang w:val="en-US"/>
        </w:rPr>
      </w:pPr>
    </w:p>
    <w:tbl>
      <w:tblPr>
        <w:tblStyle w:val="Tabelraster"/>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1350"/>
        <w:gridCol w:w="1169"/>
        <w:gridCol w:w="1132"/>
        <w:gridCol w:w="1134"/>
        <w:gridCol w:w="1086"/>
        <w:gridCol w:w="1042"/>
        <w:gridCol w:w="1134"/>
        <w:gridCol w:w="1581"/>
      </w:tblGrid>
      <w:tr w:rsidR="007C7453" w:rsidRPr="00186C61" w:rsidTr="009D3628">
        <w:trPr>
          <w:trHeight w:val="154"/>
        </w:trPr>
        <w:tc>
          <w:tcPr>
            <w:tcW w:w="701"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Event time</w:t>
            </w:r>
          </w:p>
        </w:tc>
        <w:tc>
          <w:tcPr>
            <w:tcW w:w="607"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A:</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&gt; 6</w:t>
            </w:r>
          </w:p>
        </w:tc>
        <w:tc>
          <w:tcPr>
            <w:tcW w:w="588"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B:</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4-6</w:t>
            </w:r>
          </w:p>
        </w:tc>
        <w:tc>
          <w:tcPr>
            <w:tcW w:w="589"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C:</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3-4</w:t>
            </w:r>
          </w:p>
        </w:tc>
        <w:tc>
          <w:tcPr>
            <w:tcW w:w="564"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D:</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2-3</w:t>
            </w:r>
          </w:p>
        </w:tc>
        <w:tc>
          <w:tcPr>
            <w:tcW w:w="541"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E:</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1-2</w:t>
            </w:r>
          </w:p>
        </w:tc>
        <w:tc>
          <w:tcPr>
            <w:tcW w:w="589"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F:</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0-1</w:t>
            </w:r>
          </w:p>
        </w:tc>
        <w:tc>
          <w:tcPr>
            <w:tcW w:w="821"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Groups A-F: full sample</w:t>
            </w:r>
          </w:p>
        </w:tc>
      </w:tr>
      <w:tr w:rsidR="007C7453" w:rsidRPr="009D3628" w:rsidTr="009D3628">
        <w:trPr>
          <w:trHeight w:val="255"/>
        </w:trPr>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(-11,-10)</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0,85</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1,65</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3,31</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0,85</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0,13</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0,86</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0,97</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(-9,-8)</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2,56</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0,89</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4,53</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0,26</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0,18</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1,78</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1,61</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(-7,-6)</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0,37</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2,08</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0,90</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0,89</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2,87</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1,90</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1,59</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(-5,-4)</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1,44</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0,39</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0,79</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0,74</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0,74</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1,15</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1,03</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(-3,-2)</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1,66</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0,97</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0,06</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0,50</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2,39</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0,63</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0,89</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(--1,0)</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22,76</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5,00</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3,37</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2,42</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1,60</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0,22</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4,08</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(1,2)</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2,31</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1,22</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0,14</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2,06</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4,84</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4,21</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3,30</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(3,4)</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1,39</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0,59</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2,16</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0,78</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2,03</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1,56</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1,43</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(5,6)</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1,93</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0,45</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2,96</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0,70</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1,71</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1,13</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1,27</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(7,8)</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0,79</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6,99</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0,51</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0,50</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8,68</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1,68</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2,25</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(9,10)</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1,89</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7,13</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1,62</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0,85</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1,17</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4,35</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3,30</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Number of observations</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8</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4</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9</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5</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32</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61</w:t>
            </w:r>
          </w:p>
        </w:tc>
      </w:tr>
    </w:tbl>
    <w:p w:rsidR="007C7453" w:rsidRPr="009D3628" w:rsidRDefault="007C7453" w:rsidP="007C7453">
      <w:pPr>
        <w:pStyle w:val="000"/>
        <w:rPr>
          <w:rFonts w:ascii="Calibri" w:hAnsi="Calibri" w:cs="Calibri"/>
          <w:lang w:val="en-US"/>
        </w:rPr>
      </w:pPr>
    </w:p>
    <w:p w:rsidR="007C7453" w:rsidRPr="009D3628" w:rsidRDefault="007C7453" w:rsidP="007C7453">
      <w:pPr>
        <w:pStyle w:val="000"/>
        <w:rPr>
          <w:rFonts w:ascii="Calibri" w:hAnsi="Calibri" w:cs="Calibri"/>
          <w:i/>
          <w:sz w:val="20"/>
          <w:lang w:val="en-US"/>
        </w:rPr>
      </w:pPr>
      <w:r w:rsidRPr="009D3628">
        <w:rPr>
          <w:rFonts w:ascii="Calibri" w:hAnsi="Calibri" w:cs="Calibri"/>
          <w:i/>
          <w:sz w:val="20"/>
          <w:lang w:val="en-US"/>
        </w:rPr>
        <w:lastRenderedPageBreak/>
        <w:t>Panel 2: Non-announcing firms</w:t>
      </w:r>
    </w:p>
    <w:p w:rsidR="007C7453" w:rsidRPr="009D3628" w:rsidRDefault="007C7453" w:rsidP="007C7453">
      <w:pPr>
        <w:pStyle w:val="000"/>
        <w:rPr>
          <w:rFonts w:ascii="Calibri" w:hAnsi="Calibri" w:cs="Calibri"/>
          <w:lang w:val="en-US"/>
        </w:rPr>
      </w:pPr>
    </w:p>
    <w:tbl>
      <w:tblPr>
        <w:tblStyle w:val="Tabelraster"/>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1350"/>
        <w:gridCol w:w="1169"/>
        <w:gridCol w:w="1132"/>
        <w:gridCol w:w="1134"/>
        <w:gridCol w:w="1086"/>
        <w:gridCol w:w="1042"/>
        <w:gridCol w:w="1134"/>
        <w:gridCol w:w="1581"/>
      </w:tblGrid>
      <w:tr w:rsidR="007C7453" w:rsidRPr="00186C61" w:rsidTr="009D3628">
        <w:trPr>
          <w:trHeight w:val="154"/>
        </w:trPr>
        <w:tc>
          <w:tcPr>
            <w:tcW w:w="701"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Event time</w:t>
            </w:r>
          </w:p>
        </w:tc>
        <w:tc>
          <w:tcPr>
            <w:tcW w:w="607"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A:</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&gt; 6</w:t>
            </w:r>
          </w:p>
        </w:tc>
        <w:tc>
          <w:tcPr>
            <w:tcW w:w="588"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B:</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4-6</w:t>
            </w:r>
          </w:p>
        </w:tc>
        <w:tc>
          <w:tcPr>
            <w:tcW w:w="589"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C:</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3-4</w:t>
            </w:r>
          </w:p>
        </w:tc>
        <w:tc>
          <w:tcPr>
            <w:tcW w:w="564"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D:</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2-3</w:t>
            </w:r>
          </w:p>
        </w:tc>
        <w:tc>
          <w:tcPr>
            <w:tcW w:w="541"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E:</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1-2</w:t>
            </w:r>
          </w:p>
        </w:tc>
        <w:tc>
          <w:tcPr>
            <w:tcW w:w="589"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 F:</w:t>
            </w:r>
          </w:p>
          <w:p w:rsidR="007C7453" w:rsidRPr="009D3628" w:rsidRDefault="007C7453" w:rsidP="009D3628">
            <w:pPr>
              <w:pStyle w:val="Tabletext"/>
              <w:rPr>
                <w:rFonts w:ascii="Calibri" w:hAnsi="Calibri" w:cs="Calibri"/>
                <w:lang w:val="en-US"/>
              </w:rPr>
            </w:pPr>
            <w:r w:rsidRPr="009D3628">
              <w:rPr>
                <w:rFonts w:ascii="Calibri" w:hAnsi="Calibri" w:cs="Calibri"/>
                <w:lang w:val="en-US"/>
              </w:rPr>
              <w:t>X</w:t>
            </w:r>
            <w:r w:rsidRPr="009D3628">
              <w:rPr>
                <w:rFonts w:ascii="Calibri" w:hAnsi="Calibri" w:cs="Calibri"/>
                <w:vertAlign w:val="subscript"/>
                <w:lang w:val="en-US"/>
              </w:rPr>
              <w:t xml:space="preserve">it </w:t>
            </w:r>
            <w:r w:rsidRPr="009D3628">
              <w:rPr>
                <w:rFonts w:ascii="Calibri" w:hAnsi="Calibri" w:cs="Calibri"/>
                <w:lang w:val="en-US"/>
              </w:rPr>
              <w:t>: 0-1</w:t>
            </w:r>
          </w:p>
        </w:tc>
        <w:tc>
          <w:tcPr>
            <w:tcW w:w="821" w:type="pct"/>
            <w:shd w:val="clear" w:color="auto" w:fill="999999"/>
          </w:tcPr>
          <w:p w:rsidR="007C7453" w:rsidRPr="009D3628" w:rsidRDefault="007C7453" w:rsidP="009D3628">
            <w:pPr>
              <w:pStyle w:val="Tableheading1"/>
              <w:rPr>
                <w:rFonts w:ascii="Calibri" w:hAnsi="Calibri" w:cs="Calibri"/>
                <w:lang w:val="en-US"/>
              </w:rPr>
            </w:pPr>
            <w:r w:rsidRPr="009D3628">
              <w:rPr>
                <w:rFonts w:ascii="Calibri" w:hAnsi="Calibri" w:cs="Calibri"/>
                <w:lang w:val="en-US"/>
              </w:rPr>
              <w:t>Groups A-F: full sample</w:t>
            </w:r>
          </w:p>
        </w:tc>
      </w:tr>
      <w:tr w:rsidR="007C7453" w:rsidRPr="009D3628" w:rsidTr="009D3628">
        <w:trPr>
          <w:trHeight w:val="255"/>
        </w:trPr>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(-11,-10)</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1,27</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3,39</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2,03</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1,24</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2,26</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1,29</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1,49</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(-9,-8)</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1,55</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0,76</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13,16</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0,97</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1,09</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1,78</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1,91</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(-7,-6)</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1,37</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0,93</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1,18</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1,90</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2,37</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1,35</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1,47</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(-5,-4)</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1,36</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0,59</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14,61</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1,16</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2,58</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2,37</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2,42</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(-3,-2)</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1,37</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4,55</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3,54</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2,09</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1,46</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2,02</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2,09</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(--1,0)</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0,82</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2,39</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2,02</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1,62</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1,31</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1,03</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1,20</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(1,2)</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2,35</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1,12</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0,88</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3,38</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3,17</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1,80</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2,09</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(3,4)</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2,64</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1,13</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2,61</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0,99</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3,64</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1,24</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1,60</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(5,6)</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2,11</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1,87</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4,52</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2,57</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1,40</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1,48</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1,79</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(7,8)</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0,89</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2,29</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3,02</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1,04</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2,60</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2,70</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2,28</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X (9,10)</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2,29</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1,93</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2,04</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1,46</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2,73</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2,61</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2,40</w:t>
            </w:r>
          </w:p>
        </w:tc>
      </w:tr>
      <w:tr w:rsidR="007C7453" w:rsidRPr="009D3628" w:rsidTr="009D3628">
        <w:tc>
          <w:tcPr>
            <w:tcW w:w="701" w:type="pct"/>
            <w:vAlign w:val="bottom"/>
          </w:tcPr>
          <w:p w:rsidR="007C7453" w:rsidRPr="009D3628" w:rsidRDefault="007C7453" w:rsidP="009D3628">
            <w:pPr>
              <w:overflowPunct/>
              <w:autoSpaceDE/>
              <w:autoSpaceDN/>
              <w:adjustRightInd/>
              <w:spacing w:line="240" w:lineRule="auto"/>
              <w:textAlignment w:val="auto"/>
              <w:rPr>
                <w:rFonts w:ascii="Calibri" w:hAnsi="Calibri" w:cs="Calibri"/>
                <w:lang w:val="en-US"/>
              </w:rPr>
            </w:pPr>
            <w:r w:rsidRPr="009D3628">
              <w:rPr>
                <w:rFonts w:ascii="Calibri" w:hAnsi="Calibri" w:cs="Calibri"/>
                <w:lang w:val="en-US"/>
              </w:rPr>
              <w:t>Number of observations</w:t>
            </w:r>
          </w:p>
        </w:tc>
        <w:tc>
          <w:tcPr>
            <w:tcW w:w="607"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22</w:t>
            </w:r>
          </w:p>
        </w:tc>
        <w:tc>
          <w:tcPr>
            <w:tcW w:w="588"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10</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6</w:t>
            </w:r>
          </w:p>
        </w:tc>
        <w:tc>
          <w:tcPr>
            <w:tcW w:w="564"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22</w:t>
            </w:r>
          </w:p>
        </w:tc>
        <w:tc>
          <w:tcPr>
            <w:tcW w:w="54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15</w:t>
            </w:r>
          </w:p>
        </w:tc>
        <w:tc>
          <w:tcPr>
            <w:tcW w:w="589"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116</w:t>
            </w:r>
          </w:p>
        </w:tc>
        <w:tc>
          <w:tcPr>
            <w:tcW w:w="821" w:type="pct"/>
            <w:vAlign w:val="bottom"/>
          </w:tcPr>
          <w:p w:rsidR="007C7453" w:rsidRPr="009D3628" w:rsidRDefault="007C7453" w:rsidP="009D3628">
            <w:pPr>
              <w:overflowPunct/>
              <w:autoSpaceDE/>
              <w:autoSpaceDN/>
              <w:adjustRightInd/>
              <w:spacing w:line="240" w:lineRule="auto"/>
              <w:jc w:val="right"/>
              <w:textAlignment w:val="auto"/>
              <w:rPr>
                <w:rFonts w:ascii="Calibri" w:hAnsi="Calibri" w:cs="Calibri"/>
                <w:lang w:val="en-US"/>
              </w:rPr>
            </w:pPr>
            <w:r w:rsidRPr="009D3628">
              <w:rPr>
                <w:rFonts w:ascii="Calibri" w:hAnsi="Calibri" w:cs="Calibri"/>
                <w:lang w:val="en-US"/>
              </w:rPr>
              <w:t>191</w:t>
            </w:r>
          </w:p>
        </w:tc>
      </w:tr>
    </w:tbl>
    <w:p w:rsidR="00650F54" w:rsidRPr="00650F54" w:rsidRDefault="00650F54" w:rsidP="00650F54">
      <w:pPr>
        <w:pStyle w:val="000"/>
        <w:rPr>
          <w:rFonts w:ascii="Calibri" w:hAnsi="Calibri" w:cs="Calibri"/>
          <w:sz w:val="20"/>
          <w:lang w:val="en-US"/>
        </w:rPr>
      </w:pPr>
      <w:r>
        <w:rPr>
          <w:rFonts w:ascii="Calibri" w:hAnsi="Calibri" w:cs="Calibri"/>
          <w:sz w:val="20"/>
          <w:vertAlign w:val="superscript"/>
          <w:lang w:val="en-US"/>
        </w:rPr>
        <w:t>a</w:t>
      </w:r>
      <w:r w:rsidRPr="00650F54">
        <w:rPr>
          <w:rFonts w:ascii="Calibri" w:hAnsi="Calibri" w:cs="Calibri"/>
          <w:sz w:val="20"/>
          <w:lang w:val="en-US"/>
        </w:rPr>
        <w:t>X</w:t>
      </w:r>
      <w:r w:rsidRPr="00650F54">
        <w:rPr>
          <w:rFonts w:ascii="Calibri" w:hAnsi="Calibri" w:cs="Calibri"/>
          <w:sz w:val="20"/>
          <w:vertAlign w:val="subscript"/>
          <w:lang w:val="en-US"/>
        </w:rPr>
        <w:t xml:space="preserve">it </w:t>
      </w:r>
      <w:r w:rsidRPr="00650F54">
        <w:rPr>
          <w:rFonts w:ascii="Calibri" w:hAnsi="Calibri" w:cs="Calibri"/>
          <w:sz w:val="20"/>
          <w:lang w:val="en-US"/>
        </w:rPr>
        <w:t>is (U</w:t>
      </w:r>
      <w:r w:rsidRPr="00650F54">
        <w:rPr>
          <w:rFonts w:ascii="Calibri" w:hAnsi="Calibri" w:cs="Calibri"/>
          <w:sz w:val="20"/>
          <w:vertAlign w:val="subscript"/>
          <w:lang w:val="en-US"/>
        </w:rPr>
        <w:t>it</w:t>
      </w:r>
      <w:r w:rsidRPr="00650F54">
        <w:rPr>
          <w:rFonts w:ascii="Calibri" w:hAnsi="Calibri" w:cs="Calibri"/>
          <w:sz w:val="20"/>
          <w:lang w:val="en-US"/>
        </w:rPr>
        <w:t>)</w:t>
      </w:r>
      <w:r w:rsidRPr="00650F54">
        <w:rPr>
          <w:rFonts w:ascii="Calibri" w:hAnsi="Calibri" w:cs="Calibri"/>
          <w:sz w:val="20"/>
          <w:vertAlign w:val="superscript"/>
          <w:lang w:val="en-US"/>
        </w:rPr>
        <w:t>2</w:t>
      </w:r>
      <w:r w:rsidRPr="00650F54">
        <w:rPr>
          <w:rFonts w:ascii="Calibri" w:hAnsi="Calibri" w:cs="Calibri"/>
          <w:sz w:val="20"/>
          <w:lang w:val="en-US"/>
        </w:rPr>
        <w:t>/</w:t>
      </w:r>
      <w:r w:rsidRPr="00650F54">
        <w:rPr>
          <w:rFonts w:ascii="Calibri" w:hAnsi="Calibri" w:cs="Calibri"/>
          <w:sz w:val="20"/>
        </w:rPr>
        <w:t>σ</w:t>
      </w:r>
      <w:r w:rsidRPr="00650F54">
        <w:rPr>
          <w:rFonts w:ascii="Calibri" w:hAnsi="Calibri" w:cs="Calibri"/>
          <w:sz w:val="20"/>
          <w:vertAlign w:val="superscript"/>
          <w:lang w:val="en-US"/>
        </w:rPr>
        <w:t>2</w:t>
      </w:r>
      <w:r w:rsidRPr="00650F54">
        <w:rPr>
          <w:rFonts w:ascii="Calibri" w:hAnsi="Calibri" w:cs="Calibri"/>
          <w:sz w:val="20"/>
          <w:lang w:val="en-US"/>
        </w:rPr>
        <w:t>(U</w:t>
      </w:r>
      <w:r w:rsidRPr="00650F54">
        <w:rPr>
          <w:rFonts w:ascii="Calibri" w:hAnsi="Calibri" w:cs="Calibri"/>
          <w:sz w:val="20"/>
          <w:vertAlign w:val="subscript"/>
          <w:lang w:val="en-US"/>
        </w:rPr>
        <w:t>it</w:t>
      </w:r>
      <w:r w:rsidRPr="00650F54">
        <w:rPr>
          <w:rFonts w:ascii="Calibri" w:hAnsi="Calibri" w:cs="Calibri"/>
          <w:sz w:val="20"/>
          <w:lang w:val="en-US"/>
        </w:rPr>
        <w:t>) where U</w:t>
      </w:r>
      <w:r w:rsidRPr="00650F54">
        <w:rPr>
          <w:rFonts w:ascii="Calibri" w:hAnsi="Calibri" w:cs="Calibri"/>
          <w:sz w:val="20"/>
          <w:vertAlign w:val="subscript"/>
          <w:lang w:val="en-US"/>
        </w:rPr>
        <w:t>it</w:t>
      </w:r>
      <w:r w:rsidRPr="00650F54">
        <w:rPr>
          <w:rFonts w:ascii="Calibri" w:hAnsi="Calibri" w:cs="Calibri"/>
          <w:sz w:val="20"/>
          <w:lang w:val="en-US"/>
        </w:rPr>
        <w:t xml:space="preserve"> is the two-day abnormal return</w:t>
      </w:r>
      <w:r>
        <w:rPr>
          <w:rFonts w:ascii="Calibri" w:hAnsi="Calibri" w:cs="Calibri"/>
          <w:sz w:val="20"/>
          <w:lang w:val="en-US"/>
        </w:rPr>
        <w:t>.</w:t>
      </w:r>
    </w:p>
    <w:p w:rsidR="007C7453" w:rsidRPr="009D3628" w:rsidRDefault="007C7453" w:rsidP="007C7453">
      <w:pPr>
        <w:pStyle w:val="000"/>
        <w:rPr>
          <w:rFonts w:ascii="Calibri" w:hAnsi="Calibri" w:cs="Calibri"/>
          <w:lang w:val="en-US"/>
        </w:rPr>
      </w:pPr>
    </w:p>
    <w:p w:rsidR="00650F54" w:rsidRDefault="00650F54" w:rsidP="009D3628">
      <w:pPr>
        <w:pStyle w:val="Tabletext"/>
        <w:spacing w:line="360" w:lineRule="auto"/>
        <w:rPr>
          <w:rFonts w:ascii="Calibri" w:hAnsi="Calibri" w:cs="Calibri"/>
          <w:sz w:val="22"/>
          <w:szCs w:val="22"/>
          <w:lang w:val="en-US"/>
        </w:rPr>
      </w:pPr>
    </w:p>
    <w:p w:rsidR="00CD3B9E" w:rsidRPr="00CD3B9E" w:rsidRDefault="00CD3B9E" w:rsidP="009D3628">
      <w:pPr>
        <w:pStyle w:val="Tabletext"/>
        <w:spacing w:line="360" w:lineRule="auto"/>
        <w:rPr>
          <w:rFonts w:ascii="Calibri" w:hAnsi="Calibri" w:cs="Calibri"/>
          <w:sz w:val="22"/>
          <w:szCs w:val="22"/>
          <w:lang w:val="en-US"/>
        </w:rPr>
      </w:pPr>
      <w:r>
        <w:rPr>
          <w:rFonts w:ascii="Calibri" w:hAnsi="Calibri" w:cs="Calibri"/>
          <w:sz w:val="22"/>
          <w:szCs w:val="22"/>
          <w:lang w:val="en-US"/>
        </w:rPr>
        <w:t>The X</w:t>
      </w:r>
      <w:r>
        <w:rPr>
          <w:rFonts w:ascii="Calibri" w:hAnsi="Calibri" w:cs="Calibri"/>
          <w:sz w:val="22"/>
          <w:szCs w:val="22"/>
          <w:vertAlign w:val="subscript"/>
          <w:lang w:val="en-US"/>
        </w:rPr>
        <w:t xml:space="preserve">it </w:t>
      </w:r>
      <w:r>
        <w:rPr>
          <w:rFonts w:ascii="Calibri" w:hAnsi="Calibri" w:cs="Calibri"/>
          <w:sz w:val="22"/>
          <w:szCs w:val="22"/>
          <w:lang w:val="en-US"/>
        </w:rPr>
        <w:t xml:space="preserve">values in these tables represent the amount of abnormal return volatility. This means that is compares the abnormal return at the selected event windows surrounding the earnings announcement, with the abnormal returns in non-announcing periods. So the abnormal return volatility gives an indication of the amount of intra-industry information transfer which can be assignable to the earnings announcement released by the first-announcing firm. </w:t>
      </w:r>
    </w:p>
    <w:p w:rsidR="007C7453" w:rsidRPr="00F94A1D" w:rsidRDefault="009D3628" w:rsidP="009D3628">
      <w:pPr>
        <w:pStyle w:val="Tabletext"/>
        <w:spacing w:line="360" w:lineRule="auto"/>
        <w:rPr>
          <w:rFonts w:ascii="Calibri" w:hAnsi="Calibri" w:cs="Calibri"/>
          <w:sz w:val="22"/>
          <w:szCs w:val="22"/>
          <w:lang w:val="en-US"/>
        </w:rPr>
      </w:pPr>
      <w:r w:rsidRPr="009D3628">
        <w:rPr>
          <w:rFonts w:ascii="Calibri" w:hAnsi="Calibri" w:cs="Calibri"/>
          <w:sz w:val="22"/>
          <w:szCs w:val="22"/>
          <w:lang w:val="en-US"/>
        </w:rPr>
        <w:t>The X</w:t>
      </w:r>
      <w:r w:rsidRPr="009D3628">
        <w:rPr>
          <w:rFonts w:ascii="Calibri" w:hAnsi="Calibri" w:cs="Calibri"/>
          <w:sz w:val="22"/>
          <w:szCs w:val="22"/>
          <w:vertAlign w:val="subscript"/>
          <w:lang w:val="en-US"/>
        </w:rPr>
        <w:t xml:space="preserve">it </w:t>
      </w:r>
      <w:r w:rsidRPr="009D3628">
        <w:rPr>
          <w:rFonts w:ascii="Calibri" w:hAnsi="Calibri" w:cs="Calibri"/>
          <w:sz w:val="22"/>
          <w:szCs w:val="22"/>
          <w:lang w:val="en-US"/>
        </w:rPr>
        <w:t xml:space="preserve">values that are presented in the table </w:t>
      </w:r>
      <w:r>
        <w:rPr>
          <w:rFonts w:ascii="Calibri" w:hAnsi="Calibri" w:cs="Calibri"/>
          <w:sz w:val="22"/>
          <w:szCs w:val="22"/>
          <w:lang w:val="en-US"/>
        </w:rPr>
        <w:t xml:space="preserve">are the averages of all the observations per group. As explained in the methodology, the </w:t>
      </w:r>
      <w:r w:rsidRPr="009D3628">
        <w:rPr>
          <w:rFonts w:ascii="Calibri" w:hAnsi="Calibri" w:cs="Calibri"/>
          <w:sz w:val="22"/>
          <w:szCs w:val="22"/>
          <w:lang w:val="en-US"/>
        </w:rPr>
        <w:t>X</w:t>
      </w:r>
      <w:r w:rsidRPr="009D3628">
        <w:rPr>
          <w:rFonts w:ascii="Calibri" w:hAnsi="Calibri" w:cs="Calibri"/>
          <w:sz w:val="22"/>
          <w:szCs w:val="22"/>
          <w:vertAlign w:val="subscript"/>
          <w:lang w:val="en-US"/>
        </w:rPr>
        <w:t>it</w:t>
      </w:r>
      <w:r>
        <w:rPr>
          <w:rFonts w:ascii="Calibri" w:hAnsi="Calibri" w:cs="Calibri"/>
          <w:sz w:val="22"/>
          <w:szCs w:val="22"/>
          <w:vertAlign w:val="subscript"/>
          <w:lang w:val="en-US"/>
        </w:rPr>
        <w:t xml:space="preserve"> </w:t>
      </w:r>
      <w:r>
        <w:rPr>
          <w:rFonts w:ascii="Calibri" w:hAnsi="Calibri" w:cs="Calibri"/>
          <w:sz w:val="22"/>
          <w:szCs w:val="22"/>
          <w:lang w:val="en-US"/>
        </w:rPr>
        <w:t xml:space="preserve">values are ranked based on the </w:t>
      </w:r>
      <w:r w:rsidRPr="009D3628">
        <w:rPr>
          <w:rFonts w:ascii="Calibri" w:hAnsi="Calibri" w:cs="Calibri"/>
          <w:sz w:val="22"/>
          <w:szCs w:val="22"/>
          <w:lang w:val="en-US"/>
        </w:rPr>
        <w:t>X</w:t>
      </w:r>
      <w:r w:rsidRPr="009D3628">
        <w:rPr>
          <w:rFonts w:ascii="Calibri" w:hAnsi="Calibri" w:cs="Calibri"/>
          <w:sz w:val="22"/>
          <w:szCs w:val="22"/>
          <w:vertAlign w:val="subscript"/>
          <w:lang w:val="en-US"/>
        </w:rPr>
        <w:t>it</w:t>
      </w:r>
      <w:r>
        <w:rPr>
          <w:rFonts w:ascii="Calibri" w:hAnsi="Calibri" w:cs="Calibri"/>
          <w:sz w:val="22"/>
          <w:szCs w:val="22"/>
          <w:vertAlign w:val="subscript"/>
          <w:lang w:val="en-US"/>
        </w:rPr>
        <w:t xml:space="preserve"> </w:t>
      </w:r>
      <w:r>
        <w:rPr>
          <w:rFonts w:ascii="Calibri" w:hAnsi="Calibri" w:cs="Calibri"/>
          <w:sz w:val="22"/>
          <w:szCs w:val="22"/>
          <w:lang w:val="en-US"/>
        </w:rPr>
        <w:t xml:space="preserve">value of the announcing firm in the (-1,0) event window. All the observations of which the </w:t>
      </w:r>
      <w:r w:rsidRPr="009D3628">
        <w:rPr>
          <w:rFonts w:ascii="Calibri" w:hAnsi="Calibri" w:cs="Calibri"/>
          <w:sz w:val="22"/>
          <w:szCs w:val="22"/>
          <w:lang w:val="en-US"/>
        </w:rPr>
        <w:t>X</w:t>
      </w:r>
      <w:r w:rsidRPr="009D3628">
        <w:rPr>
          <w:rFonts w:ascii="Calibri" w:hAnsi="Calibri" w:cs="Calibri"/>
          <w:sz w:val="22"/>
          <w:szCs w:val="22"/>
          <w:vertAlign w:val="subscript"/>
          <w:lang w:val="en-US"/>
        </w:rPr>
        <w:t>it</w:t>
      </w:r>
      <w:r>
        <w:rPr>
          <w:rFonts w:ascii="Calibri" w:hAnsi="Calibri" w:cs="Calibri"/>
          <w:sz w:val="22"/>
          <w:szCs w:val="22"/>
          <w:vertAlign w:val="subscript"/>
          <w:lang w:val="en-US"/>
        </w:rPr>
        <w:t xml:space="preserve"> </w:t>
      </w:r>
      <w:r>
        <w:rPr>
          <w:rFonts w:ascii="Calibri" w:hAnsi="Calibri" w:cs="Calibri"/>
          <w:sz w:val="22"/>
          <w:szCs w:val="22"/>
          <w:lang w:val="en-US"/>
        </w:rPr>
        <w:t xml:space="preserve">value of the announcing firm has an amount bigger than six are categorized in </w:t>
      </w:r>
      <w:r w:rsidR="008460BC">
        <w:rPr>
          <w:rFonts w:ascii="Calibri" w:hAnsi="Calibri" w:cs="Calibri"/>
          <w:sz w:val="22"/>
          <w:szCs w:val="22"/>
          <w:lang w:val="en-US"/>
        </w:rPr>
        <w:t xml:space="preserve">group A for example. At the bottom lines of the tables the number of observations contained in each group </w:t>
      </w:r>
      <w:r w:rsidR="00416BB4">
        <w:rPr>
          <w:rFonts w:ascii="Calibri" w:hAnsi="Calibri" w:cs="Calibri"/>
          <w:sz w:val="22"/>
          <w:szCs w:val="22"/>
          <w:lang w:val="en-US"/>
        </w:rPr>
        <w:t>are</w:t>
      </w:r>
      <w:r w:rsidR="008460BC">
        <w:rPr>
          <w:rFonts w:ascii="Calibri" w:hAnsi="Calibri" w:cs="Calibri"/>
          <w:sz w:val="22"/>
          <w:szCs w:val="22"/>
          <w:lang w:val="en-US"/>
        </w:rPr>
        <w:t xml:space="preserve"> mentioned. </w:t>
      </w:r>
      <w:r w:rsidR="00CD3B9E">
        <w:rPr>
          <w:rFonts w:ascii="Calibri" w:hAnsi="Calibri" w:cs="Calibri"/>
          <w:sz w:val="22"/>
          <w:szCs w:val="22"/>
          <w:lang w:val="en-US"/>
        </w:rPr>
        <w:t xml:space="preserve">What can be deduced from these </w:t>
      </w:r>
      <w:r w:rsidR="00F94A1D">
        <w:rPr>
          <w:rFonts w:ascii="Calibri" w:hAnsi="Calibri" w:cs="Calibri"/>
          <w:sz w:val="22"/>
          <w:szCs w:val="22"/>
          <w:lang w:val="en-US"/>
        </w:rPr>
        <w:t>X</w:t>
      </w:r>
      <w:r w:rsidR="00F94A1D">
        <w:rPr>
          <w:rFonts w:ascii="Calibri" w:hAnsi="Calibri" w:cs="Calibri"/>
          <w:sz w:val="22"/>
          <w:szCs w:val="22"/>
          <w:vertAlign w:val="subscript"/>
          <w:lang w:val="en-US"/>
        </w:rPr>
        <w:t xml:space="preserve">it </w:t>
      </w:r>
      <w:r w:rsidR="00F94A1D">
        <w:rPr>
          <w:rFonts w:ascii="Calibri" w:hAnsi="Calibri" w:cs="Calibri"/>
          <w:sz w:val="22"/>
          <w:szCs w:val="22"/>
          <w:lang w:val="en-US"/>
        </w:rPr>
        <w:t xml:space="preserve">values is that they almost all deviate from zero which indicates that there is intra-industry information transfer occurring which is caused by the earnings announcement of the first-announcing firm in an industry. </w:t>
      </w:r>
    </w:p>
    <w:p w:rsidR="00CD3B9E" w:rsidRDefault="00CD3B9E" w:rsidP="009D3628">
      <w:pPr>
        <w:pStyle w:val="Tabletext"/>
        <w:spacing w:line="360" w:lineRule="auto"/>
        <w:rPr>
          <w:rFonts w:ascii="Calibri" w:hAnsi="Calibri" w:cs="Calibri"/>
          <w:sz w:val="22"/>
          <w:szCs w:val="22"/>
          <w:lang w:val="en-US"/>
        </w:rPr>
      </w:pPr>
    </w:p>
    <w:p w:rsidR="008460BC" w:rsidRDefault="008460BC" w:rsidP="009D3628">
      <w:pPr>
        <w:pStyle w:val="Tabletext"/>
        <w:spacing w:line="360" w:lineRule="auto"/>
        <w:rPr>
          <w:rFonts w:ascii="Calibri" w:hAnsi="Calibri" w:cs="Calibri"/>
          <w:sz w:val="22"/>
          <w:szCs w:val="22"/>
          <w:lang w:val="en-US"/>
        </w:rPr>
      </w:pPr>
    </w:p>
    <w:p w:rsidR="00F94A1D" w:rsidRDefault="00F94A1D" w:rsidP="009D3628">
      <w:pPr>
        <w:pStyle w:val="Tabletext"/>
        <w:spacing w:line="360" w:lineRule="auto"/>
        <w:rPr>
          <w:rFonts w:ascii="Calibri" w:hAnsi="Calibri" w:cs="Calibri"/>
          <w:sz w:val="22"/>
          <w:szCs w:val="22"/>
          <w:lang w:val="en-US"/>
        </w:rPr>
      </w:pPr>
    </w:p>
    <w:p w:rsidR="008460BC" w:rsidRPr="00A10169" w:rsidRDefault="008460BC" w:rsidP="008460BC">
      <w:pPr>
        <w:pStyle w:val="Kop2"/>
        <w:rPr>
          <w:rFonts w:asciiTheme="minorHAnsi" w:hAnsiTheme="minorHAnsi" w:cstheme="minorHAnsi"/>
          <w:lang w:val="en-US"/>
        </w:rPr>
      </w:pPr>
      <w:bookmarkStart w:id="25" w:name="_Toc331518371"/>
      <w:r w:rsidRPr="00A10169">
        <w:rPr>
          <w:rFonts w:asciiTheme="minorHAnsi" w:hAnsiTheme="minorHAnsi" w:cstheme="minorHAnsi"/>
          <w:lang w:val="en-US"/>
        </w:rPr>
        <w:lastRenderedPageBreak/>
        <w:t>Kolmogorov-Smirnov  test</w:t>
      </w:r>
      <w:bookmarkEnd w:id="25"/>
    </w:p>
    <w:p w:rsidR="008460BC" w:rsidRDefault="008460BC" w:rsidP="008460BC">
      <w:pPr>
        <w:pStyle w:val="000"/>
        <w:rPr>
          <w:lang w:val="en-US"/>
        </w:rPr>
      </w:pPr>
    </w:p>
    <w:p w:rsidR="008460BC" w:rsidRPr="001F5ADB" w:rsidRDefault="00416BB4" w:rsidP="00416BB4">
      <w:pPr>
        <w:pStyle w:val="000"/>
        <w:spacing w:line="360" w:lineRule="auto"/>
        <w:rPr>
          <w:rFonts w:asciiTheme="minorHAnsi" w:hAnsiTheme="minorHAnsi" w:cstheme="minorHAnsi"/>
          <w:lang w:val="en-US"/>
        </w:rPr>
      </w:pPr>
      <w:r>
        <w:rPr>
          <w:rFonts w:asciiTheme="minorHAnsi" w:hAnsiTheme="minorHAnsi" w:cstheme="minorHAnsi"/>
          <w:lang w:val="en-US"/>
        </w:rPr>
        <w:t>A Kolmogorov-Smirnov test shows if the distribution as a whole is different than a comparable normal distribution. This test compares the scores in the sample to a normally distributed set of scores with the same mean and</w:t>
      </w:r>
      <w:r w:rsidR="00082F63">
        <w:rPr>
          <w:rFonts w:asciiTheme="minorHAnsi" w:hAnsiTheme="minorHAnsi" w:cstheme="minorHAnsi"/>
          <w:lang w:val="en-US"/>
        </w:rPr>
        <w:t xml:space="preserve"> standard deviation. If the result of the test</w:t>
      </w:r>
      <w:r>
        <w:rPr>
          <w:rFonts w:asciiTheme="minorHAnsi" w:hAnsiTheme="minorHAnsi" w:cstheme="minorHAnsi"/>
          <w:lang w:val="en-US"/>
        </w:rPr>
        <w:t xml:space="preserve"> is non-significant, which means that </w:t>
      </w:r>
      <w:r w:rsidR="00804EDF">
        <w:rPr>
          <w:rFonts w:asciiTheme="minorHAnsi" w:hAnsiTheme="minorHAnsi" w:cstheme="minorHAnsi"/>
          <w:i/>
          <w:lang w:val="en-US"/>
        </w:rPr>
        <w:t>p</w:t>
      </w:r>
      <w:r w:rsidR="00804EDF">
        <w:rPr>
          <w:rFonts w:asciiTheme="minorHAnsi" w:hAnsiTheme="minorHAnsi" w:cstheme="minorHAnsi"/>
          <w:lang w:val="en-US"/>
        </w:rPr>
        <w:t xml:space="preserve"> &gt; 0.05, this tells us that the distribution of the sample is not significantly different from a normal distribut</w:t>
      </w:r>
      <w:r w:rsidR="00082F63">
        <w:rPr>
          <w:rFonts w:asciiTheme="minorHAnsi" w:hAnsiTheme="minorHAnsi" w:cstheme="minorHAnsi"/>
          <w:lang w:val="en-US"/>
        </w:rPr>
        <w:t>ion. At the other side, when</w:t>
      </w:r>
      <w:r w:rsidR="00804EDF">
        <w:rPr>
          <w:rFonts w:asciiTheme="minorHAnsi" w:hAnsiTheme="minorHAnsi" w:cstheme="minorHAnsi"/>
          <w:lang w:val="en-US"/>
        </w:rPr>
        <w:t xml:space="preserve"> </w:t>
      </w:r>
      <w:r w:rsidR="00804EDF" w:rsidRPr="00804EDF">
        <w:rPr>
          <w:rFonts w:asciiTheme="minorHAnsi" w:hAnsiTheme="minorHAnsi" w:cstheme="minorHAnsi"/>
          <w:i/>
          <w:lang w:val="en-US"/>
        </w:rPr>
        <w:t>p</w:t>
      </w:r>
      <w:r w:rsidR="00082F63">
        <w:rPr>
          <w:rFonts w:asciiTheme="minorHAnsi" w:hAnsiTheme="minorHAnsi" w:cstheme="minorHAnsi"/>
          <w:lang w:val="en-US"/>
        </w:rPr>
        <w:t xml:space="preserve"> &lt; 0.05, the result of the test</w:t>
      </w:r>
      <w:r w:rsidR="00804EDF">
        <w:rPr>
          <w:rFonts w:asciiTheme="minorHAnsi" w:hAnsiTheme="minorHAnsi" w:cstheme="minorHAnsi"/>
          <w:lang w:val="en-US"/>
        </w:rPr>
        <w:t xml:space="preserve"> is significant, which means that the distribution of the selected sample is significantly different from a normal distribution.</w:t>
      </w:r>
      <w:r w:rsidR="001C762C">
        <w:rPr>
          <w:rFonts w:asciiTheme="minorHAnsi" w:hAnsiTheme="minorHAnsi" w:cstheme="minorHAnsi"/>
          <w:lang w:val="en-US"/>
        </w:rPr>
        <w:t xml:space="preserve"> Limitation of this test is that with large sample sizes you get very easy significant results from small deviations from normality, and therefore this test  does not necessarily tell us whether the deviation from normality is enough to bias any statistical procedures applied to the data.</w:t>
      </w:r>
      <w:r>
        <w:rPr>
          <w:rStyle w:val="Voetnootmarkering"/>
          <w:rFonts w:cstheme="minorHAnsi"/>
          <w:lang w:val="en-US"/>
        </w:rPr>
        <w:footnoteReference w:id="6"/>
      </w:r>
      <w:r w:rsidR="001C762C">
        <w:rPr>
          <w:rFonts w:asciiTheme="minorHAnsi" w:hAnsiTheme="minorHAnsi" w:cstheme="minorHAnsi"/>
          <w:lang w:val="en-US"/>
        </w:rPr>
        <w:t xml:space="preserve"> </w:t>
      </w:r>
      <w:r w:rsidR="00790964">
        <w:rPr>
          <w:rFonts w:asciiTheme="minorHAnsi" w:hAnsiTheme="minorHAnsi" w:cstheme="minorHAnsi"/>
          <w:lang w:val="en-US"/>
        </w:rPr>
        <w:t xml:space="preserve"> </w:t>
      </w:r>
      <w:r w:rsidR="001F5ADB">
        <w:rPr>
          <w:rFonts w:asciiTheme="minorHAnsi" w:hAnsiTheme="minorHAnsi" w:cstheme="minorHAnsi"/>
          <w:lang w:val="en-US"/>
        </w:rPr>
        <w:t xml:space="preserve">In this study, as well as in the study of Foster (1981), the Kolmogorov-Smirnov one-sample test is used to examine the distribution of </w:t>
      </w:r>
      <w:r w:rsidR="001F5ADB" w:rsidRPr="009D3628">
        <w:rPr>
          <w:rFonts w:ascii="Calibri" w:hAnsi="Calibri" w:cs="Calibri"/>
          <w:szCs w:val="22"/>
          <w:lang w:val="en-US"/>
        </w:rPr>
        <w:t>X</w:t>
      </w:r>
      <w:r w:rsidR="001F5ADB" w:rsidRPr="009D3628">
        <w:rPr>
          <w:rFonts w:ascii="Calibri" w:hAnsi="Calibri" w:cs="Calibri"/>
          <w:szCs w:val="22"/>
          <w:vertAlign w:val="subscript"/>
          <w:lang w:val="en-US"/>
        </w:rPr>
        <w:t>it</w:t>
      </w:r>
      <w:r w:rsidR="001F5ADB">
        <w:rPr>
          <w:rFonts w:ascii="Calibri" w:hAnsi="Calibri" w:cs="Calibri"/>
          <w:szCs w:val="22"/>
          <w:vertAlign w:val="subscript"/>
          <w:lang w:val="en-US"/>
        </w:rPr>
        <w:t xml:space="preserve"> </w:t>
      </w:r>
      <w:r w:rsidR="001F5ADB">
        <w:rPr>
          <w:rFonts w:ascii="Calibri" w:hAnsi="Calibri" w:cs="Calibri"/>
          <w:szCs w:val="22"/>
          <w:lang w:val="en-US"/>
        </w:rPr>
        <w:t xml:space="preserve">at (-1,0) vis-à-vis the surrounding two-day trading periods. The </w:t>
      </w:r>
      <w:r w:rsidR="001F5ADB" w:rsidRPr="009D3628">
        <w:rPr>
          <w:rFonts w:ascii="Calibri" w:hAnsi="Calibri" w:cs="Calibri"/>
          <w:szCs w:val="22"/>
          <w:lang w:val="en-US"/>
        </w:rPr>
        <w:t>X</w:t>
      </w:r>
      <w:r w:rsidR="001F5ADB" w:rsidRPr="009D3628">
        <w:rPr>
          <w:rFonts w:ascii="Calibri" w:hAnsi="Calibri" w:cs="Calibri"/>
          <w:szCs w:val="22"/>
          <w:vertAlign w:val="subscript"/>
          <w:lang w:val="en-US"/>
        </w:rPr>
        <w:t>it</w:t>
      </w:r>
      <w:r w:rsidR="001F5ADB">
        <w:rPr>
          <w:rFonts w:ascii="Calibri" w:hAnsi="Calibri" w:cs="Calibri"/>
          <w:szCs w:val="22"/>
          <w:vertAlign w:val="subscript"/>
          <w:lang w:val="en-US"/>
        </w:rPr>
        <w:t xml:space="preserve"> </w:t>
      </w:r>
      <w:r w:rsidR="001F5ADB">
        <w:rPr>
          <w:rFonts w:ascii="Calibri" w:hAnsi="Calibri" w:cs="Calibri"/>
          <w:szCs w:val="22"/>
          <w:lang w:val="en-US"/>
        </w:rPr>
        <w:t>values for each firm</w:t>
      </w:r>
      <w:r w:rsidR="00082F63">
        <w:rPr>
          <w:rFonts w:ascii="Calibri" w:hAnsi="Calibri" w:cs="Calibri"/>
          <w:szCs w:val="22"/>
          <w:lang w:val="en-US"/>
        </w:rPr>
        <w:t>-year are calculated for all</w:t>
      </w:r>
      <w:r w:rsidR="001F5ADB">
        <w:rPr>
          <w:rFonts w:ascii="Calibri" w:hAnsi="Calibri" w:cs="Calibri"/>
          <w:szCs w:val="22"/>
          <w:lang w:val="en-US"/>
        </w:rPr>
        <w:t xml:space="preserve"> two-day trading windows and ranked as shown in tables 3 and 4. Under the null hypothesis, which implies normal distribution, the earnings announcement should have no effect. In that case the </w:t>
      </w:r>
      <w:r w:rsidR="001F5ADB" w:rsidRPr="009D3628">
        <w:rPr>
          <w:rFonts w:ascii="Calibri" w:hAnsi="Calibri" w:cs="Calibri"/>
          <w:szCs w:val="22"/>
          <w:lang w:val="en-US"/>
        </w:rPr>
        <w:t>X</w:t>
      </w:r>
      <w:r w:rsidR="001F5ADB" w:rsidRPr="009D3628">
        <w:rPr>
          <w:rFonts w:ascii="Calibri" w:hAnsi="Calibri" w:cs="Calibri"/>
          <w:szCs w:val="22"/>
          <w:vertAlign w:val="subscript"/>
          <w:lang w:val="en-US"/>
        </w:rPr>
        <w:t>it</w:t>
      </w:r>
      <w:r w:rsidR="001F5ADB">
        <w:rPr>
          <w:rFonts w:ascii="Calibri" w:hAnsi="Calibri" w:cs="Calibri"/>
          <w:szCs w:val="22"/>
          <w:vertAlign w:val="subscript"/>
          <w:lang w:val="en-US"/>
        </w:rPr>
        <w:t xml:space="preserve"> </w:t>
      </w:r>
      <w:r w:rsidR="001F5ADB">
        <w:rPr>
          <w:rFonts w:ascii="Calibri" w:hAnsi="Calibri" w:cs="Calibri"/>
          <w:szCs w:val="22"/>
          <w:lang w:val="en-US"/>
        </w:rPr>
        <w:t>value</w:t>
      </w:r>
      <w:r w:rsidR="001F5ADB">
        <w:rPr>
          <w:rFonts w:ascii="Calibri" w:hAnsi="Calibri" w:cs="Calibri"/>
          <w:szCs w:val="22"/>
          <w:vertAlign w:val="subscript"/>
          <w:lang w:val="en-US"/>
        </w:rPr>
        <w:t xml:space="preserve"> </w:t>
      </w:r>
      <w:r w:rsidR="001F5ADB">
        <w:rPr>
          <w:rFonts w:ascii="Calibri" w:hAnsi="Calibri" w:cs="Calibri"/>
          <w:szCs w:val="22"/>
          <w:lang w:val="en-US"/>
        </w:rPr>
        <w:t>at (-1,0)</w:t>
      </w:r>
      <w:r w:rsidR="00082F63">
        <w:rPr>
          <w:rFonts w:ascii="Calibri" w:hAnsi="Calibri" w:cs="Calibri"/>
          <w:szCs w:val="22"/>
          <w:lang w:val="en-US"/>
        </w:rPr>
        <w:t xml:space="preserve"> </w:t>
      </w:r>
      <w:r w:rsidR="001F5ADB">
        <w:rPr>
          <w:rFonts w:ascii="Calibri" w:hAnsi="Calibri" w:cs="Calibri"/>
          <w:szCs w:val="22"/>
          <w:lang w:val="en-US"/>
        </w:rPr>
        <w:t>should have rank 1  1/11</w:t>
      </w:r>
      <w:r w:rsidR="001F5ADB" w:rsidRPr="001F5ADB">
        <w:rPr>
          <w:rFonts w:ascii="Calibri" w:hAnsi="Calibri" w:cs="Calibri"/>
          <w:szCs w:val="22"/>
          <w:vertAlign w:val="superscript"/>
          <w:lang w:val="en-US"/>
        </w:rPr>
        <w:t>th</w:t>
      </w:r>
      <w:r w:rsidR="001F5ADB">
        <w:rPr>
          <w:rFonts w:ascii="Calibri" w:hAnsi="Calibri" w:cs="Calibri"/>
          <w:szCs w:val="22"/>
          <w:lang w:val="en-US"/>
        </w:rPr>
        <w:t xml:space="preserve">  of the time, rank 2 1/11</w:t>
      </w:r>
      <w:r w:rsidR="001F5ADB" w:rsidRPr="001F5ADB">
        <w:rPr>
          <w:rFonts w:ascii="Calibri" w:hAnsi="Calibri" w:cs="Calibri"/>
          <w:szCs w:val="22"/>
          <w:vertAlign w:val="superscript"/>
          <w:lang w:val="en-US"/>
        </w:rPr>
        <w:t>th</w:t>
      </w:r>
      <w:r w:rsidR="001F5ADB">
        <w:rPr>
          <w:rFonts w:ascii="Calibri" w:hAnsi="Calibri" w:cs="Calibri"/>
          <w:szCs w:val="22"/>
          <w:lang w:val="en-US"/>
        </w:rPr>
        <w:t xml:space="preserve"> of the time and so on. The Kolmogorov-Smirnov test compares the actual distribution of ranks </w:t>
      </w:r>
      <w:r w:rsidR="00E02EB1">
        <w:rPr>
          <w:rFonts w:ascii="Calibri" w:hAnsi="Calibri" w:cs="Calibri"/>
          <w:szCs w:val="22"/>
          <w:lang w:val="en-US"/>
        </w:rPr>
        <w:t xml:space="preserve">as shown in tables 3 and 4 with the theoretical distribution under the null hypothesis which assumes normal distribution, and takes the maximum difference to examine statistical significance (Foster, 1981). </w:t>
      </w:r>
      <w:r w:rsidR="00190343">
        <w:rPr>
          <w:rFonts w:ascii="Calibri" w:hAnsi="Calibri" w:cs="Calibri"/>
          <w:szCs w:val="22"/>
          <w:lang w:val="en-US"/>
        </w:rPr>
        <w:t>Summary statistics for the announcing firms of the Kolmogorov-Smirnov test are:</w:t>
      </w:r>
    </w:p>
    <w:p w:rsidR="008460BC" w:rsidRDefault="00190343" w:rsidP="00190343">
      <w:pPr>
        <w:pStyle w:val="Tabletitle"/>
        <w:rPr>
          <w:rFonts w:ascii="Calibri" w:hAnsi="Calibri" w:cs="Calibri"/>
          <w:sz w:val="22"/>
          <w:szCs w:val="22"/>
          <w:lang w:val="en-US"/>
        </w:rPr>
      </w:pPr>
      <w:r>
        <w:rPr>
          <w:rFonts w:ascii="Calibri" w:hAnsi="Calibri" w:cs="Calibri"/>
          <w:sz w:val="22"/>
          <w:szCs w:val="22"/>
          <w:lang w:val="en-US"/>
        </w:rPr>
        <w:t>Table 5</w:t>
      </w:r>
      <w:r w:rsidRPr="009D3628">
        <w:rPr>
          <w:rFonts w:ascii="Calibri" w:hAnsi="Calibri" w:cs="Calibri"/>
          <w:sz w:val="22"/>
          <w:szCs w:val="22"/>
          <w:lang w:val="en-US"/>
        </w:rPr>
        <w:t xml:space="preserve">: </w:t>
      </w:r>
      <w:r>
        <w:rPr>
          <w:rFonts w:ascii="Calibri" w:hAnsi="Calibri" w:cs="Calibri"/>
          <w:sz w:val="22"/>
          <w:szCs w:val="22"/>
          <w:lang w:val="en-US"/>
        </w:rPr>
        <w:t xml:space="preserve"> Kolmogorov-Smirnov test announcing firms </w:t>
      </w:r>
      <w:r w:rsidR="00CB0BEE">
        <w:rPr>
          <w:rFonts w:ascii="Calibri" w:hAnsi="Calibri" w:cs="Calibri"/>
          <w:sz w:val="22"/>
          <w:szCs w:val="22"/>
          <w:lang w:val="en-US"/>
        </w:rPr>
        <w:t>Pre- and Post-IFRS periods</w:t>
      </w:r>
    </w:p>
    <w:p w:rsidR="00190343" w:rsidRPr="00190343" w:rsidRDefault="00190343" w:rsidP="00190343">
      <w:pPr>
        <w:pStyle w:val="Tabletext"/>
        <w:rPr>
          <w:lang w:val="en-US"/>
        </w:rPr>
      </w:pPr>
    </w:p>
    <w:tbl>
      <w:tblPr>
        <w:tblStyle w:val="Tabelraster"/>
        <w:tblW w:w="4841"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1221"/>
        <w:gridCol w:w="2148"/>
        <w:gridCol w:w="2267"/>
        <w:gridCol w:w="3686"/>
      </w:tblGrid>
      <w:tr w:rsidR="00A41792" w:rsidRPr="00186C61" w:rsidTr="00190343">
        <w:trPr>
          <w:trHeight w:val="154"/>
        </w:trPr>
        <w:tc>
          <w:tcPr>
            <w:tcW w:w="655" w:type="pct"/>
            <w:shd w:val="clear" w:color="auto" w:fill="999999"/>
          </w:tcPr>
          <w:p w:rsidR="00A41792" w:rsidRPr="009D3628" w:rsidRDefault="00CB0BEE" w:rsidP="00A41792">
            <w:pPr>
              <w:pStyle w:val="Tableheading1"/>
              <w:rPr>
                <w:rFonts w:ascii="Calibri" w:hAnsi="Calibri" w:cs="Calibri"/>
                <w:lang w:val="en-US"/>
              </w:rPr>
            </w:pPr>
            <w:r>
              <w:rPr>
                <w:rFonts w:ascii="Calibri" w:hAnsi="Calibri" w:cs="Calibri"/>
                <w:lang w:val="en-US"/>
              </w:rPr>
              <w:t>Sample</w:t>
            </w:r>
          </w:p>
        </w:tc>
        <w:tc>
          <w:tcPr>
            <w:tcW w:w="1152" w:type="pct"/>
            <w:shd w:val="clear" w:color="auto" w:fill="999999"/>
          </w:tcPr>
          <w:p w:rsidR="00A41792" w:rsidRPr="00190343" w:rsidRDefault="00A41792" w:rsidP="00A41792">
            <w:pPr>
              <w:pStyle w:val="Tabletext"/>
              <w:rPr>
                <w:rFonts w:ascii="Calibri" w:hAnsi="Calibri" w:cs="Calibri"/>
                <w:b/>
                <w:lang w:val="en-US"/>
              </w:rPr>
            </w:pPr>
            <w:r w:rsidRPr="00190343">
              <w:rPr>
                <w:rFonts w:ascii="Calibri" w:hAnsi="Calibri" w:cs="Calibri"/>
                <w:b/>
                <w:lang w:val="en-US"/>
              </w:rPr>
              <w:t>Average X</w:t>
            </w:r>
            <w:r w:rsidRPr="00190343">
              <w:rPr>
                <w:rFonts w:ascii="Calibri" w:hAnsi="Calibri" w:cs="Calibri"/>
                <w:b/>
                <w:vertAlign w:val="subscript"/>
                <w:lang w:val="en-US"/>
              </w:rPr>
              <w:t xml:space="preserve">it </w:t>
            </w:r>
            <w:r w:rsidRPr="00190343">
              <w:rPr>
                <w:rFonts w:ascii="Calibri" w:hAnsi="Calibri" w:cs="Calibri"/>
                <w:b/>
                <w:lang w:val="en-US"/>
              </w:rPr>
              <w:t>at (-1,0) for full sample</w:t>
            </w:r>
          </w:p>
        </w:tc>
        <w:tc>
          <w:tcPr>
            <w:tcW w:w="1216" w:type="pct"/>
            <w:shd w:val="clear" w:color="auto" w:fill="999999"/>
          </w:tcPr>
          <w:p w:rsidR="00A41792" w:rsidRPr="00190343" w:rsidRDefault="00A41792" w:rsidP="00A41792">
            <w:pPr>
              <w:pStyle w:val="Tabletext"/>
              <w:rPr>
                <w:rFonts w:ascii="Calibri" w:hAnsi="Calibri" w:cs="Calibri"/>
                <w:b/>
                <w:lang w:val="en-US"/>
              </w:rPr>
            </w:pPr>
            <w:r w:rsidRPr="00190343">
              <w:rPr>
                <w:rFonts w:ascii="Calibri" w:hAnsi="Calibri" w:cs="Calibri"/>
                <w:b/>
                <w:lang w:val="en-US"/>
              </w:rPr>
              <w:t>Number of observations</w:t>
            </w:r>
          </w:p>
        </w:tc>
        <w:tc>
          <w:tcPr>
            <w:tcW w:w="1977" w:type="pct"/>
            <w:shd w:val="clear" w:color="auto" w:fill="999999"/>
          </w:tcPr>
          <w:p w:rsidR="00A41792" w:rsidRPr="00190343" w:rsidRDefault="00190343" w:rsidP="00A41792">
            <w:pPr>
              <w:pStyle w:val="Tabletext"/>
              <w:rPr>
                <w:rFonts w:ascii="Calibri" w:hAnsi="Calibri" w:cs="Calibri"/>
                <w:b/>
                <w:lang w:val="en-US"/>
              </w:rPr>
            </w:pPr>
            <w:r w:rsidRPr="00190343">
              <w:rPr>
                <w:rFonts w:ascii="Calibri" w:hAnsi="Calibri" w:cs="Calibri"/>
                <w:b/>
                <w:lang w:val="en-US"/>
              </w:rPr>
              <w:t>Significance level of Kolmogorov-Smirnov test</w:t>
            </w:r>
          </w:p>
        </w:tc>
      </w:tr>
      <w:tr w:rsidR="00A41792" w:rsidRPr="009D3628" w:rsidTr="00190343">
        <w:trPr>
          <w:trHeight w:val="278"/>
        </w:trPr>
        <w:tc>
          <w:tcPr>
            <w:tcW w:w="655" w:type="pct"/>
            <w:vAlign w:val="bottom"/>
          </w:tcPr>
          <w:p w:rsidR="00A41792" w:rsidRPr="009D3628" w:rsidRDefault="00CB0BEE" w:rsidP="00A41792">
            <w:pPr>
              <w:overflowPunct/>
              <w:autoSpaceDE/>
              <w:autoSpaceDN/>
              <w:adjustRightInd/>
              <w:spacing w:line="240" w:lineRule="auto"/>
              <w:textAlignment w:val="auto"/>
              <w:rPr>
                <w:rFonts w:ascii="Calibri" w:hAnsi="Calibri" w:cs="Calibri"/>
                <w:lang w:val="en-US"/>
              </w:rPr>
            </w:pPr>
            <w:r>
              <w:rPr>
                <w:rFonts w:ascii="Calibri" w:hAnsi="Calibri" w:cs="Calibri"/>
                <w:lang w:val="en-US"/>
              </w:rPr>
              <w:t>Pre-IFRS</w:t>
            </w:r>
          </w:p>
        </w:tc>
        <w:tc>
          <w:tcPr>
            <w:tcW w:w="1152" w:type="pct"/>
            <w:vAlign w:val="bottom"/>
          </w:tcPr>
          <w:p w:rsidR="00A41792" w:rsidRPr="009D3628" w:rsidRDefault="00190343" w:rsidP="00A41792">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1,80</w:t>
            </w:r>
          </w:p>
        </w:tc>
        <w:tc>
          <w:tcPr>
            <w:tcW w:w="1216" w:type="pct"/>
            <w:vAlign w:val="bottom"/>
          </w:tcPr>
          <w:p w:rsidR="00A41792" w:rsidRPr="009D3628" w:rsidRDefault="00190343" w:rsidP="00A41792">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39</w:t>
            </w:r>
          </w:p>
        </w:tc>
        <w:tc>
          <w:tcPr>
            <w:tcW w:w="1977" w:type="pct"/>
            <w:vAlign w:val="bottom"/>
          </w:tcPr>
          <w:p w:rsidR="00A41792" w:rsidRPr="009D3628" w:rsidRDefault="00190343" w:rsidP="00A41792">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0,01</w:t>
            </w:r>
          </w:p>
        </w:tc>
      </w:tr>
      <w:tr w:rsidR="00CB0BEE" w:rsidRPr="009D3628" w:rsidTr="00190343">
        <w:trPr>
          <w:trHeight w:val="278"/>
        </w:trPr>
        <w:tc>
          <w:tcPr>
            <w:tcW w:w="655" w:type="pct"/>
            <w:vAlign w:val="bottom"/>
          </w:tcPr>
          <w:p w:rsidR="00CB0BEE" w:rsidRDefault="00CB0BEE" w:rsidP="00A41792">
            <w:pPr>
              <w:overflowPunct/>
              <w:autoSpaceDE/>
              <w:autoSpaceDN/>
              <w:adjustRightInd/>
              <w:spacing w:line="240" w:lineRule="auto"/>
              <w:textAlignment w:val="auto"/>
              <w:rPr>
                <w:rFonts w:ascii="Calibri" w:hAnsi="Calibri" w:cs="Calibri"/>
                <w:lang w:val="en-US"/>
              </w:rPr>
            </w:pPr>
            <w:r>
              <w:rPr>
                <w:rFonts w:ascii="Calibri" w:hAnsi="Calibri" w:cs="Calibri"/>
                <w:lang w:val="en-US"/>
              </w:rPr>
              <w:t>Post-IFRS</w:t>
            </w:r>
          </w:p>
        </w:tc>
        <w:tc>
          <w:tcPr>
            <w:tcW w:w="1152" w:type="pct"/>
            <w:vAlign w:val="bottom"/>
          </w:tcPr>
          <w:p w:rsidR="00CB0BEE" w:rsidRPr="009D3628" w:rsidRDefault="00CB0BEE" w:rsidP="00DF69A9">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4,08</w:t>
            </w:r>
          </w:p>
        </w:tc>
        <w:tc>
          <w:tcPr>
            <w:tcW w:w="1216" w:type="pct"/>
            <w:vAlign w:val="bottom"/>
          </w:tcPr>
          <w:p w:rsidR="00CB0BEE" w:rsidRPr="009D3628" w:rsidRDefault="00CB0BEE" w:rsidP="00DF69A9">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61</w:t>
            </w:r>
          </w:p>
        </w:tc>
        <w:tc>
          <w:tcPr>
            <w:tcW w:w="1977" w:type="pct"/>
            <w:vAlign w:val="bottom"/>
          </w:tcPr>
          <w:p w:rsidR="00CB0BEE" w:rsidRPr="009D3628" w:rsidRDefault="00CB0BEE" w:rsidP="00DF69A9">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0,01</w:t>
            </w:r>
          </w:p>
        </w:tc>
      </w:tr>
    </w:tbl>
    <w:p w:rsidR="00C51D3B" w:rsidRDefault="00C51D3B" w:rsidP="00C51D3B">
      <w:pPr>
        <w:pStyle w:val="Tabletitle"/>
        <w:rPr>
          <w:rFonts w:ascii="Calibri" w:hAnsi="Calibri" w:cs="Calibri"/>
          <w:sz w:val="22"/>
          <w:szCs w:val="22"/>
          <w:lang w:val="en-US"/>
        </w:rPr>
      </w:pPr>
    </w:p>
    <w:p w:rsidR="00C51D3B" w:rsidRDefault="00C51D3B" w:rsidP="00C51D3B">
      <w:pPr>
        <w:pStyle w:val="Tabletitle"/>
        <w:rPr>
          <w:rFonts w:ascii="Calibri" w:hAnsi="Calibri" w:cs="Calibri"/>
          <w:sz w:val="22"/>
          <w:szCs w:val="22"/>
          <w:vertAlign w:val="superscript"/>
          <w:lang w:val="en-US"/>
        </w:rPr>
      </w:pPr>
      <w:r w:rsidRPr="00C51D3B">
        <w:rPr>
          <w:rFonts w:ascii="Calibri" w:hAnsi="Calibri" w:cs="Calibri"/>
          <w:sz w:val="22"/>
          <w:szCs w:val="22"/>
          <w:lang w:val="en-US"/>
        </w:rPr>
        <w:t>Table 6: Non-directional test of information transfer; average X</w:t>
      </w:r>
      <w:r w:rsidRPr="00C51D3B">
        <w:rPr>
          <w:rFonts w:ascii="Calibri" w:hAnsi="Calibri" w:cs="Calibri"/>
          <w:sz w:val="22"/>
          <w:szCs w:val="22"/>
          <w:vertAlign w:val="subscript"/>
          <w:lang w:val="en-US"/>
        </w:rPr>
        <w:t xml:space="preserve">it </w:t>
      </w:r>
      <w:r w:rsidRPr="00C51D3B">
        <w:rPr>
          <w:rFonts w:ascii="Calibri" w:hAnsi="Calibri" w:cs="Calibri"/>
          <w:sz w:val="22"/>
          <w:szCs w:val="22"/>
          <w:lang w:val="en-US"/>
        </w:rPr>
        <w:t>at (-1,0) for single release observations</w:t>
      </w:r>
      <w:r>
        <w:rPr>
          <w:rFonts w:ascii="Calibri" w:hAnsi="Calibri" w:cs="Calibri"/>
          <w:sz w:val="22"/>
          <w:szCs w:val="22"/>
          <w:lang w:val="en-US"/>
        </w:rPr>
        <w:t xml:space="preserve"> for the Pre</w:t>
      </w:r>
      <w:r w:rsidR="00E453AC">
        <w:rPr>
          <w:rFonts w:ascii="Calibri" w:hAnsi="Calibri" w:cs="Calibri"/>
          <w:sz w:val="22"/>
          <w:szCs w:val="22"/>
          <w:lang w:val="en-US"/>
        </w:rPr>
        <w:t xml:space="preserve"> </w:t>
      </w:r>
      <w:r>
        <w:rPr>
          <w:rFonts w:ascii="Calibri" w:hAnsi="Calibri" w:cs="Calibri"/>
          <w:sz w:val="22"/>
          <w:szCs w:val="22"/>
          <w:lang w:val="en-US"/>
        </w:rPr>
        <w:t>-IFRS period</w:t>
      </w:r>
      <w:r w:rsidRPr="00C51D3B">
        <w:rPr>
          <w:rFonts w:ascii="Calibri" w:hAnsi="Calibri" w:cs="Calibri"/>
          <w:sz w:val="22"/>
          <w:szCs w:val="22"/>
          <w:lang w:val="en-US"/>
        </w:rPr>
        <w:t>.</w:t>
      </w:r>
      <w:r>
        <w:rPr>
          <w:rFonts w:ascii="Calibri" w:hAnsi="Calibri" w:cs="Calibri"/>
          <w:sz w:val="22"/>
          <w:szCs w:val="22"/>
          <w:vertAlign w:val="superscript"/>
          <w:lang w:val="en-US"/>
        </w:rPr>
        <w:t>a</w:t>
      </w:r>
    </w:p>
    <w:p w:rsidR="00E453AC" w:rsidRDefault="00E453AC" w:rsidP="00C51D3B">
      <w:pPr>
        <w:pStyle w:val="Tabletext"/>
        <w:rPr>
          <w:rFonts w:asciiTheme="minorHAnsi" w:hAnsiTheme="minorHAnsi" w:cstheme="minorHAnsi"/>
          <w:i/>
          <w:lang w:val="en-US"/>
        </w:rPr>
      </w:pPr>
    </w:p>
    <w:p w:rsidR="00C51D3B" w:rsidRPr="00E453AC" w:rsidRDefault="00C51D3B" w:rsidP="00C51D3B">
      <w:pPr>
        <w:pStyle w:val="Tabletext"/>
        <w:rPr>
          <w:rFonts w:asciiTheme="minorHAnsi" w:hAnsiTheme="minorHAnsi" w:cstheme="minorHAnsi"/>
          <w:i/>
          <w:vertAlign w:val="superscript"/>
          <w:lang w:val="en-US"/>
        </w:rPr>
      </w:pPr>
      <w:r w:rsidRPr="00C51D3B">
        <w:rPr>
          <w:rFonts w:asciiTheme="minorHAnsi" w:hAnsiTheme="minorHAnsi" w:cstheme="minorHAnsi"/>
          <w:i/>
          <w:lang w:val="en-US"/>
        </w:rPr>
        <w:t>Panel 1: Announcing firms</w:t>
      </w:r>
      <w:r w:rsidR="00E453AC">
        <w:rPr>
          <w:rFonts w:asciiTheme="minorHAnsi" w:hAnsiTheme="minorHAnsi" w:cstheme="minorHAnsi"/>
          <w:i/>
          <w:lang w:val="en-US"/>
        </w:rPr>
        <w:tab/>
      </w:r>
      <w:r w:rsidR="00E453AC">
        <w:rPr>
          <w:rFonts w:asciiTheme="minorHAnsi" w:hAnsiTheme="minorHAnsi" w:cstheme="minorHAnsi"/>
          <w:i/>
          <w:lang w:val="en-US"/>
        </w:rPr>
        <w:tab/>
      </w:r>
      <w:r w:rsidR="00E453AC">
        <w:rPr>
          <w:rFonts w:asciiTheme="minorHAnsi" w:hAnsiTheme="minorHAnsi" w:cstheme="minorHAnsi"/>
          <w:i/>
          <w:lang w:val="en-US"/>
        </w:rPr>
        <w:tab/>
      </w:r>
      <w:r w:rsidR="00E453AC">
        <w:rPr>
          <w:rFonts w:asciiTheme="minorHAnsi" w:hAnsiTheme="minorHAnsi" w:cstheme="minorHAnsi"/>
          <w:i/>
          <w:lang w:val="en-US"/>
        </w:rPr>
        <w:tab/>
      </w:r>
      <w:r w:rsidR="00E453AC">
        <w:rPr>
          <w:rFonts w:asciiTheme="minorHAnsi" w:hAnsiTheme="minorHAnsi" w:cstheme="minorHAnsi"/>
          <w:i/>
          <w:lang w:val="en-US"/>
        </w:rPr>
        <w:tab/>
      </w:r>
      <w:r w:rsidR="00E453AC">
        <w:rPr>
          <w:rFonts w:asciiTheme="minorHAnsi" w:hAnsiTheme="minorHAnsi" w:cstheme="minorHAnsi"/>
          <w:i/>
          <w:lang w:val="en-US"/>
        </w:rPr>
        <w:tab/>
        <w:t>Panel 2: Non-announcing firms</w:t>
      </w:r>
      <w:r w:rsidR="00E453AC">
        <w:rPr>
          <w:rFonts w:asciiTheme="minorHAnsi" w:hAnsiTheme="minorHAnsi" w:cstheme="minorHAnsi"/>
          <w:i/>
          <w:vertAlign w:val="superscript"/>
          <w:lang w:val="en-US"/>
        </w:rPr>
        <w:t>b</w:t>
      </w:r>
    </w:p>
    <w:tbl>
      <w:tblPr>
        <w:tblStyle w:val="Tabelraster"/>
        <w:tblpPr w:leftFromText="141" w:rightFromText="141" w:vertAnchor="text" w:horzAnchor="margin" w:tblpY="229"/>
        <w:tblW w:w="2485"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1809"/>
        <w:gridCol w:w="1418"/>
        <w:gridCol w:w="1558"/>
      </w:tblGrid>
      <w:tr w:rsidR="00E453AC" w:rsidRPr="00190343" w:rsidTr="00E453AC">
        <w:trPr>
          <w:trHeight w:val="154"/>
        </w:trPr>
        <w:tc>
          <w:tcPr>
            <w:tcW w:w="1890" w:type="pct"/>
            <w:shd w:val="clear" w:color="auto" w:fill="999999"/>
          </w:tcPr>
          <w:p w:rsidR="00E453AC" w:rsidRPr="009D3628" w:rsidRDefault="00E453AC" w:rsidP="00E453AC">
            <w:pPr>
              <w:pStyle w:val="Tableheading1"/>
              <w:rPr>
                <w:rFonts w:ascii="Calibri" w:hAnsi="Calibri" w:cs="Calibri"/>
                <w:lang w:val="en-US"/>
              </w:rPr>
            </w:pPr>
            <w:r>
              <w:rPr>
                <w:rFonts w:ascii="Calibri" w:hAnsi="Calibri" w:cs="Calibri"/>
                <w:lang w:val="en-US"/>
              </w:rPr>
              <w:lastRenderedPageBreak/>
              <w:t>Groups</w:t>
            </w:r>
          </w:p>
        </w:tc>
        <w:tc>
          <w:tcPr>
            <w:tcW w:w="1482" w:type="pct"/>
            <w:shd w:val="clear" w:color="auto" w:fill="999999"/>
          </w:tcPr>
          <w:p w:rsidR="00E453AC" w:rsidRPr="00C956EA" w:rsidRDefault="00E453AC" w:rsidP="00E453AC">
            <w:pPr>
              <w:pStyle w:val="Tabletext"/>
              <w:rPr>
                <w:rFonts w:ascii="Calibri" w:hAnsi="Calibri" w:cs="Calibri"/>
                <w:b/>
                <w:lang w:val="en-US"/>
              </w:rPr>
            </w:pPr>
            <w:r w:rsidRPr="00190343">
              <w:rPr>
                <w:rFonts w:ascii="Calibri" w:hAnsi="Calibri" w:cs="Calibri"/>
                <w:b/>
                <w:lang w:val="en-US"/>
              </w:rPr>
              <w:t>X</w:t>
            </w:r>
            <w:r w:rsidRPr="00190343">
              <w:rPr>
                <w:rFonts w:ascii="Calibri" w:hAnsi="Calibri" w:cs="Calibri"/>
                <w:b/>
                <w:vertAlign w:val="subscript"/>
                <w:lang w:val="en-US"/>
              </w:rPr>
              <w:t xml:space="preserve">it </w:t>
            </w:r>
            <w:r w:rsidR="00C956EA">
              <w:rPr>
                <w:rFonts w:ascii="Calibri" w:hAnsi="Calibri" w:cs="Calibri"/>
                <w:b/>
                <w:lang w:val="en-US"/>
              </w:rPr>
              <w:t>at (-1,0)</w:t>
            </w:r>
          </w:p>
        </w:tc>
        <w:tc>
          <w:tcPr>
            <w:tcW w:w="1628" w:type="pct"/>
            <w:shd w:val="clear" w:color="auto" w:fill="999999"/>
          </w:tcPr>
          <w:p w:rsidR="00E453AC" w:rsidRPr="00190343" w:rsidRDefault="00E453AC" w:rsidP="00E453AC">
            <w:pPr>
              <w:pStyle w:val="Tabletext"/>
              <w:rPr>
                <w:rFonts w:ascii="Calibri" w:hAnsi="Calibri" w:cs="Calibri"/>
                <w:b/>
                <w:lang w:val="en-US"/>
              </w:rPr>
            </w:pPr>
            <w:r>
              <w:rPr>
                <w:rFonts w:ascii="Calibri" w:hAnsi="Calibri" w:cs="Calibri"/>
                <w:b/>
                <w:lang w:val="en-US"/>
              </w:rPr>
              <w:t>% of total sample</w:t>
            </w:r>
          </w:p>
        </w:tc>
      </w:tr>
      <w:tr w:rsidR="00E453AC" w:rsidRPr="009D3628" w:rsidTr="00E453AC">
        <w:trPr>
          <w:trHeight w:val="278"/>
        </w:trPr>
        <w:tc>
          <w:tcPr>
            <w:tcW w:w="1890" w:type="pct"/>
            <w:vAlign w:val="bottom"/>
          </w:tcPr>
          <w:p w:rsidR="00E453AC" w:rsidRPr="009D3628"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A: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&gt; 6</w:t>
            </w:r>
          </w:p>
        </w:tc>
        <w:tc>
          <w:tcPr>
            <w:tcW w:w="1482" w:type="pct"/>
            <w:vAlign w:val="bottom"/>
          </w:tcPr>
          <w:p w:rsidR="00E453AC" w:rsidRDefault="00E453AC" w:rsidP="00540E1B">
            <w:pPr>
              <w:rPr>
                <w:rFonts w:ascii="Arial" w:hAnsi="Arial" w:cs="Arial"/>
              </w:rPr>
            </w:pPr>
            <w:r>
              <w:rPr>
                <w:rFonts w:ascii="Arial" w:hAnsi="Arial" w:cs="Arial"/>
              </w:rPr>
              <w:t>8,19</w:t>
            </w:r>
          </w:p>
        </w:tc>
        <w:tc>
          <w:tcPr>
            <w:tcW w:w="1628" w:type="pct"/>
            <w:vAlign w:val="bottom"/>
          </w:tcPr>
          <w:p w:rsidR="00E453AC" w:rsidRDefault="00E453AC" w:rsidP="00540E1B">
            <w:pPr>
              <w:rPr>
                <w:rFonts w:ascii="Arial" w:hAnsi="Arial" w:cs="Arial"/>
              </w:rPr>
            </w:pPr>
            <w:r>
              <w:rPr>
                <w:rFonts w:ascii="Arial" w:hAnsi="Arial" w:cs="Arial"/>
              </w:rPr>
              <w:t>10%</w:t>
            </w:r>
          </w:p>
        </w:tc>
      </w:tr>
      <w:tr w:rsidR="00E453AC" w:rsidRPr="009D3628" w:rsidTr="00E453AC">
        <w:trPr>
          <w:trHeight w:val="278"/>
        </w:trPr>
        <w:tc>
          <w:tcPr>
            <w:tcW w:w="1890" w:type="pct"/>
            <w:vAlign w:val="bottom"/>
          </w:tcPr>
          <w:p w:rsidR="00E453AC"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B: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4-6</w:t>
            </w:r>
          </w:p>
        </w:tc>
        <w:tc>
          <w:tcPr>
            <w:tcW w:w="1482" w:type="pct"/>
            <w:vAlign w:val="bottom"/>
          </w:tcPr>
          <w:p w:rsidR="00E453AC" w:rsidRDefault="00E453AC" w:rsidP="00540E1B">
            <w:pPr>
              <w:rPr>
                <w:rFonts w:ascii="Arial" w:hAnsi="Arial" w:cs="Arial"/>
              </w:rPr>
            </w:pPr>
            <w:r>
              <w:rPr>
                <w:rFonts w:ascii="Arial" w:hAnsi="Arial" w:cs="Arial"/>
              </w:rPr>
              <w:t>5,68</w:t>
            </w:r>
          </w:p>
        </w:tc>
        <w:tc>
          <w:tcPr>
            <w:tcW w:w="1628" w:type="pct"/>
            <w:vAlign w:val="bottom"/>
          </w:tcPr>
          <w:p w:rsidR="00E453AC" w:rsidRDefault="00E453AC" w:rsidP="00540E1B">
            <w:pPr>
              <w:rPr>
                <w:rFonts w:ascii="Arial" w:hAnsi="Arial" w:cs="Arial"/>
              </w:rPr>
            </w:pPr>
            <w:r>
              <w:rPr>
                <w:rFonts w:ascii="Arial" w:hAnsi="Arial" w:cs="Arial"/>
              </w:rPr>
              <w:t>5%</w:t>
            </w:r>
          </w:p>
        </w:tc>
      </w:tr>
      <w:tr w:rsidR="00E453AC" w:rsidRPr="009D3628" w:rsidTr="00E453AC">
        <w:trPr>
          <w:trHeight w:val="278"/>
        </w:trPr>
        <w:tc>
          <w:tcPr>
            <w:tcW w:w="1890" w:type="pct"/>
            <w:vAlign w:val="bottom"/>
          </w:tcPr>
          <w:p w:rsidR="00E453AC"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C: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3-4</w:t>
            </w:r>
          </w:p>
        </w:tc>
        <w:tc>
          <w:tcPr>
            <w:tcW w:w="1482" w:type="pct"/>
            <w:vAlign w:val="bottom"/>
          </w:tcPr>
          <w:p w:rsidR="00E453AC" w:rsidRDefault="00E453AC" w:rsidP="00540E1B">
            <w:pPr>
              <w:rPr>
                <w:rFonts w:ascii="Arial" w:hAnsi="Arial" w:cs="Arial"/>
              </w:rPr>
            </w:pPr>
            <w:r>
              <w:rPr>
                <w:rFonts w:ascii="Arial" w:hAnsi="Arial" w:cs="Arial"/>
              </w:rPr>
              <w:t>3,76</w:t>
            </w:r>
          </w:p>
        </w:tc>
        <w:tc>
          <w:tcPr>
            <w:tcW w:w="1628" w:type="pct"/>
            <w:vAlign w:val="bottom"/>
          </w:tcPr>
          <w:p w:rsidR="00E453AC" w:rsidRDefault="00E453AC" w:rsidP="00540E1B">
            <w:pPr>
              <w:rPr>
                <w:rFonts w:ascii="Arial" w:hAnsi="Arial" w:cs="Arial"/>
              </w:rPr>
            </w:pPr>
            <w:r>
              <w:rPr>
                <w:rFonts w:ascii="Arial" w:hAnsi="Arial" w:cs="Arial"/>
              </w:rPr>
              <w:t>3%</w:t>
            </w:r>
          </w:p>
        </w:tc>
      </w:tr>
      <w:tr w:rsidR="00E453AC" w:rsidRPr="009D3628" w:rsidTr="00E453AC">
        <w:trPr>
          <w:trHeight w:val="278"/>
        </w:trPr>
        <w:tc>
          <w:tcPr>
            <w:tcW w:w="1890" w:type="pct"/>
            <w:vAlign w:val="bottom"/>
          </w:tcPr>
          <w:p w:rsidR="00E453AC"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D: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2-3</w:t>
            </w:r>
          </w:p>
        </w:tc>
        <w:tc>
          <w:tcPr>
            <w:tcW w:w="1482" w:type="pct"/>
            <w:vAlign w:val="bottom"/>
          </w:tcPr>
          <w:p w:rsidR="00E453AC" w:rsidRDefault="00E453AC" w:rsidP="00540E1B">
            <w:pPr>
              <w:rPr>
                <w:rFonts w:ascii="Arial" w:hAnsi="Arial" w:cs="Arial"/>
              </w:rPr>
            </w:pPr>
            <w:r>
              <w:rPr>
                <w:rFonts w:ascii="Arial" w:hAnsi="Arial" w:cs="Arial"/>
              </w:rPr>
              <w:t>2,42</w:t>
            </w:r>
          </w:p>
        </w:tc>
        <w:tc>
          <w:tcPr>
            <w:tcW w:w="1628" w:type="pct"/>
            <w:vAlign w:val="bottom"/>
          </w:tcPr>
          <w:p w:rsidR="00E453AC" w:rsidRDefault="00E453AC" w:rsidP="00540E1B">
            <w:pPr>
              <w:rPr>
                <w:rFonts w:ascii="Arial" w:hAnsi="Arial" w:cs="Arial"/>
              </w:rPr>
            </w:pPr>
            <w:r>
              <w:rPr>
                <w:rFonts w:ascii="Arial" w:hAnsi="Arial" w:cs="Arial"/>
              </w:rPr>
              <w:t>15%</w:t>
            </w:r>
          </w:p>
        </w:tc>
      </w:tr>
      <w:tr w:rsidR="00E453AC" w:rsidRPr="009D3628" w:rsidTr="00E453AC">
        <w:trPr>
          <w:trHeight w:val="278"/>
        </w:trPr>
        <w:tc>
          <w:tcPr>
            <w:tcW w:w="1890" w:type="pct"/>
            <w:vAlign w:val="bottom"/>
          </w:tcPr>
          <w:p w:rsidR="00E453AC"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E: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1-2</w:t>
            </w:r>
          </w:p>
        </w:tc>
        <w:tc>
          <w:tcPr>
            <w:tcW w:w="1482" w:type="pct"/>
            <w:vAlign w:val="bottom"/>
          </w:tcPr>
          <w:p w:rsidR="00E453AC" w:rsidRDefault="00E453AC" w:rsidP="00540E1B">
            <w:pPr>
              <w:rPr>
                <w:rFonts w:ascii="Arial" w:hAnsi="Arial" w:cs="Arial"/>
              </w:rPr>
            </w:pPr>
            <w:r>
              <w:rPr>
                <w:rFonts w:ascii="Arial" w:hAnsi="Arial" w:cs="Arial"/>
              </w:rPr>
              <w:t>1,22</w:t>
            </w:r>
          </w:p>
        </w:tc>
        <w:tc>
          <w:tcPr>
            <w:tcW w:w="1628" w:type="pct"/>
            <w:vAlign w:val="bottom"/>
          </w:tcPr>
          <w:p w:rsidR="00E453AC" w:rsidRDefault="00E453AC" w:rsidP="00540E1B">
            <w:pPr>
              <w:rPr>
                <w:rFonts w:ascii="Arial" w:hAnsi="Arial" w:cs="Arial"/>
              </w:rPr>
            </w:pPr>
            <w:r>
              <w:rPr>
                <w:rFonts w:ascii="Arial" w:hAnsi="Arial" w:cs="Arial"/>
              </w:rPr>
              <w:t>5%</w:t>
            </w:r>
          </w:p>
        </w:tc>
      </w:tr>
      <w:tr w:rsidR="00E453AC" w:rsidRPr="009D3628" w:rsidTr="00E453AC">
        <w:trPr>
          <w:trHeight w:val="278"/>
        </w:trPr>
        <w:tc>
          <w:tcPr>
            <w:tcW w:w="1890" w:type="pct"/>
            <w:vAlign w:val="bottom"/>
          </w:tcPr>
          <w:p w:rsidR="00E453AC"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F: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0-1</w:t>
            </w:r>
          </w:p>
        </w:tc>
        <w:tc>
          <w:tcPr>
            <w:tcW w:w="1482" w:type="pct"/>
            <w:vAlign w:val="bottom"/>
          </w:tcPr>
          <w:p w:rsidR="00E453AC" w:rsidRDefault="00E453AC" w:rsidP="00540E1B">
            <w:pPr>
              <w:rPr>
                <w:rFonts w:ascii="Arial" w:hAnsi="Arial" w:cs="Arial"/>
              </w:rPr>
            </w:pPr>
            <w:r>
              <w:rPr>
                <w:rFonts w:ascii="Arial" w:hAnsi="Arial" w:cs="Arial"/>
              </w:rPr>
              <w:t>0,22</w:t>
            </w:r>
          </w:p>
        </w:tc>
        <w:tc>
          <w:tcPr>
            <w:tcW w:w="1628" w:type="pct"/>
            <w:vAlign w:val="bottom"/>
          </w:tcPr>
          <w:p w:rsidR="00E453AC" w:rsidRDefault="00E453AC" w:rsidP="00540E1B">
            <w:pPr>
              <w:rPr>
                <w:rFonts w:ascii="Arial" w:hAnsi="Arial" w:cs="Arial"/>
              </w:rPr>
            </w:pPr>
            <w:r>
              <w:rPr>
                <w:rFonts w:ascii="Arial" w:hAnsi="Arial" w:cs="Arial"/>
              </w:rPr>
              <w:t>62%</w:t>
            </w:r>
          </w:p>
        </w:tc>
      </w:tr>
      <w:tr w:rsidR="00E453AC" w:rsidRPr="009D3628" w:rsidTr="00E453AC">
        <w:trPr>
          <w:trHeight w:val="278"/>
        </w:trPr>
        <w:tc>
          <w:tcPr>
            <w:tcW w:w="1890" w:type="pct"/>
            <w:vAlign w:val="bottom"/>
          </w:tcPr>
          <w:p w:rsidR="00E453AC"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Group A-F: Full sample</w:t>
            </w:r>
          </w:p>
        </w:tc>
        <w:tc>
          <w:tcPr>
            <w:tcW w:w="1482" w:type="pct"/>
            <w:vAlign w:val="bottom"/>
          </w:tcPr>
          <w:p w:rsidR="00E453AC" w:rsidRDefault="00E453AC" w:rsidP="00540E1B">
            <w:pPr>
              <w:rPr>
                <w:rFonts w:ascii="Arial" w:hAnsi="Arial" w:cs="Arial"/>
              </w:rPr>
            </w:pPr>
            <w:r>
              <w:rPr>
                <w:rFonts w:ascii="Arial" w:hAnsi="Arial" w:cs="Arial"/>
              </w:rPr>
              <w:t>1,8</w:t>
            </w:r>
          </w:p>
        </w:tc>
        <w:tc>
          <w:tcPr>
            <w:tcW w:w="1628" w:type="pct"/>
            <w:vAlign w:val="bottom"/>
          </w:tcPr>
          <w:p w:rsidR="00E453AC" w:rsidRDefault="00E453AC" w:rsidP="00540E1B">
            <w:pPr>
              <w:rPr>
                <w:rFonts w:ascii="Arial" w:hAnsi="Arial" w:cs="Arial"/>
              </w:rPr>
            </w:pPr>
            <w:r>
              <w:rPr>
                <w:rFonts w:ascii="Arial" w:hAnsi="Arial" w:cs="Arial"/>
              </w:rPr>
              <w:t>100%</w:t>
            </w:r>
          </w:p>
        </w:tc>
      </w:tr>
    </w:tbl>
    <w:tbl>
      <w:tblPr>
        <w:tblStyle w:val="Tabelraster"/>
        <w:tblpPr w:leftFromText="141" w:rightFromText="141" w:vertAnchor="text" w:horzAnchor="margin" w:tblpXSpec="right" w:tblpY="229"/>
        <w:tblW w:w="2485"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1809"/>
        <w:gridCol w:w="1418"/>
        <w:gridCol w:w="1558"/>
      </w:tblGrid>
      <w:tr w:rsidR="00E453AC" w:rsidRPr="00190343" w:rsidTr="00E453AC">
        <w:trPr>
          <w:trHeight w:val="154"/>
        </w:trPr>
        <w:tc>
          <w:tcPr>
            <w:tcW w:w="1890" w:type="pct"/>
            <w:shd w:val="clear" w:color="auto" w:fill="999999"/>
          </w:tcPr>
          <w:p w:rsidR="00E453AC" w:rsidRPr="009D3628" w:rsidRDefault="00E453AC" w:rsidP="00E453AC">
            <w:pPr>
              <w:pStyle w:val="Tableheading1"/>
              <w:rPr>
                <w:rFonts w:ascii="Calibri" w:hAnsi="Calibri" w:cs="Calibri"/>
                <w:lang w:val="en-US"/>
              </w:rPr>
            </w:pPr>
            <w:r>
              <w:rPr>
                <w:rFonts w:ascii="Calibri" w:hAnsi="Calibri" w:cs="Calibri"/>
                <w:lang w:val="en-US"/>
              </w:rPr>
              <w:t>Groups</w:t>
            </w:r>
          </w:p>
        </w:tc>
        <w:tc>
          <w:tcPr>
            <w:tcW w:w="1482" w:type="pct"/>
            <w:shd w:val="clear" w:color="auto" w:fill="999999"/>
          </w:tcPr>
          <w:p w:rsidR="00E453AC" w:rsidRPr="00C956EA" w:rsidRDefault="00E453AC" w:rsidP="00E453AC">
            <w:pPr>
              <w:pStyle w:val="Tabletext"/>
              <w:rPr>
                <w:rFonts w:ascii="Calibri" w:hAnsi="Calibri" w:cs="Calibri"/>
                <w:b/>
                <w:lang w:val="en-US"/>
              </w:rPr>
            </w:pPr>
            <w:r w:rsidRPr="00190343">
              <w:rPr>
                <w:rFonts w:ascii="Calibri" w:hAnsi="Calibri" w:cs="Calibri"/>
                <w:b/>
                <w:lang w:val="en-US"/>
              </w:rPr>
              <w:t>X</w:t>
            </w:r>
            <w:r w:rsidRPr="00190343">
              <w:rPr>
                <w:rFonts w:ascii="Calibri" w:hAnsi="Calibri" w:cs="Calibri"/>
                <w:b/>
                <w:vertAlign w:val="subscript"/>
                <w:lang w:val="en-US"/>
              </w:rPr>
              <w:t xml:space="preserve">it </w:t>
            </w:r>
            <w:r w:rsidR="00C956EA">
              <w:rPr>
                <w:rFonts w:ascii="Calibri" w:hAnsi="Calibri" w:cs="Calibri"/>
                <w:b/>
                <w:lang w:val="en-US"/>
              </w:rPr>
              <w:t>at (-1,0)</w:t>
            </w:r>
          </w:p>
        </w:tc>
        <w:tc>
          <w:tcPr>
            <w:tcW w:w="1628" w:type="pct"/>
            <w:shd w:val="clear" w:color="auto" w:fill="999999"/>
          </w:tcPr>
          <w:p w:rsidR="00E453AC" w:rsidRPr="00190343" w:rsidRDefault="00E453AC" w:rsidP="00E453AC">
            <w:pPr>
              <w:pStyle w:val="Tabletext"/>
              <w:rPr>
                <w:rFonts w:ascii="Calibri" w:hAnsi="Calibri" w:cs="Calibri"/>
                <w:b/>
                <w:lang w:val="en-US"/>
              </w:rPr>
            </w:pPr>
            <w:r>
              <w:rPr>
                <w:rFonts w:ascii="Calibri" w:hAnsi="Calibri" w:cs="Calibri"/>
                <w:b/>
                <w:lang w:val="en-US"/>
              </w:rPr>
              <w:t>% of total sample</w:t>
            </w:r>
          </w:p>
        </w:tc>
      </w:tr>
      <w:tr w:rsidR="00E453AC" w:rsidRPr="009D3628" w:rsidTr="00E453AC">
        <w:trPr>
          <w:trHeight w:val="278"/>
        </w:trPr>
        <w:tc>
          <w:tcPr>
            <w:tcW w:w="1890" w:type="pct"/>
            <w:vAlign w:val="bottom"/>
          </w:tcPr>
          <w:p w:rsidR="00E453AC" w:rsidRPr="009D3628"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A: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&gt; 6</w:t>
            </w:r>
          </w:p>
        </w:tc>
        <w:tc>
          <w:tcPr>
            <w:tcW w:w="1482" w:type="pct"/>
            <w:vAlign w:val="bottom"/>
          </w:tcPr>
          <w:p w:rsidR="00E453AC" w:rsidRDefault="00E453AC" w:rsidP="00540E1B">
            <w:pPr>
              <w:rPr>
                <w:rFonts w:ascii="Arial" w:hAnsi="Arial" w:cs="Arial"/>
              </w:rPr>
            </w:pPr>
            <w:r>
              <w:rPr>
                <w:rFonts w:ascii="Arial" w:hAnsi="Arial" w:cs="Arial"/>
              </w:rPr>
              <w:t>1,17</w:t>
            </w:r>
            <w:r w:rsidR="00540E1B">
              <w:rPr>
                <w:rFonts w:ascii="Arial" w:hAnsi="Arial" w:cs="Arial"/>
              </w:rPr>
              <w:t>*</w:t>
            </w:r>
          </w:p>
        </w:tc>
        <w:tc>
          <w:tcPr>
            <w:tcW w:w="1628" w:type="pct"/>
            <w:vAlign w:val="bottom"/>
          </w:tcPr>
          <w:p w:rsidR="00E453AC" w:rsidRDefault="00E453AC" w:rsidP="00540E1B">
            <w:pPr>
              <w:rPr>
                <w:rFonts w:ascii="Arial" w:hAnsi="Arial" w:cs="Arial"/>
              </w:rPr>
            </w:pPr>
            <w:r>
              <w:rPr>
                <w:rFonts w:ascii="Arial" w:hAnsi="Arial" w:cs="Arial"/>
              </w:rPr>
              <w:t>12%</w:t>
            </w:r>
          </w:p>
        </w:tc>
      </w:tr>
      <w:tr w:rsidR="00E453AC" w:rsidRPr="009D3628" w:rsidTr="00E453AC">
        <w:trPr>
          <w:trHeight w:val="278"/>
        </w:trPr>
        <w:tc>
          <w:tcPr>
            <w:tcW w:w="1890" w:type="pct"/>
            <w:vAlign w:val="bottom"/>
          </w:tcPr>
          <w:p w:rsidR="00E453AC"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B: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4-6</w:t>
            </w:r>
          </w:p>
        </w:tc>
        <w:tc>
          <w:tcPr>
            <w:tcW w:w="1482" w:type="pct"/>
            <w:vAlign w:val="bottom"/>
          </w:tcPr>
          <w:p w:rsidR="00E453AC" w:rsidRDefault="00E453AC" w:rsidP="00540E1B">
            <w:pPr>
              <w:rPr>
                <w:rFonts w:ascii="Arial" w:hAnsi="Arial" w:cs="Arial"/>
              </w:rPr>
            </w:pPr>
            <w:r>
              <w:rPr>
                <w:rFonts w:ascii="Arial" w:hAnsi="Arial" w:cs="Arial"/>
              </w:rPr>
              <w:t>1,27</w:t>
            </w:r>
          </w:p>
        </w:tc>
        <w:tc>
          <w:tcPr>
            <w:tcW w:w="1628" w:type="pct"/>
            <w:vAlign w:val="bottom"/>
          </w:tcPr>
          <w:p w:rsidR="00E453AC" w:rsidRDefault="00E453AC" w:rsidP="00540E1B">
            <w:pPr>
              <w:rPr>
                <w:rFonts w:ascii="Arial" w:hAnsi="Arial" w:cs="Arial"/>
              </w:rPr>
            </w:pPr>
            <w:r>
              <w:rPr>
                <w:rFonts w:ascii="Arial" w:hAnsi="Arial" w:cs="Arial"/>
              </w:rPr>
              <w:t>6%</w:t>
            </w:r>
          </w:p>
        </w:tc>
      </w:tr>
      <w:tr w:rsidR="00E453AC" w:rsidRPr="009D3628" w:rsidTr="00E453AC">
        <w:trPr>
          <w:trHeight w:val="278"/>
        </w:trPr>
        <w:tc>
          <w:tcPr>
            <w:tcW w:w="1890" w:type="pct"/>
            <w:vAlign w:val="bottom"/>
          </w:tcPr>
          <w:p w:rsidR="00E453AC"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C: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3-4</w:t>
            </w:r>
          </w:p>
        </w:tc>
        <w:tc>
          <w:tcPr>
            <w:tcW w:w="1482" w:type="pct"/>
            <w:vAlign w:val="bottom"/>
          </w:tcPr>
          <w:p w:rsidR="00E453AC" w:rsidRDefault="00E453AC" w:rsidP="00540E1B">
            <w:pPr>
              <w:rPr>
                <w:rFonts w:ascii="Arial" w:hAnsi="Arial" w:cs="Arial"/>
              </w:rPr>
            </w:pPr>
            <w:r>
              <w:rPr>
                <w:rFonts w:ascii="Arial" w:hAnsi="Arial" w:cs="Arial"/>
              </w:rPr>
              <w:t>2,2</w:t>
            </w:r>
          </w:p>
        </w:tc>
        <w:tc>
          <w:tcPr>
            <w:tcW w:w="1628" w:type="pct"/>
            <w:vAlign w:val="bottom"/>
          </w:tcPr>
          <w:p w:rsidR="00E453AC" w:rsidRDefault="00E453AC" w:rsidP="00540E1B">
            <w:pPr>
              <w:rPr>
                <w:rFonts w:ascii="Arial" w:hAnsi="Arial" w:cs="Arial"/>
              </w:rPr>
            </w:pPr>
            <w:r>
              <w:rPr>
                <w:rFonts w:ascii="Arial" w:hAnsi="Arial" w:cs="Arial"/>
              </w:rPr>
              <w:t>3%</w:t>
            </w:r>
          </w:p>
        </w:tc>
      </w:tr>
      <w:tr w:rsidR="00E453AC" w:rsidRPr="009D3628" w:rsidTr="00E453AC">
        <w:trPr>
          <w:trHeight w:val="278"/>
        </w:trPr>
        <w:tc>
          <w:tcPr>
            <w:tcW w:w="1890" w:type="pct"/>
            <w:vAlign w:val="bottom"/>
          </w:tcPr>
          <w:p w:rsidR="00E453AC"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D: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2-3</w:t>
            </w:r>
          </w:p>
        </w:tc>
        <w:tc>
          <w:tcPr>
            <w:tcW w:w="1482" w:type="pct"/>
            <w:vAlign w:val="bottom"/>
          </w:tcPr>
          <w:p w:rsidR="00E453AC" w:rsidRDefault="00E453AC" w:rsidP="00540E1B">
            <w:pPr>
              <w:rPr>
                <w:rFonts w:ascii="Arial" w:hAnsi="Arial" w:cs="Arial"/>
              </w:rPr>
            </w:pPr>
            <w:r>
              <w:rPr>
                <w:rFonts w:ascii="Arial" w:hAnsi="Arial" w:cs="Arial"/>
              </w:rPr>
              <w:t>1,09</w:t>
            </w:r>
            <w:r w:rsidR="00540E1B">
              <w:rPr>
                <w:rFonts w:ascii="Arial" w:hAnsi="Arial" w:cs="Arial"/>
              </w:rPr>
              <w:t>***</w:t>
            </w:r>
          </w:p>
        </w:tc>
        <w:tc>
          <w:tcPr>
            <w:tcW w:w="1628" w:type="pct"/>
            <w:vAlign w:val="bottom"/>
          </w:tcPr>
          <w:p w:rsidR="00E453AC" w:rsidRDefault="00E453AC" w:rsidP="00540E1B">
            <w:pPr>
              <w:rPr>
                <w:rFonts w:ascii="Arial" w:hAnsi="Arial" w:cs="Arial"/>
              </w:rPr>
            </w:pPr>
            <w:r>
              <w:rPr>
                <w:rFonts w:ascii="Arial" w:hAnsi="Arial" w:cs="Arial"/>
              </w:rPr>
              <w:t>15%</w:t>
            </w:r>
          </w:p>
        </w:tc>
      </w:tr>
      <w:tr w:rsidR="00E453AC" w:rsidRPr="009D3628" w:rsidTr="00E453AC">
        <w:trPr>
          <w:trHeight w:val="278"/>
        </w:trPr>
        <w:tc>
          <w:tcPr>
            <w:tcW w:w="1890" w:type="pct"/>
            <w:vAlign w:val="bottom"/>
          </w:tcPr>
          <w:p w:rsidR="00E453AC"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E: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1-2</w:t>
            </w:r>
          </w:p>
        </w:tc>
        <w:tc>
          <w:tcPr>
            <w:tcW w:w="1482" w:type="pct"/>
            <w:vAlign w:val="bottom"/>
          </w:tcPr>
          <w:p w:rsidR="00E453AC" w:rsidRDefault="00E453AC" w:rsidP="00540E1B">
            <w:pPr>
              <w:rPr>
                <w:rFonts w:ascii="Arial" w:hAnsi="Arial" w:cs="Arial"/>
              </w:rPr>
            </w:pPr>
            <w:r>
              <w:rPr>
                <w:rFonts w:ascii="Arial" w:hAnsi="Arial" w:cs="Arial"/>
              </w:rPr>
              <w:t>0,37</w:t>
            </w:r>
          </w:p>
        </w:tc>
        <w:tc>
          <w:tcPr>
            <w:tcW w:w="1628" w:type="pct"/>
            <w:vAlign w:val="bottom"/>
          </w:tcPr>
          <w:p w:rsidR="00E453AC" w:rsidRDefault="00E453AC" w:rsidP="00540E1B">
            <w:pPr>
              <w:rPr>
                <w:rFonts w:ascii="Arial" w:hAnsi="Arial" w:cs="Arial"/>
              </w:rPr>
            </w:pPr>
            <w:r>
              <w:rPr>
                <w:rFonts w:ascii="Arial" w:hAnsi="Arial" w:cs="Arial"/>
              </w:rPr>
              <w:t>5%</w:t>
            </w:r>
          </w:p>
        </w:tc>
      </w:tr>
      <w:tr w:rsidR="00E453AC" w:rsidRPr="009D3628" w:rsidTr="00E453AC">
        <w:trPr>
          <w:trHeight w:val="278"/>
        </w:trPr>
        <w:tc>
          <w:tcPr>
            <w:tcW w:w="1890" w:type="pct"/>
            <w:vAlign w:val="bottom"/>
          </w:tcPr>
          <w:p w:rsidR="00E453AC"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F: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0-1</w:t>
            </w:r>
          </w:p>
        </w:tc>
        <w:tc>
          <w:tcPr>
            <w:tcW w:w="1482" w:type="pct"/>
            <w:vAlign w:val="bottom"/>
          </w:tcPr>
          <w:p w:rsidR="00E453AC" w:rsidRDefault="00E453AC" w:rsidP="00540E1B">
            <w:pPr>
              <w:rPr>
                <w:rFonts w:ascii="Arial" w:hAnsi="Arial" w:cs="Arial"/>
              </w:rPr>
            </w:pPr>
            <w:r>
              <w:rPr>
                <w:rFonts w:ascii="Arial" w:hAnsi="Arial" w:cs="Arial"/>
              </w:rPr>
              <w:t>1,87</w:t>
            </w:r>
            <w:r w:rsidR="00540E1B">
              <w:rPr>
                <w:rFonts w:ascii="Arial" w:hAnsi="Arial" w:cs="Arial"/>
              </w:rPr>
              <w:t>***</w:t>
            </w:r>
          </w:p>
        </w:tc>
        <w:tc>
          <w:tcPr>
            <w:tcW w:w="1628" w:type="pct"/>
            <w:vAlign w:val="bottom"/>
          </w:tcPr>
          <w:p w:rsidR="00E453AC" w:rsidRDefault="00E453AC" w:rsidP="00540E1B">
            <w:pPr>
              <w:rPr>
                <w:rFonts w:ascii="Arial" w:hAnsi="Arial" w:cs="Arial"/>
              </w:rPr>
            </w:pPr>
            <w:r>
              <w:rPr>
                <w:rFonts w:ascii="Arial" w:hAnsi="Arial" w:cs="Arial"/>
              </w:rPr>
              <w:t>59%</w:t>
            </w:r>
          </w:p>
        </w:tc>
      </w:tr>
      <w:tr w:rsidR="00E453AC" w:rsidRPr="009D3628" w:rsidTr="00E453AC">
        <w:trPr>
          <w:trHeight w:val="278"/>
        </w:trPr>
        <w:tc>
          <w:tcPr>
            <w:tcW w:w="1890" w:type="pct"/>
            <w:vAlign w:val="bottom"/>
          </w:tcPr>
          <w:p w:rsidR="00E453AC" w:rsidRDefault="00E453AC" w:rsidP="00E453AC">
            <w:pPr>
              <w:overflowPunct/>
              <w:autoSpaceDE/>
              <w:autoSpaceDN/>
              <w:adjustRightInd/>
              <w:spacing w:line="240" w:lineRule="auto"/>
              <w:textAlignment w:val="auto"/>
              <w:rPr>
                <w:rFonts w:ascii="Calibri" w:hAnsi="Calibri" w:cs="Calibri"/>
                <w:lang w:val="en-US"/>
              </w:rPr>
            </w:pPr>
            <w:r>
              <w:rPr>
                <w:rFonts w:ascii="Calibri" w:hAnsi="Calibri" w:cs="Calibri"/>
                <w:lang w:val="en-US"/>
              </w:rPr>
              <w:t>Group A-F: Full sample</w:t>
            </w:r>
          </w:p>
        </w:tc>
        <w:tc>
          <w:tcPr>
            <w:tcW w:w="1482" w:type="pct"/>
            <w:vAlign w:val="bottom"/>
          </w:tcPr>
          <w:p w:rsidR="00E453AC" w:rsidRDefault="00E453AC" w:rsidP="00540E1B">
            <w:pPr>
              <w:rPr>
                <w:rFonts w:ascii="Arial" w:hAnsi="Arial" w:cs="Arial"/>
              </w:rPr>
            </w:pPr>
            <w:r>
              <w:rPr>
                <w:rFonts w:ascii="Arial" w:hAnsi="Arial" w:cs="Arial"/>
              </w:rPr>
              <w:t>1,56</w:t>
            </w:r>
          </w:p>
        </w:tc>
        <w:tc>
          <w:tcPr>
            <w:tcW w:w="1628" w:type="pct"/>
            <w:vAlign w:val="bottom"/>
          </w:tcPr>
          <w:p w:rsidR="00E453AC" w:rsidRDefault="00E453AC" w:rsidP="00540E1B">
            <w:pPr>
              <w:rPr>
                <w:rFonts w:ascii="Arial" w:hAnsi="Arial" w:cs="Arial"/>
              </w:rPr>
            </w:pPr>
            <w:r>
              <w:rPr>
                <w:rFonts w:ascii="Arial" w:hAnsi="Arial" w:cs="Arial"/>
              </w:rPr>
              <w:t>100%</w:t>
            </w:r>
          </w:p>
        </w:tc>
      </w:tr>
    </w:tbl>
    <w:p w:rsidR="00E453AC" w:rsidRPr="009D3628" w:rsidRDefault="00E453AC" w:rsidP="00E453AC">
      <w:pPr>
        <w:pStyle w:val="000"/>
        <w:spacing w:line="360" w:lineRule="auto"/>
        <w:rPr>
          <w:rFonts w:ascii="Calibri" w:hAnsi="Calibri" w:cs="Calibri"/>
          <w:lang w:val="en-US"/>
        </w:rPr>
      </w:pPr>
      <w:r>
        <w:rPr>
          <w:rFonts w:ascii="Calibri" w:hAnsi="Calibri" w:cs="Calibri"/>
          <w:sz w:val="20"/>
          <w:vertAlign w:val="superscript"/>
          <w:lang w:val="en-US"/>
        </w:rPr>
        <w:t xml:space="preserve">a </w:t>
      </w:r>
      <w:r w:rsidRPr="00650F54">
        <w:rPr>
          <w:rFonts w:ascii="Calibri" w:hAnsi="Calibri" w:cs="Calibri"/>
          <w:sz w:val="20"/>
          <w:lang w:val="en-US"/>
        </w:rPr>
        <w:t>X</w:t>
      </w:r>
      <w:r w:rsidRPr="00650F54">
        <w:rPr>
          <w:rFonts w:ascii="Calibri" w:hAnsi="Calibri" w:cs="Calibri"/>
          <w:sz w:val="20"/>
          <w:vertAlign w:val="subscript"/>
          <w:lang w:val="en-US"/>
        </w:rPr>
        <w:t xml:space="preserve">it </w:t>
      </w:r>
      <w:r w:rsidRPr="00650F54">
        <w:rPr>
          <w:rFonts w:ascii="Calibri" w:hAnsi="Calibri" w:cs="Calibri"/>
          <w:sz w:val="20"/>
          <w:lang w:val="en-US"/>
        </w:rPr>
        <w:t>is (U</w:t>
      </w:r>
      <w:r w:rsidRPr="00650F54">
        <w:rPr>
          <w:rFonts w:ascii="Calibri" w:hAnsi="Calibri" w:cs="Calibri"/>
          <w:sz w:val="20"/>
          <w:vertAlign w:val="subscript"/>
          <w:lang w:val="en-US"/>
        </w:rPr>
        <w:t>it</w:t>
      </w:r>
      <w:r w:rsidRPr="00650F54">
        <w:rPr>
          <w:rFonts w:ascii="Calibri" w:hAnsi="Calibri" w:cs="Calibri"/>
          <w:sz w:val="20"/>
          <w:lang w:val="en-US"/>
        </w:rPr>
        <w:t>)</w:t>
      </w:r>
      <w:r w:rsidRPr="00650F54">
        <w:rPr>
          <w:rFonts w:ascii="Calibri" w:hAnsi="Calibri" w:cs="Calibri"/>
          <w:sz w:val="20"/>
          <w:vertAlign w:val="superscript"/>
          <w:lang w:val="en-US"/>
        </w:rPr>
        <w:t>2</w:t>
      </w:r>
      <w:r w:rsidRPr="00650F54">
        <w:rPr>
          <w:rFonts w:ascii="Calibri" w:hAnsi="Calibri" w:cs="Calibri"/>
          <w:sz w:val="20"/>
          <w:lang w:val="en-US"/>
        </w:rPr>
        <w:t>/</w:t>
      </w:r>
      <w:r w:rsidRPr="00650F54">
        <w:rPr>
          <w:rFonts w:ascii="Calibri" w:hAnsi="Calibri" w:cs="Calibri"/>
          <w:sz w:val="20"/>
        </w:rPr>
        <w:t>σ</w:t>
      </w:r>
      <w:r w:rsidRPr="00650F54">
        <w:rPr>
          <w:rFonts w:ascii="Calibri" w:hAnsi="Calibri" w:cs="Calibri"/>
          <w:sz w:val="20"/>
          <w:vertAlign w:val="superscript"/>
          <w:lang w:val="en-US"/>
        </w:rPr>
        <w:t>2</w:t>
      </w:r>
      <w:r w:rsidRPr="00650F54">
        <w:rPr>
          <w:rFonts w:ascii="Calibri" w:hAnsi="Calibri" w:cs="Calibri"/>
          <w:sz w:val="20"/>
          <w:lang w:val="en-US"/>
        </w:rPr>
        <w:t>(U</w:t>
      </w:r>
      <w:r w:rsidRPr="00650F54">
        <w:rPr>
          <w:rFonts w:ascii="Calibri" w:hAnsi="Calibri" w:cs="Calibri"/>
          <w:sz w:val="20"/>
          <w:vertAlign w:val="subscript"/>
          <w:lang w:val="en-US"/>
        </w:rPr>
        <w:t>it</w:t>
      </w:r>
      <w:r w:rsidRPr="00650F54">
        <w:rPr>
          <w:rFonts w:ascii="Calibri" w:hAnsi="Calibri" w:cs="Calibri"/>
          <w:sz w:val="20"/>
          <w:lang w:val="en-US"/>
        </w:rPr>
        <w:t>) where U</w:t>
      </w:r>
      <w:r w:rsidRPr="00650F54">
        <w:rPr>
          <w:rFonts w:ascii="Calibri" w:hAnsi="Calibri" w:cs="Calibri"/>
          <w:sz w:val="20"/>
          <w:vertAlign w:val="subscript"/>
          <w:lang w:val="en-US"/>
        </w:rPr>
        <w:t>it</w:t>
      </w:r>
      <w:r w:rsidRPr="00650F54">
        <w:rPr>
          <w:rFonts w:ascii="Calibri" w:hAnsi="Calibri" w:cs="Calibri"/>
          <w:sz w:val="20"/>
          <w:lang w:val="en-US"/>
        </w:rPr>
        <w:t xml:space="preserve"> is the two-day abnormal return</w:t>
      </w:r>
    </w:p>
    <w:p w:rsidR="002245A3" w:rsidRPr="00E453AC" w:rsidRDefault="00E453AC" w:rsidP="00365D2A">
      <w:pPr>
        <w:pStyle w:val="000"/>
        <w:spacing w:line="360" w:lineRule="auto"/>
        <w:rPr>
          <w:rFonts w:ascii="Calibri" w:hAnsi="Calibri" w:cs="Calibri"/>
          <w:sz w:val="20"/>
          <w:lang w:val="en-US"/>
        </w:rPr>
      </w:pPr>
      <w:r>
        <w:rPr>
          <w:rFonts w:ascii="Calibri" w:hAnsi="Calibri" w:cs="Calibri"/>
          <w:vertAlign w:val="superscript"/>
          <w:lang w:val="en-US"/>
        </w:rPr>
        <w:t xml:space="preserve">b </w:t>
      </w:r>
      <w:r>
        <w:rPr>
          <w:rFonts w:ascii="Calibri" w:hAnsi="Calibri" w:cs="Calibri"/>
          <w:sz w:val="20"/>
          <w:lang w:val="en-US"/>
        </w:rPr>
        <w:t>The Kolmogorov-Smirnov test was conducted for the non-announcing firms. Those groups with significant values at (-1,0) are noted as follows: ***= 0.01 significance level, **= 0.05 significance level, *= 0.10 significance level.</w:t>
      </w:r>
    </w:p>
    <w:p w:rsidR="002245A3" w:rsidRPr="009D3628" w:rsidRDefault="002245A3" w:rsidP="00B73533">
      <w:pPr>
        <w:pStyle w:val="000"/>
        <w:spacing w:line="360" w:lineRule="auto"/>
        <w:rPr>
          <w:rFonts w:ascii="Calibri" w:hAnsi="Calibri" w:cs="Calibri"/>
          <w:lang w:val="en-US"/>
        </w:rPr>
      </w:pPr>
    </w:p>
    <w:p w:rsidR="00E453AC" w:rsidRDefault="00E453AC" w:rsidP="00E453AC">
      <w:pPr>
        <w:pStyle w:val="Tabletitle"/>
        <w:rPr>
          <w:rFonts w:ascii="Calibri" w:hAnsi="Calibri" w:cs="Calibri"/>
          <w:sz w:val="22"/>
          <w:szCs w:val="22"/>
          <w:vertAlign w:val="superscript"/>
          <w:lang w:val="en-US"/>
        </w:rPr>
      </w:pPr>
      <w:r w:rsidRPr="00C51D3B">
        <w:rPr>
          <w:rFonts w:ascii="Calibri" w:hAnsi="Calibri" w:cs="Calibri"/>
          <w:sz w:val="22"/>
          <w:szCs w:val="22"/>
          <w:lang w:val="en-US"/>
        </w:rPr>
        <w:t xml:space="preserve">Table </w:t>
      </w:r>
      <w:r>
        <w:rPr>
          <w:rFonts w:ascii="Calibri" w:hAnsi="Calibri" w:cs="Calibri"/>
          <w:sz w:val="22"/>
          <w:szCs w:val="22"/>
          <w:lang w:val="en-US"/>
        </w:rPr>
        <w:t>7</w:t>
      </w:r>
      <w:r w:rsidRPr="00C51D3B">
        <w:rPr>
          <w:rFonts w:ascii="Calibri" w:hAnsi="Calibri" w:cs="Calibri"/>
          <w:sz w:val="22"/>
          <w:szCs w:val="22"/>
          <w:lang w:val="en-US"/>
        </w:rPr>
        <w:t>: Non-directional test of information transfer; average X</w:t>
      </w:r>
      <w:r w:rsidRPr="00C51D3B">
        <w:rPr>
          <w:rFonts w:ascii="Calibri" w:hAnsi="Calibri" w:cs="Calibri"/>
          <w:sz w:val="22"/>
          <w:szCs w:val="22"/>
          <w:vertAlign w:val="subscript"/>
          <w:lang w:val="en-US"/>
        </w:rPr>
        <w:t xml:space="preserve">it </w:t>
      </w:r>
      <w:r w:rsidRPr="00C51D3B">
        <w:rPr>
          <w:rFonts w:ascii="Calibri" w:hAnsi="Calibri" w:cs="Calibri"/>
          <w:sz w:val="22"/>
          <w:szCs w:val="22"/>
          <w:lang w:val="en-US"/>
        </w:rPr>
        <w:t>at (-1,0) for single release observations</w:t>
      </w:r>
      <w:r>
        <w:rPr>
          <w:rFonts w:ascii="Calibri" w:hAnsi="Calibri" w:cs="Calibri"/>
          <w:sz w:val="22"/>
          <w:szCs w:val="22"/>
          <w:lang w:val="en-US"/>
        </w:rPr>
        <w:t xml:space="preserve"> for the Post-IFRS period</w:t>
      </w:r>
      <w:r w:rsidRPr="00C51D3B">
        <w:rPr>
          <w:rFonts w:ascii="Calibri" w:hAnsi="Calibri" w:cs="Calibri"/>
          <w:sz w:val="22"/>
          <w:szCs w:val="22"/>
          <w:lang w:val="en-US"/>
        </w:rPr>
        <w:t>.</w:t>
      </w:r>
      <w:r>
        <w:rPr>
          <w:rFonts w:ascii="Calibri" w:hAnsi="Calibri" w:cs="Calibri"/>
          <w:sz w:val="22"/>
          <w:szCs w:val="22"/>
          <w:vertAlign w:val="superscript"/>
          <w:lang w:val="en-US"/>
        </w:rPr>
        <w:t>a</w:t>
      </w:r>
    </w:p>
    <w:p w:rsidR="00E453AC" w:rsidRDefault="00E453AC" w:rsidP="00E453AC">
      <w:pPr>
        <w:pStyle w:val="Tabletext"/>
        <w:rPr>
          <w:rFonts w:asciiTheme="minorHAnsi" w:hAnsiTheme="minorHAnsi" w:cstheme="minorHAnsi"/>
          <w:i/>
          <w:lang w:val="en-US"/>
        </w:rPr>
      </w:pPr>
    </w:p>
    <w:p w:rsidR="00E453AC" w:rsidRPr="00E453AC" w:rsidRDefault="00E453AC" w:rsidP="00E453AC">
      <w:pPr>
        <w:pStyle w:val="Tabletext"/>
        <w:rPr>
          <w:rFonts w:asciiTheme="minorHAnsi" w:hAnsiTheme="minorHAnsi" w:cstheme="minorHAnsi"/>
          <w:i/>
          <w:vertAlign w:val="superscript"/>
          <w:lang w:val="en-US"/>
        </w:rPr>
      </w:pPr>
      <w:r w:rsidRPr="00C51D3B">
        <w:rPr>
          <w:rFonts w:asciiTheme="minorHAnsi" w:hAnsiTheme="minorHAnsi" w:cstheme="minorHAnsi"/>
          <w:i/>
          <w:lang w:val="en-US"/>
        </w:rPr>
        <w:t>Panel 1: Announcing firms</w:t>
      </w:r>
      <w:r>
        <w:rPr>
          <w:rFonts w:asciiTheme="minorHAnsi" w:hAnsiTheme="minorHAnsi" w:cstheme="minorHAnsi"/>
          <w:i/>
          <w:lang w:val="en-US"/>
        </w:rPr>
        <w:tab/>
      </w:r>
      <w:r>
        <w:rPr>
          <w:rFonts w:asciiTheme="minorHAnsi" w:hAnsiTheme="minorHAnsi" w:cstheme="minorHAnsi"/>
          <w:i/>
          <w:lang w:val="en-US"/>
        </w:rPr>
        <w:tab/>
      </w:r>
      <w:r>
        <w:rPr>
          <w:rFonts w:asciiTheme="minorHAnsi" w:hAnsiTheme="minorHAnsi" w:cstheme="minorHAnsi"/>
          <w:i/>
          <w:lang w:val="en-US"/>
        </w:rPr>
        <w:tab/>
      </w:r>
      <w:r>
        <w:rPr>
          <w:rFonts w:asciiTheme="minorHAnsi" w:hAnsiTheme="minorHAnsi" w:cstheme="minorHAnsi"/>
          <w:i/>
          <w:lang w:val="en-US"/>
        </w:rPr>
        <w:tab/>
      </w:r>
      <w:r>
        <w:rPr>
          <w:rFonts w:asciiTheme="minorHAnsi" w:hAnsiTheme="minorHAnsi" w:cstheme="minorHAnsi"/>
          <w:i/>
          <w:lang w:val="en-US"/>
        </w:rPr>
        <w:tab/>
      </w:r>
      <w:r>
        <w:rPr>
          <w:rFonts w:asciiTheme="minorHAnsi" w:hAnsiTheme="minorHAnsi" w:cstheme="minorHAnsi"/>
          <w:i/>
          <w:lang w:val="en-US"/>
        </w:rPr>
        <w:tab/>
        <w:t>Panel 2: Non-announcing firms</w:t>
      </w:r>
      <w:r>
        <w:rPr>
          <w:rFonts w:asciiTheme="minorHAnsi" w:hAnsiTheme="minorHAnsi" w:cstheme="minorHAnsi"/>
          <w:i/>
          <w:vertAlign w:val="superscript"/>
          <w:lang w:val="en-US"/>
        </w:rPr>
        <w:t>b</w:t>
      </w:r>
    </w:p>
    <w:tbl>
      <w:tblPr>
        <w:tblStyle w:val="Tabelraster"/>
        <w:tblpPr w:leftFromText="141" w:rightFromText="141" w:vertAnchor="text" w:horzAnchor="margin" w:tblpY="229"/>
        <w:tblW w:w="2485"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1809"/>
        <w:gridCol w:w="1418"/>
        <w:gridCol w:w="1558"/>
      </w:tblGrid>
      <w:tr w:rsidR="00E453AC" w:rsidRPr="00190343" w:rsidTr="00B60A22">
        <w:trPr>
          <w:trHeight w:val="154"/>
        </w:trPr>
        <w:tc>
          <w:tcPr>
            <w:tcW w:w="1890" w:type="pct"/>
            <w:shd w:val="clear" w:color="auto" w:fill="999999"/>
          </w:tcPr>
          <w:p w:rsidR="00E453AC" w:rsidRPr="009D3628" w:rsidRDefault="00E453AC" w:rsidP="00B60A22">
            <w:pPr>
              <w:pStyle w:val="Tableheading1"/>
              <w:rPr>
                <w:rFonts w:ascii="Calibri" w:hAnsi="Calibri" w:cs="Calibri"/>
                <w:lang w:val="en-US"/>
              </w:rPr>
            </w:pPr>
            <w:r>
              <w:rPr>
                <w:rFonts w:ascii="Calibri" w:hAnsi="Calibri" w:cs="Calibri"/>
                <w:lang w:val="en-US"/>
              </w:rPr>
              <w:t>Groups</w:t>
            </w:r>
          </w:p>
        </w:tc>
        <w:tc>
          <w:tcPr>
            <w:tcW w:w="1482" w:type="pct"/>
            <w:shd w:val="clear" w:color="auto" w:fill="999999"/>
          </w:tcPr>
          <w:p w:rsidR="00E453AC" w:rsidRPr="00FB63DB" w:rsidRDefault="00E453AC" w:rsidP="00B60A22">
            <w:pPr>
              <w:pStyle w:val="Tabletext"/>
              <w:rPr>
                <w:rFonts w:ascii="Calibri" w:hAnsi="Calibri" w:cs="Calibri"/>
                <w:b/>
                <w:lang w:val="en-US"/>
              </w:rPr>
            </w:pPr>
            <w:r w:rsidRPr="00190343">
              <w:rPr>
                <w:rFonts w:ascii="Calibri" w:hAnsi="Calibri" w:cs="Calibri"/>
                <w:b/>
                <w:lang w:val="en-US"/>
              </w:rPr>
              <w:t>X</w:t>
            </w:r>
            <w:r w:rsidRPr="00190343">
              <w:rPr>
                <w:rFonts w:ascii="Calibri" w:hAnsi="Calibri" w:cs="Calibri"/>
                <w:b/>
                <w:vertAlign w:val="subscript"/>
                <w:lang w:val="en-US"/>
              </w:rPr>
              <w:t xml:space="preserve">it </w:t>
            </w:r>
            <w:r w:rsidR="00FB63DB">
              <w:rPr>
                <w:rFonts w:ascii="Calibri" w:hAnsi="Calibri" w:cs="Calibri"/>
                <w:b/>
                <w:lang w:val="en-US"/>
              </w:rPr>
              <w:t xml:space="preserve"> at (-1,0)</w:t>
            </w:r>
          </w:p>
        </w:tc>
        <w:tc>
          <w:tcPr>
            <w:tcW w:w="1628" w:type="pct"/>
            <w:shd w:val="clear" w:color="auto" w:fill="999999"/>
          </w:tcPr>
          <w:p w:rsidR="00E453AC" w:rsidRPr="00190343" w:rsidRDefault="00E453AC" w:rsidP="00B60A22">
            <w:pPr>
              <w:pStyle w:val="Tabletext"/>
              <w:rPr>
                <w:rFonts w:ascii="Calibri" w:hAnsi="Calibri" w:cs="Calibri"/>
                <w:b/>
                <w:lang w:val="en-US"/>
              </w:rPr>
            </w:pPr>
            <w:r>
              <w:rPr>
                <w:rFonts w:ascii="Calibri" w:hAnsi="Calibri" w:cs="Calibri"/>
                <w:b/>
                <w:lang w:val="en-US"/>
              </w:rPr>
              <w:t>% of total sample</w:t>
            </w:r>
          </w:p>
        </w:tc>
      </w:tr>
      <w:tr w:rsidR="00E453AC" w:rsidRPr="009D3628" w:rsidTr="00B60A22">
        <w:trPr>
          <w:trHeight w:val="278"/>
        </w:trPr>
        <w:tc>
          <w:tcPr>
            <w:tcW w:w="1890" w:type="pct"/>
            <w:vAlign w:val="bottom"/>
          </w:tcPr>
          <w:p w:rsidR="00E453AC" w:rsidRPr="009D3628"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A: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&gt; 6</w:t>
            </w:r>
          </w:p>
        </w:tc>
        <w:tc>
          <w:tcPr>
            <w:tcW w:w="1482" w:type="pct"/>
            <w:vAlign w:val="bottom"/>
          </w:tcPr>
          <w:p w:rsidR="00E453AC" w:rsidRDefault="00E453AC" w:rsidP="00540E1B">
            <w:pPr>
              <w:rPr>
                <w:rFonts w:ascii="Arial" w:hAnsi="Arial" w:cs="Arial"/>
              </w:rPr>
            </w:pPr>
            <w:r>
              <w:rPr>
                <w:rFonts w:ascii="Arial" w:hAnsi="Arial" w:cs="Arial"/>
              </w:rPr>
              <w:t>22,76</w:t>
            </w:r>
          </w:p>
        </w:tc>
        <w:tc>
          <w:tcPr>
            <w:tcW w:w="1628" w:type="pct"/>
            <w:vAlign w:val="bottom"/>
          </w:tcPr>
          <w:p w:rsidR="00E453AC" w:rsidRDefault="00E453AC" w:rsidP="00540E1B">
            <w:pPr>
              <w:rPr>
                <w:rFonts w:ascii="Arial" w:hAnsi="Arial" w:cs="Arial"/>
              </w:rPr>
            </w:pPr>
            <w:r>
              <w:rPr>
                <w:rFonts w:ascii="Arial" w:hAnsi="Arial" w:cs="Arial"/>
              </w:rPr>
              <w:t>13%</w:t>
            </w:r>
          </w:p>
        </w:tc>
      </w:tr>
      <w:tr w:rsidR="00E453AC" w:rsidRPr="009D3628" w:rsidTr="00B60A22">
        <w:trPr>
          <w:trHeight w:val="278"/>
        </w:trPr>
        <w:tc>
          <w:tcPr>
            <w:tcW w:w="1890" w:type="pct"/>
            <w:vAlign w:val="bottom"/>
          </w:tcPr>
          <w:p w:rsidR="00E453AC"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B: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4-6</w:t>
            </w:r>
          </w:p>
        </w:tc>
        <w:tc>
          <w:tcPr>
            <w:tcW w:w="1482" w:type="pct"/>
            <w:vAlign w:val="bottom"/>
          </w:tcPr>
          <w:p w:rsidR="00E453AC" w:rsidRDefault="00E453AC" w:rsidP="00540E1B">
            <w:pPr>
              <w:rPr>
                <w:rFonts w:ascii="Arial" w:hAnsi="Arial" w:cs="Arial"/>
              </w:rPr>
            </w:pPr>
            <w:r>
              <w:rPr>
                <w:rFonts w:ascii="Arial" w:hAnsi="Arial" w:cs="Arial"/>
              </w:rPr>
              <w:t>5</w:t>
            </w:r>
          </w:p>
        </w:tc>
        <w:tc>
          <w:tcPr>
            <w:tcW w:w="1628" w:type="pct"/>
            <w:vAlign w:val="bottom"/>
          </w:tcPr>
          <w:p w:rsidR="00E453AC" w:rsidRDefault="00E453AC" w:rsidP="00540E1B">
            <w:pPr>
              <w:rPr>
                <w:rFonts w:ascii="Arial" w:hAnsi="Arial" w:cs="Arial"/>
              </w:rPr>
            </w:pPr>
            <w:r>
              <w:rPr>
                <w:rFonts w:ascii="Arial" w:hAnsi="Arial" w:cs="Arial"/>
              </w:rPr>
              <w:t>7%</w:t>
            </w:r>
          </w:p>
        </w:tc>
      </w:tr>
      <w:tr w:rsidR="00E453AC" w:rsidRPr="009D3628" w:rsidTr="00B60A22">
        <w:trPr>
          <w:trHeight w:val="278"/>
        </w:trPr>
        <w:tc>
          <w:tcPr>
            <w:tcW w:w="1890" w:type="pct"/>
            <w:vAlign w:val="bottom"/>
          </w:tcPr>
          <w:p w:rsidR="00E453AC"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C: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3-4</w:t>
            </w:r>
          </w:p>
        </w:tc>
        <w:tc>
          <w:tcPr>
            <w:tcW w:w="1482" w:type="pct"/>
            <w:vAlign w:val="bottom"/>
          </w:tcPr>
          <w:p w:rsidR="00E453AC" w:rsidRDefault="00E453AC" w:rsidP="00540E1B">
            <w:pPr>
              <w:rPr>
                <w:rFonts w:ascii="Arial" w:hAnsi="Arial" w:cs="Arial"/>
              </w:rPr>
            </w:pPr>
            <w:r>
              <w:rPr>
                <w:rFonts w:ascii="Arial" w:hAnsi="Arial" w:cs="Arial"/>
              </w:rPr>
              <w:t>3,37</w:t>
            </w:r>
          </w:p>
        </w:tc>
        <w:tc>
          <w:tcPr>
            <w:tcW w:w="1628" w:type="pct"/>
            <w:vAlign w:val="bottom"/>
          </w:tcPr>
          <w:p w:rsidR="00E453AC" w:rsidRDefault="00E453AC" w:rsidP="00540E1B">
            <w:pPr>
              <w:rPr>
                <w:rFonts w:ascii="Arial" w:hAnsi="Arial" w:cs="Arial"/>
              </w:rPr>
            </w:pPr>
            <w:r>
              <w:rPr>
                <w:rFonts w:ascii="Arial" w:hAnsi="Arial" w:cs="Arial"/>
              </w:rPr>
              <w:t>5%</w:t>
            </w:r>
          </w:p>
        </w:tc>
      </w:tr>
      <w:tr w:rsidR="00E453AC" w:rsidRPr="009D3628" w:rsidTr="00B60A22">
        <w:trPr>
          <w:trHeight w:val="278"/>
        </w:trPr>
        <w:tc>
          <w:tcPr>
            <w:tcW w:w="1890" w:type="pct"/>
            <w:vAlign w:val="bottom"/>
          </w:tcPr>
          <w:p w:rsidR="00E453AC"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D: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2-3</w:t>
            </w:r>
          </w:p>
        </w:tc>
        <w:tc>
          <w:tcPr>
            <w:tcW w:w="1482" w:type="pct"/>
            <w:vAlign w:val="bottom"/>
          </w:tcPr>
          <w:p w:rsidR="00E453AC" w:rsidRDefault="00E453AC" w:rsidP="00540E1B">
            <w:pPr>
              <w:rPr>
                <w:rFonts w:ascii="Arial" w:hAnsi="Arial" w:cs="Arial"/>
              </w:rPr>
            </w:pPr>
            <w:r>
              <w:rPr>
                <w:rFonts w:ascii="Arial" w:hAnsi="Arial" w:cs="Arial"/>
              </w:rPr>
              <w:t>2,42</w:t>
            </w:r>
          </w:p>
        </w:tc>
        <w:tc>
          <w:tcPr>
            <w:tcW w:w="1628" w:type="pct"/>
            <w:vAlign w:val="bottom"/>
          </w:tcPr>
          <w:p w:rsidR="00E453AC" w:rsidRDefault="00E453AC" w:rsidP="00540E1B">
            <w:pPr>
              <w:rPr>
                <w:rFonts w:ascii="Arial" w:hAnsi="Arial" w:cs="Arial"/>
              </w:rPr>
            </w:pPr>
            <w:r>
              <w:rPr>
                <w:rFonts w:ascii="Arial" w:hAnsi="Arial" w:cs="Arial"/>
              </w:rPr>
              <w:t>15%</w:t>
            </w:r>
          </w:p>
        </w:tc>
      </w:tr>
      <w:tr w:rsidR="00E453AC" w:rsidRPr="009D3628" w:rsidTr="00B60A22">
        <w:trPr>
          <w:trHeight w:val="278"/>
        </w:trPr>
        <w:tc>
          <w:tcPr>
            <w:tcW w:w="1890" w:type="pct"/>
            <w:vAlign w:val="bottom"/>
          </w:tcPr>
          <w:p w:rsidR="00E453AC"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E: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1-2</w:t>
            </w:r>
          </w:p>
        </w:tc>
        <w:tc>
          <w:tcPr>
            <w:tcW w:w="1482" w:type="pct"/>
            <w:vAlign w:val="bottom"/>
          </w:tcPr>
          <w:p w:rsidR="00E453AC" w:rsidRDefault="00E453AC" w:rsidP="00540E1B">
            <w:pPr>
              <w:rPr>
                <w:rFonts w:ascii="Arial" w:hAnsi="Arial" w:cs="Arial"/>
              </w:rPr>
            </w:pPr>
            <w:r>
              <w:rPr>
                <w:rFonts w:ascii="Arial" w:hAnsi="Arial" w:cs="Arial"/>
              </w:rPr>
              <w:t>1,6</w:t>
            </w:r>
          </w:p>
        </w:tc>
        <w:tc>
          <w:tcPr>
            <w:tcW w:w="1628" w:type="pct"/>
            <w:vAlign w:val="bottom"/>
          </w:tcPr>
          <w:p w:rsidR="00E453AC" w:rsidRDefault="00E453AC" w:rsidP="00540E1B">
            <w:pPr>
              <w:rPr>
                <w:rFonts w:ascii="Arial" w:hAnsi="Arial" w:cs="Arial"/>
              </w:rPr>
            </w:pPr>
            <w:r>
              <w:rPr>
                <w:rFonts w:ascii="Arial" w:hAnsi="Arial" w:cs="Arial"/>
              </w:rPr>
              <w:t>8%</w:t>
            </w:r>
          </w:p>
        </w:tc>
      </w:tr>
      <w:tr w:rsidR="00E453AC" w:rsidRPr="009D3628" w:rsidTr="00B60A22">
        <w:trPr>
          <w:trHeight w:val="278"/>
        </w:trPr>
        <w:tc>
          <w:tcPr>
            <w:tcW w:w="1890" w:type="pct"/>
            <w:vAlign w:val="bottom"/>
          </w:tcPr>
          <w:p w:rsidR="00E453AC"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F: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0-1</w:t>
            </w:r>
          </w:p>
        </w:tc>
        <w:tc>
          <w:tcPr>
            <w:tcW w:w="1482" w:type="pct"/>
            <w:vAlign w:val="bottom"/>
          </w:tcPr>
          <w:p w:rsidR="00E453AC" w:rsidRDefault="00E453AC" w:rsidP="00540E1B">
            <w:pPr>
              <w:rPr>
                <w:rFonts w:ascii="Arial" w:hAnsi="Arial" w:cs="Arial"/>
              </w:rPr>
            </w:pPr>
            <w:r>
              <w:rPr>
                <w:rFonts w:ascii="Arial" w:hAnsi="Arial" w:cs="Arial"/>
              </w:rPr>
              <w:t>0,22</w:t>
            </w:r>
          </w:p>
        </w:tc>
        <w:tc>
          <w:tcPr>
            <w:tcW w:w="1628" w:type="pct"/>
            <w:vAlign w:val="bottom"/>
          </w:tcPr>
          <w:p w:rsidR="00E453AC" w:rsidRDefault="00E453AC" w:rsidP="00540E1B">
            <w:pPr>
              <w:rPr>
                <w:rFonts w:ascii="Arial" w:hAnsi="Arial" w:cs="Arial"/>
              </w:rPr>
            </w:pPr>
            <w:r>
              <w:rPr>
                <w:rFonts w:ascii="Arial" w:hAnsi="Arial" w:cs="Arial"/>
              </w:rPr>
              <w:t>52%</w:t>
            </w:r>
          </w:p>
        </w:tc>
      </w:tr>
      <w:tr w:rsidR="00E453AC" w:rsidRPr="009D3628" w:rsidTr="00B60A22">
        <w:trPr>
          <w:trHeight w:val="278"/>
        </w:trPr>
        <w:tc>
          <w:tcPr>
            <w:tcW w:w="1890" w:type="pct"/>
            <w:vAlign w:val="bottom"/>
          </w:tcPr>
          <w:p w:rsidR="00E453AC"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Group A-F: Full sample</w:t>
            </w:r>
          </w:p>
        </w:tc>
        <w:tc>
          <w:tcPr>
            <w:tcW w:w="1482" w:type="pct"/>
            <w:vAlign w:val="bottom"/>
          </w:tcPr>
          <w:p w:rsidR="00E453AC" w:rsidRDefault="00E453AC" w:rsidP="00540E1B">
            <w:pPr>
              <w:rPr>
                <w:rFonts w:ascii="Arial" w:hAnsi="Arial" w:cs="Arial"/>
              </w:rPr>
            </w:pPr>
            <w:r>
              <w:rPr>
                <w:rFonts w:ascii="Arial" w:hAnsi="Arial" w:cs="Arial"/>
              </w:rPr>
              <w:t>4,08</w:t>
            </w:r>
          </w:p>
        </w:tc>
        <w:tc>
          <w:tcPr>
            <w:tcW w:w="1628" w:type="pct"/>
            <w:vAlign w:val="bottom"/>
          </w:tcPr>
          <w:p w:rsidR="00E453AC" w:rsidRDefault="00E453AC" w:rsidP="00540E1B">
            <w:pPr>
              <w:rPr>
                <w:rFonts w:ascii="Arial" w:hAnsi="Arial" w:cs="Arial"/>
              </w:rPr>
            </w:pPr>
            <w:r>
              <w:rPr>
                <w:rFonts w:ascii="Arial" w:hAnsi="Arial" w:cs="Arial"/>
              </w:rPr>
              <w:t>100%</w:t>
            </w:r>
          </w:p>
        </w:tc>
      </w:tr>
    </w:tbl>
    <w:tbl>
      <w:tblPr>
        <w:tblStyle w:val="Tabelraster"/>
        <w:tblpPr w:leftFromText="141" w:rightFromText="141" w:vertAnchor="text" w:horzAnchor="margin" w:tblpXSpec="right" w:tblpY="229"/>
        <w:tblW w:w="2485"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1809"/>
        <w:gridCol w:w="1418"/>
        <w:gridCol w:w="1558"/>
      </w:tblGrid>
      <w:tr w:rsidR="00E453AC" w:rsidRPr="00190343" w:rsidTr="00B60A22">
        <w:trPr>
          <w:trHeight w:val="154"/>
        </w:trPr>
        <w:tc>
          <w:tcPr>
            <w:tcW w:w="1890" w:type="pct"/>
            <w:shd w:val="clear" w:color="auto" w:fill="999999"/>
          </w:tcPr>
          <w:p w:rsidR="00E453AC" w:rsidRPr="009D3628" w:rsidRDefault="00E453AC" w:rsidP="00B60A22">
            <w:pPr>
              <w:pStyle w:val="Tableheading1"/>
              <w:rPr>
                <w:rFonts w:ascii="Calibri" w:hAnsi="Calibri" w:cs="Calibri"/>
                <w:lang w:val="en-US"/>
              </w:rPr>
            </w:pPr>
            <w:r>
              <w:rPr>
                <w:rFonts w:ascii="Calibri" w:hAnsi="Calibri" w:cs="Calibri"/>
                <w:lang w:val="en-US"/>
              </w:rPr>
              <w:t>Groups</w:t>
            </w:r>
          </w:p>
        </w:tc>
        <w:tc>
          <w:tcPr>
            <w:tcW w:w="1482" w:type="pct"/>
            <w:shd w:val="clear" w:color="auto" w:fill="999999"/>
          </w:tcPr>
          <w:p w:rsidR="00E453AC" w:rsidRPr="00FB63DB" w:rsidRDefault="00E453AC" w:rsidP="00B60A22">
            <w:pPr>
              <w:pStyle w:val="Tabletext"/>
              <w:rPr>
                <w:rFonts w:ascii="Calibri" w:hAnsi="Calibri" w:cs="Calibri"/>
                <w:b/>
                <w:lang w:val="en-US"/>
              </w:rPr>
            </w:pPr>
            <w:r w:rsidRPr="00190343">
              <w:rPr>
                <w:rFonts w:ascii="Calibri" w:hAnsi="Calibri" w:cs="Calibri"/>
                <w:b/>
                <w:lang w:val="en-US"/>
              </w:rPr>
              <w:t>X</w:t>
            </w:r>
            <w:r w:rsidRPr="00190343">
              <w:rPr>
                <w:rFonts w:ascii="Calibri" w:hAnsi="Calibri" w:cs="Calibri"/>
                <w:b/>
                <w:vertAlign w:val="subscript"/>
                <w:lang w:val="en-US"/>
              </w:rPr>
              <w:t xml:space="preserve">it </w:t>
            </w:r>
            <w:r w:rsidR="00FB63DB">
              <w:rPr>
                <w:rFonts w:ascii="Calibri" w:hAnsi="Calibri" w:cs="Calibri"/>
                <w:b/>
                <w:lang w:val="en-US"/>
              </w:rPr>
              <w:t xml:space="preserve"> at (-1,0)</w:t>
            </w:r>
          </w:p>
        </w:tc>
        <w:tc>
          <w:tcPr>
            <w:tcW w:w="1628" w:type="pct"/>
            <w:shd w:val="clear" w:color="auto" w:fill="999999"/>
          </w:tcPr>
          <w:p w:rsidR="00E453AC" w:rsidRPr="00190343" w:rsidRDefault="00E453AC" w:rsidP="00B60A22">
            <w:pPr>
              <w:pStyle w:val="Tabletext"/>
              <w:rPr>
                <w:rFonts w:ascii="Calibri" w:hAnsi="Calibri" w:cs="Calibri"/>
                <w:b/>
                <w:lang w:val="en-US"/>
              </w:rPr>
            </w:pPr>
            <w:r>
              <w:rPr>
                <w:rFonts w:ascii="Calibri" w:hAnsi="Calibri" w:cs="Calibri"/>
                <w:b/>
                <w:lang w:val="en-US"/>
              </w:rPr>
              <w:t>% of total sample</w:t>
            </w:r>
          </w:p>
        </w:tc>
      </w:tr>
      <w:tr w:rsidR="00E453AC" w:rsidRPr="009D3628" w:rsidTr="00B60A22">
        <w:trPr>
          <w:trHeight w:val="278"/>
        </w:trPr>
        <w:tc>
          <w:tcPr>
            <w:tcW w:w="1890" w:type="pct"/>
            <w:vAlign w:val="bottom"/>
          </w:tcPr>
          <w:p w:rsidR="00E453AC" w:rsidRPr="009D3628"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A: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&gt; 6</w:t>
            </w:r>
          </w:p>
        </w:tc>
        <w:tc>
          <w:tcPr>
            <w:tcW w:w="1482" w:type="pct"/>
            <w:vAlign w:val="bottom"/>
          </w:tcPr>
          <w:p w:rsidR="00E453AC" w:rsidRDefault="00E453AC" w:rsidP="00540E1B">
            <w:pPr>
              <w:rPr>
                <w:rFonts w:ascii="Arial" w:hAnsi="Arial" w:cs="Arial"/>
              </w:rPr>
            </w:pPr>
            <w:r>
              <w:rPr>
                <w:rFonts w:ascii="Arial" w:hAnsi="Arial" w:cs="Arial"/>
              </w:rPr>
              <w:t>0,82</w:t>
            </w:r>
            <w:r w:rsidR="00191B52">
              <w:rPr>
                <w:rFonts w:ascii="Arial" w:hAnsi="Arial" w:cs="Arial"/>
              </w:rPr>
              <w:t>***</w:t>
            </w:r>
          </w:p>
        </w:tc>
        <w:tc>
          <w:tcPr>
            <w:tcW w:w="1628" w:type="pct"/>
            <w:vAlign w:val="bottom"/>
          </w:tcPr>
          <w:p w:rsidR="00E453AC" w:rsidRDefault="00E453AC" w:rsidP="00540E1B">
            <w:pPr>
              <w:rPr>
                <w:rFonts w:ascii="Arial" w:hAnsi="Arial" w:cs="Arial"/>
              </w:rPr>
            </w:pPr>
            <w:r>
              <w:rPr>
                <w:rFonts w:ascii="Arial" w:hAnsi="Arial" w:cs="Arial"/>
              </w:rPr>
              <w:t>12%</w:t>
            </w:r>
          </w:p>
        </w:tc>
      </w:tr>
      <w:tr w:rsidR="00E453AC" w:rsidRPr="009D3628" w:rsidTr="00B60A22">
        <w:trPr>
          <w:trHeight w:val="278"/>
        </w:trPr>
        <w:tc>
          <w:tcPr>
            <w:tcW w:w="1890" w:type="pct"/>
            <w:vAlign w:val="bottom"/>
          </w:tcPr>
          <w:p w:rsidR="00E453AC"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B: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4-6</w:t>
            </w:r>
          </w:p>
        </w:tc>
        <w:tc>
          <w:tcPr>
            <w:tcW w:w="1482" w:type="pct"/>
            <w:vAlign w:val="bottom"/>
          </w:tcPr>
          <w:p w:rsidR="00E453AC" w:rsidRDefault="00E453AC" w:rsidP="00540E1B">
            <w:pPr>
              <w:rPr>
                <w:rFonts w:ascii="Arial" w:hAnsi="Arial" w:cs="Arial"/>
              </w:rPr>
            </w:pPr>
            <w:r>
              <w:rPr>
                <w:rFonts w:ascii="Arial" w:hAnsi="Arial" w:cs="Arial"/>
              </w:rPr>
              <w:t>2,39</w:t>
            </w:r>
            <w:r w:rsidR="00191B52">
              <w:rPr>
                <w:rFonts w:ascii="Arial" w:hAnsi="Arial" w:cs="Arial"/>
              </w:rPr>
              <w:t>***</w:t>
            </w:r>
          </w:p>
        </w:tc>
        <w:tc>
          <w:tcPr>
            <w:tcW w:w="1628" w:type="pct"/>
            <w:vAlign w:val="bottom"/>
          </w:tcPr>
          <w:p w:rsidR="00E453AC" w:rsidRDefault="00E453AC" w:rsidP="00540E1B">
            <w:pPr>
              <w:rPr>
                <w:rFonts w:ascii="Arial" w:hAnsi="Arial" w:cs="Arial"/>
              </w:rPr>
            </w:pPr>
            <w:r>
              <w:rPr>
                <w:rFonts w:ascii="Arial" w:hAnsi="Arial" w:cs="Arial"/>
              </w:rPr>
              <w:t>5%</w:t>
            </w:r>
          </w:p>
        </w:tc>
      </w:tr>
      <w:tr w:rsidR="00E453AC" w:rsidRPr="009D3628" w:rsidTr="00B60A22">
        <w:trPr>
          <w:trHeight w:val="278"/>
        </w:trPr>
        <w:tc>
          <w:tcPr>
            <w:tcW w:w="1890" w:type="pct"/>
            <w:vAlign w:val="bottom"/>
          </w:tcPr>
          <w:p w:rsidR="00E453AC"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C: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3-4</w:t>
            </w:r>
          </w:p>
        </w:tc>
        <w:tc>
          <w:tcPr>
            <w:tcW w:w="1482" w:type="pct"/>
            <w:vAlign w:val="bottom"/>
          </w:tcPr>
          <w:p w:rsidR="00E453AC" w:rsidRDefault="00E453AC" w:rsidP="00540E1B">
            <w:pPr>
              <w:rPr>
                <w:rFonts w:ascii="Arial" w:hAnsi="Arial" w:cs="Arial"/>
              </w:rPr>
            </w:pPr>
            <w:r>
              <w:rPr>
                <w:rFonts w:ascii="Arial" w:hAnsi="Arial" w:cs="Arial"/>
              </w:rPr>
              <w:t>2,02</w:t>
            </w:r>
          </w:p>
        </w:tc>
        <w:tc>
          <w:tcPr>
            <w:tcW w:w="1628" w:type="pct"/>
            <w:vAlign w:val="bottom"/>
          </w:tcPr>
          <w:p w:rsidR="00E453AC" w:rsidRDefault="00E453AC" w:rsidP="00540E1B">
            <w:pPr>
              <w:rPr>
                <w:rFonts w:ascii="Arial" w:hAnsi="Arial" w:cs="Arial"/>
              </w:rPr>
            </w:pPr>
            <w:r>
              <w:rPr>
                <w:rFonts w:ascii="Arial" w:hAnsi="Arial" w:cs="Arial"/>
              </w:rPr>
              <w:t>3%</w:t>
            </w:r>
          </w:p>
        </w:tc>
      </w:tr>
      <w:tr w:rsidR="00E453AC" w:rsidRPr="009D3628" w:rsidTr="00B60A22">
        <w:trPr>
          <w:trHeight w:val="278"/>
        </w:trPr>
        <w:tc>
          <w:tcPr>
            <w:tcW w:w="1890" w:type="pct"/>
            <w:vAlign w:val="bottom"/>
          </w:tcPr>
          <w:p w:rsidR="00E453AC"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D: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2-3</w:t>
            </w:r>
          </w:p>
        </w:tc>
        <w:tc>
          <w:tcPr>
            <w:tcW w:w="1482" w:type="pct"/>
            <w:vAlign w:val="bottom"/>
          </w:tcPr>
          <w:p w:rsidR="00E453AC" w:rsidRDefault="00E453AC" w:rsidP="00540E1B">
            <w:pPr>
              <w:rPr>
                <w:rFonts w:ascii="Arial" w:hAnsi="Arial" w:cs="Arial"/>
              </w:rPr>
            </w:pPr>
            <w:r>
              <w:rPr>
                <w:rFonts w:ascii="Arial" w:hAnsi="Arial" w:cs="Arial"/>
              </w:rPr>
              <w:t>1,62</w:t>
            </w:r>
            <w:r w:rsidR="00191B52">
              <w:rPr>
                <w:rFonts w:ascii="Arial" w:hAnsi="Arial" w:cs="Arial"/>
              </w:rPr>
              <w:t>***</w:t>
            </w:r>
          </w:p>
        </w:tc>
        <w:tc>
          <w:tcPr>
            <w:tcW w:w="1628" w:type="pct"/>
            <w:vAlign w:val="bottom"/>
          </w:tcPr>
          <w:p w:rsidR="00E453AC" w:rsidRDefault="00E453AC" w:rsidP="00540E1B">
            <w:pPr>
              <w:rPr>
                <w:rFonts w:ascii="Arial" w:hAnsi="Arial" w:cs="Arial"/>
              </w:rPr>
            </w:pPr>
            <w:r>
              <w:rPr>
                <w:rFonts w:ascii="Arial" w:hAnsi="Arial" w:cs="Arial"/>
              </w:rPr>
              <w:t>12%</w:t>
            </w:r>
          </w:p>
        </w:tc>
      </w:tr>
      <w:tr w:rsidR="00E453AC" w:rsidRPr="009D3628" w:rsidTr="00B60A22">
        <w:trPr>
          <w:trHeight w:val="278"/>
        </w:trPr>
        <w:tc>
          <w:tcPr>
            <w:tcW w:w="1890" w:type="pct"/>
            <w:vAlign w:val="bottom"/>
          </w:tcPr>
          <w:p w:rsidR="00E453AC"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E: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1-2</w:t>
            </w:r>
          </w:p>
        </w:tc>
        <w:tc>
          <w:tcPr>
            <w:tcW w:w="1482" w:type="pct"/>
            <w:vAlign w:val="bottom"/>
          </w:tcPr>
          <w:p w:rsidR="00E453AC" w:rsidRDefault="00E453AC" w:rsidP="00540E1B">
            <w:pPr>
              <w:rPr>
                <w:rFonts w:ascii="Arial" w:hAnsi="Arial" w:cs="Arial"/>
              </w:rPr>
            </w:pPr>
            <w:r>
              <w:rPr>
                <w:rFonts w:ascii="Arial" w:hAnsi="Arial" w:cs="Arial"/>
              </w:rPr>
              <w:t>1,31</w:t>
            </w:r>
            <w:r w:rsidR="00191B52">
              <w:rPr>
                <w:rFonts w:ascii="Arial" w:hAnsi="Arial" w:cs="Arial"/>
              </w:rPr>
              <w:t>**</w:t>
            </w:r>
          </w:p>
        </w:tc>
        <w:tc>
          <w:tcPr>
            <w:tcW w:w="1628" w:type="pct"/>
            <w:vAlign w:val="bottom"/>
          </w:tcPr>
          <w:p w:rsidR="00E453AC" w:rsidRDefault="00E453AC" w:rsidP="00540E1B">
            <w:pPr>
              <w:rPr>
                <w:rFonts w:ascii="Arial" w:hAnsi="Arial" w:cs="Arial"/>
              </w:rPr>
            </w:pPr>
            <w:r>
              <w:rPr>
                <w:rFonts w:ascii="Arial" w:hAnsi="Arial" w:cs="Arial"/>
              </w:rPr>
              <w:t>8%</w:t>
            </w:r>
          </w:p>
        </w:tc>
      </w:tr>
      <w:tr w:rsidR="00E453AC" w:rsidRPr="009D3628" w:rsidTr="00B60A22">
        <w:trPr>
          <w:trHeight w:val="278"/>
        </w:trPr>
        <w:tc>
          <w:tcPr>
            <w:tcW w:w="1890" w:type="pct"/>
            <w:vAlign w:val="bottom"/>
          </w:tcPr>
          <w:p w:rsidR="00E453AC"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 xml:space="preserve">Group F: </w:t>
            </w:r>
            <w:r w:rsidRPr="009D3628">
              <w:rPr>
                <w:rFonts w:ascii="Calibri" w:hAnsi="Calibri" w:cs="Calibri"/>
                <w:lang w:val="en-US"/>
              </w:rPr>
              <w:t xml:space="preserve"> X</w:t>
            </w:r>
            <w:r w:rsidRPr="009D3628">
              <w:rPr>
                <w:rFonts w:ascii="Calibri" w:hAnsi="Calibri" w:cs="Calibri"/>
                <w:vertAlign w:val="subscript"/>
                <w:lang w:val="en-US"/>
              </w:rPr>
              <w:t xml:space="preserve">it </w:t>
            </w:r>
            <w:r w:rsidRPr="009D3628">
              <w:rPr>
                <w:rFonts w:ascii="Calibri" w:hAnsi="Calibri" w:cs="Calibri"/>
                <w:lang w:val="en-US"/>
              </w:rPr>
              <w:t>: 0-1</w:t>
            </w:r>
          </w:p>
        </w:tc>
        <w:tc>
          <w:tcPr>
            <w:tcW w:w="1482" w:type="pct"/>
            <w:vAlign w:val="bottom"/>
          </w:tcPr>
          <w:p w:rsidR="00E453AC" w:rsidRDefault="00E453AC" w:rsidP="00540E1B">
            <w:pPr>
              <w:rPr>
                <w:rFonts w:ascii="Arial" w:hAnsi="Arial" w:cs="Arial"/>
              </w:rPr>
            </w:pPr>
            <w:r>
              <w:rPr>
                <w:rFonts w:ascii="Arial" w:hAnsi="Arial" w:cs="Arial"/>
              </w:rPr>
              <w:t>1,03</w:t>
            </w:r>
            <w:r w:rsidR="00191B52">
              <w:rPr>
                <w:rFonts w:ascii="Arial" w:hAnsi="Arial" w:cs="Arial"/>
              </w:rPr>
              <w:t>***</w:t>
            </w:r>
          </w:p>
        </w:tc>
        <w:tc>
          <w:tcPr>
            <w:tcW w:w="1628" w:type="pct"/>
            <w:vAlign w:val="bottom"/>
          </w:tcPr>
          <w:p w:rsidR="00E453AC" w:rsidRDefault="00E453AC" w:rsidP="00540E1B">
            <w:pPr>
              <w:rPr>
                <w:rFonts w:ascii="Arial" w:hAnsi="Arial" w:cs="Arial"/>
              </w:rPr>
            </w:pPr>
            <w:r>
              <w:rPr>
                <w:rFonts w:ascii="Arial" w:hAnsi="Arial" w:cs="Arial"/>
              </w:rPr>
              <w:t>61%</w:t>
            </w:r>
          </w:p>
        </w:tc>
      </w:tr>
      <w:tr w:rsidR="00E453AC" w:rsidRPr="009D3628" w:rsidTr="00B60A22">
        <w:trPr>
          <w:trHeight w:val="278"/>
        </w:trPr>
        <w:tc>
          <w:tcPr>
            <w:tcW w:w="1890" w:type="pct"/>
            <w:vAlign w:val="bottom"/>
          </w:tcPr>
          <w:p w:rsidR="00E453AC" w:rsidRDefault="00E453AC" w:rsidP="00B60A22">
            <w:pPr>
              <w:overflowPunct/>
              <w:autoSpaceDE/>
              <w:autoSpaceDN/>
              <w:adjustRightInd/>
              <w:spacing w:line="240" w:lineRule="auto"/>
              <w:textAlignment w:val="auto"/>
              <w:rPr>
                <w:rFonts w:ascii="Calibri" w:hAnsi="Calibri" w:cs="Calibri"/>
                <w:lang w:val="en-US"/>
              </w:rPr>
            </w:pPr>
            <w:r>
              <w:rPr>
                <w:rFonts w:ascii="Calibri" w:hAnsi="Calibri" w:cs="Calibri"/>
                <w:lang w:val="en-US"/>
              </w:rPr>
              <w:t>Group A-F: Full sample</w:t>
            </w:r>
          </w:p>
        </w:tc>
        <w:tc>
          <w:tcPr>
            <w:tcW w:w="1482" w:type="pct"/>
            <w:vAlign w:val="bottom"/>
          </w:tcPr>
          <w:p w:rsidR="00E453AC" w:rsidRDefault="00E453AC" w:rsidP="00540E1B">
            <w:pPr>
              <w:rPr>
                <w:rFonts w:ascii="Arial" w:hAnsi="Arial" w:cs="Arial"/>
              </w:rPr>
            </w:pPr>
            <w:r>
              <w:rPr>
                <w:rFonts w:ascii="Arial" w:hAnsi="Arial" w:cs="Arial"/>
              </w:rPr>
              <w:t>1,2</w:t>
            </w:r>
          </w:p>
        </w:tc>
        <w:tc>
          <w:tcPr>
            <w:tcW w:w="1628" w:type="pct"/>
            <w:vAlign w:val="bottom"/>
          </w:tcPr>
          <w:p w:rsidR="00E453AC" w:rsidRDefault="00E453AC" w:rsidP="00540E1B">
            <w:pPr>
              <w:rPr>
                <w:rFonts w:ascii="Arial" w:hAnsi="Arial" w:cs="Arial"/>
              </w:rPr>
            </w:pPr>
            <w:r>
              <w:rPr>
                <w:rFonts w:ascii="Arial" w:hAnsi="Arial" w:cs="Arial"/>
              </w:rPr>
              <w:t>100%</w:t>
            </w:r>
          </w:p>
        </w:tc>
      </w:tr>
    </w:tbl>
    <w:p w:rsidR="00E453AC" w:rsidRPr="009D3628" w:rsidRDefault="00E453AC" w:rsidP="00E453AC">
      <w:pPr>
        <w:pStyle w:val="000"/>
        <w:spacing w:line="360" w:lineRule="auto"/>
        <w:rPr>
          <w:rFonts w:ascii="Calibri" w:hAnsi="Calibri" w:cs="Calibri"/>
          <w:lang w:val="en-US"/>
        </w:rPr>
      </w:pPr>
      <w:r>
        <w:rPr>
          <w:rFonts w:ascii="Calibri" w:hAnsi="Calibri" w:cs="Calibri"/>
          <w:sz w:val="20"/>
          <w:vertAlign w:val="superscript"/>
          <w:lang w:val="en-US"/>
        </w:rPr>
        <w:t xml:space="preserve">a </w:t>
      </w:r>
      <w:r w:rsidRPr="00650F54">
        <w:rPr>
          <w:rFonts w:ascii="Calibri" w:hAnsi="Calibri" w:cs="Calibri"/>
          <w:sz w:val="20"/>
          <w:lang w:val="en-US"/>
        </w:rPr>
        <w:t>X</w:t>
      </w:r>
      <w:r w:rsidRPr="00650F54">
        <w:rPr>
          <w:rFonts w:ascii="Calibri" w:hAnsi="Calibri" w:cs="Calibri"/>
          <w:sz w:val="20"/>
          <w:vertAlign w:val="subscript"/>
          <w:lang w:val="en-US"/>
        </w:rPr>
        <w:t xml:space="preserve">it </w:t>
      </w:r>
      <w:r w:rsidRPr="00650F54">
        <w:rPr>
          <w:rFonts w:ascii="Calibri" w:hAnsi="Calibri" w:cs="Calibri"/>
          <w:sz w:val="20"/>
          <w:lang w:val="en-US"/>
        </w:rPr>
        <w:t>is (U</w:t>
      </w:r>
      <w:r w:rsidRPr="00650F54">
        <w:rPr>
          <w:rFonts w:ascii="Calibri" w:hAnsi="Calibri" w:cs="Calibri"/>
          <w:sz w:val="20"/>
          <w:vertAlign w:val="subscript"/>
          <w:lang w:val="en-US"/>
        </w:rPr>
        <w:t>it</w:t>
      </w:r>
      <w:r w:rsidRPr="00650F54">
        <w:rPr>
          <w:rFonts w:ascii="Calibri" w:hAnsi="Calibri" w:cs="Calibri"/>
          <w:sz w:val="20"/>
          <w:lang w:val="en-US"/>
        </w:rPr>
        <w:t>)</w:t>
      </w:r>
      <w:r w:rsidRPr="00650F54">
        <w:rPr>
          <w:rFonts w:ascii="Calibri" w:hAnsi="Calibri" w:cs="Calibri"/>
          <w:sz w:val="20"/>
          <w:vertAlign w:val="superscript"/>
          <w:lang w:val="en-US"/>
        </w:rPr>
        <w:t>2</w:t>
      </w:r>
      <w:r w:rsidRPr="00650F54">
        <w:rPr>
          <w:rFonts w:ascii="Calibri" w:hAnsi="Calibri" w:cs="Calibri"/>
          <w:sz w:val="20"/>
          <w:lang w:val="en-US"/>
        </w:rPr>
        <w:t>/</w:t>
      </w:r>
      <w:r w:rsidRPr="00650F54">
        <w:rPr>
          <w:rFonts w:ascii="Calibri" w:hAnsi="Calibri" w:cs="Calibri"/>
          <w:sz w:val="20"/>
        </w:rPr>
        <w:t>σ</w:t>
      </w:r>
      <w:r w:rsidRPr="00650F54">
        <w:rPr>
          <w:rFonts w:ascii="Calibri" w:hAnsi="Calibri" w:cs="Calibri"/>
          <w:sz w:val="20"/>
          <w:vertAlign w:val="superscript"/>
          <w:lang w:val="en-US"/>
        </w:rPr>
        <w:t>2</w:t>
      </w:r>
      <w:r w:rsidRPr="00650F54">
        <w:rPr>
          <w:rFonts w:ascii="Calibri" w:hAnsi="Calibri" w:cs="Calibri"/>
          <w:sz w:val="20"/>
          <w:lang w:val="en-US"/>
        </w:rPr>
        <w:t>(U</w:t>
      </w:r>
      <w:r w:rsidRPr="00650F54">
        <w:rPr>
          <w:rFonts w:ascii="Calibri" w:hAnsi="Calibri" w:cs="Calibri"/>
          <w:sz w:val="20"/>
          <w:vertAlign w:val="subscript"/>
          <w:lang w:val="en-US"/>
        </w:rPr>
        <w:t>it</w:t>
      </w:r>
      <w:r w:rsidRPr="00650F54">
        <w:rPr>
          <w:rFonts w:ascii="Calibri" w:hAnsi="Calibri" w:cs="Calibri"/>
          <w:sz w:val="20"/>
          <w:lang w:val="en-US"/>
        </w:rPr>
        <w:t>) where U</w:t>
      </w:r>
      <w:r w:rsidRPr="00650F54">
        <w:rPr>
          <w:rFonts w:ascii="Calibri" w:hAnsi="Calibri" w:cs="Calibri"/>
          <w:sz w:val="20"/>
          <w:vertAlign w:val="subscript"/>
          <w:lang w:val="en-US"/>
        </w:rPr>
        <w:t>it</w:t>
      </w:r>
      <w:r w:rsidRPr="00650F54">
        <w:rPr>
          <w:rFonts w:ascii="Calibri" w:hAnsi="Calibri" w:cs="Calibri"/>
          <w:sz w:val="20"/>
          <w:lang w:val="en-US"/>
        </w:rPr>
        <w:t xml:space="preserve"> is the two-day abnormal return</w:t>
      </w:r>
    </w:p>
    <w:p w:rsidR="00E453AC" w:rsidRDefault="00E453AC" w:rsidP="00E453AC">
      <w:pPr>
        <w:pStyle w:val="000"/>
        <w:spacing w:line="360" w:lineRule="auto"/>
        <w:rPr>
          <w:rFonts w:ascii="Calibri" w:hAnsi="Calibri" w:cs="Calibri"/>
          <w:sz w:val="20"/>
          <w:lang w:val="en-US"/>
        </w:rPr>
      </w:pPr>
      <w:r>
        <w:rPr>
          <w:rFonts w:ascii="Calibri" w:hAnsi="Calibri" w:cs="Calibri"/>
          <w:vertAlign w:val="superscript"/>
          <w:lang w:val="en-US"/>
        </w:rPr>
        <w:t xml:space="preserve">b </w:t>
      </w:r>
      <w:r>
        <w:rPr>
          <w:rFonts w:ascii="Calibri" w:hAnsi="Calibri" w:cs="Calibri"/>
          <w:sz w:val="20"/>
          <w:lang w:val="en-US"/>
        </w:rPr>
        <w:t>The Kolmogorov-Smirnov test was conducted for the non-announcing firms. Those groups with significant values at (-1,0) are noted as follows: ***= 0.01 significance level, **= 0.05 significance level, *= 0.10 significance level.</w:t>
      </w:r>
    </w:p>
    <w:p w:rsidR="00E453AC" w:rsidRDefault="00E453AC" w:rsidP="00E453AC">
      <w:pPr>
        <w:pStyle w:val="000"/>
        <w:spacing w:line="360" w:lineRule="auto"/>
        <w:rPr>
          <w:rFonts w:ascii="Calibri" w:hAnsi="Calibri" w:cs="Calibri"/>
          <w:sz w:val="20"/>
          <w:lang w:val="en-US"/>
        </w:rPr>
      </w:pPr>
    </w:p>
    <w:p w:rsidR="00E453AC" w:rsidRPr="00F94A1D" w:rsidRDefault="00FB63DB" w:rsidP="00E453AC">
      <w:pPr>
        <w:pStyle w:val="000"/>
        <w:spacing w:line="360" w:lineRule="auto"/>
        <w:rPr>
          <w:rFonts w:ascii="Calibri" w:hAnsi="Calibri" w:cs="Calibri"/>
          <w:szCs w:val="22"/>
          <w:lang w:val="en-US"/>
        </w:rPr>
      </w:pPr>
      <w:r>
        <w:rPr>
          <w:rFonts w:ascii="Calibri" w:hAnsi="Calibri" w:cs="Calibri"/>
          <w:szCs w:val="22"/>
          <w:lang w:val="en-US"/>
        </w:rPr>
        <w:t>The SPSS output for the Kolmogorov-Smirnov test applied per group is attached in the Appendix. The reason why the sample deviates from normality is that each average X</w:t>
      </w:r>
      <w:r>
        <w:rPr>
          <w:rFonts w:ascii="Calibri" w:hAnsi="Calibri" w:cs="Calibri"/>
          <w:szCs w:val="22"/>
          <w:vertAlign w:val="subscript"/>
          <w:lang w:val="en-US"/>
        </w:rPr>
        <w:t>it</w:t>
      </w:r>
      <w:r>
        <w:rPr>
          <w:rFonts w:ascii="Calibri" w:hAnsi="Calibri" w:cs="Calibri"/>
          <w:szCs w:val="22"/>
          <w:lang w:val="en-US"/>
        </w:rPr>
        <w:t xml:space="preserve"> value is heavily weighted by a relatively small su</w:t>
      </w:r>
      <w:r w:rsidR="002B077E">
        <w:rPr>
          <w:rFonts w:ascii="Calibri" w:hAnsi="Calibri" w:cs="Calibri"/>
          <w:szCs w:val="22"/>
          <w:lang w:val="en-US"/>
        </w:rPr>
        <w:t xml:space="preserve">b-set of extreme observations. This is similar to the results presented by Foster (1981). Tables 3 and 4 present in the bottom line the number of observations in each group. Here you can see that for the ‘announcing firms’ sample in the pre-IFRS period (2001-2004), 67% of the observations have </w:t>
      </w:r>
      <w:r w:rsidR="002B077E">
        <w:rPr>
          <w:rFonts w:ascii="Calibri" w:hAnsi="Calibri" w:cs="Calibri"/>
          <w:szCs w:val="22"/>
          <w:lang w:val="en-US"/>
        </w:rPr>
        <w:lastRenderedPageBreak/>
        <w:t>X</w:t>
      </w:r>
      <w:r w:rsidR="002B077E">
        <w:rPr>
          <w:rFonts w:ascii="Calibri" w:hAnsi="Calibri" w:cs="Calibri"/>
          <w:szCs w:val="22"/>
          <w:vertAlign w:val="subscript"/>
          <w:lang w:val="en-US"/>
        </w:rPr>
        <w:t xml:space="preserve">it </w:t>
      </w:r>
      <w:r w:rsidR="002B077E">
        <w:rPr>
          <w:rFonts w:ascii="Calibri" w:hAnsi="Calibri" w:cs="Calibri"/>
          <w:szCs w:val="22"/>
          <w:lang w:val="en-US"/>
        </w:rPr>
        <w:t xml:space="preserve">values smaller than 2. </w:t>
      </w:r>
      <w:r w:rsidR="00F94A1D">
        <w:rPr>
          <w:rFonts w:ascii="Calibri" w:hAnsi="Calibri" w:cs="Calibri"/>
          <w:szCs w:val="22"/>
          <w:lang w:val="en-US"/>
        </w:rPr>
        <w:t>The Kolmogorov-Smirnov test only test the normality of the X</w:t>
      </w:r>
      <w:r w:rsidR="00F94A1D">
        <w:rPr>
          <w:rFonts w:ascii="Calibri" w:hAnsi="Calibri" w:cs="Calibri"/>
          <w:szCs w:val="22"/>
          <w:vertAlign w:val="subscript"/>
          <w:lang w:val="en-US"/>
        </w:rPr>
        <w:t xml:space="preserve">it </w:t>
      </w:r>
      <w:r w:rsidR="00F94A1D">
        <w:rPr>
          <w:rFonts w:ascii="Calibri" w:hAnsi="Calibri" w:cs="Calibri"/>
          <w:szCs w:val="22"/>
          <w:lang w:val="en-US"/>
        </w:rPr>
        <w:t xml:space="preserve">values in the different groups and does not say anything more about intra-industry information transfer occurring. </w:t>
      </w:r>
    </w:p>
    <w:p w:rsidR="00A10169" w:rsidRPr="00A10169" w:rsidRDefault="00A10169" w:rsidP="00E453AC">
      <w:pPr>
        <w:pStyle w:val="000"/>
        <w:spacing w:line="360" w:lineRule="auto"/>
        <w:rPr>
          <w:rFonts w:asciiTheme="minorHAnsi" w:hAnsiTheme="minorHAnsi" w:cstheme="minorHAnsi"/>
          <w:szCs w:val="22"/>
          <w:lang w:val="en-US"/>
        </w:rPr>
      </w:pPr>
    </w:p>
    <w:p w:rsidR="00A10169" w:rsidRPr="00A10169" w:rsidRDefault="00A10169" w:rsidP="00A10169">
      <w:pPr>
        <w:pStyle w:val="Kop2"/>
        <w:rPr>
          <w:rFonts w:asciiTheme="minorHAnsi" w:hAnsiTheme="minorHAnsi" w:cstheme="minorHAnsi"/>
          <w:lang w:val="en-US"/>
        </w:rPr>
      </w:pPr>
      <w:bookmarkStart w:id="26" w:name="_Toc331518372"/>
      <w:r w:rsidRPr="00A10169">
        <w:rPr>
          <w:rFonts w:asciiTheme="minorHAnsi" w:hAnsiTheme="minorHAnsi" w:cstheme="minorHAnsi"/>
          <w:lang w:val="en-US"/>
        </w:rPr>
        <w:t>Spearman rank correlation test</w:t>
      </w:r>
      <w:bookmarkEnd w:id="26"/>
    </w:p>
    <w:p w:rsidR="00A10169" w:rsidRPr="00A10169" w:rsidRDefault="00A10169" w:rsidP="00A10169">
      <w:pPr>
        <w:pStyle w:val="000"/>
        <w:rPr>
          <w:rFonts w:asciiTheme="minorHAnsi" w:hAnsiTheme="minorHAnsi" w:cstheme="minorHAnsi"/>
          <w:lang w:val="en-US"/>
        </w:rPr>
      </w:pPr>
    </w:p>
    <w:p w:rsidR="00A10169" w:rsidRDefault="00082F63" w:rsidP="00484C5B">
      <w:pPr>
        <w:pStyle w:val="000"/>
        <w:spacing w:line="360" w:lineRule="auto"/>
        <w:rPr>
          <w:rFonts w:asciiTheme="minorHAnsi" w:hAnsiTheme="minorHAnsi" w:cstheme="minorHAnsi"/>
          <w:lang w:val="en-US"/>
        </w:rPr>
      </w:pPr>
      <w:r>
        <w:rPr>
          <w:rFonts w:asciiTheme="minorHAnsi" w:hAnsiTheme="minorHAnsi" w:cstheme="minorHAnsi"/>
          <w:lang w:val="en-US"/>
        </w:rPr>
        <w:t>If we take a closer look at</w:t>
      </w:r>
      <w:r w:rsidR="00484C5B">
        <w:rPr>
          <w:rFonts w:asciiTheme="minorHAnsi" w:hAnsiTheme="minorHAnsi" w:cstheme="minorHAnsi"/>
          <w:lang w:val="en-US"/>
        </w:rPr>
        <w:t xml:space="preserve"> the results for the ‘non-announcing’ group in tables 3 and 4, it is shown that the average X</w:t>
      </w:r>
      <w:r w:rsidR="00484C5B">
        <w:rPr>
          <w:rFonts w:asciiTheme="minorHAnsi" w:hAnsiTheme="minorHAnsi" w:cstheme="minorHAnsi"/>
          <w:vertAlign w:val="subscript"/>
          <w:lang w:val="en-US"/>
        </w:rPr>
        <w:t xml:space="preserve">it </w:t>
      </w:r>
      <w:r w:rsidR="00484C5B">
        <w:rPr>
          <w:rFonts w:asciiTheme="minorHAnsi" w:hAnsiTheme="minorHAnsi" w:cstheme="minorHAnsi"/>
          <w:lang w:val="en-US"/>
        </w:rPr>
        <w:t>values for the (-1,0) event window are not significantly different from the average X</w:t>
      </w:r>
      <w:r w:rsidR="00484C5B">
        <w:rPr>
          <w:rFonts w:asciiTheme="minorHAnsi" w:hAnsiTheme="minorHAnsi" w:cstheme="minorHAnsi"/>
          <w:vertAlign w:val="subscript"/>
          <w:lang w:val="en-US"/>
        </w:rPr>
        <w:t>it</w:t>
      </w:r>
      <w:r w:rsidR="00484C5B">
        <w:rPr>
          <w:rFonts w:asciiTheme="minorHAnsi" w:hAnsiTheme="minorHAnsi" w:cstheme="minorHAnsi"/>
          <w:lang w:val="en-US"/>
        </w:rPr>
        <w:t xml:space="preserve"> values for the other event windows. This holds for the full sample of observations, except for two outlying values in the Post-IFRS sample for the event windows (-9,-8) and (-5,-4). To measure the occurrence of intra-industry information transfer, the average X</w:t>
      </w:r>
      <w:r w:rsidR="00484C5B">
        <w:rPr>
          <w:rFonts w:asciiTheme="minorHAnsi" w:hAnsiTheme="minorHAnsi" w:cstheme="minorHAnsi"/>
          <w:vertAlign w:val="subscript"/>
          <w:lang w:val="en-US"/>
        </w:rPr>
        <w:t>it</w:t>
      </w:r>
      <w:r w:rsidR="00484C5B">
        <w:rPr>
          <w:rFonts w:asciiTheme="minorHAnsi" w:hAnsiTheme="minorHAnsi" w:cstheme="minorHAnsi"/>
          <w:lang w:val="en-US"/>
        </w:rPr>
        <w:t xml:space="preserve"> values at the (-1,0) event window of the ‘announcing’ group should be compared to the average X</w:t>
      </w:r>
      <w:r w:rsidR="00484C5B">
        <w:rPr>
          <w:rFonts w:asciiTheme="minorHAnsi" w:hAnsiTheme="minorHAnsi" w:cstheme="minorHAnsi"/>
          <w:vertAlign w:val="subscript"/>
          <w:lang w:val="en-US"/>
        </w:rPr>
        <w:t>it</w:t>
      </w:r>
      <w:r w:rsidR="00484C5B">
        <w:rPr>
          <w:rFonts w:asciiTheme="minorHAnsi" w:hAnsiTheme="minorHAnsi" w:cstheme="minorHAnsi"/>
          <w:lang w:val="en-US"/>
        </w:rPr>
        <w:t xml:space="preserve"> values at the same event window for the ‘non-announcing’ group of firms. </w:t>
      </w:r>
      <w:r w:rsidR="0096140A">
        <w:rPr>
          <w:rFonts w:asciiTheme="minorHAnsi" w:hAnsiTheme="minorHAnsi" w:cstheme="minorHAnsi"/>
          <w:lang w:val="en-US"/>
        </w:rPr>
        <w:t>By performing a</w:t>
      </w:r>
      <w:r w:rsidR="004A38E7">
        <w:rPr>
          <w:rFonts w:asciiTheme="minorHAnsi" w:hAnsiTheme="minorHAnsi" w:cstheme="minorHAnsi"/>
          <w:lang w:val="en-US"/>
        </w:rPr>
        <w:t xml:space="preserve"> Spearman rank correlation test on this data, it becomes clear if intra-industry information transfer occurs in the selected samples. </w:t>
      </w:r>
    </w:p>
    <w:p w:rsidR="004A38E7" w:rsidRDefault="000D5502" w:rsidP="00484C5B">
      <w:pPr>
        <w:pStyle w:val="000"/>
        <w:spacing w:line="360" w:lineRule="auto"/>
        <w:rPr>
          <w:rFonts w:asciiTheme="minorHAnsi" w:hAnsiTheme="minorHAnsi" w:cstheme="minorHAnsi"/>
          <w:lang w:val="en-US"/>
        </w:rPr>
      </w:pPr>
      <w:r>
        <w:rPr>
          <w:rFonts w:asciiTheme="minorHAnsi" w:hAnsiTheme="minorHAnsi" w:cstheme="minorHAnsi"/>
          <w:lang w:val="en-US"/>
        </w:rPr>
        <w:t>Spearman’s correlation coefficient is a non-parametric statistic and can be used when data has violated parametric assumptions such as non-normally distributed data.</w:t>
      </w:r>
      <w:r w:rsidR="00270362">
        <w:rPr>
          <w:rFonts w:asciiTheme="minorHAnsi" w:hAnsiTheme="minorHAnsi" w:cstheme="minorHAnsi"/>
          <w:lang w:val="en-US"/>
        </w:rPr>
        <w:t xml:space="preserve"> Spearman’s test works by first ranking the data, and then applying Pearson’s equation to those ranks.</w:t>
      </w:r>
      <w:r w:rsidR="00270362" w:rsidRPr="00270362">
        <w:rPr>
          <w:rStyle w:val="Voetnootmarkering"/>
          <w:rFonts w:cstheme="minorHAnsi"/>
          <w:lang w:val="en-US"/>
        </w:rPr>
        <w:t xml:space="preserve"> </w:t>
      </w:r>
      <w:r w:rsidR="00270362">
        <w:rPr>
          <w:rStyle w:val="Voetnootmarkering"/>
          <w:rFonts w:cstheme="minorHAnsi"/>
          <w:lang w:val="en-US"/>
        </w:rPr>
        <w:footnoteReference w:id="7"/>
      </w:r>
      <w:r w:rsidR="00270362">
        <w:rPr>
          <w:rFonts w:asciiTheme="minorHAnsi" w:hAnsiTheme="minorHAnsi" w:cstheme="minorHAnsi"/>
          <w:lang w:val="en-US"/>
        </w:rPr>
        <w:t xml:space="preserve"> Pearson’s correlation is an accurate measure of the linear relationship between two variables. </w:t>
      </w:r>
    </w:p>
    <w:p w:rsidR="00322FB1" w:rsidRDefault="00322FB1" w:rsidP="00484C5B">
      <w:pPr>
        <w:pStyle w:val="000"/>
        <w:spacing w:line="360" w:lineRule="auto"/>
        <w:rPr>
          <w:rFonts w:asciiTheme="minorHAnsi" w:hAnsiTheme="minorHAnsi" w:cstheme="minorHAnsi"/>
          <w:lang w:val="en-US"/>
        </w:rPr>
      </w:pPr>
      <w:r>
        <w:rPr>
          <w:rFonts w:asciiTheme="minorHAnsi" w:hAnsiTheme="minorHAnsi" w:cstheme="minorHAnsi"/>
          <w:lang w:val="en-US"/>
        </w:rPr>
        <w:t>For this study a Spearman rank correlation test is performed for both the pre-</w:t>
      </w:r>
      <w:r w:rsidR="00931768">
        <w:rPr>
          <w:rFonts w:asciiTheme="minorHAnsi" w:hAnsiTheme="minorHAnsi" w:cstheme="minorHAnsi"/>
          <w:lang w:val="en-US"/>
        </w:rPr>
        <w:t>IFRS sample and the post-IFRS sample. The average X</w:t>
      </w:r>
      <w:r w:rsidR="00931768">
        <w:rPr>
          <w:rFonts w:asciiTheme="minorHAnsi" w:hAnsiTheme="minorHAnsi" w:cstheme="minorHAnsi"/>
          <w:vertAlign w:val="subscript"/>
          <w:lang w:val="en-US"/>
        </w:rPr>
        <w:t>it</w:t>
      </w:r>
      <w:r w:rsidR="00931768">
        <w:rPr>
          <w:rFonts w:asciiTheme="minorHAnsi" w:hAnsiTheme="minorHAnsi" w:cstheme="minorHAnsi"/>
          <w:lang w:val="en-US"/>
        </w:rPr>
        <w:t xml:space="preserve"> values at (-1,0) for groups A till F are compared between ‘announcing’ and ‘non-announcing’ firms, see the tables below:</w:t>
      </w:r>
    </w:p>
    <w:p w:rsidR="00931768" w:rsidRPr="00931768" w:rsidRDefault="00931768" w:rsidP="00931768">
      <w:pPr>
        <w:pStyle w:val="Tabletitle"/>
        <w:rPr>
          <w:rFonts w:ascii="Calibri" w:hAnsi="Calibri" w:cs="Calibri"/>
          <w:sz w:val="22"/>
          <w:szCs w:val="22"/>
          <w:lang w:val="en-US"/>
        </w:rPr>
      </w:pPr>
      <w:r>
        <w:rPr>
          <w:rFonts w:ascii="Calibri" w:hAnsi="Calibri" w:cs="Calibri"/>
          <w:sz w:val="22"/>
          <w:szCs w:val="22"/>
          <w:lang w:val="en-US"/>
        </w:rPr>
        <w:t>Table 8</w:t>
      </w:r>
      <w:r w:rsidRPr="009D3628">
        <w:rPr>
          <w:rFonts w:ascii="Calibri" w:hAnsi="Calibri" w:cs="Calibri"/>
          <w:sz w:val="22"/>
          <w:szCs w:val="22"/>
          <w:lang w:val="en-US"/>
        </w:rPr>
        <w:t xml:space="preserve">: </w:t>
      </w:r>
      <w:r>
        <w:rPr>
          <w:rFonts w:ascii="Calibri" w:hAnsi="Calibri" w:cs="Calibri"/>
          <w:sz w:val="22"/>
          <w:szCs w:val="22"/>
          <w:lang w:val="en-US"/>
        </w:rPr>
        <w:t xml:space="preserve"> Average X</w:t>
      </w:r>
      <w:r>
        <w:rPr>
          <w:rFonts w:ascii="Calibri" w:hAnsi="Calibri" w:cs="Calibri"/>
          <w:sz w:val="22"/>
          <w:szCs w:val="22"/>
          <w:vertAlign w:val="subscript"/>
          <w:lang w:val="en-US"/>
        </w:rPr>
        <w:t xml:space="preserve">it </w:t>
      </w:r>
      <w:r>
        <w:rPr>
          <w:rFonts w:ascii="Calibri" w:hAnsi="Calibri" w:cs="Calibri"/>
          <w:sz w:val="22"/>
          <w:szCs w:val="22"/>
          <w:lang w:val="en-US"/>
        </w:rPr>
        <w:t xml:space="preserve">values at (-1,0) </w:t>
      </w:r>
    </w:p>
    <w:p w:rsidR="00931768" w:rsidRPr="00931768" w:rsidRDefault="00931768" w:rsidP="00484C5B">
      <w:pPr>
        <w:pStyle w:val="000"/>
        <w:spacing w:line="360" w:lineRule="auto"/>
        <w:rPr>
          <w:rFonts w:asciiTheme="minorHAnsi" w:hAnsiTheme="minorHAnsi" w:cstheme="minorHAnsi"/>
          <w:sz w:val="20"/>
          <w:lang w:val="en-US"/>
        </w:rPr>
      </w:pPr>
      <w:r>
        <w:rPr>
          <w:rFonts w:asciiTheme="minorHAnsi" w:hAnsiTheme="minorHAnsi" w:cstheme="minorHAnsi"/>
          <w:sz w:val="20"/>
          <w:lang w:val="en-US"/>
        </w:rPr>
        <w:t>Pre-IFRS period (2001-2004)</w:t>
      </w:r>
    </w:p>
    <w:tbl>
      <w:tblPr>
        <w:tblStyle w:val="Tabelraste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2376"/>
        <w:gridCol w:w="1134"/>
        <w:gridCol w:w="1134"/>
        <w:gridCol w:w="1134"/>
        <w:gridCol w:w="1134"/>
        <w:gridCol w:w="1134"/>
        <w:gridCol w:w="1276"/>
      </w:tblGrid>
      <w:tr w:rsidR="00A917DD" w:rsidRPr="00FB63DB" w:rsidTr="00094EEB">
        <w:trPr>
          <w:trHeight w:val="154"/>
        </w:trPr>
        <w:tc>
          <w:tcPr>
            <w:tcW w:w="2376" w:type="dxa"/>
            <w:shd w:val="clear" w:color="auto" w:fill="999999"/>
          </w:tcPr>
          <w:p w:rsidR="00A917DD" w:rsidRPr="009D3628" w:rsidRDefault="00A917DD" w:rsidP="00023E4E">
            <w:pPr>
              <w:pStyle w:val="Tableheading1"/>
              <w:rPr>
                <w:rFonts w:ascii="Calibri" w:hAnsi="Calibri" w:cs="Calibri"/>
                <w:lang w:val="en-US"/>
              </w:rPr>
            </w:pPr>
          </w:p>
        </w:tc>
        <w:tc>
          <w:tcPr>
            <w:tcW w:w="1134" w:type="dxa"/>
            <w:shd w:val="clear" w:color="auto" w:fill="999999"/>
          </w:tcPr>
          <w:p w:rsidR="00A917DD" w:rsidRPr="00190343" w:rsidRDefault="00A917DD" w:rsidP="00023E4E">
            <w:pPr>
              <w:pStyle w:val="Tabletext"/>
              <w:rPr>
                <w:rFonts w:ascii="Calibri" w:hAnsi="Calibri" w:cs="Calibri"/>
                <w:b/>
                <w:lang w:val="en-US"/>
              </w:rPr>
            </w:pPr>
            <w:r>
              <w:rPr>
                <w:rFonts w:ascii="Calibri" w:hAnsi="Calibri" w:cs="Calibri"/>
                <w:b/>
                <w:lang w:val="en-US"/>
              </w:rPr>
              <w:t>Group A</w:t>
            </w:r>
          </w:p>
        </w:tc>
        <w:tc>
          <w:tcPr>
            <w:tcW w:w="1134" w:type="dxa"/>
            <w:shd w:val="clear" w:color="auto" w:fill="999999"/>
          </w:tcPr>
          <w:p w:rsidR="00A917DD" w:rsidRPr="00190343" w:rsidRDefault="00A917DD" w:rsidP="00023E4E">
            <w:pPr>
              <w:pStyle w:val="Tabletext"/>
              <w:rPr>
                <w:rFonts w:ascii="Calibri" w:hAnsi="Calibri" w:cs="Calibri"/>
                <w:b/>
                <w:lang w:val="en-US"/>
              </w:rPr>
            </w:pPr>
            <w:r>
              <w:rPr>
                <w:rFonts w:ascii="Calibri" w:hAnsi="Calibri" w:cs="Calibri"/>
                <w:b/>
                <w:lang w:val="en-US"/>
              </w:rPr>
              <w:t>Group B</w:t>
            </w:r>
          </w:p>
        </w:tc>
        <w:tc>
          <w:tcPr>
            <w:tcW w:w="1134" w:type="dxa"/>
            <w:shd w:val="clear" w:color="auto" w:fill="999999"/>
          </w:tcPr>
          <w:p w:rsidR="00A917DD" w:rsidRPr="00190343" w:rsidRDefault="00A917DD" w:rsidP="00023E4E">
            <w:pPr>
              <w:pStyle w:val="Tabletext"/>
              <w:rPr>
                <w:rFonts w:ascii="Calibri" w:hAnsi="Calibri" w:cs="Calibri"/>
                <w:b/>
                <w:lang w:val="en-US"/>
              </w:rPr>
            </w:pPr>
            <w:r>
              <w:rPr>
                <w:rFonts w:ascii="Calibri" w:hAnsi="Calibri" w:cs="Calibri"/>
                <w:b/>
                <w:lang w:val="en-US"/>
              </w:rPr>
              <w:t>Group C</w:t>
            </w:r>
          </w:p>
        </w:tc>
        <w:tc>
          <w:tcPr>
            <w:tcW w:w="1134" w:type="dxa"/>
            <w:shd w:val="clear" w:color="auto" w:fill="999999"/>
          </w:tcPr>
          <w:p w:rsidR="00A917DD" w:rsidRDefault="00A917DD" w:rsidP="00023E4E">
            <w:pPr>
              <w:pStyle w:val="Tabletext"/>
              <w:rPr>
                <w:rFonts w:ascii="Calibri" w:hAnsi="Calibri" w:cs="Calibri"/>
                <w:b/>
                <w:lang w:val="en-US"/>
              </w:rPr>
            </w:pPr>
            <w:r>
              <w:rPr>
                <w:rFonts w:ascii="Calibri" w:hAnsi="Calibri" w:cs="Calibri"/>
                <w:b/>
                <w:lang w:val="en-US"/>
              </w:rPr>
              <w:t>Group D</w:t>
            </w:r>
          </w:p>
        </w:tc>
        <w:tc>
          <w:tcPr>
            <w:tcW w:w="1134" w:type="dxa"/>
            <w:shd w:val="clear" w:color="auto" w:fill="999999"/>
          </w:tcPr>
          <w:p w:rsidR="00A917DD" w:rsidRDefault="00A917DD" w:rsidP="00023E4E">
            <w:pPr>
              <w:pStyle w:val="Tabletext"/>
              <w:rPr>
                <w:rFonts w:ascii="Calibri" w:hAnsi="Calibri" w:cs="Calibri"/>
                <w:b/>
                <w:lang w:val="en-US"/>
              </w:rPr>
            </w:pPr>
            <w:r>
              <w:rPr>
                <w:rFonts w:ascii="Calibri" w:hAnsi="Calibri" w:cs="Calibri"/>
                <w:b/>
                <w:lang w:val="en-US"/>
              </w:rPr>
              <w:t>Group E</w:t>
            </w:r>
          </w:p>
        </w:tc>
        <w:tc>
          <w:tcPr>
            <w:tcW w:w="1276" w:type="dxa"/>
            <w:shd w:val="clear" w:color="auto" w:fill="999999"/>
          </w:tcPr>
          <w:p w:rsidR="00A917DD" w:rsidRDefault="00A917DD" w:rsidP="00023E4E">
            <w:pPr>
              <w:pStyle w:val="Tabletext"/>
              <w:rPr>
                <w:rFonts w:ascii="Calibri" w:hAnsi="Calibri" w:cs="Calibri"/>
                <w:b/>
                <w:lang w:val="en-US"/>
              </w:rPr>
            </w:pPr>
            <w:r>
              <w:rPr>
                <w:rFonts w:ascii="Calibri" w:hAnsi="Calibri" w:cs="Calibri"/>
                <w:b/>
                <w:lang w:val="en-US"/>
              </w:rPr>
              <w:t>Group F</w:t>
            </w:r>
          </w:p>
        </w:tc>
      </w:tr>
      <w:tr w:rsidR="00A917DD" w:rsidRPr="009D3628" w:rsidTr="00094EEB">
        <w:trPr>
          <w:trHeight w:val="278"/>
        </w:trPr>
        <w:tc>
          <w:tcPr>
            <w:tcW w:w="2376" w:type="dxa"/>
            <w:vAlign w:val="bottom"/>
          </w:tcPr>
          <w:p w:rsidR="00A917DD" w:rsidRPr="009D3628" w:rsidRDefault="00A917DD" w:rsidP="00023E4E">
            <w:pPr>
              <w:overflowPunct/>
              <w:autoSpaceDE/>
              <w:autoSpaceDN/>
              <w:adjustRightInd/>
              <w:spacing w:line="240" w:lineRule="auto"/>
              <w:textAlignment w:val="auto"/>
              <w:rPr>
                <w:rFonts w:ascii="Calibri" w:hAnsi="Calibri" w:cs="Calibri"/>
                <w:lang w:val="en-US"/>
              </w:rPr>
            </w:pPr>
            <w:r>
              <w:rPr>
                <w:rFonts w:ascii="Calibri" w:hAnsi="Calibri" w:cs="Calibri"/>
                <w:lang w:val="en-US"/>
              </w:rPr>
              <w:t>Announcing firms</w:t>
            </w:r>
          </w:p>
        </w:tc>
        <w:tc>
          <w:tcPr>
            <w:tcW w:w="1134" w:type="dxa"/>
            <w:vAlign w:val="bottom"/>
          </w:tcPr>
          <w:p w:rsidR="00A917DD" w:rsidRPr="009D362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8,19</w:t>
            </w:r>
          </w:p>
        </w:tc>
        <w:tc>
          <w:tcPr>
            <w:tcW w:w="1134" w:type="dxa"/>
            <w:vAlign w:val="bottom"/>
          </w:tcPr>
          <w:p w:rsidR="00A917DD" w:rsidRPr="009D362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5,68</w:t>
            </w:r>
          </w:p>
        </w:tc>
        <w:tc>
          <w:tcPr>
            <w:tcW w:w="1134" w:type="dxa"/>
            <w:vAlign w:val="bottom"/>
          </w:tcPr>
          <w:p w:rsidR="00A917DD" w:rsidRPr="009D362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3,76</w:t>
            </w:r>
          </w:p>
        </w:tc>
        <w:tc>
          <w:tcPr>
            <w:tcW w:w="1134" w:type="dxa"/>
          </w:tcPr>
          <w:p w:rsidR="00A917DD"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2,42</w:t>
            </w:r>
          </w:p>
        </w:tc>
        <w:tc>
          <w:tcPr>
            <w:tcW w:w="1134" w:type="dxa"/>
          </w:tcPr>
          <w:p w:rsidR="00A917DD"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1,22</w:t>
            </w:r>
          </w:p>
        </w:tc>
        <w:tc>
          <w:tcPr>
            <w:tcW w:w="1276" w:type="dxa"/>
          </w:tcPr>
          <w:p w:rsidR="00A917DD"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0,22</w:t>
            </w:r>
          </w:p>
        </w:tc>
      </w:tr>
      <w:tr w:rsidR="00A917DD" w:rsidRPr="009D3628" w:rsidTr="00094EEB">
        <w:trPr>
          <w:trHeight w:val="278"/>
        </w:trPr>
        <w:tc>
          <w:tcPr>
            <w:tcW w:w="2376" w:type="dxa"/>
            <w:vAlign w:val="bottom"/>
          </w:tcPr>
          <w:p w:rsidR="00A917DD" w:rsidRDefault="00A917DD" w:rsidP="00023E4E">
            <w:pPr>
              <w:overflowPunct/>
              <w:autoSpaceDE/>
              <w:autoSpaceDN/>
              <w:adjustRightInd/>
              <w:spacing w:line="240" w:lineRule="auto"/>
              <w:textAlignment w:val="auto"/>
              <w:rPr>
                <w:rFonts w:ascii="Calibri" w:hAnsi="Calibri" w:cs="Calibri"/>
                <w:lang w:val="en-US"/>
              </w:rPr>
            </w:pPr>
            <w:r>
              <w:rPr>
                <w:rFonts w:ascii="Calibri" w:hAnsi="Calibri" w:cs="Calibri"/>
                <w:lang w:val="en-US"/>
              </w:rPr>
              <w:t>Non-announcing firms</w:t>
            </w:r>
          </w:p>
        </w:tc>
        <w:tc>
          <w:tcPr>
            <w:tcW w:w="1134" w:type="dxa"/>
            <w:vAlign w:val="bottom"/>
          </w:tcPr>
          <w:p w:rsidR="00A917DD" w:rsidRPr="009D362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1,17</w:t>
            </w:r>
          </w:p>
        </w:tc>
        <w:tc>
          <w:tcPr>
            <w:tcW w:w="1134" w:type="dxa"/>
            <w:vAlign w:val="bottom"/>
          </w:tcPr>
          <w:p w:rsidR="00A917DD" w:rsidRPr="009D362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1,27</w:t>
            </w:r>
          </w:p>
        </w:tc>
        <w:tc>
          <w:tcPr>
            <w:tcW w:w="1134" w:type="dxa"/>
            <w:vAlign w:val="bottom"/>
          </w:tcPr>
          <w:p w:rsidR="00A917DD" w:rsidRPr="009D362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2,20</w:t>
            </w:r>
          </w:p>
        </w:tc>
        <w:tc>
          <w:tcPr>
            <w:tcW w:w="1134" w:type="dxa"/>
          </w:tcPr>
          <w:p w:rsidR="00A917DD"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1,09</w:t>
            </w:r>
          </w:p>
        </w:tc>
        <w:tc>
          <w:tcPr>
            <w:tcW w:w="1134" w:type="dxa"/>
          </w:tcPr>
          <w:p w:rsidR="00A917DD"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0,37</w:t>
            </w:r>
          </w:p>
        </w:tc>
        <w:tc>
          <w:tcPr>
            <w:tcW w:w="1276" w:type="dxa"/>
          </w:tcPr>
          <w:p w:rsidR="00A917DD"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1,87</w:t>
            </w:r>
          </w:p>
        </w:tc>
      </w:tr>
    </w:tbl>
    <w:p w:rsidR="00931768" w:rsidRDefault="00931768" w:rsidP="00484C5B">
      <w:pPr>
        <w:pStyle w:val="000"/>
        <w:spacing w:line="360" w:lineRule="auto"/>
        <w:rPr>
          <w:rFonts w:asciiTheme="minorHAnsi" w:hAnsiTheme="minorHAnsi" w:cstheme="minorHAnsi"/>
          <w:lang w:val="en-US"/>
        </w:rPr>
      </w:pPr>
    </w:p>
    <w:p w:rsidR="00931768" w:rsidRPr="00A917DD" w:rsidRDefault="00A917DD" w:rsidP="00484C5B">
      <w:pPr>
        <w:pStyle w:val="000"/>
        <w:spacing w:line="360" w:lineRule="auto"/>
        <w:rPr>
          <w:rFonts w:asciiTheme="minorHAnsi" w:hAnsiTheme="minorHAnsi" w:cstheme="minorHAnsi"/>
          <w:sz w:val="20"/>
          <w:lang w:val="en-US"/>
        </w:rPr>
      </w:pPr>
      <w:r>
        <w:rPr>
          <w:rFonts w:asciiTheme="minorHAnsi" w:hAnsiTheme="minorHAnsi" w:cstheme="minorHAnsi"/>
          <w:sz w:val="20"/>
          <w:lang w:val="en-US"/>
        </w:rPr>
        <w:t>Post-IFRS period (2005-2010)</w:t>
      </w:r>
    </w:p>
    <w:tbl>
      <w:tblPr>
        <w:tblStyle w:val="Tabelraste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2376"/>
        <w:gridCol w:w="1134"/>
        <w:gridCol w:w="1134"/>
        <w:gridCol w:w="1134"/>
        <w:gridCol w:w="1134"/>
        <w:gridCol w:w="1134"/>
        <w:gridCol w:w="1276"/>
      </w:tblGrid>
      <w:tr w:rsidR="00931768" w:rsidRPr="00FB63DB" w:rsidTr="00094EEB">
        <w:trPr>
          <w:trHeight w:val="154"/>
        </w:trPr>
        <w:tc>
          <w:tcPr>
            <w:tcW w:w="2376" w:type="dxa"/>
            <w:shd w:val="clear" w:color="auto" w:fill="999999"/>
          </w:tcPr>
          <w:p w:rsidR="00931768" w:rsidRPr="009D3628" w:rsidRDefault="00931768" w:rsidP="00023E4E">
            <w:pPr>
              <w:pStyle w:val="Tableheading1"/>
              <w:rPr>
                <w:rFonts w:ascii="Calibri" w:hAnsi="Calibri" w:cs="Calibri"/>
                <w:lang w:val="en-US"/>
              </w:rPr>
            </w:pPr>
          </w:p>
        </w:tc>
        <w:tc>
          <w:tcPr>
            <w:tcW w:w="1134" w:type="dxa"/>
            <w:shd w:val="clear" w:color="auto" w:fill="999999"/>
          </w:tcPr>
          <w:p w:rsidR="00931768" w:rsidRPr="00190343" w:rsidRDefault="00931768" w:rsidP="00023E4E">
            <w:pPr>
              <w:pStyle w:val="Tabletext"/>
              <w:rPr>
                <w:rFonts w:ascii="Calibri" w:hAnsi="Calibri" w:cs="Calibri"/>
                <w:b/>
                <w:lang w:val="en-US"/>
              </w:rPr>
            </w:pPr>
            <w:r>
              <w:rPr>
                <w:rFonts w:ascii="Calibri" w:hAnsi="Calibri" w:cs="Calibri"/>
                <w:b/>
                <w:lang w:val="en-US"/>
              </w:rPr>
              <w:t>Group A</w:t>
            </w:r>
          </w:p>
        </w:tc>
        <w:tc>
          <w:tcPr>
            <w:tcW w:w="1134" w:type="dxa"/>
            <w:shd w:val="clear" w:color="auto" w:fill="999999"/>
          </w:tcPr>
          <w:p w:rsidR="00931768" w:rsidRPr="00190343" w:rsidRDefault="00931768" w:rsidP="00023E4E">
            <w:pPr>
              <w:pStyle w:val="Tabletext"/>
              <w:rPr>
                <w:rFonts w:ascii="Calibri" w:hAnsi="Calibri" w:cs="Calibri"/>
                <w:b/>
                <w:lang w:val="en-US"/>
              </w:rPr>
            </w:pPr>
            <w:r>
              <w:rPr>
                <w:rFonts w:ascii="Calibri" w:hAnsi="Calibri" w:cs="Calibri"/>
                <w:b/>
                <w:lang w:val="en-US"/>
              </w:rPr>
              <w:t>Group B</w:t>
            </w:r>
          </w:p>
        </w:tc>
        <w:tc>
          <w:tcPr>
            <w:tcW w:w="1134" w:type="dxa"/>
            <w:shd w:val="clear" w:color="auto" w:fill="999999"/>
          </w:tcPr>
          <w:p w:rsidR="00931768" w:rsidRPr="00190343" w:rsidRDefault="00931768" w:rsidP="00023E4E">
            <w:pPr>
              <w:pStyle w:val="Tabletext"/>
              <w:rPr>
                <w:rFonts w:ascii="Calibri" w:hAnsi="Calibri" w:cs="Calibri"/>
                <w:b/>
                <w:lang w:val="en-US"/>
              </w:rPr>
            </w:pPr>
            <w:r>
              <w:rPr>
                <w:rFonts w:ascii="Calibri" w:hAnsi="Calibri" w:cs="Calibri"/>
                <w:b/>
                <w:lang w:val="en-US"/>
              </w:rPr>
              <w:t>Group C</w:t>
            </w:r>
          </w:p>
        </w:tc>
        <w:tc>
          <w:tcPr>
            <w:tcW w:w="1134" w:type="dxa"/>
            <w:shd w:val="clear" w:color="auto" w:fill="999999"/>
          </w:tcPr>
          <w:p w:rsidR="00931768" w:rsidRDefault="00931768" w:rsidP="00023E4E">
            <w:pPr>
              <w:pStyle w:val="Tabletext"/>
              <w:rPr>
                <w:rFonts w:ascii="Calibri" w:hAnsi="Calibri" w:cs="Calibri"/>
                <w:b/>
                <w:lang w:val="en-US"/>
              </w:rPr>
            </w:pPr>
            <w:r>
              <w:rPr>
                <w:rFonts w:ascii="Calibri" w:hAnsi="Calibri" w:cs="Calibri"/>
                <w:b/>
                <w:lang w:val="en-US"/>
              </w:rPr>
              <w:t>Group D</w:t>
            </w:r>
          </w:p>
        </w:tc>
        <w:tc>
          <w:tcPr>
            <w:tcW w:w="1134" w:type="dxa"/>
            <w:shd w:val="clear" w:color="auto" w:fill="999999"/>
          </w:tcPr>
          <w:p w:rsidR="00931768" w:rsidRDefault="00931768" w:rsidP="00023E4E">
            <w:pPr>
              <w:pStyle w:val="Tabletext"/>
              <w:rPr>
                <w:rFonts w:ascii="Calibri" w:hAnsi="Calibri" w:cs="Calibri"/>
                <w:b/>
                <w:lang w:val="en-US"/>
              </w:rPr>
            </w:pPr>
            <w:r>
              <w:rPr>
                <w:rFonts w:ascii="Calibri" w:hAnsi="Calibri" w:cs="Calibri"/>
                <w:b/>
                <w:lang w:val="en-US"/>
              </w:rPr>
              <w:t>Group E</w:t>
            </w:r>
          </w:p>
        </w:tc>
        <w:tc>
          <w:tcPr>
            <w:tcW w:w="1276" w:type="dxa"/>
            <w:shd w:val="clear" w:color="auto" w:fill="999999"/>
          </w:tcPr>
          <w:p w:rsidR="00931768" w:rsidRDefault="00931768" w:rsidP="00023E4E">
            <w:pPr>
              <w:pStyle w:val="Tabletext"/>
              <w:rPr>
                <w:rFonts w:ascii="Calibri" w:hAnsi="Calibri" w:cs="Calibri"/>
                <w:b/>
                <w:lang w:val="en-US"/>
              </w:rPr>
            </w:pPr>
            <w:r>
              <w:rPr>
                <w:rFonts w:ascii="Calibri" w:hAnsi="Calibri" w:cs="Calibri"/>
                <w:b/>
                <w:lang w:val="en-US"/>
              </w:rPr>
              <w:t>Group F</w:t>
            </w:r>
          </w:p>
        </w:tc>
      </w:tr>
      <w:tr w:rsidR="00931768" w:rsidRPr="009D3628" w:rsidTr="00094EEB">
        <w:trPr>
          <w:trHeight w:val="278"/>
        </w:trPr>
        <w:tc>
          <w:tcPr>
            <w:tcW w:w="2376" w:type="dxa"/>
            <w:vAlign w:val="bottom"/>
          </w:tcPr>
          <w:p w:rsidR="00931768" w:rsidRPr="009D3628" w:rsidRDefault="00931768" w:rsidP="00023E4E">
            <w:pPr>
              <w:overflowPunct/>
              <w:autoSpaceDE/>
              <w:autoSpaceDN/>
              <w:adjustRightInd/>
              <w:spacing w:line="240" w:lineRule="auto"/>
              <w:textAlignment w:val="auto"/>
              <w:rPr>
                <w:rFonts w:ascii="Calibri" w:hAnsi="Calibri" w:cs="Calibri"/>
                <w:lang w:val="en-US"/>
              </w:rPr>
            </w:pPr>
            <w:r>
              <w:rPr>
                <w:rFonts w:ascii="Calibri" w:hAnsi="Calibri" w:cs="Calibri"/>
                <w:lang w:val="en-US"/>
              </w:rPr>
              <w:t>Announcing firms</w:t>
            </w:r>
          </w:p>
        </w:tc>
        <w:tc>
          <w:tcPr>
            <w:tcW w:w="1134" w:type="dxa"/>
            <w:vAlign w:val="bottom"/>
          </w:tcPr>
          <w:p w:rsidR="00931768" w:rsidRPr="009D362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22,76</w:t>
            </w:r>
          </w:p>
        </w:tc>
        <w:tc>
          <w:tcPr>
            <w:tcW w:w="1134" w:type="dxa"/>
            <w:vAlign w:val="bottom"/>
          </w:tcPr>
          <w:p w:rsidR="00931768" w:rsidRPr="009D362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5,00</w:t>
            </w:r>
          </w:p>
        </w:tc>
        <w:tc>
          <w:tcPr>
            <w:tcW w:w="1134" w:type="dxa"/>
            <w:vAlign w:val="bottom"/>
          </w:tcPr>
          <w:p w:rsidR="00931768" w:rsidRPr="009D362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3,37</w:t>
            </w:r>
          </w:p>
        </w:tc>
        <w:tc>
          <w:tcPr>
            <w:tcW w:w="1134" w:type="dxa"/>
          </w:tcPr>
          <w:p w:rsidR="0093176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2,42</w:t>
            </w:r>
          </w:p>
        </w:tc>
        <w:tc>
          <w:tcPr>
            <w:tcW w:w="1134" w:type="dxa"/>
          </w:tcPr>
          <w:p w:rsidR="0093176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1,06</w:t>
            </w:r>
          </w:p>
        </w:tc>
        <w:tc>
          <w:tcPr>
            <w:tcW w:w="1276" w:type="dxa"/>
          </w:tcPr>
          <w:p w:rsidR="0093176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0,22</w:t>
            </w:r>
          </w:p>
        </w:tc>
      </w:tr>
      <w:tr w:rsidR="00931768" w:rsidRPr="009D3628" w:rsidTr="00094EEB">
        <w:trPr>
          <w:trHeight w:val="278"/>
        </w:trPr>
        <w:tc>
          <w:tcPr>
            <w:tcW w:w="2376" w:type="dxa"/>
            <w:vAlign w:val="bottom"/>
          </w:tcPr>
          <w:p w:rsidR="00931768" w:rsidRDefault="00931768" w:rsidP="00023E4E">
            <w:pPr>
              <w:overflowPunct/>
              <w:autoSpaceDE/>
              <w:autoSpaceDN/>
              <w:adjustRightInd/>
              <w:spacing w:line="240" w:lineRule="auto"/>
              <w:textAlignment w:val="auto"/>
              <w:rPr>
                <w:rFonts w:ascii="Calibri" w:hAnsi="Calibri" w:cs="Calibri"/>
                <w:lang w:val="en-US"/>
              </w:rPr>
            </w:pPr>
            <w:r>
              <w:rPr>
                <w:rFonts w:ascii="Calibri" w:hAnsi="Calibri" w:cs="Calibri"/>
                <w:lang w:val="en-US"/>
              </w:rPr>
              <w:t>Non-announcing firms</w:t>
            </w:r>
          </w:p>
        </w:tc>
        <w:tc>
          <w:tcPr>
            <w:tcW w:w="1134" w:type="dxa"/>
            <w:vAlign w:val="bottom"/>
          </w:tcPr>
          <w:p w:rsidR="00931768" w:rsidRPr="009D362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0,82</w:t>
            </w:r>
          </w:p>
        </w:tc>
        <w:tc>
          <w:tcPr>
            <w:tcW w:w="1134" w:type="dxa"/>
            <w:vAlign w:val="bottom"/>
          </w:tcPr>
          <w:p w:rsidR="00931768" w:rsidRPr="009D362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2,39</w:t>
            </w:r>
          </w:p>
        </w:tc>
        <w:tc>
          <w:tcPr>
            <w:tcW w:w="1134" w:type="dxa"/>
            <w:vAlign w:val="bottom"/>
          </w:tcPr>
          <w:p w:rsidR="00931768" w:rsidRPr="009D362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2,02</w:t>
            </w:r>
          </w:p>
        </w:tc>
        <w:tc>
          <w:tcPr>
            <w:tcW w:w="1134" w:type="dxa"/>
          </w:tcPr>
          <w:p w:rsidR="0093176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1,62</w:t>
            </w:r>
          </w:p>
        </w:tc>
        <w:tc>
          <w:tcPr>
            <w:tcW w:w="1134" w:type="dxa"/>
          </w:tcPr>
          <w:p w:rsidR="0093176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1,31</w:t>
            </w:r>
          </w:p>
        </w:tc>
        <w:tc>
          <w:tcPr>
            <w:tcW w:w="1276" w:type="dxa"/>
          </w:tcPr>
          <w:p w:rsidR="00931768" w:rsidRDefault="00A917DD" w:rsidP="00023E4E">
            <w:pPr>
              <w:overflowPunct/>
              <w:autoSpaceDE/>
              <w:autoSpaceDN/>
              <w:adjustRightInd/>
              <w:spacing w:line="240" w:lineRule="auto"/>
              <w:jc w:val="right"/>
              <w:textAlignment w:val="auto"/>
              <w:rPr>
                <w:rFonts w:ascii="Calibri" w:hAnsi="Calibri" w:cs="Calibri"/>
                <w:lang w:val="en-US"/>
              </w:rPr>
            </w:pPr>
            <w:r>
              <w:rPr>
                <w:rFonts w:ascii="Calibri" w:hAnsi="Calibri" w:cs="Calibri"/>
                <w:lang w:val="en-US"/>
              </w:rPr>
              <w:t>1,03</w:t>
            </w:r>
          </w:p>
        </w:tc>
      </w:tr>
    </w:tbl>
    <w:p w:rsidR="002245A3" w:rsidRPr="00A10169" w:rsidRDefault="002245A3" w:rsidP="00B73533">
      <w:pPr>
        <w:pStyle w:val="000"/>
        <w:spacing w:line="360" w:lineRule="auto"/>
        <w:rPr>
          <w:rFonts w:asciiTheme="minorHAnsi" w:hAnsiTheme="minorHAnsi" w:cstheme="minorHAnsi"/>
          <w:lang w:val="en-US"/>
        </w:rPr>
      </w:pPr>
    </w:p>
    <w:p w:rsidR="002245A3" w:rsidRDefault="00936A6A" w:rsidP="00B73533">
      <w:pPr>
        <w:pStyle w:val="000"/>
        <w:spacing w:line="360" w:lineRule="auto"/>
        <w:rPr>
          <w:rFonts w:ascii="Calibri" w:hAnsi="Calibri" w:cs="Calibri"/>
          <w:lang w:val="en-US"/>
        </w:rPr>
      </w:pPr>
      <w:r>
        <w:rPr>
          <w:rFonts w:ascii="Calibri" w:hAnsi="Calibri" w:cs="Calibri"/>
          <w:lang w:val="en-US"/>
        </w:rPr>
        <w:lastRenderedPageBreak/>
        <w:t>The X</w:t>
      </w:r>
      <w:r>
        <w:rPr>
          <w:rFonts w:ascii="Calibri" w:hAnsi="Calibri" w:cs="Calibri"/>
          <w:vertAlign w:val="subscript"/>
          <w:lang w:val="en-US"/>
        </w:rPr>
        <w:t xml:space="preserve">it </w:t>
      </w:r>
      <w:r>
        <w:rPr>
          <w:rFonts w:ascii="Calibri" w:hAnsi="Calibri" w:cs="Calibri"/>
          <w:lang w:val="en-US"/>
        </w:rPr>
        <w:t>values displayed in table 8 are adopted from tables 6 and 7. For</w:t>
      </w:r>
      <w:r w:rsidR="00023E4E">
        <w:rPr>
          <w:rFonts w:ascii="Calibri" w:hAnsi="Calibri" w:cs="Calibri"/>
          <w:lang w:val="en-US"/>
        </w:rPr>
        <w:t xml:space="preserve"> the pre-IFRS period (2001-2004) the Spearman rank correlation between the average X</w:t>
      </w:r>
      <w:r w:rsidR="00023E4E">
        <w:rPr>
          <w:rFonts w:ascii="Calibri" w:hAnsi="Calibri" w:cs="Calibri"/>
          <w:vertAlign w:val="subscript"/>
          <w:lang w:val="en-US"/>
        </w:rPr>
        <w:t>it</w:t>
      </w:r>
      <w:r w:rsidR="00023E4E">
        <w:rPr>
          <w:rFonts w:ascii="Calibri" w:hAnsi="Calibri" w:cs="Calibri"/>
          <w:lang w:val="en-US"/>
        </w:rPr>
        <w:t xml:space="preserve"> values of the announcing and non-announcing groups over the groups A till F is 0,</w:t>
      </w:r>
      <w:r w:rsidR="00320BD6">
        <w:rPr>
          <w:rFonts w:ascii="Calibri" w:hAnsi="Calibri" w:cs="Calibri"/>
          <w:lang w:val="en-US"/>
        </w:rPr>
        <w:t>086. For the post-IFRS period (2005-2010) the Spearman rank correlation is 0,143.</w:t>
      </w:r>
      <w:r w:rsidR="005E3A1B">
        <w:rPr>
          <w:rStyle w:val="Voetnootmarkering"/>
          <w:rFonts w:cs="Calibri"/>
          <w:lang w:val="en-US"/>
        </w:rPr>
        <w:footnoteReference w:id="8"/>
      </w:r>
      <w:r w:rsidR="00320BD6">
        <w:rPr>
          <w:rFonts w:ascii="Calibri" w:hAnsi="Calibri" w:cs="Calibri"/>
          <w:lang w:val="en-US"/>
        </w:rPr>
        <w:t xml:space="preserve"> Both correlations are not significant. </w:t>
      </w:r>
      <w:r w:rsidR="006D505E">
        <w:rPr>
          <w:rFonts w:ascii="Calibri" w:hAnsi="Calibri" w:cs="Calibri"/>
          <w:lang w:val="en-US"/>
        </w:rPr>
        <w:t xml:space="preserve">Therefore I cannot conclude that there is a significant relationship between the abnormal returns of securities in the same industry for both samples. </w:t>
      </w:r>
    </w:p>
    <w:p w:rsidR="00B74FC2" w:rsidRDefault="00B74FC2" w:rsidP="00B73533">
      <w:pPr>
        <w:pStyle w:val="000"/>
        <w:spacing w:line="360" w:lineRule="auto"/>
        <w:rPr>
          <w:rFonts w:ascii="Calibri" w:hAnsi="Calibri" w:cs="Calibri"/>
          <w:lang w:val="en-US"/>
        </w:rPr>
      </w:pPr>
    </w:p>
    <w:p w:rsidR="00B74FC2" w:rsidRDefault="00B74FC2" w:rsidP="00057D50">
      <w:pPr>
        <w:pStyle w:val="Kop2"/>
        <w:spacing w:line="360" w:lineRule="auto"/>
        <w:rPr>
          <w:rFonts w:asciiTheme="minorHAnsi" w:hAnsiTheme="minorHAnsi" w:cstheme="minorHAnsi"/>
          <w:lang w:val="en-US"/>
        </w:rPr>
      </w:pPr>
      <w:bookmarkStart w:id="27" w:name="_Toc331518373"/>
      <w:r w:rsidRPr="00B74FC2">
        <w:rPr>
          <w:rFonts w:asciiTheme="minorHAnsi" w:hAnsiTheme="minorHAnsi" w:cstheme="minorHAnsi"/>
          <w:lang w:val="en-US"/>
        </w:rPr>
        <w:t>Summary</w:t>
      </w:r>
      <w:bookmarkEnd w:id="27"/>
    </w:p>
    <w:p w:rsidR="00B74FC2" w:rsidRPr="00B74FC2" w:rsidRDefault="00057D50" w:rsidP="00057D50">
      <w:pPr>
        <w:pStyle w:val="000"/>
        <w:spacing w:line="360" w:lineRule="auto"/>
        <w:rPr>
          <w:rFonts w:asciiTheme="minorHAnsi" w:hAnsiTheme="minorHAnsi" w:cstheme="minorHAnsi"/>
          <w:lang w:val="en-US"/>
        </w:rPr>
      </w:pPr>
      <w:r>
        <w:rPr>
          <w:rFonts w:asciiTheme="minorHAnsi" w:hAnsiTheme="minorHAnsi" w:cstheme="minorHAnsi"/>
          <w:lang w:val="en-US"/>
        </w:rPr>
        <w:t xml:space="preserve">In this chapter the results of the non-directional test, the Kolmogorov-Smirnov test and the Spearman rank correlation test were presented. These test show positive outcomes that intra-industry information transfer occurs in both samples. Unfortunately the results are not so strong as in the study of Foster (1981). Reasons for this can be assigned to limitations in the sample selection as already explained in this chapter. </w:t>
      </w:r>
      <w:r w:rsidR="00F8079E">
        <w:rPr>
          <w:rFonts w:asciiTheme="minorHAnsi" w:hAnsiTheme="minorHAnsi" w:cstheme="minorHAnsi"/>
          <w:lang w:val="en-US"/>
        </w:rPr>
        <w:t>The results of the test are further analyzed in the next chapter</w:t>
      </w:r>
      <w:r>
        <w:rPr>
          <w:rFonts w:asciiTheme="minorHAnsi" w:hAnsiTheme="minorHAnsi" w:cstheme="minorHAnsi"/>
          <w:lang w:val="en-US"/>
        </w:rPr>
        <w:t xml:space="preserve">. </w:t>
      </w:r>
    </w:p>
    <w:p w:rsidR="00E043E0" w:rsidRDefault="00E043E0" w:rsidP="00057D50">
      <w:pPr>
        <w:pStyle w:val="000"/>
        <w:spacing w:line="360" w:lineRule="auto"/>
        <w:rPr>
          <w:rFonts w:ascii="Calibri" w:hAnsi="Calibri" w:cs="Calibri"/>
          <w:lang w:val="en-US"/>
        </w:rPr>
      </w:pPr>
    </w:p>
    <w:p w:rsidR="00E043E0" w:rsidRDefault="00E043E0" w:rsidP="00057D50">
      <w:pPr>
        <w:pStyle w:val="000"/>
        <w:spacing w:line="360" w:lineRule="auto"/>
        <w:rPr>
          <w:rFonts w:ascii="Calibri" w:hAnsi="Calibri" w:cs="Calibri"/>
          <w:lang w:val="en-US"/>
        </w:rPr>
      </w:pPr>
    </w:p>
    <w:p w:rsidR="00E043E0" w:rsidRDefault="00E043E0" w:rsidP="00057D50">
      <w:pPr>
        <w:overflowPunct/>
        <w:autoSpaceDE/>
        <w:autoSpaceDN/>
        <w:adjustRightInd/>
        <w:spacing w:after="200" w:line="360" w:lineRule="auto"/>
        <w:textAlignment w:val="auto"/>
        <w:rPr>
          <w:rFonts w:asciiTheme="minorHAnsi" w:hAnsiTheme="minorHAnsi" w:cstheme="minorHAnsi"/>
          <w:b/>
          <w:sz w:val="28"/>
          <w:lang w:val="en-US"/>
        </w:rPr>
      </w:pPr>
      <w:r>
        <w:rPr>
          <w:rFonts w:asciiTheme="minorHAnsi" w:hAnsiTheme="minorHAnsi" w:cstheme="minorHAnsi"/>
          <w:lang w:val="en-US"/>
        </w:rPr>
        <w:br w:type="page"/>
      </w:r>
    </w:p>
    <w:p w:rsidR="00F8079E" w:rsidRPr="00F8079E" w:rsidRDefault="00F8079E" w:rsidP="00F8079E">
      <w:pPr>
        <w:pStyle w:val="Kop1"/>
        <w:spacing w:line="360" w:lineRule="auto"/>
        <w:rPr>
          <w:rFonts w:asciiTheme="minorHAnsi" w:hAnsiTheme="minorHAnsi" w:cstheme="minorHAnsi"/>
          <w:lang w:val="en-US"/>
        </w:rPr>
      </w:pPr>
      <w:bookmarkStart w:id="28" w:name="_Toc331518374"/>
      <w:r w:rsidRPr="00F8079E">
        <w:rPr>
          <w:rFonts w:asciiTheme="minorHAnsi" w:hAnsiTheme="minorHAnsi" w:cstheme="minorHAnsi"/>
          <w:lang w:val="en-US"/>
        </w:rPr>
        <w:lastRenderedPageBreak/>
        <w:t>Analysis of the results</w:t>
      </w:r>
      <w:bookmarkEnd w:id="28"/>
    </w:p>
    <w:p w:rsidR="00F8079E" w:rsidRPr="00F8079E" w:rsidRDefault="00F8079E" w:rsidP="00F8079E">
      <w:pPr>
        <w:pStyle w:val="Kop2"/>
        <w:spacing w:line="360" w:lineRule="auto"/>
        <w:rPr>
          <w:rFonts w:asciiTheme="minorHAnsi" w:hAnsiTheme="minorHAnsi" w:cstheme="minorHAnsi"/>
          <w:lang w:val="en-US"/>
        </w:rPr>
      </w:pPr>
      <w:bookmarkStart w:id="29" w:name="_Toc331518375"/>
      <w:r w:rsidRPr="00F8079E">
        <w:rPr>
          <w:rFonts w:asciiTheme="minorHAnsi" w:hAnsiTheme="minorHAnsi" w:cstheme="minorHAnsi"/>
          <w:lang w:val="en-US"/>
        </w:rPr>
        <w:t>Introduction</w:t>
      </w:r>
      <w:bookmarkEnd w:id="29"/>
    </w:p>
    <w:p w:rsidR="00F8079E" w:rsidRDefault="00C13844" w:rsidP="00F8079E">
      <w:pPr>
        <w:pStyle w:val="000"/>
        <w:spacing w:line="360" w:lineRule="auto"/>
        <w:rPr>
          <w:rFonts w:asciiTheme="minorHAnsi" w:hAnsiTheme="minorHAnsi" w:cstheme="minorHAnsi"/>
          <w:lang w:val="en-US"/>
        </w:rPr>
      </w:pPr>
      <w:r>
        <w:rPr>
          <w:rFonts w:asciiTheme="minorHAnsi" w:hAnsiTheme="minorHAnsi" w:cstheme="minorHAnsi"/>
          <w:lang w:val="en-US"/>
        </w:rPr>
        <w:t xml:space="preserve">In this chapter the results presented in chapter 5 are analyzed. This means that the outcomes of the non-directional test, Kolmogorov-Smirnov test and the Spearman rank correlation test are discussed. </w:t>
      </w:r>
      <w:r w:rsidR="00AA477B">
        <w:rPr>
          <w:rFonts w:asciiTheme="minorHAnsi" w:hAnsiTheme="minorHAnsi" w:cstheme="minorHAnsi"/>
          <w:lang w:val="en-US"/>
        </w:rPr>
        <w:t>By discussing the results of the tests also some limitations of this study are discovered and cited.</w:t>
      </w:r>
    </w:p>
    <w:p w:rsidR="00AA477B" w:rsidRPr="00F8079E" w:rsidRDefault="00AA477B" w:rsidP="00F8079E">
      <w:pPr>
        <w:pStyle w:val="000"/>
        <w:spacing w:line="360" w:lineRule="auto"/>
        <w:rPr>
          <w:rFonts w:asciiTheme="minorHAnsi" w:hAnsiTheme="minorHAnsi" w:cstheme="minorHAnsi"/>
          <w:lang w:val="en-US"/>
        </w:rPr>
      </w:pPr>
    </w:p>
    <w:p w:rsidR="00F8079E" w:rsidRPr="00F8079E" w:rsidRDefault="00C06E92" w:rsidP="00F8079E">
      <w:pPr>
        <w:pStyle w:val="Kop2"/>
        <w:spacing w:line="360" w:lineRule="auto"/>
        <w:rPr>
          <w:rFonts w:asciiTheme="minorHAnsi" w:hAnsiTheme="minorHAnsi" w:cstheme="minorHAnsi"/>
          <w:lang w:val="en-US"/>
        </w:rPr>
      </w:pPr>
      <w:bookmarkStart w:id="30" w:name="_Toc331518376"/>
      <w:r>
        <w:rPr>
          <w:rFonts w:asciiTheme="minorHAnsi" w:hAnsiTheme="minorHAnsi" w:cstheme="minorHAnsi"/>
          <w:lang w:val="en-US"/>
        </w:rPr>
        <w:t>Analysis of the results of the non-directional test</w:t>
      </w:r>
      <w:bookmarkEnd w:id="30"/>
    </w:p>
    <w:p w:rsidR="00F8079E" w:rsidRDefault="00F8079E" w:rsidP="00F8079E">
      <w:pPr>
        <w:pStyle w:val="000"/>
        <w:spacing w:line="360" w:lineRule="auto"/>
        <w:rPr>
          <w:rFonts w:asciiTheme="minorHAnsi" w:hAnsiTheme="minorHAnsi" w:cstheme="minorHAnsi"/>
          <w:lang w:val="en-US"/>
        </w:rPr>
      </w:pPr>
      <w:r w:rsidRPr="00F8079E">
        <w:rPr>
          <w:rFonts w:asciiTheme="minorHAnsi" w:hAnsiTheme="minorHAnsi" w:cstheme="minorHAnsi"/>
          <w:lang w:val="en-US"/>
        </w:rPr>
        <w:t>The results of the non-directional test (tables 3 and 4) show that there is abnormal return variance in the two-day event window (-1,0) and the selected two-days windows surrounding the announcement date. Abnormal return variance shows that there is higher abnormal return at the earnings announcement, than in ‘normal’ periods where no earnings announcements are released. This means that the existence of abnormal return variance during the event windows is attributable to the earnings announcement. The fact that also the non-announcing firms show a reaction measured in abnormal return variance, implies that intra-industry information transfer is occurring. Bearing in mind that a higher abnormal return variance indicates greater intra-industry information transfer associated with the first announcer’s earnings announcement, both sample periods should be compared to each other to investigate if there is an increase of information transfer after the implementation of IFRS. Looking at tables 3 and 4 we can see that for the ‘announcing’ group of firms most of the X</w:t>
      </w:r>
      <w:r w:rsidRPr="00F8079E">
        <w:rPr>
          <w:rFonts w:asciiTheme="minorHAnsi" w:hAnsiTheme="minorHAnsi" w:cstheme="minorHAnsi"/>
          <w:vertAlign w:val="subscript"/>
          <w:lang w:val="en-US"/>
        </w:rPr>
        <w:t xml:space="preserve">it </w:t>
      </w:r>
      <w:r w:rsidRPr="00F8079E">
        <w:rPr>
          <w:rFonts w:asciiTheme="minorHAnsi" w:hAnsiTheme="minorHAnsi" w:cstheme="minorHAnsi"/>
          <w:lang w:val="en-US"/>
        </w:rPr>
        <w:t>values in the two-day event windows surrounding the (-1,0) event window are between 0 and 2. There are for the pre-IFRS period as well as for the post-IFRS period some outlying average X</w:t>
      </w:r>
      <w:r w:rsidRPr="00F8079E">
        <w:rPr>
          <w:rFonts w:asciiTheme="minorHAnsi" w:hAnsiTheme="minorHAnsi" w:cstheme="minorHAnsi"/>
          <w:vertAlign w:val="subscript"/>
          <w:lang w:val="en-US"/>
        </w:rPr>
        <w:t>it</w:t>
      </w:r>
      <w:r w:rsidRPr="00F8079E">
        <w:rPr>
          <w:rFonts w:asciiTheme="minorHAnsi" w:hAnsiTheme="minorHAnsi" w:cstheme="minorHAnsi"/>
          <w:lang w:val="en-US"/>
        </w:rPr>
        <w:t xml:space="preserve"> values. This could be due to the sample selection. The samples only include European firms starting to report according to IFRS in 2005. This excludes the firms which did not satisfy to these requirements. But it could be that one of the firms excluded from the samples selected in this study releases its earnings information earlier than the firm selected as ‘first-announcer’ in this study. For example, the non-directional test shows an average X</w:t>
      </w:r>
      <w:r w:rsidRPr="00F8079E">
        <w:rPr>
          <w:rFonts w:asciiTheme="minorHAnsi" w:hAnsiTheme="minorHAnsi" w:cstheme="minorHAnsi"/>
          <w:vertAlign w:val="subscript"/>
          <w:lang w:val="en-US"/>
        </w:rPr>
        <w:t xml:space="preserve">it </w:t>
      </w:r>
      <w:r w:rsidRPr="00F8079E">
        <w:rPr>
          <w:rFonts w:asciiTheme="minorHAnsi" w:hAnsiTheme="minorHAnsi" w:cstheme="minorHAnsi"/>
          <w:lang w:val="en-US"/>
        </w:rPr>
        <w:t xml:space="preserve">value of 7,10 in the two-day event window (-5,-4) for the sample of ‘announcing’ firms in the pre-IFRS period (table 3). This high abnormal return variance amount can be attributable to an earlier earnings announcement of a firm which is operating in the same industry as the firms selected in the sample, but is excluded from the sample. This is directly also a limitation of this study. </w:t>
      </w:r>
    </w:p>
    <w:p w:rsidR="008C67E8" w:rsidRDefault="008C67E8" w:rsidP="00F8079E">
      <w:pPr>
        <w:pStyle w:val="000"/>
        <w:spacing w:line="360" w:lineRule="auto"/>
        <w:rPr>
          <w:rFonts w:asciiTheme="minorHAnsi" w:hAnsiTheme="minorHAnsi" w:cstheme="minorHAnsi"/>
          <w:lang w:val="en-US"/>
        </w:rPr>
      </w:pPr>
      <w:r>
        <w:rPr>
          <w:rFonts w:asciiTheme="minorHAnsi" w:hAnsiTheme="minorHAnsi" w:cstheme="minorHAnsi"/>
          <w:lang w:val="en-US"/>
        </w:rPr>
        <w:lastRenderedPageBreak/>
        <w:t xml:space="preserve">If the results of the non-directional test are compared to the results of the non-directional test of the study of Foster (1981) they are mostly similar. One difference is that the results of Foster (1981) did not show any outliers. Next to the explanation already discussed above this can also be caused by the fact that Foster (1981) uses a bigger sample. By using a bigger sample and looking at quarterly earnings announcements he has a lot more observations in his sample what reduces the chance of outlying values. </w:t>
      </w:r>
      <w:r w:rsidR="006368BD">
        <w:rPr>
          <w:rFonts w:asciiTheme="minorHAnsi" w:hAnsiTheme="minorHAnsi" w:cstheme="minorHAnsi"/>
          <w:lang w:val="en-US"/>
        </w:rPr>
        <w:t xml:space="preserve">This makes the fact that I only looked at annually earnings announcements also a limitation of this study. </w:t>
      </w:r>
      <w:r w:rsidR="00455401">
        <w:rPr>
          <w:rFonts w:asciiTheme="minorHAnsi" w:hAnsiTheme="minorHAnsi" w:cstheme="minorHAnsi"/>
          <w:lang w:val="en-US"/>
        </w:rPr>
        <w:t xml:space="preserve">Reason why I only studied annual earnings announcements is because my sample consist of only European firms and unfortunately the quarterly earnings announcement data for European firms is incomplete. The databases of earnings announcements of US firms is much more extensive, therefore Foster (1981) did not have this problem. </w:t>
      </w:r>
    </w:p>
    <w:p w:rsidR="00C06E92" w:rsidRDefault="00C06E92" w:rsidP="00F8079E">
      <w:pPr>
        <w:pStyle w:val="000"/>
        <w:spacing w:line="360" w:lineRule="auto"/>
        <w:rPr>
          <w:rFonts w:asciiTheme="minorHAnsi" w:hAnsiTheme="minorHAnsi" w:cstheme="minorHAnsi"/>
          <w:lang w:val="en-US"/>
        </w:rPr>
      </w:pPr>
      <w:r>
        <w:rPr>
          <w:rFonts w:asciiTheme="minorHAnsi" w:hAnsiTheme="minorHAnsi" w:cstheme="minorHAnsi"/>
          <w:lang w:val="en-US"/>
        </w:rPr>
        <w:t xml:space="preserve">It is hard to conclude from this non-directional test if there is an increase in intra-industry information transfer in the post-IFRS period compared to the pre-IFRS period. To get a better insight if an increase is occurring a Spearman rank correlation test was performed. </w:t>
      </w:r>
    </w:p>
    <w:p w:rsidR="00C06E92" w:rsidRDefault="00C06E92" w:rsidP="00F8079E">
      <w:pPr>
        <w:pStyle w:val="000"/>
        <w:spacing w:line="360" w:lineRule="auto"/>
        <w:rPr>
          <w:rFonts w:asciiTheme="minorHAnsi" w:hAnsiTheme="minorHAnsi" w:cstheme="minorHAnsi"/>
          <w:lang w:val="en-US"/>
        </w:rPr>
      </w:pPr>
    </w:p>
    <w:p w:rsidR="00C06E92" w:rsidRPr="009C617B" w:rsidRDefault="00C06E92" w:rsidP="00C06E92">
      <w:pPr>
        <w:pStyle w:val="Kop2"/>
        <w:rPr>
          <w:rFonts w:asciiTheme="minorHAnsi" w:hAnsiTheme="minorHAnsi" w:cstheme="minorHAnsi"/>
          <w:lang w:val="en-US"/>
        </w:rPr>
      </w:pPr>
      <w:bookmarkStart w:id="31" w:name="_Toc331518377"/>
      <w:r w:rsidRPr="009C617B">
        <w:rPr>
          <w:rFonts w:asciiTheme="minorHAnsi" w:hAnsiTheme="minorHAnsi" w:cstheme="minorHAnsi"/>
          <w:lang w:val="en-US"/>
        </w:rPr>
        <w:t>Analysis of the results of the Spearman rank correlation test.</w:t>
      </w:r>
      <w:bookmarkEnd w:id="31"/>
      <w:r w:rsidRPr="009C617B">
        <w:rPr>
          <w:rFonts w:asciiTheme="minorHAnsi" w:hAnsiTheme="minorHAnsi" w:cstheme="minorHAnsi"/>
          <w:lang w:val="en-US"/>
        </w:rPr>
        <w:t xml:space="preserve"> </w:t>
      </w:r>
    </w:p>
    <w:p w:rsidR="00C06E92" w:rsidRPr="00C06E92" w:rsidRDefault="00C06E92" w:rsidP="00C06E92">
      <w:pPr>
        <w:pStyle w:val="000"/>
        <w:rPr>
          <w:lang w:val="en-US"/>
        </w:rPr>
      </w:pPr>
    </w:p>
    <w:p w:rsidR="00F8079E" w:rsidRPr="00F8079E" w:rsidRDefault="00F8079E" w:rsidP="00F8079E">
      <w:pPr>
        <w:pStyle w:val="000"/>
        <w:spacing w:line="360" w:lineRule="auto"/>
        <w:rPr>
          <w:rFonts w:asciiTheme="minorHAnsi" w:hAnsiTheme="minorHAnsi" w:cstheme="minorHAnsi"/>
          <w:lang w:val="en-US"/>
        </w:rPr>
      </w:pPr>
      <w:r w:rsidRPr="00F8079E">
        <w:rPr>
          <w:rFonts w:asciiTheme="minorHAnsi" w:hAnsiTheme="minorHAnsi" w:cstheme="minorHAnsi"/>
          <w:lang w:val="en-US"/>
        </w:rPr>
        <w:t>To make it easier to see if there was an increase in intra-industry information transfer in the post-IFRS period compared to the pre-IFRS period, for both periods a Spearman rank correlation test was performed. This test captures the correlation between the average X</w:t>
      </w:r>
      <w:r w:rsidRPr="00F8079E">
        <w:rPr>
          <w:rFonts w:asciiTheme="minorHAnsi" w:hAnsiTheme="minorHAnsi" w:cstheme="minorHAnsi"/>
          <w:vertAlign w:val="subscript"/>
          <w:lang w:val="en-US"/>
        </w:rPr>
        <w:t>it</w:t>
      </w:r>
      <w:r w:rsidRPr="00F8079E">
        <w:rPr>
          <w:rFonts w:asciiTheme="minorHAnsi" w:hAnsiTheme="minorHAnsi" w:cstheme="minorHAnsi"/>
          <w:lang w:val="en-US"/>
        </w:rPr>
        <w:t xml:space="preserve"> values at (-1,0) of the  ‘announcing’ group of firms and the average X</w:t>
      </w:r>
      <w:r w:rsidRPr="00F8079E">
        <w:rPr>
          <w:rFonts w:asciiTheme="minorHAnsi" w:hAnsiTheme="minorHAnsi" w:cstheme="minorHAnsi"/>
          <w:vertAlign w:val="subscript"/>
          <w:lang w:val="en-US"/>
        </w:rPr>
        <w:t>it</w:t>
      </w:r>
      <w:r w:rsidRPr="00F8079E">
        <w:rPr>
          <w:rFonts w:asciiTheme="minorHAnsi" w:hAnsiTheme="minorHAnsi" w:cstheme="minorHAnsi"/>
          <w:lang w:val="en-US"/>
        </w:rPr>
        <w:t xml:space="preserve"> values at (-1,0) of the ‘non-announcing’ group of firms. The Spearman rank correlation coefficient in the pre-IFRS period is 0,086 and is not significant. For the post-IFRS period the correlation coefficient is 0,143 and is also not significant. This means that there is some correlation between the average abnormal return variances of the ‘announcing’ group of firms and the ‘non-announcing’ group of firms, which suggests that intra-industry information transfer is occurring and that one factor which has an influence on the magnitude is the impact of the earnings announcement on the announcing firm’s own share price (Foster, 1981). Where Foster could present a Spearman rank correlation of 0.94 which was significant at the 0.05 level, the results of this study are less strong. This weak results can again be caused by the fact that actual ‘first-announcer’ are excluded from the samples selected for this study. Prior studies have shown that the information content of the first earnings announcement in the industry is bigger than for subsequent earnings announcement. This because the part of ‘new’ information contained in subsequent announcements become less due to the </w:t>
      </w:r>
      <w:r w:rsidRPr="00F8079E">
        <w:rPr>
          <w:rFonts w:asciiTheme="minorHAnsi" w:hAnsiTheme="minorHAnsi" w:cstheme="minorHAnsi"/>
          <w:lang w:val="en-US"/>
        </w:rPr>
        <w:lastRenderedPageBreak/>
        <w:t xml:space="preserve">industry-specific information already presented by earlier announcements (e.g., Freeman and Tse 1992; Ramnath 2002). If these actual first announcers are indeed excluded from the samples, this could be an explanation for the low magnitude of intra-industry information transfer presented in this study. What can be concluded from the outcome of the Spearman rank correlation test is that the correlation coefficient showed an increase in the post-IFRS period compared to the pre-IFRS period. This suggest that there has been a small increase in the magnitude of intra-industry information transfer after the implementation of IFRS in 2005. </w:t>
      </w:r>
    </w:p>
    <w:p w:rsidR="00F8079E" w:rsidRDefault="00F8079E" w:rsidP="00F8079E">
      <w:pPr>
        <w:pStyle w:val="000"/>
        <w:spacing w:line="360" w:lineRule="auto"/>
        <w:rPr>
          <w:rFonts w:asciiTheme="minorHAnsi" w:hAnsiTheme="minorHAnsi" w:cstheme="minorHAnsi"/>
          <w:lang w:val="en-US"/>
        </w:rPr>
      </w:pPr>
    </w:p>
    <w:p w:rsidR="009C617B" w:rsidRPr="009C617B" w:rsidRDefault="009C617B" w:rsidP="009C617B">
      <w:pPr>
        <w:pStyle w:val="Kop2"/>
        <w:spacing w:line="360" w:lineRule="auto"/>
        <w:rPr>
          <w:rFonts w:asciiTheme="minorHAnsi" w:hAnsiTheme="minorHAnsi" w:cstheme="minorHAnsi"/>
          <w:lang w:val="en-US"/>
        </w:rPr>
      </w:pPr>
      <w:bookmarkStart w:id="32" w:name="_Toc331518378"/>
      <w:r w:rsidRPr="009C617B">
        <w:rPr>
          <w:rFonts w:asciiTheme="minorHAnsi" w:hAnsiTheme="minorHAnsi" w:cstheme="minorHAnsi"/>
          <w:lang w:val="en-US"/>
        </w:rPr>
        <w:t>Limitations</w:t>
      </w:r>
      <w:bookmarkEnd w:id="32"/>
    </w:p>
    <w:p w:rsidR="00F8079E" w:rsidRDefault="009C617B" w:rsidP="009C617B">
      <w:pPr>
        <w:pStyle w:val="000"/>
        <w:spacing w:line="360" w:lineRule="auto"/>
        <w:rPr>
          <w:rFonts w:asciiTheme="minorHAnsi" w:hAnsiTheme="minorHAnsi" w:cstheme="minorHAnsi"/>
          <w:lang w:val="en-US"/>
        </w:rPr>
      </w:pPr>
      <w:r>
        <w:rPr>
          <w:rFonts w:asciiTheme="minorHAnsi" w:hAnsiTheme="minorHAnsi" w:cstheme="minorHAnsi"/>
          <w:lang w:val="en-US"/>
        </w:rPr>
        <w:t xml:space="preserve">Some limitations are already cited in this chapter, but this section presents an overview of all the limitations of this study. </w:t>
      </w:r>
      <w:r w:rsidR="00A2199C">
        <w:rPr>
          <w:rFonts w:asciiTheme="minorHAnsi" w:hAnsiTheme="minorHAnsi" w:cstheme="minorHAnsi"/>
          <w:lang w:val="en-US"/>
        </w:rPr>
        <w:t xml:space="preserve">Explanations why the results of this study are less strong then the results of the study of Foster (1981) can be found in some limitations this study has compared to the study of Foster (1981). This starts at the fact that this study focuses on European companies which implemented IFRS in 2005. The first limitation is that for European firms it is hard to find quarterly earnings announcements data. Where Foster (1981) focuses on US firms and was available to study quarterly announcements, I am forced to study annual earnings announcements because of the unavailability of quarterly earnings announcements data for European firms. This results in less observations </w:t>
      </w:r>
      <w:r w:rsidR="00170C58">
        <w:rPr>
          <w:rFonts w:asciiTheme="minorHAnsi" w:hAnsiTheme="minorHAnsi" w:cstheme="minorHAnsi"/>
          <w:lang w:val="en-US"/>
        </w:rPr>
        <w:t xml:space="preserve">for this study. </w:t>
      </w:r>
    </w:p>
    <w:p w:rsidR="00F74FC5" w:rsidRDefault="00F74FC5" w:rsidP="009C617B">
      <w:pPr>
        <w:pStyle w:val="000"/>
        <w:spacing w:line="360" w:lineRule="auto"/>
        <w:rPr>
          <w:rFonts w:ascii="Calibri" w:hAnsi="Calibri" w:cs="Calibri"/>
          <w:lang w:val="en-US"/>
        </w:rPr>
      </w:pPr>
      <w:r>
        <w:rPr>
          <w:rFonts w:asciiTheme="minorHAnsi" w:hAnsiTheme="minorHAnsi" w:cstheme="minorHAnsi"/>
          <w:lang w:val="en-US"/>
        </w:rPr>
        <w:t>Second limitation which is assignable to the sample selection is that because I focus on European firms I had to use two different databases. To select firms and allocate them to the correct industries they operate in, the Compustat Global database was used. To find the announcement dates of all these firms another database (I/B/E/S) should be used. To find the firms selected from the Compustat Global database in the I/B/E/S database, an I/B/E/S-ticker was needed. These tickers could be requested in the Thomson One Banker database. Unfortunately not all the I/B/E/S-tickers were found by the Thomson One Banker database what made it impossible to find the announcement dates of</w:t>
      </w:r>
      <w:r w:rsidR="002C3AF9">
        <w:rPr>
          <w:rFonts w:asciiTheme="minorHAnsi" w:hAnsiTheme="minorHAnsi" w:cstheme="minorHAnsi"/>
          <w:lang w:val="en-US"/>
        </w:rPr>
        <w:t xml:space="preserve"> the earnings announcements of all firms. The firms of which an announcement date could not be found were excluded from the sample. </w:t>
      </w:r>
      <w:r w:rsidR="009B59B1">
        <w:rPr>
          <w:rFonts w:asciiTheme="minorHAnsi" w:hAnsiTheme="minorHAnsi" w:cstheme="minorHAnsi"/>
          <w:lang w:val="en-US"/>
        </w:rPr>
        <w:t xml:space="preserve">By excluding this firms from the sample it is possible that the actual first-announcer in a certain industry was among this excluded firms and is for this reason excluded from the sample. This can lead to less strong results of intra-industry information transfer because prior studies already found evidence that the magnitude of intra-industry information transfer is biggest at the first </w:t>
      </w:r>
      <w:r w:rsidR="009B59B1">
        <w:rPr>
          <w:rFonts w:asciiTheme="minorHAnsi" w:hAnsiTheme="minorHAnsi" w:cstheme="minorHAnsi"/>
          <w:lang w:val="en-US"/>
        </w:rPr>
        <w:lastRenderedPageBreak/>
        <w:t xml:space="preserve">earnings announcement released in an industry </w:t>
      </w:r>
      <w:r w:rsidR="009B59B1">
        <w:rPr>
          <w:rFonts w:ascii="Calibri" w:hAnsi="Calibri" w:cs="Calibri"/>
          <w:lang w:val="en-US"/>
        </w:rPr>
        <w:t xml:space="preserve">(e.g., Kim and Li 2010; Freeman and Tse 1992; Ramnath 2002). </w:t>
      </w:r>
    </w:p>
    <w:p w:rsidR="009133B6" w:rsidRDefault="009133B6" w:rsidP="009C617B">
      <w:pPr>
        <w:pStyle w:val="000"/>
        <w:spacing w:line="360" w:lineRule="auto"/>
        <w:rPr>
          <w:rFonts w:ascii="Calibri" w:hAnsi="Calibri" w:cs="Calibri"/>
          <w:lang w:val="en-US"/>
        </w:rPr>
      </w:pPr>
      <w:r>
        <w:rPr>
          <w:rFonts w:ascii="Calibri" w:hAnsi="Calibri" w:cs="Calibri"/>
          <w:lang w:val="en-US"/>
        </w:rPr>
        <w:t>Third limitation of this study is that I only focus on the first-announcing firm in each year-industry, where Foster (1981) also take into account the subsequent announcements in each year-industry. The reason why I only focus on the first-announcements per year industry is because prior research posits that earnings announcements of first-announcers have stronger implications for earnings expectations of other firms in the same industry than subsequent announcements (e.g., Kim and Li 2010; Freeman and Tse 1992; Ramnath 2002). Again this leads to less observation in the samples of this study compared to the study of Foster (1981). But it can also be that there was a subsequent announcement in a certain industry which contains very important information concerning the whole industry. An earnings announcement which contains important industry-specific information can lead to a high magnitude of intra-industry information transfer. So information transfer can occur also due to subsequent earnings announcements only that happens less then at the time of the first announcement. By excluding the subsequent announcements in each industry</w:t>
      </w:r>
      <w:r w:rsidR="009C52D3">
        <w:rPr>
          <w:rFonts w:ascii="Calibri" w:hAnsi="Calibri" w:cs="Calibri"/>
          <w:lang w:val="en-US"/>
        </w:rPr>
        <w:t xml:space="preserve">, there is a possibility that some appearance of intra-industry information transfer is missed, but by relying on prior studies I assume that only looking at the first-announcers per industry can provide enough evidence for the occurrence of intra-industry information transfer. </w:t>
      </w:r>
    </w:p>
    <w:p w:rsidR="007D46EE" w:rsidRDefault="003E60A7" w:rsidP="009C617B">
      <w:pPr>
        <w:pStyle w:val="000"/>
        <w:spacing w:line="360" w:lineRule="auto"/>
        <w:rPr>
          <w:rFonts w:asciiTheme="minorHAnsi" w:hAnsiTheme="minorHAnsi" w:cstheme="minorHAnsi"/>
          <w:lang w:val="en-US"/>
        </w:rPr>
      </w:pPr>
      <w:r>
        <w:rPr>
          <w:rFonts w:asciiTheme="minorHAnsi" w:hAnsiTheme="minorHAnsi" w:cstheme="minorHAnsi"/>
          <w:lang w:val="en-US"/>
        </w:rPr>
        <w:t xml:space="preserve">Another limitation is that this study did not take into account other possible factors which can have an influence on the magnitude of intra-industry information transfer. Reason why other factors are not taken into account is because the objective of this study is to investigate the impact of the implementation of IFRS on the magnitude of intra-industry information transfer. I made the assumption that for both periods the conditions where the same, so all the other factors which can have an influence where assumed equal in both periods. This is a limitation in comparison to the study of Kim and Li (2010) because they also investigate the impact of the implementation of IFRS on intra-industry information transfer but they do take other factors into account. </w:t>
      </w:r>
    </w:p>
    <w:p w:rsidR="0003329C" w:rsidRDefault="00D117D3" w:rsidP="009C617B">
      <w:pPr>
        <w:pStyle w:val="000"/>
        <w:spacing w:line="360" w:lineRule="auto"/>
        <w:rPr>
          <w:rFonts w:asciiTheme="minorHAnsi" w:hAnsiTheme="minorHAnsi" w:cstheme="minorHAnsi"/>
          <w:lang w:val="en-US"/>
        </w:rPr>
      </w:pPr>
      <w:r>
        <w:rPr>
          <w:rFonts w:asciiTheme="minorHAnsi" w:hAnsiTheme="minorHAnsi" w:cstheme="minorHAnsi"/>
          <w:lang w:val="en-US"/>
        </w:rPr>
        <w:t xml:space="preserve">Some other explanations why the results for the occurrence of intra-industry information transfer in this study are less strong than in the study of Foster (1981), can also be found in the characteristics of the firms selected in the sample. </w:t>
      </w:r>
      <w:r w:rsidR="00ED6F6F">
        <w:rPr>
          <w:rFonts w:asciiTheme="minorHAnsi" w:hAnsiTheme="minorHAnsi" w:cstheme="minorHAnsi"/>
          <w:lang w:val="en-US"/>
        </w:rPr>
        <w:t xml:space="preserve">For example, the size of the firms can be of influence on the magnitude of intra-industry information transfer. According to Han &amp; Wild (2000) the size of a firm is negatively correlated with the magnitude of intra-industry information transfer. This because larger firms are more followed by analysts. These analysts provide information to investors during the year, therefore the </w:t>
      </w:r>
      <w:r w:rsidR="00ED6F6F">
        <w:rPr>
          <w:rFonts w:asciiTheme="minorHAnsi" w:hAnsiTheme="minorHAnsi" w:cstheme="minorHAnsi"/>
          <w:lang w:val="en-US"/>
        </w:rPr>
        <w:lastRenderedPageBreak/>
        <w:t xml:space="preserve">amount of unexpected earnings at the time the annual account is presented will be less for large firms. </w:t>
      </w:r>
      <w:r w:rsidR="00B9592A">
        <w:rPr>
          <w:rFonts w:asciiTheme="minorHAnsi" w:hAnsiTheme="minorHAnsi" w:cstheme="minorHAnsi"/>
          <w:lang w:val="en-US"/>
        </w:rPr>
        <w:t xml:space="preserve">Smaller firms have less investors and are less followed by analysts. Therefore the possibility of unexpected earnings information at the time of the annual earnings announcement will be higher than for bigger firms. So it could be that the sample for this study contains more bigger firms than the sample of the study of Foster (1981) which could be a reason for the weaker results of intra-industry information transfer occurring. </w:t>
      </w:r>
    </w:p>
    <w:p w:rsidR="005F7ACE" w:rsidRDefault="0003329C" w:rsidP="009C617B">
      <w:pPr>
        <w:pStyle w:val="000"/>
        <w:spacing w:line="360" w:lineRule="auto"/>
        <w:rPr>
          <w:rFonts w:asciiTheme="minorHAnsi" w:hAnsiTheme="minorHAnsi" w:cstheme="minorHAnsi"/>
          <w:lang w:val="en-US"/>
        </w:rPr>
      </w:pPr>
      <w:r>
        <w:rPr>
          <w:rFonts w:asciiTheme="minorHAnsi" w:hAnsiTheme="minorHAnsi" w:cstheme="minorHAnsi"/>
          <w:lang w:val="en-US"/>
        </w:rPr>
        <w:t xml:space="preserve">It is also possible that </w:t>
      </w:r>
      <w:r w:rsidR="005F7ACE">
        <w:rPr>
          <w:rFonts w:asciiTheme="minorHAnsi" w:hAnsiTheme="minorHAnsi" w:cstheme="minorHAnsi"/>
          <w:lang w:val="en-US"/>
        </w:rPr>
        <w:t xml:space="preserve">the magnitude of intra-industry information transfer differs a lot per industry. So it could be that the industries selected in the sample of Foster (1981) are by accident industries where the occurrence of intra-industry information transfer is very strong. </w:t>
      </w:r>
    </w:p>
    <w:p w:rsidR="00CB161E" w:rsidRDefault="005F7ACE" w:rsidP="009C617B">
      <w:pPr>
        <w:pStyle w:val="000"/>
        <w:spacing w:line="360" w:lineRule="auto"/>
        <w:rPr>
          <w:rFonts w:asciiTheme="minorHAnsi" w:hAnsiTheme="minorHAnsi" w:cstheme="minorHAnsi"/>
          <w:lang w:val="en-US"/>
        </w:rPr>
      </w:pPr>
      <w:r>
        <w:rPr>
          <w:rFonts w:asciiTheme="minorHAnsi" w:hAnsiTheme="minorHAnsi" w:cstheme="minorHAnsi"/>
          <w:lang w:val="en-US"/>
        </w:rPr>
        <w:t xml:space="preserve">Last possible explanation discussed in this paper is the dependence of country specific characteristics. </w:t>
      </w:r>
      <w:r w:rsidR="00A36972">
        <w:rPr>
          <w:rFonts w:asciiTheme="minorHAnsi" w:hAnsiTheme="minorHAnsi" w:cstheme="minorHAnsi"/>
          <w:lang w:val="en-US"/>
        </w:rPr>
        <w:t xml:space="preserve">Where the sample of Foster (1981) consists only of US firms, the sample of this study consists of firms operating in 10 different European countries. All these countries have </w:t>
      </w:r>
      <w:r w:rsidR="00CB161E">
        <w:rPr>
          <w:rFonts w:asciiTheme="minorHAnsi" w:hAnsiTheme="minorHAnsi" w:cstheme="minorHAnsi"/>
          <w:lang w:val="en-US"/>
        </w:rPr>
        <w:t xml:space="preserve">different </w:t>
      </w:r>
      <w:r w:rsidR="00A36972">
        <w:rPr>
          <w:rFonts w:asciiTheme="minorHAnsi" w:hAnsiTheme="minorHAnsi" w:cstheme="minorHAnsi"/>
          <w:lang w:val="en-US"/>
        </w:rPr>
        <w:t>rules</w:t>
      </w:r>
      <w:r w:rsidR="00CB161E">
        <w:rPr>
          <w:rFonts w:asciiTheme="minorHAnsi" w:hAnsiTheme="minorHAnsi" w:cstheme="minorHAnsi"/>
          <w:lang w:val="en-US"/>
        </w:rPr>
        <w:t xml:space="preserve"> and regulations</w:t>
      </w:r>
      <w:r w:rsidR="00A36972">
        <w:rPr>
          <w:rFonts w:asciiTheme="minorHAnsi" w:hAnsiTheme="minorHAnsi" w:cstheme="minorHAnsi"/>
          <w:lang w:val="en-US"/>
        </w:rPr>
        <w:t>.</w:t>
      </w:r>
      <w:r w:rsidR="00CB161E">
        <w:rPr>
          <w:rFonts w:asciiTheme="minorHAnsi" w:hAnsiTheme="minorHAnsi" w:cstheme="minorHAnsi"/>
          <w:lang w:val="en-US"/>
        </w:rPr>
        <w:t xml:space="preserve"> </w:t>
      </w:r>
    </w:p>
    <w:p w:rsidR="00CB161E" w:rsidRDefault="009842EB" w:rsidP="00CB161E">
      <w:pPr>
        <w:pStyle w:val="000"/>
        <w:spacing w:line="360" w:lineRule="auto"/>
        <w:rPr>
          <w:rFonts w:asciiTheme="minorHAnsi" w:hAnsiTheme="minorHAnsi" w:cstheme="minorHAnsi"/>
          <w:lang w:val="en-US"/>
        </w:rPr>
      </w:pPr>
      <w:r>
        <w:rPr>
          <w:rFonts w:asciiTheme="minorHAnsi" w:hAnsiTheme="minorHAnsi" w:cstheme="minorHAnsi"/>
          <w:lang w:val="en-US"/>
        </w:rPr>
        <w:t xml:space="preserve">Firms are easier comparable if they have to deal with the same rules and regulations. </w:t>
      </w:r>
      <w:r w:rsidR="00E404A3">
        <w:rPr>
          <w:rFonts w:asciiTheme="minorHAnsi" w:hAnsiTheme="minorHAnsi" w:cstheme="minorHAnsi"/>
          <w:lang w:val="en-US"/>
        </w:rPr>
        <w:t xml:space="preserve">This could be another explanation why the results of this study are less strong than the result of intra-industry information transfer occurring at the study of Foster (1981). Again these factors are no limitations for the research question of this study, because for the pre-IFRS period as well as for the post-IFRS period, the same firms are included in both samples. </w:t>
      </w:r>
    </w:p>
    <w:p w:rsidR="00E404A3" w:rsidRDefault="00E404A3" w:rsidP="00CB161E">
      <w:pPr>
        <w:pStyle w:val="000"/>
        <w:spacing w:line="360" w:lineRule="auto"/>
        <w:rPr>
          <w:rFonts w:asciiTheme="minorHAnsi" w:hAnsiTheme="minorHAnsi" w:cstheme="minorHAnsi"/>
          <w:lang w:val="en-US"/>
        </w:rPr>
      </w:pPr>
    </w:p>
    <w:p w:rsidR="00D117D3" w:rsidRDefault="00CB161E" w:rsidP="00CB161E">
      <w:pPr>
        <w:pStyle w:val="Kop2"/>
        <w:spacing w:line="360" w:lineRule="auto"/>
        <w:rPr>
          <w:rFonts w:asciiTheme="minorHAnsi" w:hAnsiTheme="minorHAnsi" w:cstheme="minorHAnsi"/>
          <w:lang w:val="en-US"/>
        </w:rPr>
      </w:pPr>
      <w:bookmarkStart w:id="33" w:name="_Toc331518379"/>
      <w:r w:rsidRPr="00CB161E">
        <w:rPr>
          <w:rFonts w:asciiTheme="minorHAnsi" w:hAnsiTheme="minorHAnsi" w:cstheme="minorHAnsi"/>
          <w:lang w:val="en-US"/>
        </w:rPr>
        <w:t>Summary</w:t>
      </w:r>
      <w:bookmarkEnd w:id="33"/>
      <w:r w:rsidR="00A36972" w:rsidRPr="00CB161E">
        <w:rPr>
          <w:rFonts w:asciiTheme="minorHAnsi" w:hAnsiTheme="minorHAnsi" w:cstheme="minorHAnsi"/>
          <w:lang w:val="en-US"/>
        </w:rPr>
        <w:t xml:space="preserve"> </w:t>
      </w:r>
      <w:r w:rsidR="00B9592A" w:rsidRPr="00CB161E">
        <w:rPr>
          <w:rFonts w:asciiTheme="minorHAnsi" w:hAnsiTheme="minorHAnsi" w:cstheme="minorHAnsi"/>
          <w:lang w:val="en-US"/>
        </w:rPr>
        <w:t xml:space="preserve"> </w:t>
      </w:r>
    </w:p>
    <w:p w:rsidR="00CB161E" w:rsidRPr="00CB161E" w:rsidRDefault="00CB161E" w:rsidP="00CB161E">
      <w:pPr>
        <w:pStyle w:val="000"/>
        <w:spacing w:line="360" w:lineRule="auto"/>
        <w:rPr>
          <w:rFonts w:asciiTheme="minorHAnsi" w:hAnsiTheme="minorHAnsi" w:cstheme="minorHAnsi"/>
          <w:lang w:val="en-US"/>
        </w:rPr>
      </w:pPr>
      <w:r>
        <w:rPr>
          <w:rFonts w:asciiTheme="minorHAnsi" w:hAnsiTheme="minorHAnsi" w:cstheme="minorHAnsi"/>
          <w:lang w:val="en-US"/>
        </w:rPr>
        <w:t xml:space="preserve">In this chapter the results of the performed test are analyzed. Also the limitations of this study are discussed. Conclusion is that there are some limitations compared to the study of Foster (1981). Most of the limitations are a consequence of the fact that this study focus on European firms where Foster (1981) focuses at US firms. Other limitations are based on evidence found in prior studies performed after the study of Foster in 1981. An example of such is limitation, is that this study focuses only on the earnings announcement of the first-announcing firm in each industry, because this announcement leads to a bigger magnitude of intra-industry information transfer than subsequent announcements industry </w:t>
      </w:r>
      <w:r>
        <w:rPr>
          <w:rFonts w:ascii="Calibri" w:hAnsi="Calibri" w:cs="Calibri"/>
          <w:lang w:val="en-US"/>
        </w:rPr>
        <w:t>(e.g., Kim and Li 2010; Freeman and Tse 1992; Ramnath 2002).</w:t>
      </w:r>
    </w:p>
    <w:p w:rsidR="00CB161E" w:rsidRPr="00CB161E" w:rsidRDefault="00CB161E" w:rsidP="00CB161E">
      <w:pPr>
        <w:pStyle w:val="000"/>
        <w:spacing w:line="360" w:lineRule="auto"/>
        <w:rPr>
          <w:lang w:val="en-US"/>
        </w:rPr>
      </w:pPr>
    </w:p>
    <w:p w:rsidR="009C617B" w:rsidRPr="00F8079E" w:rsidRDefault="009C617B" w:rsidP="00CB161E">
      <w:pPr>
        <w:pStyle w:val="000"/>
        <w:spacing w:line="360" w:lineRule="auto"/>
        <w:rPr>
          <w:rFonts w:asciiTheme="minorHAnsi" w:hAnsiTheme="minorHAnsi" w:cstheme="minorHAnsi"/>
          <w:lang w:val="en-US"/>
        </w:rPr>
      </w:pPr>
    </w:p>
    <w:p w:rsidR="00F8079E" w:rsidRPr="00F8079E" w:rsidRDefault="00F8079E" w:rsidP="009C617B">
      <w:pPr>
        <w:pStyle w:val="000"/>
        <w:spacing w:line="360" w:lineRule="auto"/>
        <w:rPr>
          <w:rFonts w:asciiTheme="minorHAnsi" w:hAnsiTheme="minorHAnsi" w:cstheme="minorHAnsi"/>
          <w:lang w:val="en-US"/>
        </w:rPr>
      </w:pPr>
    </w:p>
    <w:p w:rsidR="00E043E0" w:rsidRPr="00F8079E" w:rsidRDefault="00F8079E" w:rsidP="00F8079E">
      <w:pPr>
        <w:pStyle w:val="Kop1"/>
        <w:rPr>
          <w:lang w:val="en-US"/>
        </w:rPr>
      </w:pPr>
      <w:bookmarkStart w:id="34" w:name="_Toc331518380"/>
      <w:r w:rsidRPr="00F8079E">
        <w:rPr>
          <w:rFonts w:asciiTheme="minorHAnsi" w:hAnsiTheme="minorHAnsi" w:cstheme="minorHAnsi"/>
          <w:lang w:val="en-US"/>
        </w:rPr>
        <w:lastRenderedPageBreak/>
        <w:t>C</w:t>
      </w:r>
      <w:r w:rsidR="00E043E0" w:rsidRPr="00F8079E">
        <w:rPr>
          <w:rFonts w:asciiTheme="minorHAnsi" w:hAnsiTheme="minorHAnsi" w:cstheme="minorHAnsi"/>
          <w:lang w:val="en-US"/>
        </w:rPr>
        <w:t>onclusion</w:t>
      </w:r>
      <w:bookmarkEnd w:id="34"/>
    </w:p>
    <w:p w:rsidR="00E043E0" w:rsidRDefault="00E043E0" w:rsidP="00B73533">
      <w:pPr>
        <w:pStyle w:val="000"/>
        <w:spacing w:line="360" w:lineRule="auto"/>
        <w:rPr>
          <w:rFonts w:ascii="Calibri" w:hAnsi="Calibri" w:cs="Calibri"/>
          <w:lang w:val="en-US"/>
        </w:rPr>
      </w:pPr>
    </w:p>
    <w:p w:rsidR="007C7453" w:rsidRDefault="005E3A1B" w:rsidP="00B73533">
      <w:pPr>
        <w:pStyle w:val="000"/>
        <w:spacing w:line="360" w:lineRule="auto"/>
        <w:rPr>
          <w:rFonts w:ascii="Calibri" w:hAnsi="Calibri" w:cs="Calibri"/>
          <w:lang w:val="en-US"/>
        </w:rPr>
      </w:pPr>
      <w:r>
        <w:rPr>
          <w:rFonts w:ascii="Calibri" w:hAnsi="Calibri" w:cs="Calibri"/>
          <w:lang w:val="en-US"/>
        </w:rPr>
        <w:t xml:space="preserve">The main objective of this study was to compare the </w:t>
      </w:r>
      <w:r w:rsidR="00AA3597">
        <w:rPr>
          <w:rFonts w:ascii="Calibri" w:hAnsi="Calibri" w:cs="Calibri"/>
          <w:lang w:val="en-US"/>
        </w:rPr>
        <w:t>magnitude of intra-industry information transfer between pre- and post-IFRS periods. Because the implementation of IFRS should lead to a better comparability between financial statements of different firms and overall to an increase in accounting quality, I expected that this will also lead to an increase in the magnitude of intra-industry information transfer. Therefore, the main research question of this study was:</w:t>
      </w:r>
    </w:p>
    <w:p w:rsidR="00AA3597" w:rsidRDefault="00AA3597" w:rsidP="00B73533">
      <w:pPr>
        <w:pStyle w:val="000"/>
        <w:spacing w:line="360" w:lineRule="auto"/>
        <w:rPr>
          <w:rFonts w:ascii="Calibri" w:hAnsi="Calibri" w:cs="Calibri"/>
          <w:lang w:val="en-US"/>
        </w:rPr>
      </w:pPr>
    </w:p>
    <w:p w:rsidR="00AA3597" w:rsidRPr="009D3628" w:rsidRDefault="00AA3597" w:rsidP="00AA3597">
      <w:pPr>
        <w:pStyle w:val="000"/>
        <w:spacing w:line="360" w:lineRule="auto"/>
        <w:rPr>
          <w:rFonts w:ascii="Calibri" w:hAnsi="Calibri" w:cs="Calibri"/>
          <w:i/>
          <w:lang w:val="en-US"/>
        </w:rPr>
      </w:pPr>
      <w:r w:rsidRPr="009D3628">
        <w:rPr>
          <w:rFonts w:ascii="Calibri" w:hAnsi="Calibri" w:cs="Calibri"/>
          <w:i/>
          <w:lang w:val="en-US"/>
        </w:rPr>
        <w:t>Did the mandatory adoption of IFRS by European firms lead to an increase in intra-industry information transfer?</w:t>
      </w:r>
    </w:p>
    <w:p w:rsidR="00AA3597" w:rsidRDefault="00AA3597" w:rsidP="00B73533">
      <w:pPr>
        <w:pStyle w:val="000"/>
        <w:spacing w:line="360" w:lineRule="auto"/>
        <w:rPr>
          <w:rFonts w:ascii="Calibri" w:hAnsi="Calibri" w:cs="Calibri"/>
          <w:lang w:val="en-US"/>
        </w:rPr>
      </w:pPr>
    </w:p>
    <w:p w:rsidR="00AA3597" w:rsidRDefault="008849EA" w:rsidP="00B73533">
      <w:pPr>
        <w:pStyle w:val="000"/>
        <w:spacing w:line="360" w:lineRule="auto"/>
        <w:rPr>
          <w:rFonts w:ascii="Calibri" w:hAnsi="Calibri" w:cs="Calibri"/>
          <w:lang w:val="en-US"/>
        </w:rPr>
      </w:pPr>
      <w:r>
        <w:rPr>
          <w:rFonts w:ascii="Calibri" w:hAnsi="Calibri" w:cs="Calibri"/>
          <w:lang w:val="en-US"/>
        </w:rPr>
        <w:t xml:space="preserve">The impact of the implementation of IFRS on the magnitude of intra-industry information transfer was already investigated by Kim and Li (2010). The conclusion of their study was that the implementation of IFRS indeed has a positive influence on the occurrence of intra-industry information transfer, which implies that the better comparability of financial statements makes it easier for investors to detect industry-specific information contained in an earnings announcement. </w:t>
      </w:r>
    </w:p>
    <w:p w:rsidR="00537851" w:rsidRDefault="00537851" w:rsidP="00B73533">
      <w:pPr>
        <w:pStyle w:val="000"/>
        <w:spacing w:line="360" w:lineRule="auto"/>
        <w:rPr>
          <w:rFonts w:ascii="Calibri" w:hAnsi="Calibri" w:cs="Calibri"/>
          <w:lang w:val="en-US"/>
        </w:rPr>
      </w:pPr>
    </w:p>
    <w:p w:rsidR="008363E3" w:rsidRDefault="008363E3" w:rsidP="00B73533">
      <w:pPr>
        <w:pStyle w:val="000"/>
        <w:spacing w:line="360" w:lineRule="auto"/>
        <w:rPr>
          <w:rFonts w:ascii="Calibri" w:hAnsi="Calibri" w:cs="Calibri"/>
          <w:lang w:val="en-US"/>
        </w:rPr>
      </w:pPr>
      <w:r>
        <w:rPr>
          <w:rFonts w:ascii="Calibri" w:hAnsi="Calibri" w:cs="Calibri"/>
          <w:lang w:val="en-US"/>
        </w:rPr>
        <w:t xml:space="preserve">The objective of this study was also to test the impact of the implementation of IFRS on the magnitude of intra-industry information transfer, by using another methodology as the study of Kim and Li (2010). There are several prior studies which investigate the occurrence of intra-industry information transfer, of which the one of Foster (1981) was the most famous one. Therefore, I replicate the methodology used by Foster (1981) and perform this test for the two samples selected for this study. By comparing a pre-IFRS sample (2001-2004) and a post-IFRS sample (2005-2010), I tried to show the impact of the implementation of IFRS on the magnitude of intra-industry information transfer. </w:t>
      </w:r>
    </w:p>
    <w:p w:rsidR="00537851" w:rsidRDefault="00537851" w:rsidP="00B73533">
      <w:pPr>
        <w:pStyle w:val="000"/>
        <w:spacing w:line="360" w:lineRule="auto"/>
        <w:rPr>
          <w:rFonts w:ascii="Calibri" w:hAnsi="Calibri" w:cs="Calibri"/>
          <w:lang w:val="en-US"/>
        </w:rPr>
      </w:pPr>
    </w:p>
    <w:p w:rsidR="00FE22E2" w:rsidRDefault="00FE22E2" w:rsidP="00B73533">
      <w:pPr>
        <w:pStyle w:val="000"/>
        <w:spacing w:line="360" w:lineRule="auto"/>
        <w:rPr>
          <w:rFonts w:ascii="Calibri" w:hAnsi="Calibri" w:cs="Calibri"/>
          <w:lang w:val="en-US"/>
        </w:rPr>
      </w:pPr>
      <w:r>
        <w:rPr>
          <w:rFonts w:ascii="Calibri" w:hAnsi="Calibri" w:cs="Calibri"/>
          <w:lang w:val="en-US"/>
        </w:rPr>
        <w:t>The results of the non-directional test show the abnormal return variances surrounding the announcement date of the first-announcing firm. These outcomes suggest that there is indeed intra-industry information transfer occurring in both</w:t>
      </w:r>
      <w:r w:rsidR="0096140A">
        <w:rPr>
          <w:rFonts w:ascii="Calibri" w:hAnsi="Calibri" w:cs="Calibri"/>
          <w:lang w:val="en-US"/>
        </w:rPr>
        <w:t xml:space="preserve"> the pre- and post-IFRS periods. This be</w:t>
      </w:r>
      <w:r>
        <w:rPr>
          <w:rFonts w:ascii="Calibri" w:hAnsi="Calibri" w:cs="Calibri"/>
          <w:lang w:val="en-US"/>
        </w:rPr>
        <w:t xml:space="preserve">cause abnormal return variance indicates </w:t>
      </w:r>
      <w:r w:rsidR="0096140A">
        <w:rPr>
          <w:rFonts w:ascii="Calibri" w:hAnsi="Calibri" w:cs="Calibri"/>
          <w:lang w:val="en-US"/>
        </w:rPr>
        <w:t xml:space="preserve">that there is </w:t>
      </w:r>
      <w:r>
        <w:rPr>
          <w:rFonts w:ascii="Calibri" w:hAnsi="Calibri" w:cs="Calibri"/>
          <w:lang w:val="en-US"/>
        </w:rPr>
        <w:t xml:space="preserve">intra-industry information transfer associated with the first announcer’s earnings announcement (Kim and Li, 2010). </w:t>
      </w:r>
    </w:p>
    <w:p w:rsidR="00FE22E2" w:rsidRDefault="00FE22E2" w:rsidP="00B73533">
      <w:pPr>
        <w:pStyle w:val="000"/>
        <w:spacing w:line="360" w:lineRule="auto"/>
        <w:rPr>
          <w:rFonts w:ascii="Calibri" w:hAnsi="Calibri" w:cs="Calibri"/>
          <w:lang w:val="en-US"/>
        </w:rPr>
      </w:pPr>
      <w:r>
        <w:rPr>
          <w:rFonts w:ascii="Calibri" w:hAnsi="Calibri" w:cs="Calibri"/>
          <w:lang w:val="en-US"/>
        </w:rPr>
        <w:lastRenderedPageBreak/>
        <w:t>To test if the average abnormal return variance over the whole sample is bigger for the post-IFRS period, than for the pre-IFRS period, what I expected, a Spearman rank correlation was performed. By knowing that higher abnormal return variance indicates greater intra-industry information transfer associated with the first announcer’s earnings announceme</w:t>
      </w:r>
      <w:r w:rsidR="00E043E0">
        <w:rPr>
          <w:rFonts w:ascii="Calibri" w:hAnsi="Calibri" w:cs="Calibri"/>
          <w:lang w:val="en-US"/>
        </w:rPr>
        <w:t xml:space="preserve">nt, the Spearman rank correlation coefficient should be higher for the post-IFRS period, than for the pre-IFRS period. </w:t>
      </w:r>
    </w:p>
    <w:p w:rsidR="00147F59" w:rsidRDefault="00147F59" w:rsidP="00B73533">
      <w:pPr>
        <w:pStyle w:val="000"/>
        <w:spacing w:line="360" w:lineRule="auto"/>
        <w:rPr>
          <w:rFonts w:ascii="Calibri" w:hAnsi="Calibri" w:cs="Calibri"/>
          <w:lang w:val="en-US"/>
        </w:rPr>
      </w:pPr>
      <w:r>
        <w:rPr>
          <w:rFonts w:ascii="Calibri" w:hAnsi="Calibri" w:cs="Calibri"/>
          <w:lang w:val="en-US"/>
        </w:rPr>
        <w:t>Unfortunately, the results of the Spearman rank correlation are not significant at the 0.05 level. Foster (1981) could show a Spearman rank correlation between the average X</w:t>
      </w:r>
      <w:r>
        <w:rPr>
          <w:rFonts w:ascii="Calibri" w:hAnsi="Calibri" w:cs="Calibri"/>
          <w:vertAlign w:val="subscript"/>
          <w:lang w:val="en-US"/>
        </w:rPr>
        <w:t xml:space="preserve">it </w:t>
      </w:r>
      <w:r>
        <w:rPr>
          <w:rFonts w:ascii="Calibri" w:hAnsi="Calibri" w:cs="Calibri"/>
          <w:lang w:val="en-US"/>
        </w:rPr>
        <w:t xml:space="preserve">values of the six groups (A-F) for the announcing and non-announcing firms of 0.94, which is consistent with information transfers occurring and one determinant of their magnitude being the impact of the announcing firm’s release on its own share price. The Spearman rank correlation in this study is 0.086 for the pre –IFRS period and 0.143 for the post-IFRS period. Both results are not significant at the 0.05 level, which makes the results not strong. What can be concluded is that there is a small increase in the Spearman  rank correlation coefficient in the post-IFRS period compared to the one in the pre-IFRS period. This can be an indication that the magnitude of intra-industry information transfer indeed has increased after the implementation of IFRS. </w:t>
      </w:r>
      <w:r w:rsidR="00E564E6">
        <w:rPr>
          <w:rFonts w:ascii="Calibri" w:hAnsi="Calibri" w:cs="Calibri"/>
          <w:lang w:val="en-US"/>
        </w:rPr>
        <w:t xml:space="preserve">But as already argued, the results are not strong. </w:t>
      </w:r>
    </w:p>
    <w:p w:rsidR="00537851" w:rsidRDefault="00537851" w:rsidP="00B73533">
      <w:pPr>
        <w:pStyle w:val="000"/>
        <w:spacing w:line="360" w:lineRule="auto"/>
        <w:rPr>
          <w:rFonts w:ascii="Calibri" w:hAnsi="Calibri" w:cs="Calibri"/>
          <w:lang w:val="en-US"/>
        </w:rPr>
      </w:pPr>
    </w:p>
    <w:p w:rsidR="00E564E6" w:rsidRDefault="005C2780" w:rsidP="00B73533">
      <w:pPr>
        <w:pStyle w:val="000"/>
        <w:spacing w:line="360" w:lineRule="auto"/>
        <w:rPr>
          <w:rFonts w:ascii="Calibri" w:hAnsi="Calibri" w:cs="Calibri"/>
          <w:lang w:val="en-US"/>
        </w:rPr>
      </w:pPr>
      <w:r>
        <w:rPr>
          <w:rFonts w:ascii="Calibri" w:hAnsi="Calibri" w:cs="Calibri"/>
          <w:lang w:val="en-US"/>
        </w:rPr>
        <w:t xml:space="preserve">Reason why the results of this study are not strong can be due to several limitations of this study. First limitation of this study is the size of the samples selected. Due to the restrictions made in the sample selection, as already described before, the samples became very small. The final samples for both periods </w:t>
      </w:r>
      <w:r w:rsidR="00733447">
        <w:rPr>
          <w:rFonts w:ascii="Calibri" w:hAnsi="Calibri" w:cs="Calibri"/>
          <w:lang w:val="en-US"/>
        </w:rPr>
        <w:t>consist of only 11 industrie</w:t>
      </w:r>
      <w:r w:rsidR="0096140A">
        <w:rPr>
          <w:rFonts w:ascii="Calibri" w:hAnsi="Calibri" w:cs="Calibri"/>
          <w:lang w:val="en-US"/>
        </w:rPr>
        <w:t>s. It could be that these</w:t>
      </w:r>
      <w:r w:rsidR="00733447">
        <w:rPr>
          <w:rFonts w:ascii="Calibri" w:hAnsi="Calibri" w:cs="Calibri"/>
          <w:lang w:val="en-US"/>
        </w:rPr>
        <w:t xml:space="preserve"> industries  are accidental industries without strong intra-industry information transfer compared to the industries included in the sample Foster (1981) used. Another limitation is that this study only incorporates firms wh</w:t>
      </w:r>
      <w:r w:rsidR="006672D4">
        <w:rPr>
          <w:rFonts w:ascii="Calibri" w:hAnsi="Calibri" w:cs="Calibri"/>
          <w:lang w:val="en-US"/>
        </w:rPr>
        <w:t>o</w:t>
      </w:r>
      <w:r w:rsidR="00733447">
        <w:rPr>
          <w:rFonts w:ascii="Calibri" w:hAnsi="Calibri" w:cs="Calibri"/>
          <w:lang w:val="en-US"/>
        </w:rPr>
        <w:t xml:space="preserve"> switch</w:t>
      </w:r>
      <w:r w:rsidR="0096140A">
        <w:rPr>
          <w:rFonts w:ascii="Calibri" w:hAnsi="Calibri" w:cs="Calibri"/>
          <w:lang w:val="en-US"/>
        </w:rPr>
        <w:t>ed</w:t>
      </w:r>
      <w:r w:rsidR="00733447">
        <w:rPr>
          <w:rFonts w:ascii="Calibri" w:hAnsi="Calibri" w:cs="Calibri"/>
          <w:lang w:val="en-US"/>
        </w:rPr>
        <w:t xml:space="preserve"> in 2005 from domestic accounting standards to IFRS.</w:t>
      </w:r>
      <w:r w:rsidR="006672D4">
        <w:rPr>
          <w:rFonts w:ascii="Calibri" w:hAnsi="Calibri" w:cs="Calibri"/>
          <w:lang w:val="en-US"/>
        </w:rPr>
        <w:t xml:space="preserve"> Next to this fact, also only European firms are incorporated, which excludes firms operating in the US or Asia for example. Both these restrictions on the sample selection ensured that possibly the actual first-announcers in a certain industry are excluded from the samples of this study. </w:t>
      </w:r>
      <w:r w:rsidR="00733447">
        <w:rPr>
          <w:rFonts w:ascii="Calibri" w:hAnsi="Calibri" w:cs="Calibri"/>
          <w:lang w:val="en-US"/>
        </w:rPr>
        <w:t xml:space="preserve"> </w:t>
      </w:r>
      <w:r w:rsidR="00FE73E8">
        <w:rPr>
          <w:rFonts w:ascii="Calibri" w:hAnsi="Calibri" w:cs="Calibri"/>
          <w:lang w:val="en-US"/>
        </w:rPr>
        <w:t>Because there are a lot more firms operating in an industry than only the European firms reporting according to IFRS. While these other firms can also have an impact on the occurrence of intra-industry information transfer in the industry. Especially when the actual first-announcing firm is among the firms excluded from the samples, because earnings announcements of first-announcers have stronger implications for earnings expectations of other firms in the same industry than subsequent announcements (e.g., Kim and Li 2010; Freeman and Tse 1992; Ramnath 2002). So the</w:t>
      </w:r>
      <w:r w:rsidR="005B011B">
        <w:rPr>
          <w:rFonts w:ascii="Calibri" w:hAnsi="Calibri" w:cs="Calibri"/>
          <w:lang w:val="en-US"/>
        </w:rPr>
        <w:t xml:space="preserve"> </w:t>
      </w:r>
      <w:r w:rsidR="005B011B">
        <w:rPr>
          <w:rFonts w:ascii="Calibri" w:hAnsi="Calibri" w:cs="Calibri"/>
          <w:lang w:val="en-US"/>
        </w:rPr>
        <w:lastRenderedPageBreak/>
        <w:t>weak results of the Spearman rank correlation</w:t>
      </w:r>
      <w:r w:rsidR="00FE73E8">
        <w:rPr>
          <w:rFonts w:ascii="Calibri" w:hAnsi="Calibri" w:cs="Calibri"/>
          <w:lang w:val="en-US"/>
        </w:rPr>
        <w:t xml:space="preserve"> can be caused by the possibility of exclusion of the actual first-announcers per industry</w:t>
      </w:r>
      <w:r w:rsidR="005B011B">
        <w:rPr>
          <w:rFonts w:ascii="Calibri" w:hAnsi="Calibri" w:cs="Calibri"/>
          <w:lang w:val="en-US"/>
        </w:rPr>
        <w:t xml:space="preserve">. </w:t>
      </w:r>
    </w:p>
    <w:p w:rsidR="00F6729A" w:rsidRDefault="00F6729A" w:rsidP="00B73533">
      <w:pPr>
        <w:pStyle w:val="000"/>
        <w:spacing w:line="360" w:lineRule="auto"/>
        <w:rPr>
          <w:rFonts w:ascii="Calibri" w:hAnsi="Calibri" w:cs="Calibri"/>
          <w:lang w:val="en-US"/>
        </w:rPr>
      </w:pPr>
      <w:r>
        <w:rPr>
          <w:rFonts w:ascii="Calibri" w:hAnsi="Calibri" w:cs="Calibri"/>
          <w:lang w:val="en-US"/>
        </w:rPr>
        <w:t xml:space="preserve">A limitation in comparison to the study of Kim and Li (2010) is that this study did not take any other variables into account, which also can have an influence on the amount of intra-industry information transfer. Kim and Li take variables as the unexpected earnings of the first announcer, the size of the firm, financial leverage and </w:t>
      </w:r>
      <w:r w:rsidR="00053226">
        <w:rPr>
          <w:rFonts w:ascii="Calibri" w:hAnsi="Calibri" w:cs="Calibri"/>
          <w:lang w:val="en-US"/>
        </w:rPr>
        <w:t xml:space="preserve">other variables into account. I only compare two periods and just want to investigate the magnitude of intra-industry information transfer in both periods and not especially the factors which can have influenced the intra-industry information transfer. I assume in this study that other factors overall are similar for both periods, which makes the increase in the magnitude of intra-industry information transfer assignable to the impact of the implementation of IFRS. </w:t>
      </w:r>
    </w:p>
    <w:p w:rsidR="00537851" w:rsidRDefault="00537851" w:rsidP="00B73533">
      <w:pPr>
        <w:pStyle w:val="000"/>
        <w:spacing w:line="360" w:lineRule="auto"/>
        <w:rPr>
          <w:rFonts w:ascii="Calibri" w:hAnsi="Calibri" w:cs="Calibri"/>
          <w:lang w:val="en-US"/>
        </w:rPr>
      </w:pPr>
    </w:p>
    <w:p w:rsidR="00E564E6" w:rsidRPr="00B9579E" w:rsidRDefault="00E174E1" w:rsidP="00B73533">
      <w:pPr>
        <w:pStyle w:val="000"/>
        <w:spacing w:line="360" w:lineRule="auto"/>
        <w:rPr>
          <w:rFonts w:ascii="Calibri" w:hAnsi="Calibri" w:cs="Calibri"/>
          <w:lang w:val="en-US"/>
        </w:rPr>
      </w:pPr>
      <w:r>
        <w:rPr>
          <w:rFonts w:ascii="Calibri" w:hAnsi="Calibri" w:cs="Calibri"/>
          <w:lang w:val="en-US"/>
        </w:rPr>
        <w:t>As a suggestion for further research on this topic, I recommend to take into account all the limitations of the sample discussed in this study. When the problem of these limitations i</w:t>
      </w:r>
      <w:r w:rsidR="0096140A">
        <w:rPr>
          <w:rFonts w:ascii="Calibri" w:hAnsi="Calibri" w:cs="Calibri"/>
          <w:lang w:val="en-US"/>
        </w:rPr>
        <w:t>s solved,</w:t>
      </w:r>
      <w:r>
        <w:rPr>
          <w:rFonts w:ascii="Calibri" w:hAnsi="Calibri" w:cs="Calibri"/>
          <w:lang w:val="en-US"/>
        </w:rPr>
        <w:t xml:space="preserve"> stronger results will be shown. It could also be interesting to</w:t>
      </w:r>
      <w:r w:rsidR="0096140A">
        <w:rPr>
          <w:rFonts w:ascii="Calibri" w:hAnsi="Calibri" w:cs="Calibri"/>
          <w:lang w:val="en-US"/>
        </w:rPr>
        <w:t xml:space="preserve"> perform </w:t>
      </w:r>
      <w:r>
        <w:rPr>
          <w:rFonts w:ascii="Calibri" w:hAnsi="Calibri" w:cs="Calibri"/>
          <w:lang w:val="en-US"/>
        </w:rPr>
        <w:t xml:space="preserve">this research for other information releases, instead of annual financial statements. Prior research show that management announcements or dividend announcements can also lead to intra-industry information transfer and could be even more informative to investors because </w:t>
      </w:r>
      <w:r w:rsidR="00B9579E">
        <w:rPr>
          <w:rFonts w:ascii="Calibri" w:hAnsi="Calibri" w:cs="Calibri"/>
          <w:lang w:val="en-US"/>
        </w:rPr>
        <w:t>it is ‘more prompt media’ than annual financial statements. ‘More prompt media’ means that the amount of ‘new’ information contained in the earnings announcement is higher than at the presentation of an annual financial statement</w:t>
      </w:r>
      <w:r w:rsidR="00B9579E" w:rsidRPr="009D3628">
        <w:rPr>
          <w:rFonts w:ascii="Calibri" w:hAnsi="Calibri" w:cs="Calibri"/>
          <w:lang w:val="en-US"/>
        </w:rPr>
        <w:t xml:space="preserve"> </w:t>
      </w:r>
      <w:r w:rsidR="00B9579E" w:rsidRPr="00B9579E">
        <w:rPr>
          <w:rFonts w:ascii="Calibri" w:hAnsi="Calibri" w:cs="Calibri"/>
          <w:lang w:val="en-US"/>
        </w:rPr>
        <w:t>(e.g., Laux et al. 1998; Baginski 1987; Pyo &amp; Lustgarten 1990).</w:t>
      </w:r>
      <w:r w:rsidR="00B9579E">
        <w:rPr>
          <w:rFonts w:ascii="Calibri" w:hAnsi="Calibri" w:cs="Calibri"/>
          <w:lang w:val="en-US"/>
        </w:rPr>
        <w:t xml:space="preserve"> Another possible direction for further research</w:t>
      </w:r>
      <w:r w:rsidR="00E63E12">
        <w:rPr>
          <w:rFonts w:ascii="Calibri" w:hAnsi="Calibri" w:cs="Calibri"/>
          <w:lang w:val="en-US"/>
        </w:rPr>
        <w:t>,</w:t>
      </w:r>
      <w:r w:rsidR="00B9579E">
        <w:rPr>
          <w:rFonts w:ascii="Calibri" w:hAnsi="Calibri" w:cs="Calibri"/>
          <w:lang w:val="en-US"/>
        </w:rPr>
        <w:t xml:space="preserve"> also suggested by Foster (1981)</w:t>
      </w:r>
      <w:r w:rsidR="00E63E12">
        <w:rPr>
          <w:rFonts w:ascii="Calibri" w:hAnsi="Calibri" w:cs="Calibri"/>
          <w:lang w:val="en-US"/>
        </w:rPr>
        <w:t>,</w:t>
      </w:r>
      <w:r w:rsidR="00B9579E">
        <w:rPr>
          <w:rFonts w:ascii="Calibri" w:hAnsi="Calibri" w:cs="Calibri"/>
          <w:lang w:val="en-US"/>
        </w:rPr>
        <w:t xml:space="preserve"> coul</w:t>
      </w:r>
      <w:r w:rsidR="00E63E12">
        <w:rPr>
          <w:rFonts w:ascii="Calibri" w:hAnsi="Calibri" w:cs="Calibri"/>
          <w:lang w:val="en-US"/>
        </w:rPr>
        <w:t>d be to do this research</w:t>
      </w:r>
      <w:r w:rsidR="00B9579E">
        <w:rPr>
          <w:rFonts w:ascii="Calibri" w:hAnsi="Calibri" w:cs="Calibri"/>
          <w:lang w:val="en-US"/>
        </w:rPr>
        <w:t xml:space="preserve"> the other way around. Instead of first selecting an earnings announcement which might lead to intra-industry information transfer, it could also be interesting to first identify significant correlations in the abnormal returns for firms operating in the same industry and then to examine </w:t>
      </w:r>
      <w:r w:rsidR="00E15D3E">
        <w:rPr>
          <w:rFonts w:ascii="Calibri" w:hAnsi="Calibri" w:cs="Calibri"/>
          <w:lang w:val="en-US"/>
        </w:rPr>
        <w:t xml:space="preserve">which event was occurring at that time which can be accountable for this information transfer. Where this study first determines an event and then calculates abnormal return correlation, the recommended research direction first identify abnormal return correlations and then investigates what event could be held accountable for the information transfer. </w:t>
      </w:r>
    </w:p>
    <w:p w:rsidR="00AA3597" w:rsidRPr="00B9579E" w:rsidRDefault="00AA3597" w:rsidP="00B73533">
      <w:pPr>
        <w:pStyle w:val="000"/>
        <w:spacing w:line="360" w:lineRule="auto"/>
        <w:rPr>
          <w:rFonts w:ascii="Calibri" w:hAnsi="Calibri" w:cs="Calibri"/>
          <w:lang w:val="en-US"/>
        </w:rPr>
      </w:pPr>
    </w:p>
    <w:p w:rsidR="00AA3597" w:rsidRPr="00B9579E" w:rsidRDefault="00AA3597" w:rsidP="00B73533">
      <w:pPr>
        <w:pStyle w:val="000"/>
        <w:spacing w:line="360" w:lineRule="auto"/>
        <w:rPr>
          <w:rFonts w:ascii="Calibri" w:hAnsi="Calibri" w:cs="Calibri"/>
          <w:lang w:val="en-US"/>
        </w:rPr>
      </w:pPr>
    </w:p>
    <w:p w:rsidR="007C7453" w:rsidRPr="00B9579E" w:rsidRDefault="007C7453" w:rsidP="00B73533">
      <w:pPr>
        <w:pStyle w:val="000"/>
        <w:spacing w:line="360" w:lineRule="auto"/>
        <w:rPr>
          <w:rFonts w:ascii="Calibri" w:hAnsi="Calibri" w:cs="Calibri"/>
          <w:lang w:val="en-US"/>
        </w:rPr>
      </w:pPr>
    </w:p>
    <w:p w:rsidR="007C7453" w:rsidRPr="00B9579E" w:rsidRDefault="007C7453" w:rsidP="00B73533">
      <w:pPr>
        <w:pStyle w:val="000"/>
        <w:spacing w:line="360" w:lineRule="auto"/>
        <w:rPr>
          <w:rFonts w:ascii="Calibri" w:hAnsi="Calibri" w:cs="Calibri"/>
          <w:lang w:val="en-US"/>
        </w:rPr>
      </w:pPr>
    </w:p>
    <w:p w:rsidR="00580AD4" w:rsidRPr="00DF69A9" w:rsidRDefault="00580AD4" w:rsidP="00DF69A9">
      <w:pPr>
        <w:pStyle w:val="Kop1"/>
        <w:rPr>
          <w:rFonts w:ascii="Calibri" w:hAnsi="Calibri" w:cs="Calibri"/>
          <w:lang w:val="en-US"/>
        </w:rPr>
      </w:pPr>
      <w:bookmarkStart w:id="35" w:name="_Toc331518381"/>
      <w:r w:rsidRPr="00DF69A9">
        <w:rPr>
          <w:rFonts w:ascii="Calibri" w:hAnsi="Calibri" w:cs="Calibri"/>
          <w:lang w:val="en-US"/>
        </w:rPr>
        <w:lastRenderedPageBreak/>
        <w:t>References</w:t>
      </w:r>
      <w:bookmarkEnd w:id="35"/>
    </w:p>
    <w:sdt>
      <w:sdtPr>
        <w:rPr>
          <w:rFonts w:ascii="Calibri" w:hAnsi="Calibri" w:cs="Calibri"/>
          <w:b w:val="0"/>
          <w:sz w:val="22"/>
        </w:rPr>
        <w:id w:val="96694941"/>
        <w:docPartObj>
          <w:docPartGallery w:val="Bibliographies"/>
          <w:docPartUnique/>
        </w:docPartObj>
      </w:sdtPr>
      <w:sdtEndPr>
        <w:rPr>
          <w:rFonts w:asciiTheme="minorHAnsi" w:hAnsiTheme="minorHAnsi" w:cstheme="minorHAnsi"/>
        </w:rPr>
      </w:sdtEndPr>
      <w:sdtContent>
        <w:p w:rsidR="00580AD4" w:rsidRPr="009D3628" w:rsidRDefault="00580AD4" w:rsidP="00580AD4">
          <w:pPr>
            <w:pStyle w:val="Kop1"/>
            <w:numPr>
              <w:ilvl w:val="0"/>
              <w:numId w:val="0"/>
            </w:numPr>
            <w:rPr>
              <w:rFonts w:ascii="Calibri" w:hAnsi="Calibri" w:cs="Calibri"/>
            </w:rPr>
          </w:pPr>
        </w:p>
        <w:sdt>
          <w:sdtPr>
            <w:rPr>
              <w:rFonts w:ascii="Calibri" w:hAnsi="Calibri" w:cs="Calibri"/>
            </w:rPr>
            <w:id w:val="111145805"/>
            <w:bibliography/>
          </w:sdtPr>
          <w:sdtEndPr>
            <w:rPr>
              <w:rFonts w:asciiTheme="minorHAnsi" w:hAnsiTheme="minorHAnsi" w:cstheme="minorHAnsi"/>
            </w:rPr>
          </w:sdtEndPr>
          <w:sdtContent>
            <w:p w:rsidR="00ED6F6F" w:rsidRPr="001075CA" w:rsidRDefault="00E43D28" w:rsidP="00ED6F6F">
              <w:pPr>
                <w:pStyle w:val="Bibliografie"/>
                <w:rPr>
                  <w:rFonts w:asciiTheme="minorHAnsi" w:hAnsiTheme="minorHAnsi" w:cstheme="minorHAnsi"/>
                  <w:noProof/>
                  <w:lang w:val="en-US"/>
                </w:rPr>
              </w:pPr>
              <w:r w:rsidRPr="001075CA">
                <w:rPr>
                  <w:rFonts w:asciiTheme="minorHAnsi" w:hAnsiTheme="minorHAnsi" w:cstheme="minorHAnsi"/>
                </w:rPr>
                <w:fldChar w:fldCharType="begin"/>
              </w:r>
              <w:r w:rsidR="00580AD4" w:rsidRPr="001075CA">
                <w:rPr>
                  <w:rFonts w:asciiTheme="minorHAnsi" w:hAnsiTheme="minorHAnsi" w:cstheme="minorHAnsi"/>
                  <w:lang w:val="en-US"/>
                </w:rPr>
                <w:instrText xml:space="preserve"> BIBLIOGRAPHY </w:instrText>
              </w:r>
              <w:r w:rsidRPr="001075CA">
                <w:rPr>
                  <w:rFonts w:asciiTheme="minorHAnsi" w:hAnsiTheme="minorHAnsi" w:cstheme="minorHAnsi"/>
                </w:rPr>
                <w:fldChar w:fldCharType="separate"/>
              </w:r>
              <w:r w:rsidR="00ED6F6F" w:rsidRPr="001075CA">
                <w:rPr>
                  <w:rFonts w:asciiTheme="minorHAnsi" w:hAnsiTheme="minorHAnsi" w:cstheme="minorHAnsi"/>
                  <w:noProof/>
                  <w:lang w:val="en-US"/>
                </w:rPr>
                <w:t xml:space="preserve">Armstrong, C., Barth, M., Jagolinzer, A., &amp; Riedl, E. J. (2010). Market reaction to the adoption of IFRS in Europe. </w:t>
              </w:r>
              <w:r w:rsidR="00ED6F6F" w:rsidRPr="001075CA">
                <w:rPr>
                  <w:rFonts w:asciiTheme="minorHAnsi" w:hAnsiTheme="minorHAnsi" w:cstheme="minorHAnsi"/>
                  <w:i/>
                  <w:iCs/>
                  <w:noProof/>
                  <w:lang w:val="en-US"/>
                </w:rPr>
                <w:t>The Accounting Review 85 (1)</w:t>
              </w:r>
              <w:r w:rsidR="00ED6F6F" w:rsidRPr="001075CA">
                <w:rPr>
                  <w:rFonts w:asciiTheme="minorHAnsi" w:hAnsiTheme="minorHAnsi" w:cstheme="minorHAnsi"/>
                  <w:noProof/>
                  <w:lang w:val="en-US"/>
                </w:rPr>
                <w:t xml:space="preserve"> , 31-61.</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Baginski, S. (1987). Intra-industry information transfers associated with management forecasts of earnings. </w:t>
              </w:r>
              <w:r w:rsidRPr="001075CA">
                <w:rPr>
                  <w:rFonts w:asciiTheme="minorHAnsi" w:hAnsiTheme="minorHAnsi" w:cstheme="minorHAnsi"/>
                  <w:i/>
                  <w:iCs/>
                  <w:noProof/>
                  <w:lang w:val="en-US"/>
                </w:rPr>
                <w:t>Journal of Accounting Research 25</w:t>
              </w:r>
              <w:r w:rsidRPr="001075CA">
                <w:rPr>
                  <w:rFonts w:asciiTheme="minorHAnsi" w:hAnsiTheme="minorHAnsi" w:cstheme="minorHAnsi"/>
                  <w:noProof/>
                  <w:lang w:val="en-US"/>
                </w:rPr>
                <w:t xml:space="preserve"> , 196-216.</w:t>
              </w:r>
            </w:p>
            <w:p w:rsidR="001075CA" w:rsidRPr="001075CA" w:rsidRDefault="001075CA" w:rsidP="001075CA">
              <w:pPr>
                <w:rPr>
                  <w:rFonts w:asciiTheme="minorHAnsi" w:hAnsiTheme="minorHAnsi" w:cstheme="minorHAnsi"/>
                  <w:lang w:val="en-US"/>
                </w:rPr>
              </w:pPr>
            </w:p>
            <w:p w:rsidR="00ED6F6F" w:rsidRPr="00F24A37"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Ball, R. (2006).</w:t>
              </w:r>
              <w:r w:rsidRPr="00F24A37">
                <w:rPr>
                  <w:rFonts w:asciiTheme="minorHAnsi" w:hAnsiTheme="minorHAnsi" w:cstheme="minorHAnsi"/>
                  <w:noProof/>
                  <w:lang w:val="en-US"/>
                </w:rPr>
                <w:t xml:space="preserve"> </w:t>
              </w:r>
              <w:r w:rsidRPr="00F24A37">
                <w:rPr>
                  <w:rFonts w:asciiTheme="minorHAnsi" w:hAnsiTheme="minorHAnsi" w:cstheme="minorHAnsi"/>
                  <w:iCs/>
                  <w:noProof/>
                  <w:lang w:val="en-US"/>
                </w:rPr>
                <w:t>International Financial Reporting Standards (IFRS): pros and cons for investors.</w:t>
              </w:r>
              <w:r w:rsidRPr="001075CA">
                <w:rPr>
                  <w:rFonts w:asciiTheme="minorHAnsi" w:hAnsiTheme="minorHAnsi" w:cstheme="minorHAnsi"/>
                  <w:noProof/>
                  <w:lang w:val="en-US"/>
                </w:rPr>
                <w:t xml:space="preserve"> </w:t>
              </w:r>
              <w:r w:rsidR="00F24A37">
                <w:rPr>
                  <w:rFonts w:asciiTheme="minorHAnsi" w:hAnsiTheme="minorHAnsi" w:cstheme="minorHAnsi"/>
                  <w:i/>
                  <w:noProof/>
                  <w:lang w:val="en-US"/>
                </w:rPr>
                <w:t xml:space="preserve">Accounting and Business Research, </w:t>
              </w:r>
              <w:r w:rsidR="00F24A37">
                <w:rPr>
                  <w:rFonts w:asciiTheme="minorHAnsi" w:hAnsiTheme="minorHAnsi" w:cstheme="minorHAnsi"/>
                  <w:noProof/>
                  <w:lang w:val="en-US"/>
                </w:rPr>
                <w:t>papers.ssrn.com</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Bamber, L. S. (1986). The information content of annual earnings releases: A trading volume approach. </w:t>
              </w:r>
              <w:r w:rsidRPr="001075CA">
                <w:rPr>
                  <w:rFonts w:asciiTheme="minorHAnsi" w:hAnsiTheme="minorHAnsi" w:cstheme="minorHAnsi"/>
                  <w:i/>
                  <w:iCs/>
                  <w:noProof/>
                  <w:lang w:val="en-US"/>
                </w:rPr>
                <w:t>The Journal of Accounting Research 24 (1)</w:t>
              </w:r>
              <w:r w:rsidRPr="001075CA">
                <w:rPr>
                  <w:rFonts w:asciiTheme="minorHAnsi" w:hAnsiTheme="minorHAnsi" w:cstheme="minorHAnsi"/>
                  <w:noProof/>
                  <w:lang w:val="en-US"/>
                </w:rPr>
                <w:t xml:space="preserve"> , 40-56.</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Barth, M., Landsman, W., &amp; Lang, M. (2008). International Accounting Standards and accounting quality. </w:t>
              </w:r>
              <w:r w:rsidRPr="001075CA">
                <w:rPr>
                  <w:rFonts w:asciiTheme="minorHAnsi" w:hAnsiTheme="minorHAnsi" w:cstheme="minorHAnsi"/>
                  <w:i/>
                  <w:iCs/>
                  <w:noProof/>
                  <w:lang w:val="en-US"/>
                </w:rPr>
                <w:t>Journal of Accounting Research 46</w:t>
              </w:r>
              <w:r w:rsidRPr="001075CA">
                <w:rPr>
                  <w:rFonts w:asciiTheme="minorHAnsi" w:hAnsiTheme="minorHAnsi" w:cstheme="minorHAnsi"/>
                  <w:noProof/>
                  <w:lang w:val="en-US"/>
                </w:rPr>
                <w:t xml:space="preserve"> , 467-498.</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Beaver, W. (1968). The information content of annual earnings announcments. </w:t>
              </w:r>
              <w:r w:rsidRPr="001075CA">
                <w:rPr>
                  <w:rFonts w:asciiTheme="minorHAnsi" w:hAnsiTheme="minorHAnsi" w:cstheme="minorHAnsi"/>
                  <w:i/>
                  <w:iCs/>
                  <w:noProof/>
                  <w:lang w:val="en-US"/>
                </w:rPr>
                <w:t>Journal of Accounting Research 6</w:t>
              </w:r>
              <w:r w:rsidRPr="001075CA">
                <w:rPr>
                  <w:rFonts w:asciiTheme="minorHAnsi" w:hAnsiTheme="minorHAnsi" w:cstheme="minorHAnsi"/>
                  <w:noProof/>
                  <w:lang w:val="en-US"/>
                </w:rPr>
                <w:t xml:space="preserve"> , 67-92.</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Bhojraj, S., Lee, M., &amp; Oler, D. (2003). What's my line? A comparison of industry classification schemes for capital market research. </w:t>
              </w:r>
              <w:r w:rsidRPr="001075CA">
                <w:rPr>
                  <w:rFonts w:asciiTheme="minorHAnsi" w:hAnsiTheme="minorHAnsi" w:cstheme="minorHAnsi"/>
                  <w:i/>
                  <w:iCs/>
                  <w:noProof/>
                  <w:lang w:val="en-US"/>
                </w:rPr>
                <w:t>Journal of Accounting Research 41 (5)</w:t>
              </w:r>
              <w:r w:rsidRPr="001075CA">
                <w:rPr>
                  <w:rFonts w:asciiTheme="minorHAnsi" w:hAnsiTheme="minorHAnsi" w:cstheme="minorHAnsi"/>
                  <w:noProof/>
                  <w:lang w:val="en-US"/>
                </w:rPr>
                <w:t xml:space="preserve"> , 745-774.</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Collins, D. W., Li, O. Z., &amp; Xie, H. (2009). What drives the increased informativeness of earnings over time? </w:t>
              </w:r>
              <w:r w:rsidRPr="001075CA">
                <w:rPr>
                  <w:rFonts w:asciiTheme="minorHAnsi" w:hAnsiTheme="minorHAnsi" w:cstheme="minorHAnsi"/>
                  <w:i/>
                  <w:iCs/>
                  <w:noProof/>
                  <w:lang w:val="en-US"/>
                </w:rPr>
                <w:t>Review Accounting Studies 14</w:t>
              </w:r>
              <w:r w:rsidRPr="001075CA">
                <w:rPr>
                  <w:rFonts w:asciiTheme="minorHAnsi" w:hAnsiTheme="minorHAnsi" w:cstheme="minorHAnsi"/>
                  <w:noProof/>
                  <w:lang w:val="en-US"/>
                </w:rPr>
                <w:t xml:space="preserve"> , 1-30.</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DeFond, M., Hung, M., &amp; Trezevant, R. (2007). Investor protection and the information content of annual earnings announcements: International evidence. </w:t>
              </w:r>
              <w:r w:rsidRPr="001075CA">
                <w:rPr>
                  <w:rFonts w:asciiTheme="minorHAnsi" w:hAnsiTheme="minorHAnsi" w:cstheme="minorHAnsi"/>
                  <w:i/>
                  <w:iCs/>
                  <w:noProof/>
                  <w:lang w:val="en-US"/>
                </w:rPr>
                <w:t>Journal of Accounting and Economics 43 (1)</w:t>
              </w:r>
              <w:r w:rsidRPr="001075CA">
                <w:rPr>
                  <w:rFonts w:asciiTheme="minorHAnsi" w:hAnsiTheme="minorHAnsi" w:cstheme="minorHAnsi"/>
                  <w:noProof/>
                  <w:lang w:val="en-US"/>
                </w:rPr>
                <w:t xml:space="preserve"> , 37-67.</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Field, A. (2009). </w:t>
              </w:r>
              <w:r w:rsidRPr="001075CA">
                <w:rPr>
                  <w:rFonts w:asciiTheme="minorHAnsi" w:hAnsiTheme="minorHAnsi" w:cstheme="minorHAnsi"/>
                  <w:i/>
                  <w:iCs/>
                  <w:noProof/>
                  <w:lang w:val="en-US"/>
                </w:rPr>
                <w:t>Discovering statistics using SPSS third edition.</w:t>
              </w:r>
              <w:r w:rsidRPr="001075CA">
                <w:rPr>
                  <w:rFonts w:asciiTheme="minorHAnsi" w:hAnsiTheme="minorHAnsi" w:cstheme="minorHAnsi"/>
                  <w:noProof/>
                  <w:lang w:val="en-US"/>
                </w:rPr>
                <w:t xml:space="preserve"> London: Sage publications ltd.</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Foster, G. (1981). Intra-industry information transfers associated with earnings releases. </w:t>
              </w:r>
              <w:r w:rsidRPr="001075CA">
                <w:rPr>
                  <w:rFonts w:asciiTheme="minorHAnsi" w:hAnsiTheme="minorHAnsi" w:cstheme="minorHAnsi"/>
                  <w:i/>
                  <w:iCs/>
                  <w:noProof/>
                  <w:lang w:val="en-US"/>
                </w:rPr>
                <w:t>Journal of Accounting and Economics 3 (3)</w:t>
              </w:r>
              <w:r w:rsidRPr="001075CA">
                <w:rPr>
                  <w:rFonts w:asciiTheme="minorHAnsi" w:hAnsiTheme="minorHAnsi" w:cstheme="minorHAnsi"/>
                  <w:noProof/>
                  <w:lang w:val="en-US"/>
                </w:rPr>
                <w:t xml:space="preserve"> , 201-232.</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Francis, J., Schipper, K., &amp; Vincent, L. (2002). Expanded disclosures and the increased usefulness of earnings announcements. </w:t>
              </w:r>
              <w:r w:rsidRPr="001075CA">
                <w:rPr>
                  <w:rFonts w:asciiTheme="minorHAnsi" w:hAnsiTheme="minorHAnsi" w:cstheme="minorHAnsi"/>
                  <w:i/>
                  <w:iCs/>
                  <w:noProof/>
                  <w:lang w:val="en-US"/>
                </w:rPr>
                <w:t>The Accounting Review 77 (3)</w:t>
              </w:r>
              <w:r w:rsidRPr="001075CA">
                <w:rPr>
                  <w:rFonts w:asciiTheme="minorHAnsi" w:hAnsiTheme="minorHAnsi" w:cstheme="minorHAnsi"/>
                  <w:noProof/>
                  <w:lang w:val="en-US"/>
                </w:rPr>
                <w:t xml:space="preserve"> , 515-546.</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Freeman, R., &amp; Tse, S. (1992). An earnings prediction approach to examining intercompany information transfers. </w:t>
              </w:r>
              <w:r w:rsidRPr="001075CA">
                <w:rPr>
                  <w:rFonts w:asciiTheme="minorHAnsi" w:hAnsiTheme="minorHAnsi" w:cstheme="minorHAnsi"/>
                  <w:i/>
                  <w:iCs/>
                  <w:noProof/>
                  <w:lang w:val="en-US"/>
                </w:rPr>
                <w:t>Journal of Accounting Research 15 (4)</w:t>
              </w:r>
              <w:r w:rsidRPr="001075CA">
                <w:rPr>
                  <w:rFonts w:asciiTheme="minorHAnsi" w:hAnsiTheme="minorHAnsi" w:cstheme="minorHAnsi"/>
                  <w:noProof/>
                  <w:lang w:val="en-US"/>
                </w:rPr>
                <w:t xml:space="preserve"> , 509-523.</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Frost, C. A. (1995). Intra-industry information transfers: an analysis of research methods and additional evidence. </w:t>
              </w:r>
              <w:r w:rsidRPr="001075CA">
                <w:rPr>
                  <w:rFonts w:asciiTheme="minorHAnsi" w:hAnsiTheme="minorHAnsi" w:cstheme="minorHAnsi"/>
                  <w:i/>
                  <w:iCs/>
                  <w:noProof/>
                  <w:lang w:val="en-US"/>
                </w:rPr>
                <w:t>Review of Quantitative Finance and Accounting 5</w:t>
              </w:r>
              <w:r w:rsidRPr="001075CA">
                <w:rPr>
                  <w:rFonts w:asciiTheme="minorHAnsi" w:hAnsiTheme="minorHAnsi" w:cstheme="minorHAnsi"/>
                  <w:noProof/>
                  <w:lang w:val="en-US"/>
                </w:rPr>
                <w:t xml:space="preserve"> , 111-126.</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Han, J., &amp; Wild, J. (2000). Predisclosure information, firm capitalization and earnings information transfers. . </w:t>
              </w:r>
              <w:r w:rsidRPr="001075CA">
                <w:rPr>
                  <w:rFonts w:asciiTheme="minorHAnsi" w:hAnsiTheme="minorHAnsi" w:cstheme="minorHAnsi"/>
                  <w:i/>
                  <w:iCs/>
                  <w:noProof/>
                  <w:lang w:val="en-US"/>
                </w:rPr>
                <w:t>Journal of Business Research, 49</w:t>
              </w:r>
              <w:r w:rsidRPr="001075CA">
                <w:rPr>
                  <w:rFonts w:asciiTheme="minorHAnsi" w:hAnsiTheme="minorHAnsi" w:cstheme="minorHAnsi"/>
                  <w:noProof/>
                  <w:lang w:val="en-US"/>
                </w:rPr>
                <w:t xml:space="preserve"> , 273-288.</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Han, J., Wild, J., &amp; Ramesh, K. (1989). Managers' earnings forecasts and intra-industry information transfers. </w:t>
              </w:r>
              <w:r w:rsidRPr="001075CA">
                <w:rPr>
                  <w:rFonts w:asciiTheme="minorHAnsi" w:hAnsiTheme="minorHAnsi" w:cstheme="minorHAnsi"/>
                  <w:i/>
                  <w:iCs/>
                  <w:noProof/>
                  <w:lang w:val="en-US"/>
                </w:rPr>
                <w:t>Journal of Accounting and Economics 11</w:t>
              </w:r>
              <w:r w:rsidRPr="001075CA">
                <w:rPr>
                  <w:rFonts w:asciiTheme="minorHAnsi" w:hAnsiTheme="minorHAnsi" w:cstheme="minorHAnsi"/>
                  <w:noProof/>
                  <w:lang w:val="en-US"/>
                </w:rPr>
                <w:t xml:space="preserve"> , 3-33.</w:t>
              </w:r>
            </w:p>
            <w:p w:rsidR="001075CA" w:rsidRPr="001075CA" w:rsidRDefault="001075CA" w:rsidP="001075CA">
              <w:pPr>
                <w:rPr>
                  <w:rFonts w:asciiTheme="minorHAnsi" w:hAnsiTheme="minorHAnsi" w:cstheme="minorHAnsi"/>
                  <w:lang w:val="en-US"/>
                </w:rPr>
              </w:pPr>
            </w:p>
            <w:p w:rsidR="001075CA" w:rsidRPr="005D62F5" w:rsidRDefault="00ED6F6F" w:rsidP="00ED6F6F">
              <w:pPr>
                <w:pStyle w:val="Bibliografie"/>
                <w:rPr>
                  <w:rFonts w:asciiTheme="minorHAnsi" w:hAnsiTheme="minorHAnsi" w:cstheme="minorHAnsi"/>
                  <w:i/>
                  <w:iCs/>
                  <w:noProof/>
                  <w:lang w:val="en-US"/>
                </w:rPr>
              </w:pPr>
              <w:r w:rsidRPr="001075CA">
                <w:rPr>
                  <w:rFonts w:asciiTheme="minorHAnsi" w:hAnsiTheme="minorHAnsi" w:cstheme="minorHAnsi"/>
                  <w:noProof/>
                  <w:lang w:val="en-US"/>
                </w:rPr>
                <w:t>Horton, J., Serafeim, G., &amp; Serafeim, I. (20</w:t>
              </w:r>
              <w:r w:rsidR="005D62F5">
                <w:rPr>
                  <w:rFonts w:asciiTheme="minorHAnsi" w:hAnsiTheme="minorHAnsi" w:cstheme="minorHAnsi"/>
                  <w:noProof/>
                  <w:lang w:val="en-US"/>
                </w:rPr>
                <w:t>10</w:t>
              </w:r>
              <w:r w:rsidRPr="001075CA">
                <w:rPr>
                  <w:rFonts w:asciiTheme="minorHAnsi" w:hAnsiTheme="minorHAnsi" w:cstheme="minorHAnsi"/>
                  <w:noProof/>
                  <w:lang w:val="en-US"/>
                </w:rPr>
                <w:t>).</w:t>
              </w:r>
              <w:r w:rsidRPr="005D62F5">
                <w:rPr>
                  <w:rFonts w:asciiTheme="minorHAnsi" w:hAnsiTheme="minorHAnsi" w:cstheme="minorHAnsi"/>
                  <w:noProof/>
                  <w:lang w:val="en-US"/>
                </w:rPr>
                <w:t xml:space="preserve"> </w:t>
              </w:r>
              <w:r w:rsidRPr="005D62F5">
                <w:rPr>
                  <w:rFonts w:asciiTheme="minorHAnsi" w:hAnsiTheme="minorHAnsi" w:cstheme="minorHAnsi"/>
                  <w:iCs/>
                  <w:noProof/>
                  <w:lang w:val="en-US"/>
                </w:rPr>
                <w:t>Does mandatory IFRS adoption improve the information environment?</w:t>
              </w:r>
              <w:r w:rsidR="005D62F5">
                <w:rPr>
                  <w:rFonts w:asciiTheme="minorHAnsi" w:hAnsiTheme="minorHAnsi" w:cstheme="minorHAnsi"/>
                  <w:iCs/>
                  <w:noProof/>
                  <w:lang w:val="en-US"/>
                </w:rPr>
                <w:t xml:space="preserve"> </w:t>
              </w:r>
              <w:r w:rsidR="005D62F5">
                <w:rPr>
                  <w:rFonts w:asciiTheme="minorHAnsi" w:hAnsiTheme="minorHAnsi" w:cstheme="minorHAnsi"/>
                  <w:i/>
                  <w:iCs/>
                  <w:noProof/>
                  <w:lang w:val="en-US"/>
                </w:rPr>
                <w:t>Contemporary accounting, Wiley online library.</w:t>
              </w: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 </w:t>
              </w: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Kim, Y., &amp; Li, S. (2010). </w:t>
              </w:r>
              <w:r w:rsidRPr="001075CA">
                <w:rPr>
                  <w:rFonts w:asciiTheme="minorHAnsi" w:hAnsiTheme="minorHAnsi" w:cstheme="minorHAnsi"/>
                  <w:i/>
                  <w:iCs/>
                  <w:noProof/>
                  <w:lang w:val="en-US"/>
                </w:rPr>
                <w:t>Mandatory IFRS adoption and intra-industry information transfers.</w:t>
              </w:r>
              <w:r w:rsidRPr="001075CA">
                <w:rPr>
                  <w:rFonts w:asciiTheme="minorHAnsi" w:hAnsiTheme="minorHAnsi" w:cstheme="minorHAnsi"/>
                  <w:noProof/>
                  <w:lang w:val="en-US"/>
                </w:rPr>
                <w:t xml:space="preserve"> Santa Clara: Leavey School of business, Santa Clara University.</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Landsman, W. R., &amp; Maydew, E. L. (2002). Has the information content of quarterly earnings announcements declined in the past three decades? </w:t>
              </w:r>
              <w:r w:rsidRPr="001075CA">
                <w:rPr>
                  <w:rFonts w:asciiTheme="minorHAnsi" w:hAnsiTheme="minorHAnsi" w:cstheme="minorHAnsi"/>
                  <w:i/>
                  <w:iCs/>
                  <w:noProof/>
                  <w:lang w:val="en-US"/>
                </w:rPr>
                <w:t>Journal of Accounting Research 40 (3)</w:t>
              </w:r>
              <w:r w:rsidRPr="001075CA">
                <w:rPr>
                  <w:rFonts w:asciiTheme="minorHAnsi" w:hAnsiTheme="minorHAnsi" w:cstheme="minorHAnsi"/>
                  <w:noProof/>
                  <w:lang w:val="en-US"/>
                </w:rPr>
                <w:t xml:space="preserve"> , 797-808.</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Landsman, W. R., Maydew, E. L., &amp; Thornock, J. R. (2011). The information content of annual earnings announcements and mandatory adoption of IFRS. </w:t>
              </w:r>
              <w:r w:rsidRPr="001075CA">
                <w:rPr>
                  <w:rFonts w:asciiTheme="minorHAnsi" w:hAnsiTheme="minorHAnsi" w:cstheme="minorHAnsi"/>
                  <w:i/>
                  <w:iCs/>
                  <w:noProof/>
                  <w:lang w:val="en-US"/>
                </w:rPr>
                <w:t>Journal of Accounting and Economics 53</w:t>
              </w:r>
              <w:r w:rsidRPr="001075CA">
                <w:rPr>
                  <w:rFonts w:asciiTheme="minorHAnsi" w:hAnsiTheme="minorHAnsi" w:cstheme="minorHAnsi"/>
                  <w:noProof/>
                  <w:lang w:val="en-US"/>
                </w:rPr>
                <w:t xml:space="preserve"> , 34-54.</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Lang, L., &amp; Stulz, R. (1992). Contagion and competitive intra-industry effects of bankruptcy announcments. </w:t>
              </w:r>
              <w:r w:rsidRPr="001075CA">
                <w:rPr>
                  <w:rFonts w:asciiTheme="minorHAnsi" w:hAnsiTheme="minorHAnsi" w:cstheme="minorHAnsi"/>
                  <w:i/>
                  <w:iCs/>
                  <w:noProof/>
                  <w:lang w:val="en-US"/>
                </w:rPr>
                <w:t>Journal of Financial Economics 32 (1)</w:t>
              </w:r>
              <w:r w:rsidRPr="001075CA">
                <w:rPr>
                  <w:rFonts w:asciiTheme="minorHAnsi" w:hAnsiTheme="minorHAnsi" w:cstheme="minorHAnsi"/>
                  <w:noProof/>
                  <w:lang w:val="en-US"/>
                </w:rPr>
                <w:t xml:space="preserve"> , 45-60.</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Laux, P., Starks, L., &amp; Yoon, P. (1998). The relative importance of competition and contagion in intra-industry information transfers: an investigation of dividend announcements. </w:t>
              </w:r>
              <w:r w:rsidRPr="001075CA">
                <w:rPr>
                  <w:rFonts w:asciiTheme="minorHAnsi" w:hAnsiTheme="minorHAnsi" w:cstheme="minorHAnsi"/>
                  <w:i/>
                  <w:iCs/>
                  <w:noProof/>
                  <w:lang w:val="en-US"/>
                </w:rPr>
                <w:t>Financial management 27</w:t>
              </w:r>
              <w:r w:rsidRPr="001075CA">
                <w:rPr>
                  <w:rFonts w:asciiTheme="minorHAnsi" w:hAnsiTheme="minorHAnsi" w:cstheme="minorHAnsi"/>
                  <w:noProof/>
                  <w:lang w:val="en-US"/>
                </w:rPr>
                <w:t xml:space="preserve"> , 5-16.</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MacKinlay, C. A. (1997). Event studies in economics and finance. </w:t>
              </w:r>
              <w:r w:rsidRPr="001075CA">
                <w:rPr>
                  <w:rFonts w:asciiTheme="minorHAnsi" w:hAnsiTheme="minorHAnsi" w:cstheme="minorHAnsi"/>
                  <w:i/>
                  <w:iCs/>
                  <w:noProof/>
                  <w:lang w:val="en-US"/>
                </w:rPr>
                <w:t>Journal of Ecoonomic Literature 35 (1)</w:t>
              </w:r>
              <w:r w:rsidRPr="001075CA">
                <w:rPr>
                  <w:rFonts w:asciiTheme="minorHAnsi" w:hAnsiTheme="minorHAnsi" w:cstheme="minorHAnsi"/>
                  <w:noProof/>
                  <w:lang w:val="en-US"/>
                </w:rPr>
                <w:t xml:space="preserve"> , 13-39.</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Pyo, Y., &amp; Lustgarten, S. (1990). Differential intra-industry information transfer associated with management earnings forecasts. </w:t>
              </w:r>
              <w:r w:rsidRPr="001075CA">
                <w:rPr>
                  <w:rFonts w:asciiTheme="minorHAnsi" w:hAnsiTheme="minorHAnsi" w:cstheme="minorHAnsi"/>
                  <w:i/>
                  <w:iCs/>
                  <w:noProof/>
                  <w:lang w:val="en-US"/>
                </w:rPr>
                <w:t>Journal of Accounting and Economics 13 (4)</w:t>
              </w:r>
              <w:r w:rsidRPr="001075CA">
                <w:rPr>
                  <w:rFonts w:asciiTheme="minorHAnsi" w:hAnsiTheme="minorHAnsi" w:cstheme="minorHAnsi"/>
                  <w:noProof/>
                  <w:lang w:val="en-US"/>
                </w:rPr>
                <w:t xml:space="preserve"> , 365-379.</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Ramnath, S. (2002). Investor and analyst re</w:t>
              </w:r>
              <w:r w:rsidR="001075CA">
                <w:rPr>
                  <w:rFonts w:asciiTheme="minorHAnsi" w:hAnsiTheme="minorHAnsi" w:cstheme="minorHAnsi"/>
                  <w:noProof/>
                  <w:lang w:val="en-US"/>
                </w:rPr>
                <w:t>actions to earnings announcement</w:t>
              </w:r>
              <w:r w:rsidRPr="001075CA">
                <w:rPr>
                  <w:rFonts w:asciiTheme="minorHAnsi" w:hAnsiTheme="minorHAnsi" w:cstheme="minorHAnsi"/>
                  <w:noProof/>
                  <w:lang w:val="en-US"/>
                </w:rPr>
                <w:t>s of related</w:t>
              </w:r>
              <w:r w:rsidR="001075CA" w:rsidRPr="001075CA">
                <w:rPr>
                  <w:rFonts w:asciiTheme="minorHAnsi" w:hAnsiTheme="minorHAnsi" w:cstheme="minorHAnsi"/>
                  <w:noProof/>
                  <w:lang w:val="en-US"/>
                </w:rPr>
                <w:t xml:space="preserve"> firms: An empirical analysis.</w:t>
              </w:r>
              <w:r w:rsidRPr="001075CA">
                <w:rPr>
                  <w:rFonts w:asciiTheme="minorHAnsi" w:hAnsiTheme="minorHAnsi" w:cstheme="minorHAnsi"/>
                  <w:noProof/>
                  <w:lang w:val="en-US"/>
                </w:rPr>
                <w:t xml:space="preserve"> </w:t>
              </w:r>
              <w:r w:rsidRPr="001075CA">
                <w:rPr>
                  <w:rFonts w:asciiTheme="minorHAnsi" w:hAnsiTheme="minorHAnsi" w:cstheme="minorHAnsi"/>
                  <w:i/>
                  <w:iCs/>
                  <w:noProof/>
                  <w:lang w:val="en-US"/>
                </w:rPr>
                <w:t>Journal of Accounting Research 40 (5)</w:t>
              </w:r>
              <w:r w:rsidRPr="001075CA">
                <w:rPr>
                  <w:rFonts w:asciiTheme="minorHAnsi" w:hAnsiTheme="minorHAnsi" w:cstheme="minorHAnsi"/>
                  <w:noProof/>
                  <w:lang w:val="en-US"/>
                </w:rPr>
                <w:t xml:space="preserve"> , 1351-1376.</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Schipper, K. (1990). Commentary: Information transfers. </w:t>
              </w:r>
              <w:r w:rsidR="001075CA">
                <w:rPr>
                  <w:rFonts w:asciiTheme="minorHAnsi" w:hAnsiTheme="minorHAnsi" w:cstheme="minorHAnsi"/>
                  <w:i/>
                  <w:iCs/>
                  <w:noProof/>
                  <w:lang w:val="en-US"/>
                </w:rPr>
                <w:t>Accounting Horizons (4</w:t>
              </w:r>
              <w:r w:rsidRPr="001075CA">
                <w:rPr>
                  <w:rFonts w:asciiTheme="minorHAnsi" w:hAnsiTheme="minorHAnsi" w:cstheme="minorHAnsi"/>
                  <w:i/>
                  <w:iCs/>
                  <w:noProof/>
                  <w:lang w:val="en-US"/>
                </w:rPr>
                <w:t>)</w:t>
              </w:r>
              <w:r w:rsidRPr="001075CA">
                <w:rPr>
                  <w:rFonts w:asciiTheme="minorHAnsi" w:hAnsiTheme="minorHAnsi" w:cstheme="minorHAnsi"/>
                  <w:noProof/>
                  <w:lang w:val="en-US"/>
                </w:rPr>
                <w:t xml:space="preserve"> , 97-107.</w:t>
              </w:r>
            </w:p>
            <w:p w:rsidR="001075CA" w:rsidRPr="001075CA" w:rsidRDefault="001075CA" w:rsidP="001075CA">
              <w:pPr>
                <w:rPr>
                  <w:rFonts w:asciiTheme="minorHAnsi" w:hAnsiTheme="minorHAnsi" w:cstheme="minorHAnsi"/>
                  <w:lang w:val="en-US"/>
                </w:rPr>
              </w:pPr>
            </w:p>
            <w:p w:rsidR="00ED6F6F" w:rsidRPr="00815B0D" w:rsidRDefault="00ED6F6F" w:rsidP="00ED6F6F">
              <w:pPr>
                <w:pStyle w:val="Bibliografie"/>
                <w:rPr>
                  <w:rFonts w:asciiTheme="minorHAnsi" w:hAnsiTheme="minorHAnsi" w:cstheme="minorHAnsi"/>
                  <w:i/>
                  <w:noProof/>
                  <w:lang w:val="en-US"/>
                </w:rPr>
              </w:pPr>
              <w:r w:rsidRPr="001075CA">
                <w:rPr>
                  <w:rFonts w:asciiTheme="minorHAnsi" w:hAnsiTheme="minorHAnsi" w:cstheme="minorHAnsi"/>
                  <w:noProof/>
                  <w:lang w:val="en-US"/>
                </w:rPr>
                <w:t>Soderstrom, S., &amp; Sun, K. J. (2007).</w:t>
              </w:r>
              <w:r w:rsidRPr="00815B0D">
                <w:rPr>
                  <w:rFonts w:asciiTheme="minorHAnsi" w:hAnsiTheme="minorHAnsi" w:cstheme="minorHAnsi"/>
                  <w:noProof/>
                  <w:lang w:val="en-US"/>
                </w:rPr>
                <w:t xml:space="preserve"> </w:t>
              </w:r>
              <w:r w:rsidRPr="00815B0D">
                <w:rPr>
                  <w:rFonts w:asciiTheme="minorHAnsi" w:hAnsiTheme="minorHAnsi" w:cstheme="minorHAnsi"/>
                  <w:iCs/>
                  <w:noProof/>
                  <w:lang w:val="en-US"/>
                </w:rPr>
                <w:t>IFRS adoption and accounting quality: a review</w:t>
              </w:r>
              <w:r w:rsidRPr="001075CA">
                <w:rPr>
                  <w:rFonts w:asciiTheme="minorHAnsi" w:hAnsiTheme="minorHAnsi" w:cstheme="minorHAnsi"/>
                  <w:i/>
                  <w:iCs/>
                  <w:noProof/>
                  <w:lang w:val="en-US"/>
                </w:rPr>
                <w:t>.</w:t>
              </w:r>
              <w:r w:rsidRPr="001075CA">
                <w:rPr>
                  <w:rFonts w:asciiTheme="minorHAnsi" w:hAnsiTheme="minorHAnsi" w:cstheme="minorHAnsi"/>
                  <w:noProof/>
                  <w:lang w:val="en-US"/>
                </w:rPr>
                <w:t xml:space="preserve"> </w:t>
              </w:r>
              <w:r w:rsidR="00815B0D">
                <w:rPr>
                  <w:rFonts w:asciiTheme="minorHAnsi" w:hAnsiTheme="minorHAnsi" w:cstheme="minorHAnsi"/>
                  <w:i/>
                  <w:noProof/>
                  <w:lang w:val="en-US"/>
                </w:rPr>
                <w:t>European Accounting Review, 16:4, 675-702.</w:t>
              </w:r>
            </w:p>
            <w:p w:rsidR="001075CA" w:rsidRPr="001075CA" w:rsidRDefault="001075CA" w:rsidP="001075CA">
              <w:pPr>
                <w:rPr>
                  <w:rFonts w:asciiTheme="minorHAnsi" w:hAnsiTheme="minorHAnsi" w:cstheme="minorHAnsi"/>
                  <w:lang w:val="en-US"/>
                </w:rPr>
              </w:pPr>
            </w:p>
            <w:p w:rsidR="00ED6F6F" w:rsidRPr="001075CA" w:rsidRDefault="00ED6F6F" w:rsidP="00ED6F6F">
              <w:pPr>
                <w:pStyle w:val="Bibliografie"/>
                <w:rPr>
                  <w:rFonts w:asciiTheme="minorHAnsi" w:hAnsiTheme="minorHAnsi" w:cstheme="minorHAnsi"/>
                  <w:noProof/>
                  <w:lang w:val="en-US"/>
                </w:rPr>
              </w:pPr>
              <w:r w:rsidRPr="001075CA">
                <w:rPr>
                  <w:rFonts w:asciiTheme="minorHAnsi" w:hAnsiTheme="minorHAnsi" w:cstheme="minorHAnsi"/>
                  <w:noProof/>
                  <w:lang w:val="en-US"/>
                </w:rPr>
                <w:t xml:space="preserve">Thomas, J., &amp; Zhang, F. (2008). Overreaction to intra-industry information transfers? </w:t>
              </w:r>
              <w:r w:rsidRPr="001075CA">
                <w:rPr>
                  <w:rFonts w:asciiTheme="minorHAnsi" w:hAnsiTheme="minorHAnsi" w:cstheme="minorHAnsi"/>
                  <w:i/>
                  <w:iCs/>
                  <w:noProof/>
                  <w:lang w:val="en-US"/>
                </w:rPr>
                <w:t>Journal of Accounting Researhc 46 (4)</w:t>
              </w:r>
              <w:r w:rsidRPr="001075CA">
                <w:rPr>
                  <w:rFonts w:asciiTheme="minorHAnsi" w:hAnsiTheme="minorHAnsi" w:cstheme="minorHAnsi"/>
                  <w:noProof/>
                  <w:lang w:val="en-US"/>
                </w:rPr>
                <w:t xml:space="preserve"> , 909-949.</w:t>
              </w:r>
            </w:p>
            <w:p w:rsidR="00580AD4" w:rsidRPr="005F472F" w:rsidRDefault="00E43D28" w:rsidP="00ED6F6F">
              <w:pPr>
                <w:rPr>
                  <w:rFonts w:asciiTheme="minorHAnsi" w:hAnsiTheme="minorHAnsi" w:cstheme="minorHAnsi"/>
                </w:rPr>
              </w:pPr>
              <w:r w:rsidRPr="001075CA">
                <w:rPr>
                  <w:rFonts w:asciiTheme="minorHAnsi" w:hAnsiTheme="minorHAnsi" w:cstheme="minorHAnsi"/>
                </w:rPr>
                <w:fldChar w:fldCharType="end"/>
              </w:r>
            </w:p>
          </w:sdtContent>
        </w:sdt>
      </w:sdtContent>
    </w:sdt>
    <w:p w:rsidR="00580AD4" w:rsidRPr="005F472F" w:rsidRDefault="00580AD4" w:rsidP="00580AD4">
      <w:pPr>
        <w:pStyle w:val="000"/>
        <w:rPr>
          <w:rFonts w:asciiTheme="minorHAnsi" w:hAnsiTheme="minorHAnsi" w:cstheme="minorHAnsi"/>
          <w:lang w:val="en-US"/>
        </w:rPr>
      </w:pPr>
    </w:p>
    <w:p w:rsidR="00580AD4" w:rsidRPr="005F472F" w:rsidRDefault="00580AD4" w:rsidP="00580AD4">
      <w:pPr>
        <w:pStyle w:val="000"/>
        <w:rPr>
          <w:rFonts w:asciiTheme="minorHAnsi" w:hAnsiTheme="minorHAnsi" w:cstheme="minorHAnsi"/>
          <w:lang w:val="en-US"/>
        </w:rPr>
      </w:pPr>
    </w:p>
    <w:p w:rsidR="00580AD4" w:rsidRPr="005F472F" w:rsidRDefault="00580AD4" w:rsidP="00580AD4">
      <w:pPr>
        <w:pStyle w:val="000"/>
        <w:rPr>
          <w:rFonts w:asciiTheme="minorHAnsi" w:hAnsiTheme="minorHAnsi" w:cstheme="minorHAnsi"/>
          <w:lang w:val="en-US"/>
        </w:rPr>
      </w:pPr>
    </w:p>
    <w:p w:rsidR="00580AD4" w:rsidRPr="009D3628" w:rsidRDefault="00580AD4" w:rsidP="00580AD4">
      <w:pPr>
        <w:pStyle w:val="000"/>
        <w:jc w:val="both"/>
        <w:rPr>
          <w:rFonts w:ascii="Calibri" w:hAnsi="Calibri" w:cs="Calibri"/>
          <w:lang w:val="en-US"/>
        </w:rPr>
        <w:sectPr w:rsidR="00580AD4" w:rsidRPr="009D3628" w:rsidSect="004A6DAE">
          <w:footerReference w:type="default" r:id="rId27"/>
          <w:pgSz w:w="11906" w:h="16838"/>
          <w:pgMar w:top="2477" w:right="1247" w:bottom="1814" w:left="1247" w:header="941" w:footer="720" w:gutter="0"/>
          <w:cols w:space="708"/>
          <w:titlePg/>
          <w:docGrid w:linePitch="360"/>
        </w:sectPr>
      </w:pPr>
    </w:p>
    <w:p w:rsidR="007C3F03" w:rsidRPr="00A36972" w:rsidRDefault="00793FB4" w:rsidP="00B73533">
      <w:pPr>
        <w:pStyle w:val="000"/>
        <w:spacing w:line="360" w:lineRule="auto"/>
        <w:rPr>
          <w:rFonts w:asciiTheme="minorHAnsi" w:hAnsiTheme="minorHAnsi" w:cstheme="minorHAnsi"/>
          <w:b/>
          <w:sz w:val="28"/>
          <w:szCs w:val="28"/>
          <w:lang w:val="en-US"/>
        </w:rPr>
      </w:pPr>
      <w:r w:rsidRPr="00A36972">
        <w:rPr>
          <w:rFonts w:asciiTheme="minorHAnsi" w:hAnsiTheme="minorHAnsi" w:cstheme="minorHAnsi"/>
          <w:b/>
          <w:sz w:val="28"/>
          <w:szCs w:val="28"/>
          <w:lang w:val="en-US"/>
        </w:rPr>
        <w:lastRenderedPageBreak/>
        <w:t>Appendix</w:t>
      </w:r>
    </w:p>
    <w:p w:rsidR="00793FB4" w:rsidRPr="00A36972" w:rsidRDefault="00793FB4" w:rsidP="00793FB4">
      <w:pPr>
        <w:pStyle w:val="Tabletitle"/>
        <w:rPr>
          <w:rFonts w:asciiTheme="minorHAnsi" w:hAnsiTheme="minorHAnsi" w:cstheme="minorHAnsi"/>
          <w:lang w:val="en-US"/>
        </w:rPr>
      </w:pPr>
      <w:r w:rsidRPr="00A36972">
        <w:rPr>
          <w:rFonts w:asciiTheme="minorHAnsi" w:hAnsiTheme="minorHAnsi" w:cstheme="minorHAnsi"/>
          <w:lang w:val="en-US"/>
        </w:rPr>
        <w:t>Summary of literature related to the information content of earnings announcements</w:t>
      </w:r>
    </w:p>
    <w:p w:rsidR="00793FB4" w:rsidRPr="00A36972" w:rsidRDefault="00793FB4" w:rsidP="00793FB4">
      <w:pPr>
        <w:pStyle w:val="Tabletext"/>
        <w:rPr>
          <w:rFonts w:asciiTheme="minorHAnsi" w:hAnsiTheme="minorHAnsi" w:cstheme="minorHAnsi"/>
          <w:lang w:val="en-US"/>
        </w:rPr>
      </w:pPr>
    </w:p>
    <w:tbl>
      <w:tblPr>
        <w:tblStyle w:val="Tabelraster"/>
        <w:tblW w:w="5374"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2744"/>
        <w:gridCol w:w="2744"/>
        <w:gridCol w:w="2743"/>
        <w:gridCol w:w="2743"/>
        <w:gridCol w:w="2743"/>
      </w:tblGrid>
      <w:tr w:rsidR="00793FB4" w:rsidRPr="00A36972" w:rsidTr="00793FB4">
        <w:trPr>
          <w:trHeight w:val="154"/>
        </w:trPr>
        <w:tc>
          <w:tcPr>
            <w:tcW w:w="1000" w:type="pct"/>
            <w:shd w:val="clear" w:color="auto" w:fill="999999"/>
          </w:tcPr>
          <w:p w:rsidR="00793FB4" w:rsidRPr="00A36972" w:rsidRDefault="00793FB4" w:rsidP="00793FB4">
            <w:pPr>
              <w:pStyle w:val="Tableheading1"/>
              <w:rPr>
                <w:rFonts w:asciiTheme="minorHAnsi" w:hAnsiTheme="minorHAnsi" w:cstheme="minorHAnsi"/>
                <w:lang w:val="en-US"/>
              </w:rPr>
            </w:pPr>
            <w:r w:rsidRPr="00A36972">
              <w:rPr>
                <w:rFonts w:asciiTheme="minorHAnsi" w:hAnsiTheme="minorHAnsi" w:cstheme="minorHAnsi"/>
                <w:lang w:val="en-US"/>
              </w:rPr>
              <w:t>Author(s)</w:t>
            </w:r>
          </w:p>
        </w:tc>
        <w:tc>
          <w:tcPr>
            <w:tcW w:w="1000" w:type="pct"/>
            <w:shd w:val="clear" w:color="auto" w:fill="999999"/>
          </w:tcPr>
          <w:p w:rsidR="00793FB4" w:rsidRPr="00A36972" w:rsidRDefault="00793FB4" w:rsidP="00793FB4">
            <w:pPr>
              <w:pStyle w:val="Tableheading1"/>
              <w:rPr>
                <w:rFonts w:asciiTheme="minorHAnsi" w:hAnsiTheme="minorHAnsi" w:cstheme="minorHAnsi"/>
                <w:lang w:val="en-US"/>
              </w:rPr>
            </w:pPr>
            <w:r w:rsidRPr="00A36972">
              <w:rPr>
                <w:rFonts w:asciiTheme="minorHAnsi" w:hAnsiTheme="minorHAnsi" w:cstheme="minorHAnsi"/>
                <w:lang w:val="en-US"/>
              </w:rPr>
              <w:t>Object of the study</w:t>
            </w:r>
          </w:p>
        </w:tc>
        <w:tc>
          <w:tcPr>
            <w:tcW w:w="1000" w:type="pct"/>
            <w:shd w:val="clear" w:color="auto" w:fill="999999"/>
          </w:tcPr>
          <w:p w:rsidR="00793FB4" w:rsidRPr="00A36972" w:rsidRDefault="00793FB4" w:rsidP="00793FB4">
            <w:pPr>
              <w:pStyle w:val="Tableheading1"/>
              <w:rPr>
                <w:rFonts w:asciiTheme="minorHAnsi" w:hAnsiTheme="minorHAnsi" w:cstheme="minorHAnsi"/>
                <w:lang w:val="en-US"/>
              </w:rPr>
            </w:pPr>
            <w:r w:rsidRPr="00A36972">
              <w:rPr>
                <w:rFonts w:asciiTheme="minorHAnsi" w:hAnsiTheme="minorHAnsi" w:cstheme="minorHAnsi"/>
                <w:lang w:val="en-US"/>
              </w:rPr>
              <w:t>Sample</w:t>
            </w:r>
          </w:p>
        </w:tc>
        <w:tc>
          <w:tcPr>
            <w:tcW w:w="1000" w:type="pct"/>
            <w:shd w:val="clear" w:color="auto" w:fill="999999"/>
          </w:tcPr>
          <w:p w:rsidR="00793FB4" w:rsidRPr="00A36972" w:rsidRDefault="00793FB4" w:rsidP="00793FB4">
            <w:pPr>
              <w:pStyle w:val="Tableheading1"/>
              <w:rPr>
                <w:rFonts w:asciiTheme="minorHAnsi" w:hAnsiTheme="minorHAnsi" w:cstheme="minorHAnsi"/>
                <w:lang w:val="en-US"/>
              </w:rPr>
            </w:pPr>
            <w:r w:rsidRPr="00A36972">
              <w:rPr>
                <w:rFonts w:asciiTheme="minorHAnsi" w:hAnsiTheme="minorHAnsi" w:cstheme="minorHAnsi"/>
                <w:lang w:val="en-US"/>
              </w:rPr>
              <w:t>Methodology</w:t>
            </w:r>
          </w:p>
        </w:tc>
        <w:tc>
          <w:tcPr>
            <w:tcW w:w="1000" w:type="pct"/>
            <w:shd w:val="clear" w:color="auto" w:fill="999999"/>
          </w:tcPr>
          <w:p w:rsidR="00793FB4" w:rsidRPr="00A36972" w:rsidRDefault="00793FB4" w:rsidP="00793FB4">
            <w:pPr>
              <w:pStyle w:val="Tableheading1"/>
              <w:rPr>
                <w:rFonts w:asciiTheme="minorHAnsi" w:hAnsiTheme="minorHAnsi" w:cstheme="minorHAnsi"/>
                <w:lang w:val="en-US"/>
              </w:rPr>
            </w:pPr>
            <w:r w:rsidRPr="00A36972">
              <w:rPr>
                <w:rFonts w:asciiTheme="minorHAnsi" w:hAnsiTheme="minorHAnsi" w:cstheme="minorHAnsi"/>
                <w:lang w:val="en-US"/>
              </w:rPr>
              <w:t>Outcome</w:t>
            </w:r>
          </w:p>
        </w:tc>
      </w:tr>
      <w:tr w:rsidR="00793FB4" w:rsidRPr="00186C61" w:rsidTr="007262DF">
        <w:trPr>
          <w:trHeight w:val="2363"/>
        </w:trPr>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Beaver (1968)</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The information content of annual earnings announcements.</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Sample size: annual earnings announcements of 143 firms over the sample period 1961-1965.</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Investigating if both trading volume and return volatility increase at the time of earnings announcements.</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The results show as well a price as a volume reaction which indicates that investors indeed react directly at the earnings reported in the annual account</w:t>
            </w:r>
          </w:p>
        </w:tc>
      </w:tr>
      <w:tr w:rsidR="00793FB4" w:rsidRPr="00186C61" w:rsidTr="007262DF">
        <w:trPr>
          <w:trHeight w:val="2810"/>
        </w:trPr>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Bamber (1986)</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The information content of annual earnings releases: A trading volume approach</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Sample size: 1200 earnings announcements by 397 firms over the sample period 1977-1979.</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Examine the associations between unexpected earnings, firm size, and trading volume and tested whether such associations can be generalized across fiscal year-end dates and stock exchange listing.</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Results show that both magnitude and firm size where associated with the information content of earnings announcements.</w:t>
            </w:r>
          </w:p>
        </w:tc>
      </w:tr>
      <w:tr w:rsidR="00793FB4" w:rsidRPr="00186C61" w:rsidTr="007262DF">
        <w:trPr>
          <w:trHeight w:val="1700"/>
        </w:trPr>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Landsman and Maydew (2002)</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Has the information content of quarterly earnings announcements declined over the past three decades?</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Sample size: 92613 firm-quarter observations in the sample period 1972-1998.</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Examining whether the abnormal volume and volatility at earnings announcement dates has declined over time.</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The results suggest an increase over time in the informativeness of quarterly earnings announcements.</w:t>
            </w:r>
          </w:p>
        </w:tc>
      </w:tr>
      <w:tr w:rsidR="00793FB4" w:rsidRPr="00186C61" w:rsidTr="00793FB4">
        <w:trPr>
          <w:trHeight w:val="4382"/>
        </w:trPr>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lastRenderedPageBreak/>
              <w:t>Francis, Schipper and Vincent (2002)</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Expanded disclosures and the increased usefulness of earnings announcements.</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Sample size: 2190 earnings announcements made by 30 firms in the period 1980-1999.</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bCs/>
                <w:szCs w:val="22"/>
                <w:lang w:val="en-US"/>
              </w:rPr>
              <w:t>Investigate three explanations for prior studies' finding that the usefulness of earnings announcements, as measured by their absolute market responses, has increased over time.</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bCs/>
                <w:szCs w:val="22"/>
                <w:lang w:val="en-US"/>
              </w:rPr>
              <w:t>No evidence that the over-time increase in the magnitude of the market reaction to the sample firms' earnings announcements is attributable to increases in the absolute amount of unexpected earnings conveyed in the announcements or to increases in the intensity of investors' average reaction to unexpected earnings.</w:t>
            </w:r>
          </w:p>
        </w:tc>
      </w:tr>
      <w:tr w:rsidR="00793FB4" w:rsidRPr="00186C61" w:rsidTr="00793FB4">
        <w:trPr>
          <w:trHeight w:val="3395"/>
        </w:trPr>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Collins, Li and Xi (2007)</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What drives the increased informativeness of earnings announcements over time?</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Sample size: 114986 firm-quarter observations over the years 1985 -2000.</w:t>
            </w:r>
          </w:p>
        </w:tc>
        <w:tc>
          <w:tcPr>
            <w:tcW w:w="1000" w:type="pct"/>
          </w:tcPr>
          <w:p w:rsidR="00793FB4" w:rsidRPr="00A36972" w:rsidRDefault="00793FB4" w:rsidP="00793FB4">
            <w:pPr>
              <w:rPr>
                <w:rFonts w:asciiTheme="minorHAnsi" w:hAnsiTheme="minorHAnsi" w:cstheme="minorHAnsi"/>
                <w:color w:val="000000"/>
                <w:szCs w:val="22"/>
                <w:lang w:val="en-US"/>
              </w:rPr>
            </w:pPr>
            <w:r w:rsidRPr="00A36972">
              <w:rPr>
                <w:rFonts w:asciiTheme="minorHAnsi" w:hAnsiTheme="minorHAnsi" w:cstheme="minorHAnsi"/>
                <w:color w:val="000000"/>
                <w:szCs w:val="22"/>
                <w:lang w:val="en-US"/>
              </w:rPr>
              <w:t>Investigate whether the</w:t>
            </w:r>
          </w:p>
          <w:p w:rsidR="00793FB4" w:rsidRPr="00A36972" w:rsidRDefault="00793FB4" w:rsidP="00793FB4">
            <w:pPr>
              <w:rPr>
                <w:rFonts w:asciiTheme="minorHAnsi" w:hAnsiTheme="minorHAnsi" w:cstheme="minorHAnsi"/>
                <w:color w:val="000000"/>
                <w:szCs w:val="22"/>
                <w:lang w:val="en-US"/>
              </w:rPr>
            </w:pPr>
            <w:r w:rsidRPr="00A36972">
              <w:rPr>
                <w:rFonts w:asciiTheme="minorHAnsi" w:hAnsiTheme="minorHAnsi" w:cstheme="minorHAnsi"/>
                <w:color w:val="000000"/>
                <w:szCs w:val="22"/>
                <w:lang w:val="en-US"/>
              </w:rPr>
              <w:t>market’s increased reliance on non-GAAP Street earnings over time offers a</w:t>
            </w:r>
          </w:p>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color w:val="000000"/>
                <w:szCs w:val="22"/>
                <w:lang w:val="en-US"/>
              </w:rPr>
              <w:t>competing explanation for the increase in the information content of earnings announcements over time</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They conclude that the market’s intensified reaction to Street earnings surprises is the</w:t>
            </w:r>
          </w:p>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dominant factor that explains the over-time increase in the information content of</w:t>
            </w:r>
          </w:p>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earnings announcements for the sample used in the study.</w:t>
            </w:r>
          </w:p>
        </w:tc>
      </w:tr>
    </w:tbl>
    <w:p w:rsidR="00793FB4" w:rsidRPr="00A36972" w:rsidRDefault="00793FB4" w:rsidP="00793FB4">
      <w:pPr>
        <w:pStyle w:val="000"/>
        <w:rPr>
          <w:rFonts w:asciiTheme="minorHAnsi" w:hAnsiTheme="minorHAnsi" w:cstheme="minorHAnsi"/>
          <w:lang w:val="en-US"/>
        </w:rPr>
      </w:pPr>
    </w:p>
    <w:p w:rsidR="007C3F03" w:rsidRPr="00A36972" w:rsidRDefault="007C3F03" w:rsidP="007C3F03">
      <w:pPr>
        <w:pStyle w:val="000"/>
        <w:spacing w:line="360" w:lineRule="auto"/>
        <w:rPr>
          <w:rFonts w:asciiTheme="minorHAnsi" w:hAnsiTheme="minorHAnsi" w:cstheme="minorHAnsi"/>
          <w:lang w:val="en-US"/>
        </w:rPr>
      </w:pPr>
    </w:p>
    <w:p w:rsidR="007C3F03" w:rsidRPr="00A36972" w:rsidRDefault="007C3F03" w:rsidP="007C3F03">
      <w:pPr>
        <w:pStyle w:val="000"/>
        <w:spacing w:line="360" w:lineRule="auto"/>
        <w:rPr>
          <w:rFonts w:asciiTheme="minorHAnsi" w:hAnsiTheme="minorHAnsi" w:cstheme="minorHAnsi"/>
          <w:b/>
          <w:lang w:val="en-US"/>
        </w:rPr>
      </w:pPr>
    </w:p>
    <w:p w:rsidR="00793FB4" w:rsidRPr="00A36972" w:rsidRDefault="00793FB4" w:rsidP="007C3F03">
      <w:pPr>
        <w:pStyle w:val="000"/>
        <w:spacing w:line="360" w:lineRule="auto"/>
        <w:rPr>
          <w:rFonts w:asciiTheme="minorHAnsi" w:hAnsiTheme="minorHAnsi" w:cstheme="minorHAnsi"/>
          <w:b/>
          <w:lang w:val="en-US"/>
        </w:rPr>
      </w:pPr>
    </w:p>
    <w:p w:rsidR="00793FB4" w:rsidRPr="00A36972" w:rsidRDefault="00793FB4" w:rsidP="00793FB4">
      <w:pPr>
        <w:pStyle w:val="Tabletitle"/>
        <w:rPr>
          <w:rFonts w:asciiTheme="minorHAnsi" w:hAnsiTheme="minorHAnsi" w:cstheme="minorHAnsi"/>
          <w:lang w:val="en-US"/>
        </w:rPr>
      </w:pPr>
      <w:r w:rsidRPr="00A36972">
        <w:rPr>
          <w:rFonts w:asciiTheme="minorHAnsi" w:hAnsiTheme="minorHAnsi" w:cstheme="minorHAnsi"/>
          <w:lang w:val="en-US"/>
        </w:rPr>
        <w:lastRenderedPageBreak/>
        <w:t>Summary of literature related to intra-industry information transfers</w:t>
      </w:r>
    </w:p>
    <w:p w:rsidR="00793FB4" w:rsidRPr="00A36972" w:rsidRDefault="00793FB4" w:rsidP="00793FB4">
      <w:pPr>
        <w:pStyle w:val="Tabletext"/>
        <w:rPr>
          <w:rFonts w:asciiTheme="minorHAnsi" w:hAnsiTheme="minorHAnsi" w:cstheme="minorHAnsi"/>
          <w:lang w:val="en-US"/>
        </w:rPr>
      </w:pPr>
    </w:p>
    <w:tbl>
      <w:tblPr>
        <w:tblStyle w:val="Tabelraster"/>
        <w:tblW w:w="5374"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2744"/>
        <w:gridCol w:w="2744"/>
        <w:gridCol w:w="2743"/>
        <w:gridCol w:w="2743"/>
        <w:gridCol w:w="2743"/>
      </w:tblGrid>
      <w:tr w:rsidR="00793FB4" w:rsidRPr="00A36972" w:rsidTr="00793FB4">
        <w:trPr>
          <w:trHeight w:val="154"/>
        </w:trPr>
        <w:tc>
          <w:tcPr>
            <w:tcW w:w="1000" w:type="pct"/>
            <w:shd w:val="clear" w:color="auto" w:fill="999999"/>
          </w:tcPr>
          <w:p w:rsidR="00793FB4" w:rsidRPr="00A36972" w:rsidRDefault="00793FB4" w:rsidP="00793FB4">
            <w:pPr>
              <w:pStyle w:val="Tableheading1"/>
              <w:rPr>
                <w:rFonts w:asciiTheme="minorHAnsi" w:hAnsiTheme="minorHAnsi" w:cstheme="minorHAnsi"/>
                <w:lang w:val="en-US"/>
              </w:rPr>
            </w:pPr>
            <w:r w:rsidRPr="00A36972">
              <w:rPr>
                <w:rFonts w:asciiTheme="minorHAnsi" w:hAnsiTheme="minorHAnsi" w:cstheme="minorHAnsi"/>
                <w:lang w:val="en-US"/>
              </w:rPr>
              <w:t>Author(s)</w:t>
            </w:r>
          </w:p>
        </w:tc>
        <w:tc>
          <w:tcPr>
            <w:tcW w:w="1000" w:type="pct"/>
            <w:shd w:val="clear" w:color="auto" w:fill="999999"/>
          </w:tcPr>
          <w:p w:rsidR="00793FB4" w:rsidRPr="00A36972" w:rsidRDefault="00793FB4" w:rsidP="00793FB4">
            <w:pPr>
              <w:pStyle w:val="Tableheading1"/>
              <w:rPr>
                <w:rFonts w:asciiTheme="minorHAnsi" w:hAnsiTheme="minorHAnsi" w:cstheme="minorHAnsi"/>
                <w:lang w:val="en-US"/>
              </w:rPr>
            </w:pPr>
            <w:r w:rsidRPr="00A36972">
              <w:rPr>
                <w:rFonts w:asciiTheme="minorHAnsi" w:hAnsiTheme="minorHAnsi" w:cstheme="minorHAnsi"/>
                <w:lang w:val="en-US"/>
              </w:rPr>
              <w:t>Object of the study</w:t>
            </w:r>
          </w:p>
        </w:tc>
        <w:tc>
          <w:tcPr>
            <w:tcW w:w="1000" w:type="pct"/>
            <w:shd w:val="clear" w:color="auto" w:fill="999999"/>
          </w:tcPr>
          <w:p w:rsidR="00793FB4" w:rsidRPr="00A36972" w:rsidRDefault="00793FB4" w:rsidP="00793FB4">
            <w:pPr>
              <w:pStyle w:val="Tableheading1"/>
              <w:rPr>
                <w:rFonts w:asciiTheme="minorHAnsi" w:hAnsiTheme="minorHAnsi" w:cstheme="minorHAnsi"/>
                <w:lang w:val="en-US"/>
              </w:rPr>
            </w:pPr>
            <w:r w:rsidRPr="00A36972">
              <w:rPr>
                <w:rFonts w:asciiTheme="minorHAnsi" w:hAnsiTheme="minorHAnsi" w:cstheme="minorHAnsi"/>
                <w:lang w:val="en-US"/>
              </w:rPr>
              <w:t>Sample</w:t>
            </w:r>
          </w:p>
        </w:tc>
        <w:tc>
          <w:tcPr>
            <w:tcW w:w="1000" w:type="pct"/>
            <w:shd w:val="clear" w:color="auto" w:fill="999999"/>
          </w:tcPr>
          <w:p w:rsidR="00793FB4" w:rsidRPr="00A36972" w:rsidRDefault="00793FB4" w:rsidP="00793FB4">
            <w:pPr>
              <w:pStyle w:val="Tableheading1"/>
              <w:rPr>
                <w:rFonts w:asciiTheme="minorHAnsi" w:hAnsiTheme="minorHAnsi" w:cstheme="minorHAnsi"/>
                <w:lang w:val="en-US"/>
              </w:rPr>
            </w:pPr>
            <w:r w:rsidRPr="00A36972">
              <w:rPr>
                <w:rFonts w:asciiTheme="minorHAnsi" w:hAnsiTheme="minorHAnsi" w:cstheme="minorHAnsi"/>
                <w:lang w:val="en-US"/>
              </w:rPr>
              <w:t>Methodology</w:t>
            </w:r>
          </w:p>
        </w:tc>
        <w:tc>
          <w:tcPr>
            <w:tcW w:w="1000" w:type="pct"/>
            <w:shd w:val="clear" w:color="auto" w:fill="999999"/>
          </w:tcPr>
          <w:p w:rsidR="00793FB4" w:rsidRPr="00A36972" w:rsidRDefault="00793FB4" w:rsidP="00793FB4">
            <w:pPr>
              <w:pStyle w:val="Tableheading1"/>
              <w:rPr>
                <w:rFonts w:asciiTheme="minorHAnsi" w:hAnsiTheme="minorHAnsi" w:cstheme="minorHAnsi"/>
                <w:lang w:val="en-US"/>
              </w:rPr>
            </w:pPr>
            <w:r w:rsidRPr="00A36972">
              <w:rPr>
                <w:rFonts w:asciiTheme="minorHAnsi" w:hAnsiTheme="minorHAnsi" w:cstheme="minorHAnsi"/>
                <w:lang w:val="en-US"/>
              </w:rPr>
              <w:t>Outcome</w:t>
            </w:r>
          </w:p>
        </w:tc>
      </w:tr>
      <w:tr w:rsidR="00793FB4" w:rsidRPr="00186C61" w:rsidTr="00D330A0">
        <w:trPr>
          <w:trHeight w:val="2821"/>
        </w:trPr>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Foster (1981)</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Intra-industry information transfers associated with earnings releases.</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Sample size: 75 firms in 10 SIC industries with announcement dates from 1963 till 1978</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 xml:space="preserve">Analysis of the reaction of firm </w:t>
            </w:r>
            <w:r w:rsidRPr="00A36972">
              <w:rPr>
                <w:rFonts w:asciiTheme="minorHAnsi" w:hAnsiTheme="minorHAnsi" w:cstheme="minorHAnsi"/>
                <w:i/>
                <w:szCs w:val="22"/>
                <w:lang w:val="en-US"/>
              </w:rPr>
              <w:t>i</w:t>
            </w:r>
            <w:r w:rsidRPr="00A36972">
              <w:rPr>
                <w:rFonts w:asciiTheme="minorHAnsi" w:hAnsiTheme="minorHAnsi" w:cstheme="minorHAnsi"/>
                <w:szCs w:val="22"/>
                <w:lang w:val="en-US"/>
              </w:rPr>
              <w:t>’s</w:t>
            </w:r>
            <w:r w:rsidRPr="00A36972">
              <w:rPr>
                <w:rFonts w:asciiTheme="minorHAnsi" w:hAnsiTheme="minorHAnsi" w:cstheme="minorHAnsi"/>
                <w:i/>
                <w:szCs w:val="22"/>
                <w:lang w:val="en-US"/>
              </w:rPr>
              <w:t xml:space="preserve"> </w:t>
            </w:r>
            <w:r w:rsidRPr="00A36972">
              <w:rPr>
                <w:rFonts w:asciiTheme="minorHAnsi" w:hAnsiTheme="minorHAnsi" w:cstheme="minorHAnsi"/>
                <w:szCs w:val="22"/>
                <w:lang w:val="en-US"/>
              </w:rPr>
              <w:t xml:space="preserve">stock price on the earnings announcement of firm </w:t>
            </w:r>
            <w:r w:rsidRPr="00A36972">
              <w:rPr>
                <w:rFonts w:asciiTheme="minorHAnsi" w:hAnsiTheme="minorHAnsi" w:cstheme="minorHAnsi"/>
                <w:i/>
                <w:szCs w:val="22"/>
                <w:lang w:val="en-US"/>
              </w:rPr>
              <w:t>j.</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The direction and magnitude of the impact of a firm’s earnings release on its own stock price is a determinant of both the direction and magnitude of the impact of that release on the stock prices of other firms in that industry.</w:t>
            </w:r>
          </w:p>
        </w:tc>
      </w:tr>
      <w:tr w:rsidR="00793FB4" w:rsidRPr="00186C61" w:rsidTr="00793FB4">
        <w:trPr>
          <w:trHeight w:val="1544"/>
        </w:trPr>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Freeman and Tse (1992)</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Reaction of late announcers’ prices on early announcements.</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Sample size: 10277 quarter observations. During 1979-1988</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Analysis of industry and firm news on stock returns.</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Late announcers’ prices reacts best on first announcement. Information transfer is primarily positive.</w:t>
            </w:r>
          </w:p>
        </w:tc>
      </w:tr>
      <w:tr w:rsidR="00793FB4" w:rsidRPr="00186C61" w:rsidTr="00793FB4">
        <w:trPr>
          <w:trHeight w:val="1540"/>
        </w:trPr>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Thomas and Zhang (2008)</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The reaction of stock prices on intra-industry information transfers.</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Sample size: 245742 quarter observations. During 1973-2005</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Analysis of stock price reactions on different announcements.</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Stock price tend to overreact at first and is corrected by the firm’s own earnings announcement</w:t>
            </w:r>
          </w:p>
        </w:tc>
      </w:tr>
      <w:tr w:rsidR="00793FB4" w:rsidRPr="00186C61" w:rsidTr="00D330A0">
        <w:trPr>
          <w:trHeight w:val="2550"/>
        </w:trPr>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Ramnath (2002)</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Investor and analyst reactions to earnings announcements of related firms.</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Sample size: 428 firms in 48 analyst based industry groups. 11 quarter observations from the first quarter of 1995 till the third of 1997.</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Predicting the error in subsequent announcer’s forecasts.</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The forecast error of the first announcing firm provides information about the error in the simultaneous earnings forecasts of other firms in the same industry, which still have to report their earnings.</w:t>
            </w:r>
          </w:p>
        </w:tc>
      </w:tr>
      <w:tr w:rsidR="00793FB4" w:rsidRPr="00186C61" w:rsidTr="00D330A0">
        <w:trPr>
          <w:trHeight w:val="2681"/>
        </w:trPr>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lastRenderedPageBreak/>
              <w:t xml:space="preserve">Baginski (1987) </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Intra-industry information transfer associated with management forecasts of earnings.</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Sample size: 57 firms’ management forecasts  divided over the sample period 1978-1983.</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szCs w:val="22"/>
                <w:lang w:val="en-US"/>
              </w:rPr>
              <w:t>Sign and magnitude tests to prove the existence of an information transfer effect for management forecasts of earnings.</w:t>
            </w:r>
          </w:p>
        </w:tc>
        <w:tc>
          <w:tcPr>
            <w:tcW w:w="1000" w:type="pct"/>
          </w:tcPr>
          <w:p w:rsidR="00793FB4" w:rsidRPr="00A36972" w:rsidRDefault="00793FB4" w:rsidP="00793FB4">
            <w:pPr>
              <w:rPr>
                <w:rFonts w:asciiTheme="minorHAnsi" w:hAnsiTheme="minorHAnsi" w:cstheme="minorHAnsi"/>
                <w:szCs w:val="22"/>
                <w:lang w:val="en-US"/>
              </w:rPr>
            </w:pPr>
            <w:r w:rsidRPr="00A36972">
              <w:rPr>
                <w:rFonts w:asciiTheme="minorHAnsi" w:hAnsiTheme="minorHAnsi" w:cstheme="minorHAnsi"/>
                <w:bCs/>
                <w:szCs w:val="22"/>
                <w:lang w:val="en-US"/>
              </w:rPr>
              <w:t xml:space="preserve">Share price of non forecasting firms are positively associated with the change in earnings expectations conveyed by a management forecast of earnings in terms of both sign and magnitude. </w:t>
            </w:r>
          </w:p>
        </w:tc>
      </w:tr>
    </w:tbl>
    <w:p w:rsidR="00793FB4" w:rsidRPr="00A36972" w:rsidRDefault="00793FB4" w:rsidP="00793FB4">
      <w:pPr>
        <w:pStyle w:val="000"/>
        <w:rPr>
          <w:rFonts w:asciiTheme="minorHAnsi" w:hAnsiTheme="minorHAnsi" w:cstheme="minorHAnsi"/>
          <w:lang w:val="en-US"/>
        </w:rPr>
      </w:pPr>
    </w:p>
    <w:p w:rsidR="00793FB4" w:rsidRPr="00A36972" w:rsidRDefault="00793FB4" w:rsidP="007C3F03">
      <w:pPr>
        <w:pStyle w:val="000"/>
        <w:spacing w:line="360" w:lineRule="auto"/>
        <w:rPr>
          <w:rFonts w:asciiTheme="minorHAnsi" w:hAnsiTheme="minorHAnsi" w:cstheme="minorHAnsi"/>
          <w:b/>
          <w:lang w:val="en-US"/>
        </w:rPr>
      </w:pPr>
    </w:p>
    <w:p w:rsidR="00D330A0" w:rsidRPr="00A36972" w:rsidRDefault="00D330A0" w:rsidP="00D330A0">
      <w:pPr>
        <w:pStyle w:val="Tabletitle"/>
        <w:rPr>
          <w:rFonts w:asciiTheme="minorHAnsi" w:hAnsiTheme="minorHAnsi" w:cstheme="minorHAnsi"/>
          <w:lang w:val="en-US"/>
        </w:rPr>
      </w:pPr>
      <w:r w:rsidRPr="00A36972">
        <w:rPr>
          <w:rFonts w:asciiTheme="minorHAnsi" w:hAnsiTheme="minorHAnsi" w:cstheme="minorHAnsi"/>
          <w:lang w:val="en-US"/>
        </w:rPr>
        <w:t>Summary of literature related to IFRS</w:t>
      </w:r>
    </w:p>
    <w:p w:rsidR="00D330A0" w:rsidRPr="00A36972" w:rsidRDefault="00D330A0" w:rsidP="00D330A0">
      <w:pPr>
        <w:pStyle w:val="Tabletext"/>
        <w:rPr>
          <w:rFonts w:asciiTheme="minorHAnsi" w:hAnsiTheme="minorHAnsi" w:cstheme="minorHAnsi"/>
          <w:lang w:val="en-US"/>
        </w:rPr>
      </w:pPr>
    </w:p>
    <w:tbl>
      <w:tblPr>
        <w:tblStyle w:val="Tabelraster"/>
        <w:tblW w:w="5374"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tblPr>
      <w:tblGrid>
        <w:gridCol w:w="2744"/>
        <w:gridCol w:w="2744"/>
        <w:gridCol w:w="2743"/>
        <w:gridCol w:w="2743"/>
        <w:gridCol w:w="2743"/>
      </w:tblGrid>
      <w:tr w:rsidR="00D330A0" w:rsidRPr="00A36972" w:rsidTr="00D330A0">
        <w:trPr>
          <w:trHeight w:val="154"/>
        </w:trPr>
        <w:tc>
          <w:tcPr>
            <w:tcW w:w="1000" w:type="pct"/>
            <w:shd w:val="clear" w:color="auto" w:fill="999999"/>
          </w:tcPr>
          <w:p w:rsidR="00D330A0" w:rsidRPr="00A36972" w:rsidRDefault="00D330A0" w:rsidP="00F853A8">
            <w:pPr>
              <w:pStyle w:val="Tableheading1"/>
              <w:rPr>
                <w:rFonts w:asciiTheme="minorHAnsi" w:hAnsiTheme="minorHAnsi" w:cstheme="minorHAnsi"/>
                <w:lang w:val="en-US"/>
              </w:rPr>
            </w:pPr>
            <w:r w:rsidRPr="00A36972">
              <w:rPr>
                <w:rFonts w:asciiTheme="minorHAnsi" w:hAnsiTheme="minorHAnsi" w:cstheme="minorHAnsi"/>
                <w:lang w:val="en-US"/>
              </w:rPr>
              <w:t>Author(s)</w:t>
            </w:r>
          </w:p>
        </w:tc>
        <w:tc>
          <w:tcPr>
            <w:tcW w:w="1000" w:type="pct"/>
            <w:shd w:val="clear" w:color="auto" w:fill="999999"/>
          </w:tcPr>
          <w:p w:rsidR="00D330A0" w:rsidRPr="00A36972" w:rsidRDefault="00D330A0" w:rsidP="00F853A8">
            <w:pPr>
              <w:pStyle w:val="Tableheading1"/>
              <w:rPr>
                <w:rFonts w:asciiTheme="minorHAnsi" w:hAnsiTheme="minorHAnsi" w:cstheme="minorHAnsi"/>
                <w:lang w:val="en-US"/>
              </w:rPr>
            </w:pPr>
            <w:r w:rsidRPr="00A36972">
              <w:rPr>
                <w:rFonts w:asciiTheme="minorHAnsi" w:hAnsiTheme="minorHAnsi" w:cstheme="minorHAnsi"/>
                <w:lang w:val="en-US"/>
              </w:rPr>
              <w:t>Object of the study</w:t>
            </w:r>
          </w:p>
        </w:tc>
        <w:tc>
          <w:tcPr>
            <w:tcW w:w="1000" w:type="pct"/>
            <w:shd w:val="clear" w:color="auto" w:fill="999999"/>
          </w:tcPr>
          <w:p w:rsidR="00D330A0" w:rsidRPr="00A36972" w:rsidRDefault="00D330A0" w:rsidP="00F853A8">
            <w:pPr>
              <w:pStyle w:val="Tableheading1"/>
              <w:rPr>
                <w:rFonts w:asciiTheme="minorHAnsi" w:hAnsiTheme="minorHAnsi" w:cstheme="minorHAnsi"/>
                <w:lang w:val="en-US"/>
              </w:rPr>
            </w:pPr>
            <w:r w:rsidRPr="00A36972">
              <w:rPr>
                <w:rFonts w:asciiTheme="minorHAnsi" w:hAnsiTheme="minorHAnsi" w:cstheme="minorHAnsi"/>
                <w:lang w:val="en-US"/>
              </w:rPr>
              <w:t>Sample</w:t>
            </w:r>
          </w:p>
        </w:tc>
        <w:tc>
          <w:tcPr>
            <w:tcW w:w="1000" w:type="pct"/>
            <w:shd w:val="clear" w:color="auto" w:fill="999999"/>
          </w:tcPr>
          <w:p w:rsidR="00D330A0" w:rsidRPr="00A36972" w:rsidRDefault="00D330A0" w:rsidP="00F853A8">
            <w:pPr>
              <w:pStyle w:val="Tableheading1"/>
              <w:rPr>
                <w:rFonts w:asciiTheme="minorHAnsi" w:hAnsiTheme="minorHAnsi" w:cstheme="minorHAnsi"/>
                <w:lang w:val="en-US"/>
              </w:rPr>
            </w:pPr>
            <w:r w:rsidRPr="00A36972">
              <w:rPr>
                <w:rFonts w:asciiTheme="minorHAnsi" w:hAnsiTheme="minorHAnsi" w:cstheme="minorHAnsi"/>
                <w:lang w:val="en-US"/>
              </w:rPr>
              <w:t>Methodology</w:t>
            </w:r>
          </w:p>
        </w:tc>
        <w:tc>
          <w:tcPr>
            <w:tcW w:w="1000" w:type="pct"/>
            <w:shd w:val="clear" w:color="auto" w:fill="999999"/>
          </w:tcPr>
          <w:p w:rsidR="00D330A0" w:rsidRPr="00A36972" w:rsidRDefault="00D330A0" w:rsidP="00F853A8">
            <w:pPr>
              <w:pStyle w:val="Tableheading1"/>
              <w:rPr>
                <w:rFonts w:asciiTheme="minorHAnsi" w:hAnsiTheme="minorHAnsi" w:cstheme="minorHAnsi"/>
                <w:lang w:val="en-US"/>
              </w:rPr>
            </w:pPr>
            <w:r w:rsidRPr="00A36972">
              <w:rPr>
                <w:rFonts w:asciiTheme="minorHAnsi" w:hAnsiTheme="minorHAnsi" w:cstheme="minorHAnsi"/>
                <w:lang w:val="en-US"/>
              </w:rPr>
              <w:t>Outcome</w:t>
            </w:r>
          </w:p>
        </w:tc>
      </w:tr>
      <w:tr w:rsidR="00D330A0" w:rsidRPr="00186C61" w:rsidTr="00D330A0">
        <w:trPr>
          <w:trHeight w:val="2630"/>
        </w:trPr>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Ball (2006)</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IFRS: Pro’s and Con’s for investors</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Sample size: -</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The advantages and disadvantages of the implementation of IFRS for investors are described to provide an overview of the impact mandatory IFRS adoption has.</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If the advantages and disadvantages are weighted out against each other, he concludes that the notion that uniform standards alone will produce uniform financial reporting seems naïve.</w:t>
            </w:r>
          </w:p>
        </w:tc>
      </w:tr>
      <w:tr w:rsidR="00D330A0" w:rsidRPr="00186C61" w:rsidTr="00D330A0">
        <w:trPr>
          <w:trHeight w:val="1689"/>
        </w:trPr>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Söderstrom and Sun (2007)</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IFRS adoption and accounting quality: A review</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Sample size:  -</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Provide</w:t>
            </w:r>
          </w:p>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background and guidance for researchers studying the change in accounting quality following</w:t>
            </w:r>
          </w:p>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widespread IFRS adoption in the EU.</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Argue that cross-country differences in accounting</w:t>
            </w:r>
          </w:p>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quality are likely to remain following IFRS adoption because accounting quality is a function</w:t>
            </w:r>
          </w:p>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 xml:space="preserve">of the firm’s overall institutional setting, including </w:t>
            </w:r>
            <w:r w:rsidRPr="00A36972">
              <w:rPr>
                <w:rFonts w:asciiTheme="minorHAnsi" w:hAnsiTheme="minorHAnsi" w:cstheme="minorHAnsi"/>
                <w:szCs w:val="22"/>
                <w:lang w:val="en-US"/>
              </w:rPr>
              <w:lastRenderedPageBreak/>
              <w:t>the legal and political system of the country</w:t>
            </w:r>
          </w:p>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in which the firm resides.</w:t>
            </w:r>
          </w:p>
        </w:tc>
      </w:tr>
      <w:tr w:rsidR="00D330A0" w:rsidRPr="00186C61" w:rsidTr="00D330A0">
        <w:trPr>
          <w:trHeight w:val="3257"/>
        </w:trPr>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lastRenderedPageBreak/>
              <w:t>Landsman, Maydew and Thornock (2011)</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The information content of annual earnings announcements and mandatory adoption of IFRS.</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Sample size: The final sample comprises 21703 firm- year earnings announcements for 6067 unique firms across 27 countries.</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 xml:space="preserve">Comparison of information content of IFRS and non-IFRS firms in the pre- and post-adoption periods on country level as well as on firm level. </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Findings from country-level and firm-level estimations indicate that firms in IFRS adopting countries experienced a greater increase in abnormal return volatility and abnormal trading volume than firms from non-IFRS adopting countries.</w:t>
            </w:r>
          </w:p>
        </w:tc>
      </w:tr>
      <w:tr w:rsidR="00D330A0" w:rsidRPr="00A36972" w:rsidTr="00D330A0">
        <w:trPr>
          <w:trHeight w:val="3531"/>
        </w:trPr>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Kim and Li (2010)</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bCs/>
                <w:szCs w:val="22"/>
                <w:lang w:val="en-US"/>
              </w:rPr>
              <w:t>Mandatory IFRS adoption and intra-industry information transfers.</w:t>
            </w:r>
          </w:p>
        </w:tc>
        <w:tc>
          <w:tcPr>
            <w:tcW w:w="1000" w:type="pct"/>
          </w:tcPr>
          <w:p w:rsidR="00D330A0" w:rsidRPr="00A36972" w:rsidRDefault="00D330A0" w:rsidP="00F853A8">
            <w:pPr>
              <w:rPr>
                <w:rFonts w:asciiTheme="minorHAnsi" w:hAnsiTheme="minorHAnsi" w:cstheme="minorHAnsi"/>
                <w:lang w:val="en-US"/>
              </w:rPr>
            </w:pPr>
            <w:r w:rsidRPr="00A36972">
              <w:rPr>
                <w:rFonts w:asciiTheme="minorHAnsi" w:hAnsiTheme="minorHAnsi" w:cstheme="minorHAnsi"/>
                <w:szCs w:val="22"/>
                <w:lang w:val="en-US"/>
              </w:rPr>
              <w:t>Sample size: 31,785 firm-year observations from 33 countries that mandate IFRS adoption in 2005 and from 17 countries that retain their local accounting standards over the1999 to 2007 period.</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Examine the impact of widespread mandatory IFRS adoption in 2005</w:t>
            </w:r>
          </w:p>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on intra-industry information transfers from earnings announcements.</w:t>
            </w:r>
          </w:p>
        </w:tc>
        <w:tc>
          <w:tcPr>
            <w:tcW w:w="1000" w:type="pct"/>
          </w:tcPr>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Results suggest that after</w:t>
            </w:r>
          </w:p>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switching to IFRS, investors are more likely to use earnings information of industry peers for</w:t>
            </w:r>
          </w:p>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share valuation, and that both improved reporting quality and information comparability help</w:t>
            </w:r>
          </w:p>
          <w:p w:rsidR="00D330A0" w:rsidRPr="00A36972" w:rsidRDefault="00D330A0" w:rsidP="00F853A8">
            <w:pPr>
              <w:rPr>
                <w:rFonts w:asciiTheme="minorHAnsi" w:hAnsiTheme="minorHAnsi" w:cstheme="minorHAnsi"/>
                <w:szCs w:val="22"/>
                <w:lang w:val="en-US"/>
              </w:rPr>
            </w:pPr>
            <w:r w:rsidRPr="00A36972">
              <w:rPr>
                <w:rFonts w:asciiTheme="minorHAnsi" w:hAnsiTheme="minorHAnsi" w:cstheme="minorHAnsi"/>
                <w:szCs w:val="22"/>
                <w:lang w:val="en-US"/>
              </w:rPr>
              <w:t>explain this pattern.</w:t>
            </w:r>
          </w:p>
        </w:tc>
      </w:tr>
    </w:tbl>
    <w:p w:rsidR="00D330A0" w:rsidRPr="00A36972" w:rsidRDefault="00D330A0" w:rsidP="007C3F03">
      <w:pPr>
        <w:pStyle w:val="000"/>
        <w:spacing w:line="360" w:lineRule="auto"/>
        <w:rPr>
          <w:rFonts w:asciiTheme="minorHAnsi" w:hAnsiTheme="minorHAnsi" w:cstheme="minorHAnsi"/>
          <w:b/>
          <w:lang w:val="en-US"/>
        </w:rPr>
      </w:pPr>
    </w:p>
    <w:p w:rsidR="00B60A22" w:rsidRPr="00A36972" w:rsidRDefault="00B60A22" w:rsidP="007C3F03">
      <w:pPr>
        <w:pStyle w:val="000"/>
        <w:spacing w:line="360" w:lineRule="auto"/>
        <w:rPr>
          <w:rFonts w:asciiTheme="minorHAnsi" w:hAnsiTheme="minorHAnsi" w:cstheme="minorHAnsi"/>
          <w:b/>
          <w:lang w:val="en-US"/>
        </w:rPr>
      </w:pPr>
    </w:p>
    <w:p w:rsidR="00B60A22" w:rsidRPr="00A36972" w:rsidRDefault="00B60A22" w:rsidP="007C3F03">
      <w:pPr>
        <w:pStyle w:val="000"/>
        <w:spacing w:line="360" w:lineRule="auto"/>
        <w:rPr>
          <w:rFonts w:asciiTheme="minorHAnsi" w:hAnsiTheme="minorHAnsi" w:cstheme="minorHAnsi"/>
          <w:b/>
          <w:lang w:val="en-US"/>
        </w:rPr>
        <w:sectPr w:rsidR="00B60A22" w:rsidRPr="00A36972" w:rsidSect="006F7A18">
          <w:pgSz w:w="16838" w:h="11906" w:orient="landscape"/>
          <w:pgMar w:top="1247" w:right="2478" w:bottom="1247" w:left="1814" w:header="941" w:footer="720" w:gutter="0"/>
          <w:pgNumType w:start="55"/>
          <w:cols w:space="708"/>
          <w:titlePg/>
          <w:docGrid w:linePitch="360"/>
        </w:sectPr>
      </w:pPr>
    </w:p>
    <w:p w:rsidR="00B60A22" w:rsidRPr="00A36972" w:rsidRDefault="00B60A22" w:rsidP="00B60A22">
      <w:pPr>
        <w:pStyle w:val="Tabletitle"/>
        <w:rPr>
          <w:rFonts w:asciiTheme="minorHAnsi" w:hAnsiTheme="minorHAnsi" w:cstheme="minorHAnsi"/>
          <w:lang w:val="en-US"/>
        </w:rPr>
      </w:pPr>
      <w:r w:rsidRPr="00A36972">
        <w:rPr>
          <w:rFonts w:asciiTheme="minorHAnsi" w:hAnsiTheme="minorHAnsi" w:cstheme="minorHAnsi"/>
          <w:lang w:val="en-US"/>
        </w:rPr>
        <w:lastRenderedPageBreak/>
        <w:t>Kolmogorov-Smirnov test results for non-announcing firms in the Pre-IFRS period.</w:t>
      </w:r>
    </w:p>
    <w:p w:rsidR="00B60A22" w:rsidRPr="00A36972" w:rsidRDefault="00B60A22" w:rsidP="00B60A22">
      <w:pPr>
        <w:spacing w:line="400" w:lineRule="atLeast"/>
        <w:rPr>
          <w:rFonts w:asciiTheme="minorHAnsi" w:hAnsiTheme="minorHAnsi" w:cstheme="minorHAnsi"/>
          <w:b/>
          <w:szCs w:val="22"/>
          <w:lang w:val="en-US"/>
        </w:rPr>
      </w:pPr>
    </w:p>
    <w:p w:rsidR="00B60A22" w:rsidRPr="00A36972" w:rsidRDefault="00B60A22" w:rsidP="00B60A22">
      <w:pPr>
        <w:spacing w:line="400" w:lineRule="atLeast"/>
        <w:rPr>
          <w:rFonts w:asciiTheme="minorHAnsi" w:hAnsiTheme="minorHAnsi" w:cstheme="minorHAnsi"/>
          <w:b/>
          <w:szCs w:val="22"/>
          <w:lang w:val="en-US"/>
        </w:rPr>
      </w:pPr>
      <w:r w:rsidRPr="00A36972">
        <w:rPr>
          <w:rFonts w:asciiTheme="minorHAnsi" w:hAnsiTheme="minorHAnsi" w:cstheme="minorHAnsi"/>
          <w:b/>
          <w:szCs w:val="22"/>
          <w:lang w:val="en-US"/>
        </w:rPr>
        <w:t>Group: A</w:t>
      </w:r>
    </w:p>
    <w:tbl>
      <w:tblPr>
        <w:tblW w:w="7228" w:type="dxa"/>
        <w:tblInd w:w="10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5"/>
        <w:gridCol w:w="1010"/>
        <w:gridCol w:w="1009"/>
        <w:gridCol w:w="1011"/>
        <w:gridCol w:w="1011"/>
        <w:gridCol w:w="1011"/>
        <w:gridCol w:w="1011"/>
      </w:tblGrid>
      <w:tr w:rsidR="00B60A22" w:rsidRPr="00A36972" w:rsidTr="00B60A22">
        <w:trPr>
          <w:cantSplit/>
          <w:tblHeader/>
        </w:trPr>
        <w:tc>
          <w:tcPr>
            <w:tcW w:w="7228" w:type="dxa"/>
            <w:gridSpan w:val="7"/>
            <w:tcBorders>
              <w:top w:val="nil"/>
              <w:left w:val="nil"/>
              <w:bottom w:val="nil"/>
              <w:right w:val="nil"/>
            </w:tcBorders>
            <w:shd w:val="clear" w:color="auto" w:fill="FFFFFF"/>
            <w:vAlign w:val="center"/>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b/>
                <w:bCs/>
                <w:sz w:val="18"/>
                <w:szCs w:val="18"/>
                <w:lang w:val="en-US"/>
              </w:rPr>
              <w:t>Tests of Normality</w:t>
            </w:r>
          </w:p>
        </w:tc>
      </w:tr>
      <w:tr w:rsidR="00B60A22" w:rsidRPr="00A36972" w:rsidTr="00B60A22">
        <w:trPr>
          <w:cantSplit/>
          <w:tblHeader/>
        </w:trPr>
        <w:tc>
          <w:tcPr>
            <w:tcW w:w="116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B60A22" w:rsidRPr="00A36972" w:rsidRDefault="00B60A22" w:rsidP="00B60A22">
            <w:pPr>
              <w:jc w:val="center"/>
              <w:rPr>
                <w:rFonts w:asciiTheme="minorHAnsi" w:hAnsiTheme="minorHAnsi" w:cstheme="minorHAnsi"/>
                <w:sz w:val="24"/>
                <w:szCs w:val="24"/>
                <w:lang w:val="en-US"/>
              </w:rPr>
            </w:pPr>
          </w:p>
        </w:tc>
        <w:tc>
          <w:tcPr>
            <w:tcW w:w="3030" w:type="dxa"/>
            <w:gridSpan w:val="3"/>
            <w:tcBorders>
              <w:top w:val="single" w:sz="16" w:space="0" w:color="000000"/>
              <w:left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Kolmogorov-Smirnov</w:t>
            </w:r>
            <w:r w:rsidRPr="00A36972">
              <w:rPr>
                <w:rFonts w:asciiTheme="minorHAnsi" w:hAnsiTheme="minorHAnsi" w:cstheme="minorHAnsi"/>
                <w:sz w:val="18"/>
                <w:szCs w:val="18"/>
                <w:vertAlign w:val="superscript"/>
                <w:lang w:val="en-US"/>
              </w:rPr>
              <w:t>a</w:t>
            </w:r>
          </w:p>
        </w:tc>
        <w:tc>
          <w:tcPr>
            <w:tcW w:w="3033" w:type="dxa"/>
            <w:gridSpan w:val="3"/>
            <w:tcBorders>
              <w:top w:val="single" w:sz="16" w:space="0" w:color="000000"/>
              <w:right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Shapiro-Wilk</w:t>
            </w:r>
          </w:p>
        </w:tc>
      </w:tr>
      <w:tr w:rsidR="00B60A22" w:rsidRPr="00A36972" w:rsidTr="00B60A22">
        <w:trPr>
          <w:cantSplit/>
          <w:tblHeader/>
        </w:trPr>
        <w:tc>
          <w:tcPr>
            <w:tcW w:w="1165"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B60A22" w:rsidRPr="00A36972" w:rsidRDefault="00B60A22" w:rsidP="00B60A22">
            <w:pPr>
              <w:rPr>
                <w:rFonts w:asciiTheme="minorHAnsi" w:hAnsiTheme="minorHAnsi" w:cstheme="minorHAnsi"/>
                <w:sz w:val="18"/>
                <w:szCs w:val="18"/>
                <w:lang w:val="en-US"/>
              </w:rPr>
            </w:pPr>
          </w:p>
        </w:tc>
        <w:tc>
          <w:tcPr>
            <w:tcW w:w="1010" w:type="dxa"/>
            <w:tcBorders>
              <w:left w:val="single" w:sz="16" w:space="0" w:color="000000"/>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09"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c>
          <w:tcPr>
            <w:tcW w:w="1011"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11"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right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r>
      <w:tr w:rsidR="00B60A22" w:rsidRPr="00A36972" w:rsidTr="00B60A22">
        <w:trPr>
          <w:cantSplit/>
          <w:tblHeader/>
        </w:trPr>
        <w:tc>
          <w:tcPr>
            <w:tcW w:w="1165" w:type="dxa"/>
            <w:tcBorders>
              <w:top w:val="single" w:sz="16" w:space="0" w:color="000000"/>
              <w:left w:val="single" w:sz="16" w:space="0" w:color="000000"/>
              <w:bottom w:val="single" w:sz="16" w:space="0" w:color="000000"/>
              <w:right w:val="single" w:sz="16" w:space="0" w:color="000000"/>
            </w:tcBorders>
            <w:shd w:val="clear" w:color="auto" w:fill="FFFFFF"/>
          </w:tcPr>
          <w:p w:rsidR="00B60A22" w:rsidRPr="00A36972" w:rsidRDefault="00B60A22" w:rsidP="00B60A22">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Group A:</w:t>
            </w:r>
          </w:p>
        </w:tc>
        <w:tc>
          <w:tcPr>
            <w:tcW w:w="1010" w:type="dxa"/>
            <w:tcBorders>
              <w:top w:val="single" w:sz="16" w:space="0" w:color="000000"/>
              <w:left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,246</w:t>
            </w:r>
          </w:p>
        </w:tc>
        <w:tc>
          <w:tcPr>
            <w:tcW w:w="1009"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11</w:t>
            </w:r>
          </w:p>
        </w:tc>
        <w:tc>
          <w:tcPr>
            <w:tcW w:w="1011"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,061</w:t>
            </w:r>
          </w:p>
        </w:tc>
        <w:tc>
          <w:tcPr>
            <w:tcW w:w="1011"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,799</w:t>
            </w:r>
          </w:p>
        </w:tc>
        <w:tc>
          <w:tcPr>
            <w:tcW w:w="1011"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11</w:t>
            </w:r>
          </w:p>
        </w:tc>
        <w:tc>
          <w:tcPr>
            <w:tcW w:w="1011" w:type="dxa"/>
            <w:tcBorders>
              <w:top w:val="single" w:sz="16" w:space="0" w:color="000000"/>
              <w:bottom w:val="single" w:sz="16" w:space="0" w:color="000000"/>
              <w:right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,009</w:t>
            </w:r>
          </w:p>
        </w:tc>
      </w:tr>
      <w:tr w:rsidR="00B60A22" w:rsidRPr="00A36972" w:rsidTr="00B60A22">
        <w:trPr>
          <w:cantSplit/>
        </w:trPr>
        <w:tc>
          <w:tcPr>
            <w:tcW w:w="7228" w:type="dxa"/>
            <w:gridSpan w:val="7"/>
            <w:tcBorders>
              <w:top w:val="nil"/>
              <w:left w:val="nil"/>
              <w:bottom w:val="nil"/>
              <w:right w:val="nil"/>
            </w:tcBorders>
            <w:shd w:val="clear" w:color="auto" w:fill="FFFFFF"/>
          </w:tcPr>
          <w:p w:rsidR="00B60A22" w:rsidRPr="00A36972" w:rsidRDefault="00B60A22" w:rsidP="00B60A22">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 Lilliefors Significance Correction</w:t>
            </w:r>
          </w:p>
        </w:tc>
      </w:tr>
    </w:tbl>
    <w:p w:rsidR="00B60A22" w:rsidRPr="00A36972" w:rsidRDefault="00B60A22" w:rsidP="007C3F03">
      <w:pPr>
        <w:pStyle w:val="000"/>
        <w:spacing w:line="360" w:lineRule="auto"/>
        <w:rPr>
          <w:rFonts w:asciiTheme="minorHAnsi" w:hAnsiTheme="minorHAnsi" w:cstheme="minorHAnsi"/>
          <w:b/>
          <w:lang w:val="en-US"/>
        </w:rPr>
      </w:pPr>
    </w:p>
    <w:p w:rsidR="00B60A22" w:rsidRPr="00A36972" w:rsidRDefault="00B60A22" w:rsidP="007C3F03">
      <w:pPr>
        <w:pStyle w:val="000"/>
        <w:spacing w:line="360" w:lineRule="auto"/>
        <w:rPr>
          <w:rFonts w:asciiTheme="minorHAnsi" w:hAnsiTheme="minorHAnsi" w:cstheme="minorHAnsi"/>
          <w:b/>
          <w:lang w:val="en-US"/>
        </w:rPr>
      </w:pPr>
      <w:r w:rsidRPr="00A36972">
        <w:rPr>
          <w:rFonts w:asciiTheme="minorHAnsi" w:hAnsiTheme="minorHAnsi" w:cstheme="minorHAnsi"/>
          <w:noProof/>
          <w:sz w:val="24"/>
          <w:szCs w:val="24"/>
          <w:lang w:eastAsia="nl-NL"/>
        </w:rPr>
        <w:drawing>
          <wp:inline distT="0" distB="0" distL="0" distR="0">
            <wp:extent cx="5734050" cy="4581525"/>
            <wp:effectExtent l="1905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srcRect/>
                    <a:stretch>
                      <a:fillRect/>
                    </a:stretch>
                  </pic:blipFill>
                  <pic:spPr bwMode="auto">
                    <a:xfrm>
                      <a:off x="0" y="0"/>
                      <a:ext cx="5734050" cy="4581525"/>
                    </a:xfrm>
                    <a:prstGeom prst="rect">
                      <a:avLst/>
                    </a:prstGeom>
                    <a:noFill/>
                    <a:ln w="9525">
                      <a:noFill/>
                      <a:miter lim="800000"/>
                      <a:headEnd/>
                      <a:tailEnd/>
                    </a:ln>
                  </pic:spPr>
                </pic:pic>
              </a:graphicData>
            </a:graphic>
          </wp:inline>
        </w:drawing>
      </w:r>
    </w:p>
    <w:p w:rsidR="00B60A22" w:rsidRPr="00A36972" w:rsidRDefault="00B60A22" w:rsidP="007C3F03">
      <w:pPr>
        <w:pStyle w:val="000"/>
        <w:spacing w:line="360" w:lineRule="auto"/>
        <w:rPr>
          <w:rFonts w:asciiTheme="minorHAnsi" w:hAnsiTheme="minorHAnsi" w:cstheme="minorHAnsi"/>
          <w:b/>
          <w:lang w:val="en-US"/>
        </w:rPr>
      </w:pPr>
    </w:p>
    <w:p w:rsidR="00B60A22" w:rsidRPr="00A36972" w:rsidRDefault="00B60A22" w:rsidP="007C3F03">
      <w:pPr>
        <w:pStyle w:val="000"/>
        <w:spacing w:line="360" w:lineRule="auto"/>
        <w:rPr>
          <w:rFonts w:asciiTheme="minorHAnsi" w:hAnsiTheme="minorHAnsi" w:cstheme="minorHAnsi"/>
          <w:b/>
          <w:lang w:val="en-US"/>
        </w:rPr>
      </w:pPr>
    </w:p>
    <w:p w:rsidR="00B60A22" w:rsidRPr="00A36972" w:rsidRDefault="00B60A22" w:rsidP="007C3F03">
      <w:pPr>
        <w:pStyle w:val="000"/>
        <w:spacing w:line="360" w:lineRule="auto"/>
        <w:rPr>
          <w:rFonts w:asciiTheme="minorHAnsi" w:hAnsiTheme="minorHAnsi" w:cstheme="minorHAnsi"/>
          <w:b/>
          <w:lang w:val="en-US"/>
        </w:rPr>
      </w:pPr>
    </w:p>
    <w:p w:rsidR="00B60A22" w:rsidRPr="00A36972" w:rsidRDefault="00B60A22" w:rsidP="007C3F03">
      <w:pPr>
        <w:pStyle w:val="000"/>
        <w:spacing w:line="360" w:lineRule="auto"/>
        <w:rPr>
          <w:rFonts w:asciiTheme="minorHAnsi" w:hAnsiTheme="minorHAnsi" w:cstheme="minorHAnsi"/>
          <w:b/>
          <w:lang w:val="en-US"/>
        </w:rPr>
      </w:pPr>
    </w:p>
    <w:p w:rsidR="00B60A22" w:rsidRPr="00A36972" w:rsidRDefault="00B60A22" w:rsidP="007C3F03">
      <w:pPr>
        <w:pStyle w:val="000"/>
        <w:spacing w:line="360" w:lineRule="auto"/>
        <w:rPr>
          <w:rFonts w:asciiTheme="minorHAnsi" w:hAnsiTheme="minorHAnsi" w:cstheme="minorHAnsi"/>
          <w:b/>
          <w:lang w:val="en-US"/>
        </w:rPr>
      </w:pPr>
      <w:r w:rsidRPr="00A36972">
        <w:rPr>
          <w:rFonts w:asciiTheme="minorHAnsi" w:hAnsiTheme="minorHAnsi" w:cstheme="minorHAnsi"/>
          <w:b/>
          <w:lang w:val="en-US"/>
        </w:rPr>
        <w:lastRenderedPageBreak/>
        <w:t>Group B:</w:t>
      </w:r>
    </w:p>
    <w:p w:rsidR="00B60A22" w:rsidRPr="00A36972" w:rsidRDefault="00B60A22" w:rsidP="007C3F03">
      <w:pPr>
        <w:pStyle w:val="000"/>
        <w:spacing w:line="360" w:lineRule="auto"/>
        <w:rPr>
          <w:rFonts w:asciiTheme="minorHAnsi" w:hAnsiTheme="minorHAnsi" w:cstheme="minorHAnsi"/>
          <w:b/>
          <w:lang w:val="en-US"/>
        </w:rPr>
      </w:pPr>
    </w:p>
    <w:tbl>
      <w:tblPr>
        <w:tblW w:w="7228" w:type="dxa"/>
        <w:tblInd w:w="10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5"/>
        <w:gridCol w:w="1010"/>
        <w:gridCol w:w="1009"/>
        <w:gridCol w:w="1011"/>
        <w:gridCol w:w="1011"/>
        <w:gridCol w:w="1011"/>
        <w:gridCol w:w="1011"/>
      </w:tblGrid>
      <w:tr w:rsidR="00B60A22" w:rsidRPr="00A36972" w:rsidTr="00B60A22">
        <w:trPr>
          <w:cantSplit/>
          <w:tblHeader/>
        </w:trPr>
        <w:tc>
          <w:tcPr>
            <w:tcW w:w="7228" w:type="dxa"/>
            <w:gridSpan w:val="7"/>
            <w:tcBorders>
              <w:top w:val="nil"/>
              <w:left w:val="nil"/>
              <w:bottom w:val="nil"/>
              <w:right w:val="nil"/>
            </w:tcBorders>
            <w:shd w:val="clear" w:color="auto" w:fill="FFFFFF"/>
            <w:vAlign w:val="center"/>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b/>
                <w:bCs/>
                <w:sz w:val="18"/>
                <w:szCs w:val="18"/>
                <w:lang w:val="en-US"/>
              </w:rPr>
              <w:t>Tests of Normality</w:t>
            </w:r>
          </w:p>
        </w:tc>
      </w:tr>
      <w:tr w:rsidR="00B60A22" w:rsidRPr="00A36972" w:rsidTr="00B60A22">
        <w:trPr>
          <w:cantSplit/>
          <w:tblHeader/>
        </w:trPr>
        <w:tc>
          <w:tcPr>
            <w:tcW w:w="116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B60A22" w:rsidRPr="00A36972" w:rsidRDefault="00B60A22" w:rsidP="00B60A22">
            <w:pPr>
              <w:jc w:val="center"/>
              <w:rPr>
                <w:rFonts w:asciiTheme="minorHAnsi" w:hAnsiTheme="minorHAnsi" w:cstheme="minorHAnsi"/>
                <w:sz w:val="24"/>
                <w:szCs w:val="24"/>
                <w:lang w:val="en-US"/>
              </w:rPr>
            </w:pPr>
          </w:p>
        </w:tc>
        <w:tc>
          <w:tcPr>
            <w:tcW w:w="3030" w:type="dxa"/>
            <w:gridSpan w:val="3"/>
            <w:tcBorders>
              <w:top w:val="single" w:sz="16" w:space="0" w:color="000000"/>
              <w:left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Kolmogorov-Smirnov</w:t>
            </w:r>
            <w:r w:rsidRPr="00A36972">
              <w:rPr>
                <w:rFonts w:asciiTheme="minorHAnsi" w:hAnsiTheme="minorHAnsi" w:cstheme="minorHAnsi"/>
                <w:sz w:val="18"/>
                <w:szCs w:val="18"/>
                <w:vertAlign w:val="superscript"/>
                <w:lang w:val="en-US"/>
              </w:rPr>
              <w:t>a</w:t>
            </w:r>
          </w:p>
        </w:tc>
        <w:tc>
          <w:tcPr>
            <w:tcW w:w="3033" w:type="dxa"/>
            <w:gridSpan w:val="3"/>
            <w:tcBorders>
              <w:top w:val="single" w:sz="16" w:space="0" w:color="000000"/>
              <w:right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Shapiro-Wilk</w:t>
            </w:r>
          </w:p>
        </w:tc>
      </w:tr>
      <w:tr w:rsidR="00B60A22" w:rsidRPr="00A36972" w:rsidTr="00B60A22">
        <w:trPr>
          <w:cantSplit/>
          <w:tblHeader/>
        </w:trPr>
        <w:tc>
          <w:tcPr>
            <w:tcW w:w="1165"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B60A22" w:rsidRPr="00A36972" w:rsidRDefault="00B60A22" w:rsidP="00B60A22">
            <w:pPr>
              <w:rPr>
                <w:rFonts w:asciiTheme="minorHAnsi" w:hAnsiTheme="minorHAnsi" w:cstheme="minorHAnsi"/>
                <w:sz w:val="18"/>
                <w:szCs w:val="18"/>
                <w:lang w:val="en-US"/>
              </w:rPr>
            </w:pPr>
          </w:p>
        </w:tc>
        <w:tc>
          <w:tcPr>
            <w:tcW w:w="1010" w:type="dxa"/>
            <w:tcBorders>
              <w:left w:val="single" w:sz="16" w:space="0" w:color="000000"/>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09"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c>
          <w:tcPr>
            <w:tcW w:w="1011"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11"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right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r>
      <w:tr w:rsidR="00B60A22" w:rsidRPr="00A36972" w:rsidTr="00B60A22">
        <w:trPr>
          <w:cantSplit/>
          <w:tblHeader/>
        </w:trPr>
        <w:tc>
          <w:tcPr>
            <w:tcW w:w="1165" w:type="dxa"/>
            <w:tcBorders>
              <w:top w:val="single" w:sz="16" w:space="0" w:color="000000"/>
              <w:left w:val="single" w:sz="16" w:space="0" w:color="000000"/>
              <w:bottom w:val="single" w:sz="16" w:space="0" w:color="000000"/>
              <w:right w:val="single" w:sz="16" w:space="0" w:color="000000"/>
            </w:tcBorders>
            <w:shd w:val="clear" w:color="auto" w:fill="FFFFFF"/>
          </w:tcPr>
          <w:p w:rsidR="00B60A22" w:rsidRPr="00A36972" w:rsidRDefault="00B60A22" w:rsidP="00B60A22">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Group B:</w:t>
            </w:r>
          </w:p>
        </w:tc>
        <w:tc>
          <w:tcPr>
            <w:tcW w:w="1010" w:type="dxa"/>
            <w:tcBorders>
              <w:top w:val="single" w:sz="16" w:space="0" w:color="000000"/>
              <w:left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,273</w:t>
            </w:r>
          </w:p>
        </w:tc>
        <w:tc>
          <w:tcPr>
            <w:tcW w:w="1009"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w:t>
            </w:r>
          </w:p>
        </w:tc>
        <w:tc>
          <w:tcPr>
            <w:tcW w:w="1011"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,184</w:t>
            </w:r>
          </w:p>
        </w:tc>
        <w:tc>
          <w:tcPr>
            <w:tcW w:w="1011"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,795</w:t>
            </w:r>
          </w:p>
        </w:tc>
        <w:tc>
          <w:tcPr>
            <w:tcW w:w="1011"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w:t>
            </w:r>
          </w:p>
        </w:tc>
        <w:tc>
          <w:tcPr>
            <w:tcW w:w="1011" w:type="dxa"/>
            <w:tcBorders>
              <w:top w:val="single" w:sz="16" w:space="0" w:color="000000"/>
              <w:bottom w:val="single" w:sz="16" w:space="0" w:color="000000"/>
              <w:right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,053</w:t>
            </w:r>
          </w:p>
        </w:tc>
      </w:tr>
      <w:tr w:rsidR="00B60A22" w:rsidRPr="00A36972" w:rsidTr="00B60A22">
        <w:trPr>
          <w:cantSplit/>
        </w:trPr>
        <w:tc>
          <w:tcPr>
            <w:tcW w:w="7228" w:type="dxa"/>
            <w:gridSpan w:val="7"/>
            <w:tcBorders>
              <w:top w:val="nil"/>
              <w:left w:val="nil"/>
              <w:bottom w:val="nil"/>
              <w:right w:val="nil"/>
            </w:tcBorders>
            <w:shd w:val="clear" w:color="auto" w:fill="FFFFFF"/>
          </w:tcPr>
          <w:p w:rsidR="00B60A22" w:rsidRPr="00A36972" w:rsidRDefault="00B60A22" w:rsidP="00B60A22">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 Lilliefors Significance Correction</w:t>
            </w:r>
          </w:p>
        </w:tc>
      </w:tr>
    </w:tbl>
    <w:p w:rsidR="00B60A22" w:rsidRPr="00A36972" w:rsidRDefault="00B60A22" w:rsidP="007C3F03">
      <w:pPr>
        <w:pStyle w:val="000"/>
        <w:spacing w:line="360" w:lineRule="auto"/>
        <w:rPr>
          <w:rFonts w:asciiTheme="minorHAnsi" w:hAnsiTheme="minorHAnsi" w:cstheme="minorHAnsi"/>
          <w:b/>
          <w:lang w:val="en-US"/>
        </w:rPr>
      </w:pPr>
    </w:p>
    <w:p w:rsidR="00B60A22" w:rsidRPr="00A36972" w:rsidRDefault="00B60A22" w:rsidP="007C3F03">
      <w:pPr>
        <w:pStyle w:val="000"/>
        <w:spacing w:line="360" w:lineRule="auto"/>
        <w:rPr>
          <w:rFonts w:asciiTheme="minorHAnsi" w:hAnsiTheme="minorHAnsi" w:cstheme="minorHAnsi"/>
          <w:b/>
          <w:lang w:val="en-US"/>
        </w:rPr>
      </w:pPr>
    </w:p>
    <w:p w:rsidR="00B60A22" w:rsidRPr="00A36972" w:rsidRDefault="00B60A22" w:rsidP="007C3F03">
      <w:pPr>
        <w:pStyle w:val="000"/>
        <w:spacing w:line="360" w:lineRule="auto"/>
        <w:rPr>
          <w:rFonts w:asciiTheme="minorHAnsi" w:hAnsiTheme="minorHAnsi" w:cstheme="minorHAnsi"/>
          <w:b/>
          <w:lang w:val="en-US"/>
        </w:rPr>
      </w:pPr>
    </w:p>
    <w:p w:rsidR="00B60A22" w:rsidRPr="00A36972" w:rsidRDefault="00B60A22" w:rsidP="007C3F03">
      <w:pPr>
        <w:pStyle w:val="000"/>
        <w:spacing w:line="360" w:lineRule="auto"/>
        <w:rPr>
          <w:rFonts w:asciiTheme="minorHAnsi" w:hAnsiTheme="minorHAnsi" w:cstheme="minorHAnsi"/>
          <w:b/>
          <w:lang w:val="en-US"/>
        </w:rPr>
      </w:pPr>
      <w:r w:rsidRPr="00A36972">
        <w:rPr>
          <w:rFonts w:asciiTheme="minorHAnsi" w:hAnsiTheme="minorHAnsi" w:cstheme="minorHAnsi"/>
          <w:noProof/>
          <w:sz w:val="24"/>
          <w:szCs w:val="24"/>
          <w:lang w:eastAsia="nl-NL"/>
        </w:rPr>
        <w:drawing>
          <wp:inline distT="0" distB="0" distL="0" distR="0">
            <wp:extent cx="5734050" cy="4581525"/>
            <wp:effectExtent l="19050" t="0" r="0" b="0"/>
            <wp:docPr id="2"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srcRect/>
                    <a:stretch>
                      <a:fillRect/>
                    </a:stretch>
                  </pic:blipFill>
                  <pic:spPr bwMode="auto">
                    <a:xfrm>
                      <a:off x="0" y="0"/>
                      <a:ext cx="5734050" cy="4581525"/>
                    </a:xfrm>
                    <a:prstGeom prst="rect">
                      <a:avLst/>
                    </a:prstGeom>
                    <a:noFill/>
                    <a:ln w="9525">
                      <a:noFill/>
                      <a:miter lim="800000"/>
                      <a:headEnd/>
                      <a:tailEnd/>
                    </a:ln>
                  </pic:spPr>
                </pic:pic>
              </a:graphicData>
            </a:graphic>
          </wp:inline>
        </w:drawing>
      </w: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jc w:val="center"/>
        <w:rPr>
          <w:rFonts w:asciiTheme="minorHAnsi" w:hAnsiTheme="minorHAnsi" w:cstheme="minorHAnsi"/>
          <w:lang w:val="en-US"/>
        </w:rPr>
      </w:pPr>
    </w:p>
    <w:p w:rsidR="00B60A22" w:rsidRPr="00A36972" w:rsidRDefault="00B60A22" w:rsidP="00B60A22">
      <w:pPr>
        <w:jc w:val="center"/>
        <w:rPr>
          <w:rFonts w:asciiTheme="minorHAnsi" w:hAnsiTheme="minorHAnsi" w:cstheme="minorHAnsi"/>
          <w:lang w:val="en-US"/>
        </w:rPr>
      </w:pPr>
    </w:p>
    <w:p w:rsidR="00B60A22" w:rsidRPr="00A36972" w:rsidRDefault="00B60A22" w:rsidP="00B60A22">
      <w:pPr>
        <w:rPr>
          <w:rFonts w:asciiTheme="minorHAnsi" w:hAnsiTheme="minorHAnsi" w:cstheme="minorHAnsi"/>
          <w:b/>
          <w:lang w:val="en-US"/>
        </w:rPr>
      </w:pPr>
      <w:r w:rsidRPr="00A36972">
        <w:rPr>
          <w:rFonts w:asciiTheme="minorHAnsi" w:hAnsiTheme="minorHAnsi" w:cstheme="minorHAnsi"/>
          <w:b/>
          <w:lang w:val="en-US"/>
        </w:rPr>
        <w:t>Group C:</w:t>
      </w:r>
    </w:p>
    <w:p w:rsidR="00B60A22" w:rsidRPr="00A36972" w:rsidRDefault="00B60A22" w:rsidP="00B60A22">
      <w:pPr>
        <w:rPr>
          <w:rFonts w:asciiTheme="minorHAnsi" w:hAnsiTheme="minorHAnsi" w:cstheme="minorHAnsi"/>
          <w:b/>
          <w:lang w:val="en-US"/>
        </w:rPr>
      </w:pPr>
    </w:p>
    <w:tbl>
      <w:tblPr>
        <w:tblW w:w="7228" w:type="dxa"/>
        <w:tblInd w:w="10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5"/>
        <w:gridCol w:w="1010"/>
        <w:gridCol w:w="1009"/>
        <w:gridCol w:w="1011"/>
        <w:gridCol w:w="1011"/>
        <w:gridCol w:w="1011"/>
        <w:gridCol w:w="1011"/>
      </w:tblGrid>
      <w:tr w:rsidR="00B60A22" w:rsidRPr="00A36972" w:rsidTr="00B60A22">
        <w:trPr>
          <w:cantSplit/>
          <w:tblHeader/>
        </w:trPr>
        <w:tc>
          <w:tcPr>
            <w:tcW w:w="7228" w:type="dxa"/>
            <w:gridSpan w:val="7"/>
            <w:tcBorders>
              <w:top w:val="nil"/>
              <w:left w:val="nil"/>
              <w:bottom w:val="nil"/>
              <w:right w:val="nil"/>
            </w:tcBorders>
            <w:shd w:val="clear" w:color="auto" w:fill="FFFFFF"/>
            <w:vAlign w:val="center"/>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p>
        </w:tc>
      </w:tr>
      <w:tr w:rsidR="00B60A22" w:rsidRPr="00A36972" w:rsidTr="00B60A22">
        <w:trPr>
          <w:cantSplit/>
          <w:tblHeader/>
        </w:trPr>
        <w:tc>
          <w:tcPr>
            <w:tcW w:w="7228" w:type="dxa"/>
            <w:gridSpan w:val="7"/>
            <w:tcBorders>
              <w:top w:val="nil"/>
              <w:left w:val="nil"/>
              <w:bottom w:val="nil"/>
              <w:right w:val="nil"/>
            </w:tcBorders>
            <w:shd w:val="clear" w:color="auto" w:fill="FFFFFF"/>
            <w:vAlign w:val="center"/>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Tests of Normality</w:t>
            </w:r>
          </w:p>
        </w:tc>
      </w:tr>
      <w:tr w:rsidR="00B60A22" w:rsidRPr="00A36972" w:rsidTr="00B60A22">
        <w:trPr>
          <w:cantSplit/>
          <w:tblHeader/>
        </w:trPr>
        <w:tc>
          <w:tcPr>
            <w:tcW w:w="116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B60A22" w:rsidRPr="00A36972" w:rsidRDefault="00B60A22" w:rsidP="00B60A22">
            <w:pPr>
              <w:jc w:val="center"/>
              <w:rPr>
                <w:rFonts w:asciiTheme="minorHAnsi" w:hAnsiTheme="minorHAnsi" w:cstheme="minorHAnsi"/>
                <w:sz w:val="24"/>
                <w:szCs w:val="24"/>
                <w:lang w:val="en-US"/>
              </w:rPr>
            </w:pPr>
          </w:p>
        </w:tc>
        <w:tc>
          <w:tcPr>
            <w:tcW w:w="3030" w:type="dxa"/>
            <w:gridSpan w:val="3"/>
            <w:tcBorders>
              <w:top w:val="single" w:sz="16" w:space="0" w:color="000000"/>
              <w:left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Kolmogorov-Smirnov</w:t>
            </w:r>
            <w:r w:rsidRPr="00A36972">
              <w:rPr>
                <w:rFonts w:asciiTheme="minorHAnsi" w:hAnsiTheme="minorHAnsi" w:cstheme="minorHAnsi"/>
                <w:sz w:val="18"/>
                <w:szCs w:val="18"/>
                <w:vertAlign w:val="superscript"/>
                <w:lang w:val="en-US"/>
              </w:rPr>
              <w:t>a</w:t>
            </w:r>
          </w:p>
        </w:tc>
        <w:tc>
          <w:tcPr>
            <w:tcW w:w="3033" w:type="dxa"/>
            <w:gridSpan w:val="3"/>
            <w:tcBorders>
              <w:top w:val="single" w:sz="16" w:space="0" w:color="000000"/>
              <w:right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Shapiro-Wilk</w:t>
            </w:r>
          </w:p>
        </w:tc>
      </w:tr>
      <w:tr w:rsidR="00B60A22" w:rsidRPr="00A36972" w:rsidTr="00B60A22">
        <w:trPr>
          <w:cantSplit/>
          <w:tblHeader/>
        </w:trPr>
        <w:tc>
          <w:tcPr>
            <w:tcW w:w="1165"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B60A22" w:rsidRPr="00A36972" w:rsidRDefault="00B60A22" w:rsidP="00B60A22">
            <w:pPr>
              <w:rPr>
                <w:rFonts w:asciiTheme="minorHAnsi" w:hAnsiTheme="minorHAnsi" w:cstheme="minorHAnsi"/>
                <w:sz w:val="18"/>
                <w:szCs w:val="18"/>
                <w:lang w:val="en-US"/>
              </w:rPr>
            </w:pPr>
          </w:p>
        </w:tc>
        <w:tc>
          <w:tcPr>
            <w:tcW w:w="1010" w:type="dxa"/>
            <w:tcBorders>
              <w:left w:val="single" w:sz="16" w:space="0" w:color="000000"/>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09"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c>
          <w:tcPr>
            <w:tcW w:w="1011"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11"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right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r>
      <w:tr w:rsidR="00B60A22" w:rsidRPr="00A36972" w:rsidTr="00B60A22">
        <w:trPr>
          <w:cantSplit/>
          <w:tblHeader/>
        </w:trPr>
        <w:tc>
          <w:tcPr>
            <w:tcW w:w="1165" w:type="dxa"/>
            <w:tcBorders>
              <w:top w:val="single" w:sz="16" w:space="0" w:color="000000"/>
              <w:left w:val="single" w:sz="16" w:space="0" w:color="000000"/>
              <w:bottom w:val="single" w:sz="16" w:space="0" w:color="000000"/>
              <w:right w:val="single" w:sz="16" w:space="0" w:color="000000"/>
            </w:tcBorders>
            <w:shd w:val="clear" w:color="auto" w:fill="FFFFFF"/>
          </w:tcPr>
          <w:p w:rsidR="00B60A22" w:rsidRPr="00A36972" w:rsidRDefault="00B60A22" w:rsidP="00B60A22">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Group C:</w:t>
            </w:r>
          </w:p>
        </w:tc>
        <w:tc>
          <w:tcPr>
            <w:tcW w:w="1010" w:type="dxa"/>
            <w:tcBorders>
              <w:top w:val="single" w:sz="16" w:space="0" w:color="000000"/>
              <w:left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,385</w:t>
            </w:r>
          </w:p>
        </w:tc>
        <w:tc>
          <w:tcPr>
            <w:tcW w:w="1009"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3</w:t>
            </w:r>
          </w:p>
        </w:tc>
        <w:tc>
          <w:tcPr>
            <w:tcW w:w="1011"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w:t>
            </w:r>
          </w:p>
        </w:tc>
        <w:tc>
          <w:tcPr>
            <w:tcW w:w="1011"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,750</w:t>
            </w:r>
          </w:p>
        </w:tc>
        <w:tc>
          <w:tcPr>
            <w:tcW w:w="1011"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3</w:t>
            </w:r>
          </w:p>
        </w:tc>
        <w:tc>
          <w:tcPr>
            <w:tcW w:w="1011" w:type="dxa"/>
            <w:tcBorders>
              <w:top w:val="single" w:sz="16" w:space="0" w:color="000000"/>
              <w:bottom w:val="single" w:sz="16" w:space="0" w:color="000000"/>
              <w:right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,000</w:t>
            </w:r>
          </w:p>
        </w:tc>
      </w:tr>
      <w:tr w:rsidR="00B60A22" w:rsidRPr="00A36972" w:rsidTr="00B60A22">
        <w:trPr>
          <w:cantSplit/>
        </w:trPr>
        <w:tc>
          <w:tcPr>
            <w:tcW w:w="7228" w:type="dxa"/>
            <w:gridSpan w:val="7"/>
            <w:tcBorders>
              <w:top w:val="nil"/>
              <w:left w:val="nil"/>
              <w:bottom w:val="nil"/>
              <w:right w:val="nil"/>
            </w:tcBorders>
            <w:shd w:val="clear" w:color="auto" w:fill="FFFFFF"/>
          </w:tcPr>
          <w:p w:rsidR="00B60A22" w:rsidRPr="00A36972" w:rsidRDefault="00B60A22" w:rsidP="00B60A22">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 Lilliefors Significance Correction</w:t>
            </w:r>
          </w:p>
        </w:tc>
      </w:tr>
    </w:tbl>
    <w:p w:rsidR="00B60A22" w:rsidRPr="00A36972" w:rsidRDefault="00B60A22" w:rsidP="00B60A22">
      <w:pPr>
        <w:rPr>
          <w:rFonts w:asciiTheme="minorHAnsi" w:hAnsiTheme="minorHAnsi" w:cstheme="minorHAnsi"/>
          <w:b/>
          <w:lang w:val="en-US"/>
        </w:rPr>
      </w:pPr>
    </w:p>
    <w:p w:rsidR="00B60A22" w:rsidRPr="00A36972" w:rsidRDefault="00B60A22" w:rsidP="00B60A22">
      <w:pPr>
        <w:rPr>
          <w:rFonts w:asciiTheme="minorHAnsi" w:hAnsiTheme="minorHAnsi" w:cstheme="minorHAnsi"/>
          <w:b/>
          <w:lang w:val="en-US"/>
        </w:rPr>
      </w:pPr>
    </w:p>
    <w:p w:rsidR="00B60A22" w:rsidRPr="00A36972" w:rsidRDefault="00B60A22" w:rsidP="00B60A22">
      <w:pPr>
        <w:rPr>
          <w:rFonts w:asciiTheme="minorHAnsi" w:hAnsiTheme="minorHAnsi" w:cstheme="minorHAnsi"/>
          <w:b/>
          <w:lang w:val="en-US"/>
        </w:rPr>
      </w:pPr>
      <w:r w:rsidRPr="00A36972">
        <w:rPr>
          <w:rFonts w:asciiTheme="minorHAnsi" w:hAnsiTheme="minorHAnsi" w:cstheme="minorHAnsi"/>
          <w:noProof/>
          <w:sz w:val="24"/>
          <w:szCs w:val="24"/>
          <w:lang w:eastAsia="nl-NL"/>
        </w:rPr>
        <w:drawing>
          <wp:inline distT="0" distB="0" distL="0" distR="0">
            <wp:extent cx="5734050" cy="4581525"/>
            <wp:effectExtent l="1905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srcRect/>
                    <a:stretch>
                      <a:fillRect/>
                    </a:stretch>
                  </pic:blipFill>
                  <pic:spPr bwMode="auto">
                    <a:xfrm>
                      <a:off x="0" y="0"/>
                      <a:ext cx="5734050" cy="4581525"/>
                    </a:xfrm>
                    <a:prstGeom prst="rect">
                      <a:avLst/>
                    </a:prstGeom>
                    <a:noFill/>
                    <a:ln w="9525">
                      <a:noFill/>
                      <a:miter lim="800000"/>
                      <a:headEnd/>
                      <a:tailEnd/>
                    </a:ln>
                  </pic:spPr>
                </pic:pic>
              </a:graphicData>
            </a:graphic>
          </wp:inline>
        </w:drawing>
      </w: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tabs>
          <w:tab w:val="left" w:pos="4125"/>
        </w:tabs>
        <w:rPr>
          <w:rFonts w:asciiTheme="minorHAnsi" w:hAnsiTheme="minorHAnsi" w:cstheme="minorHAnsi"/>
          <w:lang w:val="en-US"/>
        </w:rPr>
      </w:pPr>
      <w:r w:rsidRPr="00A36972">
        <w:rPr>
          <w:rFonts w:asciiTheme="minorHAnsi" w:hAnsiTheme="minorHAnsi" w:cstheme="minorHAnsi"/>
          <w:lang w:val="en-US"/>
        </w:rPr>
        <w:tab/>
      </w:r>
    </w:p>
    <w:p w:rsidR="00B60A22" w:rsidRPr="00A36972" w:rsidRDefault="00B60A22" w:rsidP="00B60A22">
      <w:pPr>
        <w:tabs>
          <w:tab w:val="left" w:pos="4125"/>
        </w:tabs>
        <w:rPr>
          <w:rFonts w:asciiTheme="minorHAnsi" w:hAnsiTheme="minorHAnsi" w:cstheme="minorHAnsi"/>
          <w:b/>
          <w:lang w:val="en-US"/>
        </w:rPr>
      </w:pPr>
      <w:r w:rsidRPr="00A36972">
        <w:rPr>
          <w:rFonts w:asciiTheme="minorHAnsi" w:hAnsiTheme="minorHAnsi" w:cstheme="minorHAnsi"/>
          <w:b/>
          <w:lang w:val="en-US"/>
        </w:rPr>
        <w:lastRenderedPageBreak/>
        <w:t>Group D:</w:t>
      </w:r>
    </w:p>
    <w:p w:rsidR="00B60A22" w:rsidRPr="00A36972" w:rsidRDefault="00B60A22" w:rsidP="00B60A22">
      <w:pPr>
        <w:tabs>
          <w:tab w:val="left" w:pos="4125"/>
        </w:tabs>
        <w:rPr>
          <w:rFonts w:asciiTheme="minorHAnsi" w:hAnsiTheme="minorHAnsi" w:cstheme="minorHAnsi"/>
          <w:b/>
          <w:lang w:val="en-US"/>
        </w:rPr>
      </w:pPr>
    </w:p>
    <w:tbl>
      <w:tblPr>
        <w:tblW w:w="7228" w:type="dxa"/>
        <w:tblInd w:w="10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5"/>
        <w:gridCol w:w="1010"/>
        <w:gridCol w:w="1009"/>
        <w:gridCol w:w="1011"/>
        <w:gridCol w:w="1011"/>
        <w:gridCol w:w="1011"/>
        <w:gridCol w:w="1011"/>
      </w:tblGrid>
      <w:tr w:rsidR="00B60A22" w:rsidRPr="00A36972" w:rsidTr="00B60A22">
        <w:trPr>
          <w:cantSplit/>
          <w:tblHeader/>
        </w:trPr>
        <w:tc>
          <w:tcPr>
            <w:tcW w:w="7228" w:type="dxa"/>
            <w:gridSpan w:val="7"/>
            <w:tcBorders>
              <w:top w:val="nil"/>
              <w:left w:val="nil"/>
              <w:bottom w:val="nil"/>
              <w:right w:val="nil"/>
            </w:tcBorders>
            <w:shd w:val="clear" w:color="auto" w:fill="FFFFFF"/>
            <w:vAlign w:val="center"/>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b/>
                <w:bCs/>
                <w:sz w:val="18"/>
                <w:szCs w:val="18"/>
                <w:lang w:val="en-US"/>
              </w:rPr>
              <w:t>Tests of Normality</w:t>
            </w:r>
          </w:p>
        </w:tc>
      </w:tr>
      <w:tr w:rsidR="00B60A22" w:rsidRPr="00A36972" w:rsidTr="00B60A22">
        <w:trPr>
          <w:cantSplit/>
          <w:tblHeader/>
        </w:trPr>
        <w:tc>
          <w:tcPr>
            <w:tcW w:w="116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B60A22" w:rsidRPr="00A36972" w:rsidRDefault="00B60A22" w:rsidP="00B60A22">
            <w:pPr>
              <w:jc w:val="center"/>
              <w:rPr>
                <w:rFonts w:asciiTheme="minorHAnsi" w:hAnsiTheme="minorHAnsi" w:cstheme="minorHAnsi"/>
                <w:sz w:val="24"/>
                <w:szCs w:val="24"/>
                <w:lang w:val="en-US"/>
              </w:rPr>
            </w:pPr>
          </w:p>
        </w:tc>
        <w:tc>
          <w:tcPr>
            <w:tcW w:w="3030" w:type="dxa"/>
            <w:gridSpan w:val="3"/>
            <w:tcBorders>
              <w:top w:val="single" w:sz="16" w:space="0" w:color="000000"/>
              <w:left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Kolmogorov-Smirnov</w:t>
            </w:r>
            <w:r w:rsidRPr="00A36972">
              <w:rPr>
                <w:rFonts w:asciiTheme="minorHAnsi" w:hAnsiTheme="minorHAnsi" w:cstheme="minorHAnsi"/>
                <w:sz w:val="18"/>
                <w:szCs w:val="18"/>
                <w:vertAlign w:val="superscript"/>
                <w:lang w:val="en-US"/>
              </w:rPr>
              <w:t>a</w:t>
            </w:r>
          </w:p>
        </w:tc>
        <w:tc>
          <w:tcPr>
            <w:tcW w:w="3033" w:type="dxa"/>
            <w:gridSpan w:val="3"/>
            <w:tcBorders>
              <w:top w:val="single" w:sz="16" w:space="0" w:color="000000"/>
              <w:right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Shapiro-Wilk</w:t>
            </w:r>
          </w:p>
        </w:tc>
      </w:tr>
      <w:tr w:rsidR="00B60A22" w:rsidRPr="00A36972" w:rsidTr="00B60A22">
        <w:trPr>
          <w:cantSplit/>
          <w:tblHeader/>
        </w:trPr>
        <w:tc>
          <w:tcPr>
            <w:tcW w:w="1165"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B60A22" w:rsidRPr="00A36972" w:rsidRDefault="00B60A22" w:rsidP="00B60A22">
            <w:pPr>
              <w:rPr>
                <w:rFonts w:asciiTheme="minorHAnsi" w:hAnsiTheme="minorHAnsi" w:cstheme="minorHAnsi"/>
                <w:sz w:val="18"/>
                <w:szCs w:val="18"/>
                <w:lang w:val="en-US"/>
              </w:rPr>
            </w:pPr>
          </w:p>
        </w:tc>
        <w:tc>
          <w:tcPr>
            <w:tcW w:w="1010" w:type="dxa"/>
            <w:tcBorders>
              <w:left w:val="single" w:sz="16" w:space="0" w:color="000000"/>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09"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c>
          <w:tcPr>
            <w:tcW w:w="1011"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11" w:type="dxa"/>
            <w:tcBorders>
              <w:bottom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right w:val="single" w:sz="16" w:space="0" w:color="000000"/>
            </w:tcBorders>
            <w:shd w:val="clear" w:color="auto" w:fill="FFFFFF"/>
            <w:vAlign w:val="bottom"/>
          </w:tcPr>
          <w:p w:rsidR="00B60A22" w:rsidRPr="00A36972" w:rsidRDefault="00B60A22" w:rsidP="00B60A22">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r>
      <w:tr w:rsidR="00B60A22" w:rsidRPr="00A36972" w:rsidTr="00B60A22">
        <w:trPr>
          <w:cantSplit/>
          <w:tblHeader/>
        </w:trPr>
        <w:tc>
          <w:tcPr>
            <w:tcW w:w="1165" w:type="dxa"/>
            <w:tcBorders>
              <w:top w:val="single" w:sz="16" w:space="0" w:color="000000"/>
              <w:left w:val="single" w:sz="16" w:space="0" w:color="000000"/>
              <w:bottom w:val="single" w:sz="16" w:space="0" w:color="000000"/>
              <w:right w:val="single" w:sz="16" w:space="0" w:color="000000"/>
            </w:tcBorders>
            <w:shd w:val="clear" w:color="auto" w:fill="FFFFFF"/>
          </w:tcPr>
          <w:p w:rsidR="00B60A22" w:rsidRPr="00A36972" w:rsidRDefault="00B60A22" w:rsidP="00B60A22">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Group D:</w:t>
            </w:r>
          </w:p>
        </w:tc>
        <w:tc>
          <w:tcPr>
            <w:tcW w:w="1010" w:type="dxa"/>
            <w:tcBorders>
              <w:top w:val="single" w:sz="16" w:space="0" w:color="000000"/>
              <w:left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,323</w:t>
            </w:r>
          </w:p>
        </w:tc>
        <w:tc>
          <w:tcPr>
            <w:tcW w:w="1009"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14</w:t>
            </w:r>
          </w:p>
        </w:tc>
        <w:tc>
          <w:tcPr>
            <w:tcW w:w="1011"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,000</w:t>
            </w:r>
          </w:p>
        </w:tc>
        <w:tc>
          <w:tcPr>
            <w:tcW w:w="1011"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,652</w:t>
            </w:r>
          </w:p>
        </w:tc>
        <w:tc>
          <w:tcPr>
            <w:tcW w:w="1011" w:type="dxa"/>
            <w:tcBorders>
              <w:top w:val="single" w:sz="16" w:space="0" w:color="000000"/>
              <w:bottom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14</w:t>
            </w:r>
          </w:p>
        </w:tc>
        <w:tc>
          <w:tcPr>
            <w:tcW w:w="1011" w:type="dxa"/>
            <w:tcBorders>
              <w:top w:val="single" w:sz="16" w:space="0" w:color="000000"/>
              <w:bottom w:val="single" w:sz="16" w:space="0" w:color="000000"/>
              <w:right w:val="single" w:sz="16" w:space="0" w:color="000000"/>
            </w:tcBorders>
            <w:shd w:val="clear" w:color="auto" w:fill="FFFFFF"/>
          </w:tcPr>
          <w:p w:rsidR="00B60A22" w:rsidRPr="00A36972" w:rsidRDefault="00B60A22" w:rsidP="00B60A22">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,000</w:t>
            </w:r>
          </w:p>
        </w:tc>
      </w:tr>
      <w:tr w:rsidR="00B60A22" w:rsidRPr="00A36972" w:rsidTr="00B60A22">
        <w:trPr>
          <w:cantSplit/>
        </w:trPr>
        <w:tc>
          <w:tcPr>
            <w:tcW w:w="7228" w:type="dxa"/>
            <w:gridSpan w:val="7"/>
            <w:tcBorders>
              <w:top w:val="nil"/>
              <w:left w:val="nil"/>
              <w:bottom w:val="nil"/>
              <w:right w:val="nil"/>
            </w:tcBorders>
            <w:shd w:val="clear" w:color="auto" w:fill="FFFFFF"/>
          </w:tcPr>
          <w:p w:rsidR="00B60A22" w:rsidRPr="00A36972" w:rsidRDefault="00B60A22" w:rsidP="00B60A22">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 Lilliefors Significance Correction</w:t>
            </w:r>
          </w:p>
        </w:tc>
      </w:tr>
    </w:tbl>
    <w:p w:rsidR="00B60A22" w:rsidRPr="00A36972" w:rsidRDefault="00B60A22" w:rsidP="00B60A22">
      <w:pPr>
        <w:tabs>
          <w:tab w:val="left" w:pos="4125"/>
        </w:tabs>
        <w:rPr>
          <w:rFonts w:asciiTheme="minorHAnsi" w:hAnsiTheme="minorHAnsi" w:cstheme="minorHAnsi"/>
          <w:b/>
          <w:lang w:val="en-US"/>
        </w:rPr>
      </w:pPr>
    </w:p>
    <w:p w:rsidR="00B60A22" w:rsidRPr="00A36972" w:rsidRDefault="00B60A22" w:rsidP="00B60A22">
      <w:pPr>
        <w:tabs>
          <w:tab w:val="left" w:pos="4125"/>
        </w:tabs>
        <w:rPr>
          <w:rFonts w:asciiTheme="minorHAnsi" w:hAnsiTheme="minorHAnsi" w:cstheme="minorHAnsi"/>
          <w:b/>
          <w:lang w:val="en-US"/>
        </w:rPr>
      </w:pPr>
    </w:p>
    <w:p w:rsidR="00B60A22" w:rsidRPr="00A36972" w:rsidRDefault="00B60A22" w:rsidP="00B60A22">
      <w:pPr>
        <w:tabs>
          <w:tab w:val="left" w:pos="4125"/>
        </w:tabs>
        <w:rPr>
          <w:rFonts w:asciiTheme="minorHAnsi" w:hAnsiTheme="minorHAnsi" w:cstheme="minorHAnsi"/>
          <w:b/>
          <w:lang w:val="en-US"/>
        </w:rPr>
      </w:pPr>
      <w:r w:rsidRPr="00A36972">
        <w:rPr>
          <w:rFonts w:asciiTheme="minorHAnsi" w:hAnsiTheme="minorHAnsi" w:cstheme="minorHAnsi"/>
          <w:noProof/>
          <w:sz w:val="24"/>
          <w:szCs w:val="24"/>
          <w:lang w:eastAsia="nl-NL"/>
        </w:rPr>
        <w:drawing>
          <wp:inline distT="0" distB="0" distL="0" distR="0">
            <wp:extent cx="5734050" cy="4581525"/>
            <wp:effectExtent l="1905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a:srcRect/>
                    <a:stretch>
                      <a:fillRect/>
                    </a:stretch>
                  </pic:blipFill>
                  <pic:spPr bwMode="auto">
                    <a:xfrm>
                      <a:off x="0" y="0"/>
                      <a:ext cx="5734050" cy="4581525"/>
                    </a:xfrm>
                    <a:prstGeom prst="rect">
                      <a:avLst/>
                    </a:prstGeom>
                    <a:noFill/>
                    <a:ln w="9525">
                      <a:noFill/>
                      <a:miter lim="800000"/>
                      <a:headEnd/>
                      <a:tailEnd/>
                    </a:ln>
                  </pic:spPr>
                </pic:pic>
              </a:graphicData>
            </a:graphic>
          </wp:inline>
        </w:drawing>
      </w: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rPr>
          <w:rFonts w:asciiTheme="minorHAnsi" w:hAnsiTheme="minorHAnsi" w:cstheme="minorHAnsi"/>
          <w:lang w:val="en-US"/>
        </w:rPr>
      </w:pPr>
    </w:p>
    <w:p w:rsidR="00B60A22" w:rsidRPr="00A36972" w:rsidRDefault="00B60A22" w:rsidP="00B60A22">
      <w:pPr>
        <w:ind w:firstLine="567"/>
        <w:rPr>
          <w:rFonts w:asciiTheme="minorHAnsi" w:hAnsiTheme="minorHAnsi" w:cstheme="minorHAnsi"/>
          <w:lang w:val="en-US"/>
        </w:rPr>
      </w:pPr>
    </w:p>
    <w:p w:rsidR="00B60A22" w:rsidRPr="00A36972" w:rsidRDefault="00B60A22" w:rsidP="00B60A22">
      <w:pPr>
        <w:ind w:firstLine="567"/>
        <w:rPr>
          <w:rFonts w:asciiTheme="minorHAnsi" w:hAnsiTheme="minorHAnsi" w:cstheme="minorHAnsi"/>
          <w:lang w:val="en-US"/>
        </w:rPr>
      </w:pPr>
    </w:p>
    <w:p w:rsidR="00B60A22" w:rsidRPr="00A36972" w:rsidRDefault="00B60A22" w:rsidP="00B60A22">
      <w:pPr>
        <w:ind w:firstLine="567"/>
        <w:rPr>
          <w:rFonts w:asciiTheme="minorHAnsi" w:hAnsiTheme="minorHAnsi" w:cstheme="minorHAnsi"/>
          <w:b/>
          <w:lang w:val="en-US"/>
        </w:rPr>
      </w:pPr>
      <w:r w:rsidRPr="00A36972">
        <w:rPr>
          <w:rFonts w:asciiTheme="minorHAnsi" w:hAnsiTheme="minorHAnsi" w:cstheme="minorHAnsi"/>
          <w:b/>
          <w:lang w:val="en-US"/>
        </w:rPr>
        <w:lastRenderedPageBreak/>
        <w:t>Group E:</w:t>
      </w:r>
    </w:p>
    <w:p w:rsidR="00B60A22" w:rsidRPr="00A36972" w:rsidRDefault="00B60A22" w:rsidP="00B60A22">
      <w:pPr>
        <w:ind w:firstLine="567"/>
        <w:rPr>
          <w:rFonts w:asciiTheme="minorHAnsi" w:hAnsiTheme="minorHAnsi" w:cstheme="minorHAnsi"/>
          <w:b/>
          <w:lang w:val="en-US"/>
        </w:rPr>
      </w:pPr>
    </w:p>
    <w:tbl>
      <w:tblPr>
        <w:tblW w:w="7228" w:type="dxa"/>
        <w:tblInd w:w="10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5"/>
        <w:gridCol w:w="1010"/>
        <w:gridCol w:w="1009"/>
        <w:gridCol w:w="1011"/>
        <w:gridCol w:w="1011"/>
        <w:gridCol w:w="1011"/>
        <w:gridCol w:w="1011"/>
      </w:tblGrid>
      <w:tr w:rsidR="00540E1B" w:rsidRPr="00A36972" w:rsidTr="00540E1B">
        <w:trPr>
          <w:cantSplit/>
          <w:tblHeader/>
        </w:trPr>
        <w:tc>
          <w:tcPr>
            <w:tcW w:w="7228" w:type="dxa"/>
            <w:gridSpan w:val="7"/>
            <w:tcBorders>
              <w:top w:val="nil"/>
              <w:left w:val="nil"/>
              <w:bottom w:val="nil"/>
              <w:right w:val="nil"/>
            </w:tcBorders>
            <w:shd w:val="clear" w:color="auto" w:fill="FFFFFF"/>
            <w:vAlign w:val="center"/>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b/>
                <w:bCs/>
                <w:sz w:val="18"/>
                <w:szCs w:val="18"/>
                <w:lang w:val="en-US"/>
              </w:rPr>
              <w:t>Tests of Normality</w:t>
            </w:r>
          </w:p>
        </w:tc>
      </w:tr>
      <w:tr w:rsidR="00540E1B" w:rsidRPr="00A36972" w:rsidTr="00540E1B">
        <w:trPr>
          <w:cantSplit/>
          <w:tblHeader/>
        </w:trPr>
        <w:tc>
          <w:tcPr>
            <w:tcW w:w="116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40E1B" w:rsidRPr="00A36972" w:rsidRDefault="00540E1B" w:rsidP="00FB63DB">
            <w:pPr>
              <w:jc w:val="center"/>
              <w:rPr>
                <w:rFonts w:asciiTheme="minorHAnsi" w:hAnsiTheme="minorHAnsi" w:cstheme="minorHAnsi"/>
                <w:sz w:val="24"/>
                <w:szCs w:val="24"/>
                <w:lang w:val="en-US"/>
              </w:rPr>
            </w:pPr>
          </w:p>
        </w:tc>
        <w:tc>
          <w:tcPr>
            <w:tcW w:w="3030" w:type="dxa"/>
            <w:gridSpan w:val="3"/>
            <w:tcBorders>
              <w:top w:val="single" w:sz="16" w:space="0" w:color="000000"/>
              <w:lef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Kolmogorov-Smirnov</w:t>
            </w:r>
            <w:r w:rsidRPr="00A36972">
              <w:rPr>
                <w:rFonts w:asciiTheme="minorHAnsi" w:hAnsiTheme="minorHAnsi" w:cstheme="minorHAnsi"/>
                <w:sz w:val="18"/>
                <w:szCs w:val="18"/>
                <w:vertAlign w:val="superscript"/>
                <w:lang w:val="en-US"/>
              </w:rPr>
              <w:t>a</w:t>
            </w:r>
          </w:p>
        </w:tc>
        <w:tc>
          <w:tcPr>
            <w:tcW w:w="3033" w:type="dxa"/>
            <w:gridSpan w:val="3"/>
            <w:tcBorders>
              <w:top w:val="single" w:sz="16" w:space="0" w:color="000000"/>
              <w:righ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Shapiro-Wilk</w:t>
            </w:r>
          </w:p>
        </w:tc>
      </w:tr>
      <w:tr w:rsidR="00540E1B" w:rsidRPr="00A36972" w:rsidTr="00540E1B">
        <w:trPr>
          <w:cantSplit/>
          <w:tblHeader/>
        </w:trPr>
        <w:tc>
          <w:tcPr>
            <w:tcW w:w="1165"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40E1B" w:rsidRPr="00A36972" w:rsidRDefault="00540E1B" w:rsidP="00FB63DB">
            <w:pPr>
              <w:rPr>
                <w:rFonts w:asciiTheme="minorHAnsi" w:hAnsiTheme="minorHAnsi" w:cstheme="minorHAnsi"/>
                <w:sz w:val="18"/>
                <w:szCs w:val="18"/>
                <w:lang w:val="en-US"/>
              </w:rPr>
            </w:pPr>
          </w:p>
        </w:tc>
        <w:tc>
          <w:tcPr>
            <w:tcW w:w="1010" w:type="dxa"/>
            <w:tcBorders>
              <w:left w:val="single" w:sz="16" w:space="0" w:color="000000"/>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09"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righ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r>
      <w:tr w:rsidR="00540E1B" w:rsidRPr="00A36972" w:rsidTr="00540E1B">
        <w:trPr>
          <w:cantSplit/>
          <w:tblHeader/>
        </w:trPr>
        <w:tc>
          <w:tcPr>
            <w:tcW w:w="1165" w:type="dxa"/>
            <w:tcBorders>
              <w:top w:val="single" w:sz="16" w:space="0" w:color="000000"/>
              <w:left w:val="single" w:sz="16" w:space="0" w:color="000000"/>
              <w:bottom w:val="single" w:sz="16" w:space="0" w:color="000000"/>
              <w:right w:val="single" w:sz="16" w:space="0" w:color="000000"/>
            </w:tcBorders>
            <w:shd w:val="clear" w:color="auto" w:fill="FFFFFF"/>
          </w:tcPr>
          <w:p w:rsidR="00540E1B" w:rsidRPr="00A36972" w:rsidRDefault="00540E1B"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Group E:</w:t>
            </w:r>
          </w:p>
        </w:tc>
        <w:tc>
          <w:tcPr>
            <w:tcW w:w="1010" w:type="dxa"/>
            <w:tcBorders>
              <w:top w:val="single" w:sz="16" w:space="0" w:color="000000"/>
              <w:left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,183</w:t>
            </w:r>
          </w:p>
        </w:tc>
        <w:tc>
          <w:tcPr>
            <w:tcW w:w="1009"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5</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,200</w:t>
            </w:r>
            <w:r w:rsidRPr="00A36972">
              <w:rPr>
                <w:rFonts w:asciiTheme="minorHAnsi" w:hAnsiTheme="minorHAnsi" w:cstheme="minorHAnsi"/>
                <w:sz w:val="18"/>
                <w:szCs w:val="18"/>
                <w:vertAlign w:val="superscript"/>
                <w:lang w:val="en-US"/>
              </w:rPr>
              <w:t>*</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,968</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5</w:t>
            </w:r>
          </w:p>
        </w:tc>
        <w:tc>
          <w:tcPr>
            <w:tcW w:w="1011" w:type="dxa"/>
            <w:tcBorders>
              <w:top w:val="single" w:sz="16" w:space="0" w:color="000000"/>
              <w:bottom w:val="single" w:sz="16" w:space="0" w:color="000000"/>
              <w:right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,860</w:t>
            </w:r>
          </w:p>
        </w:tc>
      </w:tr>
      <w:tr w:rsidR="00540E1B" w:rsidRPr="00A36972" w:rsidTr="00540E1B">
        <w:trPr>
          <w:cantSplit/>
          <w:tblHeader/>
        </w:trPr>
        <w:tc>
          <w:tcPr>
            <w:tcW w:w="7228" w:type="dxa"/>
            <w:gridSpan w:val="7"/>
            <w:tcBorders>
              <w:top w:val="nil"/>
              <w:left w:val="nil"/>
              <w:bottom w:val="nil"/>
              <w:right w:val="nil"/>
            </w:tcBorders>
            <w:shd w:val="clear" w:color="auto" w:fill="FFFFFF"/>
          </w:tcPr>
          <w:p w:rsidR="00540E1B" w:rsidRPr="00A36972" w:rsidRDefault="00540E1B"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 Lilliefors Significance Correction</w:t>
            </w:r>
          </w:p>
        </w:tc>
      </w:tr>
      <w:tr w:rsidR="00540E1B" w:rsidRPr="00186C61" w:rsidTr="00540E1B">
        <w:trPr>
          <w:cantSplit/>
        </w:trPr>
        <w:tc>
          <w:tcPr>
            <w:tcW w:w="7228" w:type="dxa"/>
            <w:gridSpan w:val="7"/>
            <w:tcBorders>
              <w:top w:val="nil"/>
              <w:left w:val="nil"/>
              <w:bottom w:val="nil"/>
              <w:right w:val="nil"/>
            </w:tcBorders>
            <w:shd w:val="clear" w:color="auto" w:fill="FFFFFF"/>
          </w:tcPr>
          <w:p w:rsidR="00540E1B" w:rsidRPr="00A36972" w:rsidRDefault="00540E1B"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 This is a lower bound of the true significance.</w:t>
            </w:r>
          </w:p>
          <w:p w:rsidR="00540E1B" w:rsidRPr="00A36972" w:rsidRDefault="00540E1B" w:rsidP="00FB63DB">
            <w:pPr>
              <w:spacing w:line="320" w:lineRule="atLeast"/>
              <w:ind w:left="60" w:right="60"/>
              <w:rPr>
                <w:rFonts w:asciiTheme="minorHAnsi" w:hAnsiTheme="minorHAnsi" w:cstheme="minorHAnsi"/>
                <w:sz w:val="18"/>
                <w:szCs w:val="18"/>
                <w:lang w:val="en-US"/>
              </w:rPr>
            </w:pPr>
          </w:p>
          <w:p w:rsidR="00540E1B" w:rsidRPr="00A36972" w:rsidRDefault="00540E1B" w:rsidP="00FB63DB">
            <w:pPr>
              <w:spacing w:line="320" w:lineRule="atLeast"/>
              <w:ind w:left="60" w:right="60"/>
              <w:rPr>
                <w:rFonts w:asciiTheme="minorHAnsi" w:hAnsiTheme="minorHAnsi" w:cstheme="minorHAnsi"/>
                <w:sz w:val="18"/>
                <w:szCs w:val="18"/>
                <w:lang w:val="en-US"/>
              </w:rPr>
            </w:pPr>
          </w:p>
        </w:tc>
      </w:tr>
    </w:tbl>
    <w:p w:rsidR="00540E1B" w:rsidRPr="00A36972" w:rsidRDefault="00540E1B" w:rsidP="00540E1B">
      <w:pPr>
        <w:rPr>
          <w:rFonts w:asciiTheme="minorHAnsi" w:hAnsiTheme="minorHAnsi" w:cstheme="minorHAnsi"/>
          <w:b/>
          <w:lang w:val="en-US"/>
        </w:rPr>
      </w:pPr>
      <w:r w:rsidRPr="00A36972">
        <w:rPr>
          <w:rFonts w:asciiTheme="minorHAnsi" w:hAnsiTheme="minorHAnsi" w:cstheme="minorHAnsi"/>
          <w:noProof/>
          <w:sz w:val="24"/>
          <w:szCs w:val="24"/>
          <w:lang w:eastAsia="nl-NL"/>
        </w:rPr>
        <w:drawing>
          <wp:inline distT="0" distB="0" distL="0" distR="0">
            <wp:extent cx="5734050" cy="4581525"/>
            <wp:effectExtent l="19050" t="0" r="0" b="0"/>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srcRect/>
                    <a:stretch>
                      <a:fillRect/>
                    </a:stretch>
                  </pic:blipFill>
                  <pic:spPr bwMode="auto">
                    <a:xfrm>
                      <a:off x="0" y="0"/>
                      <a:ext cx="5734050" cy="4581525"/>
                    </a:xfrm>
                    <a:prstGeom prst="rect">
                      <a:avLst/>
                    </a:prstGeom>
                    <a:noFill/>
                    <a:ln w="9525">
                      <a:noFill/>
                      <a:miter lim="800000"/>
                      <a:headEnd/>
                      <a:tailEnd/>
                    </a:ln>
                  </pic:spPr>
                </pic:pic>
              </a:graphicData>
            </a:graphic>
          </wp:inline>
        </w:drawing>
      </w:r>
    </w:p>
    <w:p w:rsidR="00540E1B" w:rsidRPr="00A36972" w:rsidRDefault="00540E1B" w:rsidP="00540E1B">
      <w:pPr>
        <w:rPr>
          <w:rFonts w:asciiTheme="minorHAnsi" w:hAnsiTheme="minorHAnsi" w:cstheme="minorHAnsi"/>
          <w:lang w:val="en-US"/>
        </w:rPr>
      </w:pPr>
    </w:p>
    <w:p w:rsidR="00540E1B" w:rsidRPr="00A36972" w:rsidRDefault="00540E1B" w:rsidP="00540E1B">
      <w:pPr>
        <w:rPr>
          <w:rFonts w:asciiTheme="minorHAnsi" w:hAnsiTheme="minorHAnsi" w:cstheme="minorHAnsi"/>
          <w:lang w:val="en-US"/>
        </w:rPr>
      </w:pPr>
    </w:p>
    <w:p w:rsidR="00540E1B" w:rsidRPr="00A36972" w:rsidRDefault="00540E1B" w:rsidP="00540E1B">
      <w:pPr>
        <w:rPr>
          <w:rFonts w:asciiTheme="minorHAnsi" w:hAnsiTheme="minorHAnsi" w:cstheme="minorHAnsi"/>
          <w:lang w:val="en-US"/>
        </w:rPr>
      </w:pPr>
    </w:p>
    <w:p w:rsidR="00540E1B" w:rsidRPr="00A36972" w:rsidRDefault="00540E1B" w:rsidP="00540E1B">
      <w:pPr>
        <w:rPr>
          <w:rFonts w:asciiTheme="minorHAnsi" w:hAnsiTheme="minorHAnsi" w:cstheme="minorHAnsi"/>
          <w:lang w:val="en-US"/>
        </w:rPr>
      </w:pPr>
    </w:p>
    <w:p w:rsidR="00B60A22" w:rsidRPr="00A36972" w:rsidRDefault="00540E1B" w:rsidP="00540E1B">
      <w:pPr>
        <w:tabs>
          <w:tab w:val="left" w:pos="3870"/>
        </w:tabs>
        <w:rPr>
          <w:rFonts w:asciiTheme="minorHAnsi" w:hAnsiTheme="minorHAnsi" w:cstheme="minorHAnsi"/>
          <w:lang w:val="en-US"/>
        </w:rPr>
      </w:pPr>
      <w:r w:rsidRPr="00A36972">
        <w:rPr>
          <w:rFonts w:asciiTheme="minorHAnsi" w:hAnsiTheme="minorHAnsi" w:cstheme="minorHAnsi"/>
          <w:lang w:val="en-US"/>
        </w:rPr>
        <w:tab/>
      </w:r>
    </w:p>
    <w:p w:rsidR="00540E1B" w:rsidRPr="00A36972" w:rsidRDefault="00540E1B" w:rsidP="00540E1B">
      <w:pPr>
        <w:tabs>
          <w:tab w:val="left" w:pos="3870"/>
        </w:tabs>
        <w:rPr>
          <w:rFonts w:asciiTheme="minorHAnsi" w:hAnsiTheme="minorHAnsi" w:cstheme="minorHAnsi"/>
          <w:lang w:val="en-US"/>
        </w:rPr>
      </w:pPr>
    </w:p>
    <w:p w:rsidR="00540E1B" w:rsidRPr="00A36972" w:rsidRDefault="00540E1B" w:rsidP="00540E1B">
      <w:pPr>
        <w:tabs>
          <w:tab w:val="left" w:pos="3870"/>
        </w:tabs>
        <w:rPr>
          <w:rFonts w:asciiTheme="minorHAnsi" w:hAnsiTheme="minorHAnsi" w:cstheme="minorHAnsi"/>
          <w:lang w:val="en-US"/>
        </w:rPr>
      </w:pPr>
    </w:p>
    <w:p w:rsidR="00540E1B" w:rsidRPr="00A36972" w:rsidRDefault="00540E1B" w:rsidP="00540E1B">
      <w:pPr>
        <w:tabs>
          <w:tab w:val="left" w:pos="3870"/>
        </w:tabs>
        <w:rPr>
          <w:rFonts w:asciiTheme="minorHAnsi" w:hAnsiTheme="minorHAnsi" w:cstheme="minorHAnsi"/>
          <w:b/>
          <w:lang w:val="en-US"/>
        </w:rPr>
      </w:pPr>
      <w:r w:rsidRPr="00A36972">
        <w:rPr>
          <w:rFonts w:asciiTheme="minorHAnsi" w:hAnsiTheme="minorHAnsi" w:cstheme="minorHAnsi"/>
          <w:b/>
          <w:lang w:val="en-US"/>
        </w:rPr>
        <w:lastRenderedPageBreak/>
        <w:t>Group F:</w:t>
      </w:r>
    </w:p>
    <w:p w:rsidR="00540E1B" w:rsidRPr="00A36972" w:rsidRDefault="00540E1B" w:rsidP="00540E1B">
      <w:pPr>
        <w:tabs>
          <w:tab w:val="left" w:pos="3870"/>
        </w:tabs>
        <w:rPr>
          <w:rFonts w:asciiTheme="minorHAnsi" w:hAnsiTheme="minorHAnsi" w:cstheme="minorHAnsi"/>
          <w:b/>
          <w:lang w:val="en-US"/>
        </w:rPr>
      </w:pPr>
    </w:p>
    <w:tbl>
      <w:tblPr>
        <w:tblW w:w="7228" w:type="dxa"/>
        <w:tblInd w:w="10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5"/>
        <w:gridCol w:w="1010"/>
        <w:gridCol w:w="1009"/>
        <w:gridCol w:w="1011"/>
        <w:gridCol w:w="1011"/>
        <w:gridCol w:w="1011"/>
        <w:gridCol w:w="1011"/>
      </w:tblGrid>
      <w:tr w:rsidR="00540E1B" w:rsidRPr="00A36972" w:rsidTr="00540E1B">
        <w:trPr>
          <w:cantSplit/>
          <w:tblHeader/>
        </w:trPr>
        <w:tc>
          <w:tcPr>
            <w:tcW w:w="7228" w:type="dxa"/>
            <w:gridSpan w:val="7"/>
            <w:tcBorders>
              <w:top w:val="nil"/>
              <w:left w:val="nil"/>
              <w:bottom w:val="nil"/>
              <w:right w:val="nil"/>
            </w:tcBorders>
            <w:shd w:val="clear" w:color="auto" w:fill="FFFFFF"/>
            <w:vAlign w:val="center"/>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b/>
                <w:bCs/>
                <w:sz w:val="18"/>
                <w:szCs w:val="18"/>
                <w:lang w:val="en-US"/>
              </w:rPr>
              <w:t>Tests of Normality</w:t>
            </w:r>
          </w:p>
        </w:tc>
      </w:tr>
      <w:tr w:rsidR="00540E1B" w:rsidRPr="00A36972" w:rsidTr="00540E1B">
        <w:trPr>
          <w:cantSplit/>
          <w:tblHeader/>
        </w:trPr>
        <w:tc>
          <w:tcPr>
            <w:tcW w:w="116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40E1B" w:rsidRPr="00A36972" w:rsidRDefault="00540E1B" w:rsidP="00FB63DB">
            <w:pPr>
              <w:jc w:val="center"/>
              <w:rPr>
                <w:rFonts w:asciiTheme="minorHAnsi" w:hAnsiTheme="minorHAnsi" w:cstheme="minorHAnsi"/>
                <w:sz w:val="24"/>
                <w:szCs w:val="24"/>
                <w:lang w:val="en-US"/>
              </w:rPr>
            </w:pPr>
          </w:p>
        </w:tc>
        <w:tc>
          <w:tcPr>
            <w:tcW w:w="3030" w:type="dxa"/>
            <w:gridSpan w:val="3"/>
            <w:tcBorders>
              <w:top w:val="single" w:sz="16" w:space="0" w:color="000000"/>
              <w:lef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Kolmogorov-Smirnov</w:t>
            </w:r>
            <w:r w:rsidRPr="00A36972">
              <w:rPr>
                <w:rFonts w:asciiTheme="minorHAnsi" w:hAnsiTheme="minorHAnsi" w:cstheme="minorHAnsi"/>
                <w:sz w:val="18"/>
                <w:szCs w:val="18"/>
                <w:vertAlign w:val="superscript"/>
                <w:lang w:val="en-US"/>
              </w:rPr>
              <w:t>a</w:t>
            </w:r>
          </w:p>
        </w:tc>
        <w:tc>
          <w:tcPr>
            <w:tcW w:w="3033" w:type="dxa"/>
            <w:gridSpan w:val="3"/>
            <w:tcBorders>
              <w:top w:val="single" w:sz="16" w:space="0" w:color="000000"/>
              <w:righ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Shapiro-Wilk</w:t>
            </w:r>
          </w:p>
        </w:tc>
      </w:tr>
      <w:tr w:rsidR="00540E1B" w:rsidRPr="00A36972" w:rsidTr="00540E1B">
        <w:trPr>
          <w:cantSplit/>
          <w:tblHeader/>
        </w:trPr>
        <w:tc>
          <w:tcPr>
            <w:tcW w:w="1165"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40E1B" w:rsidRPr="00A36972" w:rsidRDefault="00540E1B" w:rsidP="00FB63DB">
            <w:pPr>
              <w:rPr>
                <w:rFonts w:asciiTheme="minorHAnsi" w:hAnsiTheme="minorHAnsi" w:cstheme="minorHAnsi"/>
                <w:sz w:val="18"/>
                <w:szCs w:val="18"/>
                <w:lang w:val="en-US"/>
              </w:rPr>
            </w:pPr>
          </w:p>
        </w:tc>
        <w:tc>
          <w:tcPr>
            <w:tcW w:w="1010" w:type="dxa"/>
            <w:tcBorders>
              <w:left w:val="single" w:sz="16" w:space="0" w:color="000000"/>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09"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righ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r>
      <w:tr w:rsidR="00540E1B" w:rsidRPr="00A36972" w:rsidTr="00540E1B">
        <w:trPr>
          <w:cantSplit/>
          <w:tblHeader/>
        </w:trPr>
        <w:tc>
          <w:tcPr>
            <w:tcW w:w="1165" w:type="dxa"/>
            <w:tcBorders>
              <w:top w:val="single" w:sz="16" w:space="0" w:color="000000"/>
              <w:left w:val="single" w:sz="16" w:space="0" w:color="000000"/>
              <w:bottom w:val="single" w:sz="16" w:space="0" w:color="000000"/>
              <w:right w:val="single" w:sz="16" w:space="0" w:color="000000"/>
            </w:tcBorders>
            <w:shd w:val="clear" w:color="auto" w:fill="FFFFFF"/>
          </w:tcPr>
          <w:p w:rsidR="00540E1B" w:rsidRPr="00A36972" w:rsidRDefault="00540E1B"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Group F:</w:t>
            </w:r>
          </w:p>
        </w:tc>
        <w:tc>
          <w:tcPr>
            <w:tcW w:w="1010" w:type="dxa"/>
            <w:tcBorders>
              <w:top w:val="single" w:sz="16" w:space="0" w:color="000000"/>
              <w:left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,300</w:t>
            </w:r>
          </w:p>
        </w:tc>
        <w:tc>
          <w:tcPr>
            <w:tcW w:w="1009"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55</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,000</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,548</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55</w:t>
            </w:r>
          </w:p>
        </w:tc>
        <w:tc>
          <w:tcPr>
            <w:tcW w:w="1011" w:type="dxa"/>
            <w:tcBorders>
              <w:top w:val="single" w:sz="16" w:space="0" w:color="000000"/>
              <w:bottom w:val="single" w:sz="16" w:space="0" w:color="000000"/>
              <w:right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,000</w:t>
            </w:r>
          </w:p>
        </w:tc>
      </w:tr>
      <w:tr w:rsidR="00540E1B" w:rsidRPr="00A36972" w:rsidTr="00540E1B">
        <w:trPr>
          <w:cantSplit/>
        </w:trPr>
        <w:tc>
          <w:tcPr>
            <w:tcW w:w="7228" w:type="dxa"/>
            <w:gridSpan w:val="7"/>
            <w:tcBorders>
              <w:top w:val="nil"/>
              <w:left w:val="nil"/>
              <w:bottom w:val="nil"/>
              <w:right w:val="nil"/>
            </w:tcBorders>
            <w:shd w:val="clear" w:color="auto" w:fill="FFFFFF"/>
          </w:tcPr>
          <w:p w:rsidR="00540E1B" w:rsidRPr="00A36972" w:rsidRDefault="00540E1B"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 Lilliefors Significance Correction</w:t>
            </w:r>
          </w:p>
        </w:tc>
      </w:tr>
    </w:tbl>
    <w:p w:rsidR="00540E1B" w:rsidRPr="00A36972" w:rsidRDefault="00540E1B" w:rsidP="00540E1B">
      <w:pPr>
        <w:tabs>
          <w:tab w:val="left" w:pos="3870"/>
        </w:tabs>
        <w:rPr>
          <w:rFonts w:asciiTheme="minorHAnsi" w:hAnsiTheme="minorHAnsi" w:cstheme="minorHAnsi"/>
          <w:b/>
          <w:lang w:val="en-US"/>
        </w:rPr>
      </w:pPr>
    </w:p>
    <w:p w:rsidR="00540E1B" w:rsidRPr="00A36972" w:rsidRDefault="00540E1B" w:rsidP="00540E1B">
      <w:pPr>
        <w:tabs>
          <w:tab w:val="left" w:pos="3870"/>
        </w:tabs>
        <w:rPr>
          <w:rFonts w:asciiTheme="minorHAnsi" w:hAnsiTheme="minorHAnsi" w:cstheme="minorHAnsi"/>
          <w:b/>
          <w:lang w:val="en-US"/>
        </w:rPr>
      </w:pPr>
    </w:p>
    <w:p w:rsidR="00540E1B" w:rsidRPr="00A36972" w:rsidRDefault="00540E1B" w:rsidP="00540E1B">
      <w:pPr>
        <w:tabs>
          <w:tab w:val="left" w:pos="3870"/>
        </w:tabs>
        <w:rPr>
          <w:rFonts w:asciiTheme="minorHAnsi" w:hAnsiTheme="minorHAnsi" w:cstheme="minorHAnsi"/>
          <w:b/>
          <w:lang w:val="en-US"/>
        </w:rPr>
      </w:pPr>
      <w:r w:rsidRPr="00A36972">
        <w:rPr>
          <w:rFonts w:asciiTheme="minorHAnsi" w:hAnsiTheme="minorHAnsi" w:cstheme="minorHAnsi"/>
          <w:noProof/>
          <w:sz w:val="24"/>
          <w:szCs w:val="24"/>
          <w:lang w:eastAsia="nl-NL"/>
        </w:rPr>
        <w:drawing>
          <wp:inline distT="0" distB="0" distL="0" distR="0">
            <wp:extent cx="5734050" cy="4581525"/>
            <wp:effectExtent l="19050" t="0" r="0" b="0"/>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srcRect/>
                    <a:stretch>
                      <a:fillRect/>
                    </a:stretch>
                  </pic:blipFill>
                  <pic:spPr bwMode="auto">
                    <a:xfrm>
                      <a:off x="0" y="0"/>
                      <a:ext cx="5734050" cy="4581525"/>
                    </a:xfrm>
                    <a:prstGeom prst="rect">
                      <a:avLst/>
                    </a:prstGeom>
                    <a:noFill/>
                    <a:ln w="9525">
                      <a:noFill/>
                      <a:miter lim="800000"/>
                      <a:headEnd/>
                      <a:tailEnd/>
                    </a:ln>
                  </pic:spPr>
                </pic:pic>
              </a:graphicData>
            </a:graphic>
          </wp:inline>
        </w:drawing>
      </w:r>
    </w:p>
    <w:p w:rsidR="00540E1B" w:rsidRPr="00A36972" w:rsidRDefault="00540E1B" w:rsidP="00540E1B">
      <w:pPr>
        <w:rPr>
          <w:rFonts w:asciiTheme="minorHAnsi" w:hAnsiTheme="minorHAnsi" w:cstheme="minorHAnsi"/>
          <w:lang w:val="en-US"/>
        </w:rPr>
      </w:pPr>
    </w:p>
    <w:p w:rsidR="00540E1B" w:rsidRPr="00A36972" w:rsidRDefault="00540E1B" w:rsidP="00540E1B">
      <w:pPr>
        <w:rPr>
          <w:rFonts w:asciiTheme="minorHAnsi" w:hAnsiTheme="minorHAnsi" w:cstheme="minorHAnsi"/>
          <w:lang w:val="en-US"/>
        </w:rPr>
      </w:pPr>
    </w:p>
    <w:p w:rsidR="00540E1B" w:rsidRPr="00A36972" w:rsidRDefault="00540E1B" w:rsidP="00540E1B">
      <w:pPr>
        <w:rPr>
          <w:rFonts w:asciiTheme="minorHAnsi" w:hAnsiTheme="minorHAnsi" w:cstheme="minorHAnsi"/>
          <w:lang w:val="en-US"/>
        </w:rPr>
      </w:pPr>
    </w:p>
    <w:p w:rsidR="00540E1B" w:rsidRPr="00A36972" w:rsidRDefault="00540E1B" w:rsidP="00540E1B">
      <w:pPr>
        <w:rPr>
          <w:rFonts w:asciiTheme="minorHAnsi" w:hAnsiTheme="minorHAnsi" w:cstheme="minorHAnsi"/>
          <w:lang w:val="en-US"/>
        </w:rPr>
      </w:pPr>
    </w:p>
    <w:p w:rsidR="00540E1B" w:rsidRPr="00A36972" w:rsidRDefault="00540E1B" w:rsidP="00540E1B">
      <w:pPr>
        <w:rPr>
          <w:rFonts w:asciiTheme="minorHAnsi" w:hAnsiTheme="minorHAnsi" w:cstheme="minorHAnsi"/>
          <w:lang w:val="en-US"/>
        </w:rPr>
      </w:pPr>
    </w:p>
    <w:p w:rsidR="00540E1B" w:rsidRPr="00A36972" w:rsidRDefault="00540E1B" w:rsidP="00540E1B">
      <w:pPr>
        <w:rPr>
          <w:rFonts w:asciiTheme="minorHAnsi" w:hAnsiTheme="minorHAnsi" w:cstheme="minorHAnsi"/>
          <w:lang w:val="en-US"/>
        </w:rPr>
      </w:pPr>
    </w:p>
    <w:p w:rsidR="00540E1B" w:rsidRPr="00A36972" w:rsidRDefault="00540E1B" w:rsidP="00540E1B">
      <w:pPr>
        <w:rPr>
          <w:rFonts w:asciiTheme="minorHAnsi" w:hAnsiTheme="minorHAnsi" w:cstheme="minorHAnsi"/>
          <w:lang w:val="en-US"/>
        </w:rPr>
      </w:pPr>
    </w:p>
    <w:p w:rsidR="00540E1B" w:rsidRPr="00A36972" w:rsidRDefault="00540E1B" w:rsidP="00540E1B">
      <w:pPr>
        <w:tabs>
          <w:tab w:val="left" w:pos="750"/>
        </w:tabs>
        <w:rPr>
          <w:rFonts w:asciiTheme="minorHAnsi" w:hAnsiTheme="minorHAnsi" w:cstheme="minorHAnsi"/>
          <w:lang w:val="en-US"/>
        </w:rPr>
      </w:pPr>
      <w:r w:rsidRPr="00A36972">
        <w:rPr>
          <w:rFonts w:asciiTheme="minorHAnsi" w:hAnsiTheme="minorHAnsi" w:cstheme="minorHAnsi"/>
          <w:lang w:val="en-US"/>
        </w:rPr>
        <w:tab/>
      </w:r>
    </w:p>
    <w:p w:rsidR="00540E1B" w:rsidRPr="00A36972" w:rsidRDefault="00540E1B" w:rsidP="00540E1B">
      <w:pPr>
        <w:tabs>
          <w:tab w:val="left" w:pos="750"/>
        </w:tabs>
        <w:rPr>
          <w:rFonts w:asciiTheme="minorHAnsi" w:hAnsiTheme="minorHAnsi" w:cstheme="minorHAnsi"/>
          <w:lang w:val="en-US"/>
        </w:rPr>
      </w:pPr>
    </w:p>
    <w:p w:rsidR="00540E1B" w:rsidRPr="00A36972" w:rsidRDefault="00540E1B" w:rsidP="00540E1B">
      <w:pPr>
        <w:pStyle w:val="Tabletitle"/>
        <w:rPr>
          <w:rFonts w:asciiTheme="minorHAnsi" w:hAnsiTheme="minorHAnsi" w:cstheme="minorHAnsi"/>
          <w:lang w:val="en-US"/>
        </w:rPr>
      </w:pPr>
      <w:r w:rsidRPr="00A36972">
        <w:rPr>
          <w:rFonts w:asciiTheme="minorHAnsi" w:hAnsiTheme="minorHAnsi" w:cstheme="minorHAnsi"/>
          <w:lang w:val="en-US"/>
        </w:rPr>
        <w:lastRenderedPageBreak/>
        <w:t>Kolmogorov-Smirnov test results for non-announcing firms in the Post-IFRS period.</w:t>
      </w:r>
    </w:p>
    <w:p w:rsidR="00540E1B" w:rsidRPr="00A36972" w:rsidRDefault="00540E1B" w:rsidP="00540E1B">
      <w:pPr>
        <w:pStyle w:val="Tabletext"/>
        <w:rPr>
          <w:rFonts w:asciiTheme="minorHAnsi" w:hAnsiTheme="minorHAnsi" w:cstheme="minorHAnsi"/>
          <w:lang w:val="en-US"/>
        </w:rPr>
      </w:pPr>
    </w:p>
    <w:p w:rsidR="00540E1B" w:rsidRPr="00A36972" w:rsidRDefault="00540E1B" w:rsidP="00540E1B">
      <w:pPr>
        <w:pStyle w:val="Tabletext"/>
        <w:rPr>
          <w:rFonts w:asciiTheme="minorHAnsi" w:hAnsiTheme="minorHAnsi" w:cstheme="minorHAnsi"/>
          <w:b/>
          <w:sz w:val="22"/>
          <w:szCs w:val="22"/>
          <w:lang w:val="en-US"/>
        </w:rPr>
      </w:pPr>
      <w:r w:rsidRPr="00A36972">
        <w:rPr>
          <w:rFonts w:asciiTheme="minorHAnsi" w:hAnsiTheme="minorHAnsi" w:cstheme="minorHAnsi"/>
          <w:b/>
          <w:sz w:val="22"/>
          <w:szCs w:val="22"/>
          <w:lang w:val="en-US"/>
        </w:rPr>
        <w:t>Group A:</w:t>
      </w:r>
    </w:p>
    <w:p w:rsidR="00540E1B" w:rsidRPr="00A36972" w:rsidRDefault="00540E1B" w:rsidP="00540E1B">
      <w:pPr>
        <w:pStyle w:val="Tabletext"/>
        <w:rPr>
          <w:rFonts w:asciiTheme="minorHAnsi" w:hAnsiTheme="minorHAnsi" w:cstheme="minorHAnsi"/>
          <w:b/>
          <w:sz w:val="22"/>
          <w:szCs w:val="22"/>
          <w:lang w:val="en-US"/>
        </w:rPr>
      </w:pPr>
    </w:p>
    <w:tbl>
      <w:tblPr>
        <w:tblW w:w="7228" w:type="dxa"/>
        <w:tblInd w:w="10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5"/>
        <w:gridCol w:w="1010"/>
        <w:gridCol w:w="1009"/>
        <w:gridCol w:w="1011"/>
        <w:gridCol w:w="1011"/>
        <w:gridCol w:w="1011"/>
        <w:gridCol w:w="1011"/>
      </w:tblGrid>
      <w:tr w:rsidR="00540E1B" w:rsidRPr="00A36972" w:rsidTr="00540E1B">
        <w:trPr>
          <w:cantSplit/>
          <w:tblHeader/>
        </w:trPr>
        <w:tc>
          <w:tcPr>
            <w:tcW w:w="7228" w:type="dxa"/>
            <w:gridSpan w:val="7"/>
            <w:tcBorders>
              <w:top w:val="nil"/>
              <w:left w:val="nil"/>
              <w:bottom w:val="nil"/>
              <w:right w:val="nil"/>
            </w:tcBorders>
            <w:shd w:val="clear" w:color="auto" w:fill="FFFFFF"/>
            <w:vAlign w:val="center"/>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b/>
                <w:bCs/>
                <w:sz w:val="18"/>
                <w:szCs w:val="18"/>
                <w:lang w:val="en-US"/>
              </w:rPr>
              <w:t>Tests of Normality</w:t>
            </w:r>
          </w:p>
        </w:tc>
      </w:tr>
      <w:tr w:rsidR="00540E1B" w:rsidRPr="00A36972" w:rsidTr="00540E1B">
        <w:trPr>
          <w:cantSplit/>
          <w:tblHeader/>
        </w:trPr>
        <w:tc>
          <w:tcPr>
            <w:tcW w:w="116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40E1B" w:rsidRPr="00A36972" w:rsidRDefault="00540E1B" w:rsidP="00FB63DB">
            <w:pPr>
              <w:jc w:val="center"/>
              <w:rPr>
                <w:rFonts w:asciiTheme="minorHAnsi" w:hAnsiTheme="minorHAnsi" w:cstheme="minorHAnsi"/>
                <w:sz w:val="24"/>
                <w:szCs w:val="24"/>
                <w:lang w:val="en-US"/>
              </w:rPr>
            </w:pPr>
          </w:p>
        </w:tc>
        <w:tc>
          <w:tcPr>
            <w:tcW w:w="3030" w:type="dxa"/>
            <w:gridSpan w:val="3"/>
            <w:tcBorders>
              <w:top w:val="single" w:sz="16" w:space="0" w:color="000000"/>
              <w:lef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Kolmogorov-Smirnov</w:t>
            </w:r>
            <w:r w:rsidRPr="00A36972">
              <w:rPr>
                <w:rFonts w:asciiTheme="minorHAnsi" w:hAnsiTheme="minorHAnsi" w:cstheme="minorHAnsi"/>
                <w:sz w:val="18"/>
                <w:szCs w:val="18"/>
                <w:vertAlign w:val="superscript"/>
                <w:lang w:val="en-US"/>
              </w:rPr>
              <w:t>a</w:t>
            </w:r>
          </w:p>
        </w:tc>
        <w:tc>
          <w:tcPr>
            <w:tcW w:w="3033" w:type="dxa"/>
            <w:gridSpan w:val="3"/>
            <w:tcBorders>
              <w:top w:val="single" w:sz="16" w:space="0" w:color="000000"/>
              <w:righ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Shapiro-Wilk</w:t>
            </w:r>
          </w:p>
        </w:tc>
      </w:tr>
      <w:tr w:rsidR="00540E1B" w:rsidRPr="00A36972" w:rsidTr="00540E1B">
        <w:trPr>
          <w:cantSplit/>
          <w:tblHeader/>
        </w:trPr>
        <w:tc>
          <w:tcPr>
            <w:tcW w:w="1165"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40E1B" w:rsidRPr="00A36972" w:rsidRDefault="00540E1B" w:rsidP="00FB63DB">
            <w:pPr>
              <w:rPr>
                <w:rFonts w:asciiTheme="minorHAnsi" w:hAnsiTheme="minorHAnsi" w:cstheme="minorHAnsi"/>
                <w:sz w:val="18"/>
                <w:szCs w:val="18"/>
                <w:lang w:val="en-US"/>
              </w:rPr>
            </w:pPr>
          </w:p>
        </w:tc>
        <w:tc>
          <w:tcPr>
            <w:tcW w:w="1010" w:type="dxa"/>
            <w:tcBorders>
              <w:left w:val="single" w:sz="16" w:space="0" w:color="000000"/>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09"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righ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r>
      <w:tr w:rsidR="00540E1B" w:rsidRPr="00A36972" w:rsidTr="00540E1B">
        <w:trPr>
          <w:cantSplit/>
          <w:tblHeader/>
        </w:trPr>
        <w:tc>
          <w:tcPr>
            <w:tcW w:w="1165" w:type="dxa"/>
            <w:tcBorders>
              <w:top w:val="single" w:sz="16" w:space="0" w:color="000000"/>
              <w:left w:val="single" w:sz="16" w:space="0" w:color="000000"/>
              <w:bottom w:val="single" w:sz="16" w:space="0" w:color="000000"/>
              <w:right w:val="single" w:sz="16" w:space="0" w:color="000000"/>
            </w:tcBorders>
            <w:shd w:val="clear" w:color="auto" w:fill="FFFFFF"/>
          </w:tcPr>
          <w:p w:rsidR="00540E1B" w:rsidRPr="00A36972" w:rsidRDefault="00540E1B"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Group A:</w:t>
            </w:r>
          </w:p>
        </w:tc>
        <w:tc>
          <w:tcPr>
            <w:tcW w:w="1010" w:type="dxa"/>
            <w:tcBorders>
              <w:top w:val="single" w:sz="16" w:space="0" w:color="000000"/>
              <w:left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,294</w:t>
            </w:r>
          </w:p>
        </w:tc>
        <w:tc>
          <w:tcPr>
            <w:tcW w:w="1009"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22</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,000</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,675</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22</w:t>
            </w:r>
          </w:p>
        </w:tc>
        <w:tc>
          <w:tcPr>
            <w:tcW w:w="1011" w:type="dxa"/>
            <w:tcBorders>
              <w:top w:val="single" w:sz="16" w:space="0" w:color="000000"/>
              <w:bottom w:val="single" w:sz="16" w:space="0" w:color="000000"/>
              <w:right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,000</w:t>
            </w:r>
          </w:p>
        </w:tc>
      </w:tr>
      <w:tr w:rsidR="00540E1B" w:rsidRPr="00A36972" w:rsidTr="00540E1B">
        <w:trPr>
          <w:cantSplit/>
        </w:trPr>
        <w:tc>
          <w:tcPr>
            <w:tcW w:w="7228" w:type="dxa"/>
            <w:gridSpan w:val="7"/>
            <w:tcBorders>
              <w:top w:val="nil"/>
              <w:left w:val="nil"/>
              <w:bottom w:val="nil"/>
              <w:right w:val="nil"/>
            </w:tcBorders>
            <w:shd w:val="clear" w:color="auto" w:fill="FFFFFF"/>
          </w:tcPr>
          <w:p w:rsidR="00540E1B" w:rsidRPr="00A36972" w:rsidRDefault="00540E1B"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 Lilliefors Significance Correction</w:t>
            </w:r>
          </w:p>
        </w:tc>
      </w:tr>
    </w:tbl>
    <w:p w:rsidR="00540E1B" w:rsidRPr="00A36972" w:rsidRDefault="00540E1B" w:rsidP="00540E1B">
      <w:pPr>
        <w:pStyle w:val="Tabletext"/>
        <w:rPr>
          <w:rFonts w:asciiTheme="minorHAnsi" w:hAnsiTheme="minorHAnsi" w:cstheme="minorHAnsi"/>
          <w:b/>
          <w:sz w:val="22"/>
          <w:szCs w:val="22"/>
          <w:lang w:val="en-US"/>
        </w:rPr>
      </w:pPr>
    </w:p>
    <w:p w:rsidR="00540E1B" w:rsidRPr="00A36972" w:rsidRDefault="00540E1B" w:rsidP="00540E1B">
      <w:pPr>
        <w:pStyle w:val="Tabletext"/>
        <w:rPr>
          <w:rFonts w:asciiTheme="minorHAnsi" w:hAnsiTheme="minorHAnsi" w:cstheme="minorHAnsi"/>
          <w:b/>
          <w:sz w:val="22"/>
          <w:szCs w:val="22"/>
          <w:lang w:val="en-US"/>
        </w:rPr>
      </w:pPr>
    </w:p>
    <w:p w:rsidR="00540E1B" w:rsidRPr="00A36972" w:rsidRDefault="00540E1B" w:rsidP="00540E1B">
      <w:pPr>
        <w:pStyle w:val="Tabletext"/>
        <w:rPr>
          <w:rFonts w:asciiTheme="minorHAnsi" w:hAnsiTheme="minorHAnsi" w:cstheme="minorHAnsi"/>
          <w:b/>
          <w:sz w:val="22"/>
          <w:szCs w:val="22"/>
          <w:lang w:val="en-US"/>
        </w:rPr>
      </w:pPr>
      <w:r w:rsidRPr="00A36972">
        <w:rPr>
          <w:rFonts w:asciiTheme="minorHAnsi" w:hAnsiTheme="minorHAnsi" w:cstheme="minorHAnsi"/>
          <w:noProof/>
          <w:sz w:val="24"/>
          <w:szCs w:val="24"/>
          <w:lang w:eastAsia="nl-NL"/>
        </w:rPr>
        <w:drawing>
          <wp:inline distT="0" distB="0" distL="0" distR="0">
            <wp:extent cx="5734050" cy="4581525"/>
            <wp:effectExtent l="19050" t="0" r="0" b="0"/>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4"/>
                    <a:srcRect/>
                    <a:stretch>
                      <a:fillRect/>
                    </a:stretch>
                  </pic:blipFill>
                  <pic:spPr bwMode="auto">
                    <a:xfrm>
                      <a:off x="0" y="0"/>
                      <a:ext cx="5734050" cy="4581525"/>
                    </a:xfrm>
                    <a:prstGeom prst="rect">
                      <a:avLst/>
                    </a:prstGeom>
                    <a:noFill/>
                    <a:ln w="9525">
                      <a:noFill/>
                      <a:miter lim="800000"/>
                      <a:headEnd/>
                      <a:tailEnd/>
                    </a:ln>
                  </pic:spPr>
                </pic:pic>
              </a:graphicData>
            </a:graphic>
          </wp:inline>
        </w:drawing>
      </w:r>
    </w:p>
    <w:p w:rsidR="00540E1B" w:rsidRPr="00A36972" w:rsidRDefault="00540E1B" w:rsidP="00540E1B">
      <w:pPr>
        <w:tabs>
          <w:tab w:val="left" w:pos="750"/>
        </w:tabs>
        <w:rPr>
          <w:rFonts w:asciiTheme="minorHAnsi" w:hAnsiTheme="minorHAnsi" w:cstheme="minorHAnsi"/>
          <w:lang w:val="en-US"/>
        </w:rPr>
      </w:pPr>
    </w:p>
    <w:p w:rsidR="00540E1B" w:rsidRPr="00A36972" w:rsidRDefault="00540E1B" w:rsidP="00540E1B">
      <w:pPr>
        <w:tabs>
          <w:tab w:val="left" w:pos="750"/>
        </w:tabs>
        <w:rPr>
          <w:rFonts w:asciiTheme="minorHAnsi" w:hAnsiTheme="minorHAnsi" w:cstheme="minorHAnsi"/>
          <w:lang w:val="en-US"/>
        </w:rPr>
      </w:pPr>
    </w:p>
    <w:p w:rsidR="00540E1B" w:rsidRPr="00A36972" w:rsidRDefault="00540E1B" w:rsidP="00540E1B">
      <w:pPr>
        <w:tabs>
          <w:tab w:val="left" w:pos="750"/>
        </w:tabs>
        <w:rPr>
          <w:rFonts w:asciiTheme="minorHAnsi" w:hAnsiTheme="minorHAnsi" w:cstheme="minorHAnsi"/>
          <w:lang w:val="en-US"/>
        </w:rPr>
      </w:pPr>
    </w:p>
    <w:p w:rsidR="00540E1B" w:rsidRPr="00A36972" w:rsidRDefault="00540E1B" w:rsidP="00540E1B">
      <w:pPr>
        <w:tabs>
          <w:tab w:val="left" w:pos="750"/>
        </w:tabs>
        <w:rPr>
          <w:rFonts w:asciiTheme="minorHAnsi" w:hAnsiTheme="minorHAnsi" w:cstheme="minorHAnsi"/>
          <w:lang w:val="en-US"/>
        </w:rPr>
      </w:pPr>
    </w:p>
    <w:p w:rsidR="00540E1B" w:rsidRPr="00A36972" w:rsidRDefault="00540E1B" w:rsidP="00540E1B">
      <w:pPr>
        <w:tabs>
          <w:tab w:val="left" w:pos="750"/>
        </w:tabs>
        <w:rPr>
          <w:rFonts w:asciiTheme="minorHAnsi" w:hAnsiTheme="minorHAnsi" w:cstheme="minorHAnsi"/>
          <w:lang w:val="en-US"/>
        </w:rPr>
      </w:pPr>
    </w:p>
    <w:p w:rsidR="00540E1B" w:rsidRPr="00A36972" w:rsidRDefault="00540E1B" w:rsidP="00540E1B">
      <w:pPr>
        <w:tabs>
          <w:tab w:val="left" w:pos="750"/>
        </w:tabs>
        <w:rPr>
          <w:rFonts w:asciiTheme="minorHAnsi" w:hAnsiTheme="minorHAnsi" w:cstheme="minorHAnsi"/>
          <w:lang w:val="en-US"/>
        </w:rPr>
      </w:pPr>
    </w:p>
    <w:p w:rsidR="00540E1B" w:rsidRPr="00A36972" w:rsidRDefault="00540E1B" w:rsidP="00540E1B">
      <w:pPr>
        <w:tabs>
          <w:tab w:val="left" w:pos="750"/>
        </w:tabs>
        <w:rPr>
          <w:rFonts w:asciiTheme="minorHAnsi" w:hAnsiTheme="minorHAnsi" w:cstheme="minorHAnsi"/>
          <w:lang w:val="en-US"/>
        </w:rPr>
      </w:pPr>
    </w:p>
    <w:p w:rsidR="00540E1B" w:rsidRPr="00A36972" w:rsidRDefault="00540E1B" w:rsidP="00540E1B">
      <w:pPr>
        <w:tabs>
          <w:tab w:val="left" w:pos="750"/>
        </w:tabs>
        <w:rPr>
          <w:rFonts w:asciiTheme="minorHAnsi" w:hAnsiTheme="minorHAnsi" w:cstheme="minorHAnsi"/>
          <w:b/>
          <w:lang w:val="en-US"/>
        </w:rPr>
      </w:pPr>
      <w:r w:rsidRPr="00A36972">
        <w:rPr>
          <w:rFonts w:asciiTheme="minorHAnsi" w:hAnsiTheme="minorHAnsi" w:cstheme="minorHAnsi"/>
          <w:b/>
          <w:lang w:val="en-US"/>
        </w:rPr>
        <w:lastRenderedPageBreak/>
        <w:t>Group B:</w:t>
      </w:r>
    </w:p>
    <w:p w:rsidR="00540E1B" w:rsidRPr="00A36972" w:rsidRDefault="00540E1B" w:rsidP="00540E1B">
      <w:pPr>
        <w:tabs>
          <w:tab w:val="left" w:pos="750"/>
        </w:tabs>
        <w:rPr>
          <w:rFonts w:asciiTheme="minorHAnsi" w:hAnsiTheme="minorHAnsi" w:cstheme="minorHAnsi"/>
          <w:b/>
          <w:lang w:val="en-US"/>
        </w:rPr>
      </w:pPr>
    </w:p>
    <w:tbl>
      <w:tblPr>
        <w:tblW w:w="7228" w:type="dxa"/>
        <w:tblInd w:w="10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5"/>
        <w:gridCol w:w="1010"/>
        <w:gridCol w:w="1009"/>
        <w:gridCol w:w="1011"/>
        <w:gridCol w:w="1011"/>
        <w:gridCol w:w="1011"/>
        <w:gridCol w:w="1011"/>
      </w:tblGrid>
      <w:tr w:rsidR="00540E1B" w:rsidRPr="00A36972" w:rsidTr="00540E1B">
        <w:trPr>
          <w:cantSplit/>
          <w:tblHeader/>
        </w:trPr>
        <w:tc>
          <w:tcPr>
            <w:tcW w:w="7228" w:type="dxa"/>
            <w:gridSpan w:val="7"/>
            <w:tcBorders>
              <w:top w:val="nil"/>
              <w:left w:val="nil"/>
              <w:bottom w:val="nil"/>
              <w:right w:val="nil"/>
            </w:tcBorders>
            <w:shd w:val="clear" w:color="auto" w:fill="FFFFFF"/>
            <w:vAlign w:val="center"/>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b/>
                <w:bCs/>
                <w:sz w:val="18"/>
                <w:szCs w:val="18"/>
                <w:lang w:val="en-US"/>
              </w:rPr>
              <w:t>Tests of Normality</w:t>
            </w:r>
          </w:p>
        </w:tc>
      </w:tr>
      <w:tr w:rsidR="00540E1B" w:rsidRPr="00A36972" w:rsidTr="00540E1B">
        <w:trPr>
          <w:cantSplit/>
          <w:tblHeader/>
        </w:trPr>
        <w:tc>
          <w:tcPr>
            <w:tcW w:w="116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40E1B" w:rsidRPr="00A36972" w:rsidRDefault="00540E1B" w:rsidP="00FB63DB">
            <w:pPr>
              <w:jc w:val="center"/>
              <w:rPr>
                <w:rFonts w:asciiTheme="minorHAnsi" w:hAnsiTheme="minorHAnsi" w:cstheme="minorHAnsi"/>
                <w:sz w:val="24"/>
                <w:szCs w:val="24"/>
                <w:lang w:val="en-US"/>
              </w:rPr>
            </w:pPr>
          </w:p>
        </w:tc>
        <w:tc>
          <w:tcPr>
            <w:tcW w:w="3030" w:type="dxa"/>
            <w:gridSpan w:val="3"/>
            <w:tcBorders>
              <w:top w:val="single" w:sz="16" w:space="0" w:color="000000"/>
              <w:lef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Kolmogorov-Smirnov</w:t>
            </w:r>
            <w:r w:rsidRPr="00A36972">
              <w:rPr>
                <w:rFonts w:asciiTheme="minorHAnsi" w:hAnsiTheme="minorHAnsi" w:cstheme="minorHAnsi"/>
                <w:sz w:val="18"/>
                <w:szCs w:val="18"/>
                <w:vertAlign w:val="superscript"/>
                <w:lang w:val="en-US"/>
              </w:rPr>
              <w:t>a</w:t>
            </w:r>
          </w:p>
        </w:tc>
        <w:tc>
          <w:tcPr>
            <w:tcW w:w="3033" w:type="dxa"/>
            <w:gridSpan w:val="3"/>
            <w:tcBorders>
              <w:top w:val="single" w:sz="16" w:space="0" w:color="000000"/>
              <w:righ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Shapiro-Wilk</w:t>
            </w:r>
          </w:p>
        </w:tc>
      </w:tr>
      <w:tr w:rsidR="00540E1B" w:rsidRPr="00A36972" w:rsidTr="00540E1B">
        <w:trPr>
          <w:cantSplit/>
          <w:tblHeader/>
        </w:trPr>
        <w:tc>
          <w:tcPr>
            <w:tcW w:w="1165"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40E1B" w:rsidRPr="00A36972" w:rsidRDefault="00540E1B" w:rsidP="00FB63DB">
            <w:pPr>
              <w:rPr>
                <w:rFonts w:asciiTheme="minorHAnsi" w:hAnsiTheme="minorHAnsi" w:cstheme="minorHAnsi"/>
                <w:sz w:val="18"/>
                <w:szCs w:val="18"/>
                <w:lang w:val="en-US"/>
              </w:rPr>
            </w:pPr>
          </w:p>
        </w:tc>
        <w:tc>
          <w:tcPr>
            <w:tcW w:w="1010" w:type="dxa"/>
            <w:tcBorders>
              <w:left w:val="single" w:sz="16" w:space="0" w:color="000000"/>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09"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righ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r>
      <w:tr w:rsidR="00540E1B" w:rsidRPr="00A36972" w:rsidTr="00540E1B">
        <w:trPr>
          <w:cantSplit/>
          <w:tblHeader/>
        </w:trPr>
        <w:tc>
          <w:tcPr>
            <w:tcW w:w="1165" w:type="dxa"/>
            <w:tcBorders>
              <w:top w:val="single" w:sz="16" w:space="0" w:color="000000"/>
              <w:left w:val="single" w:sz="16" w:space="0" w:color="000000"/>
              <w:bottom w:val="single" w:sz="16" w:space="0" w:color="000000"/>
              <w:right w:val="single" w:sz="16" w:space="0" w:color="000000"/>
            </w:tcBorders>
            <w:shd w:val="clear" w:color="auto" w:fill="FFFFFF"/>
          </w:tcPr>
          <w:p w:rsidR="00540E1B" w:rsidRPr="00A36972" w:rsidRDefault="00540E1B"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Group B:</w:t>
            </w:r>
          </w:p>
        </w:tc>
        <w:tc>
          <w:tcPr>
            <w:tcW w:w="1010" w:type="dxa"/>
            <w:tcBorders>
              <w:top w:val="single" w:sz="16" w:space="0" w:color="000000"/>
              <w:left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,331</w:t>
            </w:r>
          </w:p>
        </w:tc>
        <w:tc>
          <w:tcPr>
            <w:tcW w:w="1009"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10</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,003</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,607</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10</w:t>
            </w:r>
          </w:p>
        </w:tc>
        <w:tc>
          <w:tcPr>
            <w:tcW w:w="1011" w:type="dxa"/>
            <w:tcBorders>
              <w:top w:val="single" w:sz="16" w:space="0" w:color="000000"/>
              <w:bottom w:val="single" w:sz="16" w:space="0" w:color="000000"/>
              <w:right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,000</w:t>
            </w:r>
          </w:p>
        </w:tc>
      </w:tr>
      <w:tr w:rsidR="00540E1B" w:rsidRPr="00A36972" w:rsidTr="00540E1B">
        <w:trPr>
          <w:cantSplit/>
        </w:trPr>
        <w:tc>
          <w:tcPr>
            <w:tcW w:w="7228" w:type="dxa"/>
            <w:gridSpan w:val="7"/>
            <w:tcBorders>
              <w:top w:val="nil"/>
              <w:left w:val="nil"/>
              <w:bottom w:val="nil"/>
              <w:right w:val="nil"/>
            </w:tcBorders>
            <w:shd w:val="clear" w:color="auto" w:fill="FFFFFF"/>
          </w:tcPr>
          <w:p w:rsidR="00540E1B" w:rsidRPr="00A36972" w:rsidRDefault="00540E1B"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 Lilliefors Significance Correction</w:t>
            </w:r>
          </w:p>
        </w:tc>
      </w:tr>
    </w:tbl>
    <w:p w:rsidR="00540E1B" w:rsidRPr="00A36972" w:rsidRDefault="00540E1B" w:rsidP="00540E1B">
      <w:pPr>
        <w:tabs>
          <w:tab w:val="left" w:pos="750"/>
        </w:tabs>
        <w:rPr>
          <w:rFonts w:asciiTheme="minorHAnsi" w:hAnsiTheme="minorHAnsi" w:cstheme="minorHAnsi"/>
          <w:b/>
          <w:lang w:val="en-US"/>
        </w:rPr>
      </w:pPr>
    </w:p>
    <w:p w:rsidR="00540E1B" w:rsidRPr="00A36972" w:rsidRDefault="00540E1B" w:rsidP="00540E1B">
      <w:pPr>
        <w:tabs>
          <w:tab w:val="left" w:pos="750"/>
        </w:tabs>
        <w:rPr>
          <w:rFonts w:asciiTheme="minorHAnsi" w:hAnsiTheme="minorHAnsi" w:cstheme="minorHAnsi"/>
          <w:b/>
          <w:lang w:val="en-US"/>
        </w:rPr>
      </w:pPr>
    </w:p>
    <w:p w:rsidR="00540E1B" w:rsidRPr="00A36972" w:rsidRDefault="00540E1B" w:rsidP="00540E1B">
      <w:pPr>
        <w:tabs>
          <w:tab w:val="left" w:pos="750"/>
        </w:tabs>
        <w:rPr>
          <w:rFonts w:asciiTheme="minorHAnsi" w:hAnsiTheme="minorHAnsi" w:cstheme="minorHAnsi"/>
          <w:b/>
          <w:lang w:val="en-US"/>
        </w:rPr>
      </w:pPr>
      <w:r w:rsidRPr="00A36972">
        <w:rPr>
          <w:rFonts w:asciiTheme="minorHAnsi" w:hAnsiTheme="minorHAnsi" w:cstheme="minorHAnsi"/>
          <w:noProof/>
          <w:sz w:val="24"/>
          <w:szCs w:val="24"/>
          <w:lang w:eastAsia="nl-NL"/>
        </w:rPr>
        <w:drawing>
          <wp:inline distT="0" distB="0" distL="0" distR="0">
            <wp:extent cx="5734050" cy="4581525"/>
            <wp:effectExtent l="19050" t="0" r="0" b="0"/>
            <wp:docPr id="32"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5"/>
                    <a:srcRect/>
                    <a:stretch>
                      <a:fillRect/>
                    </a:stretch>
                  </pic:blipFill>
                  <pic:spPr bwMode="auto">
                    <a:xfrm>
                      <a:off x="0" y="0"/>
                      <a:ext cx="5734050" cy="4581525"/>
                    </a:xfrm>
                    <a:prstGeom prst="rect">
                      <a:avLst/>
                    </a:prstGeom>
                    <a:noFill/>
                    <a:ln w="9525">
                      <a:noFill/>
                      <a:miter lim="800000"/>
                      <a:headEnd/>
                      <a:tailEnd/>
                    </a:ln>
                  </pic:spPr>
                </pic:pic>
              </a:graphicData>
            </a:graphic>
          </wp:inline>
        </w:drawing>
      </w:r>
    </w:p>
    <w:p w:rsidR="00540E1B" w:rsidRPr="00A36972" w:rsidRDefault="00540E1B" w:rsidP="00540E1B">
      <w:pPr>
        <w:rPr>
          <w:rFonts w:asciiTheme="minorHAnsi" w:hAnsiTheme="minorHAnsi" w:cstheme="minorHAnsi"/>
          <w:lang w:val="en-US"/>
        </w:rPr>
      </w:pPr>
    </w:p>
    <w:p w:rsidR="00540E1B" w:rsidRPr="00A36972" w:rsidRDefault="00540E1B" w:rsidP="00540E1B">
      <w:pPr>
        <w:rPr>
          <w:rFonts w:asciiTheme="minorHAnsi" w:hAnsiTheme="minorHAnsi" w:cstheme="minorHAnsi"/>
          <w:lang w:val="en-US"/>
        </w:rPr>
      </w:pPr>
    </w:p>
    <w:p w:rsidR="00540E1B" w:rsidRPr="00A36972" w:rsidRDefault="00540E1B" w:rsidP="00540E1B">
      <w:pPr>
        <w:rPr>
          <w:rFonts w:asciiTheme="minorHAnsi" w:hAnsiTheme="minorHAnsi" w:cstheme="minorHAnsi"/>
          <w:lang w:val="en-US"/>
        </w:rPr>
      </w:pPr>
    </w:p>
    <w:p w:rsidR="00540E1B" w:rsidRPr="00A36972" w:rsidRDefault="00540E1B" w:rsidP="00540E1B">
      <w:pPr>
        <w:rPr>
          <w:rFonts w:asciiTheme="minorHAnsi" w:hAnsiTheme="minorHAnsi" w:cstheme="minorHAnsi"/>
          <w:lang w:val="en-US"/>
        </w:rPr>
      </w:pPr>
    </w:p>
    <w:p w:rsidR="00540E1B" w:rsidRPr="00A36972" w:rsidRDefault="00540E1B" w:rsidP="00540E1B">
      <w:pPr>
        <w:rPr>
          <w:rFonts w:asciiTheme="minorHAnsi" w:hAnsiTheme="minorHAnsi" w:cstheme="minorHAnsi"/>
          <w:lang w:val="en-US"/>
        </w:rPr>
      </w:pPr>
    </w:p>
    <w:p w:rsidR="00540E1B" w:rsidRPr="00A36972" w:rsidRDefault="00540E1B" w:rsidP="00540E1B">
      <w:pPr>
        <w:tabs>
          <w:tab w:val="left" w:pos="3015"/>
        </w:tabs>
        <w:rPr>
          <w:rFonts w:asciiTheme="minorHAnsi" w:hAnsiTheme="minorHAnsi" w:cstheme="minorHAnsi"/>
          <w:lang w:val="en-US"/>
        </w:rPr>
      </w:pPr>
      <w:r w:rsidRPr="00A36972">
        <w:rPr>
          <w:rFonts w:asciiTheme="minorHAnsi" w:hAnsiTheme="minorHAnsi" w:cstheme="minorHAnsi"/>
          <w:lang w:val="en-US"/>
        </w:rPr>
        <w:tab/>
      </w:r>
    </w:p>
    <w:p w:rsidR="00540E1B" w:rsidRPr="00A36972" w:rsidRDefault="00540E1B" w:rsidP="00540E1B">
      <w:pPr>
        <w:tabs>
          <w:tab w:val="left" w:pos="3015"/>
        </w:tabs>
        <w:rPr>
          <w:rFonts w:asciiTheme="minorHAnsi" w:hAnsiTheme="minorHAnsi" w:cstheme="minorHAnsi"/>
          <w:lang w:val="en-US"/>
        </w:rPr>
      </w:pPr>
    </w:p>
    <w:p w:rsidR="00540E1B" w:rsidRPr="00A36972" w:rsidRDefault="00540E1B" w:rsidP="00540E1B">
      <w:pPr>
        <w:tabs>
          <w:tab w:val="left" w:pos="3015"/>
        </w:tabs>
        <w:rPr>
          <w:rFonts w:asciiTheme="minorHAnsi" w:hAnsiTheme="minorHAnsi" w:cstheme="minorHAnsi"/>
          <w:lang w:val="en-US"/>
        </w:rPr>
      </w:pPr>
    </w:p>
    <w:p w:rsidR="00540E1B" w:rsidRPr="00A36972" w:rsidRDefault="00540E1B" w:rsidP="00540E1B">
      <w:pPr>
        <w:tabs>
          <w:tab w:val="left" w:pos="3015"/>
        </w:tabs>
        <w:rPr>
          <w:rFonts w:asciiTheme="minorHAnsi" w:hAnsiTheme="minorHAnsi" w:cstheme="minorHAnsi"/>
          <w:lang w:val="en-US"/>
        </w:rPr>
      </w:pPr>
    </w:p>
    <w:p w:rsidR="00540E1B" w:rsidRPr="00A36972" w:rsidRDefault="00540E1B" w:rsidP="00540E1B">
      <w:pPr>
        <w:tabs>
          <w:tab w:val="left" w:pos="3015"/>
        </w:tabs>
        <w:rPr>
          <w:rFonts w:asciiTheme="minorHAnsi" w:hAnsiTheme="minorHAnsi" w:cstheme="minorHAnsi"/>
          <w:b/>
          <w:lang w:val="en-US"/>
        </w:rPr>
      </w:pPr>
      <w:r w:rsidRPr="00A36972">
        <w:rPr>
          <w:rFonts w:asciiTheme="minorHAnsi" w:hAnsiTheme="minorHAnsi" w:cstheme="minorHAnsi"/>
          <w:b/>
          <w:lang w:val="en-US"/>
        </w:rPr>
        <w:lastRenderedPageBreak/>
        <w:t>Group C:</w:t>
      </w:r>
    </w:p>
    <w:p w:rsidR="00540E1B" w:rsidRPr="00A36972" w:rsidRDefault="00540E1B" w:rsidP="00540E1B">
      <w:pPr>
        <w:tabs>
          <w:tab w:val="left" w:pos="3015"/>
        </w:tabs>
        <w:rPr>
          <w:rFonts w:asciiTheme="minorHAnsi" w:hAnsiTheme="minorHAnsi" w:cstheme="minorHAnsi"/>
          <w:b/>
          <w:lang w:val="en-US"/>
        </w:rPr>
      </w:pPr>
    </w:p>
    <w:tbl>
      <w:tblPr>
        <w:tblW w:w="72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5"/>
        <w:gridCol w:w="1010"/>
        <w:gridCol w:w="1009"/>
        <w:gridCol w:w="1011"/>
        <w:gridCol w:w="1011"/>
        <w:gridCol w:w="1011"/>
        <w:gridCol w:w="1011"/>
      </w:tblGrid>
      <w:tr w:rsidR="00540E1B" w:rsidRPr="00A36972" w:rsidTr="00191B52">
        <w:trPr>
          <w:cantSplit/>
          <w:tblHeader/>
        </w:trPr>
        <w:tc>
          <w:tcPr>
            <w:tcW w:w="7228" w:type="dxa"/>
            <w:gridSpan w:val="7"/>
            <w:tcBorders>
              <w:top w:val="nil"/>
              <w:left w:val="nil"/>
              <w:bottom w:val="nil"/>
              <w:right w:val="nil"/>
            </w:tcBorders>
            <w:shd w:val="clear" w:color="auto" w:fill="FFFFFF"/>
            <w:vAlign w:val="center"/>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b/>
                <w:bCs/>
                <w:sz w:val="18"/>
                <w:szCs w:val="18"/>
                <w:lang w:val="en-US"/>
              </w:rPr>
              <w:t>Tests of Normality</w:t>
            </w:r>
          </w:p>
        </w:tc>
      </w:tr>
      <w:tr w:rsidR="00540E1B" w:rsidRPr="00A36972" w:rsidTr="00191B52">
        <w:trPr>
          <w:cantSplit/>
          <w:tblHeader/>
        </w:trPr>
        <w:tc>
          <w:tcPr>
            <w:tcW w:w="116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540E1B" w:rsidRPr="00A36972" w:rsidRDefault="00540E1B" w:rsidP="00FB63DB">
            <w:pPr>
              <w:jc w:val="center"/>
              <w:rPr>
                <w:rFonts w:asciiTheme="minorHAnsi" w:hAnsiTheme="minorHAnsi" w:cstheme="minorHAnsi"/>
                <w:sz w:val="24"/>
                <w:szCs w:val="24"/>
                <w:lang w:val="en-US"/>
              </w:rPr>
            </w:pPr>
          </w:p>
        </w:tc>
        <w:tc>
          <w:tcPr>
            <w:tcW w:w="3030" w:type="dxa"/>
            <w:gridSpan w:val="3"/>
            <w:tcBorders>
              <w:top w:val="single" w:sz="16" w:space="0" w:color="000000"/>
              <w:lef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Kolmogorov-Smirnov</w:t>
            </w:r>
            <w:r w:rsidRPr="00A36972">
              <w:rPr>
                <w:rFonts w:asciiTheme="minorHAnsi" w:hAnsiTheme="minorHAnsi" w:cstheme="minorHAnsi"/>
                <w:sz w:val="18"/>
                <w:szCs w:val="18"/>
                <w:vertAlign w:val="superscript"/>
                <w:lang w:val="en-US"/>
              </w:rPr>
              <w:t>a</w:t>
            </w:r>
          </w:p>
        </w:tc>
        <w:tc>
          <w:tcPr>
            <w:tcW w:w="3033" w:type="dxa"/>
            <w:gridSpan w:val="3"/>
            <w:tcBorders>
              <w:top w:val="single" w:sz="16" w:space="0" w:color="000000"/>
              <w:righ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Shapiro-Wilk</w:t>
            </w:r>
          </w:p>
        </w:tc>
      </w:tr>
      <w:tr w:rsidR="00540E1B" w:rsidRPr="00A36972" w:rsidTr="00191B52">
        <w:trPr>
          <w:cantSplit/>
          <w:tblHeader/>
        </w:trPr>
        <w:tc>
          <w:tcPr>
            <w:tcW w:w="1165"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540E1B" w:rsidRPr="00A36972" w:rsidRDefault="00540E1B" w:rsidP="00FB63DB">
            <w:pPr>
              <w:rPr>
                <w:rFonts w:asciiTheme="minorHAnsi" w:hAnsiTheme="minorHAnsi" w:cstheme="minorHAnsi"/>
                <w:sz w:val="18"/>
                <w:szCs w:val="18"/>
                <w:lang w:val="en-US"/>
              </w:rPr>
            </w:pPr>
          </w:p>
        </w:tc>
        <w:tc>
          <w:tcPr>
            <w:tcW w:w="1010" w:type="dxa"/>
            <w:tcBorders>
              <w:left w:val="single" w:sz="16" w:space="0" w:color="000000"/>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09"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11" w:type="dxa"/>
            <w:tcBorders>
              <w:bottom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right w:val="single" w:sz="16" w:space="0" w:color="000000"/>
            </w:tcBorders>
            <w:shd w:val="clear" w:color="auto" w:fill="FFFFFF"/>
            <w:vAlign w:val="bottom"/>
          </w:tcPr>
          <w:p w:rsidR="00540E1B" w:rsidRPr="00A36972" w:rsidRDefault="00540E1B"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r>
      <w:tr w:rsidR="00540E1B" w:rsidRPr="00A36972" w:rsidTr="00191B52">
        <w:trPr>
          <w:cantSplit/>
          <w:tblHeader/>
        </w:trPr>
        <w:tc>
          <w:tcPr>
            <w:tcW w:w="1165" w:type="dxa"/>
            <w:tcBorders>
              <w:top w:val="single" w:sz="16" w:space="0" w:color="000000"/>
              <w:left w:val="single" w:sz="16" w:space="0" w:color="000000"/>
              <w:bottom w:val="single" w:sz="16" w:space="0" w:color="000000"/>
              <w:right w:val="single" w:sz="16" w:space="0" w:color="000000"/>
            </w:tcBorders>
            <w:shd w:val="clear" w:color="auto" w:fill="FFFFFF"/>
          </w:tcPr>
          <w:p w:rsidR="00540E1B" w:rsidRPr="00A36972" w:rsidRDefault="00540E1B"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Group C:</w:t>
            </w:r>
          </w:p>
        </w:tc>
        <w:tc>
          <w:tcPr>
            <w:tcW w:w="1010" w:type="dxa"/>
            <w:tcBorders>
              <w:top w:val="single" w:sz="16" w:space="0" w:color="000000"/>
              <w:left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,234</w:t>
            </w:r>
          </w:p>
        </w:tc>
        <w:tc>
          <w:tcPr>
            <w:tcW w:w="1009"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,200</w:t>
            </w:r>
            <w:r w:rsidRPr="00A36972">
              <w:rPr>
                <w:rFonts w:asciiTheme="minorHAnsi" w:hAnsiTheme="minorHAnsi" w:cstheme="minorHAnsi"/>
                <w:sz w:val="18"/>
                <w:szCs w:val="18"/>
                <w:vertAlign w:val="superscript"/>
                <w:lang w:val="en-US"/>
              </w:rPr>
              <w:t>*</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,869</w:t>
            </w:r>
          </w:p>
        </w:tc>
        <w:tc>
          <w:tcPr>
            <w:tcW w:w="1011" w:type="dxa"/>
            <w:tcBorders>
              <w:top w:val="single" w:sz="16" w:space="0" w:color="000000"/>
              <w:bottom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w:t>
            </w:r>
          </w:p>
        </w:tc>
        <w:tc>
          <w:tcPr>
            <w:tcW w:w="1011" w:type="dxa"/>
            <w:tcBorders>
              <w:top w:val="single" w:sz="16" w:space="0" w:color="000000"/>
              <w:bottom w:val="single" w:sz="16" w:space="0" w:color="000000"/>
              <w:right w:val="single" w:sz="16" w:space="0" w:color="000000"/>
            </w:tcBorders>
            <w:shd w:val="clear" w:color="auto" w:fill="FFFFFF"/>
          </w:tcPr>
          <w:p w:rsidR="00540E1B" w:rsidRPr="00A36972" w:rsidRDefault="00540E1B"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,222</w:t>
            </w:r>
          </w:p>
        </w:tc>
      </w:tr>
      <w:tr w:rsidR="00540E1B" w:rsidRPr="00A36972" w:rsidTr="00191B52">
        <w:trPr>
          <w:cantSplit/>
          <w:tblHeader/>
        </w:trPr>
        <w:tc>
          <w:tcPr>
            <w:tcW w:w="7228" w:type="dxa"/>
            <w:gridSpan w:val="7"/>
            <w:tcBorders>
              <w:top w:val="nil"/>
              <w:left w:val="nil"/>
              <w:bottom w:val="nil"/>
              <w:right w:val="nil"/>
            </w:tcBorders>
            <w:shd w:val="clear" w:color="auto" w:fill="FFFFFF"/>
          </w:tcPr>
          <w:p w:rsidR="00540E1B" w:rsidRPr="00A36972" w:rsidRDefault="00540E1B"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 Lilliefors Significance Correction</w:t>
            </w:r>
          </w:p>
        </w:tc>
      </w:tr>
      <w:tr w:rsidR="00540E1B" w:rsidRPr="00186C61" w:rsidTr="00191B52">
        <w:trPr>
          <w:cantSplit/>
        </w:trPr>
        <w:tc>
          <w:tcPr>
            <w:tcW w:w="7228" w:type="dxa"/>
            <w:gridSpan w:val="7"/>
            <w:tcBorders>
              <w:top w:val="nil"/>
              <w:left w:val="nil"/>
              <w:bottom w:val="nil"/>
              <w:right w:val="nil"/>
            </w:tcBorders>
            <w:shd w:val="clear" w:color="auto" w:fill="FFFFFF"/>
          </w:tcPr>
          <w:p w:rsidR="00540E1B" w:rsidRPr="00A36972" w:rsidRDefault="00540E1B"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 This is a lower bound of the true significance.</w:t>
            </w:r>
          </w:p>
          <w:p w:rsidR="00540E1B" w:rsidRPr="00A36972" w:rsidRDefault="00540E1B" w:rsidP="00FB63DB">
            <w:pPr>
              <w:spacing w:line="320" w:lineRule="atLeast"/>
              <w:ind w:left="60" w:right="60"/>
              <w:rPr>
                <w:rFonts w:asciiTheme="minorHAnsi" w:hAnsiTheme="minorHAnsi" w:cstheme="minorHAnsi"/>
                <w:sz w:val="18"/>
                <w:szCs w:val="18"/>
                <w:lang w:val="en-US"/>
              </w:rPr>
            </w:pPr>
          </w:p>
          <w:p w:rsidR="00540E1B" w:rsidRPr="00A36972" w:rsidRDefault="00540E1B" w:rsidP="00FB63DB">
            <w:pPr>
              <w:spacing w:line="320" w:lineRule="atLeast"/>
              <w:ind w:left="60" w:right="60"/>
              <w:rPr>
                <w:rFonts w:asciiTheme="minorHAnsi" w:hAnsiTheme="minorHAnsi" w:cstheme="minorHAnsi"/>
                <w:noProof/>
                <w:sz w:val="24"/>
                <w:szCs w:val="24"/>
                <w:lang w:val="en-US" w:eastAsia="nl-NL"/>
              </w:rPr>
            </w:pPr>
          </w:p>
          <w:p w:rsidR="00912945" w:rsidRPr="00A36972" w:rsidRDefault="00912945" w:rsidP="00FB63DB">
            <w:pPr>
              <w:spacing w:line="320" w:lineRule="atLeast"/>
              <w:ind w:left="60" w:right="60"/>
              <w:rPr>
                <w:rFonts w:asciiTheme="minorHAnsi" w:hAnsiTheme="minorHAnsi" w:cstheme="minorHAnsi"/>
                <w:noProof/>
                <w:sz w:val="24"/>
                <w:szCs w:val="24"/>
                <w:lang w:val="en-US" w:eastAsia="nl-NL"/>
              </w:rPr>
            </w:pPr>
          </w:p>
          <w:p w:rsidR="00540E1B" w:rsidRPr="00A36972" w:rsidRDefault="00540E1B" w:rsidP="00FB63DB">
            <w:pPr>
              <w:spacing w:line="320" w:lineRule="atLeast"/>
              <w:ind w:left="60" w:right="60"/>
              <w:rPr>
                <w:rFonts w:asciiTheme="minorHAnsi" w:hAnsiTheme="minorHAnsi" w:cstheme="minorHAnsi"/>
                <w:sz w:val="18"/>
                <w:szCs w:val="18"/>
                <w:lang w:val="en-US"/>
              </w:rPr>
            </w:pPr>
          </w:p>
        </w:tc>
      </w:tr>
    </w:tbl>
    <w:p w:rsidR="00191B52" w:rsidRPr="00A36972" w:rsidRDefault="00191B52" w:rsidP="00540E1B">
      <w:pPr>
        <w:tabs>
          <w:tab w:val="left" w:pos="3015"/>
        </w:tabs>
        <w:rPr>
          <w:rFonts w:asciiTheme="minorHAnsi" w:hAnsiTheme="minorHAnsi" w:cstheme="minorHAnsi"/>
          <w:b/>
          <w:lang w:val="en-US"/>
        </w:rPr>
      </w:pPr>
      <w:r w:rsidRPr="00A36972">
        <w:rPr>
          <w:rFonts w:asciiTheme="minorHAnsi" w:hAnsiTheme="minorHAnsi" w:cstheme="minorHAnsi"/>
          <w:noProof/>
          <w:sz w:val="24"/>
          <w:szCs w:val="24"/>
          <w:lang w:eastAsia="nl-NL"/>
        </w:rPr>
        <w:drawing>
          <wp:inline distT="0" distB="0" distL="0" distR="0">
            <wp:extent cx="5734050" cy="4581525"/>
            <wp:effectExtent l="19050" t="0" r="0" b="0"/>
            <wp:docPr id="41" name="Afbeelding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6"/>
                    <a:srcRect/>
                    <a:stretch>
                      <a:fillRect/>
                    </a:stretch>
                  </pic:blipFill>
                  <pic:spPr bwMode="auto">
                    <a:xfrm>
                      <a:off x="0" y="0"/>
                      <a:ext cx="5734050" cy="4581525"/>
                    </a:xfrm>
                    <a:prstGeom prst="rect">
                      <a:avLst/>
                    </a:prstGeom>
                    <a:noFill/>
                    <a:ln w="9525">
                      <a:noFill/>
                      <a:miter lim="800000"/>
                      <a:headEnd/>
                      <a:tailEnd/>
                    </a:ln>
                  </pic:spPr>
                </pic:pic>
              </a:graphicData>
            </a:graphic>
          </wp:inline>
        </w:drawing>
      </w: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540E1B" w:rsidRPr="00A36972" w:rsidRDefault="00540E1B" w:rsidP="00191B52">
      <w:pPr>
        <w:jc w:val="center"/>
        <w:rPr>
          <w:rFonts w:asciiTheme="minorHAnsi" w:hAnsiTheme="minorHAnsi" w:cstheme="minorHAnsi"/>
          <w:lang w:val="en-US"/>
        </w:rPr>
      </w:pPr>
    </w:p>
    <w:p w:rsidR="00191B52" w:rsidRPr="00A36972" w:rsidRDefault="00191B52" w:rsidP="00191B52">
      <w:pPr>
        <w:rPr>
          <w:rFonts w:asciiTheme="minorHAnsi" w:hAnsiTheme="minorHAnsi" w:cstheme="minorHAnsi"/>
          <w:b/>
          <w:lang w:val="en-US"/>
        </w:rPr>
      </w:pPr>
      <w:r w:rsidRPr="00A36972">
        <w:rPr>
          <w:rFonts w:asciiTheme="minorHAnsi" w:hAnsiTheme="minorHAnsi" w:cstheme="minorHAnsi"/>
          <w:b/>
          <w:lang w:val="en-US"/>
        </w:rPr>
        <w:t>Group D:</w:t>
      </w:r>
    </w:p>
    <w:p w:rsidR="00191B52" w:rsidRPr="00A36972" w:rsidRDefault="00191B52" w:rsidP="00191B52">
      <w:pPr>
        <w:rPr>
          <w:rFonts w:asciiTheme="minorHAnsi" w:hAnsiTheme="minorHAnsi" w:cstheme="minorHAnsi"/>
          <w:b/>
          <w:lang w:val="en-US"/>
        </w:rPr>
      </w:pPr>
    </w:p>
    <w:tbl>
      <w:tblPr>
        <w:tblW w:w="7228" w:type="dxa"/>
        <w:tblInd w:w="10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5"/>
        <w:gridCol w:w="962"/>
        <w:gridCol w:w="1057"/>
        <w:gridCol w:w="1011"/>
        <w:gridCol w:w="1011"/>
        <w:gridCol w:w="1011"/>
        <w:gridCol w:w="1011"/>
      </w:tblGrid>
      <w:tr w:rsidR="00191B52" w:rsidRPr="00A36972" w:rsidTr="00191B52">
        <w:trPr>
          <w:cantSplit/>
          <w:tblHeader/>
        </w:trPr>
        <w:tc>
          <w:tcPr>
            <w:tcW w:w="7228" w:type="dxa"/>
            <w:gridSpan w:val="7"/>
            <w:tcBorders>
              <w:top w:val="nil"/>
              <w:left w:val="nil"/>
              <w:bottom w:val="nil"/>
              <w:right w:val="nil"/>
            </w:tcBorders>
            <w:shd w:val="clear" w:color="auto" w:fill="FFFFFF"/>
            <w:vAlign w:val="center"/>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b/>
                <w:bCs/>
                <w:sz w:val="18"/>
                <w:szCs w:val="18"/>
                <w:lang w:val="en-US"/>
              </w:rPr>
              <w:t>Tests of Normality</w:t>
            </w:r>
          </w:p>
        </w:tc>
      </w:tr>
      <w:tr w:rsidR="00191B52" w:rsidRPr="00A36972" w:rsidTr="00191B52">
        <w:trPr>
          <w:cantSplit/>
          <w:tblHeader/>
        </w:trPr>
        <w:tc>
          <w:tcPr>
            <w:tcW w:w="116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191B52" w:rsidRPr="00A36972" w:rsidRDefault="00191B52" w:rsidP="00FB63DB">
            <w:pPr>
              <w:jc w:val="center"/>
              <w:rPr>
                <w:rFonts w:asciiTheme="minorHAnsi" w:hAnsiTheme="minorHAnsi" w:cstheme="minorHAnsi"/>
                <w:sz w:val="24"/>
                <w:szCs w:val="24"/>
                <w:lang w:val="en-US"/>
              </w:rPr>
            </w:pPr>
          </w:p>
        </w:tc>
        <w:tc>
          <w:tcPr>
            <w:tcW w:w="3030" w:type="dxa"/>
            <w:gridSpan w:val="3"/>
            <w:tcBorders>
              <w:top w:val="single" w:sz="16" w:space="0" w:color="000000"/>
              <w:left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Kolmogorov-Smirnov</w:t>
            </w:r>
            <w:r w:rsidRPr="00A36972">
              <w:rPr>
                <w:rFonts w:asciiTheme="minorHAnsi" w:hAnsiTheme="minorHAnsi" w:cstheme="minorHAnsi"/>
                <w:sz w:val="18"/>
                <w:szCs w:val="18"/>
                <w:vertAlign w:val="superscript"/>
                <w:lang w:val="en-US"/>
              </w:rPr>
              <w:t>a</w:t>
            </w:r>
          </w:p>
        </w:tc>
        <w:tc>
          <w:tcPr>
            <w:tcW w:w="3033" w:type="dxa"/>
            <w:gridSpan w:val="3"/>
            <w:tcBorders>
              <w:top w:val="single" w:sz="16" w:space="0" w:color="000000"/>
              <w:right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Shapiro-Wilk</w:t>
            </w:r>
          </w:p>
        </w:tc>
      </w:tr>
      <w:tr w:rsidR="00191B52" w:rsidRPr="00A36972" w:rsidTr="00191B52">
        <w:trPr>
          <w:cantSplit/>
          <w:tblHeader/>
        </w:trPr>
        <w:tc>
          <w:tcPr>
            <w:tcW w:w="1165"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191B52" w:rsidRPr="00A36972" w:rsidRDefault="00191B52" w:rsidP="00FB63DB">
            <w:pPr>
              <w:rPr>
                <w:rFonts w:asciiTheme="minorHAnsi" w:hAnsiTheme="minorHAnsi" w:cstheme="minorHAnsi"/>
                <w:sz w:val="18"/>
                <w:szCs w:val="18"/>
                <w:lang w:val="en-US"/>
              </w:rPr>
            </w:pPr>
          </w:p>
        </w:tc>
        <w:tc>
          <w:tcPr>
            <w:tcW w:w="962" w:type="dxa"/>
            <w:tcBorders>
              <w:left w:val="single" w:sz="16" w:space="0" w:color="000000"/>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57" w:type="dxa"/>
            <w:tcBorders>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c>
          <w:tcPr>
            <w:tcW w:w="1011" w:type="dxa"/>
            <w:tcBorders>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11" w:type="dxa"/>
            <w:tcBorders>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right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r>
      <w:tr w:rsidR="00191B52" w:rsidRPr="00A36972" w:rsidTr="00191B52">
        <w:trPr>
          <w:cantSplit/>
          <w:tblHeader/>
        </w:trPr>
        <w:tc>
          <w:tcPr>
            <w:tcW w:w="1165" w:type="dxa"/>
            <w:tcBorders>
              <w:top w:val="single" w:sz="16" w:space="0" w:color="000000"/>
              <w:left w:val="single" w:sz="16" w:space="0" w:color="000000"/>
              <w:bottom w:val="single" w:sz="16" w:space="0" w:color="000000"/>
              <w:right w:val="single" w:sz="16" w:space="0" w:color="000000"/>
            </w:tcBorders>
            <w:shd w:val="clear" w:color="auto" w:fill="FFFFFF"/>
          </w:tcPr>
          <w:p w:rsidR="00191B52" w:rsidRPr="00A36972" w:rsidRDefault="00191B52"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Group D:</w:t>
            </w:r>
          </w:p>
        </w:tc>
        <w:tc>
          <w:tcPr>
            <w:tcW w:w="962" w:type="dxa"/>
            <w:tcBorders>
              <w:top w:val="single" w:sz="16" w:space="0" w:color="000000"/>
              <w:left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,382</w:t>
            </w:r>
          </w:p>
        </w:tc>
        <w:tc>
          <w:tcPr>
            <w:tcW w:w="1057" w:type="dxa"/>
            <w:tcBorders>
              <w:top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22</w:t>
            </w:r>
          </w:p>
        </w:tc>
        <w:tc>
          <w:tcPr>
            <w:tcW w:w="1011" w:type="dxa"/>
            <w:tcBorders>
              <w:top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,000</w:t>
            </w:r>
          </w:p>
        </w:tc>
        <w:tc>
          <w:tcPr>
            <w:tcW w:w="1011" w:type="dxa"/>
            <w:tcBorders>
              <w:top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,409</w:t>
            </w:r>
          </w:p>
        </w:tc>
        <w:tc>
          <w:tcPr>
            <w:tcW w:w="1011" w:type="dxa"/>
            <w:tcBorders>
              <w:top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22</w:t>
            </w:r>
          </w:p>
        </w:tc>
        <w:tc>
          <w:tcPr>
            <w:tcW w:w="1011" w:type="dxa"/>
            <w:tcBorders>
              <w:top w:val="single" w:sz="16" w:space="0" w:color="000000"/>
              <w:bottom w:val="single" w:sz="16" w:space="0" w:color="000000"/>
              <w:right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,000</w:t>
            </w:r>
          </w:p>
        </w:tc>
      </w:tr>
      <w:tr w:rsidR="00191B52" w:rsidRPr="00A36972" w:rsidTr="00191B52">
        <w:trPr>
          <w:cantSplit/>
        </w:trPr>
        <w:tc>
          <w:tcPr>
            <w:tcW w:w="7228" w:type="dxa"/>
            <w:gridSpan w:val="7"/>
            <w:tcBorders>
              <w:top w:val="nil"/>
              <w:left w:val="nil"/>
              <w:bottom w:val="nil"/>
              <w:right w:val="nil"/>
            </w:tcBorders>
            <w:shd w:val="clear" w:color="auto" w:fill="FFFFFF"/>
          </w:tcPr>
          <w:p w:rsidR="00191B52" w:rsidRPr="00A36972" w:rsidRDefault="00191B52"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 Lilliefors Significance Correction</w:t>
            </w:r>
          </w:p>
        </w:tc>
      </w:tr>
    </w:tbl>
    <w:p w:rsidR="00191B52" w:rsidRPr="00A36972" w:rsidRDefault="00191B52" w:rsidP="00191B52">
      <w:pPr>
        <w:rPr>
          <w:rFonts w:asciiTheme="minorHAnsi" w:hAnsiTheme="minorHAnsi" w:cstheme="minorHAnsi"/>
          <w:b/>
          <w:lang w:val="en-US"/>
        </w:rPr>
      </w:pPr>
    </w:p>
    <w:p w:rsidR="00191B52" w:rsidRPr="00A36972" w:rsidRDefault="00191B52" w:rsidP="00191B52">
      <w:pPr>
        <w:rPr>
          <w:rFonts w:asciiTheme="minorHAnsi" w:hAnsiTheme="minorHAnsi" w:cstheme="minorHAnsi"/>
          <w:b/>
          <w:lang w:val="en-US"/>
        </w:rPr>
      </w:pPr>
    </w:p>
    <w:p w:rsidR="00191B52" w:rsidRPr="00A36972" w:rsidRDefault="00191B52" w:rsidP="00191B52">
      <w:pPr>
        <w:rPr>
          <w:rFonts w:asciiTheme="minorHAnsi" w:hAnsiTheme="minorHAnsi" w:cstheme="minorHAnsi"/>
          <w:b/>
          <w:lang w:val="en-US"/>
        </w:rPr>
      </w:pPr>
      <w:r w:rsidRPr="00A36972">
        <w:rPr>
          <w:rFonts w:asciiTheme="minorHAnsi" w:hAnsiTheme="minorHAnsi" w:cstheme="minorHAnsi"/>
          <w:noProof/>
          <w:sz w:val="24"/>
          <w:szCs w:val="24"/>
          <w:lang w:eastAsia="nl-NL"/>
        </w:rPr>
        <w:drawing>
          <wp:inline distT="0" distB="0" distL="0" distR="0">
            <wp:extent cx="5734050" cy="4581525"/>
            <wp:effectExtent l="19050" t="0" r="0" b="0"/>
            <wp:docPr id="46" name="Afbeelding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7"/>
                    <a:srcRect/>
                    <a:stretch>
                      <a:fillRect/>
                    </a:stretch>
                  </pic:blipFill>
                  <pic:spPr bwMode="auto">
                    <a:xfrm>
                      <a:off x="0" y="0"/>
                      <a:ext cx="5734050" cy="4581525"/>
                    </a:xfrm>
                    <a:prstGeom prst="rect">
                      <a:avLst/>
                    </a:prstGeom>
                    <a:noFill/>
                    <a:ln w="9525">
                      <a:noFill/>
                      <a:miter lim="800000"/>
                      <a:headEnd/>
                      <a:tailEnd/>
                    </a:ln>
                  </pic:spPr>
                </pic:pic>
              </a:graphicData>
            </a:graphic>
          </wp:inline>
        </w:drawing>
      </w: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tabs>
          <w:tab w:val="left" w:pos="2970"/>
        </w:tabs>
        <w:rPr>
          <w:rFonts w:asciiTheme="minorHAnsi" w:hAnsiTheme="minorHAnsi" w:cstheme="minorHAnsi"/>
          <w:lang w:val="en-US"/>
        </w:rPr>
      </w:pPr>
      <w:r w:rsidRPr="00A36972">
        <w:rPr>
          <w:rFonts w:asciiTheme="minorHAnsi" w:hAnsiTheme="minorHAnsi" w:cstheme="minorHAnsi"/>
          <w:lang w:val="en-US"/>
        </w:rPr>
        <w:lastRenderedPageBreak/>
        <w:tab/>
      </w:r>
    </w:p>
    <w:p w:rsidR="00191B52" w:rsidRPr="00A36972" w:rsidRDefault="00191B52" w:rsidP="00191B52">
      <w:pPr>
        <w:tabs>
          <w:tab w:val="left" w:pos="2970"/>
        </w:tabs>
        <w:rPr>
          <w:rFonts w:asciiTheme="minorHAnsi" w:hAnsiTheme="minorHAnsi" w:cstheme="minorHAnsi"/>
          <w:b/>
          <w:lang w:val="en-US"/>
        </w:rPr>
      </w:pPr>
      <w:r w:rsidRPr="00A36972">
        <w:rPr>
          <w:rFonts w:asciiTheme="minorHAnsi" w:hAnsiTheme="minorHAnsi" w:cstheme="minorHAnsi"/>
          <w:b/>
          <w:lang w:val="en-US"/>
        </w:rPr>
        <w:t>Group E:</w:t>
      </w:r>
    </w:p>
    <w:p w:rsidR="00191B52" w:rsidRPr="00A36972" w:rsidRDefault="00191B52" w:rsidP="00191B52">
      <w:pPr>
        <w:tabs>
          <w:tab w:val="left" w:pos="2970"/>
        </w:tabs>
        <w:rPr>
          <w:rFonts w:asciiTheme="minorHAnsi" w:hAnsiTheme="minorHAnsi" w:cstheme="minorHAnsi"/>
          <w:b/>
          <w:lang w:val="en-US"/>
        </w:rPr>
      </w:pPr>
    </w:p>
    <w:tbl>
      <w:tblPr>
        <w:tblW w:w="7228" w:type="dxa"/>
        <w:tblInd w:w="10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5"/>
        <w:gridCol w:w="1010"/>
        <w:gridCol w:w="1009"/>
        <w:gridCol w:w="1011"/>
        <w:gridCol w:w="1011"/>
        <w:gridCol w:w="1011"/>
        <w:gridCol w:w="1011"/>
      </w:tblGrid>
      <w:tr w:rsidR="00191B52" w:rsidRPr="00A36972" w:rsidTr="00191B52">
        <w:trPr>
          <w:cantSplit/>
          <w:tblHeader/>
        </w:trPr>
        <w:tc>
          <w:tcPr>
            <w:tcW w:w="7228" w:type="dxa"/>
            <w:gridSpan w:val="7"/>
            <w:tcBorders>
              <w:top w:val="nil"/>
              <w:left w:val="nil"/>
              <w:bottom w:val="nil"/>
              <w:right w:val="nil"/>
            </w:tcBorders>
            <w:shd w:val="clear" w:color="auto" w:fill="FFFFFF"/>
            <w:vAlign w:val="center"/>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b/>
                <w:bCs/>
                <w:sz w:val="18"/>
                <w:szCs w:val="18"/>
                <w:lang w:val="en-US"/>
              </w:rPr>
              <w:t>Tests of Normality</w:t>
            </w:r>
          </w:p>
        </w:tc>
      </w:tr>
      <w:tr w:rsidR="00191B52" w:rsidRPr="00A36972" w:rsidTr="00191B52">
        <w:trPr>
          <w:cantSplit/>
          <w:tblHeader/>
        </w:trPr>
        <w:tc>
          <w:tcPr>
            <w:tcW w:w="116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191B52" w:rsidRPr="00A36972" w:rsidRDefault="00191B52" w:rsidP="00FB63DB">
            <w:pPr>
              <w:jc w:val="center"/>
              <w:rPr>
                <w:rFonts w:asciiTheme="minorHAnsi" w:hAnsiTheme="minorHAnsi" w:cstheme="minorHAnsi"/>
                <w:sz w:val="24"/>
                <w:szCs w:val="24"/>
                <w:lang w:val="en-US"/>
              </w:rPr>
            </w:pPr>
          </w:p>
        </w:tc>
        <w:tc>
          <w:tcPr>
            <w:tcW w:w="3030" w:type="dxa"/>
            <w:gridSpan w:val="3"/>
            <w:tcBorders>
              <w:top w:val="single" w:sz="16" w:space="0" w:color="000000"/>
              <w:left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Kolmogorov-Smirnov</w:t>
            </w:r>
            <w:r w:rsidRPr="00A36972">
              <w:rPr>
                <w:rFonts w:asciiTheme="minorHAnsi" w:hAnsiTheme="minorHAnsi" w:cstheme="minorHAnsi"/>
                <w:sz w:val="18"/>
                <w:szCs w:val="18"/>
                <w:vertAlign w:val="superscript"/>
                <w:lang w:val="en-US"/>
              </w:rPr>
              <w:t>a</w:t>
            </w:r>
          </w:p>
        </w:tc>
        <w:tc>
          <w:tcPr>
            <w:tcW w:w="3033" w:type="dxa"/>
            <w:gridSpan w:val="3"/>
            <w:tcBorders>
              <w:top w:val="single" w:sz="16" w:space="0" w:color="000000"/>
              <w:right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Shapiro-Wilk</w:t>
            </w:r>
          </w:p>
        </w:tc>
      </w:tr>
      <w:tr w:rsidR="00191B52" w:rsidRPr="00A36972" w:rsidTr="00191B52">
        <w:trPr>
          <w:cantSplit/>
          <w:tblHeader/>
        </w:trPr>
        <w:tc>
          <w:tcPr>
            <w:tcW w:w="1165"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191B52" w:rsidRPr="00A36972" w:rsidRDefault="00191B52" w:rsidP="00FB63DB">
            <w:pPr>
              <w:rPr>
                <w:rFonts w:asciiTheme="minorHAnsi" w:hAnsiTheme="minorHAnsi" w:cstheme="minorHAnsi"/>
                <w:sz w:val="18"/>
                <w:szCs w:val="18"/>
                <w:lang w:val="en-US"/>
              </w:rPr>
            </w:pPr>
          </w:p>
        </w:tc>
        <w:tc>
          <w:tcPr>
            <w:tcW w:w="1010" w:type="dxa"/>
            <w:tcBorders>
              <w:left w:val="single" w:sz="16" w:space="0" w:color="000000"/>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09" w:type="dxa"/>
            <w:tcBorders>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c>
          <w:tcPr>
            <w:tcW w:w="1011" w:type="dxa"/>
            <w:tcBorders>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11" w:type="dxa"/>
            <w:tcBorders>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right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r>
      <w:tr w:rsidR="00191B52" w:rsidRPr="00A36972" w:rsidTr="00191B52">
        <w:trPr>
          <w:cantSplit/>
          <w:tblHeader/>
        </w:trPr>
        <w:tc>
          <w:tcPr>
            <w:tcW w:w="1165" w:type="dxa"/>
            <w:tcBorders>
              <w:top w:val="single" w:sz="16" w:space="0" w:color="000000"/>
              <w:left w:val="single" w:sz="16" w:space="0" w:color="000000"/>
              <w:bottom w:val="single" w:sz="16" w:space="0" w:color="000000"/>
              <w:right w:val="single" w:sz="16" w:space="0" w:color="000000"/>
            </w:tcBorders>
            <w:shd w:val="clear" w:color="auto" w:fill="FFFFFF"/>
          </w:tcPr>
          <w:p w:rsidR="00191B52" w:rsidRPr="00A36972" w:rsidRDefault="00191B52"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Group E:</w:t>
            </w:r>
          </w:p>
        </w:tc>
        <w:tc>
          <w:tcPr>
            <w:tcW w:w="1010" w:type="dxa"/>
            <w:tcBorders>
              <w:top w:val="single" w:sz="16" w:space="0" w:color="000000"/>
              <w:left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,239</w:t>
            </w:r>
          </w:p>
        </w:tc>
        <w:tc>
          <w:tcPr>
            <w:tcW w:w="1009" w:type="dxa"/>
            <w:tcBorders>
              <w:top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15</w:t>
            </w:r>
          </w:p>
        </w:tc>
        <w:tc>
          <w:tcPr>
            <w:tcW w:w="1011" w:type="dxa"/>
            <w:tcBorders>
              <w:top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,021</w:t>
            </w:r>
          </w:p>
        </w:tc>
        <w:tc>
          <w:tcPr>
            <w:tcW w:w="1011" w:type="dxa"/>
            <w:tcBorders>
              <w:top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,731</w:t>
            </w:r>
          </w:p>
        </w:tc>
        <w:tc>
          <w:tcPr>
            <w:tcW w:w="1011" w:type="dxa"/>
            <w:tcBorders>
              <w:top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15</w:t>
            </w:r>
          </w:p>
        </w:tc>
        <w:tc>
          <w:tcPr>
            <w:tcW w:w="1011" w:type="dxa"/>
            <w:tcBorders>
              <w:top w:val="single" w:sz="16" w:space="0" w:color="000000"/>
              <w:bottom w:val="single" w:sz="16" w:space="0" w:color="000000"/>
              <w:right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,001</w:t>
            </w:r>
          </w:p>
        </w:tc>
      </w:tr>
      <w:tr w:rsidR="00191B52" w:rsidRPr="00A36972" w:rsidTr="00191B52">
        <w:trPr>
          <w:cantSplit/>
        </w:trPr>
        <w:tc>
          <w:tcPr>
            <w:tcW w:w="7228" w:type="dxa"/>
            <w:gridSpan w:val="7"/>
            <w:tcBorders>
              <w:top w:val="nil"/>
              <w:left w:val="nil"/>
              <w:bottom w:val="nil"/>
              <w:right w:val="nil"/>
            </w:tcBorders>
            <w:shd w:val="clear" w:color="auto" w:fill="FFFFFF"/>
          </w:tcPr>
          <w:p w:rsidR="00191B52" w:rsidRPr="00A36972" w:rsidRDefault="00191B52"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 Lilliefors Significance Correction</w:t>
            </w:r>
          </w:p>
        </w:tc>
      </w:tr>
    </w:tbl>
    <w:p w:rsidR="00191B52" w:rsidRPr="00A36972" w:rsidRDefault="00191B52" w:rsidP="00191B52">
      <w:pPr>
        <w:tabs>
          <w:tab w:val="left" w:pos="2970"/>
        </w:tabs>
        <w:rPr>
          <w:rFonts w:asciiTheme="minorHAnsi" w:hAnsiTheme="minorHAnsi" w:cstheme="minorHAnsi"/>
          <w:b/>
          <w:lang w:val="en-US"/>
        </w:rPr>
      </w:pPr>
    </w:p>
    <w:p w:rsidR="00191B52" w:rsidRPr="00A36972" w:rsidRDefault="00191B52" w:rsidP="00191B52">
      <w:pPr>
        <w:tabs>
          <w:tab w:val="left" w:pos="2970"/>
        </w:tabs>
        <w:rPr>
          <w:rFonts w:asciiTheme="minorHAnsi" w:hAnsiTheme="minorHAnsi" w:cstheme="minorHAnsi"/>
          <w:b/>
          <w:lang w:val="en-US"/>
        </w:rPr>
      </w:pPr>
    </w:p>
    <w:p w:rsidR="00191B52" w:rsidRPr="00A36972" w:rsidRDefault="00191B52" w:rsidP="00191B52">
      <w:pPr>
        <w:tabs>
          <w:tab w:val="left" w:pos="2970"/>
        </w:tabs>
        <w:rPr>
          <w:rFonts w:asciiTheme="minorHAnsi" w:hAnsiTheme="minorHAnsi" w:cstheme="minorHAnsi"/>
          <w:b/>
          <w:lang w:val="en-US"/>
        </w:rPr>
      </w:pPr>
      <w:r w:rsidRPr="00A36972">
        <w:rPr>
          <w:rFonts w:asciiTheme="minorHAnsi" w:hAnsiTheme="minorHAnsi" w:cstheme="minorHAnsi"/>
          <w:noProof/>
          <w:sz w:val="24"/>
          <w:szCs w:val="24"/>
          <w:lang w:eastAsia="nl-NL"/>
        </w:rPr>
        <w:drawing>
          <wp:inline distT="0" distB="0" distL="0" distR="0">
            <wp:extent cx="5734050" cy="4581525"/>
            <wp:effectExtent l="19050" t="0" r="0" b="0"/>
            <wp:docPr id="49" name="Afbeelding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8"/>
                    <a:srcRect/>
                    <a:stretch>
                      <a:fillRect/>
                    </a:stretch>
                  </pic:blipFill>
                  <pic:spPr bwMode="auto">
                    <a:xfrm>
                      <a:off x="0" y="0"/>
                      <a:ext cx="5734050" cy="4581525"/>
                    </a:xfrm>
                    <a:prstGeom prst="rect">
                      <a:avLst/>
                    </a:prstGeom>
                    <a:noFill/>
                    <a:ln w="9525">
                      <a:noFill/>
                      <a:miter lim="800000"/>
                      <a:headEnd/>
                      <a:tailEnd/>
                    </a:ln>
                  </pic:spPr>
                </pic:pic>
              </a:graphicData>
            </a:graphic>
          </wp:inline>
        </w:drawing>
      </w: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rPr>
          <w:rFonts w:asciiTheme="minorHAnsi" w:hAnsiTheme="minorHAnsi" w:cstheme="minorHAnsi"/>
          <w:lang w:val="en-US"/>
        </w:rPr>
      </w:pPr>
    </w:p>
    <w:p w:rsidR="00191B52" w:rsidRPr="00A36972" w:rsidRDefault="00191B52" w:rsidP="00191B52">
      <w:pPr>
        <w:tabs>
          <w:tab w:val="left" w:pos="1095"/>
        </w:tabs>
        <w:rPr>
          <w:rFonts w:asciiTheme="minorHAnsi" w:hAnsiTheme="minorHAnsi" w:cstheme="minorHAnsi"/>
          <w:lang w:val="en-US"/>
        </w:rPr>
      </w:pPr>
      <w:r w:rsidRPr="00A36972">
        <w:rPr>
          <w:rFonts w:asciiTheme="minorHAnsi" w:hAnsiTheme="minorHAnsi" w:cstheme="minorHAnsi"/>
          <w:lang w:val="en-US"/>
        </w:rPr>
        <w:tab/>
      </w:r>
    </w:p>
    <w:p w:rsidR="00191B52" w:rsidRPr="00A36972" w:rsidRDefault="00191B52" w:rsidP="00191B52">
      <w:pPr>
        <w:tabs>
          <w:tab w:val="left" w:pos="1095"/>
        </w:tabs>
        <w:rPr>
          <w:rFonts w:asciiTheme="minorHAnsi" w:hAnsiTheme="minorHAnsi" w:cstheme="minorHAnsi"/>
          <w:lang w:val="en-US"/>
        </w:rPr>
      </w:pPr>
    </w:p>
    <w:p w:rsidR="00191B52" w:rsidRPr="00A36972" w:rsidRDefault="00191B52" w:rsidP="00191B52">
      <w:pPr>
        <w:tabs>
          <w:tab w:val="left" w:pos="1095"/>
        </w:tabs>
        <w:rPr>
          <w:rFonts w:asciiTheme="minorHAnsi" w:hAnsiTheme="minorHAnsi" w:cstheme="minorHAnsi"/>
          <w:lang w:val="en-US"/>
        </w:rPr>
      </w:pPr>
    </w:p>
    <w:p w:rsidR="00191B52" w:rsidRPr="00A36972" w:rsidRDefault="00191B52" w:rsidP="00191B52">
      <w:pPr>
        <w:tabs>
          <w:tab w:val="left" w:pos="1095"/>
        </w:tabs>
        <w:rPr>
          <w:rFonts w:asciiTheme="minorHAnsi" w:hAnsiTheme="minorHAnsi" w:cstheme="minorHAnsi"/>
          <w:b/>
          <w:lang w:val="en-US"/>
        </w:rPr>
      </w:pPr>
      <w:r w:rsidRPr="00A36972">
        <w:rPr>
          <w:rFonts w:asciiTheme="minorHAnsi" w:hAnsiTheme="minorHAnsi" w:cstheme="minorHAnsi"/>
          <w:b/>
          <w:lang w:val="en-US"/>
        </w:rPr>
        <w:t>Group F:</w:t>
      </w:r>
    </w:p>
    <w:p w:rsidR="00191B52" w:rsidRPr="00A36972" w:rsidRDefault="00191B52" w:rsidP="00191B52">
      <w:pPr>
        <w:tabs>
          <w:tab w:val="left" w:pos="1095"/>
        </w:tabs>
        <w:rPr>
          <w:rFonts w:asciiTheme="minorHAnsi" w:hAnsiTheme="minorHAnsi" w:cstheme="minorHAnsi"/>
          <w:b/>
          <w:lang w:val="en-US"/>
        </w:rPr>
      </w:pPr>
    </w:p>
    <w:tbl>
      <w:tblPr>
        <w:tblW w:w="7228" w:type="dxa"/>
        <w:tblInd w:w="10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65"/>
        <w:gridCol w:w="1010"/>
        <w:gridCol w:w="1009"/>
        <w:gridCol w:w="1011"/>
        <w:gridCol w:w="1011"/>
        <w:gridCol w:w="1011"/>
        <w:gridCol w:w="1011"/>
      </w:tblGrid>
      <w:tr w:rsidR="00191B52" w:rsidRPr="00A36972" w:rsidTr="00191B52">
        <w:trPr>
          <w:cantSplit/>
          <w:tblHeader/>
        </w:trPr>
        <w:tc>
          <w:tcPr>
            <w:tcW w:w="7228" w:type="dxa"/>
            <w:gridSpan w:val="7"/>
            <w:tcBorders>
              <w:top w:val="nil"/>
              <w:left w:val="nil"/>
              <w:bottom w:val="nil"/>
              <w:right w:val="nil"/>
            </w:tcBorders>
            <w:shd w:val="clear" w:color="auto" w:fill="FFFFFF"/>
            <w:vAlign w:val="center"/>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b/>
                <w:bCs/>
                <w:sz w:val="18"/>
                <w:szCs w:val="18"/>
                <w:lang w:val="en-US"/>
              </w:rPr>
              <w:t>Tests of Normality</w:t>
            </w:r>
          </w:p>
        </w:tc>
      </w:tr>
      <w:tr w:rsidR="00191B52" w:rsidRPr="00A36972" w:rsidTr="00191B52">
        <w:trPr>
          <w:cantSplit/>
          <w:tblHeader/>
        </w:trPr>
        <w:tc>
          <w:tcPr>
            <w:tcW w:w="1165"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191B52" w:rsidRPr="00A36972" w:rsidRDefault="00191B52" w:rsidP="00FB63DB">
            <w:pPr>
              <w:jc w:val="center"/>
              <w:rPr>
                <w:rFonts w:asciiTheme="minorHAnsi" w:hAnsiTheme="minorHAnsi" w:cstheme="minorHAnsi"/>
                <w:sz w:val="24"/>
                <w:szCs w:val="24"/>
                <w:lang w:val="en-US"/>
              </w:rPr>
            </w:pPr>
          </w:p>
        </w:tc>
        <w:tc>
          <w:tcPr>
            <w:tcW w:w="3030" w:type="dxa"/>
            <w:gridSpan w:val="3"/>
            <w:tcBorders>
              <w:top w:val="single" w:sz="16" w:space="0" w:color="000000"/>
              <w:left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Kolmogorov-Smirnov</w:t>
            </w:r>
            <w:r w:rsidRPr="00A36972">
              <w:rPr>
                <w:rFonts w:asciiTheme="minorHAnsi" w:hAnsiTheme="minorHAnsi" w:cstheme="minorHAnsi"/>
                <w:sz w:val="18"/>
                <w:szCs w:val="18"/>
                <w:vertAlign w:val="superscript"/>
                <w:lang w:val="en-US"/>
              </w:rPr>
              <w:t>a</w:t>
            </w:r>
          </w:p>
        </w:tc>
        <w:tc>
          <w:tcPr>
            <w:tcW w:w="3033" w:type="dxa"/>
            <w:gridSpan w:val="3"/>
            <w:tcBorders>
              <w:top w:val="single" w:sz="16" w:space="0" w:color="000000"/>
              <w:right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Shapiro-Wilk</w:t>
            </w:r>
          </w:p>
        </w:tc>
      </w:tr>
      <w:tr w:rsidR="00191B52" w:rsidRPr="00A36972" w:rsidTr="00191B52">
        <w:trPr>
          <w:cantSplit/>
          <w:tblHeader/>
        </w:trPr>
        <w:tc>
          <w:tcPr>
            <w:tcW w:w="1165"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191B52" w:rsidRPr="00A36972" w:rsidRDefault="00191B52" w:rsidP="00FB63DB">
            <w:pPr>
              <w:rPr>
                <w:rFonts w:asciiTheme="minorHAnsi" w:hAnsiTheme="minorHAnsi" w:cstheme="minorHAnsi"/>
                <w:sz w:val="18"/>
                <w:szCs w:val="18"/>
                <w:lang w:val="en-US"/>
              </w:rPr>
            </w:pPr>
          </w:p>
        </w:tc>
        <w:tc>
          <w:tcPr>
            <w:tcW w:w="1010" w:type="dxa"/>
            <w:tcBorders>
              <w:left w:val="single" w:sz="16" w:space="0" w:color="000000"/>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09" w:type="dxa"/>
            <w:tcBorders>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c>
          <w:tcPr>
            <w:tcW w:w="1011" w:type="dxa"/>
            <w:tcBorders>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Statistic</w:t>
            </w:r>
          </w:p>
        </w:tc>
        <w:tc>
          <w:tcPr>
            <w:tcW w:w="1011" w:type="dxa"/>
            <w:tcBorders>
              <w:bottom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df</w:t>
            </w:r>
          </w:p>
        </w:tc>
        <w:tc>
          <w:tcPr>
            <w:tcW w:w="1011" w:type="dxa"/>
            <w:tcBorders>
              <w:bottom w:val="single" w:sz="16" w:space="0" w:color="000000"/>
              <w:right w:val="single" w:sz="16" w:space="0" w:color="000000"/>
            </w:tcBorders>
            <w:shd w:val="clear" w:color="auto" w:fill="FFFFFF"/>
            <w:vAlign w:val="bottom"/>
          </w:tcPr>
          <w:p w:rsidR="00191B52" w:rsidRPr="00A36972" w:rsidRDefault="00191B52" w:rsidP="00FB63D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Sig.</w:t>
            </w:r>
          </w:p>
        </w:tc>
      </w:tr>
      <w:tr w:rsidR="00191B52" w:rsidRPr="00A36972" w:rsidTr="00191B52">
        <w:trPr>
          <w:cantSplit/>
          <w:tblHeader/>
        </w:trPr>
        <w:tc>
          <w:tcPr>
            <w:tcW w:w="1165" w:type="dxa"/>
            <w:tcBorders>
              <w:top w:val="single" w:sz="16" w:space="0" w:color="000000"/>
              <w:left w:val="single" w:sz="16" w:space="0" w:color="000000"/>
              <w:bottom w:val="single" w:sz="16" w:space="0" w:color="000000"/>
              <w:right w:val="single" w:sz="16" w:space="0" w:color="000000"/>
            </w:tcBorders>
            <w:shd w:val="clear" w:color="auto" w:fill="FFFFFF"/>
          </w:tcPr>
          <w:p w:rsidR="00191B52" w:rsidRPr="00A36972" w:rsidRDefault="00191B52"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Group F:</w:t>
            </w:r>
          </w:p>
        </w:tc>
        <w:tc>
          <w:tcPr>
            <w:tcW w:w="1010" w:type="dxa"/>
            <w:tcBorders>
              <w:top w:val="single" w:sz="16" w:space="0" w:color="000000"/>
              <w:left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,298</w:t>
            </w:r>
          </w:p>
        </w:tc>
        <w:tc>
          <w:tcPr>
            <w:tcW w:w="1009" w:type="dxa"/>
            <w:tcBorders>
              <w:top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116</w:t>
            </w:r>
          </w:p>
        </w:tc>
        <w:tc>
          <w:tcPr>
            <w:tcW w:w="1011" w:type="dxa"/>
            <w:tcBorders>
              <w:top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,000</w:t>
            </w:r>
          </w:p>
        </w:tc>
        <w:tc>
          <w:tcPr>
            <w:tcW w:w="1011" w:type="dxa"/>
            <w:tcBorders>
              <w:top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,552</w:t>
            </w:r>
          </w:p>
        </w:tc>
        <w:tc>
          <w:tcPr>
            <w:tcW w:w="1011" w:type="dxa"/>
            <w:tcBorders>
              <w:top w:val="single" w:sz="16" w:space="0" w:color="000000"/>
              <w:bottom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116</w:t>
            </w:r>
          </w:p>
        </w:tc>
        <w:tc>
          <w:tcPr>
            <w:tcW w:w="1011" w:type="dxa"/>
            <w:tcBorders>
              <w:top w:val="single" w:sz="16" w:space="0" w:color="000000"/>
              <w:bottom w:val="single" w:sz="16" w:space="0" w:color="000000"/>
              <w:right w:val="single" w:sz="16" w:space="0" w:color="000000"/>
            </w:tcBorders>
            <w:shd w:val="clear" w:color="auto" w:fill="FFFFFF"/>
          </w:tcPr>
          <w:p w:rsidR="00191B52" w:rsidRPr="00A36972" w:rsidRDefault="00191B52" w:rsidP="00FB63D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,000</w:t>
            </w:r>
          </w:p>
        </w:tc>
      </w:tr>
      <w:tr w:rsidR="00191B52" w:rsidRPr="00A36972" w:rsidTr="00191B52">
        <w:trPr>
          <w:cantSplit/>
        </w:trPr>
        <w:tc>
          <w:tcPr>
            <w:tcW w:w="7228" w:type="dxa"/>
            <w:gridSpan w:val="7"/>
            <w:tcBorders>
              <w:top w:val="nil"/>
              <w:left w:val="nil"/>
              <w:bottom w:val="nil"/>
              <w:right w:val="nil"/>
            </w:tcBorders>
            <w:shd w:val="clear" w:color="auto" w:fill="FFFFFF"/>
          </w:tcPr>
          <w:p w:rsidR="00191B52" w:rsidRPr="00A36972" w:rsidRDefault="00191B52" w:rsidP="00FB63D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 Lilliefors Significance Correction</w:t>
            </w:r>
          </w:p>
        </w:tc>
      </w:tr>
    </w:tbl>
    <w:p w:rsidR="00191B52" w:rsidRPr="00A36972" w:rsidRDefault="00191B52" w:rsidP="00191B52">
      <w:pPr>
        <w:tabs>
          <w:tab w:val="left" w:pos="1095"/>
        </w:tabs>
        <w:rPr>
          <w:rFonts w:asciiTheme="minorHAnsi" w:hAnsiTheme="minorHAnsi" w:cstheme="minorHAnsi"/>
          <w:b/>
          <w:lang w:val="en-US"/>
        </w:rPr>
      </w:pPr>
    </w:p>
    <w:p w:rsidR="00191B52" w:rsidRPr="00A36972" w:rsidRDefault="00191B52" w:rsidP="00191B52">
      <w:pPr>
        <w:tabs>
          <w:tab w:val="left" w:pos="1095"/>
        </w:tabs>
        <w:rPr>
          <w:rFonts w:asciiTheme="minorHAnsi" w:hAnsiTheme="minorHAnsi" w:cstheme="minorHAnsi"/>
          <w:b/>
          <w:lang w:val="en-US"/>
        </w:rPr>
      </w:pPr>
    </w:p>
    <w:p w:rsidR="00023E4E" w:rsidRPr="00A36972" w:rsidRDefault="00191B52" w:rsidP="00191B52">
      <w:pPr>
        <w:tabs>
          <w:tab w:val="left" w:pos="1095"/>
        </w:tabs>
        <w:rPr>
          <w:rFonts w:asciiTheme="minorHAnsi" w:hAnsiTheme="minorHAnsi" w:cstheme="minorHAnsi"/>
          <w:b/>
          <w:lang w:val="en-US"/>
        </w:rPr>
      </w:pPr>
      <w:r w:rsidRPr="00A36972">
        <w:rPr>
          <w:rFonts w:asciiTheme="minorHAnsi" w:hAnsiTheme="minorHAnsi" w:cstheme="minorHAnsi"/>
          <w:noProof/>
          <w:sz w:val="24"/>
          <w:szCs w:val="24"/>
          <w:lang w:eastAsia="nl-NL"/>
        </w:rPr>
        <w:drawing>
          <wp:inline distT="0" distB="0" distL="0" distR="0">
            <wp:extent cx="5734050" cy="4581525"/>
            <wp:effectExtent l="19050" t="0" r="0" b="0"/>
            <wp:docPr id="52" name="Afbeelding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9"/>
                    <a:srcRect/>
                    <a:stretch>
                      <a:fillRect/>
                    </a:stretch>
                  </pic:blipFill>
                  <pic:spPr bwMode="auto">
                    <a:xfrm>
                      <a:off x="0" y="0"/>
                      <a:ext cx="5734050" cy="4581525"/>
                    </a:xfrm>
                    <a:prstGeom prst="rect">
                      <a:avLst/>
                    </a:prstGeom>
                    <a:noFill/>
                    <a:ln w="9525">
                      <a:noFill/>
                      <a:miter lim="800000"/>
                      <a:headEnd/>
                      <a:tailEnd/>
                    </a:ln>
                  </pic:spPr>
                </pic:pic>
              </a:graphicData>
            </a:graphic>
          </wp:inline>
        </w:drawing>
      </w:r>
    </w:p>
    <w:p w:rsidR="00023E4E" w:rsidRPr="00A36972" w:rsidRDefault="00023E4E" w:rsidP="00023E4E">
      <w:pPr>
        <w:rPr>
          <w:rFonts w:asciiTheme="minorHAnsi" w:hAnsiTheme="minorHAnsi" w:cstheme="minorHAnsi"/>
          <w:lang w:val="en-US"/>
        </w:rPr>
      </w:pPr>
    </w:p>
    <w:p w:rsidR="00023E4E" w:rsidRPr="00A36972" w:rsidRDefault="00023E4E" w:rsidP="00023E4E">
      <w:pPr>
        <w:rPr>
          <w:rFonts w:asciiTheme="minorHAnsi" w:hAnsiTheme="minorHAnsi" w:cstheme="minorHAnsi"/>
          <w:lang w:val="en-US"/>
        </w:rPr>
      </w:pPr>
    </w:p>
    <w:p w:rsidR="00023E4E" w:rsidRPr="00A36972" w:rsidRDefault="00023E4E" w:rsidP="00023E4E">
      <w:pPr>
        <w:rPr>
          <w:rFonts w:asciiTheme="minorHAnsi" w:hAnsiTheme="minorHAnsi" w:cstheme="minorHAnsi"/>
          <w:lang w:val="en-US"/>
        </w:rPr>
      </w:pPr>
    </w:p>
    <w:p w:rsidR="00023E4E" w:rsidRPr="00A36972" w:rsidRDefault="00023E4E" w:rsidP="00023E4E">
      <w:pPr>
        <w:rPr>
          <w:rFonts w:asciiTheme="minorHAnsi" w:hAnsiTheme="minorHAnsi" w:cstheme="minorHAnsi"/>
          <w:lang w:val="en-US"/>
        </w:rPr>
      </w:pPr>
    </w:p>
    <w:p w:rsidR="00023E4E" w:rsidRPr="00A36972" w:rsidRDefault="00023E4E" w:rsidP="00023E4E">
      <w:pPr>
        <w:rPr>
          <w:rFonts w:asciiTheme="minorHAnsi" w:hAnsiTheme="minorHAnsi" w:cstheme="minorHAnsi"/>
          <w:lang w:val="en-US"/>
        </w:rPr>
      </w:pPr>
    </w:p>
    <w:p w:rsidR="00023E4E" w:rsidRPr="00A36972" w:rsidRDefault="00023E4E" w:rsidP="00023E4E">
      <w:pPr>
        <w:rPr>
          <w:rFonts w:asciiTheme="minorHAnsi" w:hAnsiTheme="minorHAnsi" w:cstheme="minorHAnsi"/>
          <w:lang w:val="en-US"/>
        </w:rPr>
      </w:pPr>
    </w:p>
    <w:p w:rsidR="00023E4E" w:rsidRPr="00A36972" w:rsidRDefault="00023E4E" w:rsidP="00023E4E">
      <w:pPr>
        <w:rPr>
          <w:rFonts w:asciiTheme="minorHAnsi" w:hAnsiTheme="minorHAnsi" w:cstheme="minorHAnsi"/>
          <w:lang w:val="en-US"/>
        </w:rPr>
      </w:pPr>
    </w:p>
    <w:p w:rsidR="00023E4E" w:rsidRPr="00A36972" w:rsidRDefault="00023E4E" w:rsidP="00023E4E">
      <w:pPr>
        <w:rPr>
          <w:rFonts w:asciiTheme="minorHAnsi" w:hAnsiTheme="minorHAnsi" w:cstheme="minorHAnsi"/>
          <w:lang w:val="en-US"/>
        </w:rPr>
      </w:pPr>
    </w:p>
    <w:p w:rsidR="00023E4E" w:rsidRPr="00A36972" w:rsidRDefault="00023E4E" w:rsidP="00023E4E">
      <w:pPr>
        <w:rPr>
          <w:rFonts w:asciiTheme="minorHAnsi" w:hAnsiTheme="minorHAnsi" w:cstheme="minorHAnsi"/>
          <w:lang w:val="en-US"/>
        </w:rPr>
      </w:pPr>
    </w:p>
    <w:p w:rsidR="00191B52" w:rsidRPr="00A36972" w:rsidRDefault="00023E4E" w:rsidP="00023E4E">
      <w:pPr>
        <w:pStyle w:val="Tabletitle"/>
        <w:rPr>
          <w:rFonts w:asciiTheme="minorHAnsi" w:hAnsiTheme="minorHAnsi" w:cstheme="minorHAnsi"/>
          <w:lang w:val="en-US"/>
        </w:rPr>
      </w:pPr>
      <w:r w:rsidRPr="00A36972">
        <w:rPr>
          <w:rFonts w:asciiTheme="minorHAnsi" w:hAnsiTheme="minorHAnsi" w:cstheme="minorHAnsi"/>
          <w:lang w:val="en-US"/>
        </w:rPr>
        <w:t>Results Spearman rank correlation</w:t>
      </w:r>
      <w:r w:rsidRPr="00A36972">
        <w:rPr>
          <w:rFonts w:asciiTheme="minorHAnsi" w:hAnsiTheme="minorHAnsi" w:cstheme="minorHAnsi"/>
          <w:lang w:val="en-US"/>
        </w:rPr>
        <w:tab/>
      </w:r>
    </w:p>
    <w:p w:rsidR="00023E4E" w:rsidRPr="00A36972" w:rsidRDefault="00023E4E" w:rsidP="00023E4E">
      <w:pPr>
        <w:tabs>
          <w:tab w:val="left" w:pos="2385"/>
        </w:tabs>
        <w:rPr>
          <w:rFonts w:asciiTheme="minorHAnsi" w:hAnsiTheme="minorHAnsi" w:cstheme="minorHAnsi"/>
          <w:lang w:val="en-US"/>
        </w:rPr>
      </w:pPr>
    </w:p>
    <w:p w:rsidR="00023E4E" w:rsidRPr="00A36972" w:rsidRDefault="00023E4E" w:rsidP="00023E4E">
      <w:pPr>
        <w:tabs>
          <w:tab w:val="left" w:pos="2385"/>
        </w:tabs>
        <w:rPr>
          <w:rFonts w:asciiTheme="minorHAnsi" w:hAnsiTheme="minorHAnsi" w:cstheme="minorHAnsi"/>
          <w:b/>
          <w:lang w:val="en-US"/>
        </w:rPr>
      </w:pPr>
      <w:r w:rsidRPr="00A36972">
        <w:rPr>
          <w:rFonts w:asciiTheme="minorHAnsi" w:hAnsiTheme="minorHAnsi" w:cstheme="minorHAnsi"/>
          <w:b/>
          <w:lang w:val="en-US"/>
        </w:rPr>
        <w:t>Pre-IFRS period:</w:t>
      </w:r>
    </w:p>
    <w:p w:rsidR="00320BD6" w:rsidRPr="00A36972" w:rsidRDefault="00320BD6" w:rsidP="00023E4E">
      <w:pPr>
        <w:tabs>
          <w:tab w:val="left" w:pos="2385"/>
        </w:tabs>
        <w:rPr>
          <w:rFonts w:asciiTheme="minorHAnsi" w:hAnsiTheme="minorHAnsi" w:cstheme="minorHAnsi"/>
          <w:b/>
          <w:lang w:val="en-US"/>
        </w:rPr>
      </w:pPr>
    </w:p>
    <w:tbl>
      <w:tblPr>
        <w:tblW w:w="8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48"/>
        <w:gridCol w:w="1399"/>
        <w:gridCol w:w="2566"/>
        <w:gridCol w:w="1404"/>
        <w:gridCol w:w="1403"/>
      </w:tblGrid>
      <w:tr w:rsidR="00023E4E" w:rsidRPr="00A36972" w:rsidTr="00912945">
        <w:trPr>
          <w:cantSplit/>
          <w:trHeight w:val="318"/>
          <w:tblHeader/>
        </w:trPr>
        <w:tc>
          <w:tcPr>
            <w:tcW w:w="8720" w:type="dxa"/>
            <w:gridSpan w:val="5"/>
            <w:tcBorders>
              <w:top w:val="nil"/>
              <w:left w:val="nil"/>
              <w:bottom w:val="nil"/>
              <w:right w:val="nil"/>
            </w:tcBorders>
            <w:shd w:val="clear" w:color="auto" w:fill="FFFFFF"/>
            <w:vAlign w:val="center"/>
          </w:tcPr>
          <w:p w:rsidR="00023E4E" w:rsidRPr="00A36972" w:rsidRDefault="00023E4E" w:rsidP="00023E4E">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b/>
                <w:bCs/>
                <w:sz w:val="18"/>
                <w:szCs w:val="18"/>
                <w:lang w:val="en-US"/>
              </w:rPr>
              <w:t>Correlations</w:t>
            </w:r>
          </w:p>
        </w:tc>
      </w:tr>
      <w:tr w:rsidR="00023E4E" w:rsidRPr="00A36972" w:rsidTr="00912945">
        <w:trPr>
          <w:cantSplit/>
          <w:trHeight w:val="971"/>
          <w:tblHeader/>
        </w:trPr>
        <w:tc>
          <w:tcPr>
            <w:tcW w:w="5913" w:type="dxa"/>
            <w:gridSpan w:val="3"/>
            <w:tcBorders>
              <w:top w:val="single" w:sz="16" w:space="0" w:color="000000"/>
              <w:left w:val="single" w:sz="16" w:space="0" w:color="000000"/>
              <w:bottom w:val="single" w:sz="16" w:space="0" w:color="000000"/>
              <w:right w:val="single" w:sz="16" w:space="0" w:color="000000"/>
            </w:tcBorders>
            <w:shd w:val="clear" w:color="auto" w:fill="FFFFFF"/>
            <w:vAlign w:val="center"/>
          </w:tcPr>
          <w:p w:rsidR="00023E4E" w:rsidRPr="00A36972" w:rsidRDefault="00023E4E" w:rsidP="00023E4E">
            <w:pPr>
              <w:jc w:val="center"/>
              <w:rPr>
                <w:rFonts w:asciiTheme="minorHAnsi" w:hAnsiTheme="minorHAnsi" w:cstheme="minorHAnsi"/>
                <w:sz w:val="24"/>
                <w:szCs w:val="24"/>
                <w:lang w:val="en-US"/>
              </w:rPr>
            </w:pPr>
          </w:p>
        </w:tc>
        <w:tc>
          <w:tcPr>
            <w:tcW w:w="1404" w:type="dxa"/>
            <w:tcBorders>
              <w:top w:val="single" w:sz="16" w:space="0" w:color="000000"/>
              <w:left w:val="single" w:sz="16" w:space="0" w:color="000000"/>
              <w:bottom w:val="single" w:sz="16" w:space="0" w:color="000000"/>
            </w:tcBorders>
            <w:shd w:val="clear" w:color="auto" w:fill="FFFFFF"/>
            <w:vAlign w:val="bottom"/>
          </w:tcPr>
          <w:p w:rsidR="00023E4E" w:rsidRPr="00A36972" w:rsidRDefault="00912945" w:rsidP="00023E4E">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Announcing firms</w:t>
            </w:r>
          </w:p>
        </w:tc>
        <w:tc>
          <w:tcPr>
            <w:tcW w:w="1403" w:type="dxa"/>
            <w:tcBorders>
              <w:top w:val="single" w:sz="16" w:space="0" w:color="000000"/>
              <w:bottom w:val="single" w:sz="16" w:space="0" w:color="000000"/>
              <w:right w:val="single" w:sz="16" w:space="0" w:color="000000"/>
            </w:tcBorders>
            <w:shd w:val="clear" w:color="auto" w:fill="FFFFFF"/>
            <w:vAlign w:val="bottom"/>
          </w:tcPr>
          <w:p w:rsidR="00023E4E" w:rsidRPr="00A36972" w:rsidRDefault="00912945" w:rsidP="00023E4E">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Non-announcing firms</w:t>
            </w:r>
          </w:p>
        </w:tc>
      </w:tr>
      <w:tr w:rsidR="00023E4E" w:rsidRPr="00A36972" w:rsidTr="00912945">
        <w:trPr>
          <w:cantSplit/>
          <w:trHeight w:val="335"/>
          <w:tblHeader/>
        </w:trPr>
        <w:tc>
          <w:tcPr>
            <w:tcW w:w="1948" w:type="dxa"/>
            <w:vMerge w:val="restart"/>
            <w:tcBorders>
              <w:top w:val="single" w:sz="16" w:space="0" w:color="000000"/>
              <w:left w:val="single" w:sz="16" w:space="0" w:color="000000"/>
              <w:bottom w:val="single" w:sz="16" w:space="0" w:color="000000"/>
              <w:right w:val="nil"/>
            </w:tcBorders>
            <w:shd w:val="clear" w:color="auto" w:fill="FFFFFF"/>
          </w:tcPr>
          <w:p w:rsidR="00023E4E" w:rsidRPr="00A36972" w:rsidRDefault="00023E4E" w:rsidP="00023E4E">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Spearman's rho</w:t>
            </w:r>
          </w:p>
        </w:tc>
        <w:tc>
          <w:tcPr>
            <w:tcW w:w="1399" w:type="dxa"/>
            <w:vMerge w:val="restart"/>
            <w:tcBorders>
              <w:top w:val="single" w:sz="16" w:space="0" w:color="000000"/>
              <w:left w:val="nil"/>
              <w:right w:val="nil"/>
            </w:tcBorders>
            <w:shd w:val="clear" w:color="auto" w:fill="FFFFFF"/>
          </w:tcPr>
          <w:p w:rsidR="00023E4E" w:rsidRPr="00A36972" w:rsidRDefault="00023E4E" w:rsidP="00023E4E">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Announcing firms</w:t>
            </w:r>
          </w:p>
        </w:tc>
        <w:tc>
          <w:tcPr>
            <w:tcW w:w="2566" w:type="dxa"/>
            <w:tcBorders>
              <w:top w:val="single" w:sz="16" w:space="0" w:color="000000"/>
              <w:left w:val="nil"/>
              <w:bottom w:val="nil"/>
              <w:right w:val="single" w:sz="16" w:space="0" w:color="000000"/>
            </w:tcBorders>
            <w:shd w:val="clear" w:color="auto" w:fill="FFFFFF"/>
          </w:tcPr>
          <w:p w:rsidR="00023E4E" w:rsidRPr="00A36972" w:rsidRDefault="00023E4E" w:rsidP="00023E4E">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Correlation Coefficient</w:t>
            </w:r>
          </w:p>
        </w:tc>
        <w:tc>
          <w:tcPr>
            <w:tcW w:w="1404" w:type="dxa"/>
            <w:tcBorders>
              <w:top w:val="single" w:sz="16" w:space="0" w:color="000000"/>
              <w:left w:val="single" w:sz="16" w:space="0" w:color="000000"/>
              <w:bottom w:val="nil"/>
            </w:tcBorders>
            <w:shd w:val="clear" w:color="auto" w:fill="FFFFFF"/>
          </w:tcPr>
          <w:p w:rsidR="00023E4E" w:rsidRPr="00A36972" w:rsidRDefault="00023E4E" w:rsidP="00023E4E">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1,000</w:t>
            </w:r>
          </w:p>
        </w:tc>
        <w:tc>
          <w:tcPr>
            <w:tcW w:w="1403" w:type="dxa"/>
            <w:tcBorders>
              <w:top w:val="single" w:sz="16" w:space="0" w:color="000000"/>
              <w:bottom w:val="nil"/>
              <w:right w:val="single" w:sz="16" w:space="0" w:color="000000"/>
            </w:tcBorders>
            <w:shd w:val="clear" w:color="auto" w:fill="FFFFFF"/>
          </w:tcPr>
          <w:p w:rsidR="00023E4E" w:rsidRPr="00A36972" w:rsidRDefault="00023E4E" w:rsidP="00023E4E">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,086</w:t>
            </w:r>
          </w:p>
        </w:tc>
      </w:tr>
      <w:tr w:rsidR="00023E4E" w:rsidRPr="00A36972" w:rsidTr="00912945">
        <w:trPr>
          <w:cantSplit/>
          <w:trHeight w:val="144"/>
          <w:tblHeader/>
        </w:trPr>
        <w:tc>
          <w:tcPr>
            <w:tcW w:w="1948" w:type="dxa"/>
            <w:vMerge/>
            <w:tcBorders>
              <w:top w:val="single" w:sz="16" w:space="0" w:color="000000"/>
              <w:left w:val="single" w:sz="16" w:space="0" w:color="000000"/>
              <w:bottom w:val="single" w:sz="16" w:space="0" w:color="000000"/>
              <w:right w:val="nil"/>
            </w:tcBorders>
            <w:shd w:val="clear" w:color="auto" w:fill="FFFFFF"/>
          </w:tcPr>
          <w:p w:rsidR="00023E4E" w:rsidRPr="00A36972" w:rsidRDefault="00023E4E" w:rsidP="00023E4E">
            <w:pPr>
              <w:rPr>
                <w:rFonts w:asciiTheme="minorHAnsi" w:hAnsiTheme="minorHAnsi" w:cstheme="minorHAnsi"/>
                <w:sz w:val="18"/>
                <w:szCs w:val="18"/>
                <w:lang w:val="en-US"/>
              </w:rPr>
            </w:pPr>
          </w:p>
        </w:tc>
        <w:tc>
          <w:tcPr>
            <w:tcW w:w="1399" w:type="dxa"/>
            <w:vMerge/>
            <w:tcBorders>
              <w:top w:val="single" w:sz="16" w:space="0" w:color="000000"/>
              <w:left w:val="nil"/>
              <w:right w:val="nil"/>
            </w:tcBorders>
            <w:shd w:val="clear" w:color="auto" w:fill="FFFFFF"/>
          </w:tcPr>
          <w:p w:rsidR="00023E4E" w:rsidRPr="00A36972" w:rsidRDefault="00023E4E" w:rsidP="00023E4E">
            <w:pPr>
              <w:rPr>
                <w:rFonts w:asciiTheme="minorHAnsi" w:hAnsiTheme="minorHAnsi" w:cstheme="minorHAnsi"/>
                <w:sz w:val="18"/>
                <w:szCs w:val="18"/>
                <w:lang w:val="en-US"/>
              </w:rPr>
            </w:pPr>
          </w:p>
        </w:tc>
        <w:tc>
          <w:tcPr>
            <w:tcW w:w="2566" w:type="dxa"/>
            <w:tcBorders>
              <w:top w:val="nil"/>
              <w:left w:val="nil"/>
              <w:bottom w:val="nil"/>
              <w:right w:val="single" w:sz="16" w:space="0" w:color="000000"/>
            </w:tcBorders>
            <w:shd w:val="clear" w:color="auto" w:fill="FFFFFF"/>
          </w:tcPr>
          <w:p w:rsidR="00023E4E" w:rsidRPr="00A36972" w:rsidRDefault="00023E4E" w:rsidP="00023E4E">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Sig. (2-tailed)</w:t>
            </w:r>
          </w:p>
        </w:tc>
        <w:tc>
          <w:tcPr>
            <w:tcW w:w="1404" w:type="dxa"/>
            <w:tcBorders>
              <w:top w:val="nil"/>
              <w:left w:val="single" w:sz="16" w:space="0" w:color="000000"/>
              <w:bottom w:val="nil"/>
            </w:tcBorders>
            <w:shd w:val="clear" w:color="auto" w:fill="FFFFFF"/>
          </w:tcPr>
          <w:p w:rsidR="00023E4E" w:rsidRPr="00A36972" w:rsidRDefault="00023E4E" w:rsidP="00023E4E">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w:t>
            </w:r>
          </w:p>
        </w:tc>
        <w:tc>
          <w:tcPr>
            <w:tcW w:w="1403" w:type="dxa"/>
            <w:tcBorders>
              <w:top w:val="nil"/>
              <w:bottom w:val="nil"/>
              <w:right w:val="single" w:sz="16" w:space="0" w:color="000000"/>
            </w:tcBorders>
            <w:shd w:val="clear" w:color="auto" w:fill="FFFFFF"/>
          </w:tcPr>
          <w:p w:rsidR="00023E4E" w:rsidRPr="00A36972" w:rsidRDefault="00023E4E" w:rsidP="00023E4E">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,872</w:t>
            </w:r>
          </w:p>
        </w:tc>
      </w:tr>
      <w:tr w:rsidR="00023E4E" w:rsidRPr="00A36972" w:rsidTr="00912945">
        <w:trPr>
          <w:cantSplit/>
          <w:trHeight w:val="144"/>
          <w:tblHeader/>
        </w:trPr>
        <w:tc>
          <w:tcPr>
            <w:tcW w:w="1948" w:type="dxa"/>
            <w:vMerge/>
            <w:tcBorders>
              <w:top w:val="single" w:sz="16" w:space="0" w:color="000000"/>
              <w:left w:val="single" w:sz="16" w:space="0" w:color="000000"/>
              <w:bottom w:val="single" w:sz="16" w:space="0" w:color="000000"/>
              <w:right w:val="nil"/>
            </w:tcBorders>
            <w:shd w:val="clear" w:color="auto" w:fill="FFFFFF"/>
          </w:tcPr>
          <w:p w:rsidR="00023E4E" w:rsidRPr="00A36972" w:rsidRDefault="00023E4E" w:rsidP="00023E4E">
            <w:pPr>
              <w:rPr>
                <w:rFonts w:asciiTheme="minorHAnsi" w:hAnsiTheme="minorHAnsi" w:cstheme="minorHAnsi"/>
                <w:sz w:val="18"/>
                <w:szCs w:val="18"/>
                <w:lang w:val="en-US"/>
              </w:rPr>
            </w:pPr>
          </w:p>
        </w:tc>
        <w:tc>
          <w:tcPr>
            <w:tcW w:w="1399" w:type="dxa"/>
            <w:vMerge/>
            <w:tcBorders>
              <w:top w:val="single" w:sz="16" w:space="0" w:color="000000"/>
              <w:left w:val="nil"/>
              <w:right w:val="nil"/>
            </w:tcBorders>
            <w:shd w:val="clear" w:color="auto" w:fill="FFFFFF"/>
          </w:tcPr>
          <w:p w:rsidR="00023E4E" w:rsidRPr="00A36972" w:rsidRDefault="00023E4E" w:rsidP="00023E4E">
            <w:pPr>
              <w:rPr>
                <w:rFonts w:asciiTheme="minorHAnsi" w:hAnsiTheme="minorHAnsi" w:cstheme="minorHAnsi"/>
                <w:sz w:val="18"/>
                <w:szCs w:val="18"/>
                <w:lang w:val="en-US"/>
              </w:rPr>
            </w:pPr>
          </w:p>
        </w:tc>
        <w:tc>
          <w:tcPr>
            <w:tcW w:w="2566" w:type="dxa"/>
            <w:tcBorders>
              <w:top w:val="nil"/>
              <w:left w:val="nil"/>
              <w:right w:val="single" w:sz="16" w:space="0" w:color="000000"/>
            </w:tcBorders>
            <w:shd w:val="clear" w:color="auto" w:fill="FFFFFF"/>
          </w:tcPr>
          <w:p w:rsidR="00023E4E" w:rsidRPr="00A36972" w:rsidRDefault="00023E4E" w:rsidP="00023E4E">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N</w:t>
            </w:r>
          </w:p>
        </w:tc>
        <w:tc>
          <w:tcPr>
            <w:tcW w:w="1404" w:type="dxa"/>
            <w:tcBorders>
              <w:top w:val="nil"/>
              <w:left w:val="single" w:sz="16" w:space="0" w:color="000000"/>
            </w:tcBorders>
            <w:shd w:val="clear" w:color="auto" w:fill="FFFFFF"/>
          </w:tcPr>
          <w:p w:rsidR="00023E4E" w:rsidRPr="00A36972" w:rsidRDefault="00023E4E" w:rsidP="00023E4E">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w:t>
            </w:r>
          </w:p>
        </w:tc>
        <w:tc>
          <w:tcPr>
            <w:tcW w:w="1403" w:type="dxa"/>
            <w:tcBorders>
              <w:top w:val="nil"/>
              <w:right w:val="single" w:sz="16" w:space="0" w:color="000000"/>
            </w:tcBorders>
            <w:shd w:val="clear" w:color="auto" w:fill="FFFFFF"/>
          </w:tcPr>
          <w:p w:rsidR="00023E4E" w:rsidRPr="00A36972" w:rsidRDefault="00023E4E" w:rsidP="00023E4E">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w:t>
            </w:r>
          </w:p>
        </w:tc>
      </w:tr>
      <w:tr w:rsidR="00023E4E" w:rsidRPr="00A36972" w:rsidTr="00912945">
        <w:trPr>
          <w:cantSplit/>
          <w:trHeight w:val="144"/>
          <w:tblHeader/>
        </w:trPr>
        <w:tc>
          <w:tcPr>
            <w:tcW w:w="1948" w:type="dxa"/>
            <w:vMerge/>
            <w:tcBorders>
              <w:top w:val="single" w:sz="16" w:space="0" w:color="000000"/>
              <w:left w:val="single" w:sz="16" w:space="0" w:color="000000"/>
              <w:bottom w:val="single" w:sz="16" w:space="0" w:color="000000"/>
              <w:right w:val="nil"/>
            </w:tcBorders>
            <w:shd w:val="clear" w:color="auto" w:fill="FFFFFF"/>
          </w:tcPr>
          <w:p w:rsidR="00023E4E" w:rsidRPr="00A36972" w:rsidRDefault="00023E4E" w:rsidP="00023E4E">
            <w:pPr>
              <w:rPr>
                <w:rFonts w:asciiTheme="minorHAnsi" w:hAnsiTheme="minorHAnsi" w:cstheme="minorHAnsi"/>
                <w:sz w:val="18"/>
                <w:szCs w:val="18"/>
                <w:lang w:val="en-US"/>
              </w:rPr>
            </w:pPr>
          </w:p>
        </w:tc>
        <w:tc>
          <w:tcPr>
            <w:tcW w:w="1399" w:type="dxa"/>
            <w:vMerge w:val="restart"/>
            <w:tcBorders>
              <w:left w:val="nil"/>
              <w:bottom w:val="single" w:sz="16" w:space="0" w:color="000000"/>
              <w:right w:val="nil"/>
            </w:tcBorders>
            <w:shd w:val="clear" w:color="auto" w:fill="FFFFFF"/>
          </w:tcPr>
          <w:p w:rsidR="00023E4E" w:rsidRPr="00A36972" w:rsidRDefault="00023E4E" w:rsidP="00023E4E">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Non-announcing firms</w:t>
            </w:r>
          </w:p>
        </w:tc>
        <w:tc>
          <w:tcPr>
            <w:tcW w:w="2566" w:type="dxa"/>
            <w:tcBorders>
              <w:left w:val="nil"/>
              <w:bottom w:val="nil"/>
              <w:right w:val="single" w:sz="16" w:space="0" w:color="000000"/>
            </w:tcBorders>
            <w:shd w:val="clear" w:color="auto" w:fill="FFFFFF"/>
          </w:tcPr>
          <w:p w:rsidR="00023E4E" w:rsidRPr="00A36972" w:rsidRDefault="00023E4E" w:rsidP="00023E4E">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Correlation Coefficient</w:t>
            </w:r>
          </w:p>
        </w:tc>
        <w:tc>
          <w:tcPr>
            <w:tcW w:w="1404" w:type="dxa"/>
            <w:tcBorders>
              <w:left w:val="single" w:sz="16" w:space="0" w:color="000000"/>
              <w:bottom w:val="nil"/>
            </w:tcBorders>
            <w:shd w:val="clear" w:color="auto" w:fill="FFFFFF"/>
          </w:tcPr>
          <w:p w:rsidR="00023E4E" w:rsidRPr="00A36972" w:rsidRDefault="00023E4E" w:rsidP="00023E4E">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,086</w:t>
            </w:r>
          </w:p>
        </w:tc>
        <w:tc>
          <w:tcPr>
            <w:tcW w:w="1403" w:type="dxa"/>
            <w:tcBorders>
              <w:bottom w:val="nil"/>
              <w:right w:val="single" w:sz="16" w:space="0" w:color="000000"/>
            </w:tcBorders>
            <w:shd w:val="clear" w:color="auto" w:fill="FFFFFF"/>
          </w:tcPr>
          <w:p w:rsidR="00023E4E" w:rsidRPr="00A36972" w:rsidRDefault="00023E4E" w:rsidP="00023E4E">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1,000</w:t>
            </w:r>
          </w:p>
        </w:tc>
      </w:tr>
      <w:tr w:rsidR="00023E4E" w:rsidRPr="00A36972" w:rsidTr="00912945">
        <w:trPr>
          <w:cantSplit/>
          <w:trHeight w:val="144"/>
          <w:tblHeader/>
        </w:trPr>
        <w:tc>
          <w:tcPr>
            <w:tcW w:w="1948" w:type="dxa"/>
            <w:vMerge/>
            <w:tcBorders>
              <w:top w:val="single" w:sz="16" w:space="0" w:color="000000"/>
              <w:left w:val="single" w:sz="16" w:space="0" w:color="000000"/>
              <w:bottom w:val="single" w:sz="16" w:space="0" w:color="000000"/>
              <w:right w:val="nil"/>
            </w:tcBorders>
            <w:shd w:val="clear" w:color="auto" w:fill="FFFFFF"/>
          </w:tcPr>
          <w:p w:rsidR="00023E4E" w:rsidRPr="00A36972" w:rsidRDefault="00023E4E" w:rsidP="00023E4E">
            <w:pPr>
              <w:rPr>
                <w:rFonts w:asciiTheme="minorHAnsi" w:hAnsiTheme="minorHAnsi" w:cstheme="minorHAnsi"/>
                <w:sz w:val="24"/>
                <w:szCs w:val="24"/>
                <w:lang w:val="en-US"/>
              </w:rPr>
            </w:pPr>
          </w:p>
        </w:tc>
        <w:tc>
          <w:tcPr>
            <w:tcW w:w="1399" w:type="dxa"/>
            <w:vMerge/>
            <w:tcBorders>
              <w:left w:val="nil"/>
              <w:bottom w:val="single" w:sz="16" w:space="0" w:color="000000"/>
              <w:right w:val="nil"/>
            </w:tcBorders>
            <w:shd w:val="clear" w:color="auto" w:fill="FFFFFF"/>
          </w:tcPr>
          <w:p w:rsidR="00023E4E" w:rsidRPr="00A36972" w:rsidRDefault="00023E4E" w:rsidP="00023E4E">
            <w:pPr>
              <w:rPr>
                <w:rFonts w:asciiTheme="minorHAnsi" w:hAnsiTheme="minorHAnsi" w:cstheme="minorHAnsi"/>
                <w:sz w:val="24"/>
                <w:szCs w:val="24"/>
                <w:lang w:val="en-US"/>
              </w:rPr>
            </w:pPr>
          </w:p>
        </w:tc>
        <w:tc>
          <w:tcPr>
            <w:tcW w:w="2566" w:type="dxa"/>
            <w:tcBorders>
              <w:top w:val="nil"/>
              <w:left w:val="nil"/>
              <w:bottom w:val="nil"/>
              <w:right w:val="single" w:sz="16" w:space="0" w:color="000000"/>
            </w:tcBorders>
            <w:shd w:val="clear" w:color="auto" w:fill="FFFFFF"/>
          </w:tcPr>
          <w:p w:rsidR="00023E4E" w:rsidRPr="00A36972" w:rsidRDefault="00023E4E" w:rsidP="00023E4E">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Sig. (2-tailed)</w:t>
            </w:r>
          </w:p>
        </w:tc>
        <w:tc>
          <w:tcPr>
            <w:tcW w:w="1404" w:type="dxa"/>
            <w:tcBorders>
              <w:top w:val="nil"/>
              <w:left w:val="single" w:sz="16" w:space="0" w:color="000000"/>
              <w:bottom w:val="nil"/>
            </w:tcBorders>
            <w:shd w:val="clear" w:color="auto" w:fill="FFFFFF"/>
          </w:tcPr>
          <w:p w:rsidR="00023E4E" w:rsidRPr="00A36972" w:rsidRDefault="00023E4E" w:rsidP="00023E4E">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,872</w:t>
            </w:r>
          </w:p>
        </w:tc>
        <w:tc>
          <w:tcPr>
            <w:tcW w:w="1403" w:type="dxa"/>
            <w:tcBorders>
              <w:top w:val="nil"/>
              <w:bottom w:val="nil"/>
              <w:right w:val="single" w:sz="16" w:space="0" w:color="000000"/>
            </w:tcBorders>
            <w:shd w:val="clear" w:color="auto" w:fill="FFFFFF"/>
          </w:tcPr>
          <w:p w:rsidR="00023E4E" w:rsidRPr="00A36972" w:rsidRDefault="00023E4E" w:rsidP="00023E4E">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w:t>
            </w:r>
          </w:p>
        </w:tc>
      </w:tr>
      <w:tr w:rsidR="00023E4E" w:rsidRPr="00A36972" w:rsidTr="00912945">
        <w:trPr>
          <w:cantSplit/>
          <w:trHeight w:val="144"/>
        </w:trPr>
        <w:tc>
          <w:tcPr>
            <w:tcW w:w="1948" w:type="dxa"/>
            <w:vMerge/>
            <w:tcBorders>
              <w:top w:val="single" w:sz="16" w:space="0" w:color="000000"/>
              <w:left w:val="single" w:sz="16" w:space="0" w:color="000000"/>
              <w:bottom w:val="single" w:sz="16" w:space="0" w:color="000000"/>
              <w:right w:val="nil"/>
            </w:tcBorders>
            <w:shd w:val="clear" w:color="auto" w:fill="FFFFFF"/>
          </w:tcPr>
          <w:p w:rsidR="00023E4E" w:rsidRPr="00A36972" w:rsidRDefault="00023E4E" w:rsidP="00023E4E">
            <w:pPr>
              <w:rPr>
                <w:rFonts w:asciiTheme="minorHAnsi" w:hAnsiTheme="minorHAnsi" w:cstheme="minorHAnsi"/>
                <w:sz w:val="24"/>
                <w:szCs w:val="24"/>
                <w:lang w:val="en-US"/>
              </w:rPr>
            </w:pPr>
          </w:p>
        </w:tc>
        <w:tc>
          <w:tcPr>
            <w:tcW w:w="1399" w:type="dxa"/>
            <w:vMerge/>
            <w:tcBorders>
              <w:left w:val="nil"/>
              <w:bottom w:val="single" w:sz="16" w:space="0" w:color="000000"/>
              <w:right w:val="nil"/>
            </w:tcBorders>
            <w:shd w:val="clear" w:color="auto" w:fill="FFFFFF"/>
          </w:tcPr>
          <w:p w:rsidR="00023E4E" w:rsidRPr="00A36972" w:rsidRDefault="00023E4E" w:rsidP="00023E4E">
            <w:pPr>
              <w:rPr>
                <w:rFonts w:asciiTheme="minorHAnsi" w:hAnsiTheme="minorHAnsi" w:cstheme="minorHAnsi"/>
                <w:sz w:val="24"/>
                <w:szCs w:val="24"/>
                <w:lang w:val="en-US"/>
              </w:rPr>
            </w:pPr>
          </w:p>
        </w:tc>
        <w:tc>
          <w:tcPr>
            <w:tcW w:w="2566" w:type="dxa"/>
            <w:tcBorders>
              <w:top w:val="nil"/>
              <w:left w:val="nil"/>
              <w:bottom w:val="single" w:sz="16" w:space="0" w:color="000000"/>
              <w:right w:val="single" w:sz="16" w:space="0" w:color="000000"/>
            </w:tcBorders>
            <w:shd w:val="clear" w:color="auto" w:fill="FFFFFF"/>
          </w:tcPr>
          <w:p w:rsidR="00023E4E" w:rsidRPr="00A36972" w:rsidRDefault="00023E4E" w:rsidP="00023E4E">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N</w:t>
            </w:r>
          </w:p>
        </w:tc>
        <w:tc>
          <w:tcPr>
            <w:tcW w:w="1404" w:type="dxa"/>
            <w:tcBorders>
              <w:top w:val="nil"/>
              <w:left w:val="single" w:sz="16" w:space="0" w:color="000000"/>
              <w:bottom w:val="single" w:sz="16" w:space="0" w:color="000000"/>
            </w:tcBorders>
            <w:shd w:val="clear" w:color="auto" w:fill="FFFFFF"/>
          </w:tcPr>
          <w:p w:rsidR="00023E4E" w:rsidRPr="00A36972" w:rsidRDefault="00023E4E" w:rsidP="00023E4E">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w:t>
            </w:r>
          </w:p>
        </w:tc>
        <w:tc>
          <w:tcPr>
            <w:tcW w:w="1403" w:type="dxa"/>
            <w:tcBorders>
              <w:top w:val="nil"/>
              <w:bottom w:val="single" w:sz="16" w:space="0" w:color="000000"/>
              <w:right w:val="single" w:sz="16" w:space="0" w:color="000000"/>
            </w:tcBorders>
            <w:shd w:val="clear" w:color="auto" w:fill="FFFFFF"/>
          </w:tcPr>
          <w:p w:rsidR="00023E4E" w:rsidRPr="00A36972" w:rsidRDefault="00023E4E" w:rsidP="00023E4E">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w:t>
            </w:r>
          </w:p>
        </w:tc>
      </w:tr>
    </w:tbl>
    <w:p w:rsidR="00023E4E" w:rsidRPr="00A36972" w:rsidRDefault="00023E4E" w:rsidP="00023E4E">
      <w:pPr>
        <w:tabs>
          <w:tab w:val="left" w:pos="2385"/>
        </w:tabs>
        <w:rPr>
          <w:rFonts w:asciiTheme="minorHAnsi" w:hAnsiTheme="minorHAnsi" w:cstheme="minorHAnsi"/>
          <w:lang w:val="en-US"/>
        </w:rPr>
      </w:pPr>
    </w:p>
    <w:p w:rsidR="00023E4E" w:rsidRPr="00A36972" w:rsidRDefault="00023E4E" w:rsidP="00023E4E">
      <w:pPr>
        <w:tabs>
          <w:tab w:val="left" w:pos="2385"/>
        </w:tabs>
        <w:rPr>
          <w:rFonts w:asciiTheme="minorHAnsi" w:hAnsiTheme="minorHAnsi" w:cstheme="minorHAnsi"/>
          <w:lang w:val="en-US"/>
        </w:rPr>
      </w:pPr>
    </w:p>
    <w:p w:rsidR="00023E4E" w:rsidRPr="00A36972" w:rsidRDefault="00023E4E" w:rsidP="00023E4E">
      <w:pPr>
        <w:tabs>
          <w:tab w:val="left" w:pos="2385"/>
        </w:tabs>
        <w:rPr>
          <w:rFonts w:asciiTheme="minorHAnsi" w:hAnsiTheme="minorHAnsi" w:cstheme="minorHAnsi"/>
          <w:lang w:val="en-US"/>
        </w:rPr>
      </w:pPr>
    </w:p>
    <w:p w:rsidR="00023E4E" w:rsidRPr="00A36972" w:rsidRDefault="00023E4E" w:rsidP="00023E4E">
      <w:pPr>
        <w:tabs>
          <w:tab w:val="left" w:pos="2385"/>
        </w:tabs>
        <w:rPr>
          <w:rFonts w:asciiTheme="minorHAnsi" w:hAnsiTheme="minorHAnsi" w:cstheme="minorHAnsi"/>
          <w:b/>
          <w:lang w:val="en-US"/>
        </w:rPr>
      </w:pPr>
      <w:r w:rsidRPr="00A36972">
        <w:rPr>
          <w:rFonts w:asciiTheme="minorHAnsi" w:hAnsiTheme="minorHAnsi" w:cstheme="minorHAnsi"/>
          <w:b/>
          <w:lang w:val="en-US"/>
        </w:rPr>
        <w:t>Post-IFRS period:</w:t>
      </w:r>
    </w:p>
    <w:p w:rsidR="00023E4E" w:rsidRPr="00A36972" w:rsidRDefault="00023E4E" w:rsidP="00023E4E">
      <w:pPr>
        <w:tabs>
          <w:tab w:val="left" w:pos="2385"/>
        </w:tabs>
        <w:rPr>
          <w:rFonts w:asciiTheme="minorHAnsi" w:hAnsiTheme="minorHAnsi" w:cstheme="minorHAnsi"/>
          <w:b/>
          <w:lang w:val="en-US"/>
        </w:rPr>
      </w:pPr>
    </w:p>
    <w:tbl>
      <w:tblPr>
        <w:tblW w:w="8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48"/>
        <w:gridCol w:w="1399"/>
        <w:gridCol w:w="2566"/>
        <w:gridCol w:w="1404"/>
        <w:gridCol w:w="1403"/>
      </w:tblGrid>
      <w:tr w:rsidR="00320BD6" w:rsidRPr="00A36972" w:rsidTr="00912945">
        <w:trPr>
          <w:cantSplit/>
          <w:trHeight w:val="321"/>
          <w:tblHeader/>
        </w:trPr>
        <w:tc>
          <w:tcPr>
            <w:tcW w:w="8720" w:type="dxa"/>
            <w:gridSpan w:val="5"/>
            <w:tcBorders>
              <w:top w:val="nil"/>
              <w:left w:val="nil"/>
              <w:bottom w:val="nil"/>
              <w:right w:val="nil"/>
            </w:tcBorders>
            <w:shd w:val="clear" w:color="auto" w:fill="FFFFFF"/>
            <w:vAlign w:val="center"/>
          </w:tcPr>
          <w:p w:rsidR="00320BD6" w:rsidRPr="00A36972" w:rsidRDefault="00320BD6" w:rsidP="005E3A1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b/>
                <w:bCs/>
                <w:sz w:val="18"/>
                <w:szCs w:val="18"/>
                <w:lang w:val="en-US"/>
              </w:rPr>
              <w:t>Correlations</w:t>
            </w:r>
          </w:p>
        </w:tc>
      </w:tr>
      <w:tr w:rsidR="00320BD6" w:rsidRPr="00A36972" w:rsidTr="00912945">
        <w:trPr>
          <w:cantSplit/>
          <w:trHeight w:val="980"/>
          <w:tblHeader/>
        </w:trPr>
        <w:tc>
          <w:tcPr>
            <w:tcW w:w="5913" w:type="dxa"/>
            <w:gridSpan w:val="3"/>
            <w:tcBorders>
              <w:top w:val="single" w:sz="16" w:space="0" w:color="000000"/>
              <w:left w:val="single" w:sz="16" w:space="0" w:color="000000"/>
              <w:bottom w:val="single" w:sz="16" w:space="0" w:color="000000"/>
              <w:right w:val="single" w:sz="16" w:space="0" w:color="000000"/>
            </w:tcBorders>
            <w:shd w:val="clear" w:color="auto" w:fill="FFFFFF"/>
            <w:vAlign w:val="center"/>
          </w:tcPr>
          <w:p w:rsidR="00320BD6" w:rsidRPr="00A36972" w:rsidRDefault="00320BD6" w:rsidP="005E3A1B">
            <w:pPr>
              <w:jc w:val="center"/>
              <w:rPr>
                <w:rFonts w:asciiTheme="minorHAnsi" w:hAnsiTheme="minorHAnsi" w:cstheme="minorHAnsi"/>
                <w:sz w:val="24"/>
                <w:szCs w:val="24"/>
                <w:lang w:val="en-US"/>
              </w:rPr>
            </w:pPr>
          </w:p>
        </w:tc>
        <w:tc>
          <w:tcPr>
            <w:tcW w:w="1404" w:type="dxa"/>
            <w:tcBorders>
              <w:top w:val="single" w:sz="16" w:space="0" w:color="000000"/>
              <w:left w:val="single" w:sz="16" w:space="0" w:color="000000"/>
              <w:bottom w:val="single" w:sz="16" w:space="0" w:color="000000"/>
            </w:tcBorders>
            <w:shd w:val="clear" w:color="auto" w:fill="FFFFFF"/>
            <w:vAlign w:val="bottom"/>
          </w:tcPr>
          <w:p w:rsidR="00320BD6" w:rsidRPr="00A36972" w:rsidRDefault="00912945" w:rsidP="005E3A1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Announcing firms</w:t>
            </w:r>
          </w:p>
        </w:tc>
        <w:tc>
          <w:tcPr>
            <w:tcW w:w="1403" w:type="dxa"/>
            <w:tcBorders>
              <w:top w:val="single" w:sz="16" w:space="0" w:color="000000"/>
              <w:bottom w:val="single" w:sz="16" w:space="0" w:color="000000"/>
              <w:right w:val="single" w:sz="16" w:space="0" w:color="000000"/>
            </w:tcBorders>
            <w:shd w:val="clear" w:color="auto" w:fill="FFFFFF"/>
            <w:vAlign w:val="bottom"/>
          </w:tcPr>
          <w:p w:rsidR="00320BD6" w:rsidRPr="00A36972" w:rsidRDefault="00912945" w:rsidP="005E3A1B">
            <w:pPr>
              <w:spacing w:line="320" w:lineRule="atLeast"/>
              <w:ind w:left="60" w:right="60"/>
              <w:jc w:val="center"/>
              <w:rPr>
                <w:rFonts w:asciiTheme="minorHAnsi" w:hAnsiTheme="minorHAnsi" w:cstheme="minorHAnsi"/>
                <w:sz w:val="18"/>
                <w:szCs w:val="18"/>
                <w:lang w:val="en-US"/>
              </w:rPr>
            </w:pPr>
            <w:r w:rsidRPr="00A36972">
              <w:rPr>
                <w:rFonts w:asciiTheme="minorHAnsi" w:hAnsiTheme="minorHAnsi" w:cstheme="minorHAnsi"/>
                <w:sz w:val="18"/>
                <w:szCs w:val="18"/>
                <w:lang w:val="en-US"/>
              </w:rPr>
              <w:t>Non-announcing firms</w:t>
            </w:r>
          </w:p>
        </w:tc>
      </w:tr>
      <w:tr w:rsidR="00320BD6" w:rsidRPr="00A36972" w:rsidTr="00912945">
        <w:trPr>
          <w:cantSplit/>
          <w:trHeight w:val="338"/>
          <w:tblHeader/>
        </w:trPr>
        <w:tc>
          <w:tcPr>
            <w:tcW w:w="1948" w:type="dxa"/>
            <w:vMerge w:val="restart"/>
            <w:tcBorders>
              <w:top w:val="single" w:sz="16" w:space="0" w:color="000000"/>
              <w:left w:val="single" w:sz="16" w:space="0" w:color="000000"/>
              <w:bottom w:val="single" w:sz="16" w:space="0" w:color="000000"/>
              <w:right w:val="nil"/>
            </w:tcBorders>
            <w:shd w:val="clear" w:color="auto" w:fill="FFFFFF"/>
          </w:tcPr>
          <w:p w:rsidR="00320BD6" w:rsidRPr="00A36972" w:rsidRDefault="00320BD6" w:rsidP="005E3A1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Spearman's rho</w:t>
            </w:r>
          </w:p>
        </w:tc>
        <w:tc>
          <w:tcPr>
            <w:tcW w:w="1399" w:type="dxa"/>
            <w:vMerge w:val="restart"/>
            <w:tcBorders>
              <w:top w:val="single" w:sz="16" w:space="0" w:color="000000"/>
              <w:left w:val="nil"/>
              <w:right w:val="nil"/>
            </w:tcBorders>
            <w:shd w:val="clear" w:color="auto" w:fill="FFFFFF"/>
          </w:tcPr>
          <w:p w:rsidR="00320BD6" w:rsidRPr="00A36972" w:rsidRDefault="00320BD6" w:rsidP="005E3A1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Announcing firms</w:t>
            </w:r>
          </w:p>
        </w:tc>
        <w:tc>
          <w:tcPr>
            <w:tcW w:w="2566" w:type="dxa"/>
            <w:tcBorders>
              <w:top w:val="single" w:sz="16" w:space="0" w:color="000000"/>
              <w:left w:val="nil"/>
              <w:bottom w:val="nil"/>
              <w:right w:val="single" w:sz="16" w:space="0" w:color="000000"/>
            </w:tcBorders>
            <w:shd w:val="clear" w:color="auto" w:fill="FFFFFF"/>
          </w:tcPr>
          <w:p w:rsidR="00320BD6" w:rsidRPr="00A36972" w:rsidRDefault="00320BD6" w:rsidP="005E3A1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Correlation Coefficient</w:t>
            </w:r>
          </w:p>
        </w:tc>
        <w:tc>
          <w:tcPr>
            <w:tcW w:w="1404" w:type="dxa"/>
            <w:tcBorders>
              <w:top w:val="single" w:sz="16" w:space="0" w:color="000000"/>
              <w:left w:val="single" w:sz="16" w:space="0" w:color="000000"/>
              <w:bottom w:val="nil"/>
            </w:tcBorders>
            <w:shd w:val="clear" w:color="auto" w:fill="FFFFFF"/>
          </w:tcPr>
          <w:p w:rsidR="00320BD6" w:rsidRPr="00A36972" w:rsidRDefault="00320BD6" w:rsidP="005E3A1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1,000</w:t>
            </w:r>
          </w:p>
        </w:tc>
        <w:tc>
          <w:tcPr>
            <w:tcW w:w="1403" w:type="dxa"/>
            <w:tcBorders>
              <w:top w:val="single" w:sz="16" w:space="0" w:color="000000"/>
              <w:bottom w:val="nil"/>
              <w:right w:val="single" w:sz="16" w:space="0" w:color="000000"/>
            </w:tcBorders>
            <w:shd w:val="clear" w:color="auto" w:fill="FFFFFF"/>
          </w:tcPr>
          <w:p w:rsidR="00320BD6" w:rsidRPr="00A36972" w:rsidRDefault="00320BD6" w:rsidP="005E3A1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,143</w:t>
            </w:r>
          </w:p>
        </w:tc>
      </w:tr>
      <w:tr w:rsidR="00320BD6" w:rsidRPr="00A36972" w:rsidTr="00912945">
        <w:trPr>
          <w:cantSplit/>
          <w:trHeight w:val="145"/>
          <w:tblHeader/>
        </w:trPr>
        <w:tc>
          <w:tcPr>
            <w:tcW w:w="1948" w:type="dxa"/>
            <w:vMerge/>
            <w:tcBorders>
              <w:top w:val="single" w:sz="16" w:space="0" w:color="000000"/>
              <w:left w:val="single" w:sz="16" w:space="0" w:color="000000"/>
              <w:bottom w:val="single" w:sz="16" w:space="0" w:color="000000"/>
              <w:right w:val="nil"/>
            </w:tcBorders>
            <w:shd w:val="clear" w:color="auto" w:fill="FFFFFF"/>
          </w:tcPr>
          <w:p w:rsidR="00320BD6" w:rsidRPr="00A36972" w:rsidRDefault="00320BD6" w:rsidP="005E3A1B">
            <w:pPr>
              <w:rPr>
                <w:rFonts w:asciiTheme="minorHAnsi" w:hAnsiTheme="minorHAnsi" w:cstheme="minorHAnsi"/>
                <w:sz w:val="18"/>
                <w:szCs w:val="18"/>
                <w:lang w:val="en-US"/>
              </w:rPr>
            </w:pPr>
          </w:p>
        </w:tc>
        <w:tc>
          <w:tcPr>
            <w:tcW w:w="1399" w:type="dxa"/>
            <w:vMerge/>
            <w:tcBorders>
              <w:top w:val="single" w:sz="16" w:space="0" w:color="000000"/>
              <w:left w:val="nil"/>
              <w:right w:val="nil"/>
            </w:tcBorders>
            <w:shd w:val="clear" w:color="auto" w:fill="FFFFFF"/>
          </w:tcPr>
          <w:p w:rsidR="00320BD6" w:rsidRPr="00A36972" w:rsidRDefault="00320BD6" w:rsidP="005E3A1B">
            <w:pPr>
              <w:rPr>
                <w:rFonts w:asciiTheme="minorHAnsi" w:hAnsiTheme="minorHAnsi" w:cstheme="minorHAnsi"/>
                <w:sz w:val="18"/>
                <w:szCs w:val="18"/>
                <w:lang w:val="en-US"/>
              </w:rPr>
            </w:pPr>
          </w:p>
        </w:tc>
        <w:tc>
          <w:tcPr>
            <w:tcW w:w="2566" w:type="dxa"/>
            <w:tcBorders>
              <w:top w:val="nil"/>
              <w:left w:val="nil"/>
              <w:bottom w:val="nil"/>
              <w:right w:val="single" w:sz="16" w:space="0" w:color="000000"/>
            </w:tcBorders>
            <w:shd w:val="clear" w:color="auto" w:fill="FFFFFF"/>
          </w:tcPr>
          <w:p w:rsidR="00320BD6" w:rsidRPr="00A36972" w:rsidRDefault="00320BD6" w:rsidP="005E3A1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Sig. (2-tailed)</w:t>
            </w:r>
          </w:p>
        </w:tc>
        <w:tc>
          <w:tcPr>
            <w:tcW w:w="1404" w:type="dxa"/>
            <w:tcBorders>
              <w:top w:val="nil"/>
              <w:left w:val="single" w:sz="16" w:space="0" w:color="000000"/>
              <w:bottom w:val="nil"/>
            </w:tcBorders>
            <w:shd w:val="clear" w:color="auto" w:fill="FFFFFF"/>
          </w:tcPr>
          <w:p w:rsidR="00320BD6" w:rsidRPr="00A36972" w:rsidRDefault="00320BD6" w:rsidP="005E3A1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w:t>
            </w:r>
          </w:p>
        </w:tc>
        <w:tc>
          <w:tcPr>
            <w:tcW w:w="1403" w:type="dxa"/>
            <w:tcBorders>
              <w:top w:val="nil"/>
              <w:bottom w:val="nil"/>
              <w:right w:val="single" w:sz="16" w:space="0" w:color="000000"/>
            </w:tcBorders>
            <w:shd w:val="clear" w:color="auto" w:fill="FFFFFF"/>
          </w:tcPr>
          <w:p w:rsidR="00320BD6" w:rsidRPr="00A36972" w:rsidRDefault="00320BD6" w:rsidP="005E3A1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,787</w:t>
            </w:r>
          </w:p>
        </w:tc>
      </w:tr>
      <w:tr w:rsidR="00320BD6" w:rsidRPr="00A36972" w:rsidTr="00912945">
        <w:trPr>
          <w:cantSplit/>
          <w:trHeight w:val="145"/>
          <w:tblHeader/>
        </w:trPr>
        <w:tc>
          <w:tcPr>
            <w:tcW w:w="1948" w:type="dxa"/>
            <w:vMerge/>
            <w:tcBorders>
              <w:top w:val="single" w:sz="16" w:space="0" w:color="000000"/>
              <w:left w:val="single" w:sz="16" w:space="0" w:color="000000"/>
              <w:bottom w:val="single" w:sz="16" w:space="0" w:color="000000"/>
              <w:right w:val="nil"/>
            </w:tcBorders>
            <w:shd w:val="clear" w:color="auto" w:fill="FFFFFF"/>
          </w:tcPr>
          <w:p w:rsidR="00320BD6" w:rsidRPr="00A36972" w:rsidRDefault="00320BD6" w:rsidP="005E3A1B">
            <w:pPr>
              <w:rPr>
                <w:rFonts w:asciiTheme="minorHAnsi" w:hAnsiTheme="minorHAnsi" w:cstheme="minorHAnsi"/>
                <w:sz w:val="18"/>
                <w:szCs w:val="18"/>
                <w:lang w:val="en-US"/>
              </w:rPr>
            </w:pPr>
          </w:p>
        </w:tc>
        <w:tc>
          <w:tcPr>
            <w:tcW w:w="1399" w:type="dxa"/>
            <w:vMerge/>
            <w:tcBorders>
              <w:top w:val="single" w:sz="16" w:space="0" w:color="000000"/>
              <w:left w:val="nil"/>
              <w:right w:val="nil"/>
            </w:tcBorders>
            <w:shd w:val="clear" w:color="auto" w:fill="FFFFFF"/>
          </w:tcPr>
          <w:p w:rsidR="00320BD6" w:rsidRPr="00A36972" w:rsidRDefault="00320BD6" w:rsidP="005E3A1B">
            <w:pPr>
              <w:rPr>
                <w:rFonts w:asciiTheme="minorHAnsi" w:hAnsiTheme="minorHAnsi" w:cstheme="minorHAnsi"/>
                <w:sz w:val="18"/>
                <w:szCs w:val="18"/>
                <w:lang w:val="en-US"/>
              </w:rPr>
            </w:pPr>
          </w:p>
        </w:tc>
        <w:tc>
          <w:tcPr>
            <w:tcW w:w="2566" w:type="dxa"/>
            <w:tcBorders>
              <w:top w:val="nil"/>
              <w:left w:val="nil"/>
              <w:right w:val="single" w:sz="16" w:space="0" w:color="000000"/>
            </w:tcBorders>
            <w:shd w:val="clear" w:color="auto" w:fill="FFFFFF"/>
          </w:tcPr>
          <w:p w:rsidR="00320BD6" w:rsidRPr="00A36972" w:rsidRDefault="00320BD6" w:rsidP="005E3A1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N</w:t>
            </w:r>
          </w:p>
        </w:tc>
        <w:tc>
          <w:tcPr>
            <w:tcW w:w="1404" w:type="dxa"/>
            <w:tcBorders>
              <w:top w:val="nil"/>
              <w:left w:val="single" w:sz="16" w:space="0" w:color="000000"/>
            </w:tcBorders>
            <w:shd w:val="clear" w:color="auto" w:fill="FFFFFF"/>
          </w:tcPr>
          <w:p w:rsidR="00320BD6" w:rsidRPr="00A36972" w:rsidRDefault="00320BD6" w:rsidP="005E3A1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w:t>
            </w:r>
          </w:p>
        </w:tc>
        <w:tc>
          <w:tcPr>
            <w:tcW w:w="1403" w:type="dxa"/>
            <w:tcBorders>
              <w:top w:val="nil"/>
              <w:right w:val="single" w:sz="16" w:space="0" w:color="000000"/>
            </w:tcBorders>
            <w:shd w:val="clear" w:color="auto" w:fill="FFFFFF"/>
          </w:tcPr>
          <w:p w:rsidR="00320BD6" w:rsidRPr="00A36972" w:rsidRDefault="00320BD6" w:rsidP="005E3A1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w:t>
            </w:r>
          </w:p>
        </w:tc>
      </w:tr>
      <w:tr w:rsidR="00320BD6" w:rsidRPr="00A36972" w:rsidTr="00912945">
        <w:trPr>
          <w:cantSplit/>
          <w:trHeight w:val="145"/>
          <w:tblHeader/>
        </w:trPr>
        <w:tc>
          <w:tcPr>
            <w:tcW w:w="1948" w:type="dxa"/>
            <w:vMerge/>
            <w:tcBorders>
              <w:top w:val="single" w:sz="16" w:space="0" w:color="000000"/>
              <w:left w:val="single" w:sz="16" w:space="0" w:color="000000"/>
              <w:bottom w:val="single" w:sz="16" w:space="0" w:color="000000"/>
              <w:right w:val="nil"/>
            </w:tcBorders>
            <w:shd w:val="clear" w:color="auto" w:fill="FFFFFF"/>
          </w:tcPr>
          <w:p w:rsidR="00320BD6" w:rsidRPr="00A36972" w:rsidRDefault="00320BD6" w:rsidP="005E3A1B">
            <w:pPr>
              <w:rPr>
                <w:rFonts w:asciiTheme="minorHAnsi" w:hAnsiTheme="minorHAnsi" w:cstheme="minorHAnsi"/>
                <w:sz w:val="18"/>
                <w:szCs w:val="18"/>
                <w:lang w:val="en-US"/>
              </w:rPr>
            </w:pPr>
          </w:p>
        </w:tc>
        <w:tc>
          <w:tcPr>
            <w:tcW w:w="1399" w:type="dxa"/>
            <w:vMerge w:val="restart"/>
            <w:tcBorders>
              <w:left w:val="nil"/>
              <w:bottom w:val="single" w:sz="16" w:space="0" w:color="000000"/>
              <w:right w:val="nil"/>
            </w:tcBorders>
            <w:shd w:val="clear" w:color="auto" w:fill="FFFFFF"/>
          </w:tcPr>
          <w:p w:rsidR="00320BD6" w:rsidRPr="00A36972" w:rsidRDefault="00320BD6" w:rsidP="005E3A1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Non-announcing firms</w:t>
            </w:r>
          </w:p>
        </w:tc>
        <w:tc>
          <w:tcPr>
            <w:tcW w:w="2566" w:type="dxa"/>
            <w:tcBorders>
              <w:left w:val="nil"/>
              <w:bottom w:val="nil"/>
              <w:right w:val="single" w:sz="16" w:space="0" w:color="000000"/>
            </w:tcBorders>
            <w:shd w:val="clear" w:color="auto" w:fill="FFFFFF"/>
          </w:tcPr>
          <w:p w:rsidR="00320BD6" w:rsidRPr="00A36972" w:rsidRDefault="00320BD6" w:rsidP="005E3A1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Correlation Coefficient</w:t>
            </w:r>
          </w:p>
        </w:tc>
        <w:tc>
          <w:tcPr>
            <w:tcW w:w="1404" w:type="dxa"/>
            <w:tcBorders>
              <w:left w:val="single" w:sz="16" w:space="0" w:color="000000"/>
              <w:bottom w:val="nil"/>
            </w:tcBorders>
            <w:shd w:val="clear" w:color="auto" w:fill="FFFFFF"/>
          </w:tcPr>
          <w:p w:rsidR="00320BD6" w:rsidRPr="00A36972" w:rsidRDefault="00320BD6" w:rsidP="005E3A1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,143</w:t>
            </w:r>
          </w:p>
        </w:tc>
        <w:tc>
          <w:tcPr>
            <w:tcW w:w="1403" w:type="dxa"/>
            <w:tcBorders>
              <w:bottom w:val="nil"/>
              <w:right w:val="single" w:sz="16" w:space="0" w:color="000000"/>
            </w:tcBorders>
            <w:shd w:val="clear" w:color="auto" w:fill="FFFFFF"/>
          </w:tcPr>
          <w:p w:rsidR="00320BD6" w:rsidRPr="00A36972" w:rsidRDefault="00320BD6" w:rsidP="005E3A1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1,000</w:t>
            </w:r>
          </w:p>
        </w:tc>
      </w:tr>
      <w:tr w:rsidR="00320BD6" w:rsidRPr="00A36972" w:rsidTr="00912945">
        <w:trPr>
          <w:cantSplit/>
          <w:trHeight w:val="145"/>
          <w:tblHeader/>
        </w:trPr>
        <w:tc>
          <w:tcPr>
            <w:tcW w:w="1948" w:type="dxa"/>
            <w:vMerge/>
            <w:tcBorders>
              <w:top w:val="single" w:sz="16" w:space="0" w:color="000000"/>
              <w:left w:val="single" w:sz="16" w:space="0" w:color="000000"/>
              <w:bottom w:val="single" w:sz="16" w:space="0" w:color="000000"/>
              <w:right w:val="nil"/>
            </w:tcBorders>
            <w:shd w:val="clear" w:color="auto" w:fill="FFFFFF"/>
          </w:tcPr>
          <w:p w:rsidR="00320BD6" w:rsidRPr="00A36972" w:rsidRDefault="00320BD6" w:rsidP="005E3A1B">
            <w:pPr>
              <w:rPr>
                <w:rFonts w:asciiTheme="minorHAnsi" w:hAnsiTheme="minorHAnsi" w:cstheme="minorHAnsi"/>
                <w:sz w:val="24"/>
                <w:szCs w:val="24"/>
                <w:lang w:val="en-US"/>
              </w:rPr>
            </w:pPr>
          </w:p>
        </w:tc>
        <w:tc>
          <w:tcPr>
            <w:tcW w:w="1399" w:type="dxa"/>
            <w:vMerge/>
            <w:tcBorders>
              <w:left w:val="nil"/>
              <w:bottom w:val="single" w:sz="16" w:space="0" w:color="000000"/>
              <w:right w:val="nil"/>
            </w:tcBorders>
            <w:shd w:val="clear" w:color="auto" w:fill="FFFFFF"/>
          </w:tcPr>
          <w:p w:rsidR="00320BD6" w:rsidRPr="00A36972" w:rsidRDefault="00320BD6" w:rsidP="005E3A1B">
            <w:pPr>
              <w:rPr>
                <w:rFonts w:asciiTheme="minorHAnsi" w:hAnsiTheme="minorHAnsi" w:cstheme="minorHAnsi"/>
                <w:sz w:val="24"/>
                <w:szCs w:val="24"/>
                <w:lang w:val="en-US"/>
              </w:rPr>
            </w:pPr>
          </w:p>
        </w:tc>
        <w:tc>
          <w:tcPr>
            <w:tcW w:w="2566" w:type="dxa"/>
            <w:tcBorders>
              <w:top w:val="nil"/>
              <w:left w:val="nil"/>
              <w:bottom w:val="nil"/>
              <w:right w:val="single" w:sz="16" w:space="0" w:color="000000"/>
            </w:tcBorders>
            <w:shd w:val="clear" w:color="auto" w:fill="FFFFFF"/>
          </w:tcPr>
          <w:p w:rsidR="00320BD6" w:rsidRPr="00A36972" w:rsidRDefault="00320BD6" w:rsidP="005E3A1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Sig. (2-tailed)</w:t>
            </w:r>
          </w:p>
        </w:tc>
        <w:tc>
          <w:tcPr>
            <w:tcW w:w="1404" w:type="dxa"/>
            <w:tcBorders>
              <w:top w:val="nil"/>
              <w:left w:val="single" w:sz="16" w:space="0" w:color="000000"/>
              <w:bottom w:val="nil"/>
            </w:tcBorders>
            <w:shd w:val="clear" w:color="auto" w:fill="FFFFFF"/>
          </w:tcPr>
          <w:p w:rsidR="00320BD6" w:rsidRPr="00A36972" w:rsidRDefault="00320BD6" w:rsidP="005E3A1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,787</w:t>
            </w:r>
          </w:p>
        </w:tc>
        <w:tc>
          <w:tcPr>
            <w:tcW w:w="1403" w:type="dxa"/>
            <w:tcBorders>
              <w:top w:val="nil"/>
              <w:bottom w:val="nil"/>
              <w:right w:val="single" w:sz="16" w:space="0" w:color="000000"/>
            </w:tcBorders>
            <w:shd w:val="clear" w:color="auto" w:fill="FFFFFF"/>
          </w:tcPr>
          <w:p w:rsidR="00320BD6" w:rsidRPr="00A36972" w:rsidRDefault="00320BD6" w:rsidP="005E3A1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w:t>
            </w:r>
          </w:p>
        </w:tc>
      </w:tr>
      <w:tr w:rsidR="00320BD6" w:rsidRPr="00A36972" w:rsidTr="00912945">
        <w:trPr>
          <w:cantSplit/>
          <w:trHeight w:val="145"/>
        </w:trPr>
        <w:tc>
          <w:tcPr>
            <w:tcW w:w="1948" w:type="dxa"/>
            <w:vMerge/>
            <w:tcBorders>
              <w:top w:val="single" w:sz="16" w:space="0" w:color="000000"/>
              <w:left w:val="single" w:sz="16" w:space="0" w:color="000000"/>
              <w:bottom w:val="single" w:sz="16" w:space="0" w:color="000000"/>
              <w:right w:val="nil"/>
            </w:tcBorders>
            <w:shd w:val="clear" w:color="auto" w:fill="FFFFFF"/>
          </w:tcPr>
          <w:p w:rsidR="00320BD6" w:rsidRPr="00A36972" w:rsidRDefault="00320BD6" w:rsidP="005E3A1B">
            <w:pPr>
              <w:rPr>
                <w:rFonts w:asciiTheme="minorHAnsi" w:hAnsiTheme="minorHAnsi" w:cstheme="minorHAnsi"/>
                <w:sz w:val="24"/>
                <w:szCs w:val="24"/>
                <w:lang w:val="en-US"/>
              </w:rPr>
            </w:pPr>
          </w:p>
        </w:tc>
        <w:tc>
          <w:tcPr>
            <w:tcW w:w="1399" w:type="dxa"/>
            <w:vMerge/>
            <w:tcBorders>
              <w:left w:val="nil"/>
              <w:bottom w:val="single" w:sz="16" w:space="0" w:color="000000"/>
              <w:right w:val="nil"/>
            </w:tcBorders>
            <w:shd w:val="clear" w:color="auto" w:fill="FFFFFF"/>
          </w:tcPr>
          <w:p w:rsidR="00320BD6" w:rsidRPr="00A36972" w:rsidRDefault="00320BD6" w:rsidP="005E3A1B">
            <w:pPr>
              <w:rPr>
                <w:rFonts w:asciiTheme="minorHAnsi" w:hAnsiTheme="minorHAnsi" w:cstheme="minorHAnsi"/>
                <w:sz w:val="24"/>
                <w:szCs w:val="24"/>
                <w:lang w:val="en-US"/>
              </w:rPr>
            </w:pPr>
          </w:p>
        </w:tc>
        <w:tc>
          <w:tcPr>
            <w:tcW w:w="2566" w:type="dxa"/>
            <w:tcBorders>
              <w:top w:val="nil"/>
              <w:left w:val="nil"/>
              <w:bottom w:val="single" w:sz="16" w:space="0" w:color="000000"/>
              <w:right w:val="single" w:sz="16" w:space="0" w:color="000000"/>
            </w:tcBorders>
            <w:shd w:val="clear" w:color="auto" w:fill="FFFFFF"/>
          </w:tcPr>
          <w:p w:rsidR="00320BD6" w:rsidRPr="00A36972" w:rsidRDefault="00320BD6" w:rsidP="005E3A1B">
            <w:pPr>
              <w:spacing w:line="320" w:lineRule="atLeast"/>
              <w:ind w:left="60" w:right="60"/>
              <w:rPr>
                <w:rFonts w:asciiTheme="minorHAnsi" w:hAnsiTheme="minorHAnsi" w:cstheme="minorHAnsi"/>
                <w:sz w:val="18"/>
                <w:szCs w:val="18"/>
                <w:lang w:val="en-US"/>
              </w:rPr>
            </w:pPr>
            <w:r w:rsidRPr="00A36972">
              <w:rPr>
                <w:rFonts w:asciiTheme="minorHAnsi" w:hAnsiTheme="minorHAnsi" w:cstheme="minorHAnsi"/>
                <w:sz w:val="18"/>
                <w:szCs w:val="18"/>
                <w:lang w:val="en-US"/>
              </w:rPr>
              <w:t>N</w:t>
            </w:r>
          </w:p>
        </w:tc>
        <w:tc>
          <w:tcPr>
            <w:tcW w:w="1404" w:type="dxa"/>
            <w:tcBorders>
              <w:top w:val="nil"/>
              <w:left w:val="single" w:sz="16" w:space="0" w:color="000000"/>
              <w:bottom w:val="single" w:sz="16" w:space="0" w:color="000000"/>
            </w:tcBorders>
            <w:shd w:val="clear" w:color="auto" w:fill="FFFFFF"/>
          </w:tcPr>
          <w:p w:rsidR="00320BD6" w:rsidRPr="00A36972" w:rsidRDefault="00320BD6" w:rsidP="005E3A1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w:t>
            </w:r>
          </w:p>
        </w:tc>
        <w:tc>
          <w:tcPr>
            <w:tcW w:w="1403" w:type="dxa"/>
            <w:tcBorders>
              <w:top w:val="nil"/>
              <w:bottom w:val="single" w:sz="16" w:space="0" w:color="000000"/>
              <w:right w:val="single" w:sz="16" w:space="0" w:color="000000"/>
            </w:tcBorders>
            <w:shd w:val="clear" w:color="auto" w:fill="FFFFFF"/>
          </w:tcPr>
          <w:p w:rsidR="00320BD6" w:rsidRPr="00A36972" w:rsidRDefault="00320BD6" w:rsidP="005E3A1B">
            <w:pPr>
              <w:spacing w:line="320" w:lineRule="atLeast"/>
              <w:ind w:left="60" w:right="60"/>
              <w:jc w:val="right"/>
              <w:rPr>
                <w:rFonts w:asciiTheme="minorHAnsi" w:hAnsiTheme="minorHAnsi" w:cstheme="minorHAnsi"/>
                <w:sz w:val="18"/>
                <w:szCs w:val="18"/>
                <w:lang w:val="en-US"/>
              </w:rPr>
            </w:pPr>
            <w:r w:rsidRPr="00A36972">
              <w:rPr>
                <w:rFonts w:asciiTheme="minorHAnsi" w:hAnsiTheme="minorHAnsi" w:cstheme="minorHAnsi"/>
                <w:sz w:val="18"/>
                <w:szCs w:val="18"/>
                <w:lang w:val="en-US"/>
              </w:rPr>
              <w:t>6</w:t>
            </w:r>
          </w:p>
        </w:tc>
      </w:tr>
    </w:tbl>
    <w:p w:rsidR="00023E4E" w:rsidRPr="00A36972" w:rsidRDefault="00023E4E" w:rsidP="00023E4E">
      <w:pPr>
        <w:tabs>
          <w:tab w:val="left" w:pos="2385"/>
        </w:tabs>
        <w:rPr>
          <w:rFonts w:asciiTheme="minorHAnsi" w:hAnsiTheme="minorHAnsi" w:cstheme="minorHAnsi"/>
          <w:b/>
          <w:lang w:val="en-US"/>
        </w:rPr>
      </w:pPr>
    </w:p>
    <w:p w:rsidR="00023E4E" w:rsidRPr="00A36972" w:rsidRDefault="00023E4E" w:rsidP="00023E4E">
      <w:pPr>
        <w:tabs>
          <w:tab w:val="left" w:pos="2385"/>
        </w:tabs>
        <w:rPr>
          <w:rFonts w:asciiTheme="minorHAnsi" w:hAnsiTheme="minorHAnsi" w:cstheme="minorHAnsi"/>
          <w:lang w:val="en-US"/>
        </w:rPr>
      </w:pPr>
    </w:p>
    <w:sectPr w:rsidR="00023E4E" w:rsidRPr="00A36972" w:rsidSect="006F7A18">
      <w:pgSz w:w="11906" w:h="16838"/>
      <w:pgMar w:top="1814" w:right="1247" w:bottom="2478" w:left="1247" w:header="941" w:footer="720" w:gutter="0"/>
      <w:pgNumType w:start="6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3D7D" w:rsidRDefault="003F3D7D" w:rsidP="00EE3834">
      <w:pPr>
        <w:spacing w:line="240" w:lineRule="auto"/>
      </w:pPr>
      <w:r>
        <w:separator/>
      </w:r>
    </w:p>
  </w:endnote>
  <w:endnote w:type="continuationSeparator" w:id="1">
    <w:p w:rsidR="003F3D7D" w:rsidRDefault="003F3D7D" w:rsidP="00EE383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EYInterstate Light">
    <w:altName w:val="Arial Narrow"/>
    <w:charset w:val="00"/>
    <w:family w:val="auto"/>
    <w:pitch w:val="variable"/>
    <w:sig w:usb0="00000001" w:usb1="5000206A"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unga">
    <w:panose1 w:val="020B0502040204020203"/>
    <w:charset w:val="00"/>
    <w:family w:val="swiss"/>
    <w:pitch w:val="variable"/>
    <w:sig w:usb0="004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EYInterstate">
    <w:charset w:val="00"/>
    <w:family w:val="auto"/>
    <w:pitch w:val="variable"/>
    <w:sig w:usb0="A00002AF" w:usb1="5000206A" w:usb2="00000000" w:usb3="00000000" w:csb0="0000009F" w:csb1="00000000"/>
  </w:font>
  <w:font w:name="Tahoma">
    <w:panose1 w:val="020B0604030504040204"/>
    <w:charset w:val="00"/>
    <w:family w:val="swiss"/>
    <w:pitch w:val="variable"/>
    <w:sig w:usb0="E1002EFF" w:usb1="C000605B" w:usb2="00000029" w:usb3="00000000" w:csb0="000101FF" w:csb1="00000000"/>
  </w:font>
  <w:font w:name="New York">
    <w:panose1 w:val="02040503060506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Cambria Math">
    <w:panose1 w:val="02040503050406030204"/>
    <w:charset w:val="00"/>
    <w:family w:val="roman"/>
    <w:pitch w:val="variable"/>
    <w:sig w:usb0="A00002EF" w:usb1="420020E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353786"/>
      <w:docPartObj>
        <w:docPartGallery w:val="Page Numbers (Bottom of Page)"/>
        <w:docPartUnique/>
      </w:docPartObj>
    </w:sdtPr>
    <w:sdtContent>
      <w:p w:rsidR="00186C61" w:rsidRDefault="00186C61">
        <w:pPr>
          <w:pStyle w:val="Voettekst"/>
          <w:jc w:val="right"/>
        </w:pPr>
        <w:fldSimple w:instr=" PAGE   \* MERGEFORMAT ">
          <w:r w:rsidR="00DE498E">
            <w:rPr>
              <w:noProof/>
            </w:rPr>
            <w:t>5</w:t>
          </w:r>
        </w:fldSimple>
      </w:p>
    </w:sdtContent>
  </w:sdt>
  <w:p w:rsidR="00186C61" w:rsidRDefault="00186C61">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3D7D" w:rsidRDefault="003F3D7D" w:rsidP="00EE3834">
      <w:pPr>
        <w:spacing w:line="240" w:lineRule="auto"/>
      </w:pPr>
      <w:r>
        <w:separator/>
      </w:r>
    </w:p>
  </w:footnote>
  <w:footnote w:type="continuationSeparator" w:id="1">
    <w:p w:rsidR="003F3D7D" w:rsidRDefault="003F3D7D" w:rsidP="00EE3834">
      <w:pPr>
        <w:spacing w:line="240" w:lineRule="auto"/>
      </w:pPr>
      <w:r>
        <w:continuationSeparator/>
      </w:r>
    </w:p>
  </w:footnote>
  <w:footnote w:id="2">
    <w:p w:rsidR="00186C61" w:rsidRPr="00413F7A" w:rsidRDefault="00186C61">
      <w:pPr>
        <w:pStyle w:val="Voetnoottekst"/>
      </w:pPr>
      <w:r w:rsidRPr="00413F7A">
        <w:rPr>
          <w:rStyle w:val="Voetnootmarkering"/>
        </w:rPr>
        <w:footnoteRef/>
      </w:r>
      <w:r w:rsidRPr="00413F7A">
        <w:t xml:space="preserve"> </w:t>
      </w:r>
      <w:hyperlink r:id="rId1" w:anchor="ixzz1ympaun6F" w:history="1">
        <w:r w:rsidRPr="00413F7A">
          <w:rPr>
            <w:rStyle w:val="Hyperlink"/>
            <w:color w:val="auto"/>
            <w:u w:val="none"/>
          </w:rPr>
          <w:t>http://www.businessdictionary.com/definition/stakeholder.html#ixzz1ympaun6F</w:t>
        </w:r>
      </w:hyperlink>
    </w:p>
  </w:footnote>
  <w:footnote w:id="3">
    <w:p w:rsidR="00186C61" w:rsidRPr="009D3628" w:rsidRDefault="00186C61">
      <w:pPr>
        <w:pStyle w:val="Voetnoottekst"/>
        <w:rPr>
          <w:lang w:val="en-US"/>
        </w:rPr>
      </w:pPr>
      <w:r>
        <w:rPr>
          <w:rStyle w:val="Voetnootmarkering"/>
        </w:rPr>
        <w:footnoteRef/>
      </w:r>
      <w:r w:rsidRPr="009D3628">
        <w:rPr>
          <w:lang w:val="en-US"/>
        </w:rPr>
        <w:t xml:space="preserve">        </w:t>
      </w:r>
      <w:r>
        <w:rPr>
          <w:lang w:val="en-US"/>
        </w:rPr>
        <w:t>Kim and Li (2010) decide to use GICS codes based on the study of Bojraj et al. (2003). The study of Bojraj et al. (2003) compares four different types of industry classifications in a variety of applications common to capital market research. Their results show that the GICS definition of industries is significantly better than using SIC codes at explaining stock return comovements.</w:t>
      </w:r>
    </w:p>
  </w:footnote>
  <w:footnote w:id="4">
    <w:p w:rsidR="00186C61" w:rsidRPr="00334EA2" w:rsidRDefault="00186C61">
      <w:pPr>
        <w:pStyle w:val="Voetnoottekst"/>
        <w:rPr>
          <w:lang w:val="en-US"/>
        </w:rPr>
      </w:pPr>
      <w:r>
        <w:rPr>
          <w:rStyle w:val="Voetnootmarkering"/>
        </w:rPr>
        <w:footnoteRef/>
      </w:r>
      <w:r w:rsidRPr="009D3628">
        <w:rPr>
          <w:lang w:val="en-US"/>
        </w:rPr>
        <w:t xml:space="preserve"> </w:t>
      </w:r>
      <w:r w:rsidRPr="00334EA2">
        <w:rPr>
          <w:lang w:val="en-US"/>
        </w:rPr>
        <w:t>The reason why computations in this paper are based on</w:t>
      </w:r>
      <w:r>
        <w:rPr>
          <w:lang w:val="en-US"/>
        </w:rPr>
        <w:t xml:space="preserve"> two-trading-days time periods, is because of the inability to specify the exact trading day that the earnings announcement becomes to the market. If the announcement date is for example January 30, it could be that the announcement had been released the day before during or subsequent to the close of trading. </w:t>
      </w:r>
    </w:p>
  </w:footnote>
  <w:footnote w:id="5">
    <w:p w:rsidR="00186C61" w:rsidRPr="009D3628" w:rsidRDefault="00186C61">
      <w:pPr>
        <w:pStyle w:val="Voetnoottekst"/>
        <w:rPr>
          <w:lang w:val="en-US"/>
        </w:rPr>
      </w:pPr>
      <w:r>
        <w:rPr>
          <w:rStyle w:val="Voetnootmarkering"/>
        </w:rPr>
        <w:footnoteRef/>
      </w:r>
      <w:r w:rsidRPr="009D3628">
        <w:rPr>
          <w:lang w:val="en-US"/>
        </w:rPr>
        <w:t xml:space="preserve"> http://www.eur.nl/edsc/nederlands/handleidingen/event_study/datastream_event_study_tool/</w:t>
      </w:r>
    </w:p>
  </w:footnote>
  <w:footnote w:id="6">
    <w:p w:rsidR="00186C61" w:rsidRPr="00416BB4" w:rsidRDefault="00186C61">
      <w:pPr>
        <w:pStyle w:val="Voetnoottekst"/>
        <w:rPr>
          <w:lang w:val="en-US"/>
        </w:rPr>
      </w:pPr>
      <w:r>
        <w:rPr>
          <w:rStyle w:val="Voetnootmarkering"/>
        </w:rPr>
        <w:footnoteRef/>
      </w:r>
      <w:r w:rsidRPr="00416BB4">
        <w:rPr>
          <w:lang w:val="en-US"/>
        </w:rPr>
        <w:t xml:space="preserve"> A. Field</w:t>
      </w:r>
      <w:r>
        <w:rPr>
          <w:lang w:val="en-US"/>
        </w:rPr>
        <w:t xml:space="preserve"> (2009)</w:t>
      </w:r>
      <w:r w:rsidRPr="00416BB4">
        <w:rPr>
          <w:lang w:val="en-US"/>
        </w:rPr>
        <w:t xml:space="preserve">, </w:t>
      </w:r>
      <w:r w:rsidRPr="00416BB4">
        <w:rPr>
          <w:i/>
          <w:lang w:val="en-US"/>
        </w:rPr>
        <w:t>Discovering statistics using S</w:t>
      </w:r>
      <w:r>
        <w:rPr>
          <w:i/>
          <w:lang w:val="en-US"/>
        </w:rPr>
        <w:t xml:space="preserve">PSS third edition, </w:t>
      </w:r>
      <w:r>
        <w:rPr>
          <w:lang w:val="en-US"/>
        </w:rPr>
        <w:t>p. 144</w:t>
      </w:r>
    </w:p>
  </w:footnote>
  <w:footnote w:id="7">
    <w:p w:rsidR="00186C61" w:rsidRPr="000D5502" w:rsidRDefault="00186C61" w:rsidP="00270362">
      <w:pPr>
        <w:pStyle w:val="Voetnoottekst"/>
        <w:rPr>
          <w:rFonts w:asciiTheme="minorHAnsi" w:hAnsiTheme="minorHAnsi" w:cstheme="minorHAnsi"/>
          <w:lang w:val="en-US"/>
        </w:rPr>
      </w:pPr>
      <w:r w:rsidRPr="000D5502">
        <w:rPr>
          <w:rStyle w:val="Voetnootmarkering"/>
          <w:rFonts w:asciiTheme="minorHAnsi" w:hAnsiTheme="minorHAnsi" w:cstheme="minorHAnsi"/>
        </w:rPr>
        <w:footnoteRef/>
      </w:r>
      <w:r w:rsidRPr="000D5502">
        <w:rPr>
          <w:rFonts w:asciiTheme="minorHAnsi" w:hAnsiTheme="minorHAnsi" w:cstheme="minorHAnsi"/>
          <w:lang w:val="en-US"/>
        </w:rPr>
        <w:t xml:space="preserve"> A.Field</w:t>
      </w:r>
      <w:r>
        <w:rPr>
          <w:rFonts w:asciiTheme="minorHAnsi" w:hAnsiTheme="minorHAnsi" w:cstheme="minorHAnsi"/>
          <w:lang w:val="en-US"/>
        </w:rPr>
        <w:t xml:space="preserve"> (2009)</w:t>
      </w:r>
      <w:r w:rsidRPr="000D5502">
        <w:rPr>
          <w:rFonts w:asciiTheme="minorHAnsi" w:hAnsiTheme="minorHAnsi" w:cstheme="minorHAnsi"/>
          <w:lang w:val="en-US"/>
        </w:rPr>
        <w:t xml:space="preserve">, </w:t>
      </w:r>
      <w:r w:rsidRPr="000D5502">
        <w:rPr>
          <w:rFonts w:asciiTheme="minorHAnsi" w:hAnsiTheme="minorHAnsi" w:cstheme="minorHAnsi"/>
          <w:i/>
          <w:lang w:val="en-US"/>
        </w:rPr>
        <w:t xml:space="preserve">Discovering Statistics using </w:t>
      </w:r>
      <w:r>
        <w:rPr>
          <w:rFonts w:asciiTheme="minorHAnsi" w:hAnsiTheme="minorHAnsi" w:cstheme="minorHAnsi"/>
          <w:i/>
          <w:lang w:val="en-US"/>
        </w:rPr>
        <w:t xml:space="preserve">SPSS third edition, </w:t>
      </w:r>
      <w:r>
        <w:rPr>
          <w:rFonts w:asciiTheme="minorHAnsi" w:hAnsiTheme="minorHAnsi" w:cstheme="minorHAnsi"/>
          <w:lang w:val="en-US"/>
        </w:rPr>
        <w:t>p. 180</w:t>
      </w:r>
    </w:p>
  </w:footnote>
  <w:footnote w:id="8">
    <w:p w:rsidR="00186C61" w:rsidRPr="005E3A1B" w:rsidRDefault="00186C61">
      <w:pPr>
        <w:pStyle w:val="Voetnoottekst"/>
        <w:rPr>
          <w:rFonts w:asciiTheme="minorHAnsi" w:hAnsiTheme="minorHAnsi" w:cstheme="minorHAnsi"/>
          <w:lang w:val="en-US"/>
        </w:rPr>
      </w:pPr>
      <w:r w:rsidRPr="005E3A1B">
        <w:rPr>
          <w:rStyle w:val="Voetnootmarkering"/>
          <w:lang w:val="en-US"/>
        </w:rPr>
        <w:footnoteRef/>
      </w:r>
      <w:r w:rsidRPr="005E3A1B">
        <w:rPr>
          <w:lang w:val="en-US"/>
        </w:rPr>
        <w:t xml:space="preserve"> </w:t>
      </w:r>
      <w:r w:rsidRPr="005E3A1B">
        <w:rPr>
          <w:rFonts w:asciiTheme="minorHAnsi" w:hAnsiTheme="minorHAnsi" w:cstheme="minorHAnsi"/>
          <w:lang w:val="en-US"/>
        </w:rPr>
        <w:t>Result statistics are included in the Appendix</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94D05D82"/>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7432262A"/>
    <w:lvl w:ilvl="0">
      <w:start w:val="1"/>
      <w:numFmt w:val="bullet"/>
      <w:lvlText w:val=""/>
      <w:lvlJc w:val="left"/>
      <w:pPr>
        <w:tabs>
          <w:tab w:val="num" w:pos="643"/>
        </w:tabs>
        <w:ind w:left="643" w:hanging="360"/>
      </w:pPr>
      <w:rPr>
        <w:rFonts w:ascii="Symbol" w:hAnsi="Symbol" w:hint="default"/>
      </w:rPr>
    </w:lvl>
  </w:abstractNum>
  <w:abstractNum w:abstractNumId="2">
    <w:nsid w:val="FFFFFF88"/>
    <w:multiLevelType w:val="singleLevel"/>
    <w:tmpl w:val="2544F7BE"/>
    <w:lvl w:ilvl="0">
      <w:start w:val="1"/>
      <w:numFmt w:val="decimal"/>
      <w:lvlText w:val="%1."/>
      <w:lvlJc w:val="left"/>
      <w:pPr>
        <w:tabs>
          <w:tab w:val="num" w:pos="360"/>
        </w:tabs>
        <w:ind w:left="360" w:hanging="360"/>
      </w:pPr>
    </w:lvl>
  </w:abstractNum>
  <w:abstractNum w:abstractNumId="3">
    <w:nsid w:val="FFFFFF89"/>
    <w:multiLevelType w:val="singleLevel"/>
    <w:tmpl w:val="E87EC7E4"/>
    <w:lvl w:ilvl="0">
      <w:start w:val="1"/>
      <w:numFmt w:val="bullet"/>
      <w:lvlText w:val=""/>
      <w:lvlJc w:val="left"/>
      <w:pPr>
        <w:tabs>
          <w:tab w:val="num" w:pos="360"/>
        </w:tabs>
        <w:ind w:left="360" w:hanging="360"/>
      </w:pPr>
      <w:rPr>
        <w:rFonts w:ascii="Symbol" w:hAnsi="Symbol" w:hint="default"/>
      </w:rPr>
    </w:lvl>
  </w:abstractNum>
  <w:abstractNum w:abstractNumId="4">
    <w:nsid w:val="FFFFFFFB"/>
    <w:multiLevelType w:val="multilevel"/>
    <w:tmpl w:val="4B545904"/>
    <w:lvl w:ilvl="0">
      <w:start w:val="1"/>
      <w:numFmt w:val="decimal"/>
      <w:pStyle w:val="Kop1"/>
      <w:lvlText w:val="%1"/>
      <w:lvlJc w:val="left"/>
      <w:pPr>
        <w:tabs>
          <w:tab w:val="num" w:pos="720"/>
        </w:tabs>
        <w:ind w:left="720" w:hanging="720"/>
      </w:pPr>
      <w:rPr>
        <w:rFonts w:ascii="EYInterstate Light" w:hAnsi="EYInterstate Light" w:hint="default"/>
        <w:b/>
        <w:i w:val="0"/>
        <w:sz w:val="28"/>
      </w:rPr>
    </w:lvl>
    <w:lvl w:ilvl="1">
      <w:start w:val="1"/>
      <w:numFmt w:val="decimal"/>
      <w:pStyle w:val="Kop2"/>
      <w:lvlText w:val="%1.%2"/>
      <w:lvlJc w:val="left"/>
      <w:pPr>
        <w:tabs>
          <w:tab w:val="num" w:pos="720"/>
        </w:tabs>
        <w:ind w:left="720" w:hanging="720"/>
      </w:pPr>
      <w:rPr>
        <w:rFonts w:ascii="EYInterstate Light" w:hAnsi="EYInterstate Light" w:hint="default"/>
        <w:b/>
        <w:i w:val="0"/>
        <w:sz w:val="26"/>
      </w:rPr>
    </w:lvl>
    <w:lvl w:ilvl="2">
      <w:start w:val="1"/>
      <w:numFmt w:val="decimal"/>
      <w:pStyle w:val="Kop3"/>
      <w:lvlText w:val="%1.%2.%3"/>
      <w:lvlJc w:val="left"/>
      <w:pPr>
        <w:tabs>
          <w:tab w:val="num" w:pos="720"/>
        </w:tabs>
        <w:ind w:left="720" w:hanging="720"/>
      </w:pPr>
      <w:rPr>
        <w:rFonts w:ascii="EYInterstate Light" w:hAnsi="EYInterstate Light" w:hint="default"/>
        <w:b/>
        <w:i w:val="0"/>
        <w:sz w:val="24"/>
      </w:rPr>
    </w:lvl>
    <w:lvl w:ilvl="3">
      <w:start w:val="1"/>
      <w:numFmt w:val="decimal"/>
      <w:pStyle w:val="Kop4"/>
      <w:suff w:val="nothing"/>
      <w:lvlText w:val="%1.%2.%3.%4"/>
      <w:lvlJc w:val="left"/>
      <w:pPr>
        <w:tabs>
          <w:tab w:val="num" w:pos="720"/>
        </w:tabs>
        <w:ind w:left="720" w:hanging="720"/>
      </w:pPr>
      <w:rPr>
        <w:rFonts w:ascii="EYInterstate Light" w:hAnsi="EYInterstate Light" w:hint="default"/>
        <w:b/>
        <w:i w:val="0"/>
        <w:sz w:val="22"/>
      </w:rPr>
    </w:lvl>
    <w:lvl w:ilvl="4">
      <w:start w:val="1"/>
      <w:numFmt w:val="decimal"/>
      <w:pStyle w:val="Kop5"/>
      <w:lvlText w:val="(%5)"/>
      <w:lvlJc w:val="left"/>
      <w:pPr>
        <w:tabs>
          <w:tab w:val="num" w:pos="0"/>
        </w:tabs>
        <w:ind w:left="3576" w:hanging="708"/>
      </w:pPr>
      <w:rPr>
        <w:rFonts w:hint="default"/>
      </w:rPr>
    </w:lvl>
    <w:lvl w:ilvl="5">
      <w:start w:val="1"/>
      <w:numFmt w:val="lowerLetter"/>
      <w:pStyle w:val="Kop6"/>
      <w:lvlText w:val="(%6)"/>
      <w:lvlJc w:val="left"/>
      <w:pPr>
        <w:tabs>
          <w:tab w:val="num" w:pos="0"/>
        </w:tabs>
        <w:ind w:left="4284" w:hanging="708"/>
      </w:pPr>
      <w:rPr>
        <w:rFonts w:hint="default"/>
      </w:rPr>
    </w:lvl>
    <w:lvl w:ilvl="6">
      <w:start w:val="1"/>
      <w:numFmt w:val="lowerRoman"/>
      <w:pStyle w:val="Kop7"/>
      <w:lvlText w:val="(%7)"/>
      <w:lvlJc w:val="left"/>
      <w:pPr>
        <w:tabs>
          <w:tab w:val="num" w:pos="0"/>
        </w:tabs>
        <w:ind w:left="4992" w:hanging="708"/>
      </w:pPr>
      <w:rPr>
        <w:rFonts w:hint="default"/>
      </w:rPr>
    </w:lvl>
    <w:lvl w:ilvl="7">
      <w:start w:val="1"/>
      <w:numFmt w:val="lowerLetter"/>
      <w:pStyle w:val="Kop8"/>
      <w:lvlText w:val="(%8)"/>
      <w:lvlJc w:val="left"/>
      <w:pPr>
        <w:tabs>
          <w:tab w:val="num" w:pos="0"/>
        </w:tabs>
        <w:ind w:left="5700" w:hanging="708"/>
      </w:pPr>
      <w:rPr>
        <w:rFonts w:hint="default"/>
      </w:rPr>
    </w:lvl>
    <w:lvl w:ilvl="8">
      <w:start w:val="1"/>
      <w:numFmt w:val="lowerRoman"/>
      <w:pStyle w:val="Kop9"/>
      <w:lvlText w:val="(%9)"/>
      <w:lvlJc w:val="left"/>
      <w:pPr>
        <w:tabs>
          <w:tab w:val="num" w:pos="0"/>
        </w:tabs>
        <w:ind w:left="6408" w:hanging="708"/>
      </w:pPr>
      <w:rPr>
        <w:rFonts w:hint="default"/>
      </w:rPr>
    </w:lvl>
  </w:abstractNum>
  <w:abstractNum w:abstractNumId="5">
    <w:nsid w:val="02120A61"/>
    <w:multiLevelType w:val="hybridMultilevel"/>
    <w:tmpl w:val="3D066BE4"/>
    <w:lvl w:ilvl="0" w:tplc="A1107D52">
      <w:start w:val="1"/>
      <w:numFmt w:val="decimal"/>
      <w:pStyle w:val="ListNumberTable"/>
      <w:lvlText w:val="%1"/>
      <w:lvlJc w:val="left"/>
      <w:pPr>
        <w:tabs>
          <w:tab w:val="num" w:pos="567"/>
        </w:tabs>
        <w:ind w:left="567" w:hanging="567"/>
      </w:pPr>
      <w:rPr>
        <w:rFonts w:ascii="EYInterstate Light" w:hAnsi="EYInterstate Light" w:hint="default"/>
        <w:b w:val="0"/>
        <w:i w:val="0"/>
        <w:sz w:val="20"/>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6">
    <w:nsid w:val="0A395B6F"/>
    <w:multiLevelType w:val="hybridMultilevel"/>
    <w:tmpl w:val="E7506B6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8A87307"/>
    <w:multiLevelType w:val="hybridMultilevel"/>
    <w:tmpl w:val="E63E66D0"/>
    <w:lvl w:ilvl="0" w:tplc="E0F6DD68">
      <w:start w:val="1"/>
      <w:numFmt w:val="decimal"/>
      <w:lvlRestart w:val="0"/>
      <w:pStyle w:val="Lijstnummering"/>
      <w:lvlText w:val="%1"/>
      <w:lvlJc w:val="left"/>
      <w:pPr>
        <w:tabs>
          <w:tab w:val="num" w:pos="567"/>
        </w:tabs>
        <w:ind w:left="567" w:hanging="567"/>
      </w:pPr>
      <w:rPr>
        <w:rFonts w:ascii="EYInterstate Light" w:hAnsi="EYInterstate Light" w:cs="Tunga" w:hint="default"/>
        <w:b w:val="0"/>
        <w:i w:val="0"/>
        <w:sz w:val="22"/>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8">
    <w:nsid w:val="2CEC1D12"/>
    <w:multiLevelType w:val="hybridMultilevel"/>
    <w:tmpl w:val="D25EE002"/>
    <w:lvl w:ilvl="0" w:tplc="0CD0D2D2">
      <w:start w:val="1"/>
      <w:numFmt w:val="bullet"/>
      <w:lvlRestart w:val="0"/>
      <w:pStyle w:val="ListBulletTable"/>
      <w:lvlText w:val="–"/>
      <w:lvlJc w:val="left"/>
      <w:pPr>
        <w:tabs>
          <w:tab w:val="num" w:pos="283"/>
        </w:tabs>
        <w:ind w:left="283" w:firstLine="0"/>
      </w:pPr>
      <w:rPr>
        <w:rFonts w:ascii="EYInterstate Light" w:hAnsi="EYInterstate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2FF62636"/>
    <w:multiLevelType w:val="hybridMultilevel"/>
    <w:tmpl w:val="F0E62674"/>
    <w:lvl w:ilvl="0" w:tplc="9648E48A">
      <w:start w:val="1"/>
      <w:numFmt w:val="bullet"/>
      <w:lvlRestart w:val="0"/>
      <w:pStyle w:val="Lijstopsomteken"/>
      <w:lvlText w:val="—"/>
      <w:lvlJc w:val="left"/>
      <w:pPr>
        <w:tabs>
          <w:tab w:val="num" w:pos="567"/>
        </w:tabs>
        <w:ind w:left="567"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0">
    <w:nsid w:val="3F4E45E5"/>
    <w:multiLevelType w:val="hybridMultilevel"/>
    <w:tmpl w:val="0B3ECD26"/>
    <w:lvl w:ilvl="0" w:tplc="CF767D90">
      <w:start w:val="1"/>
      <w:numFmt w:val="bullet"/>
      <w:lvlRestart w:val="0"/>
      <w:pStyle w:val="Lijstopsomteken2"/>
      <w:lvlText w:val="—"/>
      <w:lvlJc w:val="left"/>
      <w:pPr>
        <w:tabs>
          <w:tab w:val="num" w:pos="1134"/>
        </w:tabs>
        <w:ind w:left="1134"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2007"/>
        </w:tabs>
        <w:ind w:left="2007" w:hanging="360"/>
      </w:pPr>
      <w:rPr>
        <w:rFonts w:ascii="Courier New" w:hAnsi="Courier New" w:cs="Courier New" w:hint="default"/>
      </w:rPr>
    </w:lvl>
    <w:lvl w:ilvl="2" w:tplc="04130005" w:tentative="1">
      <w:start w:val="1"/>
      <w:numFmt w:val="bullet"/>
      <w:lvlText w:val=""/>
      <w:lvlJc w:val="left"/>
      <w:pPr>
        <w:tabs>
          <w:tab w:val="num" w:pos="2727"/>
        </w:tabs>
        <w:ind w:left="2727" w:hanging="360"/>
      </w:pPr>
      <w:rPr>
        <w:rFonts w:ascii="Wingdings" w:hAnsi="Wingdings" w:hint="default"/>
      </w:rPr>
    </w:lvl>
    <w:lvl w:ilvl="3" w:tplc="04130001" w:tentative="1">
      <w:start w:val="1"/>
      <w:numFmt w:val="bullet"/>
      <w:lvlText w:val=""/>
      <w:lvlJc w:val="left"/>
      <w:pPr>
        <w:tabs>
          <w:tab w:val="num" w:pos="3447"/>
        </w:tabs>
        <w:ind w:left="3447" w:hanging="360"/>
      </w:pPr>
      <w:rPr>
        <w:rFonts w:ascii="Symbol" w:hAnsi="Symbol" w:hint="default"/>
      </w:rPr>
    </w:lvl>
    <w:lvl w:ilvl="4" w:tplc="04130003" w:tentative="1">
      <w:start w:val="1"/>
      <w:numFmt w:val="bullet"/>
      <w:lvlText w:val="o"/>
      <w:lvlJc w:val="left"/>
      <w:pPr>
        <w:tabs>
          <w:tab w:val="num" w:pos="4167"/>
        </w:tabs>
        <w:ind w:left="4167" w:hanging="360"/>
      </w:pPr>
      <w:rPr>
        <w:rFonts w:ascii="Courier New" w:hAnsi="Courier New" w:cs="Courier New" w:hint="default"/>
      </w:rPr>
    </w:lvl>
    <w:lvl w:ilvl="5" w:tplc="04130005" w:tentative="1">
      <w:start w:val="1"/>
      <w:numFmt w:val="bullet"/>
      <w:lvlText w:val=""/>
      <w:lvlJc w:val="left"/>
      <w:pPr>
        <w:tabs>
          <w:tab w:val="num" w:pos="4887"/>
        </w:tabs>
        <w:ind w:left="4887" w:hanging="360"/>
      </w:pPr>
      <w:rPr>
        <w:rFonts w:ascii="Wingdings" w:hAnsi="Wingdings" w:hint="default"/>
      </w:rPr>
    </w:lvl>
    <w:lvl w:ilvl="6" w:tplc="04130001" w:tentative="1">
      <w:start w:val="1"/>
      <w:numFmt w:val="bullet"/>
      <w:lvlText w:val=""/>
      <w:lvlJc w:val="left"/>
      <w:pPr>
        <w:tabs>
          <w:tab w:val="num" w:pos="5607"/>
        </w:tabs>
        <w:ind w:left="5607" w:hanging="360"/>
      </w:pPr>
      <w:rPr>
        <w:rFonts w:ascii="Symbol" w:hAnsi="Symbol" w:hint="default"/>
      </w:rPr>
    </w:lvl>
    <w:lvl w:ilvl="7" w:tplc="04130003" w:tentative="1">
      <w:start w:val="1"/>
      <w:numFmt w:val="bullet"/>
      <w:lvlText w:val="o"/>
      <w:lvlJc w:val="left"/>
      <w:pPr>
        <w:tabs>
          <w:tab w:val="num" w:pos="6327"/>
        </w:tabs>
        <w:ind w:left="6327" w:hanging="360"/>
      </w:pPr>
      <w:rPr>
        <w:rFonts w:ascii="Courier New" w:hAnsi="Courier New" w:cs="Courier New" w:hint="default"/>
      </w:rPr>
    </w:lvl>
    <w:lvl w:ilvl="8" w:tplc="04130005" w:tentative="1">
      <w:start w:val="1"/>
      <w:numFmt w:val="bullet"/>
      <w:lvlText w:val=""/>
      <w:lvlJc w:val="left"/>
      <w:pPr>
        <w:tabs>
          <w:tab w:val="num" w:pos="7047"/>
        </w:tabs>
        <w:ind w:left="7047" w:hanging="360"/>
      </w:pPr>
      <w:rPr>
        <w:rFonts w:ascii="Wingdings" w:hAnsi="Wingdings" w:hint="default"/>
      </w:rPr>
    </w:lvl>
  </w:abstractNum>
  <w:abstractNum w:abstractNumId="11">
    <w:nsid w:val="476C4C96"/>
    <w:multiLevelType w:val="hybridMultilevel"/>
    <w:tmpl w:val="B6402ABE"/>
    <w:lvl w:ilvl="0" w:tplc="1E84134A">
      <w:start w:val="1"/>
      <w:numFmt w:val="bullet"/>
      <w:lvlText w:val="•"/>
      <w:lvlJc w:val="left"/>
      <w:pPr>
        <w:tabs>
          <w:tab w:val="num" w:pos="720"/>
        </w:tabs>
        <w:ind w:left="720" w:hanging="360"/>
      </w:pPr>
      <w:rPr>
        <w:rFonts w:ascii="Times New Roman" w:hAnsi="Times New Roman" w:hint="default"/>
      </w:rPr>
    </w:lvl>
    <w:lvl w:ilvl="1" w:tplc="78723FF6" w:tentative="1">
      <w:start w:val="1"/>
      <w:numFmt w:val="bullet"/>
      <w:lvlText w:val="•"/>
      <w:lvlJc w:val="left"/>
      <w:pPr>
        <w:tabs>
          <w:tab w:val="num" w:pos="1440"/>
        </w:tabs>
        <w:ind w:left="1440" w:hanging="360"/>
      </w:pPr>
      <w:rPr>
        <w:rFonts w:ascii="Times New Roman" w:hAnsi="Times New Roman" w:hint="default"/>
      </w:rPr>
    </w:lvl>
    <w:lvl w:ilvl="2" w:tplc="30DE2BB2" w:tentative="1">
      <w:start w:val="1"/>
      <w:numFmt w:val="bullet"/>
      <w:lvlText w:val="•"/>
      <w:lvlJc w:val="left"/>
      <w:pPr>
        <w:tabs>
          <w:tab w:val="num" w:pos="2160"/>
        </w:tabs>
        <w:ind w:left="2160" w:hanging="360"/>
      </w:pPr>
      <w:rPr>
        <w:rFonts w:ascii="Times New Roman" w:hAnsi="Times New Roman" w:hint="default"/>
      </w:rPr>
    </w:lvl>
    <w:lvl w:ilvl="3" w:tplc="920429F8" w:tentative="1">
      <w:start w:val="1"/>
      <w:numFmt w:val="bullet"/>
      <w:lvlText w:val="•"/>
      <w:lvlJc w:val="left"/>
      <w:pPr>
        <w:tabs>
          <w:tab w:val="num" w:pos="2880"/>
        </w:tabs>
        <w:ind w:left="2880" w:hanging="360"/>
      </w:pPr>
      <w:rPr>
        <w:rFonts w:ascii="Times New Roman" w:hAnsi="Times New Roman" w:hint="default"/>
      </w:rPr>
    </w:lvl>
    <w:lvl w:ilvl="4" w:tplc="60B461E6" w:tentative="1">
      <w:start w:val="1"/>
      <w:numFmt w:val="bullet"/>
      <w:lvlText w:val="•"/>
      <w:lvlJc w:val="left"/>
      <w:pPr>
        <w:tabs>
          <w:tab w:val="num" w:pos="3600"/>
        </w:tabs>
        <w:ind w:left="3600" w:hanging="360"/>
      </w:pPr>
      <w:rPr>
        <w:rFonts w:ascii="Times New Roman" w:hAnsi="Times New Roman" w:hint="default"/>
      </w:rPr>
    </w:lvl>
    <w:lvl w:ilvl="5" w:tplc="300CAC3E" w:tentative="1">
      <w:start w:val="1"/>
      <w:numFmt w:val="bullet"/>
      <w:lvlText w:val="•"/>
      <w:lvlJc w:val="left"/>
      <w:pPr>
        <w:tabs>
          <w:tab w:val="num" w:pos="4320"/>
        </w:tabs>
        <w:ind w:left="4320" w:hanging="360"/>
      </w:pPr>
      <w:rPr>
        <w:rFonts w:ascii="Times New Roman" w:hAnsi="Times New Roman" w:hint="default"/>
      </w:rPr>
    </w:lvl>
    <w:lvl w:ilvl="6" w:tplc="54AA5428" w:tentative="1">
      <w:start w:val="1"/>
      <w:numFmt w:val="bullet"/>
      <w:lvlText w:val="•"/>
      <w:lvlJc w:val="left"/>
      <w:pPr>
        <w:tabs>
          <w:tab w:val="num" w:pos="5040"/>
        </w:tabs>
        <w:ind w:left="5040" w:hanging="360"/>
      </w:pPr>
      <w:rPr>
        <w:rFonts w:ascii="Times New Roman" w:hAnsi="Times New Roman" w:hint="default"/>
      </w:rPr>
    </w:lvl>
    <w:lvl w:ilvl="7" w:tplc="E0861A14" w:tentative="1">
      <w:start w:val="1"/>
      <w:numFmt w:val="bullet"/>
      <w:lvlText w:val="•"/>
      <w:lvlJc w:val="left"/>
      <w:pPr>
        <w:tabs>
          <w:tab w:val="num" w:pos="5760"/>
        </w:tabs>
        <w:ind w:left="5760" w:hanging="360"/>
      </w:pPr>
      <w:rPr>
        <w:rFonts w:ascii="Times New Roman" w:hAnsi="Times New Roman" w:hint="default"/>
      </w:rPr>
    </w:lvl>
    <w:lvl w:ilvl="8" w:tplc="E4E4A42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DA87CC9"/>
    <w:multiLevelType w:val="multilevel"/>
    <w:tmpl w:val="9FE6E420"/>
    <w:lvl w:ilvl="0">
      <w:start w:val="1"/>
      <w:numFmt w:val="decimal"/>
      <w:pStyle w:val="BijlageHeading1"/>
      <w:lvlText w:val="%1"/>
      <w:lvlJc w:val="left"/>
      <w:pPr>
        <w:tabs>
          <w:tab w:val="num" w:pos="720"/>
        </w:tabs>
        <w:ind w:left="720" w:hanging="720"/>
      </w:pPr>
      <w:rPr>
        <w:rFonts w:ascii="EYInterstate Light" w:hAnsi="EYInterstate Light" w:hint="default"/>
        <w:b/>
        <w:i w:val="0"/>
        <w:sz w:val="28"/>
      </w:rPr>
    </w:lvl>
    <w:lvl w:ilvl="1">
      <w:start w:val="1"/>
      <w:numFmt w:val="decimal"/>
      <w:pStyle w:val="BijlageHeading2"/>
      <w:lvlText w:val="%1.%2"/>
      <w:lvlJc w:val="left"/>
      <w:pPr>
        <w:tabs>
          <w:tab w:val="num" w:pos="720"/>
        </w:tabs>
        <w:ind w:left="720" w:hanging="720"/>
      </w:pPr>
      <w:rPr>
        <w:rFonts w:ascii="EYInterstate Light" w:hAnsi="EYInterstate Light" w:hint="default"/>
        <w:b/>
        <w:i w:val="0"/>
        <w:sz w:val="26"/>
      </w:rPr>
    </w:lvl>
    <w:lvl w:ilvl="2">
      <w:start w:val="1"/>
      <w:numFmt w:val="decimal"/>
      <w:pStyle w:val="BijlageHeading3"/>
      <w:lvlText w:val="%1.%2.%3"/>
      <w:lvlJc w:val="left"/>
      <w:pPr>
        <w:tabs>
          <w:tab w:val="num" w:pos="720"/>
        </w:tabs>
        <w:ind w:left="720" w:hanging="720"/>
      </w:pPr>
      <w:rPr>
        <w:rFonts w:ascii="EYInterstate Light" w:hAnsi="EYInterstate Light" w:hint="default"/>
        <w:b/>
        <w:i w:val="0"/>
        <w:sz w:val="24"/>
      </w:rPr>
    </w:lvl>
    <w:lvl w:ilvl="3">
      <w:start w:val="1"/>
      <w:numFmt w:val="decimal"/>
      <w:pStyle w:val="BijlageHeading4"/>
      <w:suff w:val="nothing"/>
      <w:lvlText w:val="%1.%2.%3.%4"/>
      <w:lvlJc w:val="left"/>
      <w:pPr>
        <w:ind w:left="720" w:hanging="720"/>
      </w:pPr>
      <w:rPr>
        <w:rFonts w:ascii="EYInterstate Light" w:hAnsi="EYInterstate Light" w:hint="default"/>
        <w:b w:val="0"/>
        <w:i w:val="0"/>
        <w:sz w:val="24"/>
      </w:rPr>
    </w:lvl>
    <w:lvl w:ilvl="4">
      <w:start w:val="1"/>
      <w:numFmt w:val="decimal"/>
      <w:lvlText w:val="(%5)"/>
      <w:lvlJc w:val="left"/>
      <w:pPr>
        <w:tabs>
          <w:tab w:val="num" w:pos="0"/>
        </w:tabs>
        <w:ind w:left="3588" w:hanging="708"/>
      </w:pPr>
      <w:rPr>
        <w:rFonts w:hint="default"/>
      </w:rPr>
    </w:lvl>
    <w:lvl w:ilvl="5">
      <w:start w:val="1"/>
      <w:numFmt w:val="lowerLetter"/>
      <w:lvlText w:val="(%6)"/>
      <w:lvlJc w:val="left"/>
      <w:pPr>
        <w:tabs>
          <w:tab w:val="num" w:pos="0"/>
        </w:tabs>
        <w:ind w:left="4296" w:hanging="708"/>
      </w:pPr>
      <w:rPr>
        <w:rFonts w:hint="default"/>
      </w:rPr>
    </w:lvl>
    <w:lvl w:ilvl="6">
      <w:start w:val="1"/>
      <w:numFmt w:val="lowerRoman"/>
      <w:lvlText w:val="(%7)"/>
      <w:lvlJc w:val="left"/>
      <w:pPr>
        <w:tabs>
          <w:tab w:val="num" w:pos="0"/>
        </w:tabs>
        <w:ind w:left="5004" w:hanging="708"/>
      </w:pPr>
      <w:rPr>
        <w:rFonts w:hint="default"/>
      </w:rPr>
    </w:lvl>
    <w:lvl w:ilvl="7">
      <w:start w:val="1"/>
      <w:numFmt w:val="lowerLetter"/>
      <w:lvlText w:val="(%8)"/>
      <w:lvlJc w:val="left"/>
      <w:pPr>
        <w:tabs>
          <w:tab w:val="num" w:pos="0"/>
        </w:tabs>
        <w:ind w:left="5712" w:hanging="708"/>
      </w:pPr>
      <w:rPr>
        <w:rFonts w:hint="default"/>
      </w:rPr>
    </w:lvl>
    <w:lvl w:ilvl="8">
      <w:start w:val="1"/>
      <w:numFmt w:val="lowerRoman"/>
      <w:lvlText w:val="(%9)"/>
      <w:lvlJc w:val="left"/>
      <w:pPr>
        <w:tabs>
          <w:tab w:val="num" w:pos="0"/>
        </w:tabs>
        <w:ind w:left="6420" w:hanging="708"/>
      </w:pPr>
      <w:rPr>
        <w:rFonts w:hint="default"/>
      </w:rPr>
    </w:lvl>
  </w:abstractNum>
  <w:abstractNum w:abstractNumId="13">
    <w:nsid w:val="4EC404E8"/>
    <w:multiLevelType w:val="hybridMultilevel"/>
    <w:tmpl w:val="1F38FD2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52C508DF"/>
    <w:multiLevelType w:val="hybridMultilevel"/>
    <w:tmpl w:val="FC7E3B10"/>
    <w:lvl w:ilvl="0" w:tplc="C5A860C0">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61012FBE"/>
    <w:multiLevelType w:val="hybridMultilevel"/>
    <w:tmpl w:val="700843C6"/>
    <w:lvl w:ilvl="0" w:tplc="C5A860C0">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67D514F8"/>
    <w:multiLevelType w:val="hybridMultilevel"/>
    <w:tmpl w:val="4BBE3828"/>
    <w:lvl w:ilvl="0" w:tplc="53EE22B4">
      <w:start w:val="1"/>
      <w:numFmt w:val="bullet"/>
      <w:lvlRestart w:val="0"/>
      <w:pStyle w:val="ListBulletTable2"/>
      <w:lvlText w:val="–"/>
      <w:lvlJc w:val="left"/>
      <w:pPr>
        <w:tabs>
          <w:tab w:val="num" w:pos="852"/>
        </w:tabs>
        <w:ind w:left="852" w:firstLine="0"/>
      </w:pPr>
      <w:rPr>
        <w:rFonts w:ascii="EYInterstate Light" w:hAnsi="EYInterstate Light" w:hint="default"/>
      </w:rPr>
    </w:lvl>
    <w:lvl w:ilvl="1" w:tplc="04130003" w:tentative="1">
      <w:start w:val="1"/>
      <w:numFmt w:val="bullet"/>
      <w:lvlText w:val="o"/>
      <w:lvlJc w:val="left"/>
      <w:pPr>
        <w:ind w:left="1725" w:hanging="360"/>
      </w:pPr>
      <w:rPr>
        <w:rFonts w:ascii="Courier New" w:hAnsi="Courier New" w:cs="Courier New" w:hint="default"/>
      </w:rPr>
    </w:lvl>
    <w:lvl w:ilvl="2" w:tplc="04130005" w:tentative="1">
      <w:start w:val="1"/>
      <w:numFmt w:val="bullet"/>
      <w:lvlText w:val=""/>
      <w:lvlJc w:val="left"/>
      <w:pPr>
        <w:ind w:left="2445" w:hanging="360"/>
      </w:pPr>
      <w:rPr>
        <w:rFonts w:ascii="Wingdings" w:hAnsi="Wingdings" w:hint="default"/>
      </w:rPr>
    </w:lvl>
    <w:lvl w:ilvl="3" w:tplc="04130001" w:tentative="1">
      <w:start w:val="1"/>
      <w:numFmt w:val="bullet"/>
      <w:lvlText w:val=""/>
      <w:lvlJc w:val="left"/>
      <w:pPr>
        <w:ind w:left="3165" w:hanging="360"/>
      </w:pPr>
      <w:rPr>
        <w:rFonts w:ascii="Symbol" w:hAnsi="Symbol" w:hint="default"/>
      </w:rPr>
    </w:lvl>
    <w:lvl w:ilvl="4" w:tplc="04130003" w:tentative="1">
      <w:start w:val="1"/>
      <w:numFmt w:val="bullet"/>
      <w:lvlText w:val="o"/>
      <w:lvlJc w:val="left"/>
      <w:pPr>
        <w:ind w:left="3885" w:hanging="360"/>
      </w:pPr>
      <w:rPr>
        <w:rFonts w:ascii="Courier New" w:hAnsi="Courier New" w:cs="Courier New" w:hint="default"/>
      </w:rPr>
    </w:lvl>
    <w:lvl w:ilvl="5" w:tplc="04130005" w:tentative="1">
      <w:start w:val="1"/>
      <w:numFmt w:val="bullet"/>
      <w:lvlText w:val=""/>
      <w:lvlJc w:val="left"/>
      <w:pPr>
        <w:ind w:left="4605" w:hanging="360"/>
      </w:pPr>
      <w:rPr>
        <w:rFonts w:ascii="Wingdings" w:hAnsi="Wingdings" w:hint="default"/>
      </w:rPr>
    </w:lvl>
    <w:lvl w:ilvl="6" w:tplc="04130001" w:tentative="1">
      <w:start w:val="1"/>
      <w:numFmt w:val="bullet"/>
      <w:lvlText w:val=""/>
      <w:lvlJc w:val="left"/>
      <w:pPr>
        <w:ind w:left="5325" w:hanging="360"/>
      </w:pPr>
      <w:rPr>
        <w:rFonts w:ascii="Symbol" w:hAnsi="Symbol" w:hint="default"/>
      </w:rPr>
    </w:lvl>
    <w:lvl w:ilvl="7" w:tplc="04130003" w:tentative="1">
      <w:start w:val="1"/>
      <w:numFmt w:val="bullet"/>
      <w:lvlText w:val="o"/>
      <w:lvlJc w:val="left"/>
      <w:pPr>
        <w:ind w:left="6045" w:hanging="360"/>
      </w:pPr>
      <w:rPr>
        <w:rFonts w:ascii="Courier New" w:hAnsi="Courier New" w:cs="Courier New" w:hint="default"/>
      </w:rPr>
    </w:lvl>
    <w:lvl w:ilvl="8" w:tplc="04130005" w:tentative="1">
      <w:start w:val="1"/>
      <w:numFmt w:val="bullet"/>
      <w:lvlText w:val=""/>
      <w:lvlJc w:val="left"/>
      <w:pPr>
        <w:ind w:left="6765" w:hanging="360"/>
      </w:pPr>
      <w:rPr>
        <w:rFonts w:ascii="Wingdings" w:hAnsi="Wingdings" w:hint="default"/>
      </w:rPr>
    </w:lvl>
  </w:abstractNum>
  <w:abstractNum w:abstractNumId="17">
    <w:nsid w:val="775D74A4"/>
    <w:multiLevelType w:val="hybridMultilevel"/>
    <w:tmpl w:val="B9323CF0"/>
    <w:lvl w:ilvl="0" w:tplc="31A04502">
      <w:start w:val="1"/>
      <w:numFmt w:val="bullet"/>
      <w:lvlRestart w:val="0"/>
      <w:pStyle w:val="Lijstopsomteken3"/>
      <w:lvlText w:val="—"/>
      <w:lvlJc w:val="left"/>
      <w:pPr>
        <w:tabs>
          <w:tab w:val="num" w:pos="1701"/>
        </w:tabs>
        <w:ind w:left="1701"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2574"/>
        </w:tabs>
        <w:ind w:left="2574" w:hanging="360"/>
      </w:pPr>
      <w:rPr>
        <w:rFonts w:ascii="Courier New" w:hAnsi="Courier New" w:cs="Courier New" w:hint="default"/>
      </w:rPr>
    </w:lvl>
    <w:lvl w:ilvl="2" w:tplc="04130005" w:tentative="1">
      <w:start w:val="1"/>
      <w:numFmt w:val="bullet"/>
      <w:lvlText w:val=""/>
      <w:lvlJc w:val="left"/>
      <w:pPr>
        <w:tabs>
          <w:tab w:val="num" w:pos="3294"/>
        </w:tabs>
        <w:ind w:left="3294" w:hanging="360"/>
      </w:pPr>
      <w:rPr>
        <w:rFonts w:ascii="Wingdings" w:hAnsi="Wingdings" w:hint="default"/>
      </w:rPr>
    </w:lvl>
    <w:lvl w:ilvl="3" w:tplc="04130001" w:tentative="1">
      <w:start w:val="1"/>
      <w:numFmt w:val="bullet"/>
      <w:lvlText w:val=""/>
      <w:lvlJc w:val="left"/>
      <w:pPr>
        <w:tabs>
          <w:tab w:val="num" w:pos="4014"/>
        </w:tabs>
        <w:ind w:left="4014" w:hanging="360"/>
      </w:pPr>
      <w:rPr>
        <w:rFonts w:ascii="Symbol" w:hAnsi="Symbol" w:hint="default"/>
      </w:rPr>
    </w:lvl>
    <w:lvl w:ilvl="4" w:tplc="04130003" w:tentative="1">
      <w:start w:val="1"/>
      <w:numFmt w:val="bullet"/>
      <w:lvlText w:val="o"/>
      <w:lvlJc w:val="left"/>
      <w:pPr>
        <w:tabs>
          <w:tab w:val="num" w:pos="4734"/>
        </w:tabs>
        <w:ind w:left="4734" w:hanging="360"/>
      </w:pPr>
      <w:rPr>
        <w:rFonts w:ascii="Courier New" w:hAnsi="Courier New" w:cs="Courier New" w:hint="default"/>
      </w:rPr>
    </w:lvl>
    <w:lvl w:ilvl="5" w:tplc="04130005" w:tentative="1">
      <w:start w:val="1"/>
      <w:numFmt w:val="bullet"/>
      <w:lvlText w:val=""/>
      <w:lvlJc w:val="left"/>
      <w:pPr>
        <w:tabs>
          <w:tab w:val="num" w:pos="5454"/>
        </w:tabs>
        <w:ind w:left="5454" w:hanging="360"/>
      </w:pPr>
      <w:rPr>
        <w:rFonts w:ascii="Wingdings" w:hAnsi="Wingdings" w:hint="default"/>
      </w:rPr>
    </w:lvl>
    <w:lvl w:ilvl="6" w:tplc="04130001" w:tentative="1">
      <w:start w:val="1"/>
      <w:numFmt w:val="bullet"/>
      <w:lvlText w:val=""/>
      <w:lvlJc w:val="left"/>
      <w:pPr>
        <w:tabs>
          <w:tab w:val="num" w:pos="6174"/>
        </w:tabs>
        <w:ind w:left="6174" w:hanging="360"/>
      </w:pPr>
      <w:rPr>
        <w:rFonts w:ascii="Symbol" w:hAnsi="Symbol" w:hint="default"/>
      </w:rPr>
    </w:lvl>
    <w:lvl w:ilvl="7" w:tplc="04130003" w:tentative="1">
      <w:start w:val="1"/>
      <w:numFmt w:val="bullet"/>
      <w:lvlText w:val="o"/>
      <w:lvlJc w:val="left"/>
      <w:pPr>
        <w:tabs>
          <w:tab w:val="num" w:pos="6894"/>
        </w:tabs>
        <w:ind w:left="6894" w:hanging="360"/>
      </w:pPr>
      <w:rPr>
        <w:rFonts w:ascii="Courier New" w:hAnsi="Courier New" w:cs="Courier New" w:hint="default"/>
      </w:rPr>
    </w:lvl>
    <w:lvl w:ilvl="8" w:tplc="04130005" w:tentative="1">
      <w:start w:val="1"/>
      <w:numFmt w:val="bullet"/>
      <w:lvlText w:val=""/>
      <w:lvlJc w:val="left"/>
      <w:pPr>
        <w:tabs>
          <w:tab w:val="num" w:pos="7614"/>
        </w:tabs>
        <w:ind w:left="7614" w:hanging="360"/>
      </w:pPr>
      <w:rPr>
        <w:rFonts w:ascii="Wingdings" w:hAnsi="Wingdings" w:hint="default"/>
      </w:rPr>
    </w:lvl>
  </w:abstractNum>
  <w:num w:numId="1">
    <w:abstractNumId w:val="12"/>
  </w:num>
  <w:num w:numId="2">
    <w:abstractNumId w:val="12"/>
  </w:num>
  <w:num w:numId="3">
    <w:abstractNumId w:val="12"/>
  </w:num>
  <w:num w:numId="4">
    <w:abstractNumId w:val="12"/>
  </w:num>
  <w:num w:numId="5">
    <w:abstractNumId w:val="4"/>
  </w:num>
  <w:num w:numId="6">
    <w:abstractNumId w:val="4"/>
  </w:num>
  <w:num w:numId="7">
    <w:abstractNumId w:val="4"/>
  </w:num>
  <w:num w:numId="8">
    <w:abstractNumId w:val="4"/>
  </w:num>
  <w:num w:numId="9">
    <w:abstractNumId w:val="4"/>
  </w:num>
  <w:num w:numId="10">
    <w:abstractNumId w:val="4"/>
  </w:num>
  <w:num w:numId="11">
    <w:abstractNumId w:val="4"/>
  </w:num>
  <w:num w:numId="12">
    <w:abstractNumId w:val="4"/>
  </w:num>
  <w:num w:numId="13">
    <w:abstractNumId w:val="4"/>
  </w:num>
  <w:num w:numId="14">
    <w:abstractNumId w:val="3"/>
  </w:num>
  <w:num w:numId="15">
    <w:abstractNumId w:val="9"/>
  </w:num>
  <w:num w:numId="16">
    <w:abstractNumId w:val="1"/>
  </w:num>
  <w:num w:numId="17">
    <w:abstractNumId w:val="10"/>
  </w:num>
  <w:num w:numId="18">
    <w:abstractNumId w:val="0"/>
  </w:num>
  <w:num w:numId="19">
    <w:abstractNumId w:val="17"/>
  </w:num>
  <w:num w:numId="20">
    <w:abstractNumId w:val="2"/>
  </w:num>
  <w:num w:numId="21">
    <w:abstractNumId w:val="7"/>
  </w:num>
  <w:num w:numId="22">
    <w:abstractNumId w:val="13"/>
  </w:num>
  <w:num w:numId="23">
    <w:abstractNumId w:val="11"/>
  </w:num>
  <w:num w:numId="24">
    <w:abstractNumId w:val="15"/>
  </w:num>
  <w:num w:numId="25">
    <w:abstractNumId w:val="14"/>
  </w:num>
  <w:num w:numId="26">
    <w:abstractNumId w:val="6"/>
  </w:num>
  <w:num w:numId="27">
    <w:abstractNumId w:val="5"/>
  </w:num>
  <w:num w:numId="28">
    <w:abstractNumId w:val="8"/>
  </w:num>
  <w:num w:numId="29">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567"/>
  <w:hyphenationZone w:val="425"/>
  <w:drawingGridHorizontalSpacing w:val="110"/>
  <w:displayHorizontalDrawingGridEvery w:val="2"/>
  <w:characterSpacingControl w:val="doNotCompress"/>
  <w:hdrShapeDefaults>
    <o:shapedefaults v:ext="edit" spidmax="105474"/>
  </w:hdrShapeDefaults>
  <w:footnotePr>
    <w:footnote w:id="0"/>
    <w:footnote w:id="1"/>
  </w:footnotePr>
  <w:endnotePr>
    <w:endnote w:id="0"/>
    <w:endnote w:id="1"/>
  </w:endnotePr>
  <w:compat/>
  <w:rsids>
    <w:rsidRoot w:val="008F582D"/>
    <w:rsid w:val="00017DAA"/>
    <w:rsid w:val="00022C44"/>
    <w:rsid w:val="00022D6D"/>
    <w:rsid w:val="00023E4E"/>
    <w:rsid w:val="00024EB0"/>
    <w:rsid w:val="0002542C"/>
    <w:rsid w:val="000254A4"/>
    <w:rsid w:val="0003329C"/>
    <w:rsid w:val="00034C72"/>
    <w:rsid w:val="00053226"/>
    <w:rsid w:val="00056BC2"/>
    <w:rsid w:val="00057D50"/>
    <w:rsid w:val="00066105"/>
    <w:rsid w:val="000678D2"/>
    <w:rsid w:val="00080BE8"/>
    <w:rsid w:val="00080E07"/>
    <w:rsid w:val="00082F63"/>
    <w:rsid w:val="00092716"/>
    <w:rsid w:val="00094EEB"/>
    <w:rsid w:val="000A05FB"/>
    <w:rsid w:val="000B0EDD"/>
    <w:rsid w:val="000C5F79"/>
    <w:rsid w:val="000C7A34"/>
    <w:rsid w:val="000D3A0C"/>
    <w:rsid w:val="000D43EB"/>
    <w:rsid w:val="000D5502"/>
    <w:rsid w:val="000D563C"/>
    <w:rsid w:val="000E2F9F"/>
    <w:rsid w:val="000E4290"/>
    <w:rsid w:val="000F6E7F"/>
    <w:rsid w:val="00104FDA"/>
    <w:rsid w:val="00106E68"/>
    <w:rsid w:val="001075CA"/>
    <w:rsid w:val="00110890"/>
    <w:rsid w:val="00120D1A"/>
    <w:rsid w:val="001432CC"/>
    <w:rsid w:val="00143B64"/>
    <w:rsid w:val="0014435B"/>
    <w:rsid w:val="00147F59"/>
    <w:rsid w:val="00151332"/>
    <w:rsid w:val="001523BE"/>
    <w:rsid w:val="00153F69"/>
    <w:rsid w:val="0015630B"/>
    <w:rsid w:val="00156CD7"/>
    <w:rsid w:val="00170C58"/>
    <w:rsid w:val="0017239E"/>
    <w:rsid w:val="0017494B"/>
    <w:rsid w:val="001752D5"/>
    <w:rsid w:val="001760A5"/>
    <w:rsid w:val="00177E5D"/>
    <w:rsid w:val="00186C61"/>
    <w:rsid w:val="00190343"/>
    <w:rsid w:val="00191B52"/>
    <w:rsid w:val="00194874"/>
    <w:rsid w:val="00195A2F"/>
    <w:rsid w:val="001A27C4"/>
    <w:rsid w:val="001B370C"/>
    <w:rsid w:val="001C5BDB"/>
    <w:rsid w:val="001C6B3A"/>
    <w:rsid w:val="001C762C"/>
    <w:rsid w:val="001D1455"/>
    <w:rsid w:val="001D474C"/>
    <w:rsid w:val="001D57F8"/>
    <w:rsid w:val="001D5FBC"/>
    <w:rsid w:val="001D61B7"/>
    <w:rsid w:val="001E7A6C"/>
    <w:rsid w:val="001F0CD4"/>
    <w:rsid w:val="001F5779"/>
    <w:rsid w:val="001F5ADB"/>
    <w:rsid w:val="00204CB8"/>
    <w:rsid w:val="00213216"/>
    <w:rsid w:val="002245A3"/>
    <w:rsid w:val="00224C1B"/>
    <w:rsid w:val="00230D94"/>
    <w:rsid w:val="00250C6B"/>
    <w:rsid w:val="00254CDF"/>
    <w:rsid w:val="00265E6D"/>
    <w:rsid w:val="00270362"/>
    <w:rsid w:val="00270413"/>
    <w:rsid w:val="00275721"/>
    <w:rsid w:val="0027610E"/>
    <w:rsid w:val="00281043"/>
    <w:rsid w:val="00281049"/>
    <w:rsid w:val="00285839"/>
    <w:rsid w:val="002917DC"/>
    <w:rsid w:val="002A3671"/>
    <w:rsid w:val="002A3B95"/>
    <w:rsid w:val="002A6004"/>
    <w:rsid w:val="002B077E"/>
    <w:rsid w:val="002B1192"/>
    <w:rsid w:val="002B4DE4"/>
    <w:rsid w:val="002C347E"/>
    <w:rsid w:val="002C3AF9"/>
    <w:rsid w:val="002C5B38"/>
    <w:rsid w:val="002C6A11"/>
    <w:rsid w:val="002D304C"/>
    <w:rsid w:val="002E02C3"/>
    <w:rsid w:val="002E02C4"/>
    <w:rsid w:val="002E6707"/>
    <w:rsid w:val="002F5217"/>
    <w:rsid w:val="002F67DA"/>
    <w:rsid w:val="00310372"/>
    <w:rsid w:val="00320BD6"/>
    <w:rsid w:val="00322FB1"/>
    <w:rsid w:val="0032712B"/>
    <w:rsid w:val="003278FA"/>
    <w:rsid w:val="00332E7D"/>
    <w:rsid w:val="00333D0E"/>
    <w:rsid w:val="00334EA2"/>
    <w:rsid w:val="003356DD"/>
    <w:rsid w:val="00335807"/>
    <w:rsid w:val="0033617C"/>
    <w:rsid w:val="003405A6"/>
    <w:rsid w:val="00341178"/>
    <w:rsid w:val="00347177"/>
    <w:rsid w:val="00365D2A"/>
    <w:rsid w:val="00376E3F"/>
    <w:rsid w:val="00377158"/>
    <w:rsid w:val="00392E99"/>
    <w:rsid w:val="0039445F"/>
    <w:rsid w:val="0039700D"/>
    <w:rsid w:val="00397F7B"/>
    <w:rsid w:val="003A3D7F"/>
    <w:rsid w:val="003A5066"/>
    <w:rsid w:val="003B20D3"/>
    <w:rsid w:val="003B519C"/>
    <w:rsid w:val="003C0ADF"/>
    <w:rsid w:val="003C3326"/>
    <w:rsid w:val="003E23BA"/>
    <w:rsid w:val="003E3BCF"/>
    <w:rsid w:val="003E3D3F"/>
    <w:rsid w:val="003E60A7"/>
    <w:rsid w:val="003E751D"/>
    <w:rsid w:val="003F30F5"/>
    <w:rsid w:val="003F3A8E"/>
    <w:rsid w:val="003F3D7D"/>
    <w:rsid w:val="004073AD"/>
    <w:rsid w:val="00407EA6"/>
    <w:rsid w:val="0041096C"/>
    <w:rsid w:val="00413F7A"/>
    <w:rsid w:val="00416BB4"/>
    <w:rsid w:val="00424E2A"/>
    <w:rsid w:val="004258E1"/>
    <w:rsid w:val="0042666F"/>
    <w:rsid w:val="00436216"/>
    <w:rsid w:val="00446085"/>
    <w:rsid w:val="0045289E"/>
    <w:rsid w:val="00455401"/>
    <w:rsid w:val="00483B94"/>
    <w:rsid w:val="00484C5B"/>
    <w:rsid w:val="004855C6"/>
    <w:rsid w:val="004861B4"/>
    <w:rsid w:val="0048734E"/>
    <w:rsid w:val="00490D6D"/>
    <w:rsid w:val="004971F6"/>
    <w:rsid w:val="00497958"/>
    <w:rsid w:val="004A290D"/>
    <w:rsid w:val="004A38E7"/>
    <w:rsid w:val="004A3CAA"/>
    <w:rsid w:val="004A5481"/>
    <w:rsid w:val="004A6DAE"/>
    <w:rsid w:val="004B23C1"/>
    <w:rsid w:val="004B2F67"/>
    <w:rsid w:val="004D5912"/>
    <w:rsid w:val="004E63C6"/>
    <w:rsid w:val="005133D2"/>
    <w:rsid w:val="005165C6"/>
    <w:rsid w:val="005265CB"/>
    <w:rsid w:val="00537851"/>
    <w:rsid w:val="00540E1B"/>
    <w:rsid w:val="0054607A"/>
    <w:rsid w:val="00552552"/>
    <w:rsid w:val="00580AD4"/>
    <w:rsid w:val="00592DBD"/>
    <w:rsid w:val="00597F2E"/>
    <w:rsid w:val="005A0456"/>
    <w:rsid w:val="005B011B"/>
    <w:rsid w:val="005B25C0"/>
    <w:rsid w:val="005B3C99"/>
    <w:rsid w:val="005C2780"/>
    <w:rsid w:val="005C5D7E"/>
    <w:rsid w:val="005C72CF"/>
    <w:rsid w:val="005D62F5"/>
    <w:rsid w:val="005E157D"/>
    <w:rsid w:val="005E3A1B"/>
    <w:rsid w:val="005E70D7"/>
    <w:rsid w:val="005F472F"/>
    <w:rsid w:val="005F7763"/>
    <w:rsid w:val="005F7ACE"/>
    <w:rsid w:val="00600E41"/>
    <w:rsid w:val="0061166C"/>
    <w:rsid w:val="006153E2"/>
    <w:rsid w:val="00617470"/>
    <w:rsid w:val="00624F99"/>
    <w:rsid w:val="0063362A"/>
    <w:rsid w:val="006348DC"/>
    <w:rsid w:val="006368BD"/>
    <w:rsid w:val="006405A3"/>
    <w:rsid w:val="006422C7"/>
    <w:rsid w:val="00650F54"/>
    <w:rsid w:val="006524EC"/>
    <w:rsid w:val="006573BD"/>
    <w:rsid w:val="00660CE9"/>
    <w:rsid w:val="006672D4"/>
    <w:rsid w:val="006768A5"/>
    <w:rsid w:val="006805F5"/>
    <w:rsid w:val="00680BAD"/>
    <w:rsid w:val="0068265E"/>
    <w:rsid w:val="0068297C"/>
    <w:rsid w:val="00685E37"/>
    <w:rsid w:val="00696053"/>
    <w:rsid w:val="006A635A"/>
    <w:rsid w:val="006B08CC"/>
    <w:rsid w:val="006B2C50"/>
    <w:rsid w:val="006B7FBB"/>
    <w:rsid w:val="006C00D7"/>
    <w:rsid w:val="006C7855"/>
    <w:rsid w:val="006D0E43"/>
    <w:rsid w:val="006D505E"/>
    <w:rsid w:val="006E2D2A"/>
    <w:rsid w:val="006F7709"/>
    <w:rsid w:val="006F7860"/>
    <w:rsid w:val="006F7A18"/>
    <w:rsid w:val="007145D5"/>
    <w:rsid w:val="007262DF"/>
    <w:rsid w:val="00726361"/>
    <w:rsid w:val="00733447"/>
    <w:rsid w:val="007425D6"/>
    <w:rsid w:val="00750013"/>
    <w:rsid w:val="00750368"/>
    <w:rsid w:val="00753986"/>
    <w:rsid w:val="00761961"/>
    <w:rsid w:val="007671AC"/>
    <w:rsid w:val="00770D3D"/>
    <w:rsid w:val="00776ED3"/>
    <w:rsid w:val="00781232"/>
    <w:rsid w:val="00785688"/>
    <w:rsid w:val="00790964"/>
    <w:rsid w:val="00792A03"/>
    <w:rsid w:val="00793FB4"/>
    <w:rsid w:val="00795E21"/>
    <w:rsid w:val="007B198A"/>
    <w:rsid w:val="007C3F03"/>
    <w:rsid w:val="007C7453"/>
    <w:rsid w:val="007D46EE"/>
    <w:rsid w:val="007D5D54"/>
    <w:rsid w:val="007D7323"/>
    <w:rsid w:val="007E0D67"/>
    <w:rsid w:val="007E1376"/>
    <w:rsid w:val="007E66E4"/>
    <w:rsid w:val="007F2255"/>
    <w:rsid w:val="007F4B65"/>
    <w:rsid w:val="00804EDF"/>
    <w:rsid w:val="00805E75"/>
    <w:rsid w:val="008078AD"/>
    <w:rsid w:val="00815B0D"/>
    <w:rsid w:val="0082105F"/>
    <w:rsid w:val="008219E9"/>
    <w:rsid w:val="00822CF7"/>
    <w:rsid w:val="008363E3"/>
    <w:rsid w:val="008460BC"/>
    <w:rsid w:val="00854DA6"/>
    <w:rsid w:val="0086017D"/>
    <w:rsid w:val="00865AE5"/>
    <w:rsid w:val="00876C1D"/>
    <w:rsid w:val="0088369E"/>
    <w:rsid w:val="008849EA"/>
    <w:rsid w:val="00885F84"/>
    <w:rsid w:val="00886954"/>
    <w:rsid w:val="00886E4B"/>
    <w:rsid w:val="008A5545"/>
    <w:rsid w:val="008A7B1B"/>
    <w:rsid w:val="008B061C"/>
    <w:rsid w:val="008B7F30"/>
    <w:rsid w:val="008C67E8"/>
    <w:rsid w:val="008D570B"/>
    <w:rsid w:val="008E4B17"/>
    <w:rsid w:val="008F582D"/>
    <w:rsid w:val="00905060"/>
    <w:rsid w:val="00912945"/>
    <w:rsid w:val="009133B6"/>
    <w:rsid w:val="0091518E"/>
    <w:rsid w:val="00931768"/>
    <w:rsid w:val="00936A6A"/>
    <w:rsid w:val="00952D6E"/>
    <w:rsid w:val="0096140A"/>
    <w:rsid w:val="0098217F"/>
    <w:rsid w:val="009842EB"/>
    <w:rsid w:val="00990564"/>
    <w:rsid w:val="009926E4"/>
    <w:rsid w:val="009943BA"/>
    <w:rsid w:val="00997C75"/>
    <w:rsid w:val="009A24AF"/>
    <w:rsid w:val="009A367D"/>
    <w:rsid w:val="009B59B1"/>
    <w:rsid w:val="009B6B88"/>
    <w:rsid w:val="009C3BDC"/>
    <w:rsid w:val="009C52D3"/>
    <w:rsid w:val="009C5312"/>
    <w:rsid w:val="009C617B"/>
    <w:rsid w:val="009C6824"/>
    <w:rsid w:val="009D3628"/>
    <w:rsid w:val="009D494A"/>
    <w:rsid w:val="009D4B20"/>
    <w:rsid w:val="009E3077"/>
    <w:rsid w:val="009E44AF"/>
    <w:rsid w:val="009F54CE"/>
    <w:rsid w:val="00A02013"/>
    <w:rsid w:val="00A02C00"/>
    <w:rsid w:val="00A10169"/>
    <w:rsid w:val="00A21834"/>
    <w:rsid w:val="00A2199C"/>
    <w:rsid w:val="00A30880"/>
    <w:rsid w:val="00A36972"/>
    <w:rsid w:val="00A41792"/>
    <w:rsid w:val="00A41D98"/>
    <w:rsid w:val="00A513A3"/>
    <w:rsid w:val="00A6526F"/>
    <w:rsid w:val="00A917DD"/>
    <w:rsid w:val="00A93476"/>
    <w:rsid w:val="00A94279"/>
    <w:rsid w:val="00AA3597"/>
    <w:rsid w:val="00AA477B"/>
    <w:rsid w:val="00AC065B"/>
    <w:rsid w:val="00AC2494"/>
    <w:rsid w:val="00AC6904"/>
    <w:rsid w:val="00AC7B38"/>
    <w:rsid w:val="00AC7B77"/>
    <w:rsid w:val="00AD44A2"/>
    <w:rsid w:val="00AD786F"/>
    <w:rsid w:val="00AE048C"/>
    <w:rsid w:val="00AE2F04"/>
    <w:rsid w:val="00AE378E"/>
    <w:rsid w:val="00B20581"/>
    <w:rsid w:val="00B3146C"/>
    <w:rsid w:val="00B35F7C"/>
    <w:rsid w:val="00B41948"/>
    <w:rsid w:val="00B44DE6"/>
    <w:rsid w:val="00B5104C"/>
    <w:rsid w:val="00B60A22"/>
    <w:rsid w:val="00B70E73"/>
    <w:rsid w:val="00B73533"/>
    <w:rsid w:val="00B74FC2"/>
    <w:rsid w:val="00B80A5C"/>
    <w:rsid w:val="00B9579E"/>
    <w:rsid w:val="00B9592A"/>
    <w:rsid w:val="00B978BD"/>
    <w:rsid w:val="00BA0286"/>
    <w:rsid w:val="00BA16D1"/>
    <w:rsid w:val="00BA6CE0"/>
    <w:rsid w:val="00BC4DA5"/>
    <w:rsid w:val="00BC71D1"/>
    <w:rsid w:val="00BD07DC"/>
    <w:rsid w:val="00BD589E"/>
    <w:rsid w:val="00BF300B"/>
    <w:rsid w:val="00BF4CFF"/>
    <w:rsid w:val="00BF6521"/>
    <w:rsid w:val="00C0205E"/>
    <w:rsid w:val="00C05EA0"/>
    <w:rsid w:val="00C06E92"/>
    <w:rsid w:val="00C13844"/>
    <w:rsid w:val="00C148E5"/>
    <w:rsid w:val="00C31405"/>
    <w:rsid w:val="00C51D3B"/>
    <w:rsid w:val="00C72AA4"/>
    <w:rsid w:val="00C81BEE"/>
    <w:rsid w:val="00C85E3C"/>
    <w:rsid w:val="00C956EA"/>
    <w:rsid w:val="00CA384A"/>
    <w:rsid w:val="00CA4359"/>
    <w:rsid w:val="00CA6151"/>
    <w:rsid w:val="00CB0BEE"/>
    <w:rsid w:val="00CB161E"/>
    <w:rsid w:val="00CB313F"/>
    <w:rsid w:val="00CB4188"/>
    <w:rsid w:val="00CD1664"/>
    <w:rsid w:val="00CD3B9E"/>
    <w:rsid w:val="00CF1015"/>
    <w:rsid w:val="00CF2C24"/>
    <w:rsid w:val="00CF3243"/>
    <w:rsid w:val="00CF773F"/>
    <w:rsid w:val="00D060FD"/>
    <w:rsid w:val="00D117D3"/>
    <w:rsid w:val="00D11B8C"/>
    <w:rsid w:val="00D1312F"/>
    <w:rsid w:val="00D1552C"/>
    <w:rsid w:val="00D16E9F"/>
    <w:rsid w:val="00D27F53"/>
    <w:rsid w:val="00D330A0"/>
    <w:rsid w:val="00D34CEC"/>
    <w:rsid w:val="00D43514"/>
    <w:rsid w:val="00D4635A"/>
    <w:rsid w:val="00D55BBC"/>
    <w:rsid w:val="00D62089"/>
    <w:rsid w:val="00D64500"/>
    <w:rsid w:val="00D72530"/>
    <w:rsid w:val="00D848CB"/>
    <w:rsid w:val="00D97FAD"/>
    <w:rsid w:val="00DA31A1"/>
    <w:rsid w:val="00DA5ECD"/>
    <w:rsid w:val="00DA69BA"/>
    <w:rsid w:val="00DB2E76"/>
    <w:rsid w:val="00DE498E"/>
    <w:rsid w:val="00DE5C61"/>
    <w:rsid w:val="00DF69A9"/>
    <w:rsid w:val="00E027C2"/>
    <w:rsid w:val="00E02E52"/>
    <w:rsid w:val="00E02EB1"/>
    <w:rsid w:val="00E043E0"/>
    <w:rsid w:val="00E07E45"/>
    <w:rsid w:val="00E113A5"/>
    <w:rsid w:val="00E12719"/>
    <w:rsid w:val="00E15D3E"/>
    <w:rsid w:val="00E174E1"/>
    <w:rsid w:val="00E23D64"/>
    <w:rsid w:val="00E23E67"/>
    <w:rsid w:val="00E404A3"/>
    <w:rsid w:val="00E411E5"/>
    <w:rsid w:val="00E42088"/>
    <w:rsid w:val="00E424A3"/>
    <w:rsid w:val="00E43D28"/>
    <w:rsid w:val="00E453AC"/>
    <w:rsid w:val="00E564E6"/>
    <w:rsid w:val="00E63E12"/>
    <w:rsid w:val="00E73FAA"/>
    <w:rsid w:val="00E75E60"/>
    <w:rsid w:val="00EB4573"/>
    <w:rsid w:val="00EB7C6D"/>
    <w:rsid w:val="00ED6F6F"/>
    <w:rsid w:val="00EE1409"/>
    <w:rsid w:val="00EE3834"/>
    <w:rsid w:val="00EE3D3D"/>
    <w:rsid w:val="00F2216D"/>
    <w:rsid w:val="00F24A37"/>
    <w:rsid w:val="00F3172A"/>
    <w:rsid w:val="00F5084D"/>
    <w:rsid w:val="00F5526D"/>
    <w:rsid w:val="00F6729A"/>
    <w:rsid w:val="00F74FC5"/>
    <w:rsid w:val="00F8079E"/>
    <w:rsid w:val="00F82C78"/>
    <w:rsid w:val="00F853A8"/>
    <w:rsid w:val="00F87C68"/>
    <w:rsid w:val="00F94A1D"/>
    <w:rsid w:val="00F94B46"/>
    <w:rsid w:val="00FB10E9"/>
    <w:rsid w:val="00FB3DA3"/>
    <w:rsid w:val="00FB63DB"/>
    <w:rsid w:val="00FC0294"/>
    <w:rsid w:val="00FD4CF2"/>
    <w:rsid w:val="00FD5F1E"/>
    <w:rsid w:val="00FE22E2"/>
    <w:rsid w:val="00FE73E8"/>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54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35" w:qFormat="1"/>
    <w:lsdException w:name="footnote reference" w:uiPriority="0"/>
    <w:lsdException w:name="page number" w:uiPriority="0"/>
    <w:lsdException w:name="endnote text" w:uiPriority="0"/>
    <w:lsdException w:name="List Bullet" w:uiPriority="0"/>
    <w:lsdException w:name="List Number" w:uiPriority="0"/>
    <w:lsdException w:name="List Bullet 2"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9445F"/>
    <w:pPr>
      <w:overflowPunct w:val="0"/>
      <w:autoSpaceDE w:val="0"/>
      <w:autoSpaceDN w:val="0"/>
      <w:adjustRightInd w:val="0"/>
      <w:spacing w:after="0" w:line="260" w:lineRule="atLeast"/>
      <w:textAlignment w:val="baseline"/>
    </w:pPr>
    <w:rPr>
      <w:rFonts w:ascii="EYInterstate Light" w:hAnsi="EYInterstate Light" w:cs="Times New Roman"/>
      <w:szCs w:val="20"/>
    </w:rPr>
  </w:style>
  <w:style w:type="paragraph" w:styleId="Kop1">
    <w:name w:val="heading 1"/>
    <w:aliases w:val="051"/>
    <w:basedOn w:val="000"/>
    <w:next w:val="000"/>
    <w:link w:val="Kop1Char"/>
    <w:uiPriority w:val="9"/>
    <w:qFormat/>
    <w:rsid w:val="0039445F"/>
    <w:pPr>
      <w:keepNext/>
      <w:numPr>
        <w:numId w:val="13"/>
      </w:numPr>
      <w:spacing w:before="240" w:after="60" w:line="240" w:lineRule="auto"/>
      <w:outlineLvl w:val="0"/>
    </w:pPr>
    <w:rPr>
      <w:b/>
      <w:sz w:val="28"/>
    </w:rPr>
  </w:style>
  <w:style w:type="paragraph" w:styleId="Kop2">
    <w:name w:val="heading 2"/>
    <w:aliases w:val="052"/>
    <w:basedOn w:val="Kop1"/>
    <w:next w:val="000"/>
    <w:link w:val="Kop2Char"/>
    <w:qFormat/>
    <w:rsid w:val="0039445F"/>
    <w:pPr>
      <w:numPr>
        <w:ilvl w:val="1"/>
      </w:numPr>
      <w:outlineLvl w:val="1"/>
    </w:pPr>
    <w:rPr>
      <w:i/>
      <w:sz w:val="26"/>
    </w:rPr>
  </w:style>
  <w:style w:type="paragraph" w:styleId="Kop3">
    <w:name w:val="heading 3"/>
    <w:aliases w:val="053"/>
    <w:basedOn w:val="Kop1"/>
    <w:next w:val="000"/>
    <w:link w:val="Kop3Char"/>
    <w:qFormat/>
    <w:rsid w:val="0039445F"/>
    <w:pPr>
      <w:numPr>
        <w:ilvl w:val="2"/>
      </w:numPr>
      <w:outlineLvl w:val="2"/>
    </w:pPr>
    <w:rPr>
      <w:sz w:val="24"/>
    </w:rPr>
  </w:style>
  <w:style w:type="paragraph" w:styleId="Kop4">
    <w:name w:val="heading 4"/>
    <w:aliases w:val="054"/>
    <w:basedOn w:val="Kop1"/>
    <w:next w:val="000"/>
    <w:link w:val="Kop4Char"/>
    <w:qFormat/>
    <w:rsid w:val="0039445F"/>
    <w:pPr>
      <w:numPr>
        <w:ilvl w:val="3"/>
      </w:numPr>
      <w:outlineLvl w:val="3"/>
    </w:pPr>
    <w:rPr>
      <w:b w:val="0"/>
      <w:i/>
      <w:sz w:val="22"/>
    </w:rPr>
  </w:style>
  <w:style w:type="paragraph" w:styleId="Kop5">
    <w:name w:val="heading 5"/>
    <w:basedOn w:val="Standaard"/>
    <w:next w:val="Standaard"/>
    <w:link w:val="Kop5Char"/>
    <w:qFormat/>
    <w:rsid w:val="0039445F"/>
    <w:pPr>
      <w:numPr>
        <w:ilvl w:val="4"/>
        <w:numId w:val="13"/>
      </w:numPr>
      <w:spacing w:before="240" w:after="60"/>
      <w:outlineLvl w:val="4"/>
    </w:pPr>
    <w:rPr>
      <w:rFonts w:ascii="Arial" w:hAnsi="Arial"/>
    </w:rPr>
  </w:style>
  <w:style w:type="paragraph" w:styleId="Kop6">
    <w:name w:val="heading 6"/>
    <w:basedOn w:val="Standaard"/>
    <w:next w:val="Standaard"/>
    <w:link w:val="Kop6Char"/>
    <w:qFormat/>
    <w:rsid w:val="0039445F"/>
    <w:pPr>
      <w:numPr>
        <w:ilvl w:val="5"/>
        <w:numId w:val="13"/>
      </w:numPr>
      <w:spacing w:before="240" w:after="60"/>
      <w:outlineLvl w:val="5"/>
    </w:pPr>
    <w:rPr>
      <w:i/>
    </w:rPr>
  </w:style>
  <w:style w:type="paragraph" w:styleId="Kop7">
    <w:name w:val="heading 7"/>
    <w:basedOn w:val="Standaard"/>
    <w:next w:val="Standaard"/>
    <w:link w:val="Kop7Char"/>
    <w:qFormat/>
    <w:rsid w:val="0039445F"/>
    <w:pPr>
      <w:numPr>
        <w:ilvl w:val="6"/>
        <w:numId w:val="13"/>
      </w:numPr>
      <w:spacing w:before="240" w:after="60"/>
      <w:outlineLvl w:val="6"/>
    </w:pPr>
    <w:rPr>
      <w:rFonts w:ascii="Arial" w:hAnsi="Arial"/>
      <w:sz w:val="20"/>
    </w:rPr>
  </w:style>
  <w:style w:type="paragraph" w:styleId="Kop8">
    <w:name w:val="heading 8"/>
    <w:basedOn w:val="Standaard"/>
    <w:next w:val="Standaard"/>
    <w:link w:val="Kop8Char"/>
    <w:qFormat/>
    <w:rsid w:val="0039445F"/>
    <w:pPr>
      <w:numPr>
        <w:ilvl w:val="7"/>
        <w:numId w:val="13"/>
      </w:numPr>
      <w:spacing w:before="240" w:after="60"/>
      <w:outlineLvl w:val="7"/>
    </w:pPr>
    <w:rPr>
      <w:rFonts w:ascii="Arial" w:hAnsi="Arial"/>
      <w:i/>
      <w:sz w:val="20"/>
    </w:rPr>
  </w:style>
  <w:style w:type="paragraph" w:styleId="Kop9">
    <w:name w:val="heading 9"/>
    <w:basedOn w:val="Standaard"/>
    <w:next w:val="Standaard"/>
    <w:link w:val="Kop9Char"/>
    <w:qFormat/>
    <w:rsid w:val="0039445F"/>
    <w:pPr>
      <w:numPr>
        <w:ilvl w:val="8"/>
        <w:numId w:val="13"/>
      </w:numPr>
      <w:spacing w:before="240" w:after="60"/>
      <w:outlineLvl w:val="8"/>
    </w:pPr>
    <w:rPr>
      <w:rFonts w:ascii="Arial" w:hAnsi="Arial"/>
      <w:b/>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000">
    <w:name w:val="000"/>
    <w:aliases w:val="standaard"/>
    <w:basedOn w:val="Standaard"/>
    <w:rsid w:val="0039445F"/>
  </w:style>
  <w:style w:type="paragraph" w:customStyle="1" w:styleId="001">
    <w:name w:val="001"/>
    <w:aliases w:val="cliëntnummer"/>
    <w:basedOn w:val="000"/>
    <w:rsid w:val="0039445F"/>
    <w:pPr>
      <w:spacing w:before="660"/>
      <w:jc w:val="right"/>
    </w:pPr>
  </w:style>
  <w:style w:type="paragraph" w:customStyle="1" w:styleId="003">
    <w:name w:val="003"/>
    <w:aliases w:val="bijlage 1 enz."/>
    <w:basedOn w:val="Standaard"/>
    <w:next w:val="Standaard"/>
    <w:rsid w:val="0039445F"/>
    <w:pPr>
      <w:spacing w:before="120"/>
      <w:ind w:left="2608"/>
      <w:jc w:val="right"/>
    </w:pPr>
    <w:rPr>
      <w:b/>
    </w:rPr>
  </w:style>
  <w:style w:type="paragraph" w:customStyle="1" w:styleId="004">
    <w:name w:val="004"/>
    <w:aliases w:val="bij rapport d.d."/>
    <w:basedOn w:val="Standaard"/>
    <w:next w:val="Standaard"/>
    <w:rsid w:val="0039445F"/>
    <w:pPr>
      <w:ind w:left="2608"/>
      <w:jc w:val="right"/>
    </w:pPr>
  </w:style>
  <w:style w:type="paragraph" w:customStyle="1" w:styleId="005">
    <w:name w:val="005"/>
    <w:aliases w:val="cliënt-naam"/>
    <w:basedOn w:val="Standaard"/>
    <w:rsid w:val="0039445F"/>
    <w:pPr>
      <w:ind w:left="2608"/>
      <w:jc w:val="right"/>
    </w:pPr>
  </w:style>
  <w:style w:type="paragraph" w:customStyle="1" w:styleId="006">
    <w:name w:val="006"/>
    <w:aliases w:val="Titel tekst"/>
    <w:basedOn w:val="Standaard"/>
    <w:rsid w:val="0039445F"/>
    <w:pPr>
      <w:spacing w:line="240" w:lineRule="auto"/>
    </w:pPr>
    <w:rPr>
      <w:rFonts w:ascii="EYInterstate" w:hAnsi="EYInterstate"/>
      <w:color w:val="646464"/>
      <w:sz w:val="88"/>
      <w:szCs w:val="88"/>
    </w:rPr>
  </w:style>
  <w:style w:type="paragraph" w:customStyle="1" w:styleId="007">
    <w:name w:val="007"/>
    <w:aliases w:val="Subtitel tekst"/>
    <w:basedOn w:val="Standaard"/>
    <w:rsid w:val="0039445F"/>
    <w:pPr>
      <w:spacing w:line="360" w:lineRule="atLeast"/>
    </w:pPr>
    <w:rPr>
      <w:b/>
      <w:color w:val="7F7E82"/>
      <w:sz w:val="28"/>
      <w:szCs w:val="24"/>
    </w:rPr>
  </w:style>
  <w:style w:type="paragraph" w:customStyle="1" w:styleId="010">
    <w:name w:val="010"/>
    <w:aliases w:val="venster"/>
    <w:basedOn w:val="000"/>
    <w:rsid w:val="0039445F"/>
    <w:pPr>
      <w:ind w:left="493"/>
    </w:pPr>
  </w:style>
  <w:style w:type="paragraph" w:customStyle="1" w:styleId="011">
    <w:name w:val="011"/>
    <w:aliases w:val="rapport"/>
    <w:basedOn w:val="010"/>
    <w:next w:val="Standaard"/>
    <w:rsid w:val="0039445F"/>
    <w:pPr>
      <w:spacing w:before="2000" w:after="60" w:line="240" w:lineRule="auto"/>
    </w:pPr>
    <w:rPr>
      <w:b/>
      <w:sz w:val="32"/>
    </w:rPr>
  </w:style>
  <w:style w:type="paragraph" w:customStyle="1" w:styleId="012">
    <w:name w:val="012"/>
    <w:aliases w:val="aan"/>
    <w:basedOn w:val="010"/>
    <w:next w:val="Standaard"/>
    <w:rsid w:val="0039445F"/>
    <w:pPr>
      <w:spacing w:after="60"/>
    </w:pPr>
    <w:rPr>
      <w:b/>
    </w:rPr>
  </w:style>
  <w:style w:type="paragraph" w:customStyle="1" w:styleId="013">
    <w:name w:val="013"/>
    <w:aliases w:val="de directie van"/>
    <w:basedOn w:val="010"/>
    <w:next w:val="Standaard"/>
    <w:rsid w:val="0039445F"/>
  </w:style>
  <w:style w:type="paragraph" w:customStyle="1" w:styleId="014">
    <w:name w:val="014"/>
    <w:aliases w:val="cliëntnaam"/>
    <w:basedOn w:val="010"/>
    <w:next w:val="Standaard"/>
    <w:rsid w:val="0039445F"/>
  </w:style>
  <w:style w:type="paragraph" w:customStyle="1" w:styleId="015">
    <w:name w:val="015"/>
    <w:aliases w:val="plaatsnaam"/>
    <w:basedOn w:val="010"/>
    <w:next w:val="Standaard"/>
    <w:rsid w:val="0039445F"/>
  </w:style>
  <w:style w:type="paragraph" w:customStyle="1" w:styleId="016">
    <w:name w:val="016"/>
    <w:aliases w:val="inzake"/>
    <w:basedOn w:val="010"/>
    <w:next w:val="Standaard"/>
    <w:rsid w:val="0039445F"/>
    <w:pPr>
      <w:spacing w:before="280" w:after="60"/>
    </w:pPr>
  </w:style>
  <w:style w:type="paragraph" w:customStyle="1" w:styleId="017">
    <w:name w:val="017"/>
    <w:aliases w:val="onderwerp"/>
    <w:basedOn w:val="010"/>
    <w:rsid w:val="0039445F"/>
  </w:style>
  <w:style w:type="paragraph" w:customStyle="1" w:styleId="018">
    <w:name w:val="018"/>
    <w:aliases w:val="financieel verslag"/>
    <w:basedOn w:val="010"/>
    <w:next w:val="Standaard"/>
    <w:rsid w:val="0039445F"/>
    <w:pPr>
      <w:spacing w:before="2200" w:after="60"/>
      <w:jc w:val="center"/>
    </w:pPr>
    <w:rPr>
      <w:b/>
    </w:rPr>
  </w:style>
  <w:style w:type="paragraph" w:customStyle="1" w:styleId="019">
    <w:name w:val="019"/>
    <w:aliases w:val="van (bij fin. verslag)"/>
    <w:basedOn w:val="010"/>
    <w:next w:val="014"/>
    <w:rsid w:val="0039445F"/>
    <w:pPr>
      <w:spacing w:after="60"/>
      <w:jc w:val="center"/>
    </w:pPr>
  </w:style>
  <w:style w:type="paragraph" w:customStyle="1" w:styleId="020">
    <w:name w:val="020"/>
    <w:aliases w:val="streep"/>
    <w:basedOn w:val="000"/>
    <w:next w:val="000"/>
    <w:rsid w:val="0039445F"/>
    <w:pPr>
      <w:pBdr>
        <w:bottom w:val="single" w:sz="6" w:space="0" w:color="auto"/>
      </w:pBdr>
      <w:tabs>
        <w:tab w:val="right" w:pos="9380"/>
      </w:tabs>
      <w:spacing w:after="280"/>
    </w:pPr>
  </w:style>
  <w:style w:type="paragraph" w:customStyle="1" w:styleId="021">
    <w:name w:val="021"/>
    <w:aliases w:val="inhoudsopgave"/>
    <w:basedOn w:val="Standaard"/>
    <w:next w:val="Standaard"/>
    <w:rsid w:val="0039445F"/>
    <w:pPr>
      <w:spacing w:before="780" w:after="280" w:line="240" w:lineRule="auto"/>
    </w:pPr>
    <w:rPr>
      <w:b/>
      <w:sz w:val="32"/>
    </w:rPr>
  </w:style>
  <w:style w:type="paragraph" w:customStyle="1" w:styleId="023">
    <w:name w:val="023"/>
    <w:aliases w:val="regel &quot;Rapport&quot;"/>
    <w:basedOn w:val="Standaard"/>
    <w:next w:val="Inhopg2"/>
    <w:rsid w:val="0039445F"/>
    <w:pPr>
      <w:spacing w:before="280" w:after="140" w:line="240" w:lineRule="auto"/>
    </w:pPr>
    <w:rPr>
      <w:sz w:val="28"/>
    </w:rPr>
  </w:style>
  <w:style w:type="paragraph" w:styleId="Inhopg2">
    <w:name w:val="toc 2"/>
    <w:basedOn w:val="Standaard"/>
    <w:uiPriority w:val="39"/>
    <w:rsid w:val="0039445F"/>
    <w:pPr>
      <w:tabs>
        <w:tab w:val="right" w:pos="9378"/>
      </w:tabs>
      <w:ind w:left="720" w:hanging="720"/>
    </w:pPr>
  </w:style>
  <w:style w:type="paragraph" w:customStyle="1" w:styleId="024">
    <w:name w:val="024"/>
    <w:aliases w:val="nummering bijlagen"/>
    <w:basedOn w:val="Standaard"/>
    <w:rsid w:val="0039445F"/>
    <w:pPr>
      <w:tabs>
        <w:tab w:val="right" w:pos="9380"/>
      </w:tabs>
      <w:ind w:left="720" w:hanging="720"/>
    </w:pPr>
  </w:style>
  <w:style w:type="paragraph" w:customStyle="1" w:styleId="025">
    <w:name w:val="025"/>
    <w:aliases w:val="regel &quot;Bijlagen&quot;"/>
    <w:basedOn w:val="Standaard"/>
    <w:next w:val="024"/>
    <w:rsid w:val="0039445F"/>
    <w:pPr>
      <w:spacing w:before="280" w:line="240" w:lineRule="auto"/>
    </w:pPr>
    <w:rPr>
      <w:sz w:val="28"/>
    </w:rPr>
  </w:style>
  <w:style w:type="paragraph" w:customStyle="1" w:styleId="026">
    <w:name w:val="026"/>
    <w:aliases w:val="regel &quot;Jaarrekening&quot; etc."/>
    <w:basedOn w:val="000"/>
    <w:rsid w:val="0039445F"/>
    <w:pPr>
      <w:spacing w:before="140" w:after="140" w:line="240" w:lineRule="auto"/>
    </w:pPr>
  </w:style>
  <w:style w:type="paragraph" w:customStyle="1" w:styleId="031">
    <w:name w:val="031"/>
    <w:aliases w:val="geadresseerde"/>
    <w:basedOn w:val="Standaard"/>
    <w:next w:val="Standaard"/>
    <w:rsid w:val="0039445F"/>
  </w:style>
  <w:style w:type="paragraph" w:customStyle="1" w:styleId="032">
    <w:name w:val="032"/>
    <w:aliases w:val="naam-cliënt"/>
    <w:basedOn w:val="Standaard"/>
    <w:next w:val="Standaard"/>
    <w:rsid w:val="0039445F"/>
  </w:style>
  <w:style w:type="paragraph" w:customStyle="1" w:styleId="034">
    <w:name w:val="034"/>
    <w:aliases w:val="vertrouwelijk"/>
    <w:basedOn w:val="Standaard"/>
    <w:next w:val="Standaard"/>
    <w:rsid w:val="0039445F"/>
    <w:rPr>
      <w:b/>
      <w:caps/>
    </w:rPr>
  </w:style>
  <w:style w:type="paragraph" w:customStyle="1" w:styleId="035">
    <w:name w:val="035"/>
    <w:aliases w:val="plaats cliënt"/>
    <w:basedOn w:val="Standaard"/>
    <w:next w:val="Standaard"/>
    <w:rsid w:val="0039445F"/>
    <w:pPr>
      <w:spacing w:after="780"/>
    </w:pPr>
    <w:rPr>
      <w:caps/>
    </w:rPr>
  </w:style>
  <w:style w:type="paragraph" w:customStyle="1" w:styleId="036">
    <w:name w:val="036"/>
    <w:aliases w:val="datum/kenmerk"/>
    <w:basedOn w:val="Standaard"/>
    <w:next w:val="000"/>
    <w:rsid w:val="0039445F"/>
    <w:pPr>
      <w:tabs>
        <w:tab w:val="left" w:pos="6560"/>
        <w:tab w:val="right" w:pos="9380"/>
      </w:tabs>
      <w:spacing w:after="520"/>
    </w:pPr>
  </w:style>
  <w:style w:type="paragraph" w:customStyle="1" w:styleId="040">
    <w:name w:val="040"/>
    <w:aliases w:val="hoofdletters vet 1 witregel"/>
    <w:basedOn w:val="000"/>
    <w:next w:val="000"/>
    <w:rsid w:val="0039445F"/>
    <w:pPr>
      <w:keepNext/>
      <w:tabs>
        <w:tab w:val="left" w:pos="720"/>
      </w:tabs>
      <w:spacing w:after="520" w:line="240" w:lineRule="auto"/>
      <w:ind w:left="720" w:hanging="720"/>
    </w:pPr>
    <w:rPr>
      <w:b/>
      <w:sz w:val="32"/>
    </w:rPr>
  </w:style>
  <w:style w:type="paragraph" w:customStyle="1" w:styleId="041">
    <w:name w:val="041"/>
    <w:aliases w:val="14 punten vet 1 witregel"/>
    <w:basedOn w:val="000"/>
    <w:next w:val="000"/>
    <w:rsid w:val="0039445F"/>
    <w:pPr>
      <w:keepNext/>
      <w:tabs>
        <w:tab w:val="left" w:pos="720"/>
      </w:tabs>
      <w:spacing w:before="240" w:after="60" w:line="240" w:lineRule="auto"/>
      <w:ind w:left="720" w:hanging="720"/>
    </w:pPr>
    <w:rPr>
      <w:b/>
      <w:sz w:val="28"/>
    </w:rPr>
  </w:style>
  <w:style w:type="paragraph" w:customStyle="1" w:styleId="042">
    <w:name w:val="042"/>
    <w:aliases w:val="vet 1 witregel"/>
    <w:basedOn w:val="000"/>
    <w:next w:val="000"/>
    <w:rsid w:val="0039445F"/>
    <w:pPr>
      <w:keepNext/>
      <w:tabs>
        <w:tab w:val="left" w:pos="720"/>
      </w:tabs>
      <w:spacing w:before="240" w:after="60" w:line="240" w:lineRule="auto"/>
      <w:ind w:left="720" w:hanging="720"/>
    </w:pPr>
    <w:rPr>
      <w:b/>
      <w:i/>
      <w:sz w:val="26"/>
    </w:rPr>
  </w:style>
  <w:style w:type="paragraph" w:customStyle="1" w:styleId="043">
    <w:name w:val="043"/>
    <w:aliases w:val="vet cursief 1 witregel"/>
    <w:basedOn w:val="000"/>
    <w:next w:val="000"/>
    <w:rsid w:val="0039445F"/>
    <w:pPr>
      <w:keepNext/>
      <w:tabs>
        <w:tab w:val="left" w:pos="720"/>
      </w:tabs>
      <w:spacing w:before="240" w:after="60" w:line="240" w:lineRule="auto"/>
      <w:ind w:left="720" w:hanging="720"/>
    </w:pPr>
    <w:rPr>
      <w:b/>
      <w:sz w:val="24"/>
    </w:rPr>
  </w:style>
  <w:style w:type="paragraph" w:customStyle="1" w:styleId="045">
    <w:name w:val="045"/>
    <w:aliases w:val="inspringing a"/>
    <w:basedOn w:val="000"/>
    <w:rsid w:val="0039445F"/>
    <w:pPr>
      <w:ind w:left="567" w:hanging="567"/>
    </w:pPr>
  </w:style>
  <w:style w:type="paragraph" w:customStyle="1" w:styleId="046">
    <w:name w:val="046"/>
    <w:aliases w:val="inspringing b"/>
    <w:basedOn w:val="000"/>
    <w:rsid w:val="0039445F"/>
    <w:pPr>
      <w:ind w:left="1134" w:hanging="567"/>
    </w:pPr>
  </w:style>
  <w:style w:type="paragraph" w:customStyle="1" w:styleId="047">
    <w:name w:val="047"/>
    <w:aliases w:val="inspringing c"/>
    <w:basedOn w:val="000"/>
    <w:rsid w:val="0039445F"/>
    <w:pPr>
      <w:ind w:left="1701" w:hanging="567"/>
    </w:pPr>
  </w:style>
  <w:style w:type="paragraph" w:customStyle="1" w:styleId="048">
    <w:name w:val="048"/>
    <w:aliases w:val="inspring"/>
    <w:basedOn w:val="000"/>
    <w:rsid w:val="0039445F"/>
    <w:pPr>
      <w:ind w:left="567" w:hanging="567"/>
    </w:pPr>
  </w:style>
  <w:style w:type="paragraph" w:customStyle="1" w:styleId="049">
    <w:name w:val="049"/>
    <w:aliases w:val="handtekening"/>
    <w:basedOn w:val="Standaard"/>
    <w:rsid w:val="0039445F"/>
    <w:pPr>
      <w:tabs>
        <w:tab w:val="left" w:pos="4680"/>
      </w:tabs>
    </w:pPr>
  </w:style>
  <w:style w:type="paragraph" w:customStyle="1" w:styleId="061">
    <w:name w:val="061"/>
    <w:aliases w:val="paginanr."/>
    <w:basedOn w:val="000"/>
    <w:rsid w:val="0039445F"/>
    <w:pPr>
      <w:spacing w:before="110"/>
      <w:jc w:val="right"/>
    </w:pPr>
  </w:style>
  <w:style w:type="paragraph" w:customStyle="1" w:styleId="070">
    <w:name w:val="070"/>
    <w:aliases w:val="kop balans/specificatie"/>
    <w:basedOn w:val="000"/>
    <w:next w:val="000"/>
    <w:rsid w:val="0039445F"/>
    <w:pPr>
      <w:spacing w:line="240" w:lineRule="auto"/>
    </w:pPr>
    <w:rPr>
      <w:b/>
      <w:sz w:val="32"/>
    </w:rPr>
  </w:style>
  <w:style w:type="paragraph" w:customStyle="1" w:styleId="073">
    <w:name w:val="073"/>
    <w:aliases w:val="activa"/>
    <w:basedOn w:val="000"/>
    <w:next w:val="000"/>
    <w:rsid w:val="0039445F"/>
    <w:rPr>
      <w:b/>
      <w:spacing w:val="100"/>
      <w:sz w:val="20"/>
    </w:rPr>
  </w:style>
  <w:style w:type="paragraph" w:customStyle="1" w:styleId="074">
    <w:name w:val="074"/>
    <w:aliases w:val="passiva"/>
    <w:basedOn w:val="000"/>
    <w:next w:val="000"/>
    <w:rsid w:val="0039445F"/>
    <w:pPr>
      <w:ind w:right="-100"/>
      <w:jc w:val="right"/>
    </w:pPr>
    <w:rPr>
      <w:b/>
      <w:spacing w:val="100"/>
      <w:sz w:val="20"/>
    </w:rPr>
  </w:style>
  <w:style w:type="paragraph" w:customStyle="1" w:styleId="080">
    <w:name w:val="080"/>
    <w:aliases w:val="titel,hoofdletters vet 2 witregels geen inspring"/>
    <w:basedOn w:val="000"/>
    <w:next w:val="000"/>
    <w:rsid w:val="0039445F"/>
    <w:pPr>
      <w:keepNext/>
      <w:spacing w:after="520" w:line="240" w:lineRule="auto"/>
    </w:pPr>
    <w:rPr>
      <w:b/>
      <w:sz w:val="32"/>
    </w:rPr>
  </w:style>
  <w:style w:type="paragraph" w:customStyle="1" w:styleId="081">
    <w:name w:val="081"/>
    <w:aliases w:val="kop 1,14 punten vet 1 witregel geen inspring"/>
    <w:basedOn w:val="000"/>
    <w:next w:val="000"/>
    <w:rsid w:val="0039445F"/>
    <w:pPr>
      <w:keepNext/>
      <w:spacing w:before="240" w:after="60" w:line="240" w:lineRule="auto"/>
    </w:pPr>
    <w:rPr>
      <w:b/>
      <w:sz w:val="28"/>
    </w:rPr>
  </w:style>
  <w:style w:type="paragraph" w:customStyle="1" w:styleId="082">
    <w:name w:val="082"/>
    <w:aliases w:val="kop 2,vet 1 witregel geen inspring"/>
    <w:basedOn w:val="000"/>
    <w:next w:val="000"/>
    <w:rsid w:val="0039445F"/>
    <w:pPr>
      <w:keepNext/>
      <w:spacing w:before="240" w:after="60" w:line="240" w:lineRule="auto"/>
    </w:pPr>
    <w:rPr>
      <w:b/>
      <w:i/>
      <w:sz w:val="26"/>
    </w:rPr>
  </w:style>
  <w:style w:type="paragraph" w:customStyle="1" w:styleId="083">
    <w:name w:val="083"/>
    <w:aliases w:val="kop 3,vet cursief 1 witregel geen inspring"/>
    <w:basedOn w:val="000"/>
    <w:next w:val="000"/>
    <w:rsid w:val="0039445F"/>
    <w:pPr>
      <w:keepNext/>
      <w:spacing w:before="240" w:after="60" w:line="240" w:lineRule="auto"/>
    </w:pPr>
    <w:rPr>
      <w:b/>
      <w:sz w:val="24"/>
    </w:rPr>
  </w:style>
  <w:style w:type="paragraph" w:customStyle="1" w:styleId="084">
    <w:name w:val="084"/>
    <w:aliases w:val="cursief geen inspring"/>
    <w:basedOn w:val="000"/>
    <w:next w:val="000"/>
    <w:rsid w:val="0039445F"/>
    <w:pPr>
      <w:keepNext/>
      <w:spacing w:before="260"/>
    </w:pPr>
    <w:rPr>
      <w:i/>
    </w:rPr>
  </w:style>
  <w:style w:type="paragraph" w:customStyle="1" w:styleId="091">
    <w:name w:val="091"/>
    <w:aliases w:val="inhoudsopgave 14 punten vet"/>
    <w:basedOn w:val="021"/>
    <w:next w:val="Standaard"/>
    <w:rsid w:val="0039445F"/>
    <w:pPr>
      <w:spacing w:before="280"/>
      <w:ind w:left="720" w:hanging="720"/>
    </w:pPr>
    <w:rPr>
      <w:b w:val="0"/>
      <w:sz w:val="28"/>
    </w:rPr>
  </w:style>
  <w:style w:type="paragraph" w:customStyle="1" w:styleId="099">
    <w:name w:val="099"/>
    <w:aliases w:val="einde document teken"/>
    <w:basedOn w:val="000"/>
    <w:rsid w:val="0039445F"/>
    <w:pPr>
      <w:pBdr>
        <w:bottom w:val="single" w:sz="18" w:space="0" w:color="auto"/>
      </w:pBdr>
      <w:tabs>
        <w:tab w:val="right" w:pos="9380"/>
      </w:tabs>
      <w:ind w:right="8820"/>
    </w:pPr>
  </w:style>
  <w:style w:type="paragraph" w:customStyle="1" w:styleId="100">
    <w:name w:val="100"/>
    <w:aliases w:val="1 kop h"/>
    <w:basedOn w:val="Standaard"/>
    <w:next w:val="Standaard"/>
    <w:rsid w:val="0039445F"/>
    <w:pPr>
      <w:tabs>
        <w:tab w:val="center" w:pos="8980"/>
      </w:tabs>
      <w:ind w:right="-170"/>
    </w:pPr>
    <w:rPr>
      <w:sz w:val="20"/>
    </w:rPr>
  </w:style>
  <w:style w:type="paragraph" w:customStyle="1" w:styleId="101">
    <w:name w:val="101"/>
    <w:aliases w:val="1 kopstreep h"/>
    <w:basedOn w:val="Standaard"/>
    <w:next w:val="Standaard"/>
    <w:rsid w:val="0039445F"/>
    <w:pPr>
      <w:tabs>
        <w:tab w:val="left" w:pos="8580"/>
        <w:tab w:val="right" w:pos="9380"/>
      </w:tabs>
      <w:spacing w:after="140" w:line="140" w:lineRule="exact"/>
    </w:pPr>
    <w:rPr>
      <w:sz w:val="10"/>
    </w:rPr>
  </w:style>
  <w:style w:type="paragraph" w:customStyle="1" w:styleId="102">
    <w:name w:val="102"/>
    <w:aliases w:val="1 €-teken h"/>
    <w:basedOn w:val="Standaard"/>
    <w:next w:val="Standaard"/>
    <w:rsid w:val="0039445F"/>
    <w:pPr>
      <w:tabs>
        <w:tab w:val="center" w:pos="8980"/>
      </w:tabs>
      <w:spacing w:after="140"/>
    </w:pPr>
    <w:rPr>
      <w:sz w:val="20"/>
    </w:rPr>
  </w:style>
  <w:style w:type="paragraph" w:customStyle="1" w:styleId="104">
    <w:name w:val="104"/>
    <w:aliases w:val="1 cijferregel h"/>
    <w:basedOn w:val="Standaard"/>
    <w:rsid w:val="0039445F"/>
    <w:pPr>
      <w:tabs>
        <w:tab w:val="left" w:pos="1134"/>
        <w:tab w:val="decimal" w:pos="9380"/>
      </w:tabs>
      <w:ind w:left="567" w:right="-170" w:hanging="567"/>
    </w:pPr>
    <w:rPr>
      <w:sz w:val="20"/>
    </w:rPr>
  </w:style>
  <w:style w:type="paragraph" w:customStyle="1" w:styleId="105">
    <w:name w:val="105"/>
    <w:aliases w:val="1 enkele telstreep h"/>
    <w:basedOn w:val="Standaard"/>
    <w:next w:val="104"/>
    <w:rsid w:val="0039445F"/>
    <w:pPr>
      <w:tabs>
        <w:tab w:val="left" w:pos="8580"/>
        <w:tab w:val="decimal" w:pos="9380"/>
      </w:tabs>
      <w:spacing w:line="140" w:lineRule="exact"/>
    </w:pPr>
    <w:rPr>
      <w:position w:val="4"/>
      <w:sz w:val="10"/>
    </w:rPr>
  </w:style>
  <w:style w:type="paragraph" w:customStyle="1" w:styleId="106">
    <w:name w:val="106"/>
    <w:aliases w:val="1 gestippelde streep h"/>
    <w:basedOn w:val="105"/>
    <w:next w:val="104"/>
    <w:rsid w:val="0039445F"/>
    <w:pPr>
      <w:tabs>
        <w:tab w:val="decimal" w:leader="dot" w:pos="9380"/>
      </w:tabs>
    </w:pPr>
    <w:rPr>
      <w:position w:val="2"/>
      <w:sz w:val="14"/>
    </w:rPr>
  </w:style>
  <w:style w:type="paragraph" w:customStyle="1" w:styleId="107">
    <w:name w:val="107"/>
    <w:aliases w:val="1 dubbele streep h"/>
    <w:basedOn w:val="105"/>
    <w:next w:val="000"/>
    <w:rsid w:val="0039445F"/>
    <w:rPr>
      <w:position w:val="6"/>
      <w:sz w:val="14"/>
    </w:rPr>
  </w:style>
  <w:style w:type="paragraph" w:customStyle="1" w:styleId="200">
    <w:name w:val="200"/>
    <w:aliases w:val="2 kop h"/>
    <w:basedOn w:val="Standaard"/>
    <w:next w:val="Standaard"/>
    <w:rsid w:val="0039445F"/>
    <w:pPr>
      <w:tabs>
        <w:tab w:val="center" w:pos="7700"/>
        <w:tab w:val="center" w:pos="8980"/>
      </w:tabs>
      <w:ind w:right="-170"/>
    </w:pPr>
    <w:rPr>
      <w:sz w:val="20"/>
    </w:rPr>
  </w:style>
  <w:style w:type="paragraph" w:customStyle="1" w:styleId="201">
    <w:name w:val="201"/>
    <w:aliases w:val="2 kopstreep h"/>
    <w:basedOn w:val="Standaard"/>
    <w:next w:val="Standaard"/>
    <w:rsid w:val="0039445F"/>
    <w:pPr>
      <w:tabs>
        <w:tab w:val="left" w:pos="7300"/>
        <w:tab w:val="right" w:pos="8100"/>
        <w:tab w:val="left" w:pos="8580"/>
        <w:tab w:val="right" w:pos="9380"/>
      </w:tabs>
      <w:spacing w:after="140" w:line="140" w:lineRule="exact"/>
    </w:pPr>
    <w:rPr>
      <w:sz w:val="10"/>
    </w:rPr>
  </w:style>
  <w:style w:type="paragraph" w:customStyle="1" w:styleId="202">
    <w:name w:val="202"/>
    <w:aliases w:val="2 €-tekens h"/>
    <w:basedOn w:val="Standaard"/>
    <w:next w:val="Standaard"/>
    <w:rsid w:val="0039445F"/>
    <w:pPr>
      <w:tabs>
        <w:tab w:val="center" w:pos="7700"/>
        <w:tab w:val="center" w:pos="8980"/>
      </w:tabs>
      <w:spacing w:after="140"/>
    </w:pPr>
    <w:rPr>
      <w:sz w:val="20"/>
    </w:rPr>
  </w:style>
  <w:style w:type="paragraph" w:customStyle="1" w:styleId="203">
    <w:name w:val="203"/>
    <w:aliases w:val="kop boven 1/2 h"/>
    <w:basedOn w:val="Standaard"/>
    <w:next w:val="201"/>
    <w:rsid w:val="0039445F"/>
    <w:pPr>
      <w:tabs>
        <w:tab w:val="center" w:pos="8340"/>
      </w:tabs>
    </w:pPr>
    <w:rPr>
      <w:sz w:val="20"/>
    </w:rPr>
  </w:style>
  <w:style w:type="paragraph" w:customStyle="1" w:styleId="204">
    <w:name w:val="204"/>
    <w:aliases w:val="2 cijferregel h"/>
    <w:basedOn w:val="Standaard"/>
    <w:rsid w:val="0039445F"/>
    <w:pPr>
      <w:tabs>
        <w:tab w:val="left" w:pos="1134"/>
        <w:tab w:val="decimal" w:pos="8100"/>
        <w:tab w:val="decimal" w:pos="9380"/>
      </w:tabs>
      <w:ind w:left="567" w:right="-170" w:hanging="567"/>
    </w:pPr>
    <w:rPr>
      <w:sz w:val="20"/>
    </w:rPr>
  </w:style>
  <w:style w:type="paragraph" w:customStyle="1" w:styleId="205">
    <w:name w:val="205"/>
    <w:aliases w:val="2 enkele telstreep h"/>
    <w:basedOn w:val="Standaard"/>
    <w:next w:val="204"/>
    <w:rsid w:val="0039445F"/>
    <w:pPr>
      <w:tabs>
        <w:tab w:val="left" w:pos="7300"/>
        <w:tab w:val="decimal" w:pos="8100"/>
        <w:tab w:val="left" w:pos="8580"/>
        <w:tab w:val="decimal" w:pos="9380"/>
      </w:tabs>
      <w:spacing w:line="140" w:lineRule="exact"/>
    </w:pPr>
    <w:rPr>
      <w:position w:val="4"/>
      <w:sz w:val="10"/>
    </w:rPr>
  </w:style>
  <w:style w:type="paragraph" w:customStyle="1" w:styleId="206">
    <w:name w:val="206"/>
    <w:aliases w:val="2 gestippelde streep h"/>
    <w:basedOn w:val="205"/>
    <w:next w:val="204"/>
    <w:rsid w:val="0039445F"/>
    <w:pPr>
      <w:tabs>
        <w:tab w:val="decimal" w:leader="dot" w:pos="8100"/>
        <w:tab w:val="decimal" w:leader="dot" w:pos="9380"/>
      </w:tabs>
    </w:pPr>
    <w:rPr>
      <w:position w:val="2"/>
      <w:sz w:val="14"/>
    </w:rPr>
  </w:style>
  <w:style w:type="paragraph" w:customStyle="1" w:styleId="207">
    <w:name w:val="207"/>
    <w:aliases w:val="2 dubbele streep h"/>
    <w:basedOn w:val="205"/>
    <w:next w:val="000"/>
    <w:rsid w:val="0039445F"/>
    <w:rPr>
      <w:position w:val="6"/>
      <w:sz w:val="14"/>
    </w:rPr>
  </w:style>
  <w:style w:type="paragraph" w:customStyle="1" w:styleId="300">
    <w:name w:val="300"/>
    <w:aliases w:val="3 kop h"/>
    <w:basedOn w:val="Standaard"/>
    <w:next w:val="Standaard"/>
    <w:rsid w:val="0039445F"/>
    <w:pPr>
      <w:tabs>
        <w:tab w:val="center" w:pos="6420"/>
        <w:tab w:val="center" w:pos="7700"/>
        <w:tab w:val="center" w:pos="8980"/>
      </w:tabs>
      <w:ind w:right="-170"/>
    </w:pPr>
    <w:rPr>
      <w:sz w:val="20"/>
    </w:rPr>
  </w:style>
  <w:style w:type="paragraph" w:customStyle="1" w:styleId="301">
    <w:name w:val="301"/>
    <w:aliases w:val="3 kopstreep h"/>
    <w:basedOn w:val="Standaard"/>
    <w:next w:val="Standaard"/>
    <w:rsid w:val="0039445F"/>
    <w:pPr>
      <w:tabs>
        <w:tab w:val="left" w:pos="6020"/>
        <w:tab w:val="right" w:pos="6820"/>
        <w:tab w:val="left" w:pos="7300"/>
        <w:tab w:val="right" w:pos="8100"/>
        <w:tab w:val="left" w:pos="8580"/>
        <w:tab w:val="right" w:pos="9380"/>
      </w:tabs>
      <w:spacing w:after="140" w:line="140" w:lineRule="exact"/>
    </w:pPr>
    <w:rPr>
      <w:sz w:val="10"/>
    </w:rPr>
  </w:style>
  <w:style w:type="paragraph" w:customStyle="1" w:styleId="302">
    <w:name w:val="302"/>
    <w:aliases w:val="3 €-tekens h"/>
    <w:basedOn w:val="Standaard"/>
    <w:next w:val="Standaard"/>
    <w:rsid w:val="0039445F"/>
    <w:pPr>
      <w:tabs>
        <w:tab w:val="center" w:pos="6420"/>
        <w:tab w:val="center" w:pos="7700"/>
        <w:tab w:val="center" w:pos="8980"/>
      </w:tabs>
      <w:spacing w:after="140"/>
    </w:pPr>
    <w:rPr>
      <w:sz w:val="20"/>
    </w:rPr>
  </w:style>
  <w:style w:type="paragraph" w:customStyle="1" w:styleId="303">
    <w:name w:val="303"/>
    <w:aliases w:val="kop boven 1/3 h"/>
    <w:basedOn w:val="Standaard"/>
    <w:next w:val="301"/>
    <w:rsid w:val="0039445F"/>
    <w:pPr>
      <w:tabs>
        <w:tab w:val="center" w:pos="7700"/>
      </w:tabs>
    </w:pPr>
    <w:rPr>
      <w:sz w:val="20"/>
    </w:rPr>
  </w:style>
  <w:style w:type="paragraph" w:customStyle="1" w:styleId="304">
    <w:name w:val="304"/>
    <w:aliases w:val="3 cijferregel h"/>
    <w:basedOn w:val="Standaard"/>
    <w:rsid w:val="0039445F"/>
    <w:pPr>
      <w:tabs>
        <w:tab w:val="left" w:pos="1134"/>
        <w:tab w:val="decimal" w:pos="6820"/>
        <w:tab w:val="decimal" w:pos="8100"/>
        <w:tab w:val="decimal" w:pos="9380"/>
      </w:tabs>
      <w:ind w:left="567" w:right="-170" w:hanging="567"/>
    </w:pPr>
    <w:rPr>
      <w:sz w:val="20"/>
    </w:rPr>
  </w:style>
  <w:style w:type="paragraph" w:customStyle="1" w:styleId="305">
    <w:name w:val="305"/>
    <w:aliases w:val="3 enkele telstreep h"/>
    <w:basedOn w:val="Standaard"/>
    <w:next w:val="304"/>
    <w:rsid w:val="0039445F"/>
    <w:pPr>
      <w:tabs>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306">
    <w:name w:val="306"/>
    <w:aliases w:val="3 gestippelde streep h"/>
    <w:basedOn w:val="305"/>
    <w:next w:val="304"/>
    <w:rsid w:val="0039445F"/>
    <w:pPr>
      <w:tabs>
        <w:tab w:val="decimal" w:leader="dot" w:pos="6820"/>
        <w:tab w:val="decimal" w:leader="dot" w:pos="8100"/>
        <w:tab w:val="decimal" w:leader="dot" w:pos="9380"/>
      </w:tabs>
    </w:pPr>
    <w:rPr>
      <w:position w:val="2"/>
      <w:sz w:val="14"/>
    </w:rPr>
  </w:style>
  <w:style w:type="paragraph" w:customStyle="1" w:styleId="307">
    <w:name w:val="307"/>
    <w:aliases w:val="3 dubbele streep h"/>
    <w:basedOn w:val="305"/>
    <w:next w:val="000"/>
    <w:rsid w:val="0039445F"/>
    <w:rPr>
      <w:position w:val="6"/>
      <w:sz w:val="14"/>
    </w:rPr>
  </w:style>
  <w:style w:type="paragraph" w:customStyle="1" w:styleId="400">
    <w:name w:val="400"/>
    <w:aliases w:val="4 kop h"/>
    <w:basedOn w:val="Standaard"/>
    <w:next w:val="Standaard"/>
    <w:rsid w:val="0039445F"/>
    <w:pPr>
      <w:tabs>
        <w:tab w:val="center" w:pos="5140"/>
        <w:tab w:val="center" w:pos="6420"/>
        <w:tab w:val="center" w:pos="7700"/>
        <w:tab w:val="center" w:pos="8980"/>
      </w:tabs>
      <w:ind w:right="-170"/>
    </w:pPr>
    <w:rPr>
      <w:sz w:val="20"/>
    </w:rPr>
  </w:style>
  <w:style w:type="paragraph" w:customStyle="1" w:styleId="401">
    <w:name w:val="401"/>
    <w:aliases w:val="4 kopstreep h"/>
    <w:basedOn w:val="Standaard"/>
    <w:next w:val="Standaard"/>
    <w:rsid w:val="0039445F"/>
    <w:pPr>
      <w:tabs>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402">
    <w:name w:val="402"/>
    <w:aliases w:val="4 €-tekens h"/>
    <w:basedOn w:val="Standaard"/>
    <w:next w:val="Standaard"/>
    <w:rsid w:val="0039445F"/>
    <w:pPr>
      <w:tabs>
        <w:tab w:val="center" w:pos="5140"/>
        <w:tab w:val="center" w:pos="6420"/>
        <w:tab w:val="center" w:pos="7700"/>
        <w:tab w:val="center" w:pos="8980"/>
      </w:tabs>
      <w:spacing w:after="140"/>
    </w:pPr>
    <w:rPr>
      <w:sz w:val="20"/>
    </w:rPr>
  </w:style>
  <w:style w:type="paragraph" w:customStyle="1" w:styleId="403">
    <w:name w:val="403"/>
    <w:aliases w:val="kop boven 1/4 h"/>
    <w:basedOn w:val="Standaard"/>
    <w:next w:val="401"/>
    <w:rsid w:val="0039445F"/>
    <w:pPr>
      <w:tabs>
        <w:tab w:val="center" w:pos="5780"/>
        <w:tab w:val="center" w:pos="8340"/>
      </w:tabs>
    </w:pPr>
    <w:rPr>
      <w:sz w:val="20"/>
    </w:rPr>
  </w:style>
  <w:style w:type="paragraph" w:customStyle="1" w:styleId="404">
    <w:name w:val="404"/>
    <w:aliases w:val="4 cijferregel h"/>
    <w:basedOn w:val="Standaard"/>
    <w:rsid w:val="0039445F"/>
    <w:pPr>
      <w:tabs>
        <w:tab w:val="left" w:pos="1134"/>
        <w:tab w:val="decimal" w:pos="5540"/>
        <w:tab w:val="decimal" w:pos="6820"/>
        <w:tab w:val="decimal" w:pos="8100"/>
        <w:tab w:val="decimal" w:pos="9380"/>
      </w:tabs>
      <w:ind w:left="567" w:right="-170" w:hanging="567"/>
    </w:pPr>
    <w:rPr>
      <w:sz w:val="20"/>
    </w:rPr>
  </w:style>
  <w:style w:type="paragraph" w:customStyle="1" w:styleId="405">
    <w:name w:val="405"/>
    <w:aliases w:val="4 enkele telstreep h"/>
    <w:basedOn w:val="Standaard"/>
    <w:next w:val="404"/>
    <w:rsid w:val="0039445F"/>
    <w:pPr>
      <w:tabs>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406">
    <w:name w:val="406"/>
    <w:aliases w:val="4 gestippelde streep h"/>
    <w:basedOn w:val="405"/>
    <w:next w:val="404"/>
    <w:rsid w:val="0039445F"/>
    <w:pPr>
      <w:tabs>
        <w:tab w:val="decimal" w:leader="dot" w:pos="5540"/>
        <w:tab w:val="decimal" w:leader="dot" w:pos="6820"/>
        <w:tab w:val="decimal" w:leader="dot" w:pos="8100"/>
        <w:tab w:val="decimal" w:leader="dot" w:pos="9380"/>
      </w:tabs>
    </w:pPr>
    <w:rPr>
      <w:position w:val="2"/>
      <w:sz w:val="14"/>
    </w:rPr>
  </w:style>
  <w:style w:type="paragraph" w:customStyle="1" w:styleId="407">
    <w:name w:val="407"/>
    <w:aliases w:val="4 dubbele streep h"/>
    <w:basedOn w:val="405"/>
    <w:next w:val="000"/>
    <w:rsid w:val="0039445F"/>
    <w:rPr>
      <w:position w:val="6"/>
      <w:sz w:val="14"/>
    </w:rPr>
  </w:style>
  <w:style w:type="paragraph" w:customStyle="1" w:styleId="423">
    <w:name w:val="423"/>
    <w:aliases w:val="kop boven 1/4 t"/>
    <w:basedOn w:val="Standaard"/>
    <w:rsid w:val="0039445F"/>
    <w:pPr>
      <w:tabs>
        <w:tab w:val="center" w:pos="6300"/>
        <w:tab w:val="center" w:pos="8520"/>
      </w:tabs>
    </w:pPr>
    <w:rPr>
      <w:sz w:val="20"/>
    </w:rPr>
  </w:style>
  <w:style w:type="paragraph" w:customStyle="1" w:styleId="453">
    <w:name w:val="453"/>
    <w:aliases w:val="kop boven 1/4 m"/>
    <w:basedOn w:val="Standaard"/>
    <w:rsid w:val="0039445F"/>
    <w:pPr>
      <w:tabs>
        <w:tab w:val="center" w:pos="5620"/>
        <w:tab w:val="center" w:pos="8180"/>
      </w:tabs>
    </w:pPr>
    <w:rPr>
      <w:sz w:val="20"/>
    </w:rPr>
  </w:style>
  <w:style w:type="paragraph" w:customStyle="1" w:styleId="473">
    <w:name w:val="473"/>
    <w:aliases w:val="kop boven 1/4 mld"/>
    <w:basedOn w:val="Standaard"/>
    <w:rsid w:val="0039445F"/>
    <w:pPr>
      <w:tabs>
        <w:tab w:val="center" w:pos="4900"/>
        <w:tab w:val="center" w:pos="7940"/>
      </w:tabs>
    </w:pPr>
    <w:rPr>
      <w:sz w:val="20"/>
    </w:rPr>
  </w:style>
  <w:style w:type="paragraph" w:customStyle="1" w:styleId="500">
    <w:name w:val="500"/>
    <w:aliases w:val="5 kop h"/>
    <w:basedOn w:val="Standaard"/>
    <w:next w:val="Standaard"/>
    <w:rsid w:val="0039445F"/>
    <w:pPr>
      <w:tabs>
        <w:tab w:val="center" w:pos="3860"/>
        <w:tab w:val="center" w:pos="5140"/>
        <w:tab w:val="center" w:pos="6420"/>
        <w:tab w:val="center" w:pos="7700"/>
        <w:tab w:val="center" w:pos="8980"/>
      </w:tabs>
      <w:ind w:right="-170"/>
    </w:pPr>
    <w:rPr>
      <w:sz w:val="20"/>
    </w:rPr>
  </w:style>
  <w:style w:type="paragraph" w:customStyle="1" w:styleId="501">
    <w:name w:val="501"/>
    <w:aliases w:val="5 kopstreep h"/>
    <w:basedOn w:val="Standaard"/>
    <w:next w:val="Standaard"/>
    <w:rsid w:val="0039445F"/>
    <w:pPr>
      <w:tabs>
        <w:tab w:val="left" w:pos="3460"/>
        <w:tab w:val="right" w:pos="4260"/>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502">
    <w:name w:val="502"/>
    <w:aliases w:val="5 €-tekens h"/>
    <w:basedOn w:val="Standaard"/>
    <w:next w:val="Standaard"/>
    <w:rsid w:val="0039445F"/>
    <w:pPr>
      <w:tabs>
        <w:tab w:val="center" w:pos="3860"/>
        <w:tab w:val="center" w:pos="5140"/>
        <w:tab w:val="center" w:pos="6420"/>
        <w:tab w:val="center" w:pos="7700"/>
        <w:tab w:val="center" w:pos="8980"/>
      </w:tabs>
      <w:spacing w:after="140"/>
    </w:pPr>
    <w:rPr>
      <w:sz w:val="20"/>
    </w:rPr>
  </w:style>
  <w:style w:type="paragraph" w:customStyle="1" w:styleId="503">
    <w:name w:val="503"/>
    <w:aliases w:val="kop boven 1/5 h"/>
    <w:basedOn w:val="Standaard"/>
    <w:next w:val="501"/>
    <w:rsid w:val="0039445F"/>
    <w:pPr>
      <w:tabs>
        <w:tab w:val="center" w:pos="6420"/>
      </w:tabs>
    </w:pPr>
    <w:rPr>
      <w:sz w:val="20"/>
    </w:rPr>
  </w:style>
  <w:style w:type="paragraph" w:customStyle="1" w:styleId="504">
    <w:name w:val="504"/>
    <w:aliases w:val="5 cijferregel h"/>
    <w:basedOn w:val="Standaard"/>
    <w:rsid w:val="0039445F"/>
    <w:pPr>
      <w:tabs>
        <w:tab w:val="left" w:pos="1134"/>
        <w:tab w:val="decimal" w:pos="4260"/>
        <w:tab w:val="decimal" w:pos="5540"/>
        <w:tab w:val="decimal" w:pos="6820"/>
        <w:tab w:val="decimal" w:pos="8100"/>
        <w:tab w:val="decimal" w:pos="9380"/>
      </w:tabs>
      <w:ind w:left="567" w:right="-170" w:hanging="567"/>
    </w:pPr>
    <w:rPr>
      <w:sz w:val="20"/>
    </w:rPr>
  </w:style>
  <w:style w:type="paragraph" w:customStyle="1" w:styleId="505">
    <w:name w:val="505"/>
    <w:aliases w:val="5 enkele telstreep h"/>
    <w:basedOn w:val="Standaard"/>
    <w:next w:val="504"/>
    <w:rsid w:val="0039445F"/>
    <w:pPr>
      <w:tabs>
        <w:tab w:val="left" w:pos="3460"/>
        <w:tab w:val="decimal" w:pos="4260"/>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506">
    <w:name w:val="506"/>
    <w:aliases w:val="5 gestippelde streep h"/>
    <w:basedOn w:val="505"/>
    <w:next w:val="504"/>
    <w:rsid w:val="0039445F"/>
    <w:pPr>
      <w:tabs>
        <w:tab w:val="decimal" w:leader="dot" w:pos="4260"/>
        <w:tab w:val="decimal" w:leader="dot" w:pos="5540"/>
        <w:tab w:val="decimal" w:leader="dot" w:pos="6820"/>
        <w:tab w:val="decimal" w:leader="dot" w:pos="8100"/>
        <w:tab w:val="decimal" w:leader="dot" w:pos="9380"/>
      </w:tabs>
    </w:pPr>
    <w:rPr>
      <w:position w:val="2"/>
      <w:sz w:val="14"/>
    </w:rPr>
  </w:style>
  <w:style w:type="paragraph" w:customStyle="1" w:styleId="507">
    <w:name w:val="507"/>
    <w:aliases w:val="5 dubbele streep h"/>
    <w:basedOn w:val="505"/>
    <w:next w:val="000"/>
    <w:rsid w:val="0039445F"/>
    <w:rPr>
      <w:position w:val="6"/>
      <w:sz w:val="14"/>
    </w:rPr>
  </w:style>
  <w:style w:type="paragraph" w:customStyle="1" w:styleId="603">
    <w:name w:val="603"/>
    <w:aliases w:val="kop boven 1/2 3/4 5/6 h"/>
    <w:basedOn w:val="Standaard"/>
    <w:rsid w:val="0039445F"/>
    <w:pPr>
      <w:tabs>
        <w:tab w:val="center" w:pos="3221"/>
        <w:tab w:val="center" w:pos="5780"/>
        <w:tab w:val="center" w:pos="8341"/>
      </w:tabs>
    </w:pPr>
    <w:rPr>
      <w:sz w:val="20"/>
    </w:rPr>
  </w:style>
  <w:style w:type="paragraph" w:customStyle="1" w:styleId="673r">
    <w:name w:val="673r"/>
    <w:aliases w:val="kop boven 1/6 mld rechts"/>
    <w:basedOn w:val="Standaard"/>
    <w:rsid w:val="0039445F"/>
    <w:pPr>
      <w:tabs>
        <w:tab w:val="center" w:pos="1440"/>
        <w:tab w:val="center" w:pos="4480"/>
        <w:tab w:val="center" w:pos="7520"/>
      </w:tabs>
    </w:pPr>
    <w:rPr>
      <w:sz w:val="20"/>
    </w:rPr>
  </w:style>
  <w:style w:type="paragraph" w:customStyle="1" w:styleId="700r">
    <w:name w:val="700r"/>
    <w:aliases w:val="7 kop h rechts"/>
    <w:basedOn w:val="Standaard"/>
    <w:next w:val="Standaard"/>
    <w:rsid w:val="0039445F"/>
    <w:pPr>
      <w:tabs>
        <w:tab w:val="center" w:pos="400"/>
        <w:tab w:val="center" w:pos="1680"/>
        <w:tab w:val="center" w:pos="2960"/>
        <w:tab w:val="center" w:pos="4240"/>
        <w:tab w:val="center" w:pos="5520"/>
        <w:tab w:val="center" w:pos="6800"/>
        <w:tab w:val="center" w:pos="8080"/>
      </w:tabs>
    </w:pPr>
    <w:rPr>
      <w:sz w:val="20"/>
    </w:rPr>
  </w:style>
  <w:style w:type="paragraph" w:customStyle="1" w:styleId="701r">
    <w:name w:val="701r"/>
    <w:aliases w:val="7 kopstreep h rechts"/>
    <w:basedOn w:val="Standaard"/>
    <w:next w:val="Standaard"/>
    <w:rsid w:val="0039445F"/>
    <w:pPr>
      <w:tabs>
        <w:tab w:val="left" w:pos="0"/>
        <w:tab w:val="right" w:pos="800"/>
        <w:tab w:val="left" w:pos="1280"/>
        <w:tab w:val="right" w:pos="2080"/>
        <w:tab w:val="left" w:pos="2560"/>
        <w:tab w:val="right" w:pos="3360"/>
        <w:tab w:val="left" w:pos="3840"/>
        <w:tab w:val="right" w:pos="4640"/>
        <w:tab w:val="left" w:pos="5120"/>
        <w:tab w:val="right" w:pos="5920"/>
        <w:tab w:val="left" w:pos="6400"/>
        <w:tab w:val="right" w:pos="7200"/>
        <w:tab w:val="left" w:pos="7680"/>
        <w:tab w:val="right" w:pos="8480"/>
      </w:tabs>
      <w:spacing w:after="140" w:line="140" w:lineRule="exact"/>
    </w:pPr>
    <w:rPr>
      <w:sz w:val="10"/>
    </w:rPr>
  </w:style>
  <w:style w:type="paragraph" w:customStyle="1" w:styleId="702r">
    <w:name w:val="702r"/>
    <w:aliases w:val="7 €-tekens h rechts"/>
    <w:basedOn w:val="Standaard"/>
    <w:next w:val="Standaard"/>
    <w:rsid w:val="0039445F"/>
    <w:pPr>
      <w:tabs>
        <w:tab w:val="center" w:pos="400"/>
        <w:tab w:val="center" w:pos="1680"/>
        <w:tab w:val="center" w:pos="2960"/>
        <w:tab w:val="center" w:pos="4240"/>
        <w:tab w:val="center" w:pos="5520"/>
        <w:tab w:val="center" w:pos="6800"/>
        <w:tab w:val="center" w:pos="8080"/>
      </w:tabs>
      <w:spacing w:after="140"/>
    </w:pPr>
    <w:rPr>
      <w:sz w:val="20"/>
    </w:rPr>
  </w:style>
  <w:style w:type="paragraph" w:customStyle="1" w:styleId="703r">
    <w:name w:val="703r"/>
    <w:aliases w:val="kop boven 1/7 h rechts"/>
    <w:basedOn w:val="Standaard"/>
    <w:next w:val="701r"/>
    <w:rsid w:val="0039445F"/>
    <w:pPr>
      <w:tabs>
        <w:tab w:val="center" w:pos="4240"/>
      </w:tabs>
    </w:pPr>
    <w:rPr>
      <w:sz w:val="20"/>
    </w:rPr>
  </w:style>
  <w:style w:type="paragraph" w:customStyle="1" w:styleId="704r">
    <w:name w:val="704r"/>
    <w:aliases w:val="7 cijferregel h rechts"/>
    <w:basedOn w:val="Standaard"/>
    <w:rsid w:val="0039445F"/>
    <w:pPr>
      <w:tabs>
        <w:tab w:val="decimal" w:pos="800"/>
        <w:tab w:val="decimal" w:pos="2080"/>
        <w:tab w:val="decimal" w:pos="3360"/>
        <w:tab w:val="decimal" w:pos="4640"/>
        <w:tab w:val="decimal" w:pos="5920"/>
        <w:tab w:val="decimal" w:pos="7200"/>
        <w:tab w:val="decimal" w:pos="8480"/>
      </w:tabs>
    </w:pPr>
    <w:rPr>
      <w:sz w:val="20"/>
    </w:rPr>
  </w:style>
  <w:style w:type="paragraph" w:customStyle="1" w:styleId="705r">
    <w:name w:val="705r"/>
    <w:aliases w:val="7 enkele telstreep h rechts"/>
    <w:basedOn w:val="Standaard"/>
    <w:next w:val="704r"/>
    <w:rsid w:val="0039445F"/>
    <w:pPr>
      <w:tabs>
        <w:tab w:val="left" w:pos="0"/>
        <w:tab w:val="decimal" w:pos="800"/>
        <w:tab w:val="left" w:pos="1280"/>
        <w:tab w:val="decimal" w:pos="2080"/>
        <w:tab w:val="left" w:pos="2560"/>
        <w:tab w:val="decimal" w:pos="3360"/>
        <w:tab w:val="left" w:pos="3840"/>
        <w:tab w:val="decimal" w:pos="4640"/>
        <w:tab w:val="left" w:pos="5120"/>
        <w:tab w:val="decimal" w:pos="5920"/>
        <w:tab w:val="left" w:pos="6400"/>
        <w:tab w:val="decimal" w:pos="7200"/>
        <w:tab w:val="left" w:pos="7680"/>
        <w:tab w:val="decimal" w:pos="8480"/>
      </w:tabs>
      <w:spacing w:line="140" w:lineRule="exact"/>
    </w:pPr>
    <w:rPr>
      <w:position w:val="4"/>
      <w:sz w:val="10"/>
    </w:rPr>
  </w:style>
  <w:style w:type="paragraph" w:customStyle="1" w:styleId="706r">
    <w:name w:val="706r"/>
    <w:aliases w:val="7 gestippelde streep h rechts"/>
    <w:basedOn w:val="705r"/>
    <w:next w:val="704r"/>
    <w:rsid w:val="0039445F"/>
    <w:pPr>
      <w:tabs>
        <w:tab w:val="decimal" w:leader="dot" w:pos="800"/>
        <w:tab w:val="decimal" w:leader="dot" w:pos="2080"/>
        <w:tab w:val="decimal" w:leader="dot" w:pos="3360"/>
        <w:tab w:val="decimal" w:leader="dot" w:pos="4640"/>
        <w:tab w:val="decimal" w:leader="dot" w:pos="5920"/>
        <w:tab w:val="decimal" w:leader="dot" w:pos="7200"/>
        <w:tab w:val="decimal" w:leader="dot" w:pos="8480"/>
      </w:tabs>
    </w:pPr>
    <w:rPr>
      <w:position w:val="2"/>
      <w:sz w:val="14"/>
    </w:rPr>
  </w:style>
  <w:style w:type="paragraph" w:customStyle="1" w:styleId="707r">
    <w:name w:val="707r"/>
    <w:aliases w:val="7 dubbele streep h rechts"/>
    <w:basedOn w:val="705r"/>
    <w:next w:val="000"/>
    <w:rsid w:val="0039445F"/>
    <w:rPr>
      <w:position w:val="6"/>
      <w:sz w:val="14"/>
    </w:rPr>
  </w:style>
  <w:style w:type="paragraph" w:customStyle="1" w:styleId="a200">
    <w:name w:val="a200"/>
    <w:aliases w:val="2 kop h en 100%"/>
    <w:basedOn w:val="Standaard"/>
    <w:rsid w:val="0039445F"/>
    <w:pPr>
      <w:tabs>
        <w:tab w:val="center" w:pos="6820"/>
        <w:tab w:val="center" w:pos="8580"/>
      </w:tabs>
      <w:ind w:right="-170"/>
    </w:pPr>
    <w:rPr>
      <w:sz w:val="20"/>
    </w:rPr>
  </w:style>
  <w:style w:type="paragraph" w:customStyle="1" w:styleId="a201">
    <w:name w:val="a201"/>
    <w:aliases w:val="2 kopstreep h en 100%"/>
    <w:basedOn w:val="Standaard"/>
    <w:next w:val="Standaard"/>
    <w:rsid w:val="0039445F"/>
    <w:pPr>
      <w:tabs>
        <w:tab w:val="left" w:pos="6020"/>
        <w:tab w:val="right" w:pos="7620"/>
        <w:tab w:val="left" w:pos="7780"/>
        <w:tab w:val="right" w:pos="9380"/>
      </w:tabs>
      <w:spacing w:after="140" w:line="140" w:lineRule="exact"/>
    </w:pPr>
    <w:rPr>
      <w:sz w:val="10"/>
    </w:rPr>
  </w:style>
  <w:style w:type="paragraph" w:customStyle="1" w:styleId="a202">
    <w:name w:val="a202"/>
    <w:aliases w:val="2 €- en %-tekens h en 100%"/>
    <w:basedOn w:val="Standaard"/>
    <w:next w:val="Standaard"/>
    <w:rsid w:val="0039445F"/>
    <w:pPr>
      <w:tabs>
        <w:tab w:val="center" w:pos="6420"/>
        <w:tab w:val="center" w:pos="7380"/>
        <w:tab w:val="center" w:pos="8180"/>
        <w:tab w:val="center" w:pos="9140"/>
      </w:tabs>
      <w:spacing w:after="140"/>
    </w:pPr>
    <w:rPr>
      <w:sz w:val="20"/>
    </w:rPr>
  </w:style>
  <w:style w:type="paragraph" w:customStyle="1" w:styleId="a203">
    <w:name w:val="a203"/>
    <w:aliases w:val="kop boven 1/2 h en 100%"/>
    <w:basedOn w:val="Standaard"/>
    <w:next w:val="a201"/>
    <w:rsid w:val="0039445F"/>
    <w:pPr>
      <w:tabs>
        <w:tab w:val="center" w:pos="7700"/>
      </w:tabs>
    </w:pPr>
    <w:rPr>
      <w:sz w:val="20"/>
    </w:rPr>
  </w:style>
  <w:style w:type="paragraph" w:customStyle="1" w:styleId="a204">
    <w:name w:val="a204"/>
    <w:aliases w:val="2 cijferregel h en 100%"/>
    <w:basedOn w:val="Standaard"/>
    <w:rsid w:val="0039445F"/>
    <w:pPr>
      <w:tabs>
        <w:tab w:val="left" w:pos="1134"/>
        <w:tab w:val="decimal" w:pos="6820"/>
        <w:tab w:val="decimal" w:pos="7620"/>
        <w:tab w:val="decimal" w:pos="8580"/>
        <w:tab w:val="decimal" w:pos="9380"/>
      </w:tabs>
      <w:ind w:left="567" w:right="-170" w:hanging="567"/>
    </w:pPr>
    <w:rPr>
      <w:sz w:val="20"/>
    </w:rPr>
  </w:style>
  <w:style w:type="paragraph" w:customStyle="1" w:styleId="a205">
    <w:name w:val="a205"/>
    <w:aliases w:val="2 enkele telstreep h en 100%"/>
    <w:basedOn w:val="Standaard"/>
    <w:next w:val="a204"/>
    <w:rsid w:val="0039445F"/>
    <w:pPr>
      <w:tabs>
        <w:tab w:val="left" w:pos="6020"/>
        <w:tab w:val="decimal" w:pos="6820"/>
        <w:tab w:val="left" w:pos="7140"/>
        <w:tab w:val="decimal" w:pos="7620"/>
        <w:tab w:val="left" w:pos="7780"/>
        <w:tab w:val="decimal" w:pos="8580"/>
        <w:tab w:val="left" w:pos="8900"/>
        <w:tab w:val="decimal" w:pos="9380"/>
      </w:tabs>
      <w:spacing w:line="140" w:lineRule="exact"/>
    </w:pPr>
    <w:rPr>
      <w:position w:val="4"/>
      <w:sz w:val="10"/>
    </w:rPr>
  </w:style>
  <w:style w:type="paragraph" w:customStyle="1" w:styleId="a206">
    <w:name w:val="a206"/>
    <w:aliases w:val="2 gestippelde streep h en 100%"/>
    <w:basedOn w:val="a205"/>
    <w:next w:val="a204"/>
    <w:rsid w:val="0039445F"/>
    <w:pPr>
      <w:tabs>
        <w:tab w:val="decimal" w:leader="dot" w:pos="6820"/>
        <w:tab w:val="decimal" w:leader="dot" w:pos="7620"/>
        <w:tab w:val="decimal" w:leader="dot" w:pos="8580"/>
        <w:tab w:val="decimal" w:leader="dot" w:pos="9380"/>
      </w:tabs>
    </w:pPr>
    <w:rPr>
      <w:position w:val="2"/>
      <w:sz w:val="14"/>
    </w:rPr>
  </w:style>
  <w:style w:type="paragraph" w:customStyle="1" w:styleId="a207">
    <w:name w:val="a207"/>
    <w:aliases w:val="2 dubbele streep h en 100%"/>
    <w:basedOn w:val="a205"/>
    <w:next w:val="000"/>
    <w:rsid w:val="0039445F"/>
    <w:rPr>
      <w:position w:val="6"/>
      <w:sz w:val="14"/>
    </w:rPr>
  </w:style>
  <w:style w:type="paragraph" w:customStyle="1" w:styleId="b200">
    <w:name w:val="b200"/>
    <w:aliases w:val="2 kop h en 100.0%"/>
    <w:basedOn w:val="Standaard"/>
    <w:next w:val="Standaard"/>
    <w:rsid w:val="0039445F"/>
    <w:pPr>
      <w:tabs>
        <w:tab w:val="center" w:pos="6820"/>
        <w:tab w:val="center" w:pos="8580"/>
      </w:tabs>
      <w:ind w:right="-170"/>
    </w:pPr>
    <w:rPr>
      <w:sz w:val="20"/>
    </w:rPr>
  </w:style>
  <w:style w:type="paragraph" w:customStyle="1" w:styleId="b201">
    <w:name w:val="b201"/>
    <w:aliases w:val="2 kopstreep h en 100.0%"/>
    <w:basedOn w:val="Standaard"/>
    <w:next w:val="Standaard"/>
    <w:rsid w:val="0039445F"/>
    <w:pPr>
      <w:tabs>
        <w:tab w:val="left" w:pos="6020"/>
        <w:tab w:val="right" w:pos="7620"/>
        <w:tab w:val="left" w:pos="7780"/>
        <w:tab w:val="right" w:pos="9380"/>
      </w:tabs>
      <w:spacing w:after="140" w:line="140" w:lineRule="exact"/>
    </w:pPr>
    <w:rPr>
      <w:sz w:val="10"/>
    </w:rPr>
  </w:style>
  <w:style w:type="paragraph" w:customStyle="1" w:styleId="b202">
    <w:name w:val="b202"/>
    <w:aliases w:val="2 €- en %-tekens h en 100.0%"/>
    <w:basedOn w:val="Standaard"/>
    <w:next w:val="204"/>
    <w:rsid w:val="0039445F"/>
    <w:pPr>
      <w:tabs>
        <w:tab w:val="center" w:pos="6420"/>
        <w:tab w:val="center" w:pos="7340"/>
        <w:tab w:val="center" w:pos="8180"/>
        <w:tab w:val="center" w:pos="9100"/>
      </w:tabs>
      <w:spacing w:after="140"/>
    </w:pPr>
    <w:rPr>
      <w:sz w:val="20"/>
    </w:rPr>
  </w:style>
  <w:style w:type="paragraph" w:customStyle="1" w:styleId="b203">
    <w:name w:val="b203"/>
    <w:aliases w:val="kop boven 1/2 h en 100.0%"/>
    <w:basedOn w:val="Standaard"/>
    <w:next w:val="b201"/>
    <w:rsid w:val="0039445F"/>
    <w:pPr>
      <w:tabs>
        <w:tab w:val="center" w:pos="7700"/>
      </w:tabs>
    </w:pPr>
    <w:rPr>
      <w:sz w:val="20"/>
    </w:rPr>
  </w:style>
  <w:style w:type="paragraph" w:customStyle="1" w:styleId="b204">
    <w:name w:val="b204"/>
    <w:aliases w:val="2 cijferregel h en 100.0%"/>
    <w:basedOn w:val="Standaard"/>
    <w:rsid w:val="0039445F"/>
    <w:pPr>
      <w:tabs>
        <w:tab w:val="left" w:pos="1134"/>
        <w:tab w:val="decimal" w:pos="6820"/>
        <w:tab w:val="decimal" w:pos="7420"/>
        <w:tab w:val="decimal" w:pos="8580"/>
        <w:tab w:val="decimal" w:pos="9180"/>
      </w:tabs>
      <w:ind w:left="567" w:right="-170" w:hanging="567"/>
    </w:pPr>
    <w:rPr>
      <w:sz w:val="20"/>
    </w:rPr>
  </w:style>
  <w:style w:type="paragraph" w:customStyle="1" w:styleId="b205">
    <w:name w:val="b205"/>
    <w:aliases w:val="2 enkele telstreep h en 100.0%"/>
    <w:basedOn w:val="Standaard"/>
    <w:next w:val="b204"/>
    <w:rsid w:val="0039445F"/>
    <w:pPr>
      <w:tabs>
        <w:tab w:val="left" w:pos="6020"/>
        <w:tab w:val="decimal" w:pos="6820"/>
        <w:tab w:val="left" w:pos="7060"/>
        <w:tab w:val="decimal" w:pos="7620"/>
        <w:tab w:val="left" w:pos="7780"/>
        <w:tab w:val="decimal" w:pos="8580"/>
        <w:tab w:val="left" w:pos="8820"/>
        <w:tab w:val="decimal" w:pos="9380"/>
      </w:tabs>
      <w:spacing w:line="140" w:lineRule="exact"/>
    </w:pPr>
    <w:rPr>
      <w:position w:val="4"/>
      <w:sz w:val="10"/>
    </w:rPr>
  </w:style>
  <w:style w:type="paragraph" w:customStyle="1" w:styleId="b206">
    <w:name w:val="b206"/>
    <w:aliases w:val="2 gestippelde streep h en 100.0%"/>
    <w:basedOn w:val="b205"/>
    <w:next w:val="b204"/>
    <w:rsid w:val="0039445F"/>
    <w:pPr>
      <w:tabs>
        <w:tab w:val="decimal" w:leader="dot" w:pos="6820"/>
        <w:tab w:val="decimal" w:leader="dot" w:pos="7620"/>
        <w:tab w:val="decimal" w:leader="dot" w:pos="8580"/>
        <w:tab w:val="decimal" w:leader="dot" w:pos="9380"/>
      </w:tabs>
    </w:pPr>
    <w:rPr>
      <w:position w:val="2"/>
      <w:sz w:val="14"/>
    </w:rPr>
  </w:style>
  <w:style w:type="paragraph" w:customStyle="1" w:styleId="b207">
    <w:name w:val="b207"/>
    <w:aliases w:val="2 dubbele streep h en 100.0%"/>
    <w:basedOn w:val="b205"/>
    <w:next w:val="000"/>
    <w:rsid w:val="0039445F"/>
    <w:rPr>
      <w:position w:val="6"/>
      <w:sz w:val="14"/>
    </w:rPr>
  </w:style>
  <w:style w:type="paragraph" w:styleId="Ballontekst">
    <w:name w:val="Balloon Text"/>
    <w:basedOn w:val="Standaard"/>
    <w:link w:val="BallontekstChar"/>
    <w:rsid w:val="0039445F"/>
    <w:pPr>
      <w:spacing w:line="240" w:lineRule="auto"/>
    </w:pPr>
    <w:rPr>
      <w:rFonts w:ascii="Tahoma" w:hAnsi="Tahoma" w:cs="Tahoma"/>
      <w:sz w:val="16"/>
      <w:szCs w:val="16"/>
    </w:rPr>
  </w:style>
  <w:style w:type="character" w:customStyle="1" w:styleId="BallontekstChar">
    <w:name w:val="Ballontekst Char"/>
    <w:basedOn w:val="Standaardalinea-lettertype"/>
    <w:link w:val="Ballontekst"/>
    <w:rsid w:val="0039445F"/>
    <w:rPr>
      <w:rFonts w:ascii="Tahoma" w:eastAsia="Times New Roman" w:hAnsi="Tahoma" w:cs="Tahoma"/>
      <w:sz w:val="16"/>
      <w:szCs w:val="16"/>
    </w:rPr>
  </w:style>
  <w:style w:type="paragraph" w:customStyle="1" w:styleId="BijlageHeading1">
    <w:name w:val="BijlageHeading 1"/>
    <w:basedOn w:val="Standaard"/>
    <w:next w:val="000"/>
    <w:rsid w:val="0039445F"/>
    <w:pPr>
      <w:keepNext/>
      <w:numPr>
        <w:numId w:val="4"/>
      </w:numPr>
      <w:spacing w:before="240" w:after="60" w:line="240" w:lineRule="auto"/>
      <w:outlineLvl w:val="0"/>
    </w:pPr>
    <w:rPr>
      <w:b/>
      <w:sz w:val="28"/>
    </w:rPr>
  </w:style>
  <w:style w:type="paragraph" w:customStyle="1" w:styleId="BijlageHeading2">
    <w:name w:val="BijlageHeading 2"/>
    <w:basedOn w:val="Standaard"/>
    <w:next w:val="000"/>
    <w:rsid w:val="0039445F"/>
    <w:pPr>
      <w:keepNext/>
      <w:numPr>
        <w:ilvl w:val="1"/>
        <w:numId w:val="4"/>
      </w:numPr>
      <w:spacing w:before="240" w:after="60" w:line="240" w:lineRule="auto"/>
      <w:outlineLvl w:val="1"/>
    </w:pPr>
    <w:rPr>
      <w:b/>
      <w:i/>
      <w:sz w:val="26"/>
    </w:rPr>
  </w:style>
  <w:style w:type="paragraph" w:customStyle="1" w:styleId="BijlageHeading3">
    <w:name w:val="BijlageHeading 3"/>
    <w:basedOn w:val="Standaard"/>
    <w:next w:val="000"/>
    <w:rsid w:val="0039445F"/>
    <w:pPr>
      <w:keepNext/>
      <w:numPr>
        <w:ilvl w:val="2"/>
        <w:numId w:val="4"/>
      </w:numPr>
      <w:spacing w:before="240" w:after="60" w:line="240" w:lineRule="auto"/>
      <w:outlineLvl w:val="2"/>
    </w:pPr>
    <w:rPr>
      <w:b/>
      <w:sz w:val="24"/>
    </w:rPr>
  </w:style>
  <w:style w:type="paragraph" w:customStyle="1" w:styleId="BijlageHeading4">
    <w:name w:val="BijlageHeading 4"/>
    <w:basedOn w:val="Standaard"/>
    <w:next w:val="000"/>
    <w:rsid w:val="0039445F"/>
    <w:pPr>
      <w:keepNext/>
      <w:numPr>
        <w:ilvl w:val="3"/>
        <w:numId w:val="4"/>
      </w:numPr>
      <w:spacing w:before="240" w:after="60" w:line="240" w:lineRule="auto"/>
      <w:outlineLvl w:val="3"/>
    </w:pPr>
    <w:rPr>
      <w:b/>
      <w:i/>
    </w:rPr>
  </w:style>
  <w:style w:type="paragraph" w:styleId="Eindnoottekst">
    <w:name w:val="endnote text"/>
    <w:basedOn w:val="Standaard"/>
    <w:link w:val="EindnoottekstChar"/>
    <w:semiHidden/>
    <w:rsid w:val="0039445F"/>
    <w:rPr>
      <w:sz w:val="20"/>
    </w:rPr>
  </w:style>
  <w:style w:type="character" w:customStyle="1" w:styleId="EindnoottekstChar">
    <w:name w:val="Eindnoottekst Char"/>
    <w:basedOn w:val="Standaardalinea-lettertype"/>
    <w:link w:val="Eindnoottekst"/>
    <w:semiHidden/>
    <w:rsid w:val="0039445F"/>
    <w:rPr>
      <w:rFonts w:ascii="EYInterstate Light" w:eastAsia="Times New Roman" w:hAnsi="EYInterstate Light" w:cs="Times New Roman"/>
      <w:sz w:val="20"/>
      <w:szCs w:val="20"/>
    </w:rPr>
  </w:style>
  <w:style w:type="paragraph" w:customStyle="1" w:styleId="EYBodyTextwithparaspace">
    <w:name w:val="EY Body Text (with para space)"/>
    <w:basedOn w:val="Standaard"/>
    <w:rsid w:val="0039445F"/>
    <w:pPr>
      <w:spacing w:after="260"/>
    </w:pPr>
  </w:style>
  <w:style w:type="paragraph" w:customStyle="1" w:styleId="EYBusinessaddress">
    <w:name w:val="EY Business address"/>
    <w:basedOn w:val="Standaard"/>
    <w:rsid w:val="0039445F"/>
    <w:pPr>
      <w:suppressAutoHyphens/>
      <w:spacing w:line="170" w:lineRule="atLeast"/>
    </w:pPr>
    <w:rPr>
      <w:color w:val="7F7E82"/>
      <w:sz w:val="15"/>
    </w:rPr>
  </w:style>
  <w:style w:type="paragraph" w:customStyle="1" w:styleId="EYBusinessaddressbold">
    <w:name w:val="EY Business address (bold)"/>
    <w:basedOn w:val="Standaard"/>
    <w:rsid w:val="0039445F"/>
    <w:pPr>
      <w:suppressAutoHyphens/>
      <w:spacing w:line="170" w:lineRule="atLeast"/>
    </w:pPr>
    <w:rPr>
      <w:rFonts w:ascii="EYInterstate" w:hAnsi="EYInterstate"/>
      <w:b/>
      <w:sz w:val="15"/>
    </w:rPr>
  </w:style>
  <w:style w:type="paragraph" w:customStyle="1" w:styleId="EYfooter">
    <w:name w:val="EY footer"/>
    <w:basedOn w:val="Standaard"/>
    <w:rsid w:val="0039445F"/>
    <w:pPr>
      <w:suppressAutoHyphens/>
      <w:spacing w:line="130" w:lineRule="atLeast"/>
    </w:pPr>
    <w:rPr>
      <w:sz w:val="11"/>
    </w:rPr>
  </w:style>
  <w:style w:type="paragraph" w:styleId="Voettekst">
    <w:name w:val="footer"/>
    <w:basedOn w:val="000"/>
    <w:link w:val="VoettekstChar"/>
    <w:uiPriority w:val="99"/>
    <w:rsid w:val="0039445F"/>
    <w:pPr>
      <w:tabs>
        <w:tab w:val="center" w:pos="4677"/>
        <w:tab w:val="right" w:pos="9377"/>
      </w:tabs>
    </w:pPr>
  </w:style>
  <w:style w:type="character" w:customStyle="1" w:styleId="VoettekstChar">
    <w:name w:val="Voettekst Char"/>
    <w:basedOn w:val="Standaardalinea-lettertype"/>
    <w:link w:val="Voettekst"/>
    <w:uiPriority w:val="99"/>
    <w:rsid w:val="0039445F"/>
    <w:rPr>
      <w:rFonts w:ascii="EYInterstate Light" w:eastAsia="Times New Roman" w:hAnsi="EYInterstate Light" w:cs="Times New Roman"/>
      <w:szCs w:val="20"/>
    </w:rPr>
  </w:style>
  <w:style w:type="character" w:styleId="Voetnootmarkering">
    <w:name w:val="footnote reference"/>
    <w:basedOn w:val="Standaardalinea-lettertype"/>
    <w:rsid w:val="0039445F"/>
    <w:rPr>
      <w:rFonts w:ascii="EYInterstate Light" w:hAnsi="EYInterstate Light"/>
      <w:position w:val="6"/>
      <w:sz w:val="14"/>
    </w:rPr>
  </w:style>
  <w:style w:type="paragraph" w:styleId="Voetnoottekst">
    <w:name w:val="footnote text"/>
    <w:basedOn w:val="000"/>
    <w:link w:val="VoetnoottekstChar"/>
    <w:rsid w:val="0039445F"/>
    <w:pPr>
      <w:ind w:left="480" w:hanging="480"/>
    </w:pPr>
    <w:rPr>
      <w:sz w:val="18"/>
    </w:rPr>
  </w:style>
  <w:style w:type="character" w:customStyle="1" w:styleId="VoetnoottekstChar">
    <w:name w:val="Voetnoottekst Char"/>
    <w:basedOn w:val="Standaardalinea-lettertype"/>
    <w:link w:val="Voetnoottekst"/>
    <w:rsid w:val="0039445F"/>
    <w:rPr>
      <w:rFonts w:ascii="EYInterstate Light" w:eastAsia="Times New Roman" w:hAnsi="EYInterstate Light" w:cs="Times New Roman"/>
      <w:sz w:val="18"/>
      <w:szCs w:val="20"/>
    </w:rPr>
  </w:style>
  <w:style w:type="paragraph" w:styleId="Koptekst">
    <w:name w:val="header"/>
    <w:basedOn w:val="000"/>
    <w:link w:val="KoptekstChar"/>
    <w:rsid w:val="0039445F"/>
    <w:pPr>
      <w:tabs>
        <w:tab w:val="center" w:pos="4677"/>
        <w:tab w:val="right" w:pos="9377"/>
      </w:tabs>
    </w:pPr>
  </w:style>
  <w:style w:type="character" w:customStyle="1" w:styleId="KoptekstChar">
    <w:name w:val="Koptekst Char"/>
    <w:basedOn w:val="Standaardalinea-lettertype"/>
    <w:link w:val="Koptekst"/>
    <w:rsid w:val="0039445F"/>
    <w:rPr>
      <w:rFonts w:ascii="EYInterstate Light" w:eastAsia="Times New Roman" w:hAnsi="EYInterstate Light" w:cs="Times New Roman"/>
      <w:szCs w:val="20"/>
    </w:rPr>
  </w:style>
  <w:style w:type="character" w:customStyle="1" w:styleId="Kop1Char">
    <w:name w:val="Kop 1 Char"/>
    <w:aliases w:val="051 Char"/>
    <w:basedOn w:val="Standaardalinea-lettertype"/>
    <w:link w:val="Kop1"/>
    <w:uiPriority w:val="9"/>
    <w:rsid w:val="0039445F"/>
    <w:rPr>
      <w:rFonts w:ascii="EYInterstate Light" w:eastAsia="Times New Roman" w:hAnsi="EYInterstate Light" w:cs="Times New Roman"/>
      <w:b/>
      <w:sz w:val="28"/>
      <w:szCs w:val="20"/>
    </w:rPr>
  </w:style>
  <w:style w:type="character" w:customStyle="1" w:styleId="Kop2Char">
    <w:name w:val="Kop 2 Char"/>
    <w:aliases w:val="052 Char"/>
    <w:basedOn w:val="Standaardalinea-lettertype"/>
    <w:link w:val="Kop2"/>
    <w:rsid w:val="0039445F"/>
    <w:rPr>
      <w:rFonts w:ascii="EYInterstate Light" w:eastAsia="Times New Roman" w:hAnsi="EYInterstate Light" w:cs="Times New Roman"/>
      <w:b/>
      <w:i/>
      <w:sz w:val="26"/>
      <w:szCs w:val="20"/>
    </w:rPr>
  </w:style>
  <w:style w:type="character" w:customStyle="1" w:styleId="Kop3Char">
    <w:name w:val="Kop 3 Char"/>
    <w:aliases w:val="053 Char"/>
    <w:basedOn w:val="Standaardalinea-lettertype"/>
    <w:link w:val="Kop3"/>
    <w:rsid w:val="0039445F"/>
    <w:rPr>
      <w:rFonts w:ascii="EYInterstate Light" w:eastAsia="Times New Roman" w:hAnsi="EYInterstate Light" w:cs="Times New Roman"/>
      <w:b/>
      <w:sz w:val="24"/>
      <w:szCs w:val="20"/>
    </w:rPr>
  </w:style>
  <w:style w:type="character" w:customStyle="1" w:styleId="Kop4Char">
    <w:name w:val="Kop 4 Char"/>
    <w:aliases w:val="054 Char"/>
    <w:basedOn w:val="Standaardalinea-lettertype"/>
    <w:link w:val="Kop4"/>
    <w:rsid w:val="0039445F"/>
    <w:rPr>
      <w:rFonts w:ascii="EYInterstate Light" w:eastAsia="Times New Roman" w:hAnsi="EYInterstate Light" w:cs="Times New Roman"/>
      <w:i/>
      <w:szCs w:val="20"/>
    </w:rPr>
  </w:style>
  <w:style w:type="character" w:customStyle="1" w:styleId="Kop5Char">
    <w:name w:val="Kop 5 Char"/>
    <w:basedOn w:val="Standaardalinea-lettertype"/>
    <w:link w:val="Kop5"/>
    <w:rsid w:val="0039445F"/>
    <w:rPr>
      <w:rFonts w:ascii="Arial" w:eastAsia="Times New Roman" w:hAnsi="Arial" w:cs="Times New Roman"/>
      <w:szCs w:val="20"/>
    </w:rPr>
  </w:style>
  <w:style w:type="character" w:customStyle="1" w:styleId="Kop6Char">
    <w:name w:val="Kop 6 Char"/>
    <w:basedOn w:val="Standaardalinea-lettertype"/>
    <w:link w:val="Kop6"/>
    <w:rsid w:val="0039445F"/>
    <w:rPr>
      <w:rFonts w:ascii="EYInterstate Light" w:eastAsia="Times New Roman" w:hAnsi="EYInterstate Light" w:cs="Times New Roman"/>
      <w:i/>
      <w:szCs w:val="20"/>
    </w:rPr>
  </w:style>
  <w:style w:type="character" w:customStyle="1" w:styleId="Kop7Char">
    <w:name w:val="Kop 7 Char"/>
    <w:basedOn w:val="Standaardalinea-lettertype"/>
    <w:link w:val="Kop7"/>
    <w:rsid w:val="0039445F"/>
    <w:rPr>
      <w:rFonts w:ascii="Arial" w:eastAsia="Times New Roman" w:hAnsi="Arial" w:cs="Times New Roman"/>
      <w:sz w:val="20"/>
      <w:szCs w:val="20"/>
    </w:rPr>
  </w:style>
  <w:style w:type="character" w:customStyle="1" w:styleId="Kop8Char">
    <w:name w:val="Kop 8 Char"/>
    <w:basedOn w:val="Standaardalinea-lettertype"/>
    <w:link w:val="Kop8"/>
    <w:rsid w:val="0039445F"/>
    <w:rPr>
      <w:rFonts w:ascii="Arial" w:eastAsia="Times New Roman" w:hAnsi="Arial" w:cs="Times New Roman"/>
      <w:i/>
      <w:sz w:val="20"/>
      <w:szCs w:val="20"/>
    </w:rPr>
  </w:style>
  <w:style w:type="character" w:customStyle="1" w:styleId="Kop9Char">
    <w:name w:val="Kop 9 Char"/>
    <w:basedOn w:val="Standaardalinea-lettertype"/>
    <w:link w:val="Kop9"/>
    <w:rsid w:val="0039445F"/>
    <w:rPr>
      <w:rFonts w:ascii="Arial" w:eastAsia="Times New Roman" w:hAnsi="Arial" w:cs="Times New Roman"/>
      <w:b/>
      <w:i/>
      <w:sz w:val="18"/>
      <w:szCs w:val="20"/>
    </w:rPr>
  </w:style>
  <w:style w:type="character" w:styleId="Hyperlink">
    <w:name w:val="Hyperlink"/>
    <w:basedOn w:val="Standaardalinea-lettertype"/>
    <w:uiPriority w:val="99"/>
    <w:rsid w:val="0039445F"/>
    <w:rPr>
      <w:color w:val="0000FF"/>
      <w:u w:val="single"/>
    </w:rPr>
  </w:style>
  <w:style w:type="paragraph" w:styleId="Lijstopsomteken">
    <w:name w:val="List Bullet"/>
    <w:basedOn w:val="000"/>
    <w:rsid w:val="0039445F"/>
    <w:pPr>
      <w:numPr>
        <w:numId w:val="15"/>
      </w:numPr>
    </w:pPr>
  </w:style>
  <w:style w:type="paragraph" w:styleId="Lijstopsomteken2">
    <w:name w:val="List Bullet 2"/>
    <w:basedOn w:val="000"/>
    <w:rsid w:val="0039445F"/>
    <w:pPr>
      <w:numPr>
        <w:numId w:val="17"/>
      </w:numPr>
    </w:pPr>
  </w:style>
  <w:style w:type="paragraph" w:styleId="Lijstopsomteken3">
    <w:name w:val="List Bullet 3"/>
    <w:basedOn w:val="000"/>
    <w:rsid w:val="0039445F"/>
    <w:pPr>
      <w:numPr>
        <w:numId w:val="19"/>
      </w:numPr>
    </w:pPr>
  </w:style>
  <w:style w:type="paragraph" w:styleId="Lijstnummering">
    <w:name w:val="List Number"/>
    <w:basedOn w:val="000"/>
    <w:rsid w:val="0039445F"/>
    <w:pPr>
      <w:numPr>
        <w:numId w:val="21"/>
      </w:numPr>
    </w:pPr>
  </w:style>
  <w:style w:type="character" w:styleId="Paginanummer">
    <w:name w:val="page number"/>
    <w:basedOn w:val="Standaardalinea-lettertype"/>
    <w:rsid w:val="0039445F"/>
    <w:rPr>
      <w:sz w:val="24"/>
      <w:lang w:val="nl-NL"/>
    </w:rPr>
  </w:style>
  <w:style w:type="paragraph" w:styleId="Inhopg1">
    <w:name w:val="toc 1"/>
    <w:basedOn w:val="Standaard"/>
    <w:next w:val="Standaard"/>
    <w:uiPriority w:val="39"/>
    <w:rsid w:val="0039445F"/>
    <w:pPr>
      <w:tabs>
        <w:tab w:val="right" w:pos="9378"/>
      </w:tabs>
      <w:spacing w:before="280"/>
      <w:ind w:left="720" w:hanging="720"/>
    </w:pPr>
    <w:rPr>
      <w:b/>
    </w:rPr>
  </w:style>
  <w:style w:type="paragraph" w:styleId="Inhopg3">
    <w:name w:val="toc 3"/>
    <w:basedOn w:val="Standaard"/>
    <w:next w:val="Standaard"/>
    <w:autoRedefine/>
    <w:semiHidden/>
    <w:rsid w:val="0039445F"/>
    <w:pPr>
      <w:ind w:left="480"/>
    </w:pPr>
  </w:style>
  <w:style w:type="paragraph" w:styleId="Inhopg4">
    <w:name w:val="toc 4"/>
    <w:basedOn w:val="Standaard"/>
    <w:next w:val="Standaard"/>
    <w:autoRedefine/>
    <w:semiHidden/>
    <w:rsid w:val="0039445F"/>
    <w:pPr>
      <w:ind w:left="720"/>
    </w:pPr>
  </w:style>
  <w:style w:type="paragraph" w:styleId="Inhopg5">
    <w:name w:val="toc 5"/>
    <w:basedOn w:val="Standaard"/>
    <w:next w:val="Standaard"/>
    <w:autoRedefine/>
    <w:semiHidden/>
    <w:rsid w:val="0039445F"/>
    <w:pPr>
      <w:ind w:left="960"/>
    </w:pPr>
  </w:style>
  <w:style w:type="paragraph" w:styleId="Inhopg6">
    <w:name w:val="toc 6"/>
    <w:basedOn w:val="Standaard"/>
    <w:next w:val="Standaard"/>
    <w:autoRedefine/>
    <w:semiHidden/>
    <w:rsid w:val="0039445F"/>
    <w:pPr>
      <w:ind w:left="1200"/>
    </w:pPr>
  </w:style>
  <w:style w:type="paragraph" w:styleId="Inhopg7">
    <w:name w:val="toc 7"/>
    <w:basedOn w:val="Standaard"/>
    <w:next w:val="Standaard"/>
    <w:autoRedefine/>
    <w:semiHidden/>
    <w:rsid w:val="0039445F"/>
    <w:pPr>
      <w:ind w:left="1440"/>
    </w:pPr>
  </w:style>
  <w:style w:type="paragraph" w:styleId="Inhopg8">
    <w:name w:val="toc 8"/>
    <w:basedOn w:val="Standaard"/>
    <w:next w:val="Standaard"/>
    <w:autoRedefine/>
    <w:semiHidden/>
    <w:rsid w:val="0039445F"/>
    <w:pPr>
      <w:ind w:left="1680"/>
    </w:pPr>
  </w:style>
  <w:style w:type="paragraph" w:styleId="Inhopg9">
    <w:name w:val="toc 9"/>
    <w:basedOn w:val="Standaard"/>
    <w:next w:val="Standaard"/>
    <w:autoRedefine/>
    <w:semiHidden/>
    <w:rsid w:val="0039445F"/>
    <w:pPr>
      <w:ind w:left="1920"/>
    </w:pPr>
  </w:style>
  <w:style w:type="paragraph" w:styleId="Lijstalinea">
    <w:name w:val="List Paragraph"/>
    <w:basedOn w:val="Standaard"/>
    <w:uiPriority w:val="99"/>
    <w:qFormat/>
    <w:rsid w:val="00AD44A2"/>
    <w:pPr>
      <w:overflowPunct/>
      <w:autoSpaceDE/>
      <w:autoSpaceDN/>
      <w:adjustRightInd/>
      <w:spacing w:line="240" w:lineRule="auto"/>
      <w:ind w:left="720"/>
      <w:contextualSpacing/>
      <w:textAlignment w:val="auto"/>
    </w:pPr>
    <w:rPr>
      <w:rFonts w:ascii="Times New Roman" w:hAnsi="Times New Roman"/>
      <w:sz w:val="24"/>
      <w:szCs w:val="24"/>
      <w:lang w:eastAsia="nl-NL"/>
    </w:rPr>
  </w:style>
  <w:style w:type="character" w:styleId="Tekstvantijdelijkeaanduiding">
    <w:name w:val="Placeholder Text"/>
    <w:basedOn w:val="Standaardalinea-lettertype"/>
    <w:uiPriority w:val="99"/>
    <w:semiHidden/>
    <w:rsid w:val="0017494B"/>
    <w:rPr>
      <w:color w:val="808080"/>
    </w:rPr>
  </w:style>
  <w:style w:type="table" w:styleId="Tabelraster">
    <w:name w:val="Table Grid"/>
    <w:basedOn w:val="Standaardtabel"/>
    <w:rsid w:val="006E2D2A"/>
    <w:pPr>
      <w:overflowPunct w:val="0"/>
      <w:autoSpaceDE w:val="0"/>
      <w:autoSpaceDN w:val="0"/>
      <w:adjustRightInd w:val="0"/>
      <w:spacing w:after="0" w:line="260" w:lineRule="atLeast"/>
      <w:textAlignment w:val="baseline"/>
    </w:pPr>
    <w:rPr>
      <w:rFonts w:ascii="New York" w:hAnsi="New York" w:cs="Times New Roman"/>
      <w:sz w:val="20"/>
      <w:szCs w:val="20"/>
      <w:lang w:eastAsia="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title">
    <w:name w:val="Table title"/>
    <w:basedOn w:val="Tabletext"/>
    <w:next w:val="Tabletext"/>
    <w:qFormat/>
    <w:rsid w:val="006E2D2A"/>
    <w:pPr>
      <w:spacing w:before="240" w:after="60"/>
    </w:pPr>
    <w:rPr>
      <w:b/>
      <w:color w:val="808080"/>
      <w:sz w:val="24"/>
      <w:szCs w:val="24"/>
    </w:rPr>
  </w:style>
  <w:style w:type="paragraph" w:customStyle="1" w:styleId="Tableheading1">
    <w:name w:val="Table heading 1"/>
    <w:basedOn w:val="Tabletext"/>
    <w:next w:val="Tabletext"/>
    <w:qFormat/>
    <w:rsid w:val="006E2D2A"/>
    <w:pPr>
      <w:keepNext/>
      <w:spacing w:line="240" w:lineRule="auto"/>
    </w:pPr>
    <w:rPr>
      <w:b/>
    </w:rPr>
  </w:style>
  <w:style w:type="paragraph" w:customStyle="1" w:styleId="Tabletext">
    <w:name w:val="Table text"/>
    <w:basedOn w:val="000"/>
    <w:qFormat/>
    <w:rsid w:val="006E2D2A"/>
    <w:rPr>
      <w:rFonts w:cs="Arial"/>
      <w:sz w:val="20"/>
    </w:rPr>
  </w:style>
  <w:style w:type="paragraph" w:styleId="Normaalweb">
    <w:name w:val="Normal (Web)"/>
    <w:basedOn w:val="Standaard"/>
    <w:uiPriority w:val="99"/>
    <w:semiHidden/>
    <w:unhideWhenUsed/>
    <w:rsid w:val="00413F7A"/>
    <w:rPr>
      <w:rFonts w:ascii="Times New Roman" w:hAnsi="Times New Roman"/>
      <w:sz w:val="24"/>
      <w:szCs w:val="24"/>
    </w:rPr>
  </w:style>
  <w:style w:type="paragraph" w:styleId="Kopvaninhoudsopgave">
    <w:name w:val="TOC Heading"/>
    <w:basedOn w:val="Kop1"/>
    <w:next w:val="Standaard"/>
    <w:uiPriority w:val="39"/>
    <w:semiHidden/>
    <w:unhideWhenUsed/>
    <w:qFormat/>
    <w:rsid w:val="004A290D"/>
    <w:pPr>
      <w:keepLines/>
      <w:numPr>
        <w:numId w:val="0"/>
      </w:numPr>
      <w:overflowPunct/>
      <w:autoSpaceDE/>
      <w:autoSpaceDN/>
      <w:adjustRightInd/>
      <w:spacing w:before="480" w:after="0" w:line="276" w:lineRule="auto"/>
      <w:textAlignment w:val="auto"/>
      <w:outlineLvl w:val="9"/>
    </w:pPr>
    <w:rPr>
      <w:rFonts w:asciiTheme="majorHAnsi" w:eastAsiaTheme="majorEastAsia" w:hAnsiTheme="majorHAnsi" w:cstheme="majorBidi"/>
      <w:bCs/>
      <w:color w:val="365F91" w:themeColor="accent1" w:themeShade="BF"/>
      <w:szCs w:val="28"/>
      <w:lang w:val="en-US"/>
    </w:rPr>
  </w:style>
  <w:style w:type="paragraph" w:customStyle="1" w:styleId="Sourcetext">
    <w:name w:val="Source text"/>
    <w:basedOn w:val="Tabletext"/>
    <w:qFormat/>
    <w:rsid w:val="00151332"/>
    <w:rPr>
      <w:color w:val="808080"/>
      <w:sz w:val="18"/>
      <w:szCs w:val="18"/>
    </w:rPr>
  </w:style>
  <w:style w:type="paragraph" w:customStyle="1" w:styleId="Tableheading2">
    <w:name w:val="Table heading 2"/>
    <w:basedOn w:val="000"/>
    <w:next w:val="Tabletext"/>
    <w:qFormat/>
    <w:rsid w:val="00151332"/>
    <w:pPr>
      <w:keepNext/>
      <w:spacing w:line="240" w:lineRule="auto"/>
    </w:pPr>
    <w:rPr>
      <w:rFonts w:cs="Arial"/>
      <w:b/>
      <w:i/>
      <w:sz w:val="20"/>
      <w:szCs w:val="22"/>
    </w:rPr>
  </w:style>
  <w:style w:type="paragraph" w:customStyle="1" w:styleId="Tableheading3">
    <w:name w:val="Table heading 3"/>
    <w:basedOn w:val="Tabletext"/>
    <w:next w:val="Tabletext"/>
    <w:qFormat/>
    <w:rsid w:val="00151332"/>
    <w:pPr>
      <w:keepNext/>
      <w:spacing w:line="240" w:lineRule="auto"/>
    </w:pPr>
  </w:style>
  <w:style w:type="paragraph" w:customStyle="1" w:styleId="ListBulletTable">
    <w:name w:val="List Bullet Table"/>
    <w:basedOn w:val="000"/>
    <w:qFormat/>
    <w:rsid w:val="00151332"/>
    <w:pPr>
      <w:numPr>
        <w:numId w:val="28"/>
      </w:numPr>
      <w:tabs>
        <w:tab w:val="left" w:pos="283"/>
      </w:tabs>
      <w:ind w:hanging="283"/>
    </w:pPr>
    <w:rPr>
      <w:rFonts w:cs="Arial"/>
      <w:sz w:val="20"/>
    </w:rPr>
  </w:style>
  <w:style w:type="paragraph" w:customStyle="1" w:styleId="ListBulletTable2">
    <w:name w:val="List Bullet Table 2"/>
    <w:basedOn w:val="ListBulletTable"/>
    <w:qFormat/>
    <w:rsid w:val="00151332"/>
    <w:pPr>
      <w:numPr>
        <w:numId w:val="29"/>
      </w:numPr>
      <w:tabs>
        <w:tab w:val="clear" w:pos="852"/>
        <w:tab w:val="left" w:pos="283"/>
        <w:tab w:val="left" w:pos="567"/>
      </w:tabs>
      <w:ind w:left="567" w:hanging="283"/>
    </w:pPr>
  </w:style>
  <w:style w:type="paragraph" w:customStyle="1" w:styleId="ListNumberTable">
    <w:name w:val="List Number Table"/>
    <w:basedOn w:val="Tabletext"/>
    <w:qFormat/>
    <w:rsid w:val="00151332"/>
    <w:pPr>
      <w:numPr>
        <w:numId w:val="27"/>
      </w:numPr>
      <w:tabs>
        <w:tab w:val="clear" w:pos="567"/>
        <w:tab w:val="left" w:pos="284"/>
      </w:tabs>
      <w:spacing w:line="240" w:lineRule="auto"/>
      <w:ind w:left="284" w:hanging="284"/>
    </w:pPr>
  </w:style>
  <w:style w:type="paragraph" w:customStyle="1" w:styleId="Tablenumber">
    <w:name w:val="Table number"/>
    <w:basedOn w:val="Tabletext"/>
    <w:qFormat/>
    <w:rsid w:val="00151332"/>
    <w:pPr>
      <w:jc w:val="right"/>
    </w:pPr>
  </w:style>
  <w:style w:type="paragraph" w:styleId="Bibliografie">
    <w:name w:val="Bibliography"/>
    <w:basedOn w:val="Standaard"/>
    <w:next w:val="Standaard"/>
    <w:uiPriority w:val="37"/>
    <w:unhideWhenUsed/>
    <w:rsid w:val="00580AD4"/>
  </w:style>
</w:styles>
</file>

<file path=word/webSettings.xml><?xml version="1.0" encoding="utf-8"?>
<w:webSettings xmlns:r="http://schemas.openxmlformats.org/officeDocument/2006/relationships" xmlns:w="http://schemas.openxmlformats.org/wordprocessingml/2006/main">
  <w:divs>
    <w:div w:id="97919384">
      <w:bodyDiv w:val="1"/>
      <w:marLeft w:val="0"/>
      <w:marRight w:val="0"/>
      <w:marTop w:val="0"/>
      <w:marBottom w:val="0"/>
      <w:divBdr>
        <w:top w:val="none" w:sz="0" w:space="0" w:color="auto"/>
        <w:left w:val="none" w:sz="0" w:space="0" w:color="auto"/>
        <w:bottom w:val="none" w:sz="0" w:space="0" w:color="auto"/>
        <w:right w:val="none" w:sz="0" w:space="0" w:color="auto"/>
      </w:divBdr>
    </w:div>
    <w:div w:id="739640204">
      <w:bodyDiv w:val="1"/>
      <w:marLeft w:val="0"/>
      <w:marRight w:val="0"/>
      <w:marTop w:val="0"/>
      <w:marBottom w:val="0"/>
      <w:divBdr>
        <w:top w:val="none" w:sz="0" w:space="0" w:color="auto"/>
        <w:left w:val="none" w:sz="0" w:space="0" w:color="auto"/>
        <w:bottom w:val="none" w:sz="0" w:space="0" w:color="auto"/>
        <w:right w:val="none" w:sz="0" w:space="0" w:color="auto"/>
      </w:divBdr>
      <w:divsChild>
        <w:div w:id="1891109826">
          <w:marLeft w:val="0"/>
          <w:marRight w:val="0"/>
          <w:marTop w:val="0"/>
          <w:marBottom w:val="0"/>
          <w:divBdr>
            <w:top w:val="none" w:sz="0" w:space="0" w:color="auto"/>
            <w:left w:val="none" w:sz="0" w:space="0" w:color="auto"/>
            <w:bottom w:val="none" w:sz="0" w:space="0" w:color="auto"/>
            <w:right w:val="none" w:sz="0" w:space="0" w:color="auto"/>
          </w:divBdr>
          <w:divsChild>
            <w:div w:id="1308900266">
              <w:marLeft w:val="0"/>
              <w:marRight w:val="0"/>
              <w:marTop w:val="0"/>
              <w:marBottom w:val="0"/>
              <w:divBdr>
                <w:top w:val="none" w:sz="0" w:space="0" w:color="auto"/>
                <w:left w:val="none" w:sz="0" w:space="0" w:color="auto"/>
                <w:bottom w:val="none" w:sz="0" w:space="0" w:color="auto"/>
                <w:right w:val="none" w:sz="0" w:space="0" w:color="auto"/>
              </w:divBdr>
              <w:divsChild>
                <w:div w:id="2024478917">
                  <w:marLeft w:val="0"/>
                  <w:marRight w:val="0"/>
                  <w:marTop w:val="0"/>
                  <w:marBottom w:val="0"/>
                  <w:divBdr>
                    <w:top w:val="none" w:sz="0" w:space="0" w:color="auto"/>
                    <w:left w:val="none" w:sz="0" w:space="0" w:color="auto"/>
                    <w:bottom w:val="none" w:sz="0" w:space="0" w:color="auto"/>
                    <w:right w:val="none" w:sz="0" w:space="0" w:color="auto"/>
                  </w:divBdr>
                  <w:divsChild>
                    <w:div w:id="1110590265">
                      <w:marLeft w:val="0"/>
                      <w:marRight w:val="0"/>
                      <w:marTop w:val="0"/>
                      <w:marBottom w:val="0"/>
                      <w:divBdr>
                        <w:top w:val="none" w:sz="0" w:space="0" w:color="auto"/>
                        <w:left w:val="none" w:sz="0" w:space="0" w:color="auto"/>
                        <w:bottom w:val="none" w:sz="0" w:space="0" w:color="auto"/>
                        <w:right w:val="none" w:sz="0" w:space="0" w:color="auto"/>
                      </w:divBdr>
                      <w:divsChild>
                        <w:div w:id="1356730441">
                          <w:marLeft w:val="0"/>
                          <w:marRight w:val="0"/>
                          <w:marTop w:val="0"/>
                          <w:marBottom w:val="0"/>
                          <w:divBdr>
                            <w:top w:val="none" w:sz="0" w:space="0" w:color="auto"/>
                            <w:left w:val="none" w:sz="0" w:space="0" w:color="auto"/>
                            <w:bottom w:val="none" w:sz="0" w:space="0" w:color="auto"/>
                            <w:right w:val="none" w:sz="0" w:space="0" w:color="auto"/>
                          </w:divBdr>
                          <w:divsChild>
                            <w:div w:id="1728338739">
                              <w:marLeft w:val="0"/>
                              <w:marRight w:val="0"/>
                              <w:marTop w:val="0"/>
                              <w:marBottom w:val="0"/>
                              <w:divBdr>
                                <w:top w:val="none" w:sz="0" w:space="0" w:color="auto"/>
                                <w:left w:val="none" w:sz="0" w:space="0" w:color="auto"/>
                                <w:bottom w:val="none" w:sz="0" w:space="0" w:color="auto"/>
                                <w:right w:val="none" w:sz="0" w:space="0" w:color="auto"/>
                              </w:divBdr>
                              <w:divsChild>
                                <w:div w:id="1117797853">
                                  <w:marLeft w:val="0"/>
                                  <w:marRight w:val="0"/>
                                  <w:marTop w:val="0"/>
                                  <w:marBottom w:val="0"/>
                                  <w:divBdr>
                                    <w:top w:val="single" w:sz="6" w:space="0" w:color="F5F5F5"/>
                                    <w:left w:val="single" w:sz="6" w:space="0" w:color="F5F5F5"/>
                                    <w:bottom w:val="single" w:sz="6" w:space="0" w:color="F5F5F5"/>
                                    <w:right w:val="single" w:sz="6" w:space="0" w:color="F5F5F5"/>
                                  </w:divBdr>
                                  <w:divsChild>
                                    <w:div w:id="21976512">
                                      <w:marLeft w:val="0"/>
                                      <w:marRight w:val="0"/>
                                      <w:marTop w:val="0"/>
                                      <w:marBottom w:val="0"/>
                                      <w:divBdr>
                                        <w:top w:val="none" w:sz="0" w:space="0" w:color="auto"/>
                                        <w:left w:val="none" w:sz="0" w:space="0" w:color="auto"/>
                                        <w:bottom w:val="none" w:sz="0" w:space="0" w:color="auto"/>
                                        <w:right w:val="none" w:sz="0" w:space="0" w:color="auto"/>
                                      </w:divBdr>
                                      <w:divsChild>
                                        <w:div w:id="656029603">
                                          <w:marLeft w:val="0"/>
                                          <w:marRight w:val="0"/>
                                          <w:marTop w:val="0"/>
                                          <w:marBottom w:val="0"/>
                                          <w:divBdr>
                                            <w:top w:val="none" w:sz="0" w:space="0" w:color="auto"/>
                                            <w:left w:val="none" w:sz="0" w:space="0" w:color="auto"/>
                                            <w:bottom w:val="none" w:sz="0" w:space="0" w:color="auto"/>
                                            <w:right w:val="none" w:sz="0" w:space="0" w:color="auto"/>
                                          </w:divBdr>
                                          <w:divsChild>
                                            <w:div w:id="5293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44979833">
      <w:bodyDiv w:val="1"/>
      <w:marLeft w:val="0"/>
      <w:marRight w:val="0"/>
      <w:marTop w:val="0"/>
      <w:marBottom w:val="0"/>
      <w:divBdr>
        <w:top w:val="none" w:sz="0" w:space="0" w:color="auto"/>
        <w:left w:val="none" w:sz="0" w:space="0" w:color="auto"/>
        <w:bottom w:val="none" w:sz="0" w:space="0" w:color="auto"/>
        <w:right w:val="none" w:sz="0" w:space="0" w:color="auto"/>
      </w:divBdr>
      <w:divsChild>
        <w:div w:id="1589196271">
          <w:marLeft w:val="0"/>
          <w:marRight w:val="0"/>
          <w:marTop w:val="0"/>
          <w:marBottom w:val="0"/>
          <w:divBdr>
            <w:top w:val="none" w:sz="0" w:space="0" w:color="auto"/>
            <w:left w:val="none" w:sz="0" w:space="0" w:color="auto"/>
            <w:bottom w:val="none" w:sz="0" w:space="0" w:color="auto"/>
            <w:right w:val="none" w:sz="0" w:space="0" w:color="auto"/>
          </w:divBdr>
        </w:div>
      </w:divsChild>
    </w:div>
    <w:div w:id="961110667">
      <w:bodyDiv w:val="1"/>
      <w:marLeft w:val="0"/>
      <w:marRight w:val="0"/>
      <w:marTop w:val="0"/>
      <w:marBottom w:val="0"/>
      <w:divBdr>
        <w:top w:val="none" w:sz="0" w:space="0" w:color="auto"/>
        <w:left w:val="none" w:sz="0" w:space="0" w:color="auto"/>
        <w:bottom w:val="none" w:sz="0" w:space="0" w:color="auto"/>
        <w:right w:val="none" w:sz="0" w:space="0" w:color="auto"/>
      </w:divBdr>
      <w:divsChild>
        <w:div w:id="1778017882">
          <w:marLeft w:val="547"/>
          <w:marRight w:val="0"/>
          <w:marTop w:val="154"/>
          <w:marBottom w:val="0"/>
          <w:divBdr>
            <w:top w:val="none" w:sz="0" w:space="0" w:color="auto"/>
            <w:left w:val="none" w:sz="0" w:space="0" w:color="auto"/>
            <w:bottom w:val="none" w:sz="0" w:space="0" w:color="auto"/>
            <w:right w:val="none" w:sz="0" w:space="0" w:color="auto"/>
          </w:divBdr>
        </w:div>
      </w:divsChild>
    </w:div>
    <w:div w:id="1539774718">
      <w:bodyDiv w:val="1"/>
      <w:marLeft w:val="0"/>
      <w:marRight w:val="0"/>
      <w:marTop w:val="0"/>
      <w:marBottom w:val="0"/>
      <w:divBdr>
        <w:top w:val="none" w:sz="0" w:space="0" w:color="auto"/>
        <w:left w:val="none" w:sz="0" w:space="0" w:color="auto"/>
        <w:bottom w:val="none" w:sz="0" w:space="0" w:color="auto"/>
        <w:right w:val="none" w:sz="0" w:space="0" w:color="auto"/>
      </w:divBdr>
    </w:div>
    <w:div w:id="1753968518">
      <w:bodyDiv w:val="1"/>
      <w:marLeft w:val="0"/>
      <w:marRight w:val="0"/>
      <w:marTop w:val="0"/>
      <w:marBottom w:val="0"/>
      <w:divBdr>
        <w:top w:val="none" w:sz="0" w:space="0" w:color="auto"/>
        <w:left w:val="none" w:sz="0" w:space="0" w:color="auto"/>
        <w:bottom w:val="none" w:sz="0" w:space="0" w:color="auto"/>
        <w:right w:val="none" w:sz="0" w:space="0" w:color="auto"/>
      </w:divBdr>
    </w:div>
    <w:div w:id="2048604500">
      <w:bodyDiv w:val="1"/>
      <w:marLeft w:val="0"/>
      <w:marRight w:val="0"/>
      <w:marTop w:val="0"/>
      <w:marBottom w:val="0"/>
      <w:divBdr>
        <w:top w:val="none" w:sz="0" w:space="0" w:color="auto"/>
        <w:left w:val="none" w:sz="0" w:space="0" w:color="auto"/>
        <w:bottom w:val="none" w:sz="0" w:space="0" w:color="auto"/>
        <w:right w:val="none" w:sz="0" w:space="0" w:color="auto"/>
      </w:divBdr>
      <w:divsChild>
        <w:div w:id="4523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usinessdictionary.com/definition/person.html" TargetMode="External"/><Relationship Id="rId13" Type="http://schemas.openxmlformats.org/officeDocument/2006/relationships/hyperlink" Target="http://www.businessdictionary.com/definition/policy.html" TargetMode="External"/><Relationship Id="rId18" Type="http://schemas.openxmlformats.org/officeDocument/2006/relationships/hyperlink" Target="http://www.businessdictionary.com/definition/employee.html" TargetMode="External"/><Relationship Id="rId26" Type="http://schemas.openxmlformats.org/officeDocument/2006/relationships/hyperlink" Target="http://www.businessdictionary.com/definition/resource.html" TargetMode="External"/><Relationship Id="rId39"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hyperlink" Target="http://www.businessdictionary.com/definition/shareholder.html" TargetMode="External"/><Relationship Id="rId34"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www.businessdictionary.com/definition/objective.html" TargetMode="External"/><Relationship Id="rId17" Type="http://schemas.openxmlformats.org/officeDocument/2006/relationships/hyperlink" Target="http://www.businessdictionary.com/definition/director.html" TargetMode="External"/><Relationship Id="rId25" Type="http://schemas.openxmlformats.org/officeDocument/2006/relationships/hyperlink" Target="http://www.businessdictionary.com/definition/draw.html" TargetMode="External"/><Relationship Id="rId33" Type="http://schemas.openxmlformats.org/officeDocument/2006/relationships/image" Target="media/image6.png"/><Relationship Id="rId38"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hyperlink" Target="http://www.businessdictionary.com/definition/customer.html" TargetMode="External"/><Relationship Id="rId20" Type="http://schemas.openxmlformats.org/officeDocument/2006/relationships/hyperlink" Target="http://www.businessdictionary.com/definition/agency.html" TargetMode="External"/><Relationship Id="rId29" Type="http://schemas.openxmlformats.org/officeDocument/2006/relationships/image" Target="media/image2.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sinessdictionary.com/definition/action.html" TargetMode="External"/><Relationship Id="rId24" Type="http://schemas.openxmlformats.org/officeDocument/2006/relationships/hyperlink" Target="http://www.businessdictionary.com/definition/community.html" TargetMode="External"/><Relationship Id="rId32" Type="http://schemas.openxmlformats.org/officeDocument/2006/relationships/image" Target="media/image5.png"/><Relationship Id="rId37" Type="http://schemas.openxmlformats.org/officeDocument/2006/relationships/image" Target="media/image10.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businessdictionary.com/definition/creditor.html" TargetMode="External"/><Relationship Id="rId23" Type="http://schemas.openxmlformats.org/officeDocument/2006/relationships/hyperlink" Target="http://www.businessdictionary.com/definition/union.html" TargetMode="External"/><Relationship Id="rId28" Type="http://schemas.openxmlformats.org/officeDocument/2006/relationships/image" Target="media/image1.png"/><Relationship Id="rId36" Type="http://schemas.openxmlformats.org/officeDocument/2006/relationships/image" Target="media/image9.png"/><Relationship Id="rId10" Type="http://schemas.openxmlformats.org/officeDocument/2006/relationships/hyperlink" Target="http://www.businessdictionary.com/definition/organization.html" TargetMode="External"/><Relationship Id="rId19" Type="http://schemas.openxmlformats.org/officeDocument/2006/relationships/hyperlink" Target="http://www.businessdictionary.com/definition/government.html" TargetMode="External"/><Relationship Id="rId31"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www.businessdictionary.com/definition/group.html" TargetMode="External"/><Relationship Id="rId14" Type="http://schemas.openxmlformats.org/officeDocument/2006/relationships/hyperlink" Target="http://www.businessdictionary.com/definition/business.html" TargetMode="External"/><Relationship Id="rId22" Type="http://schemas.openxmlformats.org/officeDocument/2006/relationships/hyperlink" Target="http://www.businessdictionary.com/definition/supplier.html" TargetMode="External"/><Relationship Id="rId27" Type="http://schemas.openxmlformats.org/officeDocument/2006/relationships/footer" Target="footer1.xml"/><Relationship Id="rId30" Type="http://schemas.openxmlformats.org/officeDocument/2006/relationships/image" Target="media/image3.png"/><Relationship Id="rId35" Type="http://schemas.openxmlformats.org/officeDocument/2006/relationships/image" Target="media/image8.png"/></Relationships>
</file>

<file path=word/_rels/footnotes.xml.rels><?xml version="1.0" encoding="UTF-8" standalone="yes"?>
<Relationships xmlns="http://schemas.openxmlformats.org/package/2006/relationships"><Relationship Id="rId1" Type="http://schemas.openxmlformats.org/officeDocument/2006/relationships/hyperlink" Target="http://www.businessdictionary.com/definition/stakeholde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Fre92</b:Tag>
    <b:SourceType>JournalArticle</b:SourceType>
    <b:Guid>{7DBE8973-AEDE-4A1D-A443-0ED22C37E367}</b:Guid>
    <b:LCID>0</b:LCID>
    <b:Author>
      <b:Author>
        <b:NameList>
          <b:Person>
            <b:Last>Freeman</b:Last>
            <b:First>R.</b:First>
          </b:Person>
          <b:Person>
            <b:Last>Tse</b:Last>
            <b:First>S.</b:First>
          </b:Person>
        </b:NameList>
      </b:Author>
    </b:Author>
    <b:Title>An earnings prediction approach to examining intercompany information transfers</b:Title>
    <b:JournalName>Journal of Accounting Research 15 (4)</b:JournalName>
    <b:Year>1992</b:Year>
    <b:Pages>509-523</b:Pages>
    <b:RefOrder>1</b:RefOrder>
  </b:Source>
  <b:Source>
    <b:Tag>Fos81</b:Tag>
    <b:SourceType>JournalArticle</b:SourceType>
    <b:Guid>{A5C2C89B-B98A-4030-A1A2-4EB2781740EA}</b:Guid>
    <b:LCID>0</b:LCID>
    <b:Author>
      <b:Author>
        <b:NameList>
          <b:Person>
            <b:Last>Foster</b:Last>
            <b:First>G.</b:First>
          </b:Person>
        </b:NameList>
      </b:Author>
    </b:Author>
    <b:Title>Intra-industry information transfers associated with earnings releases</b:Title>
    <b:JournalName>Journal of Accounting and Economics 3 (3)</b:JournalName>
    <b:Year>1981</b:Year>
    <b:Pages>201-232</b:Pages>
    <b:RefOrder>2</b:RefOrder>
  </b:Source>
  <b:Source>
    <b:Tag>Lan02</b:Tag>
    <b:SourceType>JournalArticle</b:SourceType>
    <b:Guid>{905D2242-1667-4C1F-B271-A7D6F7320392}</b:Guid>
    <b:LCID>0</b:LCID>
    <b:Author>
      <b:Author>
        <b:NameList>
          <b:Person>
            <b:Last>Landsman</b:Last>
            <b:First>W.</b:First>
            <b:Middle>R.</b:Middle>
          </b:Person>
          <b:Person>
            <b:Last>Maydew</b:Last>
            <b:First>E.</b:First>
            <b:Middle>L.</b:Middle>
          </b:Person>
        </b:NameList>
      </b:Author>
    </b:Author>
    <b:Title>Has the information content of quarterly earnings announcements declined in the past three decades?</b:Title>
    <b:JournalName>Journal of Accounting Research 40 (3)</b:JournalName>
    <b:Year>2002</b:Year>
    <b:Pages>797-808</b:Pages>
    <b:RefOrder>3</b:RefOrder>
  </b:Source>
  <b:Source>
    <b:Tag>Lan11</b:Tag>
    <b:SourceType>JournalArticle</b:SourceType>
    <b:Guid>{3AC8050B-30A8-402C-8733-AF06D9E8CE2C}</b:Guid>
    <b:LCID>0</b:LCID>
    <b:Author>
      <b:Author>
        <b:NameList>
          <b:Person>
            <b:Last>Landsman</b:Last>
            <b:First>W.</b:First>
            <b:Middle>R.</b:Middle>
          </b:Person>
          <b:Person>
            <b:Last>Maydew</b:Last>
            <b:First>E.</b:First>
            <b:Middle>L.</b:Middle>
          </b:Person>
          <b:Person>
            <b:Last>Thornock</b:Last>
            <b:First>J.</b:First>
            <b:Middle>R.</b:Middle>
          </b:Person>
        </b:NameList>
      </b:Author>
    </b:Author>
    <b:Title>The information content of annual earnings announcements and mandatory adoption of IFRS</b:Title>
    <b:JournalName>Journal of Accounting and Economics 53</b:JournalName>
    <b:Year>2011</b:Year>
    <b:Pages>34-54</b:Pages>
    <b:RefOrder>4</b:RefOrder>
  </b:Source>
  <b:Source>
    <b:Tag>Lau98</b:Tag>
    <b:SourceType>JournalArticle</b:SourceType>
    <b:Guid>{AEC9FCC7-6D8D-4545-A62D-7FBD02EF5A6F}</b:Guid>
    <b:LCID>0</b:LCID>
    <b:Author>
      <b:Author>
        <b:NameList>
          <b:Person>
            <b:Last>Laux</b:Last>
            <b:First>P.</b:First>
          </b:Person>
          <b:Person>
            <b:Last>Starks</b:Last>
            <b:First>L.</b:First>
          </b:Person>
          <b:Person>
            <b:Last>Yoon</b:Last>
            <b:First>P.</b:First>
          </b:Person>
        </b:NameList>
      </b:Author>
    </b:Author>
    <b:Title>The relative importance of competition and contagion in intra-industry information transfers: an investigation of dividend announcements</b:Title>
    <b:JournalName>Financial management 27</b:JournalName>
    <b:Year>1998</b:Year>
    <b:Pages>5-16</b:Pages>
    <b:RefOrder>5</b:RefOrder>
  </b:Source>
  <b:Source>
    <b:Tag>Han89</b:Tag>
    <b:SourceType>JournalArticle</b:SourceType>
    <b:Guid>{40C8C87A-33BF-42DE-AE78-A901DE60D14B}</b:Guid>
    <b:LCID>0</b:LCID>
    <b:Author>
      <b:Author>
        <b:NameList>
          <b:Person>
            <b:Last>Han</b:Last>
            <b:First>J.</b:First>
          </b:Person>
          <b:Person>
            <b:Last>Wild</b:Last>
            <b:First>J.</b:First>
          </b:Person>
          <b:Person>
            <b:Last>Ramesh</b:Last>
            <b:First>K.</b:First>
          </b:Person>
        </b:NameList>
      </b:Author>
    </b:Author>
    <b:Title>Managers' earnings forecasts and intra-industry information transfers.</b:Title>
    <b:JournalName>Journal of Accounting and Economics 11</b:JournalName>
    <b:Year>1989</b:Year>
    <b:Pages>3-33</b:Pages>
    <b:RefOrder>6</b:RefOrder>
  </b:Source>
  <b:Source>
    <b:Tag>Ram02</b:Tag>
    <b:SourceType>JournalArticle</b:SourceType>
    <b:Guid>{8FBE6778-1AA3-4585-AE00-EA2E1BBD245F}</b:Guid>
    <b:LCID>0</b:LCID>
    <b:Author>
      <b:Author>
        <b:NameList>
          <b:Person>
            <b:Last>Ramnath</b:Last>
            <b:First>S.</b:First>
          </b:Person>
        </b:NameList>
      </b:Author>
    </b:Author>
    <b:Title>Investor and analyst reactions to earnings announcemetns of related firms: An empirical analysis. </b:Title>
    <b:JournalName>Journal of Accounting Research 40 (5)</b:JournalName>
    <b:Year>2002</b:Year>
    <b:Pages>1351-1376</b:Pages>
    <b:RefOrder>7</b:RefOrder>
  </b:Source>
  <b:Source>
    <b:Tag>Tho08</b:Tag>
    <b:SourceType>JournalArticle</b:SourceType>
    <b:Guid>{EF7E0F8B-780F-4632-84B2-383ACED9AA07}</b:Guid>
    <b:LCID>0</b:LCID>
    <b:Author>
      <b:Author>
        <b:NameList>
          <b:Person>
            <b:Last>Thomas</b:Last>
            <b:First>J.</b:First>
          </b:Person>
          <b:Person>
            <b:Last>Zhang</b:Last>
            <b:First>F.</b:First>
          </b:Person>
        </b:NameList>
      </b:Author>
    </b:Author>
    <b:Title>Overreaction to intra-industry information transfers?</b:Title>
    <b:JournalName>Journal of Accounting Researhc 46 (4)</b:JournalName>
    <b:Year>2008</b:Year>
    <b:Pages>909-949</b:Pages>
    <b:RefOrder>8</b:RefOrder>
  </b:Source>
  <b:Source>
    <b:Tag>Bal06</b:Tag>
    <b:SourceType>Report</b:SourceType>
    <b:Guid>{5F73B45D-2D4D-4C53-8EC4-232387342F0C}</b:Guid>
    <b:LCID>0</b:LCID>
    <b:Author>
      <b:Author>
        <b:NameList>
          <b:Person>
            <b:Last>Ball</b:Last>
            <b:First>R.</b:First>
          </b:Person>
        </b:NameList>
      </b:Author>
    </b:Author>
    <b:Title>International Financial Reporting Standards (IFRS): pros and cons for investors</b:Title>
    <b:Year>2006</b:Year>
    <b:RefOrder>9</b:RefOrder>
  </b:Source>
  <b:Source>
    <b:Tag>Bar08</b:Tag>
    <b:SourceType>JournalArticle</b:SourceType>
    <b:Guid>{81DE3472-5E09-405D-9128-0DE0CB35B774}</b:Guid>
    <b:LCID>0</b:LCID>
    <b:Author>
      <b:Author>
        <b:NameList>
          <b:Person>
            <b:Last>Barth</b:Last>
            <b:First>M.</b:First>
          </b:Person>
          <b:Person>
            <b:Last>Landsman</b:Last>
            <b:First>W.</b:First>
          </b:Person>
          <b:Person>
            <b:Last>Lang</b:Last>
            <b:First>M.</b:First>
          </b:Person>
        </b:NameList>
      </b:Author>
    </b:Author>
    <b:Title>International Accounting Standards and accounting quality</b:Title>
    <b:Year>2008</b:Year>
    <b:JournalName>Journal of Accounting Research 46</b:JournalName>
    <b:Pages>467-498</b:Pages>
    <b:RefOrder>10</b:RefOrder>
  </b:Source>
  <b:Source>
    <b:Tag>Arm10</b:Tag>
    <b:SourceType>JournalArticle</b:SourceType>
    <b:Guid>{022308F7-3D1D-4BC5-AE82-BF3D7EAADE1B}</b:Guid>
    <b:LCID>0</b:LCID>
    <b:Author>
      <b:Author>
        <b:NameList>
          <b:Person>
            <b:Last>Armstrong</b:Last>
            <b:First>C.</b:First>
          </b:Person>
          <b:Person>
            <b:Last>Barth</b:Last>
            <b:First>M.</b:First>
          </b:Person>
          <b:Person>
            <b:Last>Jagolinzer</b:Last>
            <b:First>A.</b:First>
          </b:Person>
          <b:Person>
            <b:Last>Riedl</b:Last>
            <b:First>E.</b:First>
            <b:Middle>J.</b:Middle>
          </b:Person>
        </b:NameList>
      </b:Author>
    </b:Author>
    <b:Title>Market reaction to the adoption of IFRS in Europe</b:Title>
    <b:JournalName>The Accounting Review 85 (1)</b:JournalName>
    <b:Year>2010</b:Year>
    <b:Pages>31-61</b:Pages>
    <b:RefOrder>11</b:RefOrder>
  </b:Source>
  <b:Source>
    <b:Tag>Lan92</b:Tag>
    <b:SourceType>JournalArticle</b:SourceType>
    <b:Guid>{2783FDEA-FA9B-481C-B26D-D88981136319}</b:Guid>
    <b:LCID>0</b:LCID>
    <b:Author>
      <b:Author>
        <b:NameList>
          <b:Person>
            <b:Last>Lang</b:Last>
            <b:First>L.</b:First>
          </b:Person>
          <b:Person>
            <b:Last>Stulz</b:Last>
            <b:First>R.</b:First>
          </b:Person>
        </b:NameList>
      </b:Author>
    </b:Author>
    <b:Title>Contagion and competitive intra-industry effects of bankruptcy announcments</b:Title>
    <b:JournalName>Journal of Financial Economics 32 (1)</b:JournalName>
    <b:Year>1992</b:Year>
    <b:Pages>45-60</b:Pages>
    <b:RefOrder>12</b:RefOrder>
  </b:Source>
  <b:Source>
    <b:Tag>Kim10</b:Tag>
    <b:SourceType>Report</b:SourceType>
    <b:Guid>{94517E45-F553-435D-9E39-CCDF8D95A53E}</b:Guid>
    <b:LCID>0</b:LCID>
    <b:Author>
      <b:Author>
        <b:NameList>
          <b:Person>
            <b:Last>Kim</b:Last>
            <b:First>Y.</b:First>
          </b:Person>
          <b:Person>
            <b:Last>Li</b:Last>
            <b:First>S.</b:First>
          </b:Person>
        </b:NameList>
      </b:Author>
    </b:Author>
    <b:Title>Mandatory IFRS adoption and intra-industry information transfers</b:Title>
    <b:Year>2010</b:Year>
    <b:Publisher>Leavey School of business, Santa Clara University</b:Publisher>
    <b:City>Santa Clara</b:City>
    <b:RefOrder>13</b:RefOrder>
  </b:Source>
  <b:Source>
    <b:Tag>Sod07</b:Tag>
    <b:SourceType>Report</b:SourceType>
    <b:Guid>{8F6369B0-2415-4B2E-8260-65878434422A}</b:Guid>
    <b:LCID>0</b:LCID>
    <b:Author>
      <b:Author>
        <b:NameList>
          <b:Person>
            <b:Last>Soderstrom</b:Last>
            <b:First>S.</b:First>
          </b:Person>
          <b:Person>
            <b:Last>Sun</b:Last>
            <b:First>K.</b:First>
            <b:Middle>J.</b:Middle>
          </b:Person>
        </b:NameList>
      </b:Author>
    </b:Author>
    <b:Title>IFRS adoption and accounting quality: a review</b:Title>
    <b:Year>2007</b:Year>
    <b:RefOrder>14</b:RefOrder>
  </b:Source>
  <b:Source>
    <b:Tag>Hor08</b:Tag>
    <b:SourceType>Report</b:SourceType>
    <b:Guid>{680B7746-05BB-406C-B43A-75C956866C27}</b:Guid>
    <b:LCID>0</b:LCID>
    <b:Author>
      <b:Author>
        <b:NameList>
          <b:Person>
            <b:Last>Horton</b:Last>
            <b:First>J.</b:First>
          </b:Person>
          <b:Person>
            <b:Last>Serafeim</b:Last>
            <b:First>G.</b:First>
          </b:Person>
          <b:Person>
            <b:Last>Serafeim</b:Last>
            <b:First>I.</b:First>
          </b:Person>
        </b:NameList>
      </b:Author>
    </b:Author>
    <b:Title>Does mandatory IFRS adoption improve the information environment?</b:Title>
    <b:Year>2008</b:Year>
    <b:RefOrder>15</b:RefOrder>
  </b:Source>
  <b:Source>
    <b:Tag>Col09</b:Tag>
    <b:SourceType>JournalArticle</b:SourceType>
    <b:Guid>{6895598E-BEC0-4681-90E3-E7028FE13738}</b:Guid>
    <b:LCID>0</b:LCID>
    <b:Author>
      <b:Author>
        <b:NameList>
          <b:Person>
            <b:Last>Collins</b:Last>
            <b:First>D.</b:First>
            <b:Middle>W.</b:Middle>
          </b:Person>
          <b:Person>
            <b:Last>Li</b:Last>
            <b:First>O.</b:First>
            <b:Middle>Z.</b:Middle>
          </b:Person>
          <b:Person>
            <b:Last>Xie</b:Last>
            <b:First>H.</b:First>
          </b:Person>
        </b:NameList>
      </b:Author>
    </b:Author>
    <b:Title>What drives the increased informativeness of earnings over time?</b:Title>
    <b:Year>2009</b:Year>
    <b:JournalName>Review Accounting Studies 14</b:JournalName>
    <b:Pages>1-30</b:Pages>
    <b:RefOrder>16</b:RefOrder>
  </b:Source>
  <b:Source>
    <b:Tag>Bea68</b:Tag>
    <b:SourceType>JournalArticle</b:SourceType>
    <b:Guid>{F4538A94-1785-47C1-A37F-C7B43D9B7B9B}</b:Guid>
    <b:LCID>0</b:LCID>
    <b:Author>
      <b:Author>
        <b:NameList>
          <b:Person>
            <b:Last>Beaver</b:Last>
            <b:First>W.</b:First>
          </b:Person>
        </b:NameList>
      </b:Author>
    </b:Author>
    <b:Title>The information content of annual earnings announcments</b:Title>
    <b:JournalName>Journal of Accounting Research 6</b:JournalName>
    <b:Year>1968</b:Year>
    <b:Pages>67-92</b:Pages>
    <b:RefOrder>17</b:RefOrder>
  </b:Source>
  <b:Source>
    <b:Tag>Bam86</b:Tag>
    <b:SourceType>JournalArticle</b:SourceType>
    <b:Guid>{4690743C-F4D9-45E4-82AC-4D19184C4781}</b:Guid>
    <b:LCID>0</b:LCID>
    <b:Author>
      <b:Author>
        <b:NameList>
          <b:Person>
            <b:Last>Bamber</b:Last>
            <b:First>L.</b:First>
            <b:Middle>S.</b:Middle>
          </b:Person>
        </b:NameList>
      </b:Author>
    </b:Author>
    <b:Title>The information content of annual earnings releases: A trading volume approach</b:Title>
    <b:JournalName>The Journal of Accounting Research 24 (1)</b:JournalName>
    <b:Year>1986</b:Year>
    <b:Pages>40-56</b:Pages>
    <b:RefOrder>18</b:RefOrder>
  </b:Source>
  <b:Source>
    <b:Tag>Fra02</b:Tag>
    <b:SourceType>JournalArticle</b:SourceType>
    <b:Guid>{B4DD6B6E-D3B1-4066-9B2C-AF7612EE04AA}</b:Guid>
    <b:LCID>0</b:LCID>
    <b:Author>
      <b:Author>
        <b:NameList>
          <b:Person>
            <b:Last>Francis</b:Last>
            <b:First>J.</b:First>
          </b:Person>
          <b:Person>
            <b:Last>Schipper</b:Last>
            <b:First>K.</b:First>
          </b:Person>
          <b:Person>
            <b:Last>Vincent</b:Last>
            <b:First>L.</b:First>
          </b:Person>
        </b:NameList>
      </b:Author>
    </b:Author>
    <b:Title>Expanded disclosures and the increased usefulness of earnings announcements</b:Title>
    <b:JournalName>The Accounting Review 77 (3)</b:JournalName>
    <b:Year>2002</b:Year>
    <b:Pages>515-546</b:Pages>
    <b:RefOrder>19</b:RefOrder>
  </b:Source>
  <b:Source>
    <b:Tag>Bag87</b:Tag>
    <b:SourceType>JournalArticle</b:SourceType>
    <b:Guid>{A461B25A-4F0D-4B17-92D3-35B8F065F550}</b:Guid>
    <b:LCID>0</b:LCID>
    <b:Author>
      <b:Author>
        <b:NameList>
          <b:Person>
            <b:Last>Baginski</b:Last>
            <b:First>S.</b:First>
          </b:Person>
        </b:NameList>
      </b:Author>
    </b:Author>
    <b:Title>Intra-industry information transfers associated with management forecasts of earnings</b:Title>
    <b:JournalName>Journal of Accounting Research 25</b:JournalName>
    <b:Year>1987</b:Year>
    <b:Pages>196-216</b:Pages>
    <b:RefOrder>20</b:RefOrder>
  </b:Source>
  <b:Source>
    <b:Tag>Pyo90</b:Tag>
    <b:SourceType>JournalArticle</b:SourceType>
    <b:Guid>{B710803E-C3CC-41F7-A10D-820DDE83CD25}</b:Guid>
    <b:LCID>0</b:LCID>
    <b:Author>
      <b:Author>
        <b:NameList>
          <b:Person>
            <b:Last>Pyo</b:Last>
            <b:First>Y.</b:First>
          </b:Person>
          <b:Person>
            <b:Last>Lustgarten</b:Last>
            <b:First>S.</b:First>
          </b:Person>
        </b:NameList>
      </b:Author>
    </b:Author>
    <b:Title>Differential intra-industry information transfer associated with management earnings forecasts</b:Title>
    <b:JournalName>Journal of Accounting and Economics 13 (4)</b:JournalName>
    <b:Year>1990</b:Year>
    <b:Pages>365-379</b:Pages>
    <b:RefOrder>21</b:RefOrder>
  </b:Source>
  <b:Source>
    <b:Tag>Sch90</b:Tag>
    <b:SourceType>JournalArticle</b:SourceType>
    <b:Guid>{6B743AEC-5077-4025-9357-D073BCA6453F}</b:Guid>
    <b:LCID>0</b:LCID>
    <b:Author>
      <b:Author>
        <b:NameList>
          <b:Person>
            <b:Last>Schipper</b:Last>
            <b:First>K.</b:First>
          </b:Person>
        </b:NameList>
      </b:Author>
    </b:Author>
    <b:Title>Commentary: Information transfers</b:Title>
    <b:JournalName>Accounting Horizons (December)</b:JournalName>
    <b:Year>1990</b:Year>
    <b:Pages>97-107</b:Pages>
    <b:RefOrder>22</b:RefOrder>
  </b:Source>
  <b:Source>
    <b:Tag>Bho03</b:Tag>
    <b:SourceType>JournalArticle</b:SourceType>
    <b:Guid>{FF81CF50-E8DC-400E-BE57-DE55FEEC517D}</b:Guid>
    <b:LCID>0</b:LCID>
    <b:Author>
      <b:Author>
        <b:NameList>
          <b:Person>
            <b:Last>Bhojraj</b:Last>
            <b:First>S.</b:First>
          </b:Person>
          <b:Person>
            <b:Last>Lee</b:Last>
            <b:First>M.</b:First>
          </b:Person>
          <b:Person>
            <b:Last>Oler</b:Last>
            <b:First>D.</b:First>
          </b:Person>
        </b:NameList>
      </b:Author>
    </b:Author>
    <b:Title>What's my line? A comparison of industry classification schemes for capital market research</b:Title>
    <b:JournalName>Journal of Accounting Research 41 (5)</b:JournalName>
    <b:Year>2003</b:Year>
    <b:Pages>745-774</b:Pages>
    <b:RefOrder>23</b:RefOrder>
  </b:Source>
  <b:Source>
    <b:Tag>Fro95</b:Tag>
    <b:SourceType>JournalArticle</b:SourceType>
    <b:Guid>{AC0F4785-5DD5-46D1-B322-07E11FA69E9B}</b:Guid>
    <b:LCID>0</b:LCID>
    <b:Author>
      <b:Author>
        <b:NameList>
          <b:Person>
            <b:Last>Frost</b:Last>
            <b:First>C.</b:First>
            <b:Middle>A.</b:Middle>
          </b:Person>
        </b:NameList>
      </b:Author>
    </b:Author>
    <b:Title>Intra-industry information transfers: an analysis of research methods and additional evidence</b:Title>
    <b:JournalName>Review of Quantitative Finance and Accounting 5</b:JournalName>
    <b:Year>1995</b:Year>
    <b:Pages>111-126</b:Pages>
    <b:RefOrder>24</b:RefOrder>
  </b:Source>
  <b:Source>
    <b:Tag>DeF07</b:Tag>
    <b:SourceType>JournalArticle</b:SourceType>
    <b:Guid>{6B6858AF-A650-46CE-911B-FAECD71B4D60}</b:Guid>
    <b:LCID>0</b:LCID>
    <b:Author>
      <b:Author>
        <b:NameList>
          <b:Person>
            <b:Last>DeFond</b:Last>
            <b:First>M.</b:First>
          </b:Person>
          <b:Person>
            <b:Last>Hung</b:Last>
            <b:First>M.</b:First>
          </b:Person>
          <b:Person>
            <b:Last>Trezevant</b:Last>
            <b:First>R.</b:First>
          </b:Person>
        </b:NameList>
      </b:Author>
    </b:Author>
    <b:Title>Investor protection and the information content of annual earnings announcements: International evidence</b:Title>
    <b:JournalName>Journal of Accounting and Economics 43 (1)</b:JournalName>
    <b:Year>2007</b:Year>
    <b:Pages>37-67</b:Pages>
    <b:RefOrder>25</b:RefOrder>
  </b:Source>
  <b:Source>
    <b:Tag>Mac97</b:Tag>
    <b:SourceType>JournalArticle</b:SourceType>
    <b:Guid>{6C647B9A-AB7C-43DD-B999-84AFF9509A2F}</b:Guid>
    <b:LCID>0</b:LCID>
    <b:Author>
      <b:Author>
        <b:NameList>
          <b:Person>
            <b:Last>MacKinlay</b:Last>
            <b:First>C.</b:First>
            <b:Middle>A.</b:Middle>
          </b:Person>
        </b:NameList>
      </b:Author>
    </b:Author>
    <b:Title>Event studies in economics and finance</b:Title>
    <b:JournalName>Journal of Ecoonomic Literature 35 (1)</b:JournalName>
    <b:Year>1997</b:Year>
    <b:Pages>13-39</b:Pages>
    <b:RefOrder>26</b:RefOrder>
  </b:Source>
  <b:Source>
    <b:Tag>Fie09</b:Tag>
    <b:SourceType>Book</b:SourceType>
    <b:Guid>{2144483A-67CE-4D50-8021-605B0850B8BA}</b:Guid>
    <b:LCID>0</b:LCID>
    <b:Author>
      <b:Author>
        <b:NameList>
          <b:Person>
            <b:Last>Field</b:Last>
            <b:First>A.</b:First>
          </b:Person>
        </b:NameList>
      </b:Author>
    </b:Author>
    <b:Title>Discovering statistics using SPSS third edition</b:Title>
    <b:Year>2009</b:Year>
    <b:City>London</b:City>
    <b:Publisher>Sage publications ltd.</b:Publisher>
    <b:RefOrder>27</b:RefOrder>
  </b:Source>
  <b:Source>
    <b:Tag>Han00</b:Tag>
    <b:SourceType>JournalArticle</b:SourceType>
    <b:Guid>{D51F39E8-6B8D-4A25-8A8A-AD2188309DCF}</b:Guid>
    <b:LCID>0</b:LCID>
    <b:Author>
      <b:Author>
        <b:NameList>
          <b:Person>
            <b:Last>Han</b:Last>
            <b:First>J.</b:First>
          </b:Person>
          <b:Person>
            <b:Last>Wild</b:Last>
            <b:First>J.</b:First>
          </b:Person>
        </b:NameList>
      </b:Author>
    </b:Author>
    <b:Title>Predisclosure information, firm capitalization and earnings information transfers. </b:Title>
    <b:Year>2000</b:Year>
    <b:JournalName>Journal of Business Research, 49</b:JournalName>
    <b:Pages>273-288</b:Pages>
    <b:RefOrder>28</b:RefOrder>
  </b:Source>
</b:Sources>
</file>

<file path=customXml/itemProps1.xml><?xml version="1.0" encoding="utf-8"?>
<ds:datastoreItem xmlns:ds="http://schemas.openxmlformats.org/officeDocument/2006/customXml" ds:itemID="{713A11D4-EC85-4AA6-84D8-5E5AB274A9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2919</TotalTime>
  <Pages>72</Pages>
  <Words>20401</Words>
  <Characters>112207</Characters>
  <Application>Microsoft Office Word</Application>
  <DocSecurity>0</DocSecurity>
  <Lines>935</Lines>
  <Paragraphs>264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Ernst &amp; Young</Company>
  <LinksUpToDate>false</LinksUpToDate>
  <CharactersWithSpaces>132344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Westerop,N.J.F. van, Nick</dc:creator>
  <cp:keywords/>
  <dc:description/>
  <cp:lastModifiedBy>Nick</cp:lastModifiedBy>
  <cp:revision>5</cp:revision>
  <cp:lastPrinted>2012-08-01T16:47:00Z</cp:lastPrinted>
  <dcterms:created xsi:type="dcterms:W3CDTF">2012-07-02T18:41:00Z</dcterms:created>
  <dcterms:modified xsi:type="dcterms:W3CDTF">2012-08-01T16:47:00Z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ies>
</file>