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6F2" w:rsidRDefault="002506F2" w:rsidP="002506F2">
      <w:pPr>
        <w:jc w:val="center"/>
        <w:rPr>
          <w:rFonts w:asciiTheme="majorHAnsi" w:hAnsiTheme="majorHAnsi"/>
          <w:b/>
          <w:sz w:val="32"/>
          <w:szCs w:val="32"/>
        </w:rPr>
      </w:pPr>
      <w:bookmarkStart w:id="0" w:name="_Toc209559687"/>
      <w:r>
        <w:rPr>
          <w:rFonts w:cs="Arial"/>
          <w:noProof/>
          <w:spacing w:val="4"/>
          <w:position w:val="-22"/>
        </w:rPr>
        <w:drawing>
          <wp:anchor distT="0" distB="0" distL="114300" distR="114300" simplePos="0" relativeHeight="251659264" behindDoc="0" locked="0" layoutInCell="1" allowOverlap="1">
            <wp:simplePos x="0" y="0"/>
            <wp:positionH relativeFrom="column">
              <wp:posOffset>367665</wp:posOffset>
            </wp:positionH>
            <wp:positionV relativeFrom="page">
              <wp:posOffset>786765</wp:posOffset>
            </wp:positionV>
            <wp:extent cx="3693795" cy="1398905"/>
            <wp:effectExtent l="19050" t="0" r="1905" b="0"/>
            <wp:wrapTopAndBottom/>
            <wp:docPr id="21" name="Picture 42"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 logo ISS-EUR"/>
                    <pic:cNvPicPr>
                      <a:picLocks noChangeAspect="1" noChangeArrowheads="1"/>
                    </pic:cNvPicPr>
                  </pic:nvPicPr>
                  <pic:blipFill>
                    <a:blip r:embed="rId8" cstate="print"/>
                    <a:srcRect/>
                    <a:stretch>
                      <a:fillRect/>
                    </a:stretch>
                  </pic:blipFill>
                  <pic:spPr bwMode="auto">
                    <a:xfrm>
                      <a:off x="0" y="0"/>
                      <a:ext cx="3693795" cy="1398905"/>
                    </a:xfrm>
                    <a:prstGeom prst="rect">
                      <a:avLst/>
                    </a:prstGeom>
                    <a:noFill/>
                    <a:ln w="9525">
                      <a:noFill/>
                      <a:miter lim="800000"/>
                      <a:headEnd/>
                      <a:tailEnd/>
                    </a:ln>
                  </pic:spPr>
                </pic:pic>
              </a:graphicData>
            </a:graphic>
          </wp:anchor>
        </w:drawing>
      </w:r>
      <w:r>
        <w:rPr>
          <w:rFonts w:cs="Arial"/>
          <w:spacing w:val="4"/>
          <w:w w:val="115"/>
          <w:position w:val="-22"/>
        </w:rPr>
        <w:t>Graduate School of Development Studies</w:t>
      </w:r>
    </w:p>
    <w:p w:rsidR="002506F2" w:rsidRDefault="002506F2" w:rsidP="002506F2">
      <w:pPr>
        <w:jc w:val="center"/>
        <w:rPr>
          <w:rFonts w:asciiTheme="majorHAnsi" w:hAnsiTheme="majorHAnsi"/>
          <w:b/>
          <w:sz w:val="32"/>
          <w:szCs w:val="32"/>
        </w:rPr>
      </w:pPr>
    </w:p>
    <w:p w:rsidR="002506F2" w:rsidRDefault="002506F2" w:rsidP="002506F2">
      <w:pPr>
        <w:jc w:val="center"/>
        <w:rPr>
          <w:rFonts w:asciiTheme="majorHAnsi" w:hAnsiTheme="majorHAnsi"/>
          <w:b/>
          <w:sz w:val="32"/>
          <w:szCs w:val="32"/>
        </w:rPr>
      </w:pPr>
    </w:p>
    <w:p w:rsidR="002506F2" w:rsidRPr="00C9545F" w:rsidRDefault="002506F2" w:rsidP="002506F2">
      <w:pPr>
        <w:jc w:val="center"/>
        <w:rPr>
          <w:rFonts w:ascii="Garamond" w:hAnsi="Garamond"/>
          <w:b/>
          <w:sz w:val="32"/>
          <w:szCs w:val="32"/>
        </w:rPr>
      </w:pPr>
      <w:r w:rsidRPr="00C9545F">
        <w:rPr>
          <w:rFonts w:ascii="Garamond" w:hAnsi="Garamond"/>
          <w:b/>
          <w:sz w:val="32"/>
          <w:szCs w:val="32"/>
        </w:rPr>
        <w:t>The Impact of Dependency on Primary Commodity on Indonesia Economic Growth</w:t>
      </w:r>
    </w:p>
    <w:p w:rsidR="002506F2" w:rsidRDefault="002506F2" w:rsidP="002506F2">
      <w:pPr>
        <w:jc w:val="center"/>
        <w:rPr>
          <w:rFonts w:asciiTheme="majorHAnsi" w:hAnsiTheme="majorHAnsi"/>
          <w:b/>
          <w:sz w:val="32"/>
          <w:szCs w:val="32"/>
        </w:rPr>
      </w:pPr>
    </w:p>
    <w:p w:rsidR="002506F2" w:rsidRDefault="002506F2" w:rsidP="002506F2">
      <w:pPr>
        <w:jc w:val="center"/>
        <w:rPr>
          <w:rFonts w:asciiTheme="majorHAnsi" w:hAnsiTheme="majorHAnsi"/>
          <w:b/>
          <w:sz w:val="32"/>
          <w:szCs w:val="32"/>
        </w:rPr>
      </w:pPr>
    </w:p>
    <w:p w:rsidR="002506F2" w:rsidRDefault="002506F2" w:rsidP="002506F2">
      <w:pPr>
        <w:jc w:val="center"/>
        <w:rPr>
          <w:sz w:val="26"/>
          <w:szCs w:val="26"/>
        </w:rPr>
      </w:pPr>
      <w:r>
        <w:rPr>
          <w:sz w:val="26"/>
          <w:szCs w:val="26"/>
        </w:rPr>
        <w:t>A  Research Paper presented by:</w:t>
      </w:r>
    </w:p>
    <w:p w:rsidR="002506F2" w:rsidRDefault="002506F2" w:rsidP="002506F2">
      <w:pPr>
        <w:spacing w:before="200"/>
        <w:jc w:val="center"/>
        <w:rPr>
          <w:b/>
          <w:sz w:val="28"/>
          <w:szCs w:val="28"/>
        </w:rPr>
      </w:pPr>
      <w:r>
        <w:rPr>
          <w:b/>
          <w:sz w:val="28"/>
          <w:szCs w:val="28"/>
        </w:rPr>
        <w:t>Wendy Chandra</w:t>
      </w:r>
    </w:p>
    <w:p w:rsidR="002506F2" w:rsidRPr="00A8434A" w:rsidRDefault="002506F2" w:rsidP="002506F2">
      <w:pPr>
        <w:jc w:val="center"/>
        <w:rPr>
          <w:sz w:val="28"/>
          <w:szCs w:val="28"/>
        </w:rPr>
      </w:pPr>
      <w:r w:rsidRPr="00A8434A">
        <w:rPr>
          <w:sz w:val="28"/>
          <w:szCs w:val="28"/>
        </w:rPr>
        <w:t>(Indonesia)</w:t>
      </w:r>
    </w:p>
    <w:p w:rsidR="002506F2" w:rsidRDefault="002506F2" w:rsidP="002506F2">
      <w:pPr>
        <w:spacing w:before="500"/>
        <w:jc w:val="center"/>
      </w:pPr>
    </w:p>
    <w:p w:rsidR="002506F2" w:rsidRDefault="002506F2" w:rsidP="002506F2">
      <w:pPr>
        <w:spacing w:before="500"/>
        <w:jc w:val="center"/>
      </w:pPr>
      <w:r>
        <w:t>In partial fulfillment of the requirements for obtaining the degree of</w:t>
      </w:r>
    </w:p>
    <w:p w:rsidR="002506F2" w:rsidRDefault="002506F2" w:rsidP="002506F2">
      <w:pPr>
        <w:jc w:val="center"/>
      </w:pPr>
      <w:r>
        <w:t>MASTERS OF ARTS IN DEVELOPMENT STUDIES</w:t>
      </w:r>
    </w:p>
    <w:p w:rsidR="002506F2" w:rsidRDefault="002506F2" w:rsidP="002506F2">
      <w:pPr>
        <w:spacing w:before="200"/>
        <w:jc w:val="center"/>
      </w:pPr>
    </w:p>
    <w:p w:rsidR="002506F2" w:rsidRDefault="002506F2" w:rsidP="002506F2">
      <w:pPr>
        <w:spacing w:before="200"/>
        <w:jc w:val="center"/>
      </w:pPr>
    </w:p>
    <w:p w:rsidR="002506F2" w:rsidRDefault="002506F2" w:rsidP="002506F2">
      <w:pPr>
        <w:spacing w:before="200"/>
        <w:jc w:val="center"/>
      </w:pPr>
      <w:proofErr w:type="spellStart"/>
      <w:r>
        <w:t>Specialisation</w:t>
      </w:r>
      <w:proofErr w:type="spellEnd"/>
      <w:r>
        <w:t>:</w:t>
      </w:r>
    </w:p>
    <w:p w:rsidR="002506F2" w:rsidRPr="00A8434A" w:rsidRDefault="002506F2" w:rsidP="002506F2">
      <w:pPr>
        <w:jc w:val="center"/>
        <w:rPr>
          <w:b/>
          <w:sz w:val="26"/>
          <w:szCs w:val="26"/>
        </w:rPr>
      </w:pPr>
      <w:r>
        <w:rPr>
          <w:b/>
          <w:sz w:val="26"/>
          <w:szCs w:val="26"/>
        </w:rPr>
        <w:t>Economics of Development</w:t>
      </w:r>
    </w:p>
    <w:p w:rsidR="002506F2" w:rsidRDefault="002506F2" w:rsidP="002506F2">
      <w:pPr>
        <w:jc w:val="center"/>
        <w:rPr>
          <w:b/>
        </w:rPr>
      </w:pPr>
      <w:r>
        <w:rPr>
          <w:b/>
          <w:sz w:val="26"/>
          <w:szCs w:val="26"/>
        </w:rPr>
        <w:t>(ECD</w:t>
      </w:r>
      <w:r w:rsidRPr="00A8434A">
        <w:rPr>
          <w:b/>
          <w:sz w:val="26"/>
          <w:szCs w:val="26"/>
        </w:rPr>
        <w:t>)</w:t>
      </w:r>
      <w:r>
        <w:rPr>
          <w:b/>
        </w:rPr>
        <w:t xml:space="preserve"> </w:t>
      </w:r>
      <w:r>
        <w:rPr>
          <w:b/>
        </w:rPr>
        <w:br/>
      </w:r>
    </w:p>
    <w:p w:rsidR="002506F2" w:rsidRDefault="002506F2" w:rsidP="002506F2">
      <w:pPr>
        <w:jc w:val="center"/>
      </w:pPr>
    </w:p>
    <w:p w:rsidR="002506F2" w:rsidRDefault="002506F2" w:rsidP="002506F2">
      <w:pPr>
        <w:jc w:val="center"/>
      </w:pPr>
      <w:r>
        <w:t>Members of the examining committee:</w:t>
      </w:r>
    </w:p>
    <w:p w:rsidR="002506F2" w:rsidRDefault="002506F2" w:rsidP="002506F2">
      <w:pPr>
        <w:jc w:val="center"/>
      </w:pPr>
      <w:r>
        <w:t>Dr. Howard Nicholas (Supervisor)</w:t>
      </w:r>
    </w:p>
    <w:p w:rsidR="002506F2" w:rsidRDefault="002506F2" w:rsidP="002506F2">
      <w:pPr>
        <w:jc w:val="center"/>
      </w:pPr>
      <w:r>
        <w:t>Dr. Susan Newman (Second Reader)</w:t>
      </w:r>
    </w:p>
    <w:p w:rsidR="002506F2" w:rsidRDefault="002506F2" w:rsidP="002506F2">
      <w:pPr>
        <w:jc w:val="center"/>
      </w:pPr>
    </w:p>
    <w:p w:rsidR="002506F2" w:rsidRDefault="002506F2" w:rsidP="002506F2">
      <w:pPr>
        <w:jc w:val="center"/>
      </w:pPr>
    </w:p>
    <w:p w:rsidR="002506F2" w:rsidRDefault="002506F2" w:rsidP="002506F2">
      <w:pPr>
        <w:spacing w:before="800"/>
        <w:jc w:val="center"/>
      </w:pPr>
      <w:r>
        <w:t xml:space="preserve">The Hague, </w:t>
      </w:r>
      <w:proofErr w:type="gramStart"/>
      <w:r>
        <w:t>The</w:t>
      </w:r>
      <w:proofErr w:type="gramEnd"/>
      <w:r>
        <w:t xml:space="preserve"> Netherlands</w:t>
      </w:r>
      <w:r>
        <w:br/>
        <w:t>December, 2012</w:t>
      </w:r>
    </w:p>
    <w:p w:rsidR="002506F2" w:rsidRDefault="002506F2" w:rsidP="002506F2">
      <w:pPr>
        <w:jc w:val="center"/>
        <w:rPr>
          <w:rFonts w:asciiTheme="majorHAnsi" w:hAnsiTheme="majorHAnsi"/>
          <w:b/>
          <w:sz w:val="32"/>
          <w:szCs w:val="32"/>
        </w:rPr>
      </w:pPr>
    </w:p>
    <w:p w:rsidR="002506F2" w:rsidRDefault="002506F2" w:rsidP="002506F2">
      <w:pPr>
        <w:jc w:val="center"/>
        <w:rPr>
          <w:rFonts w:asciiTheme="majorHAnsi" w:hAnsiTheme="majorHAnsi"/>
          <w:b/>
          <w:sz w:val="32"/>
          <w:szCs w:val="32"/>
        </w:rPr>
      </w:pPr>
    </w:p>
    <w:p w:rsidR="002506F2" w:rsidRPr="000146FF" w:rsidRDefault="002506F2" w:rsidP="002506F2">
      <w:pPr>
        <w:pStyle w:val="disclaimer"/>
        <w:rPr>
          <w:rFonts w:ascii="Garamond" w:hAnsi="Garamond"/>
        </w:rPr>
      </w:pPr>
      <w:r w:rsidRPr="000146FF">
        <w:rPr>
          <w:rFonts w:ascii="Garamond" w:hAnsi="Garamond"/>
        </w:rPr>
        <w:lastRenderedPageBreak/>
        <w:t>Disclaimer:</w:t>
      </w:r>
    </w:p>
    <w:p w:rsidR="002506F2" w:rsidRPr="000146FF" w:rsidRDefault="002506F2" w:rsidP="002506F2">
      <w:pPr>
        <w:spacing w:after="100"/>
        <w:jc w:val="both"/>
        <w:rPr>
          <w:rFonts w:ascii="Garamond" w:hAnsi="Garamond"/>
          <w:szCs w:val="22"/>
        </w:rPr>
      </w:pPr>
      <w:r w:rsidRPr="000146FF">
        <w:rPr>
          <w:rFonts w:ascii="Garamond" w:hAnsi="Garamond"/>
          <w:szCs w:val="22"/>
        </w:rPr>
        <w:t xml:space="preserve">This document represents part of the author’s study </w:t>
      </w:r>
      <w:proofErr w:type="spellStart"/>
      <w:r w:rsidRPr="000146FF">
        <w:rPr>
          <w:rFonts w:ascii="Garamond" w:hAnsi="Garamond"/>
          <w:szCs w:val="22"/>
        </w:rPr>
        <w:t>programme</w:t>
      </w:r>
      <w:proofErr w:type="spellEnd"/>
      <w:r w:rsidRPr="000146FF">
        <w:rPr>
          <w:rFonts w:ascii="Garamond" w:hAnsi="Garamond"/>
          <w:szCs w:val="22"/>
        </w:rPr>
        <w:t xml:space="preserve"> while at the Institute of Social Studies. The views stated therein are those of the author and not necessarily those of the Institute.</w:t>
      </w:r>
    </w:p>
    <w:p w:rsidR="002506F2" w:rsidRPr="000146FF" w:rsidRDefault="002506F2" w:rsidP="002506F2">
      <w:pPr>
        <w:spacing w:after="100"/>
        <w:jc w:val="both"/>
        <w:rPr>
          <w:rFonts w:ascii="Garamond" w:hAnsi="Garamond"/>
          <w:szCs w:val="22"/>
        </w:rPr>
      </w:pPr>
      <w:r w:rsidRPr="000146FF">
        <w:rPr>
          <w:rFonts w:ascii="Garamond" w:hAnsi="Garamond"/>
          <w:szCs w:val="22"/>
        </w:rPr>
        <w:t>Research papers are not made available for circulation outside of the Institute.</w:t>
      </w:r>
    </w:p>
    <w:p w:rsidR="002506F2" w:rsidRPr="000146FF" w:rsidRDefault="002506F2" w:rsidP="002506F2">
      <w:pPr>
        <w:rPr>
          <w:rFonts w:ascii="Garamond" w:hAnsi="Garamond"/>
          <w:szCs w:val="22"/>
        </w:rPr>
      </w:pPr>
    </w:p>
    <w:p w:rsidR="002506F2" w:rsidRPr="000146FF" w:rsidRDefault="002506F2" w:rsidP="002506F2">
      <w:pPr>
        <w:pStyle w:val="disclaimer"/>
        <w:rPr>
          <w:rFonts w:ascii="Garamond" w:hAnsi="Garamond"/>
        </w:rPr>
      </w:pPr>
      <w:r w:rsidRPr="000146FF">
        <w:rPr>
          <w:rFonts w:ascii="Garamond" w:hAnsi="Garamond"/>
        </w:rPr>
        <w:t>Inquiries:</w:t>
      </w:r>
    </w:p>
    <w:p w:rsidR="002506F2" w:rsidRPr="000146FF" w:rsidRDefault="002506F2" w:rsidP="002506F2">
      <w:pPr>
        <w:pStyle w:val="NormalWeb"/>
        <w:ind w:left="2280" w:hanging="2280"/>
        <w:rPr>
          <w:rFonts w:ascii="Garamond" w:hAnsi="Garamond"/>
          <w:szCs w:val="22"/>
        </w:rPr>
      </w:pPr>
      <w:r w:rsidRPr="000146FF">
        <w:rPr>
          <w:rFonts w:ascii="Garamond" w:hAnsi="Garamond"/>
          <w:szCs w:val="22"/>
        </w:rPr>
        <w:t>Postal address:</w:t>
      </w:r>
      <w:r w:rsidRPr="000146FF">
        <w:rPr>
          <w:rFonts w:ascii="Garamond" w:hAnsi="Garamond"/>
          <w:szCs w:val="22"/>
        </w:rPr>
        <w:tab/>
        <w:t>Institute of Social Studies</w:t>
      </w:r>
      <w:r w:rsidRPr="000146FF">
        <w:rPr>
          <w:rFonts w:ascii="Garamond" w:hAnsi="Garamond"/>
          <w:szCs w:val="22"/>
        </w:rPr>
        <w:br/>
        <w:t>P.O. Box 29776</w:t>
      </w:r>
      <w:r w:rsidRPr="000146FF">
        <w:rPr>
          <w:rFonts w:ascii="Garamond" w:hAnsi="Garamond"/>
          <w:szCs w:val="22"/>
        </w:rPr>
        <w:br/>
        <w:t>2502 LT The Hague</w:t>
      </w:r>
      <w:r w:rsidRPr="000146FF">
        <w:rPr>
          <w:rFonts w:ascii="Garamond" w:hAnsi="Garamond"/>
          <w:szCs w:val="22"/>
        </w:rPr>
        <w:br/>
        <w:t>The Netherlands</w:t>
      </w:r>
    </w:p>
    <w:p w:rsidR="002506F2" w:rsidRPr="000146FF" w:rsidRDefault="002506F2" w:rsidP="002506F2">
      <w:pPr>
        <w:pStyle w:val="NormalWeb"/>
        <w:ind w:left="2280" w:hanging="2280"/>
        <w:rPr>
          <w:rFonts w:ascii="Garamond" w:hAnsi="Garamond"/>
          <w:szCs w:val="22"/>
        </w:rPr>
      </w:pPr>
      <w:r w:rsidRPr="000146FF">
        <w:rPr>
          <w:rFonts w:ascii="Garamond" w:hAnsi="Garamond"/>
          <w:szCs w:val="22"/>
        </w:rPr>
        <w:t>Location:</w:t>
      </w:r>
      <w:r w:rsidRPr="000146FF">
        <w:rPr>
          <w:rFonts w:ascii="Garamond" w:hAnsi="Garamond"/>
          <w:szCs w:val="22"/>
        </w:rPr>
        <w:tab/>
      </w:r>
      <w:proofErr w:type="spellStart"/>
      <w:r w:rsidRPr="000146FF">
        <w:rPr>
          <w:rFonts w:ascii="Garamond" w:hAnsi="Garamond"/>
          <w:szCs w:val="22"/>
        </w:rPr>
        <w:t>Kortenaerkade</w:t>
      </w:r>
      <w:proofErr w:type="spellEnd"/>
      <w:r w:rsidRPr="000146FF">
        <w:rPr>
          <w:rFonts w:ascii="Garamond" w:hAnsi="Garamond"/>
          <w:szCs w:val="22"/>
        </w:rPr>
        <w:t xml:space="preserve"> 12</w:t>
      </w:r>
      <w:r w:rsidRPr="000146FF">
        <w:rPr>
          <w:rFonts w:ascii="Garamond" w:hAnsi="Garamond"/>
          <w:szCs w:val="22"/>
        </w:rPr>
        <w:br/>
        <w:t xml:space="preserve">2518 AX </w:t>
      </w:r>
      <w:proofErr w:type="gramStart"/>
      <w:r w:rsidRPr="000146FF">
        <w:rPr>
          <w:rFonts w:ascii="Garamond" w:hAnsi="Garamond"/>
          <w:szCs w:val="22"/>
        </w:rPr>
        <w:t>The</w:t>
      </w:r>
      <w:proofErr w:type="gramEnd"/>
      <w:r w:rsidRPr="000146FF">
        <w:rPr>
          <w:rFonts w:ascii="Garamond" w:hAnsi="Garamond"/>
          <w:szCs w:val="22"/>
        </w:rPr>
        <w:t xml:space="preserve"> Hague</w:t>
      </w:r>
      <w:r w:rsidRPr="000146FF">
        <w:rPr>
          <w:rFonts w:ascii="Garamond" w:hAnsi="Garamond"/>
          <w:szCs w:val="22"/>
        </w:rPr>
        <w:br/>
        <w:t>The Netherlands</w:t>
      </w:r>
    </w:p>
    <w:p w:rsidR="002506F2" w:rsidRPr="000146FF" w:rsidRDefault="002506F2" w:rsidP="002506F2">
      <w:pPr>
        <w:pStyle w:val="NormalWeb"/>
        <w:ind w:left="2280" w:hanging="2280"/>
        <w:rPr>
          <w:rFonts w:ascii="Garamond" w:hAnsi="Garamond"/>
          <w:szCs w:val="22"/>
        </w:rPr>
      </w:pPr>
      <w:r w:rsidRPr="000146FF">
        <w:rPr>
          <w:rFonts w:ascii="Garamond" w:hAnsi="Garamond"/>
          <w:szCs w:val="22"/>
        </w:rPr>
        <w:t xml:space="preserve">Telephone: </w:t>
      </w:r>
      <w:r w:rsidRPr="000146FF">
        <w:rPr>
          <w:rFonts w:ascii="Garamond" w:hAnsi="Garamond"/>
          <w:szCs w:val="22"/>
        </w:rPr>
        <w:tab/>
        <w:t>+31 70 426 0460</w:t>
      </w:r>
    </w:p>
    <w:p w:rsidR="002506F2" w:rsidRDefault="002506F2" w:rsidP="002506F2">
      <w:pPr>
        <w:pStyle w:val="NormalWeb"/>
        <w:ind w:left="2280" w:hanging="2280"/>
        <w:rPr>
          <w:rFonts w:ascii="Garamond" w:hAnsi="Garamond"/>
          <w:szCs w:val="22"/>
        </w:rPr>
        <w:sectPr w:rsidR="002506F2" w:rsidSect="00B8408F">
          <w:headerReference w:type="even" r:id="rId9"/>
          <w:headerReference w:type="default" r:id="rId10"/>
          <w:footerReference w:type="even" r:id="rId11"/>
          <w:footerReference w:type="default" r:id="rId12"/>
          <w:headerReference w:type="first" r:id="rId13"/>
          <w:footerReference w:type="first" r:id="rId14"/>
          <w:pgSz w:w="11906" w:h="16838"/>
          <w:pgMar w:top="1949" w:right="2268" w:bottom="1701" w:left="2268" w:header="1701" w:footer="1418" w:gutter="0"/>
          <w:pgNumType w:fmt="lowerRoman" w:start="1"/>
          <w:cols w:space="720"/>
          <w:titlePg/>
          <w:docGrid w:linePitch="360"/>
        </w:sectPr>
      </w:pPr>
      <w:r w:rsidRPr="000146FF">
        <w:rPr>
          <w:rFonts w:ascii="Garamond" w:hAnsi="Garamond"/>
          <w:szCs w:val="22"/>
        </w:rPr>
        <w:t xml:space="preserve">Fax: </w:t>
      </w:r>
      <w:r w:rsidRPr="000146FF">
        <w:rPr>
          <w:rFonts w:ascii="Garamond" w:hAnsi="Garamond"/>
          <w:szCs w:val="22"/>
        </w:rPr>
        <w:tab/>
        <w:t>+31 70 426 07</w:t>
      </w:r>
    </w:p>
    <w:p w:rsidR="002506F2" w:rsidRPr="008E6E94" w:rsidRDefault="002506F2" w:rsidP="002506F2">
      <w:pPr>
        <w:rPr>
          <w:rFonts w:ascii="Garamond" w:hAnsi="Garamond"/>
          <w:b/>
          <w:sz w:val="32"/>
          <w:szCs w:val="32"/>
        </w:rPr>
      </w:pPr>
      <w:r w:rsidRPr="00AE4739">
        <w:rPr>
          <w:rFonts w:ascii="Garamond" w:hAnsi="Garamond"/>
          <w:b/>
          <w:sz w:val="32"/>
          <w:szCs w:val="32"/>
        </w:rPr>
        <w:lastRenderedPageBreak/>
        <w:t>Acknowledgement</w:t>
      </w:r>
    </w:p>
    <w:p w:rsidR="002506F2" w:rsidRPr="002F7716" w:rsidRDefault="002506F2" w:rsidP="002506F2">
      <w:pPr>
        <w:rPr>
          <w:rFonts w:ascii="Garamond" w:hAnsi="Garamond"/>
        </w:rPr>
      </w:pPr>
    </w:p>
    <w:p w:rsidR="002506F2" w:rsidRPr="002F7716" w:rsidRDefault="002506F2" w:rsidP="002506F2">
      <w:pPr>
        <w:pStyle w:val="Normalfirstparagraph"/>
      </w:pPr>
      <w:r>
        <w:t>This work has been completed successfully with the diligent support of family and friends. I sincerely thank you to the following:</w:t>
      </w:r>
    </w:p>
    <w:p w:rsidR="002506F2" w:rsidRDefault="002506F2" w:rsidP="002506F2">
      <w:pPr>
        <w:jc w:val="both"/>
      </w:pPr>
    </w:p>
    <w:p w:rsidR="002506F2" w:rsidRDefault="002506F2" w:rsidP="002506F2">
      <w:pPr>
        <w:jc w:val="both"/>
      </w:pPr>
      <w:r w:rsidRPr="00AE4739">
        <w:rPr>
          <w:rFonts w:ascii="Garamond" w:hAnsi="Garamond"/>
          <w:lang w:val="en-GB" w:eastAsia="en-GB"/>
        </w:rPr>
        <w:t>My family particularly my mother who has been there for me all the time during my study and great support as she has pull out all her capacity to successfully make my dream come true to study abroad and keep supporting me all the year I have been through.</w:t>
      </w:r>
    </w:p>
    <w:p w:rsidR="002506F2" w:rsidRDefault="002506F2" w:rsidP="002506F2">
      <w:pPr>
        <w:jc w:val="both"/>
      </w:pPr>
    </w:p>
    <w:p w:rsidR="002506F2" w:rsidRDefault="002506F2" w:rsidP="002506F2">
      <w:pPr>
        <w:jc w:val="both"/>
      </w:pPr>
      <w:r w:rsidRPr="00AE4739">
        <w:rPr>
          <w:rFonts w:ascii="Garamond" w:hAnsi="Garamond"/>
          <w:lang w:val="en-GB" w:eastAsia="en-GB"/>
        </w:rPr>
        <w:t>To my supervisor Dr. Howard Nicholas who has been such an inspirational figure for me during my study in ISS. He has been a great lecture and mentor. I wish that there would be more time for me to study under his supervision. Likewise, to Dr. Susan Newman who has gave me inputs during my research. She has been a young and full of passion lecturer that gave me such an inspiration.</w:t>
      </w:r>
    </w:p>
    <w:p w:rsidR="002506F2" w:rsidRDefault="002506F2" w:rsidP="002506F2">
      <w:pPr>
        <w:jc w:val="both"/>
      </w:pPr>
    </w:p>
    <w:p w:rsidR="002506F2" w:rsidRDefault="002506F2" w:rsidP="002506F2">
      <w:pPr>
        <w:jc w:val="both"/>
        <w:rPr>
          <w:rFonts w:ascii="Garamond" w:hAnsi="Garamond"/>
          <w:lang w:val="en-GB" w:eastAsia="en-GB"/>
        </w:rPr>
      </w:pPr>
      <w:r w:rsidRPr="00AE4739">
        <w:rPr>
          <w:rFonts w:ascii="Garamond" w:hAnsi="Garamond"/>
          <w:lang w:val="en-GB" w:eastAsia="en-GB"/>
        </w:rPr>
        <w:t>To all my friends in ISS, Cynthia, Sara</w:t>
      </w:r>
      <w:r>
        <w:rPr>
          <w:rFonts w:ascii="Garamond" w:hAnsi="Garamond"/>
          <w:lang w:val="en-GB" w:eastAsia="en-GB"/>
        </w:rPr>
        <w:t xml:space="preserve">, </w:t>
      </w:r>
      <w:proofErr w:type="spellStart"/>
      <w:r>
        <w:rPr>
          <w:rFonts w:ascii="Garamond" w:hAnsi="Garamond"/>
          <w:lang w:val="en-GB" w:eastAsia="en-GB"/>
        </w:rPr>
        <w:t>Mas</w:t>
      </w:r>
      <w:proofErr w:type="spellEnd"/>
      <w:r>
        <w:rPr>
          <w:rFonts w:ascii="Garamond" w:hAnsi="Garamond"/>
          <w:lang w:val="en-GB" w:eastAsia="en-GB"/>
        </w:rPr>
        <w:t xml:space="preserve"> </w:t>
      </w:r>
      <w:proofErr w:type="spellStart"/>
      <w:r>
        <w:rPr>
          <w:rFonts w:ascii="Garamond" w:hAnsi="Garamond"/>
          <w:lang w:val="en-GB" w:eastAsia="en-GB"/>
        </w:rPr>
        <w:t>Bayu</w:t>
      </w:r>
      <w:proofErr w:type="spellEnd"/>
      <w:r>
        <w:rPr>
          <w:rFonts w:ascii="Garamond" w:hAnsi="Garamond"/>
          <w:lang w:val="en-GB" w:eastAsia="en-GB"/>
        </w:rPr>
        <w:t xml:space="preserve">, </w:t>
      </w:r>
      <w:proofErr w:type="spellStart"/>
      <w:r>
        <w:rPr>
          <w:rFonts w:ascii="Garamond" w:hAnsi="Garamond"/>
          <w:lang w:val="en-GB" w:eastAsia="en-GB"/>
        </w:rPr>
        <w:t>Riya</w:t>
      </w:r>
      <w:proofErr w:type="spellEnd"/>
      <w:r w:rsidRPr="00AE4739">
        <w:rPr>
          <w:rFonts w:ascii="Garamond" w:hAnsi="Garamond"/>
          <w:lang w:val="en-GB" w:eastAsia="en-GB"/>
        </w:rPr>
        <w:t xml:space="preserve"> and </w:t>
      </w:r>
      <w:proofErr w:type="spellStart"/>
      <w:r w:rsidRPr="00AE4739">
        <w:rPr>
          <w:rFonts w:ascii="Garamond" w:hAnsi="Garamond"/>
          <w:lang w:val="en-GB" w:eastAsia="en-GB"/>
        </w:rPr>
        <w:t>Jayadi</w:t>
      </w:r>
      <w:proofErr w:type="spellEnd"/>
      <w:r w:rsidRPr="00AE4739">
        <w:rPr>
          <w:rFonts w:ascii="Garamond" w:hAnsi="Garamond"/>
          <w:lang w:val="en-GB" w:eastAsia="en-GB"/>
        </w:rPr>
        <w:t xml:space="preserve"> and many other friends that has been a great support to me. </w:t>
      </w:r>
    </w:p>
    <w:p w:rsidR="002506F2" w:rsidRDefault="002506F2" w:rsidP="002506F2">
      <w:pPr>
        <w:jc w:val="both"/>
        <w:rPr>
          <w:rFonts w:ascii="Garamond" w:hAnsi="Garamond"/>
          <w:lang w:val="en-GB" w:eastAsia="en-GB"/>
        </w:rPr>
      </w:pPr>
    </w:p>
    <w:p w:rsidR="002506F2" w:rsidRDefault="002506F2" w:rsidP="002506F2">
      <w:pPr>
        <w:jc w:val="both"/>
      </w:pPr>
      <w:r>
        <w:rPr>
          <w:rFonts w:ascii="Garamond" w:hAnsi="Garamond"/>
          <w:lang w:val="en-GB" w:eastAsia="en-GB"/>
        </w:rPr>
        <w:t xml:space="preserve">To my friends in Indonesia, Andy, </w:t>
      </w:r>
      <w:proofErr w:type="spellStart"/>
      <w:r>
        <w:rPr>
          <w:rFonts w:ascii="Garamond" w:hAnsi="Garamond"/>
          <w:lang w:val="en-GB" w:eastAsia="en-GB"/>
        </w:rPr>
        <w:t>Yogie</w:t>
      </w:r>
      <w:proofErr w:type="spellEnd"/>
      <w:r>
        <w:rPr>
          <w:rFonts w:ascii="Garamond" w:hAnsi="Garamond"/>
          <w:lang w:val="en-GB" w:eastAsia="en-GB"/>
        </w:rPr>
        <w:t xml:space="preserve"> and Tommy </w:t>
      </w:r>
      <w:proofErr w:type="spellStart"/>
      <w:r>
        <w:rPr>
          <w:rFonts w:ascii="Garamond" w:hAnsi="Garamond"/>
          <w:lang w:val="en-GB" w:eastAsia="en-GB"/>
        </w:rPr>
        <w:t>Yotes</w:t>
      </w:r>
      <w:proofErr w:type="spellEnd"/>
      <w:r>
        <w:rPr>
          <w:rFonts w:ascii="Garamond" w:hAnsi="Garamond"/>
          <w:lang w:val="en-GB" w:eastAsia="en-GB"/>
        </w:rPr>
        <w:t xml:space="preserve"> who have been a great friends and support during my hardest time.</w:t>
      </w:r>
    </w:p>
    <w:p w:rsidR="002506F2" w:rsidRDefault="002506F2" w:rsidP="002506F2">
      <w:pPr>
        <w:jc w:val="both"/>
        <w:rPr>
          <w:rFonts w:ascii="Garamond" w:hAnsi="Garamond"/>
        </w:rPr>
      </w:pPr>
    </w:p>
    <w:p w:rsidR="002506F2" w:rsidRDefault="002506F2" w:rsidP="002506F2">
      <w:pPr>
        <w:jc w:val="both"/>
        <w:rPr>
          <w:rFonts w:ascii="Garamond" w:hAnsi="Garamond"/>
        </w:rPr>
      </w:pPr>
      <w:r w:rsidRPr="00AE4739">
        <w:rPr>
          <w:rFonts w:ascii="Garamond" w:hAnsi="Garamond"/>
        </w:rPr>
        <w:t>Last but not least to all ISS staffs who have been a great help.</w:t>
      </w:r>
    </w:p>
    <w:p w:rsidR="002506F2" w:rsidRDefault="002506F2" w:rsidP="002506F2">
      <w:pPr>
        <w:jc w:val="both"/>
        <w:rPr>
          <w:rFonts w:ascii="Garamond" w:hAnsi="Garamond"/>
        </w:rPr>
      </w:pPr>
    </w:p>
    <w:p w:rsidR="002506F2" w:rsidRDefault="002506F2" w:rsidP="002506F2">
      <w:pPr>
        <w:jc w:val="both"/>
        <w:rPr>
          <w:rFonts w:ascii="Garamond" w:hAnsi="Garamond"/>
        </w:rPr>
      </w:pPr>
    </w:p>
    <w:p w:rsidR="002506F2" w:rsidRDefault="002506F2" w:rsidP="002506F2">
      <w:pPr>
        <w:jc w:val="both"/>
        <w:rPr>
          <w:rFonts w:ascii="Garamond" w:hAnsi="Garamond"/>
        </w:rPr>
      </w:pPr>
      <w:r w:rsidRPr="00AE4739">
        <w:rPr>
          <w:rFonts w:ascii="Garamond" w:hAnsi="Garamond"/>
        </w:rPr>
        <w:t>Regards,</w:t>
      </w:r>
    </w:p>
    <w:p w:rsidR="002506F2" w:rsidRDefault="002506F2" w:rsidP="002506F2">
      <w:pPr>
        <w:jc w:val="both"/>
        <w:rPr>
          <w:rFonts w:ascii="Garamond" w:hAnsi="Garamond"/>
        </w:rPr>
      </w:pPr>
      <w:r w:rsidRPr="00AE4739">
        <w:rPr>
          <w:rFonts w:ascii="Garamond" w:hAnsi="Garamond"/>
        </w:rPr>
        <w:t>Wendy Chandra</w:t>
      </w:r>
    </w:p>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B8408F" w:rsidRDefault="00B8408F" w:rsidP="002506F2"/>
    <w:p w:rsidR="00B8408F" w:rsidRPr="00B8408F" w:rsidRDefault="00B8408F" w:rsidP="00B8408F">
      <w:pPr>
        <w:pStyle w:val="Heading1"/>
        <w:rPr>
          <w:rFonts w:ascii="Garamond" w:hAnsi="Garamond"/>
          <w:i/>
          <w:color w:val="auto"/>
        </w:rPr>
      </w:pPr>
      <w:bookmarkStart w:id="1" w:name="_Toc343007168"/>
      <w:r w:rsidRPr="00B8408F">
        <w:rPr>
          <w:rFonts w:ascii="Garamond" w:hAnsi="Garamond"/>
          <w:i/>
          <w:color w:val="auto"/>
        </w:rPr>
        <w:lastRenderedPageBreak/>
        <w:t>List of Tables</w:t>
      </w:r>
      <w:bookmarkEnd w:id="1"/>
    </w:p>
    <w:p w:rsidR="00B8408F" w:rsidRPr="0056297D" w:rsidRDefault="00E975D9" w:rsidP="00B8408F">
      <w:pPr>
        <w:rPr>
          <w:rFonts w:ascii="Garamond" w:hAnsi="Garamond" w:cstheme="majorHAnsi"/>
        </w:rPr>
      </w:pPr>
      <w:r>
        <w:rPr>
          <w:rFonts w:ascii="Garamond" w:hAnsi="Garamond" w:cstheme="majorHAnsi"/>
        </w:rPr>
        <w:t>Table 2-1</w:t>
      </w:r>
      <w:r w:rsidR="00B8408F" w:rsidRPr="0056297D">
        <w:rPr>
          <w:rFonts w:ascii="Garamond" w:hAnsi="Garamond" w:cstheme="majorHAnsi"/>
        </w:rPr>
        <w:t xml:space="preserve"> </w:t>
      </w:r>
      <w:r w:rsidR="00B8408F" w:rsidRPr="0056297D">
        <w:rPr>
          <w:rFonts w:ascii="Garamond" w:hAnsi="Garamond" w:cstheme="majorHAnsi"/>
        </w:rPr>
        <w:tab/>
        <w:t>Indonesia Exports Composition and Annual GDP Growth</w:t>
      </w:r>
      <w:r w:rsidR="00E346B4">
        <w:rPr>
          <w:rFonts w:ascii="Garamond" w:hAnsi="Garamond" w:cstheme="majorHAnsi"/>
        </w:rPr>
        <w:t>...20</w:t>
      </w:r>
    </w:p>
    <w:p w:rsidR="00B8408F" w:rsidRPr="0056297D" w:rsidRDefault="00B8408F" w:rsidP="00B8408F">
      <w:pPr>
        <w:rPr>
          <w:rFonts w:ascii="Garamond" w:hAnsi="Garamond"/>
        </w:rPr>
      </w:pPr>
      <w:r w:rsidRPr="0056297D">
        <w:rPr>
          <w:rFonts w:ascii="Garamond" w:hAnsi="Garamond"/>
        </w:rPr>
        <w:t>Table 2</w:t>
      </w:r>
      <w:r w:rsidR="00E975D9">
        <w:rPr>
          <w:rFonts w:ascii="Garamond" w:hAnsi="Garamond"/>
        </w:rPr>
        <w:t>-2</w:t>
      </w:r>
      <w:r w:rsidRPr="0056297D">
        <w:rPr>
          <w:rFonts w:ascii="Garamond" w:hAnsi="Garamond"/>
        </w:rPr>
        <w:t xml:space="preserve"> </w:t>
      </w:r>
      <w:r w:rsidRPr="0056297D">
        <w:rPr>
          <w:rFonts w:ascii="Garamond" w:hAnsi="Garamond"/>
        </w:rPr>
        <w:tab/>
        <w:t>Policy and Plans Summary</w:t>
      </w:r>
      <w:r w:rsidR="00E346B4">
        <w:rPr>
          <w:rFonts w:ascii="Garamond" w:hAnsi="Garamond"/>
        </w:rPr>
        <w:t>…………………………………..24</w:t>
      </w:r>
    </w:p>
    <w:p w:rsidR="00B8408F" w:rsidRPr="0056297D" w:rsidRDefault="00E975D9" w:rsidP="00B8408F">
      <w:pPr>
        <w:rPr>
          <w:rFonts w:ascii="Garamond" w:hAnsi="Garamond"/>
        </w:rPr>
      </w:pPr>
      <w:r>
        <w:rPr>
          <w:rFonts w:ascii="Garamond" w:hAnsi="Garamond"/>
        </w:rPr>
        <w:t>Table 4-1</w:t>
      </w:r>
      <w:r>
        <w:rPr>
          <w:rFonts w:ascii="Garamond" w:hAnsi="Garamond"/>
        </w:rPr>
        <w:tab/>
      </w:r>
      <w:r w:rsidR="00B8408F" w:rsidRPr="0056297D">
        <w:rPr>
          <w:rFonts w:ascii="Garamond" w:hAnsi="Garamond"/>
        </w:rPr>
        <w:t>Ex</w:t>
      </w:r>
      <w:r w:rsidR="00E346B4">
        <w:rPr>
          <w:rFonts w:ascii="Garamond" w:hAnsi="Garamond"/>
        </w:rPr>
        <w:t>ports Composition in 2000 – 2010……………………….30</w:t>
      </w:r>
    </w:p>
    <w:p w:rsidR="00B8408F" w:rsidRPr="0056297D" w:rsidRDefault="00B8408F" w:rsidP="00B8408F">
      <w:pPr>
        <w:ind w:left="1440" w:hanging="1440"/>
        <w:rPr>
          <w:rFonts w:ascii="Garamond" w:hAnsi="Garamond"/>
        </w:rPr>
      </w:pPr>
      <w:r w:rsidRPr="0056297D">
        <w:rPr>
          <w:rFonts w:ascii="Garamond" w:hAnsi="Garamond"/>
        </w:rPr>
        <w:t>Table 4</w:t>
      </w:r>
      <w:r w:rsidR="00E975D9">
        <w:rPr>
          <w:rFonts w:ascii="Garamond" w:hAnsi="Garamond"/>
        </w:rPr>
        <w:t>-2</w:t>
      </w:r>
      <w:r w:rsidRPr="0056297D">
        <w:rPr>
          <w:rFonts w:ascii="Garamond" w:hAnsi="Garamond"/>
        </w:rPr>
        <w:t xml:space="preserve"> </w:t>
      </w:r>
      <w:r w:rsidRPr="0056297D">
        <w:rPr>
          <w:rFonts w:ascii="Garamond" w:hAnsi="Garamond"/>
        </w:rPr>
        <w:tab/>
        <w:t xml:space="preserve">Ten Years Average Share of Commodity Imports Value of Total Merchandise Imports in 1970 </w:t>
      </w:r>
      <w:r w:rsidR="00E346B4">
        <w:rPr>
          <w:rFonts w:ascii="Garamond" w:hAnsi="Garamond"/>
        </w:rPr>
        <w:t>–</w:t>
      </w:r>
      <w:r w:rsidRPr="0056297D">
        <w:rPr>
          <w:rFonts w:ascii="Garamond" w:hAnsi="Garamond"/>
        </w:rPr>
        <w:t xml:space="preserve"> 2010</w:t>
      </w:r>
      <w:r w:rsidR="00E346B4">
        <w:rPr>
          <w:rFonts w:ascii="Garamond" w:hAnsi="Garamond"/>
        </w:rPr>
        <w:t>…………………30</w:t>
      </w:r>
    </w:p>
    <w:p w:rsidR="00B8408F" w:rsidRPr="0056297D" w:rsidRDefault="00E975D9" w:rsidP="00B8408F">
      <w:pPr>
        <w:rPr>
          <w:rFonts w:ascii="Garamond" w:hAnsi="Garamond"/>
        </w:rPr>
      </w:pPr>
      <w:r>
        <w:rPr>
          <w:rFonts w:ascii="Garamond" w:hAnsi="Garamond"/>
        </w:rPr>
        <w:t>Table 4-3</w:t>
      </w:r>
      <w:r w:rsidR="00B8408F" w:rsidRPr="0056297D">
        <w:rPr>
          <w:rFonts w:ascii="Garamond" w:hAnsi="Garamond"/>
        </w:rPr>
        <w:t xml:space="preserve"> </w:t>
      </w:r>
      <w:r w:rsidR="00B8408F" w:rsidRPr="0056297D">
        <w:rPr>
          <w:rFonts w:ascii="Garamond" w:hAnsi="Garamond"/>
        </w:rPr>
        <w:tab/>
        <w:t>Imports Composition in 1990 to 1997</w:t>
      </w:r>
      <w:r w:rsidR="00E346B4">
        <w:rPr>
          <w:rFonts w:ascii="Garamond" w:hAnsi="Garamond"/>
        </w:rPr>
        <w:t>……………………....31</w:t>
      </w:r>
    </w:p>
    <w:p w:rsidR="00B8408F" w:rsidRPr="0056297D" w:rsidRDefault="00E975D9" w:rsidP="00B8408F">
      <w:pPr>
        <w:rPr>
          <w:rFonts w:ascii="Garamond" w:hAnsi="Garamond"/>
        </w:rPr>
      </w:pPr>
      <w:r>
        <w:rPr>
          <w:rFonts w:ascii="Garamond" w:hAnsi="Garamond"/>
        </w:rPr>
        <w:t>Table 4-4</w:t>
      </w:r>
      <w:r>
        <w:rPr>
          <w:rFonts w:ascii="Garamond" w:hAnsi="Garamond"/>
        </w:rPr>
        <w:tab/>
      </w:r>
      <w:r w:rsidR="00B8408F" w:rsidRPr="0056297D">
        <w:rPr>
          <w:rFonts w:ascii="Garamond" w:hAnsi="Garamond"/>
        </w:rPr>
        <w:t>Imports Composition in 2000 to 2010</w:t>
      </w:r>
      <w:r w:rsidR="00E346B4">
        <w:rPr>
          <w:rFonts w:ascii="Garamond" w:hAnsi="Garamond"/>
        </w:rPr>
        <w:t>……………………....31</w:t>
      </w:r>
    </w:p>
    <w:p w:rsidR="00B8408F" w:rsidRPr="0056297D" w:rsidRDefault="00E975D9" w:rsidP="00B8408F">
      <w:pPr>
        <w:rPr>
          <w:rFonts w:ascii="Garamond" w:hAnsi="Garamond"/>
          <w:lang w:eastAsia="ja-JP"/>
        </w:rPr>
      </w:pPr>
      <w:r>
        <w:rPr>
          <w:rFonts w:ascii="Garamond" w:hAnsi="Garamond"/>
          <w:lang w:eastAsia="ja-JP"/>
        </w:rPr>
        <w:t>Table 4-5</w:t>
      </w:r>
      <w:r>
        <w:rPr>
          <w:rFonts w:ascii="Garamond" w:hAnsi="Garamond"/>
          <w:lang w:eastAsia="ja-JP"/>
        </w:rPr>
        <w:tab/>
      </w:r>
      <w:r w:rsidR="00B8408F" w:rsidRPr="0056297D">
        <w:rPr>
          <w:rFonts w:ascii="Garamond" w:hAnsi="Garamond"/>
          <w:lang w:eastAsia="ja-JP"/>
        </w:rPr>
        <w:t>Annual GDP Growths and Exports Share</w:t>
      </w:r>
      <w:r w:rsidR="005F571B">
        <w:rPr>
          <w:rFonts w:ascii="Garamond" w:hAnsi="Garamond"/>
          <w:lang w:eastAsia="ja-JP"/>
        </w:rPr>
        <w:t>………………….36</w:t>
      </w:r>
    </w:p>
    <w:p w:rsidR="00B8408F" w:rsidRPr="0056297D" w:rsidRDefault="00E975D9" w:rsidP="00B8408F">
      <w:pPr>
        <w:rPr>
          <w:rFonts w:ascii="Garamond" w:hAnsi="Garamond" w:cstheme="majorHAnsi"/>
          <w:lang w:eastAsia="ja-JP"/>
        </w:rPr>
      </w:pPr>
      <w:r>
        <w:rPr>
          <w:rFonts w:ascii="Garamond" w:hAnsi="Garamond" w:cstheme="majorHAnsi"/>
          <w:lang w:eastAsia="ja-JP"/>
        </w:rPr>
        <w:t>Table 4-6</w:t>
      </w:r>
      <w:r>
        <w:rPr>
          <w:rFonts w:ascii="Garamond" w:hAnsi="Garamond" w:cstheme="majorHAnsi"/>
          <w:lang w:eastAsia="ja-JP"/>
        </w:rPr>
        <w:tab/>
      </w:r>
      <w:r w:rsidR="00B8408F" w:rsidRPr="0056297D">
        <w:rPr>
          <w:rFonts w:ascii="Garamond" w:hAnsi="Garamond" w:cstheme="majorHAnsi"/>
          <w:lang w:eastAsia="ja-JP"/>
        </w:rPr>
        <w:t>Commodity and Manufacture Sectors Share of GDP</w:t>
      </w:r>
      <w:r w:rsidR="005F571B">
        <w:rPr>
          <w:rFonts w:ascii="Garamond" w:hAnsi="Garamond" w:cstheme="majorHAnsi"/>
          <w:lang w:eastAsia="ja-JP"/>
        </w:rPr>
        <w:t>……….39</w:t>
      </w:r>
    </w:p>
    <w:p w:rsidR="00B8408F" w:rsidRPr="0056297D" w:rsidRDefault="00B8408F" w:rsidP="00B8408F">
      <w:pPr>
        <w:jc w:val="center"/>
        <w:rPr>
          <w:rFonts w:ascii="Garamond" w:hAnsi="Garamond" w:cstheme="majorHAnsi"/>
          <w:sz w:val="18"/>
          <w:szCs w:val="18"/>
        </w:rPr>
      </w:pPr>
    </w:p>
    <w:p w:rsidR="00B8408F" w:rsidRPr="00B8408F" w:rsidRDefault="00B8408F" w:rsidP="00B8408F">
      <w:pPr>
        <w:pStyle w:val="Heading1"/>
        <w:rPr>
          <w:rFonts w:ascii="Garamond" w:hAnsi="Garamond"/>
          <w:i/>
          <w:color w:val="auto"/>
        </w:rPr>
      </w:pPr>
      <w:bookmarkStart w:id="2" w:name="_Toc343007169"/>
      <w:r w:rsidRPr="00B8408F">
        <w:rPr>
          <w:rFonts w:ascii="Garamond" w:hAnsi="Garamond"/>
          <w:i/>
          <w:color w:val="auto"/>
        </w:rPr>
        <w:t>List of Figures</w:t>
      </w:r>
      <w:bookmarkEnd w:id="2"/>
    </w:p>
    <w:p w:rsidR="00B8408F" w:rsidRPr="0056297D" w:rsidRDefault="00E975D9" w:rsidP="00B8408F">
      <w:pPr>
        <w:rPr>
          <w:rFonts w:ascii="Garamond" w:hAnsi="Garamond" w:cstheme="majorHAnsi"/>
        </w:rPr>
      </w:pPr>
      <w:r>
        <w:rPr>
          <w:rFonts w:ascii="Garamond" w:hAnsi="Garamond" w:cstheme="majorHAnsi"/>
        </w:rPr>
        <w:t>Figure 1-1</w:t>
      </w:r>
      <w:r w:rsidR="00B8408F" w:rsidRPr="0056297D">
        <w:rPr>
          <w:rFonts w:ascii="Garamond" w:hAnsi="Garamond" w:cstheme="majorHAnsi"/>
        </w:rPr>
        <w:t xml:space="preserve"> </w:t>
      </w:r>
      <w:r w:rsidR="00B8408F" w:rsidRPr="0056297D">
        <w:rPr>
          <w:rFonts w:ascii="Garamond" w:hAnsi="Garamond" w:cstheme="majorHAnsi"/>
        </w:rPr>
        <w:tab/>
        <w:t>Indonesia Export Share, 1970 to 2010</w:t>
      </w:r>
      <w:r w:rsidR="005F571B">
        <w:rPr>
          <w:rFonts w:ascii="Garamond" w:hAnsi="Garamond" w:cstheme="majorHAnsi"/>
        </w:rPr>
        <w:t>………………………5</w:t>
      </w:r>
    </w:p>
    <w:p w:rsidR="00B8408F" w:rsidRPr="0056297D" w:rsidRDefault="00E975D9" w:rsidP="005F571B">
      <w:pPr>
        <w:ind w:left="1440" w:hanging="1440"/>
        <w:rPr>
          <w:rFonts w:ascii="Garamond" w:hAnsi="Garamond"/>
        </w:rPr>
      </w:pPr>
      <w:r>
        <w:rPr>
          <w:rFonts w:ascii="Garamond" w:hAnsi="Garamond"/>
        </w:rPr>
        <w:t>Figure 4-1</w:t>
      </w:r>
      <w:r w:rsidR="00B8408F" w:rsidRPr="0056297D">
        <w:rPr>
          <w:rFonts w:ascii="Garamond" w:hAnsi="Garamond"/>
        </w:rPr>
        <w:t xml:space="preserve"> </w:t>
      </w:r>
      <w:r w:rsidR="00B8408F" w:rsidRPr="0056297D">
        <w:rPr>
          <w:rFonts w:ascii="Garamond" w:hAnsi="Garamond"/>
        </w:rPr>
        <w:tab/>
        <w:t>Global Commodity Prices and Share of Exports (Percentage Change)</w:t>
      </w:r>
      <w:r w:rsidR="005F571B">
        <w:rPr>
          <w:rFonts w:ascii="Garamond" w:hAnsi="Garamond"/>
        </w:rPr>
        <w:t>……………………………………………………..26</w:t>
      </w:r>
    </w:p>
    <w:p w:rsidR="00B8408F" w:rsidRPr="0056297D" w:rsidRDefault="00E975D9" w:rsidP="005F571B">
      <w:pPr>
        <w:ind w:left="1350" w:hanging="1350"/>
        <w:rPr>
          <w:rFonts w:ascii="Garamond" w:hAnsi="Garamond"/>
        </w:rPr>
      </w:pPr>
      <w:r>
        <w:rPr>
          <w:rFonts w:ascii="Garamond" w:hAnsi="Garamond"/>
        </w:rPr>
        <w:t>Figure 4.2</w:t>
      </w:r>
      <w:r w:rsidR="00B8408F" w:rsidRPr="0056297D">
        <w:rPr>
          <w:rFonts w:ascii="Garamond" w:hAnsi="Garamond"/>
        </w:rPr>
        <w:t xml:space="preserve"> </w:t>
      </w:r>
      <w:r w:rsidR="00B8408F">
        <w:rPr>
          <w:rFonts w:ascii="Garamond" w:hAnsi="Garamond"/>
        </w:rPr>
        <w:tab/>
      </w:r>
      <w:r w:rsidR="00B8408F" w:rsidRPr="0056297D">
        <w:rPr>
          <w:rFonts w:ascii="Garamond" w:hAnsi="Garamond"/>
        </w:rPr>
        <w:t>Food Commodity Volume Exports and Prices (Percentage Change)</w:t>
      </w:r>
      <w:r w:rsidR="005F571B">
        <w:rPr>
          <w:rFonts w:ascii="Garamond" w:hAnsi="Garamond"/>
        </w:rPr>
        <w:t>……………………………………………………....26</w:t>
      </w:r>
    </w:p>
    <w:p w:rsidR="00B8408F" w:rsidRPr="0056297D" w:rsidRDefault="00E975D9" w:rsidP="005F571B">
      <w:pPr>
        <w:ind w:left="1350" w:hanging="1350"/>
        <w:rPr>
          <w:rFonts w:ascii="Garamond" w:hAnsi="Garamond"/>
        </w:rPr>
      </w:pPr>
      <w:r>
        <w:rPr>
          <w:rFonts w:ascii="Garamond" w:hAnsi="Garamond"/>
        </w:rPr>
        <w:t>Figure 4.3</w:t>
      </w:r>
      <w:r w:rsidR="00B8408F" w:rsidRPr="0056297D">
        <w:rPr>
          <w:rFonts w:ascii="Garamond" w:hAnsi="Garamond"/>
        </w:rPr>
        <w:t xml:space="preserve"> </w:t>
      </w:r>
      <w:r w:rsidR="00B8408F">
        <w:rPr>
          <w:rFonts w:ascii="Garamond" w:hAnsi="Garamond"/>
        </w:rPr>
        <w:tab/>
      </w:r>
      <w:r w:rsidR="00B8408F" w:rsidRPr="0056297D">
        <w:rPr>
          <w:rFonts w:ascii="Garamond" w:hAnsi="Garamond"/>
        </w:rPr>
        <w:t>Tropical Beverages Volume Exports and Prices (Percentage Change)</w:t>
      </w:r>
      <w:r w:rsidR="005F571B">
        <w:rPr>
          <w:rFonts w:ascii="Garamond" w:hAnsi="Garamond"/>
        </w:rPr>
        <w:t>....……………………………………………………27</w:t>
      </w:r>
    </w:p>
    <w:p w:rsidR="00B8408F" w:rsidRPr="0056297D" w:rsidRDefault="00E975D9" w:rsidP="00B8408F">
      <w:pPr>
        <w:ind w:left="1440" w:hanging="1440"/>
        <w:rPr>
          <w:rFonts w:ascii="Garamond" w:hAnsi="Garamond"/>
        </w:rPr>
      </w:pPr>
      <w:r>
        <w:rPr>
          <w:rFonts w:ascii="Garamond" w:hAnsi="Garamond"/>
        </w:rPr>
        <w:t>Figure 4.4</w:t>
      </w:r>
      <w:r w:rsidR="00B8408F" w:rsidRPr="0056297D">
        <w:rPr>
          <w:rFonts w:ascii="Garamond" w:hAnsi="Garamond"/>
        </w:rPr>
        <w:t xml:space="preserve"> </w:t>
      </w:r>
      <w:r w:rsidR="00B8408F">
        <w:rPr>
          <w:rFonts w:ascii="Garamond" w:hAnsi="Garamond"/>
        </w:rPr>
        <w:tab/>
      </w:r>
      <w:r w:rsidR="00B8408F" w:rsidRPr="0056297D">
        <w:rPr>
          <w:rFonts w:ascii="Garamond" w:hAnsi="Garamond"/>
        </w:rPr>
        <w:t>Vegetables Oils and Oilseeds Volume Exports and Prices (Percentage Change)</w:t>
      </w:r>
      <w:r w:rsidR="005F571B">
        <w:rPr>
          <w:rFonts w:ascii="Garamond" w:hAnsi="Garamond"/>
        </w:rPr>
        <w:t>………………………………………...27</w:t>
      </w:r>
    </w:p>
    <w:p w:rsidR="00B8408F" w:rsidRPr="0056297D" w:rsidRDefault="00E975D9" w:rsidP="00B8408F">
      <w:pPr>
        <w:ind w:left="1440" w:hanging="1440"/>
        <w:rPr>
          <w:rFonts w:ascii="Garamond" w:hAnsi="Garamond"/>
        </w:rPr>
      </w:pPr>
      <w:r>
        <w:rPr>
          <w:rFonts w:ascii="Garamond" w:hAnsi="Garamond"/>
        </w:rPr>
        <w:t>Figure 4.5</w:t>
      </w:r>
      <w:r w:rsidR="00B8408F" w:rsidRPr="0056297D">
        <w:rPr>
          <w:rFonts w:ascii="Garamond" w:hAnsi="Garamond"/>
        </w:rPr>
        <w:t xml:space="preserve"> </w:t>
      </w:r>
      <w:r w:rsidR="00B8408F">
        <w:rPr>
          <w:rFonts w:ascii="Garamond" w:hAnsi="Garamond"/>
        </w:rPr>
        <w:tab/>
      </w:r>
      <w:r w:rsidR="00B8408F" w:rsidRPr="0056297D">
        <w:rPr>
          <w:rFonts w:ascii="Garamond" w:hAnsi="Garamond"/>
        </w:rPr>
        <w:t>Agriculture Raw Materials Volume Exports and Prices (Percentage Change)</w:t>
      </w:r>
      <w:r w:rsidR="005F571B">
        <w:rPr>
          <w:rFonts w:ascii="Garamond" w:hAnsi="Garamond"/>
        </w:rPr>
        <w:t>…………………………………...……27</w:t>
      </w:r>
    </w:p>
    <w:p w:rsidR="00B8408F" w:rsidRPr="0056297D" w:rsidRDefault="00E975D9" w:rsidP="00B8408F">
      <w:pPr>
        <w:ind w:left="1440" w:hanging="1440"/>
        <w:rPr>
          <w:rFonts w:ascii="Garamond" w:hAnsi="Garamond"/>
        </w:rPr>
      </w:pPr>
      <w:r>
        <w:rPr>
          <w:rFonts w:ascii="Garamond" w:hAnsi="Garamond"/>
        </w:rPr>
        <w:t>Figure 4.6</w:t>
      </w:r>
      <w:r w:rsidR="00B8408F" w:rsidRPr="0056297D">
        <w:rPr>
          <w:rFonts w:ascii="Garamond" w:hAnsi="Garamond"/>
        </w:rPr>
        <w:t xml:space="preserve"> </w:t>
      </w:r>
      <w:r w:rsidR="00B8408F">
        <w:rPr>
          <w:rFonts w:ascii="Garamond" w:hAnsi="Garamond"/>
        </w:rPr>
        <w:tab/>
      </w:r>
      <w:r w:rsidR="00B8408F" w:rsidRPr="0056297D">
        <w:rPr>
          <w:rFonts w:ascii="Garamond" w:hAnsi="Garamond"/>
        </w:rPr>
        <w:t>Minerals, Ores and Metal Exports Volume Exports and Prices (Percentage Change)</w:t>
      </w:r>
      <w:r w:rsidR="005F571B">
        <w:rPr>
          <w:rFonts w:ascii="Garamond" w:hAnsi="Garamond"/>
        </w:rPr>
        <w:t>………………………………...………28</w:t>
      </w:r>
    </w:p>
    <w:p w:rsidR="00B8408F" w:rsidRPr="0056297D" w:rsidRDefault="00E975D9" w:rsidP="00B8408F">
      <w:pPr>
        <w:rPr>
          <w:rFonts w:ascii="Garamond" w:hAnsi="Garamond"/>
        </w:rPr>
      </w:pPr>
      <w:r>
        <w:rPr>
          <w:rFonts w:ascii="Garamond" w:hAnsi="Garamond"/>
        </w:rPr>
        <w:t>Figure 4.7</w:t>
      </w:r>
      <w:r w:rsidR="00B8408F" w:rsidRPr="0056297D">
        <w:rPr>
          <w:rFonts w:ascii="Garamond" w:hAnsi="Garamond"/>
        </w:rPr>
        <w:t xml:space="preserve"> </w:t>
      </w:r>
      <w:r w:rsidR="00B8408F">
        <w:rPr>
          <w:rFonts w:ascii="Garamond" w:hAnsi="Garamond"/>
        </w:rPr>
        <w:tab/>
      </w:r>
      <w:r w:rsidR="00B8408F" w:rsidRPr="0056297D">
        <w:rPr>
          <w:rFonts w:ascii="Garamond" w:hAnsi="Garamond"/>
        </w:rPr>
        <w:t>Food commodity import volume (% Change)</w:t>
      </w:r>
      <w:r w:rsidR="005F571B">
        <w:rPr>
          <w:rFonts w:ascii="Garamond" w:hAnsi="Garamond"/>
        </w:rPr>
        <w:t>………………32</w:t>
      </w:r>
    </w:p>
    <w:p w:rsidR="00B8408F" w:rsidRPr="0056297D" w:rsidRDefault="00E975D9" w:rsidP="00B8408F">
      <w:pPr>
        <w:rPr>
          <w:rFonts w:ascii="Garamond" w:hAnsi="Garamond"/>
        </w:rPr>
      </w:pPr>
      <w:r>
        <w:rPr>
          <w:rFonts w:ascii="Garamond" w:hAnsi="Garamond"/>
        </w:rPr>
        <w:t>Figure 4.8</w:t>
      </w:r>
      <w:r w:rsidR="00B8408F" w:rsidRPr="0056297D">
        <w:rPr>
          <w:rFonts w:ascii="Garamond" w:hAnsi="Garamond"/>
        </w:rPr>
        <w:t xml:space="preserve"> </w:t>
      </w:r>
      <w:r w:rsidR="00B8408F">
        <w:rPr>
          <w:rFonts w:ascii="Garamond" w:hAnsi="Garamond"/>
        </w:rPr>
        <w:tab/>
      </w:r>
      <w:r w:rsidR="00B8408F" w:rsidRPr="0056297D">
        <w:rPr>
          <w:rFonts w:ascii="Garamond" w:hAnsi="Garamond"/>
        </w:rPr>
        <w:t>Agriculture raw materials imports volume (% Change)</w:t>
      </w:r>
      <w:r w:rsidR="005F571B">
        <w:rPr>
          <w:rFonts w:ascii="Garamond" w:hAnsi="Garamond"/>
        </w:rPr>
        <w:t>…...…32</w:t>
      </w:r>
    </w:p>
    <w:p w:rsidR="00B8408F" w:rsidRPr="0056297D" w:rsidRDefault="00E975D9" w:rsidP="00B8408F">
      <w:pPr>
        <w:rPr>
          <w:rFonts w:ascii="Garamond" w:hAnsi="Garamond"/>
        </w:rPr>
      </w:pPr>
      <w:r>
        <w:rPr>
          <w:rFonts w:ascii="Garamond" w:hAnsi="Garamond"/>
        </w:rPr>
        <w:t>Figure 4.9</w:t>
      </w:r>
      <w:r w:rsidR="00B8408F" w:rsidRPr="0056297D">
        <w:rPr>
          <w:rFonts w:ascii="Garamond" w:hAnsi="Garamond"/>
        </w:rPr>
        <w:t xml:space="preserve"> </w:t>
      </w:r>
      <w:r w:rsidR="00B8408F">
        <w:rPr>
          <w:rFonts w:ascii="Garamond" w:hAnsi="Garamond"/>
        </w:rPr>
        <w:tab/>
      </w:r>
      <w:r w:rsidR="00B8408F" w:rsidRPr="0056297D">
        <w:rPr>
          <w:rFonts w:ascii="Garamond" w:hAnsi="Garamond"/>
        </w:rPr>
        <w:t>Fuel imports volume (% Change)</w:t>
      </w:r>
      <w:r w:rsidR="005F571B">
        <w:rPr>
          <w:rFonts w:ascii="Garamond" w:hAnsi="Garamond"/>
        </w:rPr>
        <w:t>……………………...……32</w:t>
      </w:r>
    </w:p>
    <w:p w:rsidR="00B8408F" w:rsidRPr="0056297D" w:rsidRDefault="00E975D9" w:rsidP="005F571B">
      <w:pPr>
        <w:ind w:left="1440" w:hanging="1440"/>
        <w:rPr>
          <w:rFonts w:ascii="Garamond" w:hAnsi="Garamond"/>
          <w:lang w:eastAsia="ja-JP"/>
        </w:rPr>
      </w:pPr>
      <w:r>
        <w:rPr>
          <w:rFonts w:ascii="Garamond" w:hAnsi="Garamond"/>
          <w:lang w:eastAsia="ja-JP"/>
        </w:rPr>
        <w:t>Figure 4.10</w:t>
      </w:r>
      <w:r w:rsidR="00B8408F">
        <w:rPr>
          <w:rFonts w:ascii="Garamond" w:hAnsi="Garamond"/>
          <w:lang w:eastAsia="ja-JP"/>
        </w:rPr>
        <w:tab/>
      </w:r>
      <w:r w:rsidR="00B8408F" w:rsidRPr="0056297D">
        <w:rPr>
          <w:rFonts w:ascii="Garamond" w:hAnsi="Garamond"/>
          <w:lang w:eastAsia="ja-JP"/>
        </w:rPr>
        <w:t>Net Barter TOT Index % Change and Annual GDP Growth %</w:t>
      </w:r>
      <w:r w:rsidR="005F571B">
        <w:rPr>
          <w:rFonts w:ascii="Garamond" w:hAnsi="Garamond"/>
          <w:lang w:eastAsia="ja-JP"/>
        </w:rPr>
        <w:t>........................................................................................................34</w:t>
      </w:r>
    </w:p>
    <w:p w:rsidR="00B8408F" w:rsidRPr="0056297D" w:rsidRDefault="00E975D9" w:rsidP="00B8408F">
      <w:pPr>
        <w:rPr>
          <w:rFonts w:ascii="Garamond" w:hAnsi="Garamond"/>
          <w:lang w:eastAsia="ja-JP"/>
        </w:rPr>
      </w:pPr>
      <w:r>
        <w:rPr>
          <w:rFonts w:ascii="Garamond" w:hAnsi="Garamond"/>
          <w:lang w:eastAsia="ja-JP"/>
        </w:rPr>
        <w:t>Figure 4.11</w:t>
      </w:r>
      <w:r w:rsidR="00B8408F">
        <w:rPr>
          <w:rFonts w:ascii="Garamond" w:hAnsi="Garamond"/>
          <w:lang w:eastAsia="ja-JP"/>
        </w:rPr>
        <w:tab/>
      </w:r>
      <w:r w:rsidR="00B8408F" w:rsidRPr="0056297D">
        <w:rPr>
          <w:rFonts w:ascii="Garamond" w:hAnsi="Garamond"/>
          <w:lang w:eastAsia="ja-JP"/>
        </w:rPr>
        <w:t>Exports Growth and GDP Growth</w:t>
      </w:r>
      <w:r w:rsidR="005F571B">
        <w:rPr>
          <w:rFonts w:ascii="Garamond" w:hAnsi="Garamond"/>
          <w:lang w:eastAsia="ja-JP"/>
        </w:rPr>
        <w:t>……………….………..36</w:t>
      </w:r>
    </w:p>
    <w:p w:rsidR="00B8408F" w:rsidRPr="0056297D" w:rsidRDefault="00E975D9" w:rsidP="00B8408F">
      <w:pPr>
        <w:rPr>
          <w:rFonts w:ascii="Garamond" w:eastAsiaTheme="majorEastAsia" w:hAnsi="Garamond" w:cstheme="majorHAnsi"/>
          <w:bCs/>
        </w:rPr>
      </w:pPr>
      <w:r>
        <w:rPr>
          <w:rFonts w:ascii="Garamond" w:eastAsiaTheme="majorEastAsia" w:hAnsi="Garamond" w:cstheme="majorHAnsi"/>
          <w:bCs/>
        </w:rPr>
        <w:t>Figure 4.12</w:t>
      </w:r>
      <w:r w:rsidR="00B8408F">
        <w:rPr>
          <w:rFonts w:ascii="Garamond" w:eastAsiaTheme="majorEastAsia" w:hAnsi="Garamond" w:cstheme="majorHAnsi"/>
          <w:bCs/>
        </w:rPr>
        <w:tab/>
      </w:r>
      <w:r w:rsidR="00B8408F" w:rsidRPr="0056297D">
        <w:rPr>
          <w:rFonts w:ascii="Garamond" w:eastAsiaTheme="majorEastAsia" w:hAnsi="Garamond" w:cstheme="majorHAnsi"/>
          <w:bCs/>
        </w:rPr>
        <w:t>GDP Annual Growth and Global Commodity Price</w:t>
      </w:r>
      <w:r w:rsidR="005F571B">
        <w:rPr>
          <w:rFonts w:ascii="Garamond" w:eastAsiaTheme="majorEastAsia" w:hAnsi="Garamond" w:cstheme="majorHAnsi"/>
          <w:bCs/>
        </w:rPr>
        <w:t>………..37</w:t>
      </w:r>
    </w:p>
    <w:p w:rsidR="00B8408F" w:rsidRPr="0056297D" w:rsidRDefault="00E975D9" w:rsidP="00B8408F">
      <w:pPr>
        <w:rPr>
          <w:rFonts w:ascii="Garamond" w:hAnsi="Garamond"/>
        </w:rPr>
      </w:pPr>
      <w:r>
        <w:rPr>
          <w:rFonts w:ascii="Garamond" w:hAnsi="Garamond"/>
        </w:rPr>
        <w:t>Figure 4.13</w:t>
      </w:r>
      <w:r w:rsidR="00B8408F" w:rsidRPr="0056297D">
        <w:rPr>
          <w:rFonts w:ascii="Garamond" w:hAnsi="Garamond"/>
        </w:rPr>
        <w:t xml:space="preserve"> </w:t>
      </w:r>
      <w:r w:rsidR="00B8408F">
        <w:rPr>
          <w:rFonts w:ascii="Garamond" w:hAnsi="Garamond"/>
        </w:rPr>
        <w:tab/>
      </w:r>
      <w:r w:rsidR="00B8408F" w:rsidRPr="0056297D">
        <w:rPr>
          <w:rFonts w:ascii="Garamond" w:hAnsi="Garamond"/>
        </w:rPr>
        <w:t>Sectors % growth contribution to GDP</w:t>
      </w:r>
      <w:proofErr w:type="gramStart"/>
      <w:r w:rsidR="005F571B">
        <w:rPr>
          <w:rFonts w:ascii="Garamond" w:hAnsi="Garamond"/>
        </w:rPr>
        <w:t>……...……………</w:t>
      </w:r>
      <w:proofErr w:type="gramEnd"/>
      <w:r w:rsidR="005F571B">
        <w:rPr>
          <w:rFonts w:ascii="Garamond" w:hAnsi="Garamond"/>
        </w:rPr>
        <w:t>..38</w:t>
      </w:r>
    </w:p>
    <w:p w:rsidR="00B8408F" w:rsidRDefault="00B8408F" w:rsidP="002506F2"/>
    <w:p w:rsidR="00B8408F" w:rsidRPr="00B8408F" w:rsidRDefault="00B8408F" w:rsidP="00B8408F">
      <w:pPr>
        <w:pStyle w:val="Heading1"/>
        <w:rPr>
          <w:rFonts w:ascii="Garamond" w:hAnsi="Garamond"/>
          <w:i/>
          <w:color w:val="auto"/>
        </w:rPr>
      </w:pPr>
      <w:bookmarkStart w:id="3" w:name="_Toc343007170"/>
      <w:r w:rsidRPr="00B8408F">
        <w:rPr>
          <w:rFonts w:ascii="Garamond" w:hAnsi="Garamond"/>
          <w:i/>
          <w:color w:val="auto"/>
        </w:rPr>
        <w:t>List of Acronyms</w:t>
      </w:r>
      <w:bookmarkEnd w:id="3"/>
    </w:p>
    <w:p w:rsidR="00E03D6B" w:rsidRDefault="00E03D6B" w:rsidP="00B8408F">
      <w:pPr>
        <w:pStyle w:val="Acronyms"/>
        <w:tabs>
          <w:tab w:val="left" w:pos="1701"/>
        </w:tabs>
        <w:suppressAutoHyphens/>
        <w:spacing w:after="0"/>
        <w:ind w:left="0" w:firstLine="0"/>
      </w:pPr>
      <w:r>
        <w:t>ASEAN</w:t>
      </w:r>
      <w:r>
        <w:tab/>
        <w:t>Association of South East Asian Nations</w:t>
      </w:r>
    </w:p>
    <w:p w:rsidR="00E03D6B" w:rsidRPr="00B8408F" w:rsidRDefault="00E03D6B" w:rsidP="00B8408F">
      <w:pPr>
        <w:pStyle w:val="Acronyms"/>
        <w:tabs>
          <w:tab w:val="left" w:pos="1701"/>
        </w:tabs>
        <w:suppressAutoHyphens/>
        <w:spacing w:after="0"/>
        <w:ind w:left="0" w:firstLine="0"/>
      </w:pPr>
      <w:r>
        <w:t>BPS</w:t>
      </w:r>
      <w:r>
        <w:tab/>
      </w:r>
      <w:proofErr w:type="spellStart"/>
      <w:r w:rsidRPr="00B8408F">
        <w:t>Badan</w:t>
      </w:r>
      <w:proofErr w:type="spellEnd"/>
      <w:r w:rsidRPr="00B8408F">
        <w:t xml:space="preserve"> </w:t>
      </w:r>
      <w:proofErr w:type="spellStart"/>
      <w:r w:rsidRPr="00B8408F">
        <w:t>Pusat</w:t>
      </w:r>
      <w:proofErr w:type="spellEnd"/>
      <w:r w:rsidRPr="00B8408F">
        <w:t xml:space="preserve"> Statistics (Statistics Indonesia)</w:t>
      </w:r>
      <w:bookmarkStart w:id="4" w:name="_GoBack"/>
      <w:bookmarkEnd w:id="4"/>
    </w:p>
    <w:p w:rsidR="00E03D6B" w:rsidRDefault="00E03D6B" w:rsidP="00B8408F">
      <w:pPr>
        <w:pStyle w:val="Acronyms"/>
        <w:tabs>
          <w:tab w:val="left" w:pos="1701"/>
        </w:tabs>
        <w:suppressAutoHyphens/>
        <w:spacing w:after="0"/>
        <w:ind w:left="0" w:firstLine="0"/>
      </w:pPr>
      <w:r w:rsidRPr="00B8408F">
        <w:t>BULOG</w:t>
      </w:r>
      <w:r w:rsidRPr="00B8408F">
        <w:tab/>
      </w:r>
      <w:proofErr w:type="spellStart"/>
      <w:r w:rsidRPr="00B8408F">
        <w:t>Badan</w:t>
      </w:r>
      <w:proofErr w:type="spellEnd"/>
      <w:r w:rsidRPr="00B8408F">
        <w:t xml:space="preserve"> </w:t>
      </w:r>
      <w:proofErr w:type="spellStart"/>
      <w:r w:rsidRPr="00B8408F">
        <w:t>Urusan</w:t>
      </w:r>
      <w:proofErr w:type="spellEnd"/>
      <w:r w:rsidRPr="00B8408F">
        <w:t xml:space="preserve"> </w:t>
      </w:r>
      <w:proofErr w:type="spellStart"/>
      <w:r w:rsidRPr="00B8408F">
        <w:t>Logistik</w:t>
      </w:r>
      <w:proofErr w:type="spellEnd"/>
      <w:r w:rsidRPr="00B8408F">
        <w:t xml:space="preserve"> (National Logistic Agency)</w:t>
      </w:r>
    </w:p>
    <w:p w:rsidR="00E03D6B" w:rsidRDefault="00E03D6B" w:rsidP="00B8408F">
      <w:pPr>
        <w:pStyle w:val="Acronyms"/>
        <w:tabs>
          <w:tab w:val="left" w:pos="1701"/>
        </w:tabs>
        <w:suppressAutoHyphens/>
        <w:spacing w:after="0"/>
        <w:ind w:left="0" w:firstLine="0"/>
      </w:pPr>
      <w:r>
        <w:t>EDA</w:t>
      </w:r>
      <w:r>
        <w:tab/>
        <w:t>Exploratory Data Analysis</w:t>
      </w:r>
    </w:p>
    <w:p w:rsidR="00E03D6B" w:rsidRPr="00B8408F" w:rsidRDefault="00E03D6B" w:rsidP="00B8408F">
      <w:pPr>
        <w:tabs>
          <w:tab w:val="left" w:pos="1350"/>
          <w:tab w:val="left" w:pos="1620"/>
          <w:tab w:val="left" w:pos="1710"/>
        </w:tabs>
        <w:rPr>
          <w:rFonts w:ascii="Garamond" w:hAnsi="Garamond"/>
        </w:rPr>
      </w:pPr>
      <w:r>
        <w:rPr>
          <w:rFonts w:ascii="Garamond" w:hAnsi="Garamond"/>
        </w:rPr>
        <w:t>GDP</w:t>
      </w:r>
      <w:r>
        <w:rPr>
          <w:rFonts w:ascii="Garamond" w:hAnsi="Garamond"/>
        </w:rPr>
        <w:tab/>
      </w:r>
      <w:r>
        <w:rPr>
          <w:rFonts w:ascii="Garamond" w:hAnsi="Garamond"/>
        </w:rPr>
        <w:tab/>
        <w:t xml:space="preserve">  Gross Domestic Product</w:t>
      </w:r>
    </w:p>
    <w:p w:rsidR="00E03D6B" w:rsidRPr="00B8408F" w:rsidRDefault="00E03D6B" w:rsidP="00B8408F">
      <w:pPr>
        <w:pStyle w:val="Acronyms"/>
        <w:tabs>
          <w:tab w:val="left" w:pos="1701"/>
        </w:tabs>
        <w:suppressAutoHyphens/>
        <w:spacing w:after="0"/>
        <w:ind w:left="0" w:firstLine="0"/>
      </w:pPr>
      <w:r w:rsidRPr="00B8408F">
        <w:t>IMF</w:t>
      </w:r>
      <w:r w:rsidRPr="00B8408F">
        <w:tab/>
        <w:t>International Monetary Fund</w:t>
      </w:r>
    </w:p>
    <w:p w:rsidR="00E03D6B" w:rsidRPr="00B8408F" w:rsidRDefault="00E03D6B" w:rsidP="00B8408F">
      <w:pPr>
        <w:pStyle w:val="Acronyms"/>
        <w:tabs>
          <w:tab w:val="left" w:pos="1701"/>
        </w:tabs>
        <w:suppressAutoHyphens/>
        <w:spacing w:after="0"/>
        <w:ind w:left="0" w:firstLine="0"/>
      </w:pPr>
      <w:r w:rsidRPr="00B8408F">
        <w:t>OPEC</w:t>
      </w:r>
      <w:r w:rsidRPr="00B8408F">
        <w:tab/>
        <w:t>Organization of the Petroleum Exporting Countries</w:t>
      </w:r>
    </w:p>
    <w:p w:rsidR="00E03D6B" w:rsidRPr="00B8408F" w:rsidRDefault="00E03D6B" w:rsidP="00E03D6B">
      <w:pPr>
        <w:pStyle w:val="Acronyms"/>
        <w:tabs>
          <w:tab w:val="left" w:pos="1701"/>
        </w:tabs>
        <w:suppressAutoHyphens/>
        <w:spacing w:after="0"/>
        <w:ind w:left="1710" w:hanging="1710"/>
      </w:pPr>
      <w:proofErr w:type="spellStart"/>
      <w:r>
        <w:t>Repelita</w:t>
      </w:r>
      <w:proofErr w:type="spellEnd"/>
      <w:r>
        <w:tab/>
      </w:r>
      <w:proofErr w:type="spellStart"/>
      <w:r>
        <w:t>Rencana</w:t>
      </w:r>
      <w:proofErr w:type="spellEnd"/>
      <w:r>
        <w:t xml:space="preserve"> Pembangunan Lima </w:t>
      </w:r>
      <w:proofErr w:type="spellStart"/>
      <w:r>
        <w:t>Tahun</w:t>
      </w:r>
      <w:proofErr w:type="spellEnd"/>
      <w:r>
        <w:t xml:space="preserve"> (Five Years Development Plans)</w:t>
      </w:r>
    </w:p>
    <w:p w:rsidR="00E03D6B" w:rsidRPr="00B8408F" w:rsidRDefault="00E03D6B" w:rsidP="00B8408F">
      <w:pPr>
        <w:tabs>
          <w:tab w:val="left" w:pos="1710"/>
        </w:tabs>
        <w:rPr>
          <w:rFonts w:ascii="Garamond" w:hAnsi="Garamond"/>
        </w:rPr>
      </w:pPr>
      <w:r>
        <w:rPr>
          <w:rFonts w:ascii="Garamond" w:hAnsi="Garamond"/>
        </w:rPr>
        <w:t>TOT</w:t>
      </w:r>
      <w:r>
        <w:rPr>
          <w:rFonts w:ascii="Garamond" w:hAnsi="Garamond"/>
        </w:rPr>
        <w:tab/>
      </w:r>
      <w:r w:rsidRPr="00B8408F">
        <w:rPr>
          <w:rFonts w:ascii="Garamond" w:hAnsi="Garamond"/>
        </w:rPr>
        <w:t>Terms of Trade</w:t>
      </w:r>
    </w:p>
    <w:p w:rsidR="00E03D6B" w:rsidRDefault="00E03D6B" w:rsidP="00B8408F">
      <w:pPr>
        <w:pStyle w:val="Acronyms"/>
        <w:tabs>
          <w:tab w:val="left" w:pos="1701"/>
        </w:tabs>
        <w:suppressAutoHyphens/>
        <w:spacing w:after="0"/>
        <w:ind w:left="0" w:firstLine="0"/>
      </w:pPr>
      <w:r>
        <w:t>UNCTAD</w:t>
      </w:r>
      <w:r>
        <w:tab/>
        <w:t>United Nations Conference on Trade and Development</w:t>
      </w:r>
    </w:p>
    <w:p w:rsidR="00B8408F" w:rsidRDefault="00E03D6B" w:rsidP="00E03D6B">
      <w:pPr>
        <w:pStyle w:val="Acronyms"/>
        <w:tabs>
          <w:tab w:val="left" w:pos="1701"/>
        </w:tabs>
        <w:suppressAutoHyphens/>
        <w:spacing w:after="0"/>
        <w:ind w:left="0" w:firstLine="0"/>
      </w:pPr>
      <w:r w:rsidRPr="00B8408F">
        <w:t>WB</w:t>
      </w:r>
      <w:r w:rsidRPr="00B8408F">
        <w:tab/>
        <w:t>World Bank</w:t>
      </w:r>
    </w:p>
    <w:p w:rsidR="00AB5E66" w:rsidRPr="00AB5E66" w:rsidRDefault="00AB5E66" w:rsidP="00AB5E66">
      <w:pPr>
        <w:pStyle w:val="TOC1"/>
      </w:pPr>
      <w:r w:rsidRPr="00AB5E66">
        <w:lastRenderedPageBreak/>
        <w:t>Contents</w:t>
      </w:r>
    </w:p>
    <w:p w:rsidR="00AB5E66" w:rsidRDefault="00496FE5" w:rsidP="00AB5E66">
      <w:pPr>
        <w:pStyle w:val="TOC1"/>
        <w:rPr>
          <w:rFonts w:asciiTheme="minorHAnsi" w:hAnsiTheme="minorHAnsi" w:cstheme="minorBidi"/>
          <w:noProof/>
          <w:sz w:val="22"/>
          <w:szCs w:val="22"/>
        </w:rPr>
      </w:pPr>
      <w:r w:rsidRPr="00496FE5">
        <w:fldChar w:fldCharType="begin"/>
      </w:r>
      <w:r w:rsidR="00AB5E66">
        <w:instrText xml:space="preserve"> TOC \o "1-3" \h \z \u </w:instrText>
      </w:r>
      <w:r w:rsidRPr="00496FE5">
        <w:fldChar w:fldCharType="separate"/>
      </w:r>
      <w:hyperlink w:anchor="_Toc343007168" w:history="1">
        <w:r w:rsidR="00AB5E66" w:rsidRPr="000B0FB0">
          <w:rPr>
            <w:rStyle w:val="Hyperlink"/>
            <w:i/>
            <w:noProof/>
          </w:rPr>
          <w:t>List of Tables</w:t>
        </w:r>
        <w:r w:rsidR="00AB5E66">
          <w:rPr>
            <w:noProof/>
            <w:webHidden/>
          </w:rPr>
          <w:tab/>
        </w:r>
        <w:r>
          <w:rPr>
            <w:noProof/>
            <w:webHidden/>
          </w:rPr>
          <w:fldChar w:fldCharType="begin"/>
        </w:r>
        <w:r w:rsidR="00AB5E66">
          <w:rPr>
            <w:noProof/>
            <w:webHidden/>
          </w:rPr>
          <w:instrText xml:space="preserve"> PAGEREF _Toc343007168 \h </w:instrText>
        </w:r>
        <w:r>
          <w:rPr>
            <w:noProof/>
            <w:webHidden/>
          </w:rPr>
        </w:r>
        <w:r>
          <w:rPr>
            <w:noProof/>
            <w:webHidden/>
          </w:rPr>
          <w:fldChar w:fldCharType="separate"/>
        </w:r>
        <w:r w:rsidR="00AB5E66">
          <w:rPr>
            <w:noProof/>
            <w:webHidden/>
          </w:rPr>
          <w:t>2</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69" w:history="1">
        <w:r w:rsidR="00AB5E66" w:rsidRPr="000B0FB0">
          <w:rPr>
            <w:rStyle w:val="Hyperlink"/>
            <w:i/>
            <w:noProof/>
          </w:rPr>
          <w:t>List of Figures</w:t>
        </w:r>
        <w:r w:rsidR="00AB5E66">
          <w:rPr>
            <w:noProof/>
            <w:webHidden/>
          </w:rPr>
          <w:tab/>
        </w:r>
        <w:r>
          <w:rPr>
            <w:noProof/>
            <w:webHidden/>
          </w:rPr>
          <w:fldChar w:fldCharType="begin"/>
        </w:r>
        <w:r w:rsidR="00AB5E66">
          <w:rPr>
            <w:noProof/>
            <w:webHidden/>
          </w:rPr>
          <w:instrText xml:space="preserve"> PAGEREF _Toc343007169 \h </w:instrText>
        </w:r>
        <w:r>
          <w:rPr>
            <w:noProof/>
            <w:webHidden/>
          </w:rPr>
        </w:r>
        <w:r>
          <w:rPr>
            <w:noProof/>
            <w:webHidden/>
          </w:rPr>
          <w:fldChar w:fldCharType="separate"/>
        </w:r>
        <w:r w:rsidR="00AB5E66">
          <w:rPr>
            <w:noProof/>
            <w:webHidden/>
          </w:rPr>
          <w:t>2</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0" w:history="1">
        <w:r w:rsidR="00AB5E66" w:rsidRPr="000B0FB0">
          <w:rPr>
            <w:rStyle w:val="Hyperlink"/>
            <w:i/>
            <w:noProof/>
          </w:rPr>
          <w:t>List of Acronyms</w:t>
        </w:r>
        <w:r w:rsidR="00AB5E66">
          <w:rPr>
            <w:noProof/>
            <w:webHidden/>
          </w:rPr>
          <w:tab/>
        </w:r>
        <w:r>
          <w:rPr>
            <w:noProof/>
            <w:webHidden/>
          </w:rPr>
          <w:fldChar w:fldCharType="begin"/>
        </w:r>
        <w:r w:rsidR="00AB5E66">
          <w:rPr>
            <w:noProof/>
            <w:webHidden/>
          </w:rPr>
          <w:instrText xml:space="preserve"> PAGEREF _Toc343007170 \h </w:instrText>
        </w:r>
        <w:r>
          <w:rPr>
            <w:noProof/>
            <w:webHidden/>
          </w:rPr>
        </w:r>
        <w:r>
          <w:rPr>
            <w:noProof/>
            <w:webHidden/>
          </w:rPr>
          <w:fldChar w:fldCharType="separate"/>
        </w:r>
        <w:r w:rsidR="00AB5E66">
          <w:rPr>
            <w:noProof/>
            <w:webHidden/>
          </w:rPr>
          <w:t>2</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1" w:history="1">
        <w:r w:rsidR="00AB5E66" w:rsidRPr="000B0FB0">
          <w:rPr>
            <w:rStyle w:val="Hyperlink"/>
            <w:noProof/>
          </w:rPr>
          <w:t>Abstract</w:t>
        </w:r>
        <w:r w:rsidR="00AB5E66">
          <w:rPr>
            <w:noProof/>
            <w:webHidden/>
          </w:rPr>
          <w:tab/>
        </w:r>
        <w:r>
          <w:rPr>
            <w:noProof/>
            <w:webHidden/>
          </w:rPr>
          <w:fldChar w:fldCharType="begin"/>
        </w:r>
        <w:r w:rsidR="00AB5E66">
          <w:rPr>
            <w:noProof/>
            <w:webHidden/>
          </w:rPr>
          <w:instrText xml:space="preserve"> PAGEREF _Toc343007171 \h </w:instrText>
        </w:r>
        <w:r>
          <w:rPr>
            <w:noProof/>
            <w:webHidden/>
          </w:rPr>
        </w:r>
        <w:r>
          <w:rPr>
            <w:noProof/>
            <w:webHidden/>
          </w:rPr>
          <w:fldChar w:fldCharType="separate"/>
        </w:r>
        <w:r w:rsidR="00AB5E66">
          <w:rPr>
            <w:noProof/>
            <w:webHidden/>
          </w:rPr>
          <w:t>4</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2" w:history="1">
        <w:r w:rsidR="00AB5E66" w:rsidRPr="000B0FB0">
          <w:rPr>
            <w:rStyle w:val="Hyperlink"/>
            <w:noProof/>
          </w:rPr>
          <w:t>Chapter 1</w:t>
        </w:r>
        <w:r w:rsidR="00AB5E66">
          <w:rPr>
            <w:noProof/>
            <w:webHidden/>
          </w:rPr>
          <w:tab/>
        </w:r>
        <w:r>
          <w:rPr>
            <w:noProof/>
            <w:webHidden/>
          </w:rPr>
          <w:fldChar w:fldCharType="begin"/>
        </w:r>
        <w:r w:rsidR="00AB5E66">
          <w:rPr>
            <w:noProof/>
            <w:webHidden/>
          </w:rPr>
          <w:instrText xml:space="preserve"> PAGEREF _Toc343007172 \h </w:instrText>
        </w:r>
        <w:r>
          <w:rPr>
            <w:noProof/>
            <w:webHidden/>
          </w:rPr>
        </w:r>
        <w:r>
          <w:rPr>
            <w:noProof/>
            <w:webHidden/>
          </w:rPr>
          <w:fldChar w:fldCharType="separate"/>
        </w:r>
        <w:r w:rsidR="00AB5E66">
          <w:rPr>
            <w:noProof/>
            <w:webHidden/>
          </w:rPr>
          <w:t>5</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3" w:history="1">
        <w:r w:rsidR="00AB5E66" w:rsidRPr="000B0FB0">
          <w:rPr>
            <w:rStyle w:val="Hyperlink"/>
            <w:noProof/>
          </w:rPr>
          <w:t>Introduction</w:t>
        </w:r>
        <w:r w:rsidR="00AB5E66">
          <w:rPr>
            <w:noProof/>
            <w:webHidden/>
          </w:rPr>
          <w:tab/>
        </w:r>
        <w:r>
          <w:rPr>
            <w:noProof/>
            <w:webHidden/>
          </w:rPr>
          <w:fldChar w:fldCharType="begin"/>
        </w:r>
        <w:r w:rsidR="00AB5E66">
          <w:rPr>
            <w:noProof/>
            <w:webHidden/>
          </w:rPr>
          <w:instrText xml:space="preserve"> PAGEREF _Toc343007173 \h </w:instrText>
        </w:r>
        <w:r>
          <w:rPr>
            <w:noProof/>
            <w:webHidden/>
          </w:rPr>
        </w:r>
        <w:r>
          <w:rPr>
            <w:noProof/>
            <w:webHidden/>
          </w:rPr>
          <w:fldChar w:fldCharType="separate"/>
        </w:r>
        <w:r w:rsidR="00AB5E66">
          <w:rPr>
            <w:noProof/>
            <w:webHidden/>
          </w:rPr>
          <w:t>5</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74" w:history="1">
        <w:r w:rsidR="00AB5E66" w:rsidRPr="000B0FB0">
          <w:rPr>
            <w:rStyle w:val="Hyperlink"/>
            <w:rFonts w:ascii="Garamond" w:hAnsi="Garamond"/>
            <w:noProof/>
          </w:rPr>
          <w:t>1.1. Background</w:t>
        </w:r>
        <w:r w:rsidR="00AB5E66">
          <w:rPr>
            <w:noProof/>
            <w:webHidden/>
          </w:rPr>
          <w:tab/>
        </w:r>
        <w:r>
          <w:rPr>
            <w:noProof/>
            <w:webHidden/>
          </w:rPr>
          <w:fldChar w:fldCharType="begin"/>
        </w:r>
        <w:r w:rsidR="00AB5E66">
          <w:rPr>
            <w:noProof/>
            <w:webHidden/>
          </w:rPr>
          <w:instrText xml:space="preserve"> PAGEREF _Toc343007174 \h </w:instrText>
        </w:r>
        <w:r>
          <w:rPr>
            <w:noProof/>
            <w:webHidden/>
          </w:rPr>
        </w:r>
        <w:r>
          <w:rPr>
            <w:noProof/>
            <w:webHidden/>
          </w:rPr>
          <w:fldChar w:fldCharType="separate"/>
        </w:r>
        <w:r w:rsidR="00AB5E66">
          <w:rPr>
            <w:noProof/>
            <w:webHidden/>
          </w:rPr>
          <w:t>5</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75" w:history="1">
        <w:r w:rsidR="00AB5E66" w:rsidRPr="000B0FB0">
          <w:rPr>
            <w:rStyle w:val="Hyperlink"/>
            <w:rFonts w:ascii="Garamond" w:hAnsi="Garamond"/>
            <w:noProof/>
          </w:rPr>
          <w:t>1.2 Justification</w:t>
        </w:r>
        <w:r w:rsidR="00AB5E66">
          <w:rPr>
            <w:noProof/>
            <w:webHidden/>
          </w:rPr>
          <w:tab/>
        </w:r>
        <w:r>
          <w:rPr>
            <w:noProof/>
            <w:webHidden/>
          </w:rPr>
          <w:fldChar w:fldCharType="begin"/>
        </w:r>
        <w:r w:rsidR="00AB5E66">
          <w:rPr>
            <w:noProof/>
            <w:webHidden/>
          </w:rPr>
          <w:instrText xml:space="preserve"> PAGEREF _Toc343007175 \h </w:instrText>
        </w:r>
        <w:r>
          <w:rPr>
            <w:noProof/>
            <w:webHidden/>
          </w:rPr>
        </w:r>
        <w:r>
          <w:rPr>
            <w:noProof/>
            <w:webHidden/>
          </w:rPr>
          <w:fldChar w:fldCharType="separate"/>
        </w:r>
        <w:r w:rsidR="00AB5E66">
          <w:rPr>
            <w:noProof/>
            <w:webHidden/>
          </w:rPr>
          <w:t>6</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76" w:history="1">
        <w:r w:rsidR="00AB5E66" w:rsidRPr="000B0FB0">
          <w:rPr>
            <w:rStyle w:val="Hyperlink"/>
            <w:rFonts w:ascii="Garamond" w:hAnsi="Garamond"/>
            <w:noProof/>
          </w:rPr>
          <w:t>1.3 Research objectives, questions and arguments</w:t>
        </w:r>
        <w:r w:rsidR="00AB5E66">
          <w:rPr>
            <w:noProof/>
            <w:webHidden/>
          </w:rPr>
          <w:tab/>
        </w:r>
        <w:r>
          <w:rPr>
            <w:noProof/>
            <w:webHidden/>
          </w:rPr>
          <w:fldChar w:fldCharType="begin"/>
        </w:r>
        <w:r w:rsidR="00AB5E66">
          <w:rPr>
            <w:noProof/>
            <w:webHidden/>
          </w:rPr>
          <w:instrText xml:space="preserve"> PAGEREF _Toc343007176 \h </w:instrText>
        </w:r>
        <w:r>
          <w:rPr>
            <w:noProof/>
            <w:webHidden/>
          </w:rPr>
        </w:r>
        <w:r>
          <w:rPr>
            <w:noProof/>
            <w:webHidden/>
          </w:rPr>
          <w:fldChar w:fldCharType="separate"/>
        </w:r>
        <w:r w:rsidR="00AB5E66">
          <w:rPr>
            <w:noProof/>
            <w:webHidden/>
          </w:rPr>
          <w:t>6</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77" w:history="1">
        <w:r w:rsidR="00AB5E66" w:rsidRPr="000B0FB0">
          <w:rPr>
            <w:rStyle w:val="Hyperlink"/>
            <w:rFonts w:ascii="Garamond" w:hAnsi="Garamond"/>
            <w:noProof/>
          </w:rPr>
          <w:t>1.4 Methodology and limitations of the research</w:t>
        </w:r>
        <w:r w:rsidR="00AB5E66">
          <w:rPr>
            <w:noProof/>
            <w:webHidden/>
          </w:rPr>
          <w:tab/>
        </w:r>
        <w:r>
          <w:rPr>
            <w:noProof/>
            <w:webHidden/>
          </w:rPr>
          <w:fldChar w:fldCharType="begin"/>
        </w:r>
        <w:r w:rsidR="00AB5E66">
          <w:rPr>
            <w:noProof/>
            <w:webHidden/>
          </w:rPr>
          <w:instrText xml:space="preserve"> PAGEREF _Toc343007177 \h </w:instrText>
        </w:r>
        <w:r>
          <w:rPr>
            <w:noProof/>
            <w:webHidden/>
          </w:rPr>
        </w:r>
        <w:r>
          <w:rPr>
            <w:noProof/>
            <w:webHidden/>
          </w:rPr>
          <w:fldChar w:fldCharType="separate"/>
        </w:r>
        <w:r w:rsidR="00AB5E66">
          <w:rPr>
            <w:noProof/>
            <w:webHidden/>
          </w:rPr>
          <w:t>7</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8" w:history="1">
        <w:r w:rsidR="00AB5E66" w:rsidRPr="000B0FB0">
          <w:rPr>
            <w:rStyle w:val="Hyperlink"/>
            <w:noProof/>
          </w:rPr>
          <w:t>Chapter 2</w:t>
        </w:r>
        <w:r w:rsidR="00AB5E66">
          <w:rPr>
            <w:noProof/>
            <w:webHidden/>
          </w:rPr>
          <w:tab/>
        </w:r>
        <w:r>
          <w:rPr>
            <w:noProof/>
            <w:webHidden/>
          </w:rPr>
          <w:fldChar w:fldCharType="begin"/>
        </w:r>
        <w:r w:rsidR="00AB5E66">
          <w:rPr>
            <w:noProof/>
            <w:webHidden/>
          </w:rPr>
          <w:instrText xml:space="preserve"> PAGEREF _Toc343007178 \h </w:instrText>
        </w:r>
        <w:r>
          <w:rPr>
            <w:noProof/>
            <w:webHidden/>
          </w:rPr>
        </w:r>
        <w:r>
          <w:rPr>
            <w:noProof/>
            <w:webHidden/>
          </w:rPr>
          <w:fldChar w:fldCharType="separate"/>
        </w:r>
        <w:r w:rsidR="00AB5E66">
          <w:rPr>
            <w:noProof/>
            <w:webHidden/>
          </w:rPr>
          <w:t>9</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79" w:history="1">
        <w:r w:rsidR="00AB5E66" w:rsidRPr="000B0FB0">
          <w:rPr>
            <w:rStyle w:val="Hyperlink"/>
            <w:noProof/>
          </w:rPr>
          <w:t>Literature Review and Empirical Evidence</w:t>
        </w:r>
        <w:r w:rsidR="00AB5E66">
          <w:rPr>
            <w:noProof/>
            <w:webHidden/>
          </w:rPr>
          <w:tab/>
        </w:r>
        <w:r>
          <w:rPr>
            <w:noProof/>
            <w:webHidden/>
          </w:rPr>
          <w:fldChar w:fldCharType="begin"/>
        </w:r>
        <w:r w:rsidR="00AB5E66">
          <w:rPr>
            <w:noProof/>
            <w:webHidden/>
          </w:rPr>
          <w:instrText xml:space="preserve"> PAGEREF _Toc343007179 \h </w:instrText>
        </w:r>
        <w:r>
          <w:rPr>
            <w:noProof/>
            <w:webHidden/>
          </w:rPr>
        </w:r>
        <w:r>
          <w:rPr>
            <w:noProof/>
            <w:webHidden/>
          </w:rPr>
          <w:fldChar w:fldCharType="separate"/>
        </w:r>
        <w:r w:rsidR="00AB5E66">
          <w:rPr>
            <w:noProof/>
            <w:webHidden/>
          </w:rPr>
          <w:t>9</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80" w:history="1">
        <w:r w:rsidR="00AB5E66" w:rsidRPr="000B0FB0">
          <w:rPr>
            <w:rStyle w:val="Hyperlink"/>
            <w:rFonts w:ascii="Garamond" w:hAnsi="Garamond"/>
            <w:noProof/>
          </w:rPr>
          <w:t>2.1 Introduction</w:t>
        </w:r>
        <w:r w:rsidR="00AB5E66">
          <w:rPr>
            <w:noProof/>
            <w:webHidden/>
          </w:rPr>
          <w:tab/>
        </w:r>
        <w:r>
          <w:rPr>
            <w:noProof/>
            <w:webHidden/>
          </w:rPr>
          <w:fldChar w:fldCharType="begin"/>
        </w:r>
        <w:r w:rsidR="00AB5E66">
          <w:rPr>
            <w:noProof/>
            <w:webHidden/>
          </w:rPr>
          <w:instrText xml:space="preserve"> PAGEREF _Toc343007180 \h </w:instrText>
        </w:r>
        <w:r>
          <w:rPr>
            <w:noProof/>
            <w:webHidden/>
          </w:rPr>
        </w:r>
        <w:r>
          <w:rPr>
            <w:noProof/>
            <w:webHidden/>
          </w:rPr>
          <w:fldChar w:fldCharType="separate"/>
        </w:r>
        <w:r w:rsidR="00AB5E66">
          <w:rPr>
            <w:noProof/>
            <w:webHidden/>
          </w:rPr>
          <w:t>9</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81" w:history="1">
        <w:r w:rsidR="00AB5E66" w:rsidRPr="000B0FB0">
          <w:rPr>
            <w:rStyle w:val="Hyperlink"/>
            <w:rFonts w:ascii="Garamond" w:hAnsi="Garamond"/>
            <w:noProof/>
          </w:rPr>
          <w:t>2.2 Literature Review</w:t>
        </w:r>
        <w:r w:rsidR="00AB5E66">
          <w:rPr>
            <w:noProof/>
            <w:webHidden/>
          </w:rPr>
          <w:tab/>
        </w:r>
        <w:r>
          <w:rPr>
            <w:noProof/>
            <w:webHidden/>
          </w:rPr>
          <w:fldChar w:fldCharType="begin"/>
        </w:r>
        <w:r w:rsidR="00AB5E66">
          <w:rPr>
            <w:noProof/>
            <w:webHidden/>
          </w:rPr>
          <w:instrText xml:space="preserve"> PAGEREF _Toc343007181 \h </w:instrText>
        </w:r>
        <w:r>
          <w:rPr>
            <w:noProof/>
            <w:webHidden/>
          </w:rPr>
        </w:r>
        <w:r>
          <w:rPr>
            <w:noProof/>
            <w:webHidden/>
          </w:rPr>
          <w:fldChar w:fldCharType="separate"/>
        </w:r>
        <w:r w:rsidR="00AB5E66">
          <w:rPr>
            <w:noProof/>
            <w:webHidden/>
          </w:rPr>
          <w:t>9</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82" w:history="1">
        <w:r w:rsidR="00AB5E66" w:rsidRPr="000B0FB0">
          <w:rPr>
            <w:rStyle w:val="Hyperlink"/>
            <w:rFonts w:ascii="Garamond" w:hAnsi="Garamond"/>
            <w:noProof/>
          </w:rPr>
          <w:t>2.2.1 Structuralist view of commodity dependency</w:t>
        </w:r>
        <w:r w:rsidR="00AB5E66">
          <w:rPr>
            <w:noProof/>
            <w:webHidden/>
          </w:rPr>
          <w:tab/>
        </w:r>
        <w:r>
          <w:rPr>
            <w:noProof/>
            <w:webHidden/>
          </w:rPr>
          <w:fldChar w:fldCharType="begin"/>
        </w:r>
        <w:r w:rsidR="00AB5E66">
          <w:rPr>
            <w:noProof/>
            <w:webHidden/>
          </w:rPr>
          <w:instrText xml:space="preserve"> PAGEREF _Toc343007182 \h </w:instrText>
        </w:r>
        <w:r>
          <w:rPr>
            <w:noProof/>
            <w:webHidden/>
          </w:rPr>
        </w:r>
        <w:r>
          <w:rPr>
            <w:noProof/>
            <w:webHidden/>
          </w:rPr>
          <w:fldChar w:fldCharType="separate"/>
        </w:r>
        <w:r w:rsidR="00AB5E66">
          <w:rPr>
            <w:noProof/>
            <w:webHidden/>
          </w:rPr>
          <w:t>9</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83" w:history="1">
        <w:r w:rsidR="00AB5E66" w:rsidRPr="000B0FB0">
          <w:rPr>
            <w:rStyle w:val="Hyperlink"/>
            <w:rFonts w:ascii="Garamond" w:hAnsi="Garamond"/>
            <w:noProof/>
          </w:rPr>
          <w:t>2.2.2 The new institution view of commodity dependence</w:t>
        </w:r>
        <w:r w:rsidR="00AB5E66">
          <w:rPr>
            <w:noProof/>
            <w:webHidden/>
          </w:rPr>
          <w:tab/>
        </w:r>
        <w:r>
          <w:rPr>
            <w:noProof/>
            <w:webHidden/>
          </w:rPr>
          <w:fldChar w:fldCharType="begin"/>
        </w:r>
        <w:r w:rsidR="00AB5E66">
          <w:rPr>
            <w:noProof/>
            <w:webHidden/>
          </w:rPr>
          <w:instrText xml:space="preserve"> PAGEREF _Toc343007183 \h </w:instrText>
        </w:r>
        <w:r>
          <w:rPr>
            <w:noProof/>
            <w:webHidden/>
          </w:rPr>
        </w:r>
        <w:r>
          <w:rPr>
            <w:noProof/>
            <w:webHidden/>
          </w:rPr>
          <w:fldChar w:fldCharType="separate"/>
        </w:r>
        <w:r w:rsidR="00AB5E66">
          <w:rPr>
            <w:noProof/>
            <w:webHidden/>
          </w:rPr>
          <w:t>10</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84" w:history="1">
        <w:r w:rsidR="00AB5E66" w:rsidRPr="000B0FB0">
          <w:rPr>
            <w:rStyle w:val="Hyperlink"/>
            <w:rFonts w:ascii="Garamond" w:hAnsi="Garamond"/>
            <w:noProof/>
          </w:rPr>
          <w:t>2.2.3 Criticism</w:t>
        </w:r>
        <w:r w:rsidR="00AB5E66">
          <w:rPr>
            <w:noProof/>
            <w:webHidden/>
          </w:rPr>
          <w:tab/>
        </w:r>
        <w:r>
          <w:rPr>
            <w:noProof/>
            <w:webHidden/>
          </w:rPr>
          <w:fldChar w:fldCharType="begin"/>
        </w:r>
        <w:r w:rsidR="00AB5E66">
          <w:rPr>
            <w:noProof/>
            <w:webHidden/>
          </w:rPr>
          <w:instrText xml:space="preserve"> PAGEREF _Toc343007184 \h </w:instrText>
        </w:r>
        <w:r>
          <w:rPr>
            <w:noProof/>
            <w:webHidden/>
          </w:rPr>
        </w:r>
        <w:r>
          <w:rPr>
            <w:noProof/>
            <w:webHidden/>
          </w:rPr>
          <w:fldChar w:fldCharType="separate"/>
        </w:r>
        <w:r w:rsidR="00AB5E66">
          <w:rPr>
            <w:noProof/>
            <w:webHidden/>
          </w:rPr>
          <w:t>12</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85" w:history="1">
        <w:r w:rsidR="00AB5E66" w:rsidRPr="000B0FB0">
          <w:rPr>
            <w:rStyle w:val="Hyperlink"/>
            <w:rFonts w:ascii="Garamond" w:hAnsi="Garamond"/>
            <w:noProof/>
          </w:rPr>
          <w:t>2.3 Empirical findings</w:t>
        </w:r>
        <w:r w:rsidR="00AB5E66">
          <w:rPr>
            <w:noProof/>
            <w:webHidden/>
          </w:rPr>
          <w:tab/>
        </w:r>
        <w:r>
          <w:rPr>
            <w:noProof/>
            <w:webHidden/>
          </w:rPr>
          <w:fldChar w:fldCharType="begin"/>
        </w:r>
        <w:r w:rsidR="00AB5E66">
          <w:rPr>
            <w:noProof/>
            <w:webHidden/>
          </w:rPr>
          <w:instrText xml:space="preserve"> PAGEREF _Toc343007185 \h </w:instrText>
        </w:r>
        <w:r>
          <w:rPr>
            <w:noProof/>
            <w:webHidden/>
          </w:rPr>
        </w:r>
        <w:r>
          <w:rPr>
            <w:noProof/>
            <w:webHidden/>
          </w:rPr>
          <w:fldChar w:fldCharType="separate"/>
        </w:r>
        <w:r w:rsidR="00AB5E66">
          <w:rPr>
            <w:noProof/>
            <w:webHidden/>
          </w:rPr>
          <w:t>13</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86" w:history="1">
        <w:r w:rsidR="00AB5E66" w:rsidRPr="000B0FB0">
          <w:rPr>
            <w:rStyle w:val="Hyperlink"/>
            <w:rFonts w:ascii="Garamond" w:hAnsi="Garamond"/>
            <w:noProof/>
          </w:rPr>
          <w:t>2.4 Indonesian Case Study</w:t>
        </w:r>
        <w:r w:rsidR="00AB5E66">
          <w:rPr>
            <w:noProof/>
            <w:webHidden/>
          </w:rPr>
          <w:tab/>
        </w:r>
        <w:r>
          <w:rPr>
            <w:noProof/>
            <w:webHidden/>
          </w:rPr>
          <w:fldChar w:fldCharType="begin"/>
        </w:r>
        <w:r w:rsidR="00AB5E66">
          <w:rPr>
            <w:noProof/>
            <w:webHidden/>
          </w:rPr>
          <w:instrText xml:space="preserve"> PAGEREF _Toc343007186 \h </w:instrText>
        </w:r>
        <w:r>
          <w:rPr>
            <w:noProof/>
            <w:webHidden/>
          </w:rPr>
        </w:r>
        <w:r>
          <w:rPr>
            <w:noProof/>
            <w:webHidden/>
          </w:rPr>
          <w:fldChar w:fldCharType="separate"/>
        </w:r>
        <w:r w:rsidR="00AB5E66">
          <w:rPr>
            <w:noProof/>
            <w:webHidden/>
          </w:rPr>
          <w:t>16</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87" w:history="1">
        <w:r w:rsidR="00AB5E66" w:rsidRPr="000B0FB0">
          <w:rPr>
            <w:rStyle w:val="Hyperlink"/>
            <w:noProof/>
          </w:rPr>
          <w:t>Chapter 3</w:t>
        </w:r>
        <w:r w:rsidR="00AB5E66">
          <w:rPr>
            <w:noProof/>
            <w:webHidden/>
          </w:rPr>
          <w:tab/>
        </w:r>
        <w:r>
          <w:rPr>
            <w:noProof/>
            <w:webHidden/>
          </w:rPr>
          <w:fldChar w:fldCharType="begin"/>
        </w:r>
        <w:r w:rsidR="00AB5E66">
          <w:rPr>
            <w:noProof/>
            <w:webHidden/>
          </w:rPr>
          <w:instrText xml:space="preserve"> PAGEREF _Toc343007187 \h </w:instrText>
        </w:r>
        <w:r>
          <w:rPr>
            <w:noProof/>
            <w:webHidden/>
          </w:rPr>
        </w:r>
        <w:r>
          <w:rPr>
            <w:noProof/>
            <w:webHidden/>
          </w:rPr>
          <w:fldChar w:fldCharType="separate"/>
        </w:r>
        <w:r w:rsidR="00AB5E66">
          <w:rPr>
            <w:noProof/>
            <w:webHidden/>
          </w:rPr>
          <w:t>19</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88" w:history="1">
        <w:r w:rsidR="00AB5E66" w:rsidRPr="000B0FB0">
          <w:rPr>
            <w:rStyle w:val="Hyperlink"/>
            <w:noProof/>
          </w:rPr>
          <w:t>Indonesia Economy Background</w:t>
        </w:r>
        <w:r w:rsidR="00AB5E66">
          <w:rPr>
            <w:noProof/>
            <w:webHidden/>
          </w:rPr>
          <w:tab/>
        </w:r>
        <w:r>
          <w:rPr>
            <w:noProof/>
            <w:webHidden/>
          </w:rPr>
          <w:fldChar w:fldCharType="begin"/>
        </w:r>
        <w:r w:rsidR="00AB5E66">
          <w:rPr>
            <w:noProof/>
            <w:webHidden/>
          </w:rPr>
          <w:instrText xml:space="preserve"> PAGEREF _Toc343007188 \h </w:instrText>
        </w:r>
        <w:r>
          <w:rPr>
            <w:noProof/>
            <w:webHidden/>
          </w:rPr>
        </w:r>
        <w:r>
          <w:rPr>
            <w:noProof/>
            <w:webHidden/>
          </w:rPr>
          <w:fldChar w:fldCharType="separate"/>
        </w:r>
        <w:r w:rsidR="00AB5E66">
          <w:rPr>
            <w:noProof/>
            <w:webHidden/>
          </w:rPr>
          <w:t>19</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89" w:history="1">
        <w:r w:rsidR="00AB5E66" w:rsidRPr="000B0FB0">
          <w:rPr>
            <w:rStyle w:val="Hyperlink"/>
            <w:rFonts w:ascii="Garamond" w:hAnsi="Garamond" w:cstheme="majorHAnsi"/>
            <w:noProof/>
          </w:rPr>
          <w:t>3.1 Introduction</w:t>
        </w:r>
        <w:r w:rsidR="00AB5E66">
          <w:rPr>
            <w:noProof/>
            <w:webHidden/>
          </w:rPr>
          <w:tab/>
        </w:r>
        <w:r>
          <w:rPr>
            <w:noProof/>
            <w:webHidden/>
          </w:rPr>
          <w:fldChar w:fldCharType="begin"/>
        </w:r>
        <w:r w:rsidR="00AB5E66">
          <w:rPr>
            <w:noProof/>
            <w:webHidden/>
          </w:rPr>
          <w:instrText xml:space="preserve"> PAGEREF _Toc343007189 \h </w:instrText>
        </w:r>
        <w:r>
          <w:rPr>
            <w:noProof/>
            <w:webHidden/>
          </w:rPr>
        </w:r>
        <w:r>
          <w:rPr>
            <w:noProof/>
            <w:webHidden/>
          </w:rPr>
          <w:fldChar w:fldCharType="separate"/>
        </w:r>
        <w:r w:rsidR="00AB5E66">
          <w:rPr>
            <w:noProof/>
            <w:webHidden/>
          </w:rPr>
          <w:t>19</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90" w:history="1">
        <w:r w:rsidR="00AB5E66" w:rsidRPr="000B0FB0">
          <w:rPr>
            <w:rStyle w:val="Hyperlink"/>
            <w:rFonts w:ascii="Garamond" w:hAnsi="Garamond" w:cstheme="majorHAnsi"/>
            <w:noProof/>
          </w:rPr>
          <w:t>3.2 Structure of economy, changes in structure and economic growth</w:t>
        </w:r>
        <w:r w:rsidR="00AB5E66">
          <w:rPr>
            <w:noProof/>
            <w:webHidden/>
          </w:rPr>
          <w:tab/>
        </w:r>
        <w:r>
          <w:rPr>
            <w:noProof/>
            <w:webHidden/>
          </w:rPr>
          <w:fldChar w:fldCharType="begin"/>
        </w:r>
        <w:r w:rsidR="00AB5E66">
          <w:rPr>
            <w:noProof/>
            <w:webHidden/>
          </w:rPr>
          <w:instrText xml:space="preserve"> PAGEREF _Toc343007190 \h </w:instrText>
        </w:r>
        <w:r>
          <w:rPr>
            <w:noProof/>
            <w:webHidden/>
          </w:rPr>
        </w:r>
        <w:r>
          <w:rPr>
            <w:noProof/>
            <w:webHidden/>
          </w:rPr>
          <w:fldChar w:fldCharType="separate"/>
        </w:r>
        <w:r w:rsidR="00AB5E66">
          <w:rPr>
            <w:noProof/>
            <w:webHidden/>
          </w:rPr>
          <w:t>19</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91" w:history="1">
        <w:r w:rsidR="00AB5E66" w:rsidRPr="000B0FB0">
          <w:rPr>
            <w:rStyle w:val="Hyperlink"/>
            <w:rFonts w:ascii="Garamond" w:hAnsi="Garamond" w:cstheme="majorHAnsi"/>
            <w:noProof/>
          </w:rPr>
          <w:t>3.3 Policy toward Primary Commodity</w:t>
        </w:r>
        <w:r w:rsidR="00AB5E66">
          <w:rPr>
            <w:noProof/>
            <w:webHidden/>
          </w:rPr>
          <w:tab/>
        </w:r>
        <w:r>
          <w:rPr>
            <w:noProof/>
            <w:webHidden/>
          </w:rPr>
          <w:fldChar w:fldCharType="begin"/>
        </w:r>
        <w:r w:rsidR="00AB5E66">
          <w:rPr>
            <w:noProof/>
            <w:webHidden/>
          </w:rPr>
          <w:instrText xml:space="preserve"> PAGEREF _Toc343007191 \h </w:instrText>
        </w:r>
        <w:r>
          <w:rPr>
            <w:noProof/>
            <w:webHidden/>
          </w:rPr>
        </w:r>
        <w:r>
          <w:rPr>
            <w:noProof/>
            <w:webHidden/>
          </w:rPr>
          <w:fldChar w:fldCharType="separate"/>
        </w:r>
        <w:r w:rsidR="00AB5E66">
          <w:rPr>
            <w:noProof/>
            <w:webHidden/>
          </w:rPr>
          <w:t>21</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92" w:history="1">
        <w:r w:rsidR="00AB5E66" w:rsidRPr="000B0FB0">
          <w:rPr>
            <w:rStyle w:val="Hyperlink"/>
            <w:noProof/>
          </w:rPr>
          <w:t>Chapter 4</w:t>
        </w:r>
        <w:r w:rsidR="00AB5E66">
          <w:rPr>
            <w:noProof/>
            <w:webHidden/>
          </w:rPr>
          <w:tab/>
        </w:r>
        <w:r>
          <w:rPr>
            <w:noProof/>
            <w:webHidden/>
          </w:rPr>
          <w:fldChar w:fldCharType="begin"/>
        </w:r>
        <w:r w:rsidR="00AB5E66">
          <w:rPr>
            <w:noProof/>
            <w:webHidden/>
          </w:rPr>
          <w:instrText xml:space="preserve"> PAGEREF _Toc343007192 \h </w:instrText>
        </w:r>
        <w:r>
          <w:rPr>
            <w:noProof/>
            <w:webHidden/>
          </w:rPr>
        </w:r>
        <w:r>
          <w:rPr>
            <w:noProof/>
            <w:webHidden/>
          </w:rPr>
          <w:fldChar w:fldCharType="separate"/>
        </w:r>
        <w:r w:rsidR="00AB5E66">
          <w:rPr>
            <w:noProof/>
            <w:webHidden/>
          </w:rPr>
          <w:t>25</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193" w:history="1">
        <w:r w:rsidR="00AB5E66" w:rsidRPr="000B0FB0">
          <w:rPr>
            <w:rStyle w:val="Hyperlink"/>
            <w:noProof/>
          </w:rPr>
          <w:t>Analysis</w:t>
        </w:r>
        <w:r w:rsidR="00AB5E66">
          <w:rPr>
            <w:noProof/>
            <w:webHidden/>
          </w:rPr>
          <w:tab/>
        </w:r>
        <w:r>
          <w:rPr>
            <w:noProof/>
            <w:webHidden/>
          </w:rPr>
          <w:fldChar w:fldCharType="begin"/>
        </w:r>
        <w:r w:rsidR="00AB5E66">
          <w:rPr>
            <w:noProof/>
            <w:webHidden/>
          </w:rPr>
          <w:instrText xml:space="preserve"> PAGEREF _Toc343007193 \h </w:instrText>
        </w:r>
        <w:r>
          <w:rPr>
            <w:noProof/>
            <w:webHidden/>
          </w:rPr>
        </w:r>
        <w:r>
          <w:rPr>
            <w:noProof/>
            <w:webHidden/>
          </w:rPr>
          <w:fldChar w:fldCharType="separate"/>
        </w:r>
        <w:r w:rsidR="00AB5E66">
          <w:rPr>
            <w:noProof/>
            <w:webHidden/>
          </w:rPr>
          <w:t>25</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94" w:history="1">
        <w:r w:rsidR="00AB5E66" w:rsidRPr="000B0FB0">
          <w:rPr>
            <w:rStyle w:val="Hyperlink"/>
            <w:rFonts w:ascii="Garamond" w:hAnsi="Garamond"/>
            <w:noProof/>
          </w:rPr>
          <w:t>4.1 Introduction</w:t>
        </w:r>
        <w:r w:rsidR="00AB5E66">
          <w:rPr>
            <w:noProof/>
            <w:webHidden/>
          </w:rPr>
          <w:tab/>
        </w:r>
        <w:r>
          <w:rPr>
            <w:noProof/>
            <w:webHidden/>
          </w:rPr>
          <w:fldChar w:fldCharType="begin"/>
        </w:r>
        <w:r w:rsidR="00AB5E66">
          <w:rPr>
            <w:noProof/>
            <w:webHidden/>
          </w:rPr>
          <w:instrText xml:space="preserve"> PAGEREF _Toc343007194 \h </w:instrText>
        </w:r>
        <w:r>
          <w:rPr>
            <w:noProof/>
            <w:webHidden/>
          </w:rPr>
        </w:r>
        <w:r>
          <w:rPr>
            <w:noProof/>
            <w:webHidden/>
          </w:rPr>
          <w:fldChar w:fldCharType="separate"/>
        </w:r>
        <w:r w:rsidR="00AB5E66">
          <w:rPr>
            <w:noProof/>
            <w:webHidden/>
          </w:rPr>
          <w:t>25</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95" w:history="1">
        <w:r w:rsidR="00AB5E66" w:rsidRPr="000B0FB0">
          <w:rPr>
            <w:rStyle w:val="Hyperlink"/>
            <w:rFonts w:ascii="Garamond" w:hAnsi="Garamond"/>
            <w:noProof/>
          </w:rPr>
          <w:t>4.2 Indonesia dependency on primary commodity exports and imports</w:t>
        </w:r>
        <w:r w:rsidR="00AB5E66">
          <w:rPr>
            <w:noProof/>
            <w:webHidden/>
          </w:rPr>
          <w:tab/>
        </w:r>
        <w:r>
          <w:rPr>
            <w:noProof/>
            <w:webHidden/>
          </w:rPr>
          <w:fldChar w:fldCharType="begin"/>
        </w:r>
        <w:r w:rsidR="00AB5E66">
          <w:rPr>
            <w:noProof/>
            <w:webHidden/>
          </w:rPr>
          <w:instrText xml:space="preserve"> PAGEREF _Toc343007195 \h </w:instrText>
        </w:r>
        <w:r>
          <w:rPr>
            <w:noProof/>
            <w:webHidden/>
          </w:rPr>
        </w:r>
        <w:r>
          <w:rPr>
            <w:noProof/>
            <w:webHidden/>
          </w:rPr>
          <w:fldChar w:fldCharType="separate"/>
        </w:r>
        <w:r w:rsidR="00AB5E66">
          <w:rPr>
            <w:noProof/>
            <w:webHidden/>
          </w:rPr>
          <w:t>25</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96" w:history="1">
        <w:r w:rsidR="00AB5E66" w:rsidRPr="000B0FB0">
          <w:rPr>
            <w:rStyle w:val="Hyperlink"/>
            <w:rFonts w:ascii="Garamond" w:hAnsi="Garamond"/>
            <w:noProof/>
          </w:rPr>
          <w:t>4.2.1 Dependence on commodity exports</w:t>
        </w:r>
        <w:r w:rsidR="00AB5E66">
          <w:rPr>
            <w:noProof/>
            <w:webHidden/>
          </w:rPr>
          <w:tab/>
        </w:r>
        <w:r>
          <w:rPr>
            <w:noProof/>
            <w:webHidden/>
          </w:rPr>
          <w:fldChar w:fldCharType="begin"/>
        </w:r>
        <w:r w:rsidR="00AB5E66">
          <w:rPr>
            <w:noProof/>
            <w:webHidden/>
          </w:rPr>
          <w:instrText xml:space="preserve"> PAGEREF _Toc343007196 \h </w:instrText>
        </w:r>
        <w:r>
          <w:rPr>
            <w:noProof/>
            <w:webHidden/>
          </w:rPr>
        </w:r>
        <w:r>
          <w:rPr>
            <w:noProof/>
            <w:webHidden/>
          </w:rPr>
          <w:fldChar w:fldCharType="separate"/>
        </w:r>
        <w:r w:rsidR="00AB5E66">
          <w:rPr>
            <w:noProof/>
            <w:webHidden/>
          </w:rPr>
          <w:t>25</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97" w:history="1">
        <w:r w:rsidR="00AB5E66" w:rsidRPr="000B0FB0">
          <w:rPr>
            <w:rStyle w:val="Hyperlink"/>
            <w:rFonts w:ascii="Garamond" w:hAnsi="Garamond"/>
            <w:noProof/>
          </w:rPr>
          <w:t>4.2.2 Dependence on commodity imports</w:t>
        </w:r>
        <w:r w:rsidR="00AB5E66">
          <w:rPr>
            <w:noProof/>
            <w:webHidden/>
          </w:rPr>
          <w:tab/>
        </w:r>
        <w:r>
          <w:rPr>
            <w:noProof/>
            <w:webHidden/>
          </w:rPr>
          <w:fldChar w:fldCharType="begin"/>
        </w:r>
        <w:r w:rsidR="00AB5E66">
          <w:rPr>
            <w:noProof/>
            <w:webHidden/>
          </w:rPr>
          <w:instrText xml:space="preserve"> PAGEREF _Toc343007197 \h </w:instrText>
        </w:r>
        <w:r>
          <w:rPr>
            <w:noProof/>
            <w:webHidden/>
          </w:rPr>
        </w:r>
        <w:r>
          <w:rPr>
            <w:noProof/>
            <w:webHidden/>
          </w:rPr>
          <w:fldChar w:fldCharType="separate"/>
        </w:r>
        <w:r w:rsidR="00AB5E66">
          <w:rPr>
            <w:noProof/>
            <w:webHidden/>
          </w:rPr>
          <w:t>30</w:t>
        </w:r>
        <w:r>
          <w:rPr>
            <w:noProof/>
            <w:webHidden/>
          </w:rPr>
          <w:fldChar w:fldCharType="end"/>
        </w:r>
      </w:hyperlink>
    </w:p>
    <w:p w:rsidR="00AB5E66" w:rsidRDefault="00496FE5">
      <w:pPr>
        <w:pStyle w:val="TOC2"/>
        <w:tabs>
          <w:tab w:val="right" w:leader="dot" w:pos="7349"/>
        </w:tabs>
        <w:rPr>
          <w:rFonts w:asciiTheme="minorHAnsi" w:hAnsiTheme="minorHAnsi" w:cstheme="minorBidi"/>
          <w:noProof/>
          <w:sz w:val="22"/>
          <w:szCs w:val="22"/>
        </w:rPr>
      </w:pPr>
      <w:hyperlink w:anchor="_Toc343007198" w:history="1">
        <w:r w:rsidR="00AB5E66" w:rsidRPr="000B0FB0">
          <w:rPr>
            <w:rStyle w:val="Hyperlink"/>
            <w:rFonts w:ascii="Garamond" w:hAnsi="Garamond"/>
            <w:noProof/>
          </w:rPr>
          <w:t>4.3 Impact of commodity dependency on economic growth</w:t>
        </w:r>
        <w:r w:rsidR="00AB5E66">
          <w:rPr>
            <w:noProof/>
            <w:webHidden/>
          </w:rPr>
          <w:tab/>
        </w:r>
        <w:r>
          <w:rPr>
            <w:noProof/>
            <w:webHidden/>
          </w:rPr>
          <w:fldChar w:fldCharType="begin"/>
        </w:r>
        <w:r w:rsidR="00AB5E66">
          <w:rPr>
            <w:noProof/>
            <w:webHidden/>
          </w:rPr>
          <w:instrText xml:space="preserve"> PAGEREF _Toc343007198 \h </w:instrText>
        </w:r>
        <w:r>
          <w:rPr>
            <w:noProof/>
            <w:webHidden/>
          </w:rPr>
        </w:r>
        <w:r>
          <w:rPr>
            <w:noProof/>
            <w:webHidden/>
          </w:rPr>
          <w:fldChar w:fldCharType="separate"/>
        </w:r>
        <w:r w:rsidR="00AB5E66">
          <w:rPr>
            <w:noProof/>
            <w:webHidden/>
          </w:rPr>
          <w:t>33</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199" w:history="1">
        <w:r w:rsidR="00AB5E66" w:rsidRPr="000B0FB0">
          <w:rPr>
            <w:rStyle w:val="Hyperlink"/>
            <w:rFonts w:ascii="Garamond" w:hAnsi="Garamond"/>
            <w:noProof/>
          </w:rPr>
          <w:t>4.3.1 GDP growth and terms of trade</w:t>
        </w:r>
        <w:r w:rsidR="00AB5E66">
          <w:rPr>
            <w:noProof/>
            <w:webHidden/>
          </w:rPr>
          <w:tab/>
        </w:r>
        <w:r>
          <w:rPr>
            <w:noProof/>
            <w:webHidden/>
          </w:rPr>
          <w:fldChar w:fldCharType="begin"/>
        </w:r>
        <w:r w:rsidR="00AB5E66">
          <w:rPr>
            <w:noProof/>
            <w:webHidden/>
          </w:rPr>
          <w:instrText xml:space="preserve"> PAGEREF _Toc343007199 \h </w:instrText>
        </w:r>
        <w:r>
          <w:rPr>
            <w:noProof/>
            <w:webHidden/>
          </w:rPr>
        </w:r>
        <w:r>
          <w:rPr>
            <w:noProof/>
            <w:webHidden/>
          </w:rPr>
          <w:fldChar w:fldCharType="separate"/>
        </w:r>
        <w:r w:rsidR="00AB5E66">
          <w:rPr>
            <w:noProof/>
            <w:webHidden/>
          </w:rPr>
          <w:t>33</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200" w:history="1">
        <w:r w:rsidR="00AB5E66" w:rsidRPr="000B0FB0">
          <w:rPr>
            <w:rStyle w:val="Hyperlink"/>
            <w:rFonts w:ascii="Garamond" w:hAnsi="Garamond"/>
            <w:noProof/>
          </w:rPr>
          <w:t>4.3.3 GDP growth and exports growth</w:t>
        </w:r>
        <w:r w:rsidR="00AB5E66">
          <w:rPr>
            <w:noProof/>
            <w:webHidden/>
          </w:rPr>
          <w:tab/>
        </w:r>
        <w:r>
          <w:rPr>
            <w:noProof/>
            <w:webHidden/>
          </w:rPr>
          <w:fldChar w:fldCharType="begin"/>
        </w:r>
        <w:r w:rsidR="00AB5E66">
          <w:rPr>
            <w:noProof/>
            <w:webHidden/>
          </w:rPr>
          <w:instrText xml:space="preserve"> PAGEREF _Toc343007200 \h </w:instrText>
        </w:r>
        <w:r>
          <w:rPr>
            <w:noProof/>
            <w:webHidden/>
          </w:rPr>
        </w:r>
        <w:r>
          <w:rPr>
            <w:noProof/>
            <w:webHidden/>
          </w:rPr>
          <w:fldChar w:fldCharType="separate"/>
        </w:r>
        <w:r w:rsidR="00AB5E66">
          <w:rPr>
            <w:noProof/>
            <w:webHidden/>
          </w:rPr>
          <w:t>35</w:t>
        </w:r>
        <w:r>
          <w:rPr>
            <w:noProof/>
            <w:webHidden/>
          </w:rPr>
          <w:fldChar w:fldCharType="end"/>
        </w:r>
      </w:hyperlink>
    </w:p>
    <w:p w:rsidR="00AB5E66" w:rsidRDefault="00496FE5">
      <w:pPr>
        <w:pStyle w:val="TOC3"/>
        <w:tabs>
          <w:tab w:val="right" w:leader="dot" w:pos="7349"/>
        </w:tabs>
        <w:rPr>
          <w:rFonts w:asciiTheme="minorHAnsi" w:hAnsiTheme="minorHAnsi" w:cstheme="minorBidi"/>
          <w:noProof/>
          <w:sz w:val="22"/>
          <w:szCs w:val="22"/>
        </w:rPr>
      </w:pPr>
      <w:hyperlink w:anchor="_Toc343007201" w:history="1">
        <w:r w:rsidR="00AB5E66" w:rsidRPr="000B0FB0">
          <w:rPr>
            <w:rStyle w:val="Hyperlink"/>
            <w:rFonts w:ascii="Garamond" w:hAnsi="Garamond"/>
            <w:noProof/>
            <w:lang w:eastAsia="ja-JP"/>
          </w:rPr>
          <w:t>4.3.3 GDP growth by Sector</w:t>
        </w:r>
        <w:r w:rsidR="00AB5E66">
          <w:rPr>
            <w:noProof/>
            <w:webHidden/>
          </w:rPr>
          <w:tab/>
        </w:r>
        <w:r>
          <w:rPr>
            <w:noProof/>
            <w:webHidden/>
          </w:rPr>
          <w:fldChar w:fldCharType="begin"/>
        </w:r>
        <w:r w:rsidR="00AB5E66">
          <w:rPr>
            <w:noProof/>
            <w:webHidden/>
          </w:rPr>
          <w:instrText xml:space="preserve"> PAGEREF _Toc343007201 \h </w:instrText>
        </w:r>
        <w:r>
          <w:rPr>
            <w:noProof/>
            <w:webHidden/>
          </w:rPr>
        </w:r>
        <w:r>
          <w:rPr>
            <w:noProof/>
            <w:webHidden/>
          </w:rPr>
          <w:fldChar w:fldCharType="separate"/>
        </w:r>
        <w:r w:rsidR="00AB5E66">
          <w:rPr>
            <w:noProof/>
            <w:webHidden/>
          </w:rPr>
          <w:t>37</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202" w:history="1">
        <w:r w:rsidR="00AB5E66" w:rsidRPr="000B0FB0">
          <w:rPr>
            <w:rStyle w:val="Hyperlink"/>
            <w:noProof/>
          </w:rPr>
          <w:t>Chapter 5</w:t>
        </w:r>
        <w:r w:rsidR="00AB5E66">
          <w:rPr>
            <w:noProof/>
            <w:webHidden/>
          </w:rPr>
          <w:tab/>
        </w:r>
        <w:r>
          <w:rPr>
            <w:noProof/>
            <w:webHidden/>
          </w:rPr>
          <w:fldChar w:fldCharType="begin"/>
        </w:r>
        <w:r w:rsidR="00AB5E66">
          <w:rPr>
            <w:noProof/>
            <w:webHidden/>
          </w:rPr>
          <w:instrText xml:space="preserve"> PAGEREF _Toc343007202 \h </w:instrText>
        </w:r>
        <w:r>
          <w:rPr>
            <w:noProof/>
            <w:webHidden/>
          </w:rPr>
        </w:r>
        <w:r>
          <w:rPr>
            <w:noProof/>
            <w:webHidden/>
          </w:rPr>
          <w:fldChar w:fldCharType="separate"/>
        </w:r>
        <w:r w:rsidR="00AB5E66">
          <w:rPr>
            <w:noProof/>
            <w:webHidden/>
          </w:rPr>
          <w:t>40</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203" w:history="1">
        <w:r w:rsidR="00AB5E66" w:rsidRPr="000B0FB0">
          <w:rPr>
            <w:rStyle w:val="Hyperlink"/>
            <w:noProof/>
          </w:rPr>
          <w:t>Conclusion and Policy Implications</w:t>
        </w:r>
        <w:r w:rsidR="00AB5E66">
          <w:rPr>
            <w:noProof/>
            <w:webHidden/>
          </w:rPr>
          <w:tab/>
        </w:r>
        <w:r>
          <w:rPr>
            <w:noProof/>
            <w:webHidden/>
          </w:rPr>
          <w:fldChar w:fldCharType="begin"/>
        </w:r>
        <w:r w:rsidR="00AB5E66">
          <w:rPr>
            <w:noProof/>
            <w:webHidden/>
          </w:rPr>
          <w:instrText xml:space="preserve"> PAGEREF _Toc343007203 \h </w:instrText>
        </w:r>
        <w:r>
          <w:rPr>
            <w:noProof/>
            <w:webHidden/>
          </w:rPr>
        </w:r>
        <w:r>
          <w:rPr>
            <w:noProof/>
            <w:webHidden/>
          </w:rPr>
          <w:fldChar w:fldCharType="separate"/>
        </w:r>
        <w:r w:rsidR="00AB5E66">
          <w:rPr>
            <w:noProof/>
            <w:webHidden/>
          </w:rPr>
          <w:t>40</w:t>
        </w:r>
        <w:r>
          <w:rPr>
            <w:noProof/>
            <w:webHidden/>
          </w:rPr>
          <w:fldChar w:fldCharType="end"/>
        </w:r>
      </w:hyperlink>
    </w:p>
    <w:p w:rsidR="00AB5E66" w:rsidRDefault="00496FE5" w:rsidP="00AB5E66">
      <w:pPr>
        <w:pStyle w:val="TOC1"/>
        <w:rPr>
          <w:rFonts w:asciiTheme="minorHAnsi" w:hAnsiTheme="minorHAnsi" w:cstheme="minorBidi"/>
          <w:noProof/>
          <w:sz w:val="22"/>
          <w:szCs w:val="22"/>
        </w:rPr>
      </w:pPr>
      <w:hyperlink w:anchor="_Toc343007204" w:history="1">
        <w:r w:rsidR="00AB5E66" w:rsidRPr="000B0FB0">
          <w:rPr>
            <w:rStyle w:val="Hyperlink"/>
            <w:noProof/>
          </w:rPr>
          <w:t>References</w:t>
        </w:r>
        <w:r w:rsidR="00AB5E66">
          <w:rPr>
            <w:noProof/>
            <w:webHidden/>
          </w:rPr>
          <w:tab/>
        </w:r>
        <w:r>
          <w:rPr>
            <w:noProof/>
            <w:webHidden/>
          </w:rPr>
          <w:fldChar w:fldCharType="begin"/>
        </w:r>
        <w:r w:rsidR="00AB5E66">
          <w:rPr>
            <w:noProof/>
            <w:webHidden/>
          </w:rPr>
          <w:instrText xml:space="preserve"> PAGEREF _Toc343007204 \h </w:instrText>
        </w:r>
        <w:r>
          <w:rPr>
            <w:noProof/>
            <w:webHidden/>
          </w:rPr>
        </w:r>
        <w:r>
          <w:rPr>
            <w:noProof/>
            <w:webHidden/>
          </w:rPr>
          <w:fldChar w:fldCharType="separate"/>
        </w:r>
        <w:r w:rsidR="00AB5E66">
          <w:rPr>
            <w:noProof/>
            <w:webHidden/>
          </w:rPr>
          <w:t>43</w:t>
        </w:r>
        <w:r>
          <w:rPr>
            <w:noProof/>
            <w:webHidden/>
          </w:rPr>
          <w:fldChar w:fldCharType="end"/>
        </w:r>
      </w:hyperlink>
    </w:p>
    <w:p w:rsidR="00AB5E66" w:rsidRDefault="00496FE5" w:rsidP="00B8408F">
      <w:pPr>
        <w:pStyle w:val="Heading1"/>
        <w:rPr>
          <w:rFonts w:ascii="Garamond" w:hAnsi="Garamond"/>
          <w:color w:val="auto"/>
          <w:sz w:val="36"/>
          <w:szCs w:val="36"/>
        </w:rPr>
      </w:pPr>
      <w:r>
        <w:rPr>
          <w:rFonts w:ascii="Garamond" w:hAnsi="Garamond"/>
          <w:color w:val="auto"/>
          <w:sz w:val="36"/>
          <w:szCs w:val="36"/>
        </w:rPr>
        <w:fldChar w:fldCharType="end"/>
      </w:r>
      <w:bookmarkStart w:id="5" w:name="_Toc343007171"/>
    </w:p>
    <w:p w:rsidR="00AB5E66" w:rsidRDefault="00AB5E66" w:rsidP="00B8408F">
      <w:pPr>
        <w:pStyle w:val="Heading1"/>
        <w:rPr>
          <w:rFonts w:ascii="Garamond" w:hAnsi="Garamond"/>
          <w:color w:val="auto"/>
          <w:sz w:val="36"/>
          <w:szCs w:val="36"/>
        </w:rPr>
      </w:pPr>
    </w:p>
    <w:p w:rsidR="00AB5E66" w:rsidRDefault="00AB5E66" w:rsidP="00AB5E66"/>
    <w:p w:rsidR="00AB5E66" w:rsidRPr="00AB5E66" w:rsidRDefault="00AB5E66" w:rsidP="00AB5E66"/>
    <w:p w:rsidR="00B8408F" w:rsidRPr="00B8408F" w:rsidRDefault="00B8408F" w:rsidP="00B8408F">
      <w:pPr>
        <w:pStyle w:val="Heading1"/>
        <w:rPr>
          <w:rFonts w:ascii="Garamond" w:hAnsi="Garamond"/>
          <w:color w:val="auto"/>
          <w:sz w:val="36"/>
          <w:szCs w:val="36"/>
        </w:rPr>
      </w:pPr>
      <w:r w:rsidRPr="00B8408F">
        <w:rPr>
          <w:rFonts w:ascii="Garamond" w:hAnsi="Garamond"/>
          <w:color w:val="auto"/>
          <w:sz w:val="36"/>
          <w:szCs w:val="36"/>
        </w:rPr>
        <w:lastRenderedPageBreak/>
        <w:t>Abstract</w:t>
      </w:r>
      <w:bookmarkEnd w:id="5"/>
    </w:p>
    <w:p w:rsidR="00B8408F" w:rsidRDefault="00B8408F" w:rsidP="00B8408F">
      <w:pPr>
        <w:rPr>
          <w:rFonts w:ascii="Garamond" w:hAnsi="Garamond"/>
        </w:rPr>
      </w:pPr>
    </w:p>
    <w:p w:rsidR="00B8408F" w:rsidRDefault="002B1847" w:rsidP="002B1847">
      <w:pPr>
        <w:jc w:val="both"/>
        <w:rPr>
          <w:rFonts w:ascii="Garamond" w:hAnsi="Garamond"/>
        </w:rPr>
      </w:pPr>
      <w:r>
        <w:rPr>
          <w:rFonts w:ascii="Garamond" w:hAnsi="Garamond"/>
        </w:rPr>
        <w:t>This paper analyze on Indonesia economic growth as one of commodity dependence countries to see to what extent does Indonesia dependence on commodity production and what is the significant of the dependency.</w:t>
      </w:r>
    </w:p>
    <w:p w:rsidR="002B1847" w:rsidRDefault="002B1847" w:rsidP="002B1847">
      <w:pPr>
        <w:jc w:val="both"/>
        <w:rPr>
          <w:rFonts w:ascii="Garamond" w:hAnsi="Garamond"/>
        </w:rPr>
      </w:pPr>
    </w:p>
    <w:p w:rsidR="002B1847" w:rsidRDefault="002B1847" w:rsidP="002B1847">
      <w:pPr>
        <w:jc w:val="both"/>
        <w:rPr>
          <w:rFonts w:ascii="Garamond" w:hAnsi="Garamond"/>
        </w:rPr>
      </w:pPr>
      <w:r>
        <w:rPr>
          <w:rFonts w:ascii="Garamond" w:hAnsi="Garamond"/>
        </w:rPr>
        <w:t>The research uses exploratory data analysis method to analyze the data and extract important information regarding Indonesia dependency on commodity. In this paper the writer found that the dependency on commodity doesn’t have strong evidence of resource curse adverse impact presence on Indonesia economic growth. Dutch disease and terms of trade deterioration does have correlation on its dependency but it is not causal relationships which hamper its growth.</w:t>
      </w:r>
    </w:p>
    <w:p w:rsidR="002B1847" w:rsidRDefault="002B1847" w:rsidP="002B1847">
      <w:pPr>
        <w:jc w:val="both"/>
        <w:rPr>
          <w:rFonts w:ascii="Garamond" w:hAnsi="Garamond"/>
        </w:rPr>
      </w:pPr>
    </w:p>
    <w:p w:rsidR="002B1847" w:rsidRDefault="002B1847" w:rsidP="002B1847">
      <w:pPr>
        <w:jc w:val="both"/>
        <w:rPr>
          <w:rFonts w:ascii="Garamond" w:hAnsi="Garamond"/>
        </w:rPr>
      </w:pPr>
      <w:r>
        <w:rPr>
          <w:rFonts w:ascii="Garamond" w:hAnsi="Garamond"/>
        </w:rPr>
        <w:t xml:space="preserve">Indonesia in the early stage of development in 1970s rely heavily on commodity exports revenue but Indonesia dependency tend to decline as they have move forward to industry oriented development by using its commodity windfall revenue. </w:t>
      </w:r>
    </w:p>
    <w:p w:rsidR="002B1847" w:rsidRDefault="002B1847" w:rsidP="002B1847">
      <w:pPr>
        <w:jc w:val="both"/>
        <w:rPr>
          <w:rFonts w:ascii="Garamond" w:hAnsi="Garamond"/>
        </w:rPr>
      </w:pPr>
    </w:p>
    <w:p w:rsidR="002B1847" w:rsidRDefault="002B1847" w:rsidP="002B1847">
      <w:pPr>
        <w:jc w:val="both"/>
        <w:rPr>
          <w:rFonts w:ascii="Garamond" w:hAnsi="Garamond"/>
          <w:b/>
        </w:rPr>
      </w:pPr>
      <w:r w:rsidRPr="002B1847">
        <w:rPr>
          <w:rFonts w:ascii="Garamond" w:hAnsi="Garamond"/>
          <w:b/>
        </w:rPr>
        <w:t xml:space="preserve">Keywords </w:t>
      </w:r>
    </w:p>
    <w:p w:rsidR="002B1847" w:rsidRPr="002B1847" w:rsidRDefault="002B1847" w:rsidP="002B1847">
      <w:pPr>
        <w:jc w:val="both"/>
        <w:rPr>
          <w:rFonts w:ascii="Garamond" w:hAnsi="Garamond"/>
        </w:rPr>
      </w:pPr>
      <w:r>
        <w:rPr>
          <w:rFonts w:ascii="Garamond" w:hAnsi="Garamond"/>
        </w:rPr>
        <w:t>Indonesia economic growth, Commodity dependency, Resource curse</w:t>
      </w:r>
    </w:p>
    <w:p w:rsidR="002B1847" w:rsidRDefault="002B1847" w:rsidP="002B1847">
      <w:pPr>
        <w:jc w:val="both"/>
        <w:rPr>
          <w:rFonts w:ascii="Garamond" w:hAnsi="Garamond"/>
          <w:b/>
        </w:rPr>
      </w:pPr>
    </w:p>
    <w:p w:rsidR="002B1847" w:rsidRDefault="002B1847" w:rsidP="002B1847">
      <w:pPr>
        <w:jc w:val="both"/>
        <w:rPr>
          <w:rFonts w:ascii="Garamond" w:hAnsi="Garamond"/>
          <w:b/>
        </w:rPr>
      </w:pPr>
      <w:r w:rsidRPr="002B1847">
        <w:rPr>
          <w:rFonts w:ascii="Garamond" w:hAnsi="Garamond"/>
          <w:b/>
        </w:rPr>
        <w:t xml:space="preserve"> </w:t>
      </w: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2B1847" w:rsidRDefault="002B1847" w:rsidP="002B1847">
      <w:pPr>
        <w:jc w:val="both"/>
        <w:rPr>
          <w:rFonts w:ascii="Garamond" w:hAnsi="Garamond"/>
          <w:b/>
        </w:rPr>
      </w:pPr>
    </w:p>
    <w:p w:rsidR="005F571B" w:rsidRDefault="005F571B" w:rsidP="002506F2">
      <w:pPr>
        <w:pStyle w:val="Heading1"/>
        <w:spacing w:before="0"/>
        <w:rPr>
          <w:rFonts w:ascii="Garamond" w:hAnsi="Garamond"/>
          <w:color w:val="auto"/>
          <w:sz w:val="36"/>
          <w:szCs w:val="36"/>
        </w:rPr>
      </w:pPr>
      <w:bookmarkStart w:id="6" w:name="_Toc209559665"/>
      <w:bookmarkStart w:id="7" w:name="_Toc343007172"/>
    </w:p>
    <w:p w:rsidR="005F571B" w:rsidRPr="005F571B" w:rsidRDefault="005F571B" w:rsidP="005F571B"/>
    <w:p w:rsidR="002506F2" w:rsidRPr="002506F2" w:rsidRDefault="002506F2" w:rsidP="002506F2">
      <w:pPr>
        <w:pStyle w:val="Heading1"/>
        <w:spacing w:before="0"/>
        <w:rPr>
          <w:rFonts w:ascii="Garamond" w:hAnsi="Garamond"/>
          <w:color w:val="auto"/>
          <w:sz w:val="36"/>
          <w:szCs w:val="36"/>
        </w:rPr>
      </w:pPr>
      <w:r w:rsidRPr="002506F2">
        <w:rPr>
          <w:rFonts w:ascii="Garamond" w:hAnsi="Garamond"/>
          <w:color w:val="auto"/>
          <w:sz w:val="36"/>
          <w:szCs w:val="36"/>
        </w:rPr>
        <w:lastRenderedPageBreak/>
        <w:t>Chapter 1</w:t>
      </w:r>
      <w:bookmarkEnd w:id="6"/>
      <w:bookmarkEnd w:id="7"/>
    </w:p>
    <w:p w:rsidR="002506F2" w:rsidRPr="002506F2" w:rsidRDefault="002506F2" w:rsidP="002506F2">
      <w:pPr>
        <w:pStyle w:val="Heading1"/>
        <w:spacing w:before="0"/>
        <w:rPr>
          <w:rFonts w:ascii="Garamond" w:hAnsi="Garamond"/>
          <w:color w:val="auto"/>
          <w:sz w:val="36"/>
          <w:szCs w:val="36"/>
        </w:rPr>
      </w:pPr>
      <w:bookmarkStart w:id="8" w:name="_Toc209559666"/>
      <w:bookmarkStart w:id="9" w:name="_Toc343007173"/>
      <w:r w:rsidRPr="002506F2">
        <w:rPr>
          <w:rFonts w:ascii="Garamond" w:hAnsi="Garamond"/>
          <w:color w:val="auto"/>
          <w:sz w:val="36"/>
          <w:szCs w:val="36"/>
        </w:rPr>
        <w:t>Introduction</w:t>
      </w:r>
      <w:bookmarkEnd w:id="8"/>
      <w:bookmarkEnd w:id="9"/>
    </w:p>
    <w:p w:rsidR="002506F2" w:rsidRPr="002506F2" w:rsidRDefault="002506F2" w:rsidP="002506F2">
      <w:pPr>
        <w:pStyle w:val="Heading2"/>
        <w:rPr>
          <w:rFonts w:ascii="Garamond" w:hAnsi="Garamond"/>
          <w:color w:val="auto"/>
          <w:sz w:val="32"/>
          <w:szCs w:val="32"/>
        </w:rPr>
      </w:pPr>
      <w:bookmarkStart w:id="10" w:name="_Toc209559668"/>
      <w:bookmarkStart w:id="11" w:name="_Toc343007174"/>
      <w:r w:rsidRPr="002506F2">
        <w:rPr>
          <w:rFonts w:ascii="Garamond" w:hAnsi="Garamond"/>
          <w:color w:val="auto"/>
          <w:sz w:val="32"/>
          <w:szCs w:val="32"/>
        </w:rPr>
        <w:t>1.1. Background</w:t>
      </w:r>
      <w:bookmarkEnd w:id="10"/>
      <w:bookmarkEnd w:id="11"/>
    </w:p>
    <w:p w:rsidR="002506F2" w:rsidRDefault="002506F2" w:rsidP="002506F2">
      <w:pPr>
        <w:jc w:val="both"/>
        <w:rPr>
          <w:rFonts w:ascii="Garamond" w:hAnsi="Garamond"/>
        </w:rPr>
      </w:pPr>
      <w:bookmarkStart w:id="12" w:name="_Toc209559669"/>
      <w:r w:rsidRPr="00C9545F">
        <w:rPr>
          <w:rFonts w:ascii="Garamond" w:hAnsi="Garamond"/>
        </w:rPr>
        <w:t>Most developing countries were and remain heavily dependent on commodity export for earnings of foreign exchange that are required to purchase capital goods, intermediate products</w:t>
      </w:r>
      <w:r>
        <w:rPr>
          <w:rFonts w:ascii="Garamond" w:hAnsi="Garamond"/>
          <w:lang w:val="id-ID"/>
        </w:rPr>
        <w:t>,</w:t>
      </w:r>
      <w:r w:rsidRPr="00C9545F">
        <w:rPr>
          <w:rFonts w:ascii="Garamond" w:hAnsi="Garamond"/>
        </w:rPr>
        <w:t xml:space="preserve"> and other imports essential to their economic development </w:t>
      </w:r>
      <w:r w:rsidR="00496FE5">
        <w:rPr>
          <w:rFonts w:ascii="Garamond" w:hAnsi="Garamond"/>
        </w:rPr>
        <w:fldChar w:fldCharType="begin"/>
      </w:r>
      <w:r>
        <w:rPr>
          <w:rFonts w:ascii="Garamond" w:hAnsi="Garamond"/>
        </w:rPr>
        <w:instrText>ADDIN RW.CITE{{189 Maizels,Alfred 1994}}</w:instrText>
      </w:r>
      <w:r w:rsidR="00496FE5">
        <w:rPr>
          <w:rFonts w:ascii="Garamond" w:hAnsi="Garamond"/>
        </w:rPr>
        <w:fldChar w:fldCharType="separate"/>
      </w:r>
      <w:r>
        <w:rPr>
          <w:rFonts w:ascii="Garamond" w:hAnsi="Garamond"/>
        </w:rPr>
        <w:t>(Maizels 1994)</w:t>
      </w:r>
      <w:r w:rsidR="00496FE5">
        <w:rPr>
          <w:rFonts w:ascii="Garamond" w:hAnsi="Garamond"/>
        </w:rPr>
        <w:fldChar w:fldCharType="end"/>
      </w:r>
      <w:r w:rsidRPr="00C9545F">
        <w:rPr>
          <w:rFonts w:ascii="Garamond" w:hAnsi="Garamond"/>
        </w:rPr>
        <w:t>. Indonesia in particularly rich of natural resources has been one of the major producer</w:t>
      </w:r>
      <w:r>
        <w:rPr>
          <w:rFonts w:ascii="Garamond" w:hAnsi="Garamond"/>
          <w:lang w:val="id-ID"/>
        </w:rPr>
        <w:t>s</w:t>
      </w:r>
      <w:r w:rsidRPr="00C9545F">
        <w:rPr>
          <w:rFonts w:ascii="Garamond" w:hAnsi="Garamond"/>
        </w:rPr>
        <w:t xml:space="preserve"> and exporter</w:t>
      </w:r>
      <w:r>
        <w:rPr>
          <w:rFonts w:ascii="Garamond" w:hAnsi="Garamond"/>
          <w:lang w:val="id-ID"/>
        </w:rPr>
        <w:t>s</w:t>
      </w:r>
      <w:r>
        <w:rPr>
          <w:rFonts w:ascii="Garamond" w:hAnsi="Garamond"/>
        </w:rPr>
        <w:t xml:space="preserve"> in primary commodity</w:t>
      </w:r>
      <w:r>
        <w:rPr>
          <w:rFonts w:ascii="Garamond" w:hAnsi="Garamond"/>
          <w:lang w:val="id-ID"/>
        </w:rPr>
        <w:t>,</w:t>
      </w:r>
      <w:r w:rsidRPr="00C9545F">
        <w:rPr>
          <w:rFonts w:ascii="Garamond" w:hAnsi="Garamond"/>
        </w:rPr>
        <w:t xml:space="preserve"> such as rubber, palm oil, forestry products, shrimps, cocoa</w:t>
      </w:r>
      <w:r>
        <w:rPr>
          <w:rFonts w:ascii="Garamond" w:hAnsi="Garamond"/>
          <w:lang w:val="id-ID"/>
        </w:rPr>
        <w:t xml:space="preserve">, </w:t>
      </w:r>
      <w:r>
        <w:rPr>
          <w:rFonts w:ascii="Garamond" w:hAnsi="Garamond"/>
        </w:rPr>
        <w:t xml:space="preserve">and coffee </w:t>
      </w:r>
      <w:r w:rsidR="00496FE5">
        <w:rPr>
          <w:rFonts w:ascii="Garamond" w:hAnsi="Garamond"/>
        </w:rPr>
        <w:fldChar w:fldCharType="begin"/>
      </w:r>
      <w:r>
        <w:rPr>
          <w:rFonts w:ascii="Garamond" w:hAnsi="Garamond"/>
        </w:rPr>
        <w:instrText>ADDIN RW.CITE{{214 MinistryofTradeofRepublicofIndonesia [No Information]}}</w:instrText>
      </w:r>
      <w:r w:rsidR="00496FE5">
        <w:rPr>
          <w:rFonts w:ascii="Garamond" w:hAnsi="Garamond"/>
        </w:rPr>
        <w:fldChar w:fldCharType="separate"/>
      </w:r>
      <w:r>
        <w:rPr>
          <w:rFonts w:ascii="Garamond" w:hAnsi="Garamond"/>
        </w:rPr>
        <w:t>(Ministry of Trade of Republic of Indonesia. )</w:t>
      </w:r>
      <w:r w:rsidR="00496FE5">
        <w:rPr>
          <w:rFonts w:ascii="Garamond" w:hAnsi="Garamond"/>
        </w:rPr>
        <w:fldChar w:fldCharType="end"/>
      </w:r>
      <w:r w:rsidRPr="00C9545F">
        <w:rPr>
          <w:rFonts w:ascii="Garamond" w:hAnsi="Garamond"/>
        </w:rPr>
        <w:t xml:space="preserve">. </w:t>
      </w:r>
    </w:p>
    <w:p w:rsidR="002506F2" w:rsidRDefault="002506F2" w:rsidP="002506F2">
      <w:pPr>
        <w:jc w:val="both"/>
        <w:rPr>
          <w:rFonts w:ascii="Garamond" w:hAnsi="Garamond"/>
        </w:rPr>
      </w:pPr>
    </w:p>
    <w:p w:rsidR="002506F2" w:rsidRDefault="002506F2" w:rsidP="002506F2">
      <w:pPr>
        <w:jc w:val="both"/>
        <w:rPr>
          <w:rFonts w:ascii="Garamond" w:hAnsi="Garamond"/>
        </w:rPr>
      </w:pPr>
      <w:r>
        <w:rPr>
          <w:rFonts w:ascii="Garamond" w:hAnsi="Garamond"/>
        </w:rPr>
        <w:t>International organizations,</w:t>
      </w:r>
      <w:r>
        <w:rPr>
          <w:rFonts w:ascii="Garamond" w:hAnsi="Garamond"/>
          <w:lang w:val="id-ID"/>
        </w:rPr>
        <w:t xml:space="preserve"> </w:t>
      </w:r>
      <w:r w:rsidRPr="00C9545F">
        <w:rPr>
          <w:rFonts w:ascii="Garamond" w:hAnsi="Garamond"/>
        </w:rPr>
        <w:t>such as World Bank, UNCTAD, and ASEAN, consider that developing c</w:t>
      </w:r>
      <w:r>
        <w:rPr>
          <w:rFonts w:ascii="Garamond" w:hAnsi="Garamond"/>
        </w:rPr>
        <w:t>ountries, such as Indonesia, are</w:t>
      </w:r>
      <w:r w:rsidRPr="00C9545F">
        <w:rPr>
          <w:rFonts w:ascii="Garamond" w:hAnsi="Garamond"/>
        </w:rPr>
        <w:t xml:space="preserve"> commodity-dependent, that they tend to undermine manufacturing sectors. Such countries are also believed to be prone to Paradox of Plenty, or known as the Resource Curse, and to Dutch Disease, which according to popular belief could lead them to slower economic growth than the countries with a less-dependent commodity status.</w:t>
      </w:r>
    </w:p>
    <w:p w:rsidR="002506F2" w:rsidRDefault="002506F2" w:rsidP="002506F2">
      <w:pPr>
        <w:jc w:val="both"/>
        <w:rPr>
          <w:rFonts w:ascii="Garamond" w:hAnsi="Garamond"/>
        </w:rPr>
      </w:pPr>
    </w:p>
    <w:p w:rsidR="002506F2" w:rsidRDefault="002506F2" w:rsidP="002506F2">
      <w:pPr>
        <w:jc w:val="both"/>
        <w:rPr>
          <w:rFonts w:ascii="Garamond" w:hAnsi="Garamond"/>
        </w:rPr>
      </w:pPr>
      <w:r>
        <w:rPr>
          <w:rFonts w:ascii="Garamond" w:hAnsi="Garamond"/>
        </w:rPr>
        <w:t xml:space="preserve">Indonesia in the early development stage relied heavily on the commodity sector for its exports revenue as shown in </w:t>
      </w:r>
      <w:r>
        <w:rPr>
          <w:rFonts w:ascii="Garamond" w:hAnsi="Garamond"/>
          <w:lang w:val="id-ID"/>
        </w:rPr>
        <w:t>F</w:t>
      </w:r>
      <w:proofErr w:type="spellStart"/>
      <w:r>
        <w:rPr>
          <w:rFonts w:ascii="Garamond" w:hAnsi="Garamond"/>
        </w:rPr>
        <w:t>igure</w:t>
      </w:r>
      <w:proofErr w:type="spellEnd"/>
      <w:r>
        <w:rPr>
          <w:rFonts w:ascii="Garamond" w:hAnsi="Garamond"/>
        </w:rPr>
        <w:t xml:space="preserve"> 1</w:t>
      </w:r>
      <w:r>
        <w:rPr>
          <w:rFonts w:ascii="Garamond" w:hAnsi="Garamond"/>
          <w:lang w:val="id-ID"/>
        </w:rPr>
        <w:t xml:space="preserve">, </w:t>
      </w:r>
      <w:r>
        <w:rPr>
          <w:rFonts w:ascii="Garamond" w:hAnsi="Garamond"/>
        </w:rPr>
        <w:t>and the economic growth w</w:t>
      </w:r>
      <w:r>
        <w:rPr>
          <w:rFonts w:ascii="Garamond" w:hAnsi="Garamond"/>
          <w:lang w:val="id-ID"/>
        </w:rPr>
        <w:t xml:space="preserve">as  </w:t>
      </w:r>
      <w:r>
        <w:rPr>
          <w:rFonts w:ascii="Garamond" w:hAnsi="Garamond"/>
        </w:rPr>
        <w:t xml:space="preserve">still very low </w:t>
      </w:r>
      <w:r>
        <w:rPr>
          <w:rFonts w:ascii="Garamond" w:hAnsi="Garamond"/>
          <w:lang w:val="id-ID"/>
        </w:rPr>
        <w:t xml:space="preserve"> in which</w:t>
      </w:r>
      <w:r>
        <w:rPr>
          <w:rFonts w:ascii="Garamond" w:hAnsi="Garamond"/>
        </w:rPr>
        <w:t xml:space="preserve"> the average income of </w:t>
      </w:r>
      <w:r>
        <w:rPr>
          <w:rFonts w:ascii="Garamond" w:hAnsi="Garamond"/>
          <w:lang w:val="id-ID"/>
        </w:rPr>
        <w:t xml:space="preserve">the </w:t>
      </w:r>
      <w:r>
        <w:rPr>
          <w:rFonts w:ascii="Garamond" w:hAnsi="Garamond"/>
        </w:rPr>
        <w:t>Indonesian people were merely around US</w:t>
      </w:r>
      <w:r>
        <w:rPr>
          <w:rFonts w:ascii="Garamond" w:hAnsi="Garamond"/>
          <w:lang w:val="id-ID"/>
        </w:rPr>
        <w:t>$</w:t>
      </w:r>
      <w:r>
        <w:rPr>
          <w:rFonts w:ascii="Garamond" w:hAnsi="Garamond"/>
        </w:rPr>
        <w:t xml:space="preserve"> 50 per year</w:t>
      </w:r>
      <w:r>
        <w:rPr>
          <w:rFonts w:ascii="Garamond" w:hAnsi="Garamond"/>
          <w:lang w:val="id-ID"/>
        </w:rPr>
        <w:t xml:space="preserve"> </w:t>
      </w:r>
      <w:r w:rsidR="00496FE5">
        <w:rPr>
          <w:rFonts w:ascii="Garamond" w:hAnsi="Garamond"/>
        </w:rPr>
        <w:fldChar w:fldCharType="begin"/>
      </w:r>
      <w:r>
        <w:rPr>
          <w:rFonts w:ascii="Garamond" w:hAnsi="Garamond"/>
        </w:rPr>
        <w:instrText>ADDIN RW.CITE{{191 Tambunan,Tulus 2006}}</w:instrText>
      </w:r>
      <w:r w:rsidR="00496FE5">
        <w:rPr>
          <w:rFonts w:ascii="Garamond" w:hAnsi="Garamond"/>
        </w:rPr>
        <w:fldChar w:fldCharType="separate"/>
      </w:r>
      <w:r>
        <w:rPr>
          <w:rFonts w:ascii="Garamond" w:hAnsi="Garamond"/>
        </w:rPr>
        <w:t>(Tambunan 2006)</w:t>
      </w:r>
      <w:r w:rsidR="00496FE5">
        <w:rPr>
          <w:rFonts w:ascii="Garamond" w:hAnsi="Garamond"/>
        </w:rPr>
        <w:fldChar w:fldCharType="end"/>
      </w:r>
      <w:r>
        <w:rPr>
          <w:rFonts w:ascii="Garamond" w:hAnsi="Garamond"/>
        </w:rPr>
        <w:t xml:space="preserve">. Hence, the government set </w:t>
      </w:r>
      <w:r>
        <w:rPr>
          <w:rFonts w:ascii="Garamond" w:hAnsi="Garamond"/>
          <w:lang w:val="id-ID"/>
        </w:rPr>
        <w:t>three</w:t>
      </w:r>
      <w:r>
        <w:rPr>
          <w:rFonts w:ascii="Garamond" w:hAnsi="Garamond"/>
        </w:rPr>
        <w:t xml:space="preserve"> significant steps to </w:t>
      </w:r>
      <w:r>
        <w:rPr>
          <w:rFonts w:ascii="Garamond" w:hAnsi="Garamond"/>
          <w:lang w:val="id-ID"/>
        </w:rPr>
        <w:t>solve the problem,</w:t>
      </w:r>
      <w:r>
        <w:rPr>
          <w:rFonts w:ascii="Garamond" w:hAnsi="Garamond"/>
        </w:rPr>
        <w:t xml:space="preserve"> focus</w:t>
      </w:r>
      <w:r>
        <w:rPr>
          <w:rFonts w:ascii="Garamond" w:hAnsi="Garamond"/>
          <w:lang w:val="id-ID"/>
        </w:rPr>
        <w:t>ing</w:t>
      </w:r>
      <w:r>
        <w:rPr>
          <w:rFonts w:ascii="Garamond" w:hAnsi="Garamond"/>
        </w:rPr>
        <w:t xml:space="preserve"> on stability, rehabilitation</w:t>
      </w:r>
      <w:r>
        <w:rPr>
          <w:rFonts w:ascii="Garamond" w:hAnsi="Garamond"/>
          <w:lang w:val="id-ID"/>
        </w:rPr>
        <w:t>,</w:t>
      </w:r>
      <w:r>
        <w:rPr>
          <w:rFonts w:ascii="Garamond" w:hAnsi="Garamond"/>
        </w:rPr>
        <w:t xml:space="preserve"> and economic reconstruction </w:t>
      </w:r>
      <w:r w:rsidR="00496FE5">
        <w:rPr>
          <w:rFonts w:ascii="Garamond" w:hAnsi="Garamond"/>
        </w:rPr>
        <w:fldChar w:fldCharType="begin"/>
      </w:r>
      <w:r>
        <w:rPr>
          <w:rFonts w:ascii="Garamond" w:hAnsi="Garamond"/>
        </w:rPr>
        <w:instrText>ADDIN RW.CITE{{190 Chalmers,Ian 1997}}</w:instrText>
      </w:r>
      <w:r w:rsidR="00496FE5">
        <w:rPr>
          <w:rFonts w:ascii="Garamond" w:hAnsi="Garamond"/>
        </w:rPr>
        <w:fldChar w:fldCharType="separate"/>
      </w:r>
      <w:r>
        <w:rPr>
          <w:rFonts w:ascii="Garamond" w:hAnsi="Garamond"/>
        </w:rPr>
        <w:t>(Chalmers 1997)</w:t>
      </w:r>
      <w:r w:rsidR="00496FE5">
        <w:rPr>
          <w:rFonts w:ascii="Garamond" w:hAnsi="Garamond"/>
        </w:rPr>
        <w:fldChar w:fldCharType="end"/>
      </w:r>
      <w:r>
        <w:rPr>
          <w:rFonts w:ascii="Garamond" w:hAnsi="Garamond"/>
        </w:rPr>
        <w:t xml:space="preserve">. The steps set by the government </w:t>
      </w:r>
      <w:r>
        <w:rPr>
          <w:rFonts w:ascii="Garamond" w:hAnsi="Garamond"/>
          <w:lang w:val="id-ID"/>
        </w:rPr>
        <w:t>were laid out in</w:t>
      </w:r>
      <w:r>
        <w:rPr>
          <w:rFonts w:ascii="Garamond" w:hAnsi="Garamond"/>
        </w:rPr>
        <w:t xml:space="preserve"> the </w:t>
      </w:r>
      <w:r>
        <w:rPr>
          <w:rFonts w:ascii="Garamond" w:hAnsi="Garamond"/>
          <w:lang w:val="id-ID"/>
        </w:rPr>
        <w:t>“F</w:t>
      </w:r>
      <w:proofErr w:type="spellStart"/>
      <w:r>
        <w:rPr>
          <w:rFonts w:ascii="Garamond" w:hAnsi="Garamond"/>
        </w:rPr>
        <w:t>ive</w:t>
      </w:r>
      <w:proofErr w:type="spellEnd"/>
      <w:r>
        <w:rPr>
          <w:rFonts w:ascii="Garamond" w:hAnsi="Garamond"/>
        </w:rPr>
        <w:t xml:space="preserve"> </w:t>
      </w:r>
      <w:r>
        <w:rPr>
          <w:rFonts w:ascii="Garamond" w:hAnsi="Garamond"/>
          <w:lang w:val="id-ID"/>
        </w:rPr>
        <w:t>Y</w:t>
      </w:r>
      <w:r>
        <w:rPr>
          <w:rFonts w:ascii="Garamond" w:hAnsi="Garamond"/>
        </w:rPr>
        <w:t xml:space="preserve">ears </w:t>
      </w:r>
      <w:r>
        <w:rPr>
          <w:rFonts w:ascii="Garamond" w:hAnsi="Garamond"/>
          <w:lang w:val="id-ID"/>
        </w:rPr>
        <w:t>D</w:t>
      </w:r>
      <w:proofErr w:type="spellStart"/>
      <w:r>
        <w:rPr>
          <w:rFonts w:ascii="Garamond" w:hAnsi="Garamond"/>
        </w:rPr>
        <w:t>evelopment</w:t>
      </w:r>
      <w:proofErr w:type="spellEnd"/>
      <w:r>
        <w:rPr>
          <w:rFonts w:ascii="Garamond" w:hAnsi="Garamond"/>
        </w:rPr>
        <w:t xml:space="preserve"> </w:t>
      </w:r>
      <w:r>
        <w:rPr>
          <w:rFonts w:ascii="Garamond" w:hAnsi="Garamond"/>
          <w:lang w:val="id-ID"/>
        </w:rPr>
        <w:t>P</w:t>
      </w:r>
      <w:proofErr w:type="spellStart"/>
      <w:r>
        <w:rPr>
          <w:rFonts w:ascii="Garamond" w:hAnsi="Garamond"/>
        </w:rPr>
        <w:t>lan</w:t>
      </w:r>
      <w:proofErr w:type="spellEnd"/>
      <w:r>
        <w:rPr>
          <w:rFonts w:ascii="Garamond" w:hAnsi="Garamond"/>
          <w:lang w:val="id-ID"/>
        </w:rPr>
        <w:t>”</w:t>
      </w:r>
      <w:r>
        <w:rPr>
          <w:rFonts w:ascii="Garamond" w:hAnsi="Garamond"/>
        </w:rPr>
        <w:t xml:space="preserve"> (</w:t>
      </w:r>
      <w:proofErr w:type="spellStart"/>
      <w:r>
        <w:rPr>
          <w:rFonts w:ascii="Garamond" w:hAnsi="Garamond"/>
        </w:rPr>
        <w:t>Repelita</w:t>
      </w:r>
      <w:proofErr w:type="spellEnd"/>
      <w:r>
        <w:rPr>
          <w:rFonts w:ascii="Garamond" w:hAnsi="Garamond"/>
        </w:rPr>
        <w:t>)</w:t>
      </w:r>
      <w:r>
        <w:rPr>
          <w:rFonts w:ascii="Garamond" w:hAnsi="Garamond"/>
          <w:lang w:val="id-ID"/>
        </w:rPr>
        <w:t xml:space="preserve"> that started in</w:t>
      </w:r>
      <w:r>
        <w:rPr>
          <w:rFonts w:ascii="Garamond" w:hAnsi="Garamond"/>
        </w:rPr>
        <w:t xml:space="preserve"> 1969</w:t>
      </w:r>
      <w:r>
        <w:rPr>
          <w:rFonts w:ascii="Garamond" w:hAnsi="Garamond"/>
          <w:lang w:val="id-ID"/>
        </w:rPr>
        <w:t xml:space="preserve">. The </w:t>
      </w:r>
      <w:r>
        <w:rPr>
          <w:rFonts w:ascii="Garamond" w:hAnsi="Garamond"/>
        </w:rPr>
        <w:t xml:space="preserve">priority of </w:t>
      </w:r>
      <w:r>
        <w:rPr>
          <w:rFonts w:ascii="Garamond" w:hAnsi="Garamond"/>
          <w:lang w:val="id-ID"/>
        </w:rPr>
        <w:t xml:space="preserve"> such a  </w:t>
      </w:r>
      <w:r>
        <w:rPr>
          <w:rFonts w:ascii="Garamond" w:hAnsi="Garamond"/>
        </w:rPr>
        <w:t>plan was to support the national industry and the industrialization strategies</w:t>
      </w:r>
      <w:r>
        <w:rPr>
          <w:rFonts w:ascii="Garamond" w:hAnsi="Garamond"/>
          <w:lang w:val="id-ID"/>
        </w:rPr>
        <w:t xml:space="preserve">, thefirst </w:t>
      </w:r>
      <w:r>
        <w:rPr>
          <w:rFonts w:ascii="Garamond" w:hAnsi="Garamond"/>
        </w:rPr>
        <w:t>focus</w:t>
      </w:r>
      <w:r>
        <w:rPr>
          <w:rFonts w:ascii="Garamond" w:hAnsi="Garamond"/>
          <w:lang w:val="id-ID"/>
        </w:rPr>
        <w:t xml:space="preserve"> of which was</w:t>
      </w:r>
      <w:r>
        <w:rPr>
          <w:rFonts w:ascii="Garamond" w:hAnsi="Garamond"/>
        </w:rPr>
        <w:t xml:space="preserve"> on import substitution and </w:t>
      </w:r>
      <w:r>
        <w:rPr>
          <w:rFonts w:ascii="Garamond" w:hAnsi="Garamond"/>
          <w:lang w:val="id-ID"/>
        </w:rPr>
        <w:t xml:space="preserve"> on </w:t>
      </w:r>
      <w:r>
        <w:rPr>
          <w:rFonts w:ascii="Garamond" w:hAnsi="Garamond"/>
        </w:rPr>
        <w:t>promoting export</w:t>
      </w:r>
      <w:r>
        <w:rPr>
          <w:rFonts w:ascii="Garamond" w:hAnsi="Garamond"/>
          <w:lang w:val="id-ID"/>
        </w:rPr>
        <w:t>s</w:t>
      </w:r>
      <w:r>
        <w:rPr>
          <w:rFonts w:ascii="Garamond" w:hAnsi="Garamond"/>
        </w:rPr>
        <w:t xml:space="preserve"> </w:t>
      </w:r>
      <w:r w:rsidR="00496FE5">
        <w:rPr>
          <w:rFonts w:ascii="Garamond" w:hAnsi="Garamond"/>
        </w:rPr>
        <w:fldChar w:fldCharType="begin"/>
      </w:r>
      <w:r>
        <w:rPr>
          <w:rFonts w:ascii="Garamond" w:hAnsi="Garamond"/>
        </w:rPr>
        <w:instrText>ADDIN RW.CITE{{191 Tambunan,Tulus 2006}}</w:instrText>
      </w:r>
      <w:r w:rsidR="00496FE5">
        <w:rPr>
          <w:rFonts w:ascii="Garamond" w:hAnsi="Garamond"/>
        </w:rPr>
        <w:fldChar w:fldCharType="separate"/>
      </w:r>
      <w:r>
        <w:rPr>
          <w:rFonts w:ascii="Garamond" w:hAnsi="Garamond"/>
        </w:rPr>
        <w:t>(Tambunan 2006)</w:t>
      </w:r>
      <w:r w:rsidR="00496FE5">
        <w:rPr>
          <w:rFonts w:ascii="Garamond" w:hAnsi="Garamond"/>
        </w:rPr>
        <w:fldChar w:fldCharType="end"/>
      </w:r>
      <w:r>
        <w:rPr>
          <w:rFonts w:ascii="Garamond" w:hAnsi="Garamond"/>
        </w:rPr>
        <w:t>.Hence</w:t>
      </w:r>
      <w:r w:rsidRPr="00C9545F">
        <w:rPr>
          <w:rFonts w:ascii="Garamond" w:hAnsi="Garamond"/>
        </w:rPr>
        <w:t>, Indonesia recent</w:t>
      </w:r>
      <w:r>
        <w:rPr>
          <w:rFonts w:ascii="Garamond" w:hAnsi="Garamond"/>
        </w:rPr>
        <w:t xml:space="preserve"> rapid</w:t>
      </w:r>
      <w:r w:rsidRPr="00C9545F">
        <w:rPr>
          <w:rFonts w:ascii="Garamond" w:hAnsi="Garamond"/>
        </w:rPr>
        <w:t xml:space="preserve"> growth</w:t>
      </w:r>
      <w:r>
        <w:rPr>
          <w:rFonts w:ascii="Garamond" w:hAnsi="Garamond"/>
        </w:rPr>
        <w:t xml:space="preserve"> from 1999 to 2010</w:t>
      </w:r>
      <w:r w:rsidRPr="00C9545F">
        <w:rPr>
          <w:rFonts w:ascii="Garamond" w:hAnsi="Garamond"/>
        </w:rPr>
        <w:t xml:space="preserve"> contributed not only by commodity </w:t>
      </w:r>
      <w:r>
        <w:rPr>
          <w:rFonts w:ascii="Garamond" w:hAnsi="Garamond"/>
        </w:rPr>
        <w:t xml:space="preserve">sector </w:t>
      </w:r>
      <w:r w:rsidRPr="00C9545F">
        <w:rPr>
          <w:rFonts w:ascii="Garamond" w:hAnsi="Garamond"/>
        </w:rPr>
        <w:t>export but also by its manufacturing export in which dominated most of its export sta</w:t>
      </w:r>
      <w:r>
        <w:rPr>
          <w:rFonts w:ascii="Garamond" w:hAnsi="Garamond"/>
        </w:rPr>
        <w:t>rting in the late 1980s</w:t>
      </w:r>
    </w:p>
    <w:p w:rsidR="002506F2" w:rsidRDefault="002506F2" w:rsidP="002506F2">
      <w:pPr>
        <w:jc w:val="both"/>
        <w:rPr>
          <w:rFonts w:ascii="Garamond" w:hAnsi="Garamond"/>
        </w:rPr>
      </w:pPr>
    </w:p>
    <w:p w:rsidR="002506F2" w:rsidRPr="00BD2779" w:rsidRDefault="002506F2" w:rsidP="002506F2">
      <w:pPr>
        <w:jc w:val="center"/>
        <w:rPr>
          <w:rFonts w:asciiTheme="majorHAnsi" w:hAnsiTheme="majorHAnsi" w:cstheme="majorHAnsi"/>
          <w:sz w:val="18"/>
          <w:szCs w:val="18"/>
        </w:rPr>
      </w:pPr>
      <w:r w:rsidRPr="00BD2779">
        <w:rPr>
          <w:rFonts w:asciiTheme="majorHAnsi" w:hAnsiTheme="majorHAnsi" w:cstheme="majorHAnsi"/>
          <w:sz w:val="18"/>
          <w:szCs w:val="18"/>
        </w:rPr>
        <w:t>Figure 1</w:t>
      </w:r>
      <w:r w:rsidR="00295549">
        <w:rPr>
          <w:rFonts w:asciiTheme="majorHAnsi" w:hAnsiTheme="majorHAnsi" w:cstheme="majorHAnsi"/>
          <w:sz w:val="18"/>
          <w:szCs w:val="18"/>
        </w:rPr>
        <w:t>-1</w:t>
      </w:r>
    </w:p>
    <w:p w:rsidR="002506F2" w:rsidRPr="00BD2779" w:rsidRDefault="002506F2" w:rsidP="002506F2">
      <w:pPr>
        <w:jc w:val="center"/>
        <w:rPr>
          <w:rFonts w:asciiTheme="majorHAnsi" w:hAnsiTheme="majorHAnsi" w:cstheme="majorHAnsi"/>
          <w:b/>
          <w:sz w:val="18"/>
          <w:szCs w:val="18"/>
        </w:rPr>
      </w:pPr>
      <w:r w:rsidRPr="00BD2779">
        <w:rPr>
          <w:rFonts w:asciiTheme="majorHAnsi" w:hAnsiTheme="majorHAnsi" w:cstheme="majorHAnsi"/>
          <w:sz w:val="18"/>
          <w:szCs w:val="18"/>
        </w:rPr>
        <w:t>Indonesia Export Share, 1970 to 2010</w:t>
      </w:r>
    </w:p>
    <w:p w:rsidR="002506F2" w:rsidRPr="00BD2779" w:rsidRDefault="002506F2" w:rsidP="002506F2">
      <w:pPr>
        <w:jc w:val="center"/>
        <w:rPr>
          <w:rFonts w:asciiTheme="majorHAnsi" w:hAnsiTheme="majorHAnsi"/>
          <w:i/>
          <w:sz w:val="18"/>
          <w:szCs w:val="18"/>
        </w:rPr>
      </w:pPr>
      <w:r w:rsidRPr="00BD2779">
        <w:rPr>
          <w:rFonts w:asciiTheme="majorHAnsi" w:hAnsiTheme="majorHAnsi"/>
          <w:i/>
          <w:noProof/>
          <w:sz w:val="18"/>
          <w:szCs w:val="18"/>
        </w:rPr>
        <w:drawing>
          <wp:anchor distT="0" distB="0" distL="114300" distR="114300" simplePos="0" relativeHeight="251660288" behindDoc="0" locked="0" layoutInCell="1" allowOverlap="1">
            <wp:simplePos x="0" y="0"/>
            <wp:positionH relativeFrom="column">
              <wp:posOffset>21562</wp:posOffset>
            </wp:positionH>
            <wp:positionV relativeFrom="paragraph">
              <wp:posOffset>10575</wp:posOffset>
            </wp:positionV>
            <wp:extent cx="4799468" cy="2099144"/>
            <wp:effectExtent l="19050" t="0" r="20182" b="0"/>
            <wp:wrapNone/>
            <wp:docPr id="22"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2506F2" w:rsidRDefault="002506F2" w:rsidP="002506F2">
      <w:pPr>
        <w:jc w:val="cente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i/>
          <w:sz w:val="22"/>
          <w:szCs w:val="22"/>
        </w:rPr>
      </w:pPr>
    </w:p>
    <w:p w:rsidR="002506F2" w:rsidRDefault="002506F2" w:rsidP="002506F2">
      <w:pPr>
        <w:rPr>
          <w:rFonts w:asciiTheme="majorHAnsi" w:hAnsiTheme="majorHAnsi"/>
          <w:b/>
          <w:sz w:val="18"/>
          <w:szCs w:val="18"/>
        </w:rPr>
      </w:pPr>
      <w:r w:rsidRPr="00721C1F">
        <w:rPr>
          <w:rFonts w:asciiTheme="majorHAnsi" w:hAnsiTheme="majorHAnsi"/>
          <w:i/>
          <w:sz w:val="18"/>
          <w:szCs w:val="18"/>
        </w:rPr>
        <w:t xml:space="preserve">Source: </w:t>
      </w:r>
      <w:r>
        <w:rPr>
          <w:rFonts w:asciiTheme="majorHAnsi" w:hAnsiTheme="majorHAnsi"/>
          <w:i/>
          <w:sz w:val="18"/>
          <w:szCs w:val="18"/>
        </w:rPr>
        <w:t xml:space="preserve">Author’s own illustration based on </w:t>
      </w:r>
      <w:r w:rsidRPr="00721C1F">
        <w:rPr>
          <w:rFonts w:asciiTheme="majorHAnsi" w:hAnsiTheme="majorHAnsi"/>
          <w:i/>
          <w:sz w:val="18"/>
          <w:szCs w:val="18"/>
        </w:rPr>
        <w:t>World Bank data (World Development Indicators &amp; Global Development Finance)</w:t>
      </w:r>
    </w:p>
    <w:p w:rsidR="002506F2" w:rsidRPr="00B86117" w:rsidRDefault="002506F2" w:rsidP="002506F2">
      <w:pPr>
        <w:pStyle w:val="Heading2"/>
        <w:rPr>
          <w:rFonts w:ascii="Garamond" w:hAnsi="Garamond"/>
          <w:color w:val="auto"/>
          <w:sz w:val="32"/>
          <w:szCs w:val="32"/>
        </w:rPr>
      </w:pPr>
      <w:bookmarkStart w:id="13" w:name="_Toc343007175"/>
      <w:r w:rsidRPr="00B86117">
        <w:rPr>
          <w:rFonts w:ascii="Garamond" w:hAnsi="Garamond"/>
          <w:color w:val="auto"/>
          <w:sz w:val="32"/>
          <w:szCs w:val="32"/>
        </w:rPr>
        <w:lastRenderedPageBreak/>
        <w:t>1.2 Justification</w:t>
      </w:r>
      <w:bookmarkEnd w:id="12"/>
      <w:bookmarkEnd w:id="13"/>
    </w:p>
    <w:p w:rsidR="002506F2" w:rsidRPr="00C9545F" w:rsidRDefault="002506F2" w:rsidP="002506F2">
      <w:pPr>
        <w:jc w:val="both"/>
        <w:rPr>
          <w:rFonts w:ascii="Garamond" w:hAnsi="Garamond"/>
        </w:rPr>
      </w:pPr>
      <w:bookmarkStart w:id="14" w:name="_Toc209559670"/>
      <w:r>
        <w:rPr>
          <w:rFonts w:ascii="Garamond" w:hAnsi="Garamond"/>
        </w:rPr>
        <w:t>The</w:t>
      </w:r>
      <w:r w:rsidRPr="00C9545F">
        <w:rPr>
          <w:rFonts w:ascii="Garamond" w:hAnsi="Garamond"/>
        </w:rPr>
        <w:t xml:space="preserve"> rise of global primary commodity prices between 2005 and 2008</w:t>
      </w:r>
      <w:r>
        <w:rPr>
          <w:rFonts w:ascii="Garamond" w:hAnsi="Garamond"/>
        </w:rPr>
        <w:t xml:space="preserve"> in general</w:t>
      </w:r>
      <w:r w:rsidRPr="00C9545F">
        <w:rPr>
          <w:rFonts w:ascii="Garamond" w:hAnsi="Garamond"/>
        </w:rPr>
        <w:t xml:space="preserve"> had given a positive effect on Indonesian economy growth </w:t>
      </w:r>
      <w:r w:rsidR="00496FE5">
        <w:rPr>
          <w:rFonts w:ascii="Garamond" w:hAnsi="Garamond"/>
        </w:rPr>
        <w:fldChar w:fldCharType="begin"/>
      </w:r>
      <w:r>
        <w:rPr>
          <w:rFonts w:ascii="Garamond" w:hAnsi="Garamond"/>
        </w:rPr>
        <w:instrText>ADDIN RW.CITE{{184 Warr,Peter 2010}}</w:instrText>
      </w:r>
      <w:r w:rsidR="00496FE5">
        <w:rPr>
          <w:rFonts w:ascii="Garamond" w:hAnsi="Garamond"/>
        </w:rPr>
        <w:fldChar w:fldCharType="separate"/>
      </w:r>
      <w:r>
        <w:rPr>
          <w:rFonts w:ascii="Garamond" w:hAnsi="Garamond"/>
        </w:rPr>
        <w:t>(Warr and Aldaz-Carroll 2010)</w:t>
      </w:r>
      <w:r w:rsidR="00496FE5">
        <w:rPr>
          <w:rFonts w:ascii="Garamond" w:hAnsi="Garamond"/>
        </w:rPr>
        <w:fldChar w:fldCharType="end"/>
      </w:r>
      <w:r w:rsidRPr="00C9545F">
        <w:rPr>
          <w:rFonts w:ascii="Garamond" w:hAnsi="Garamond"/>
        </w:rPr>
        <w:t>. However, as reported by the Association of Southeast Asian Nations</w:t>
      </w:r>
      <w:r>
        <w:rPr>
          <w:rFonts w:ascii="Garamond" w:hAnsi="Garamond"/>
        </w:rPr>
        <w:t xml:space="preserve"> (2011)</w:t>
      </w:r>
      <w:r w:rsidRPr="00C9545F">
        <w:rPr>
          <w:rFonts w:ascii="Garamond" w:hAnsi="Garamond"/>
        </w:rPr>
        <w:t xml:space="preserve"> and the World Bank</w:t>
      </w:r>
      <w:r>
        <w:rPr>
          <w:rFonts w:ascii="Garamond" w:hAnsi="Garamond"/>
        </w:rPr>
        <w:t xml:space="preserve"> (2010)</w:t>
      </w:r>
      <w:r w:rsidRPr="00C9545F">
        <w:rPr>
          <w:rFonts w:ascii="Garamond" w:hAnsi="Garamond"/>
        </w:rPr>
        <w:t>, Indonesia’s GDP in 2009 experienced a contraction due to the global financial crisis that caused the fall of both commodity prices and demands; thus, the volume of goods exported by Indonesia and its values fell by 19.1% and 29%, respectively, that year</w:t>
      </w:r>
      <w:r>
        <w:rPr>
          <w:rFonts w:ascii="Garamond" w:hAnsi="Garamond"/>
          <w:lang w:val="id-ID"/>
        </w:rPr>
        <w:t>.</w:t>
      </w:r>
      <w:r>
        <w:rPr>
          <w:rFonts w:ascii="Garamond" w:hAnsi="Garamond"/>
        </w:rPr>
        <w:t xml:space="preserve"> </w:t>
      </w:r>
      <w:r>
        <w:rPr>
          <w:rFonts w:ascii="Garamond" w:hAnsi="Garamond"/>
          <w:lang w:val="id-ID"/>
        </w:rPr>
        <w:t>However,</w:t>
      </w:r>
      <w:r w:rsidRPr="00C9545F">
        <w:rPr>
          <w:rFonts w:ascii="Garamond" w:hAnsi="Garamond"/>
        </w:rPr>
        <w:t xml:space="preserve"> the contraction in Indonesia’s exports began to unwind in the following quarters. Compared to Indonesia’s GDP in 1997/1998, which plunged by 13% due to the Asian financial crisis, the country’s GDP in 2009 remained positive, despite slow economic growth</w:t>
      </w:r>
      <w:r>
        <w:rPr>
          <w:rFonts w:ascii="Garamond" w:hAnsi="Garamond"/>
          <w:lang w:val="id-ID"/>
        </w:rPr>
        <w:t xml:space="preserve"> </w:t>
      </w:r>
      <w:r w:rsidR="00496FE5">
        <w:rPr>
          <w:rFonts w:ascii="Garamond" w:hAnsi="Garamond"/>
        </w:rPr>
        <w:fldChar w:fldCharType="begin"/>
      </w:r>
      <w:r>
        <w:rPr>
          <w:rFonts w:ascii="Garamond" w:hAnsi="Garamond"/>
        </w:rPr>
        <w:instrText>ADDIN RW.CITE{{89 Purnamasari,Ririn 2011; 184 Warr,Peter 2010}}</w:instrText>
      </w:r>
      <w:r w:rsidR="00496FE5">
        <w:rPr>
          <w:rFonts w:ascii="Garamond" w:hAnsi="Garamond"/>
        </w:rPr>
        <w:fldChar w:fldCharType="separate"/>
      </w:r>
      <w:r>
        <w:rPr>
          <w:rFonts w:ascii="Garamond" w:hAnsi="Garamond"/>
        </w:rPr>
        <w:t>(Purnamasari et al. 2011, Warr and Aldaz-Carroll 2010)</w:t>
      </w:r>
      <w:r w:rsidR="00496FE5">
        <w:rPr>
          <w:rFonts w:ascii="Garamond" w:hAnsi="Garamond"/>
        </w:rPr>
        <w:fldChar w:fldCharType="end"/>
      </w:r>
      <w:r w:rsidRPr="00C9545F">
        <w:rPr>
          <w:rFonts w:ascii="Garamond" w:hAnsi="Garamond"/>
        </w:rPr>
        <w:t xml:space="preserve">. </w:t>
      </w:r>
    </w:p>
    <w:p w:rsidR="002506F2" w:rsidRPr="00C9545F" w:rsidRDefault="002506F2" w:rsidP="002506F2">
      <w:pPr>
        <w:jc w:val="both"/>
        <w:rPr>
          <w:rFonts w:ascii="Garamond" w:hAnsi="Garamond"/>
        </w:rPr>
      </w:pPr>
    </w:p>
    <w:p w:rsidR="002506F2" w:rsidRPr="00C9545F" w:rsidRDefault="002506F2" w:rsidP="002506F2">
      <w:pPr>
        <w:jc w:val="both"/>
        <w:rPr>
          <w:rFonts w:ascii="Garamond" w:hAnsi="Garamond"/>
        </w:rPr>
      </w:pPr>
      <w:r w:rsidRPr="00C9545F">
        <w:rPr>
          <w:rFonts w:ascii="Garamond" w:hAnsi="Garamond"/>
        </w:rPr>
        <w:t>Ample evidence s</w:t>
      </w:r>
      <w:r>
        <w:rPr>
          <w:rFonts w:ascii="Garamond" w:hAnsi="Garamond"/>
        </w:rPr>
        <w:t>howed that Indonesia’s economic</w:t>
      </w:r>
      <w:r w:rsidRPr="00C9545F">
        <w:rPr>
          <w:rFonts w:ascii="Garamond" w:hAnsi="Garamond"/>
        </w:rPr>
        <w:t xml:space="preserve"> growth in the past depended heavily on commodity exports. Thus, one could come to a conclusion that such growth would be vulnerable to the rise and fall of global commodity prices.</w:t>
      </w:r>
    </w:p>
    <w:p w:rsidR="002506F2" w:rsidRPr="00C9545F" w:rsidRDefault="002506F2" w:rsidP="002506F2">
      <w:pPr>
        <w:jc w:val="both"/>
        <w:rPr>
          <w:rFonts w:ascii="Garamond" w:hAnsi="Garamond"/>
        </w:rPr>
      </w:pPr>
    </w:p>
    <w:p w:rsidR="002506F2" w:rsidRPr="004F3B4E" w:rsidDel="004F3B4E" w:rsidRDefault="002506F2" w:rsidP="002506F2">
      <w:pPr>
        <w:jc w:val="both"/>
        <w:rPr>
          <w:rFonts w:ascii="Garamond" w:hAnsi="Garamond"/>
          <w:lang w:val="id-ID"/>
        </w:rPr>
      </w:pPr>
      <w:r>
        <w:rPr>
          <w:rFonts w:ascii="Garamond" w:hAnsi="Garamond"/>
          <w:lang w:val="id-ID"/>
        </w:rPr>
        <w:t xml:space="preserve">At the helm of its second president, Suharto, Indonesia began industrializing </w:t>
      </w:r>
      <w:r w:rsidRPr="00C9545F">
        <w:rPr>
          <w:rFonts w:ascii="Garamond" w:hAnsi="Garamond"/>
        </w:rPr>
        <w:t xml:space="preserve"> </w:t>
      </w:r>
      <w:r>
        <w:rPr>
          <w:rFonts w:ascii="Garamond" w:hAnsi="Garamond"/>
          <w:lang w:val="id-ID"/>
        </w:rPr>
        <w:t xml:space="preserve"> in</w:t>
      </w:r>
      <w:r w:rsidRPr="00C9545F">
        <w:rPr>
          <w:rFonts w:ascii="Garamond" w:hAnsi="Garamond"/>
        </w:rPr>
        <w:t xml:space="preserve"> 1970</w:t>
      </w:r>
      <w:r>
        <w:rPr>
          <w:rFonts w:ascii="Garamond" w:hAnsi="Garamond"/>
          <w:lang w:val="id-ID"/>
        </w:rPr>
        <w:t xml:space="preserve">, so as to boost its stagnant economy,  </w:t>
      </w:r>
      <w:r w:rsidRPr="00C9545F">
        <w:rPr>
          <w:rFonts w:ascii="Garamond" w:hAnsi="Garamond"/>
        </w:rPr>
        <w:t>by</w:t>
      </w:r>
      <w:r>
        <w:rPr>
          <w:rFonts w:ascii="Garamond" w:hAnsi="Garamond"/>
          <w:lang w:val="id-ID"/>
        </w:rPr>
        <w:t xml:space="preserve">  emphasizing</w:t>
      </w:r>
      <w:r w:rsidRPr="00C9545F">
        <w:rPr>
          <w:rFonts w:ascii="Garamond" w:hAnsi="Garamond"/>
        </w:rPr>
        <w:t xml:space="preserve"> on the development of </w:t>
      </w:r>
      <w:r>
        <w:rPr>
          <w:rFonts w:ascii="Garamond" w:hAnsi="Garamond"/>
          <w:lang w:val="id-ID"/>
        </w:rPr>
        <w:t xml:space="preserve">its </w:t>
      </w:r>
      <w:r w:rsidRPr="00C9545F">
        <w:rPr>
          <w:rFonts w:ascii="Garamond" w:hAnsi="Garamond"/>
        </w:rPr>
        <w:t>manufacture sectors</w:t>
      </w:r>
      <w:r>
        <w:rPr>
          <w:rFonts w:ascii="Garamond" w:hAnsi="Garamond"/>
          <w:lang w:val="id-ID"/>
        </w:rPr>
        <w:t xml:space="preserve"> and </w:t>
      </w:r>
      <w:r w:rsidRPr="00C9545F">
        <w:rPr>
          <w:rFonts w:ascii="Garamond" w:hAnsi="Garamond"/>
        </w:rPr>
        <w:t>by diversifying its economic dependency on primary commodity exports</w:t>
      </w:r>
      <w:r>
        <w:rPr>
          <w:rFonts w:ascii="Garamond" w:hAnsi="Garamond"/>
          <w:lang w:val="id-ID"/>
        </w:rPr>
        <w:t xml:space="preserve">. </w:t>
      </w:r>
    </w:p>
    <w:p w:rsidR="002506F2" w:rsidRPr="00C9545F" w:rsidRDefault="002506F2" w:rsidP="002506F2">
      <w:pPr>
        <w:jc w:val="both"/>
        <w:rPr>
          <w:rFonts w:ascii="Garamond" w:hAnsi="Garamond"/>
          <w:b/>
        </w:rPr>
      </w:pPr>
      <w:r w:rsidRPr="00C9545F" w:rsidDel="009D6096">
        <w:rPr>
          <w:rFonts w:ascii="Garamond" w:hAnsi="Garamond"/>
        </w:rPr>
        <w:t xml:space="preserve"> </w:t>
      </w:r>
    </w:p>
    <w:p w:rsidR="002506F2" w:rsidRPr="00C9545F" w:rsidRDefault="002506F2" w:rsidP="002506F2">
      <w:pPr>
        <w:jc w:val="both"/>
        <w:rPr>
          <w:rFonts w:ascii="Garamond" w:hAnsi="Garamond"/>
        </w:rPr>
      </w:pPr>
      <w:r w:rsidRPr="00C9545F">
        <w:rPr>
          <w:rFonts w:ascii="Garamond" w:hAnsi="Garamond"/>
        </w:rPr>
        <w:t>As shown in Figure 1, Indonesia’s manufacturing exports production has increased and has dominated i</w:t>
      </w:r>
      <w:r>
        <w:rPr>
          <w:rFonts w:ascii="Garamond" w:hAnsi="Garamond"/>
        </w:rPr>
        <w:t>ts exports since the late 1980s</w:t>
      </w:r>
      <w:r>
        <w:rPr>
          <w:rFonts w:ascii="Garamond" w:hAnsi="Garamond"/>
          <w:lang w:val="id-ID"/>
        </w:rPr>
        <w:t xml:space="preserve">, </w:t>
      </w:r>
      <w:r>
        <w:rPr>
          <w:rFonts w:ascii="Garamond" w:hAnsi="Garamond"/>
        </w:rPr>
        <w:t xml:space="preserve">particularly in </w:t>
      </w:r>
      <w:r>
        <w:rPr>
          <w:rFonts w:ascii="Garamond" w:hAnsi="Garamond"/>
          <w:lang w:val="id-ID"/>
        </w:rPr>
        <w:t xml:space="preserve">the </w:t>
      </w:r>
      <w:r>
        <w:rPr>
          <w:rFonts w:ascii="Garamond" w:hAnsi="Garamond"/>
        </w:rPr>
        <w:t>1990s</w:t>
      </w:r>
      <w:r>
        <w:rPr>
          <w:rFonts w:ascii="Garamond" w:hAnsi="Garamond"/>
          <w:lang w:val="id-ID"/>
        </w:rPr>
        <w:t xml:space="preserve">, </w:t>
      </w:r>
      <w:r>
        <w:rPr>
          <w:rFonts w:ascii="Garamond" w:hAnsi="Garamond"/>
        </w:rPr>
        <w:t>its exports accounted for half of the total merchandise exports.</w:t>
      </w:r>
      <w:r w:rsidRPr="00C9545F">
        <w:rPr>
          <w:rFonts w:ascii="Garamond" w:hAnsi="Garamond"/>
        </w:rPr>
        <w:t xml:space="preserve"> </w:t>
      </w:r>
    </w:p>
    <w:p w:rsidR="002506F2" w:rsidRPr="00C9545F" w:rsidRDefault="002506F2" w:rsidP="002506F2">
      <w:pPr>
        <w:jc w:val="both"/>
        <w:rPr>
          <w:rFonts w:ascii="Garamond" w:hAnsi="Garamond"/>
        </w:rPr>
      </w:pPr>
    </w:p>
    <w:p w:rsidR="002506F2" w:rsidRPr="00B86117" w:rsidRDefault="002506F2" w:rsidP="002506F2">
      <w:pPr>
        <w:pStyle w:val="Heading2"/>
        <w:rPr>
          <w:rFonts w:ascii="Garamond" w:hAnsi="Garamond"/>
          <w:color w:val="auto"/>
          <w:sz w:val="32"/>
          <w:szCs w:val="32"/>
        </w:rPr>
      </w:pPr>
      <w:bookmarkStart w:id="15" w:name="_Toc343007176"/>
      <w:r w:rsidRPr="00B86117">
        <w:rPr>
          <w:rFonts w:ascii="Garamond" w:hAnsi="Garamond"/>
          <w:color w:val="auto"/>
          <w:sz w:val="32"/>
          <w:szCs w:val="32"/>
        </w:rPr>
        <w:t>1.3 Research objectives</w:t>
      </w:r>
      <w:bookmarkEnd w:id="14"/>
      <w:r w:rsidRPr="00B86117">
        <w:rPr>
          <w:rFonts w:ascii="Garamond" w:hAnsi="Garamond"/>
          <w:color w:val="auto"/>
          <w:sz w:val="32"/>
          <w:szCs w:val="32"/>
        </w:rPr>
        <w:t>, questions and arguments</w:t>
      </w:r>
      <w:bookmarkEnd w:id="15"/>
    </w:p>
    <w:p w:rsidR="002506F2" w:rsidRPr="00703520" w:rsidRDefault="002506F2" w:rsidP="002506F2">
      <w:pPr>
        <w:jc w:val="both"/>
        <w:rPr>
          <w:rFonts w:ascii="Garamond" w:hAnsi="Garamond"/>
        </w:rPr>
      </w:pPr>
      <w:r w:rsidRPr="00703520">
        <w:rPr>
          <w:rFonts w:ascii="Garamond" w:hAnsi="Garamond"/>
        </w:rPr>
        <w:t xml:space="preserve">The objectives of the research are to analyze to what extent does Indonesia economic growth is still dependent on the commodity exports and to what extent its recent growth owes to the rise in primary commodity export prices. </w:t>
      </w:r>
    </w:p>
    <w:p w:rsidR="002506F2" w:rsidRPr="00703520" w:rsidRDefault="002506F2" w:rsidP="002506F2">
      <w:pPr>
        <w:jc w:val="both"/>
        <w:rPr>
          <w:rFonts w:ascii="Garamond" w:hAnsi="Garamond"/>
        </w:rPr>
      </w:pPr>
    </w:p>
    <w:p w:rsidR="002506F2" w:rsidRPr="00703520" w:rsidRDefault="002506F2" w:rsidP="002506F2">
      <w:pPr>
        <w:jc w:val="both"/>
        <w:rPr>
          <w:rFonts w:ascii="Garamond" w:hAnsi="Garamond"/>
        </w:rPr>
      </w:pPr>
      <w:r w:rsidRPr="00703520">
        <w:rPr>
          <w:rFonts w:ascii="Garamond" w:hAnsi="Garamond"/>
        </w:rPr>
        <w:t>In view of these objectives, this research will focus on following two questions:</w:t>
      </w:r>
    </w:p>
    <w:p w:rsidR="002506F2" w:rsidRPr="00703520" w:rsidRDefault="002506F2" w:rsidP="002506F2">
      <w:pPr>
        <w:pStyle w:val="ListParagraph"/>
        <w:numPr>
          <w:ilvl w:val="0"/>
          <w:numId w:val="7"/>
        </w:numPr>
        <w:jc w:val="both"/>
        <w:rPr>
          <w:rFonts w:ascii="Garamond" w:hAnsi="Garamond"/>
        </w:rPr>
      </w:pPr>
      <w:r w:rsidRPr="00703520">
        <w:rPr>
          <w:rFonts w:ascii="Garamond" w:hAnsi="Garamond"/>
        </w:rPr>
        <w:t>To what extent does Indonesia economic growth depend on primary commodity production?</w:t>
      </w:r>
    </w:p>
    <w:p w:rsidR="002506F2" w:rsidRPr="00703520" w:rsidRDefault="002506F2" w:rsidP="002506F2">
      <w:pPr>
        <w:pStyle w:val="ListParagraph"/>
        <w:numPr>
          <w:ilvl w:val="0"/>
          <w:numId w:val="7"/>
        </w:numPr>
        <w:jc w:val="both"/>
        <w:rPr>
          <w:rFonts w:ascii="Garamond" w:hAnsi="Garamond"/>
        </w:rPr>
      </w:pPr>
      <w:r w:rsidRPr="00703520">
        <w:rPr>
          <w:rFonts w:ascii="Garamond" w:hAnsi="Garamond"/>
        </w:rPr>
        <w:t xml:space="preserve">What is the significance of this dependency for its growth? </w:t>
      </w:r>
    </w:p>
    <w:p w:rsidR="002506F2" w:rsidRPr="00703520" w:rsidRDefault="002506F2" w:rsidP="002506F2">
      <w:pPr>
        <w:rPr>
          <w:rFonts w:ascii="Garamond" w:hAnsi="Garamond"/>
        </w:rPr>
      </w:pPr>
      <w:bookmarkStart w:id="16" w:name="_Toc209559672"/>
    </w:p>
    <w:p w:rsidR="002506F2" w:rsidRPr="00703520" w:rsidRDefault="002506F2" w:rsidP="002506F2">
      <w:pPr>
        <w:rPr>
          <w:rFonts w:ascii="Garamond" w:hAnsi="Garamond" w:cstheme="majorHAnsi"/>
        </w:rPr>
      </w:pPr>
      <w:r w:rsidRPr="00703520">
        <w:rPr>
          <w:rFonts w:ascii="Garamond" w:hAnsi="Garamond" w:cstheme="majorHAnsi"/>
        </w:rPr>
        <w:t>The research paper intends to argue that:</w:t>
      </w:r>
      <w:bookmarkEnd w:id="16"/>
    </w:p>
    <w:p w:rsidR="002506F2" w:rsidRPr="00451274" w:rsidRDefault="002506F2" w:rsidP="002506F2">
      <w:pPr>
        <w:pStyle w:val="ListParagraph"/>
        <w:numPr>
          <w:ilvl w:val="0"/>
          <w:numId w:val="3"/>
        </w:numPr>
        <w:jc w:val="both"/>
        <w:rPr>
          <w:rFonts w:ascii="Garamond" w:eastAsia="Times New Roman" w:hAnsi="Garamond"/>
        </w:rPr>
      </w:pPr>
      <w:r w:rsidRPr="00451274">
        <w:rPr>
          <w:rFonts w:ascii="Garamond" w:eastAsia="Times New Roman" w:hAnsi="Garamond" w:cs="Tahoma"/>
        </w:rPr>
        <w:t xml:space="preserve">Indonesia’s economic growth still continues to depend for the most part on the world market prices of the primary commodities that </w:t>
      </w:r>
      <w:r w:rsidRPr="00451274">
        <w:rPr>
          <w:rFonts w:ascii="Garamond" w:eastAsia="Times New Roman" w:hAnsi="Garamond" w:cs="Tahoma"/>
          <w:lang w:val="id-ID"/>
        </w:rPr>
        <w:t xml:space="preserve">the country </w:t>
      </w:r>
      <w:r w:rsidRPr="00451274">
        <w:rPr>
          <w:rFonts w:ascii="Garamond" w:eastAsia="Times New Roman" w:hAnsi="Garamond" w:cs="Tahoma"/>
        </w:rPr>
        <w:t> exports (rubber, palm oil, cocoa, forest</w:t>
      </w:r>
      <w:r>
        <w:rPr>
          <w:rFonts w:ascii="Garamond" w:eastAsia="Times New Roman" w:hAnsi="Garamond" w:cs="Tahoma"/>
        </w:rPr>
        <w:t xml:space="preserve"> products, coffee and shrimps), </w:t>
      </w:r>
      <w:r w:rsidRPr="00451274">
        <w:rPr>
          <w:rFonts w:ascii="Garamond" w:eastAsia="Times New Roman" w:hAnsi="Garamond" w:cs="Tahoma"/>
          <w:iCs/>
        </w:rPr>
        <w:t>but such reliance is declining, as the country has shifted its focus from being commodity depen</w:t>
      </w:r>
      <w:r>
        <w:rPr>
          <w:rFonts w:ascii="Garamond" w:eastAsia="Times New Roman" w:hAnsi="Garamond" w:cs="Tahoma"/>
          <w:iCs/>
        </w:rPr>
        <w:t>dent to being industry-oriented.</w:t>
      </w:r>
    </w:p>
    <w:p w:rsidR="002506F2" w:rsidRPr="00451274" w:rsidRDefault="002506F2" w:rsidP="002506F2">
      <w:pPr>
        <w:pStyle w:val="ListParagraph"/>
        <w:numPr>
          <w:ilvl w:val="0"/>
          <w:numId w:val="3"/>
        </w:numPr>
        <w:jc w:val="both"/>
        <w:rPr>
          <w:rFonts w:ascii="Garamond" w:eastAsia="Times New Roman" w:hAnsi="Garamond"/>
        </w:rPr>
      </w:pPr>
      <w:r w:rsidRPr="00451274">
        <w:rPr>
          <w:rFonts w:ascii="Garamond" w:eastAsia="Times New Roman" w:hAnsi="Garamond" w:cs="Tahoma"/>
        </w:rPr>
        <w:t xml:space="preserve">Changes in global commodity prices continue to have an impact on Indonesia’s economic growth, but this </w:t>
      </w:r>
      <w:r>
        <w:rPr>
          <w:rFonts w:ascii="Garamond" w:eastAsia="Times New Roman" w:hAnsi="Garamond" w:cs="Tahoma"/>
        </w:rPr>
        <w:t xml:space="preserve">has declined over time </w:t>
      </w:r>
      <w:r w:rsidRPr="00451274">
        <w:rPr>
          <w:rFonts w:ascii="Garamond" w:eastAsia="Times New Roman" w:hAnsi="Garamond" w:cs="Tahoma"/>
          <w:bCs/>
          <w:lang w:val="id-ID"/>
        </w:rPr>
        <w:t>because the industry-oriented exports have increased and substituted the decline in commodity e</w:t>
      </w:r>
      <w:r>
        <w:rPr>
          <w:rFonts w:ascii="Garamond" w:eastAsia="Times New Roman" w:hAnsi="Garamond" w:cs="Tahoma"/>
          <w:bCs/>
          <w:lang w:val="id-ID"/>
        </w:rPr>
        <w:t>xports</w:t>
      </w:r>
    </w:p>
    <w:p w:rsidR="002506F2" w:rsidRPr="00451274" w:rsidRDefault="002506F2" w:rsidP="002506F2">
      <w:pPr>
        <w:pStyle w:val="ListParagraph"/>
        <w:numPr>
          <w:ilvl w:val="0"/>
          <w:numId w:val="3"/>
        </w:numPr>
        <w:rPr>
          <w:rFonts w:ascii="Garamond" w:hAnsi="Garamond"/>
        </w:rPr>
      </w:pPr>
      <w:r w:rsidRPr="00451274">
        <w:rPr>
          <w:rFonts w:ascii="Garamond" w:hAnsi="Garamond"/>
        </w:rPr>
        <w:lastRenderedPageBreak/>
        <w:t>The recent rise in Indonesia’s economic growth rate can be attributed to the rise in the prices of its primary commodity exports</w:t>
      </w:r>
      <w:r>
        <w:rPr>
          <w:rFonts w:ascii="Garamond" w:hAnsi="Garamond"/>
        </w:rPr>
        <w:t xml:space="preserve"> which cause the value of primary commodity exports to rise significantly</w:t>
      </w:r>
      <w:r w:rsidRPr="00451274">
        <w:rPr>
          <w:rFonts w:ascii="Garamond" w:hAnsi="Garamond"/>
        </w:rPr>
        <w:t>.</w:t>
      </w:r>
    </w:p>
    <w:p w:rsidR="002506F2" w:rsidRPr="00B86117" w:rsidRDefault="002506F2" w:rsidP="002506F2">
      <w:pPr>
        <w:pStyle w:val="Heading2"/>
        <w:rPr>
          <w:rFonts w:ascii="Garamond" w:hAnsi="Garamond"/>
          <w:color w:val="auto"/>
          <w:sz w:val="32"/>
          <w:szCs w:val="32"/>
        </w:rPr>
      </w:pPr>
      <w:bookmarkStart w:id="17" w:name="_Toc209559673"/>
      <w:bookmarkStart w:id="18" w:name="_Toc343007177"/>
      <w:r w:rsidRPr="00B86117">
        <w:rPr>
          <w:rFonts w:ascii="Garamond" w:hAnsi="Garamond"/>
          <w:color w:val="auto"/>
          <w:sz w:val="32"/>
          <w:szCs w:val="32"/>
        </w:rPr>
        <w:t>1.4 Methodology and limitations of the research</w:t>
      </w:r>
      <w:bookmarkEnd w:id="17"/>
      <w:bookmarkEnd w:id="18"/>
    </w:p>
    <w:p w:rsidR="002506F2" w:rsidRDefault="002506F2" w:rsidP="002506F2">
      <w:pPr>
        <w:jc w:val="both"/>
        <w:rPr>
          <w:rFonts w:ascii="Garamond" w:hAnsi="Garamond"/>
        </w:rPr>
      </w:pPr>
      <w:r w:rsidRPr="00B85DBA">
        <w:rPr>
          <w:rFonts w:ascii="Garamond" w:hAnsi="Garamond"/>
        </w:rPr>
        <w:t xml:space="preserve">The research will use </w:t>
      </w:r>
      <w:r>
        <w:rPr>
          <w:rFonts w:ascii="Garamond" w:hAnsi="Garamond"/>
          <w:lang w:val="id-ID"/>
        </w:rPr>
        <w:t xml:space="preserve">a </w:t>
      </w:r>
      <w:r w:rsidRPr="00B85DBA">
        <w:rPr>
          <w:rFonts w:ascii="Garamond" w:hAnsi="Garamond"/>
        </w:rPr>
        <w:t>quantitative secondary data collection</w:t>
      </w:r>
      <w:r>
        <w:rPr>
          <w:rFonts w:ascii="Garamond" w:hAnsi="Garamond"/>
          <w:lang w:val="id-ID"/>
        </w:rPr>
        <w:t xml:space="preserve"> that</w:t>
      </w:r>
      <w:r w:rsidRPr="00B85DBA">
        <w:rPr>
          <w:rFonts w:ascii="Garamond" w:hAnsi="Garamond"/>
        </w:rPr>
        <w:t xml:space="preserve"> will be analyze</w:t>
      </w:r>
      <w:r>
        <w:rPr>
          <w:rFonts w:ascii="Garamond" w:hAnsi="Garamond"/>
          <w:lang w:val="id-ID"/>
        </w:rPr>
        <w:t>d</w:t>
      </w:r>
      <w:r w:rsidRPr="00B85DBA">
        <w:rPr>
          <w:rFonts w:ascii="Garamond" w:hAnsi="Garamond"/>
        </w:rPr>
        <w:t xml:space="preserve"> using exploratory data analysis (EDA) with no econometric methods. </w:t>
      </w:r>
    </w:p>
    <w:p w:rsidR="002506F2" w:rsidRPr="00B85DBA" w:rsidRDefault="002506F2" w:rsidP="002506F2">
      <w:pPr>
        <w:jc w:val="both"/>
        <w:rPr>
          <w:rFonts w:ascii="Garamond" w:hAnsi="Garamond"/>
        </w:rPr>
      </w:pPr>
    </w:p>
    <w:p w:rsidR="002506F2" w:rsidRDefault="002506F2" w:rsidP="002506F2">
      <w:pPr>
        <w:jc w:val="both"/>
        <w:rPr>
          <w:rFonts w:ascii="Garamond" w:hAnsi="Garamond"/>
        </w:rPr>
      </w:pPr>
      <w:r w:rsidRPr="00B85DBA">
        <w:rPr>
          <w:rFonts w:ascii="Garamond" w:hAnsi="Garamond"/>
        </w:rPr>
        <w:t>Exploratory data analysis (EDA)</w:t>
      </w:r>
      <w:r>
        <w:rPr>
          <w:rFonts w:ascii="Garamond" w:hAnsi="Garamond"/>
        </w:rPr>
        <w:t xml:space="preserve"> is </w:t>
      </w:r>
      <w:r>
        <w:rPr>
          <w:rFonts w:ascii="Garamond" w:hAnsi="Garamond"/>
          <w:lang w:val="id-ID"/>
        </w:rPr>
        <w:t xml:space="preserve">a </w:t>
      </w:r>
      <w:r>
        <w:rPr>
          <w:rFonts w:ascii="Garamond" w:hAnsi="Garamond"/>
        </w:rPr>
        <w:t>methodology rather than a set of techniques.</w:t>
      </w:r>
      <w:r>
        <w:rPr>
          <w:rFonts w:ascii="Garamond" w:hAnsi="Garamond"/>
          <w:lang w:val="id-ID"/>
        </w:rPr>
        <w:t xml:space="preserve"> The </w:t>
      </w:r>
      <w:r>
        <w:rPr>
          <w:rFonts w:ascii="Garamond" w:hAnsi="Garamond"/>
        </w:rPr>
        <w:t>EDA methodology is flexible and data</w:t>
      </w:r>
      <w:r>
        <w:rPr>
          <w:rFonts w:ascii="Garamond" w:hAnsi="Garamond"/>
          <w:lang w:val="id-ID"/>
        </w:rPr>
        <w:t>-</w:t>
      </w:r>
      <w:r>
        <w:rPr>
          <w:rFonts w:ascii="Garamond" w:hAnsi="Garamond"/>
        </w:rPr>
        <w:t>driven rather than hypothesis</w:t>
      </w:r>
      <w:r>
        <w:rPr>
          <w:rFonts w:ascii="Garamond" w:hAnsi="Garamond"/>
          <w:lang w:val="id-ID"/>
        </w:rPr>
        <w:t>-</w:t>
      </w:r>
      <w:r>
        <w:rPr>
          <w:rFonts w:ascii="Garamond" w:hAnsi="Garamond"/>
        </w:rPr>
        <w:t>driven</w:t>
      </w:r>
      <w:r>
        <w:rPr>
          <w:rFonts w:ascii="Garamond" w:hAnsi="Garamond"/>
          <w:lang w:val="id-ID"/>
        </w:rPr>
        <w:t>,</w:t>
      </w:r>
      <w:r>
        <w:rPr>
          <w:rFonts w:ascii="Garamond" w:hAnsi="Garamond"/>
        </w:rPr>
        <w:t xml:space="preserve"> and researcher</w:t>
      </w:r>
      <w:r>
        <w:rPr>
          <w:rFonts w:ascii="Garamond" w:hAnsi="Garamond"/>
          <w:lang w:val="id-ID"/>
        </w:rPr>
        <w:t>s</w:t>
      </w:r>
      <w:r>
        <w:rPr>
          <w:rFonts w:ascii="Garamond" w:hAnsi="Garamond"/>
        </w:rPr>
        <w:t xml:space="preserve"> may carry out </w:t>
      </w:r>
      <w:r>
        <w:rPr>
          <w:rFonts w:ascii="Garamond" w:hAnsi="Garamond"/>
          <w:lang w:val="id-ID"/>
        </w:rPr>
        <w:t>EDA</w:t>
      </w:r>
      <w:r>
        <w:rPr>
          <w:rFonts w:ascii="Garamond" w:hAnsi="Garamond"/>
        </w:rPr>
        <w:t xml:space="preserve"> in different way</w:t>
      </w:r>
      <w:r>
        <w:rPr>
          <w:rFonts w:ascii="Garamond" w:hAnsi="Garamond"/>
          <w:lang w:val="id-ID"/>
        </w:rPr>
        <w:t>s</w:t>
      </w:r>
      <w:r>
        <w:rPr>
          <w:rFonts w:ascii="Garamond" w:hAnsi="Garamond"/>
        </w:rPr>
        <w:t xml:space="preserve">, </w:t>
      </w:r>
      <w:r>
        <w:rPr>
          <w:rFonts w:ascii="Garamond" w:hAnsi="Garamond"/>
          <w:lang w:val="id-ID"/>
        </w:rPr>
        <w:t xml:space="preserve"> despite the fact that</w:t>
      </w:r>
      <w:r>
        <w:rPr>
          <w:rFonts w:ascii="Garamond" w:hAnsi="Garamond"/>
        </w:rPr>
        <w:t xml:space="preserve"> the information extracted from this methodology </w:t>
      </w:r>
      <w:r>
        <w:rPr>
          <w:rFonts w:ascii="Garamond" w:hAnsi="Garamond"/>
          <w:lang w:val="id-ID"/>
        </w:rPr>
        <w:t xml:space="preserve"> </w:t>
      </w:r>
      <w:r>
        <w:rPr>
          <w:rFonts w:ascii="Garamond" w:hAnsi="Garamond"/>
        </w:rPr>
        <w:t>would likely to be the same</w:t>
      </w:r>
      <w:r>
        <w:rPr>
          <w:rFonts w:ascii="Garamond" w:hAnsi="Garamond"/>
          <w:lang w:val="id-ID"/>
        </w:rPr>
        <w:t xml:space="preserve"> </w:t>
      </w:r>
      <w:r w:rsidR="00496FE5">
        <w:rPr>
          <w:rFonts w:ascii="Garamond" w:hAnsi="Garamond"/>
        </w:rPr>
        <w:fldChar w:fldCharType="begin"/>
      </w:r>
      <w:r>
        <w:rPr>
          <w:rFonts w:ascii="Garamond" w:hAnsi="Garamond"/>
        </w:rPr>
        <w:instrText>ADDIN RW.CITE{{192 Unwin,A 2010}}</w:instrText>
      </w:r>
      <w:r w:rsidR="00496FE5">
        <w:rPr>
          <w:rFonts w:ascii="Garamond" w:hAnsi="Garamond"/>
        </w:rPr>
        <w:fldChar w:fldCharType="separate"/>
      </w:r>
      <w:r>
        <w:rPr>
          <w:rFonts w:ascii="Garamond" w:hAnsi="Garamond"/>
        </w:rPr>
        <w:t>(Unwin 2010)</w:t>
      </w:r>
      <w:r w:rsidR="00496FE5">
        <w:rPr>
          <w:rFonts w:ascii="Garamond" w:hAnsi="Garamond"/>
        </w:rPr>
        <w:fldChar w:fldCharType="end"/>
      </w:r>
      <w:r>
        <w:rPr>
          <w:rFonts w:ascii="Garamond" w:hAnsi="Garamond"/>
        </w:rPr>
        <w:t>.</w:t>
      </w:r>
      <w:r>
        <w:rPr>
          <w:rFonts w:ascii="Garamond" w:hAnsi="Garamond"/>
          <w:lang w:val="id-ID"/>
        </w:rPr>
        <w:t xml:space="preserve"> </w:t>
      </w:r>
    </w:p>
    <w:p w:rsidR="002506F2" w:rsidRDefault="002506F2" w:rsidP="002506F2">
      <w:pPr>
        <w:jc w:val="both"/>
        <w:rPr>
          <w:rFonts w:ascii="Garamond" w:hAnsi="Garamond"/>
        </w:rPr>
      </w:pPr>
    </w:p>
    <w:p w:rsidR="002506F2" w:rsidRPr="00B85DBA" w:rsidRDefault="002506F2" w:rsidP="002506F2">
      <w:pPr>
        <w:jc w:val="both"/>
        <w:rPr>
          <w:rFonts w:ascii="Garamond" w:hAnsi="Garamond"/>
        </w:rPr>
      </w:pPr>
      <w:r>
        <w:rPr>
          <w:rFonts w:ascii="Garamond" w:hAnsi="Garamond"/>
        </w:rPr>
        <w:t>EDA is</w:t>
      </w:r>
      <w:r w:rsidRPr="00B85DBA">
        <w:rPr>
          <w:rFonts w:ascii="Garamond" w:hAnsi="Garamond"/>
        </w:rPr>
        <w:t xml:space="preserve"> appropriate for both qualitative and quantitative data that will be used in bi</w:t>
      </w:r>
      <w:r>
        <w:rPr>
          <w:rFonts w:ascii="Garamond" w:hAnsi="Garamond"/>
          <w:lang w:val="id-ID"/>
        </w:rPr>
        <w:t>-</w:t>
      </w:r>
      <w:proofErr w:type="spellStart"/>
      <w:r w:rsidRPr="00B85DBA">
        <w:rPr>
          <w:rFonts w:ascii="Garamond" w:hAnsi="Garamond"/>
        </w:rPr>
        <w:t>variate</w:t>
      </w:r>
      <w:proofErr w:type="spellEnd"/>
      <w:r w:rsidRPr="00B85DBA">
        <w:rPr>
          <w:rFonts w:ascii="Garamond" w:hAnsi="Garamond"/>
        </w:rPr>
        <w:t xml:space="preserve"> and multivariate analysis in social sciences</w:t>
      </w:r>
      <w:r>
        <w:rPr>
          <w:rFonts w:ascii="Garamond" w:hAnsi="Garamond"/>
        </w:rPr>
        <w:t xml:space="preserve"> and it</w:t>
      </w:r>
      <w:r>
        <w:rPr>
          <w:rFonts w:ascii="Garamond" w:hAnsi="Garamond"/>
          <w:lang w:val="id-ID"/>
        </w:rPr>
        <w:t xml:space="preserve"> is mainly</w:t>
      </w:r>
      <w:r w:rsidRPr="00B85DBA">
        <w:rPr>
          <w:rFonts w:ascii="Garamond" w:hAnsi="Garamond"/>
        </w:rPr>
        <w:t xml:space="preserve"> useful for economist</w:t>
      </w:r>
      <w:r>
        <w:rPr>
          <w:rFonts w:ascii="Garamond" w:hAnsi="Garamond"/>
          <w:lang w:val="id-ID"/>
        </w:rPr>
        <w:t>s</w:t>
      </w:r>
      <w:r w:rsidRPr="00B85DBA">
        <w:rPr>
          <w:rFonts w:ascii="Garamond" w:hAnsi="Garamond"/>
        </w:rPr>
        <w:t xml:space="preserve"> to analyze data before testing</w:t>
      </w:r>
      <w:r>
        <w:rPr>
          <w:rFonts w:ascii="Garamond" w:hAnsi="Garamond"/>
          <w:lang w:val="id-ID"/>
        </w:rPr>
        <w:t xml:space="preserve"> it</w:t>
      </w:r>
      <w:r w:rsidRPr="00B85DBA">
        <w:rPr>
          <w:rFonts w:ascii="Garamond" w:hAnsi="Garamond"/>
        </w:rPr>
        <w:t xml:space="preserve"> </w:t>
      </w:r>
      <w:r>
        <w:rPr>
          <w:rFonts w:ascii="Garamond" w:hAnsi="Garamond"/>
          <w:lang w:val="id-ID"/>
        </w:rPr>
        <w:t>with</w:t>
      </w:r>
      <w:r w:rsidRPr="00B85DBA">
        <w:rPr>
          <w:rFonts w:ascii="Garamond" w:hAnsi="Garamond"/>
        </w:rPr>
        <w:t xml:space="preserve"> econometric models</w:t>
      </w:r>
      <w:r>
        <w:rPr>
          <w:rFonts w:ascii="Garamond" w:hAnsi="Garamond"/>
          <w:lang w:val="id-ID"/>
        </w:rPr>
        <w:t>,</w:t>
      </w:r>
      <w:r w:rsidRPr="00B85DBA">
        <w:rPr>
          <w:rFonts w:ascii="Garamond" w:hAnsi="Garamond"/>
        </w:rPr>
        <w:t xml:space="preserve"> and also helps researcher</w:t>
      </w:r>
      <w:r>
        <w:rPr>
          <w:rFonts w:ascii="Garamond" w:hAnsi="Garamond"/>
          <w:lang w:val="id-ID"/>
        </w:rPr>
        <w:t>s</w:t>
      </w:r>
      <w:r w:rsidRPr="00B85DBA">
        <w:rPr>
          <w:rFonts w:ascii="Garamond" w:hAnsi="Garamond"/>
        </w:rPr>
        <w:t xml:space="preserve"> learn and understand more about the variables before using them to test the theories of social</w:t>
      </w:r>
      <w:r>
        <w:rPr>
          <w:rFonts w:ascii="Garamond" w:hAnsi="Garamond"/>
          <w:lang w:val="id-ID"/>
        </w:rPr>
        <w:t xml:space="preserve"> </w:t>
      </w:r>
      <w:r w:rsidRPr="00B85DBA">
        <w:rPr>
          <w:rFonts w:ascii="Garamond" w:hAnsi="Garamond"/>
        </w:rPr>
        <w:t>science</w:t>
      </w:r>
      <w:r>
        <w:rPr>
          <w:rFonts w:ascii="Garamond" w:hAnsi="Garamond"/>
          <w:lang w:val="id-ID"/>
        </w:rPr>
        <w:t xml:space="preserve">s; </w:t>
      </w:r>
      <w:r w:rsidRPr="00B85DBA">
        <w:rPr>
          <w:rFonts w:ascii="Garamond" w:hAnsi="Garamond"/>
        </w:rPr>
        <w:t>hence</w:t>
      </w:r>
      <w:r>
        <w:rPr>
          <w:rFonts w:ascii="Garamond" w:hAnsi="Garamond"/>
          <w:lang w:val="id-ID"/>
        </w:rPr>
        <w:t>,</w:t>
      </w:r>
      <w:r w:rsidRPr="00B85DBA">
        <w:rPr>
          <w:rFonts w:ascii="Garamond" w:hAnsi="Garamond"/>
        </w:rPr>
        <w:t xml:space="preserve"> it could lead the subsequent data analysis to be sounder.</w:t>
      </w:r>
      <w:r>
        <w:rPr>
          <w:rFonts w:ascii="Garamond" w:hAnsi="Garamond"/>
        </w:rPr>
        <w:t xml:space="preserve"> This</w:t>
      </w:r>
      <w:r>
        <w:rPr>
          <w:rFonts w:ascii="Garamond" w:hAnsi="Garamond"/>
          <w:lang w:val="id-ID"/>
        </w:rPr>
        <w:t xml:space="preserve"> methodology</w:t>
      </w:r>
      <w:r w:rsidRPr="00B85DBA">
        <w:rPr>
          <w:rFonts w:ascii="Garamond" w:hAnsi="Garamond"/>
        </w:rPr>
        <w:t xml:space="preserve"> emphasize</w:t>
      </w:r>
      <w:r>
        <w:rPr>
          <w:rFonts w:ascii="Garamond" w:hAnsi="Garamond"/>
          <w:lang w:val="id-ID"/>
        </w:rPr>
        <w:t>s</w:t>
      </w:r>
      <w:r w:rsidRPr="00B85DBA">
        <w:rPr>
          <w:rFonts w:ascii="Garamond" w:hAnsi="Garamond"/>
        </w:rPr>
        <w:t xml:space="preserve"> on the use of visual displays to reveal vital information about the data examined. Another advantage of this technique is that it allows readers with little or no formal preparations in math of statistics to understand the data explained</w:t>
      </w:r>
      <w:r>
        <w:rPr>
          <w:rFonts w:ascii="Garamond" w:hAnsi="Garamond"/>
          <w:lang w:val="id-ID"/>
        </w:rPr>
        <w:t>,</w:t>
      </w:r>
      <w:r w:rsidRPr="00B85DBA">
        <w:rPr>
          <w:rFonts w:ascii="Garamond" w:hAnsi="Garamond"/>
        </w:rPr>
        <w:t xml:space="preserve"> while regression</w:t>
      </w:r>
      <w:r>
        <w:rPr>
          <w:rFonts w:ascii="Garamond" w:hAnsi="Garamond"/>
          <w:lang w:val="id-ID"/>
        </w:rPr>
        <w:t xml:space="preserve"> is</w:t>
      </w:r>
      <w:r w:rsidRPr="00B85DBA">
        <w:rPr>
          <w:rFonts w:ascii="Garamond" w:hAnsi="Garamond"/>
        </w:rPr>
        <w:t xml:space="preserve"> proven to be useful only for those with knowledge</w:t>
      </w:r>
      <w:r>
        <w:rPr>
          <w:rFonts w:ascii="Garamond" w:hAnsi="Garamond"/>
          <w:lang w:val="id-ID"/>
        </w:rPr>
        <w:t xml:space="preserve"> of</w:t>
      </w:r>
      <w:r w:rsidRPr="00B85DBA">
        <w:rPr>
          <w:rFonts w:ascii="Garamond" w:hAnsi="Garamond"/>
        </w:rPr>
        <w:t xml:space="preserve"> </w:t>
      </w:r>
      <w:r>
        <w:rPr>
          <w:rFonts w:ascii="Garamond" w:hAnsi="Garamond"/>
        </w:rPr>
        <w:t xml:space="preserve">statistics </w:t>
      </w:r>
      <w:r w:rsidR="00496FE5">
        <w:rPr>
          <w:rFonts w:ascii="Garamond" w:hAnsi="Garamond"/>
        </w:rPr>
        <w:fldChar w:fldCharType="begin"/>
      </w:r>
      <w:r>
        <w:rPr>
          <w:rFonts w:ascii="Garamond" w:hAnsi="Garamond"/>
        </w:rPr>
        <w:instrText>ADDIN RW.CITE{{188 Hartwig,Frederick 1979}}</w:instrText>
      </w:r>
      <w:r w:rsidR="00496FE5">
        <w:rPr>
          <w:rFonts w:ascii="Garamond" w:hAnsi="Garamond"/>
        </w:rPr>
        <w:fldChar w:fldCharType="separate"/>
      </w:r>
      <w:r>
        <w:rPr>
          <w:rFonts w:ascii="Garamond" w:hAnsi="Garamond"/>
        </w:rPr>
        <w:t>(Hartwig and Dearing 1979)</w:t>
      </w:r>
      <w:r w:rsidR="00496FE5">
        <w:rPr>
          <w:rFonts w:ascii="Garamond" w:hAnsi="Garamond"/>
        </w:rPr>
        <w:fldChar w:fldCharType="end"/>
      </w:r>
      <w:r w:rsidRPr="00B85DBA">
        <w:rPr>
          <w:rFonts w:ascii="Garamond" w:hAnsi="Garamond"/>
        </w:rPr>
        <w:t>.</w:t>
      </w:r>
    </w:p>
    <w:p w:rsidR="002506F2" w:rsidRDefault="002506F2" w:rsidP="002506F2">
      <w:pPr>
        <w:jc w:val="both"/>
        <w:rPr>
          <w:rFonts w:ascii="AdvP406F7" w:eastAsiaTheme="minorHAnsi" w:hAnsi="AdvP406F7" w:cs="AdvP406F7"/>
          <w:color w:val="231F20"/>
          <w:sz w:val="20"/>
          <w:szCs w:val="20"/>
        </w:rPr>
      </w:pPr>
    </w:p>
    <w:p w:rsidR="002506F2" w:rsidRPr="00B85DBA" w:rsidRDefault="002506F2" w:rsidP="002506F2">
      <w:pPr>
        <w:jc w:val="both"/>
        <w:rPr>
          <w:rFonts w:ascii="Garamond" w:hAnsi="Garamond"/>
        </w:rPr>
      </w:pPr>
      <w:r>
        <w:rPr>
          <w:rFonts w:ascii="Garamond" w:hAnsi="Garamond"/>
          <w:lang w:val="id-ID"/>
        </w:rPr>
        <w:t xml:space="preserve">Another </w:t>
      </w:r>
      <w:r>
        <w:rPr>
          <w:rFonts w:ascii="Garamond" w:hAnsi="Garamond"/>
        </w:rPr>
        <w:t xml:space="preserve">reason to use EDA instead of econometrics is that EDA is not about fitting models, parameter estimation, or testing hypothesis, but it is about finding information in the data and generating ideas </w:t>
      </w:r>
      <w:r w:rsidR="00496FE5">
        <w:rPr>
          <w:rFonts w:ascii="Garamond" w:hAnsi="Garamond"/>
        </w:rPr>
        <w:fldChar w:fldCharType="begin"/>
      </w:r>
      <w:r>
        <w:rPr>
          <w:rFonts w:ascii="Garamond" w:hAnsi="Garamond"/>
        </w:rPr>
        <w:instrText>ADDIN RW.CITE{{192 Unwin,A 2010}}</w:instrText>
      </w:r>
      <w:r w:rsidR="00496FE5">
        <w:rPr>
          <w:rFonts w:ascii="Garamond" w:hAnsi="Garamond"/>
        </w:rPr>
        <w:fldChar w:fldCharType="separate"/>
      </w:r>
      <w:r>
        <w:rPr>
          <w:rFonts w:ascii="Garamond" w:hAnsi="Garamond"/>
        </w:rPr>
        <w:t>(Unwin 2010)</w:t>
      </w:r>
      <w:r w:rsidR="00496FE5">
        <w:rPr>
          <w:rFonts w:ascii="Garamond" w:hAnsi="Garamond"/>
        </w:rPr>
        <w:fldChar w:fldCharType="end"/>
      </w:r>
      <w:r>
        <w:rPr>
          <w:rFonts w:ascii="Garamond" w:hAnsi="Garamond"/>
        </w:rPr>
        <w:t>.</w:t>
      </w:r>
    </w:p>
    <w:p w:rsidR="002506F2" w:rsidRPr="00B85DBA" w:rsidRDefault="002506F2" w:rsidP="002506F2">
      <w:pPr>
        <w:jc w:val="both"/>
        <w:rPr>
          <w:rFonts w:ascii="Garamond" w:hAnsi="Garamond"/>
        </w:rPr>
      </w:pPr>
    </w:p>
    <w:p w:rsidR="002506F2" w:rsidRPr="00B85DBA" w:rsidRDefault="002506F2" w:rsidP="002506F2">
      <w:pPr>
        <w:jc w:val="both"/>
        <w:rPr>
          <w:rFonts w:ascii="Garamond" w:hAnsi="Garamond"/>
        </w:rPr>
      </w:pPr>
      <w:r w:rsidRPr="00B85DBA">
        <w:rPr>
          <w:rFonts w:ascii="Garamond" w:hAnsi="Garamond"/>
        </w:rPr>
        <w:t xml:space="preserve">Hence, </w:t>
      </w:r>
      <w:r>
        <w:rPr>
          <w:rFonts w:ascii="Garamond" w:hAnsi="Garamond"/>
          <w:lang w:val="id-ID"/>
        </w:rPr>
        <w:t>this paper will use</w:t>
      </w:r>
      <w:r w:rsidRPr="00B85DBA">
        <w:rPr>
          <w:rFonts w:ascii="Garamond" w:hAnsi="Garamond"/>
        </w:rPr>
        <w:t xml:space="preserve"> EDA</w:t>
      </w:r>
      <w:r>
        <w:rPr>
          <w:rFonts w:ascii="Garamond" w:hAnsi="Garamond"/>
          <w:lang w:val="id-ID"/>
        </w:rPr>
        <w:t>, as the writer</w:t>
      </w:r>
      <w:r>
        <w:rPr>
          <w:rFonts w:ascii="Garamond" w:hAnsi="Garamond"/>
        </w:rPr>
        <w:t xml:space="preserve"> </w:t>
      </w:r>
      <w:r>
        <w:rPr>
          <w:rFonts w:ascii="Garamond" w:hAnsi="Garamond"/>
          <w:lang w:val="id-ID"/>
        </w:rPr>
        <w:t>believes that the methodology</w:t>
      </w:r>
      <w:r w:rsidRPr="00B85DBA">
        <w:rPr>
          <w:rFonts w:ascii="Garamond" w:hAnsi="Garamond"/>
        </w:rPr>
        <w:t xml:space="preserve"> </w:t>
      </w:r>
      <w:r>
        <w:rPr>
          <w:rFonts w:ascii="Garamond" w:hAnsi="Garamond"/>
          <w:lang w:val="id-ID"/>
        </w:rPr>
        <w:t xml:space="preserve">is suitable </w:t>
      </w:r>
      <w:r w:rsidRPr="00B85DBA">
        <w:rPr>
          <w:rFonts w:ascii="Garamond" w:hAnsi="Garamond"/>
        </w:rPr>
        <w:t>to address the research questions</w:t>
      </w:r>
      <w:r>
        <w:rPr>
          <w:rFonts w:ascii="Garamond" w:hAnsi="Garamond"/>
        </w:rPr>
        <w:t xml:space="preserve"> </w:t>
      </w:r>
      <w:r>
        <w:rPr>
          <w:rFonts w:ascii="Garamond" w:hAnsi="Garamond"/>
          <w:lang w:val="id-ID"/>
        </w:rPr>
        <w:t xml:space="preserve">and </w:t>
      </w:r>
      <w:r>
        <w:rPr>
          <w:rFonts w:ascii="Garamond" w:hAnsi="Garamond"/>
        </w:rPr>
        <w:t>allow</w:t>
      </w:r>
      <w:r>
        <w:rPr>
          <w:rFonts w:ascii="Garamond" w:hAnsi="Garamond"/>
          <w:lang w:val="id-ID"/>
        </w:rPr>
        <w:t>s</w:t>
      </w:r>
      <w:r>
        <w:rPr>
          <w:rFonts w:ascii="Garamond" w:hAnsi="Garamond"/>
        </w:rPr>
        <w:t xml:space="preserve"> us to look at the data in many different ways </w:t>
      </w:r>
      <w:r>
        <w:rPr>
          <w:rFonts w:ascii="Garamond" w:hAnsi="Garamond"/>
          <w:lang w:val="id-ID"/>
        </w:rPr>
        <w:t>in order to</w:t>
      </w:r>
      <w:r>
        <w:rPr>
          <w:rFonts w:ascii="Garamond" w:hAnsi="Garamond"/>
        </w:rPr>
        <w:t xml:space="preserve"> gain</w:t>
      </w:r>
      <w:r>
        <w:rPr>
          <w:rFonts w:ascii="Garamond" w:hAnsi="Garamond"/>
          <w:lang w:val="id-ID"/>
        </w:rPr>
        <w:t xml:space="preserve"> new</w:t>
      </w:r>
      <w:r>
        <w:rPr>
          <w:rFonts w:ascii="Garamond" w:hAnsi="Garamond"/>
        </w:rPr>
        <w:t xml:space="preserve"> insights </w:t>
      </w:r>
      <w:r w:rsidR="00496FE5">
        <w:rPr>
          <w:rFonts w:ascii="Garamond" w:hAnsi="Garamond"/>
        </w:rPr>
        <w:fldChar w:fldCharType="begin"/>
      </w:r>
      <w:r>
        <w:rPr>
          <w:rFonts w:ascii="Garamond" w:hAnsi="Garamond"/>
        </w:rPr>
        <w:instrText>ADDIN RW.CITE{{192 Unwin,A 2010}}</w:instrText>
      </w:r>
      <w:r w:rsidR="00496FE5">
        <w:rPr>
          <w:rFonts w:ascii="Garamond" w:hAnsi="Garamond"/>
        </w:rPr>
        <w:fldChar w:fldCharType="separate"/>
      </w:r>
      <w:r>
        <w:rPr>
          <w:rFonts w:ascii="Garamond" w:hAnsi="Garamond"/>
        </w:rPr>
        <w:t>(Unwin 2010)</w:t>
      </w:r>
      <w:r w:rsidR="00496FE5">
        <w:rPr>
          <w:rFonts w:ascii="Garamond" w:hAnsi="Garamond"/>
        </w:rPr>
        <w:fldChar w:fldCharType="end"/>
      </w:r>
      <w:r>
        <w:rPr>
          <w:rFonts w:ascii="Garamond" w:hAnsi="Garamond"/>
        </w:rPr>
        <w:t xml:space="preserve"> and</w:t>
      </w:r>
      <w:r w:rsidRPr="00B85DBA">
        <w:rPr>
          <w:rFonts w:ascii="Garamond" w:hAnsi="Garamond"/>
        </w:rPr>
        <w:t xml:space="preserve"> extract important information.</w:t>
      </w:r>
    </w:p>
    <w:p w:rsidR="002506F2" w:rsidRPr="00B85DBA" w:rsidRDefault="002506F2" w:rsidP="002506F2">
      <w:pPr>
        <w:jc w:val="both"/>
        <w:rPr>
          <w:rFonts w:ascii="Garamond" w:hAnsi="Garamond"/>
        </w:rPr>
      </w:pPr>
    </w:p>
    <w:p w:rsidR="002506F2" w:rsidRPr="00B85DBA" w:rsidRDefault="002506F2" w:rsidP="002506F2">
      <w:pPr>
        <w:jc w:val="both"/>
        <w:rPr>
          <w:rFonts w:ascii="Garamond" w:hAnsi="Garamond"/>
        </w:rPr>
      </w:pPr>
      <w:r>
        <w:rPr>
          <w:rFonts w:ascii="Garamond" w:hAnsi="Garamond"/>
        </w:rPr>
        <w:t>Meanwhile, the q</w:t>
      </w:r>
      <w:r w:rsidRPr="00B85DBA">
        <w:rPr>
          <w:rFonts w:ascii="Garamond" w:hAnsi="Garamond"/>
        </w:rPr>
        <w:t>uantitative secondary data will be collected from both international and national data sources:</w:t>
      </w:r>
    </w:p>
    <w:p w:rsidR="002506F2" w:rsidRDefault="002506F2" w:rsidP="002506F2">
      <w:pPr>
        <w:pStyle w:val="ListParagraph"/>
        <w:numPr>
          <w:ilvl w:val="0"/>
          <w:numId w:val="4"/>
        </w:numPr>
        <w:rPr>
          <w:rFonts w:ascii="Garamond" w:hAnsi="Garamond"/>
        </w:rPr>
      </w:pPr>
      <w:r w:rsidRPr="00B85DBA">
        <w:rPr>
          <w:rFonts w:ascii="Garamond" w:hAnsi="Garamond"/>
        </w:rPr>
        <w:t>World Bank data (World Development Indicators &amp; Global Development Finance)</w:t>
      </w:r>
    </w:p>
    <w:p w:rsidR="005F571B" w:rsidRPr="005F571B" w:rsidRDefault="005F571B" w:rsidP="005F571B">
      <w:pPr>
        <w:pStyle w:val="ListParagraph"/>
        <w:numPr>
          <w:ilvl w:val="0"/>
          <w:numId w:val="4"/>
        </w:numPr>
        <w:rPr>
          <w:rFonts w:ascii="Garamond" w:hAnsi="Garamond"/>
        </w:rPr>
      </w:pPr>
      <w:r>
        <w:rPr>
          <w:rFonts w:ascii="Garamond" w:hAnsi="Garamond"/>
        </w:rPr>
        <w:t xml:space="preserve">UN </w:t>
      </w:r>
      <w:proofErr w:type="spellStart"/>
      <w:r>
        <w:rPr>
          <w:rFonts w:ascii="Garamond" w:hAnsi="Garamond"/>
        </w:rPr>
        <w:t>Comtrade</w:t>
      </w:r>
      <w:proofErr w:type="spellEnd"/>
      <w:r>
        <w:rPr>
          <w:rFonts w:ascii="Garamond" w:hAnsi="Garamond"/>
        </w:rPr>
        <w:t xml:space="preserve"> Statistic</w:t>
      </w:r>
    </w:p>
    <w:p w:rsidR="002506F2" w:rsidRPr="00B85DBA" w:rsidRDefault="002506F2" w:rsidP="002506F2">
      <w:pPr>
        <w:pStyle w:val="ListParagraph"/>
        <w:numPr>
          <w:ilvl w:val="0"/>
          <w:numId w:val="4"/>
        </w:numPr>
        <w:rPr>
          <w:rFonts w:ascii="Garamond" w:hAnsi="Garamond"/>
        </w:rPr>
      </w:pPr>
      <w:proofErr w:type="spellStart"/>
      <w:r w:rsidRPr="00B85DBA">
        <w:rPr>
          <w:rFonts w:ascii="Garamond" w:hAnsi="Garamond"/>
        </w:rPr>
        <w:t>Badan</w:t>
      </w:r>
      <w:proofErr w:type="spellEnd"/>
      <w:r w:rsidRPr="00B85DBA">
        <w:rPr>
          <w:rFonts w:ascii="Garamond" w:hAnsi="Garamond"/>
        </w:rPr>
        <w:t xml:space="preserve"> </w:t>
      </w:r>
      <w:proofErr w:type="spellStart"/>
      <w:r w:rsidRPr="00B85DBA">
        <w:rPr>
          <w:rFonts w:ascii="Garamond" w:hAnsi="Garamond"/>
        </w:rPr>
        <w:t>Pusat</w:t>
      </w:r>
      <w:proofErr w:type="spellEnd"/>
      <w:r w:rsidRPr="00B85DBA">
        <w:rPr>
          <w:rFonts w:ascii="Garamond" w:hAnsi="Garamond"/>
        </w:rPr>
        <w:t xml:space="preserve"> </w:t>
      </w:r>
      <w:proofErr w:type="spellStart"/>
      <w:r w:rsidRPr="00B85DBA">
        <w:rPr>
          <w:rFonts w:ascii="Garamond" w:hAnsi="Garamond"/>
        </w:rPr>
        <w:t>Statistik</w:t>
      </w:r>
      <w:proofErr w:type="spellEnd"/>
      <w:r w:rsidRPr="00B85DBA">
        <w:rPr>
          <w:rFonts w:ascii="Garamond" w:hAnsi="Garamond"/>
        </w:rPr>
        <w:t xml:space="preserve"> (Indonesia Statistic Institution)</w:t>
      </w:r>
    </w:p>
    <w:p w:rsidR="002506F2" w:rsidRPr="00B85DBA" w:rsidRDefault="002506F2" w:rsidP="002506F2">
      <w:pPr>
        <w:pStyle w:val="ListParagraph"/>
        <w:numPr>
          <w:ilvl w:val="0"/>
          <w:numId w:val="4"/>
        </w:numPr>
        <w:rPr>
          <w:rFonts w:ascii="Garamond" w:hAnsi="Garamond"/>
        </w:rPr>
      </w:pPr>
      <w:r w:rsidRPr="00B85DBA">
        <w:rPr>
          <w:rFonts w:ascii="Garamond" w:hAnsi="Garamond"/>
        </w:rPr>
        <w:t>UNCTAD</w:t>
      </w:r>
    </w:p>
    <w:p w:rsidR="002506F2" w:rsidRPr="00B85DBA" w:rsidRDefault="002506F2" w:rsidP="002506F2">
      <w:pPr>
        <w:jc w:val="both"/>
        <w:rPr>
          <w:rFonts w:ascii="Garamond" w:hAnsi="Garamond"/>
        </w:rPr>
      </w:pPr>
    </w:p>
    <w:p w:rsidR="002506F2" w:rsidRDefault="002506F2" w:rsidP="002506F2">
      <w:pPr>
        <w:jc w:val="both"/>
        <w:rPr>
          <w:rFonts w:ascii="Garamond" w:hAnsi="Garamond"/>
        </w:rPr>
      </w:pPr>
      <w:r w:rsidRPr="00B85DBA">
        <w:rPr>
          <w:rFonts w:ascii="Garamond" w:hAnsi="Garamond"/>
        </w:rPr>
        <w:t>Indonesia economic growth was hampered during the Asian financial crisis in 1997 and 1998</w:t>
      </w:r>
      <w:r>
        <w:rPr>
          <w:rFonts w:ascii="Garamond" w:hAnsi="Garamond"/>
        </w:rPr>
        <w:t>,</w:t>
      </w:r>
      <w:r w:rsidRPr="00B85DBA">
        <w:rPr>
          <w:rFonts w:ascii="Garamond" w:hAnsi="Garamond"/>
        </w:rPr>
        <w:t xml:space="preserve"> where the annual GDP growth fell to 13% base on the World Bank data</w:t>
      </w:r>
      <w:r>
        <w:rPr>
          <w:rFonts w:ascii="Garamond" w:hAnsi="Garamond"/>
        </w:rPr>
        <w:t xml:space="preserve">, but it recovered </w:t>
      </w:r>
      <w:r w:rsidRPr="00B85DBA">
        <w:rPr>
          <w:rFonts w:ascii="Garamond" w:hAnsi="Garamond"/>
        </w:rPr>
        <w:t xml:space="preserve">quite well within few years. </w:t>
      </w:r>
    </w:p>
    <w:p w:rsidR="002506F2" w:rsidRDefault="002506F2" w:rsidP="002506F2">
      <w:pPr>
        <w:jc w:val="both"/>
        <w:rPr>
          <w:rFonts w:ascii="Garamond" w:hAnsi="Garamond"/>
        </w:rPr>
      </w:pPr>
    </w:p>
    <w:p w:rsidR="002506F2" w:rsidRPr="00B85DBA" w:rsidRDefault="002506F2" w:rsidP="002506F2">
      <w:pPr>
        <w:jc w:val="both"/>
        <w:rPr>
          <w:rFonts w:ascii="Garamond" w:hAnsi="Garamond"/>
        </w:rPr>
      </w:pPr>
      <w:r w:rsidRPr="00B85DBA">
        <w:rPr>
          <w:rFonts w:ascii="Garamond" w:hAnsi="Garamond"/>
        </w:rPr>
        <w:t>Hence,</w:t>
      </w:r>
      <w:r>
        <w:rPr>
          <w:rFonts w:ascii="Garamond" w:hAnsi="Garamond"/>
        </w:rPr>
        <w:t xml:space="preserve"> in order to support the presented arguments,</w:t>
      </w:r>
      <w:r w:rsidRPr="00B85DBA">
        <w:rPr>
          <w:rFonts w:ascii="Garamond" w:hAnsi="Garamond"/>
        </w:rPr>
        <w:t xml:space="preserve"> t</w:t>
      </w:r>
      <w:r>
        <w:rPr>
          <w:rFonts w:ascii="Garamond" w:hAnsi="Garamond"/>
        </w:rPr>
        <w:t>his</w:t>
      </w:r>
      <w:r w:rsidRPr="00B85DBA">
        <w:rPr>
          <w:rFonts w:ascii="Garamond" w:hAnsi="Garamond"/>
        </w:rPr>
        <w:t xml:space="preserve"> research will analyze specifically on the recent Indonesia economic growth starting from 1999 after the Asian financial crisis to 2010 to see to what extent does Indonesia </w:t>
      </w:r>
      <w:r w:rsidRPr="00B85DBA">
        <w:rPr>
          <w:rFonts w:ascii="Garamond" w:hAnsi="Garamond"/>
        </w:rPr>
        <w:lastRenderedPageBreak/>
        <w:t xml:space="preserve">economic recent growth depend on primary commodity production and what is the significance of this dependency for its growth. </w:t>
      </w:r>
      <w:r>
        <w:rPr>
          <w:rFonts w:ascii="Garamond" w:hAnsi="Garamond"/>
        </w:rPr>
        <w:t>The period of Asian crisis in 1997/8 will not much discussed because during this period both exports and growth performance was sluggish in all crisis affected countries which was also propelled by the sluggish adjustment such as massive exchange rate depreciation which translated into low economic growth and exports growth (</w:t>
      </w:r>
      <w:proofErr w:type="spellStart"/>
      <w:r>
        <w:rPr>
          <w:rFonts w:ascii="Garamond" w:hAnsi="Garamond"/>
        </w:rPr>
        <w:t>Athukorala</w:t>
      </w:r>
      <w:proofErr w:type="spellEnd"/>
      <w:r>
        <w:rPr>
          <w:rFonts w:ascii="Garamond" w:hAnsi="Garamond"/>
        </w:rPr>
        <w:t>, 2006).</w:t>
      </w:r>
    </w:p>
    <w:p w:rsidR="002506F2" w:rsidRDefault="002506F2" w:rsidP="002506F2">
      <w:pPr>
        <w:jc w:val="both"/>
        <w:rPr>
          <w:rFonts w:ascii="Garamond" w:hAnsi="Garamond"/>
        </w:rPr>
      </w:pPr>
    </w:p>
    <w:p w:rsidR="002506F2" w:rsidRDefault="002506F2" w:rsidP="002506F2">
      <w:pPr>
        <w:jc w:val="both"/>
        <w:rPr>
          <w:rFonts w:ascii="Garamond" w:hAnsi="Garamond"/>
          <w:lang w:val="id-ID"/>
        </w:rPr>
      </w:pPr>
      <w:r>
        <w:rPr>
          <w:rFonts w:ascii="Garamond" w:hAnsi="Garamond"/>
        </w:rPr>
        <w:t>Due to the time limited, this research will</w:t>
      </w:r>
      <w:r>
        <w:rPr>
          <w:rFonts w:ascii="Garamond" w:hAnsi="Garamond"/>
          <w:lang w:val="id-ID"/>
        </w:rPr>
        <w:t xml:space="preserve"> only generate </w:t>
      </w:r>
      <w:r>
        <w:rPr>
          <w:rFonts w:ascii="Garamond" w:hAnsi="Garamond"/>
        </w:rPr>
        <w:t>information from the data analyses and hypothesis</w:t>
      </w:r>
      <w:r>
        <w:rPr>
          <w:rFonts w:ascii="Garamond" w:hAnsi="Garamond"/>
          <w:lang w:val="id-ID"/>
        </w:rPr>
        <w:t xml:space="preserve"> in</w:t>
      </w:r>
      <w:r>
        <w:rPr>
          <w:rFonts w:ascii="Garamond" w:hAnsi="Garamond"/>
        </w:rPr>
        <w:t xml:space="preserve"> the hope</w:t>
      </w:r>
      <w:r>
        <w:rPr>
          <w:rFonts w:ascii="Garamond" w:hAnsi="Garamond"/>
          <w:lang w:val="id-ID"/>
        </w:rPr>
        <w:t xml:space="preserve"> that they</w:t>
      </w:r>
      <w:r>
        <w:rPr>
          <w:rFonts w:ascii="Garamond" w:hAnsi="Garamond"/>
        </w:rPr>
        <w:t xml:space="preserve"> will be valuable for further research. </w:t>
      </w:r>
    </w:p>
    <w:p w:rsidR="002506F2" w:rsidRDefault="002506F2" w:rsidP="002506F2">
      <w:pPr>
        <w:jc w:val="both"/>
        <w:rPr>
          <w:rFonts w:ascii="Garamond" w:hAnsi="Garamond"/>
          <w:lang w:val="id-ID"/>
        </w:rPr>
      </w:pPr>
    </w:p>
    <w:p w:rsidR="002506F2" w:rsidRPr="00B85DBA" w:rsidRDefault="002506F2" w:rsidP="002506F2">
      <w:pPr>
        <w:jc w:val="both"/>
        <w:rPr>
          <w:rFonts w:ascii="Garamond" w:hAnsi="Garamond"/>
        </w:rPr>
      </w:pPr>
      <w:r>
        <w:rPr>
          <w:rFonts w:ascii="Garamond" w:hAnsi="Garamond"/>
          <w:lang w:val="id-ID"/>
        </w:rPr>
        <w:t>Also, this paper will examine only Indonesian</w:t>
      </w:r>
      <w:r w:rsidRPr="00B85DBA">
        <w:rPr>
          <w:rFonts w:ascii="Garamond" w:hAnsi="Garamond"/>
        </w:rPr>
        <w:t xml:space="preserve"> commodity exports and terms of trade </w:t>
      </w:r>
      <w:r>
        <w:rPr>
          <w:rFonts w:ascii="Garamond" w:hAnsi="Garamond"/>
          <w:lang w:val="id-ID"/>
        </w:rPr>
        <w:t>starting</w:t>
      </w:r>
      <w:r>
        <w:rPr>
          <w:rFonts w:ascii="Garamond" w:hAnsi="Garamond"/>
        </w:rPr>
        <w:t xml:space="preserve"> from the year</w:t>
      </w:r>
      <w:r>
        <w:rPr>
          <w:rFonts w:ascii="Garamond" w:hAnsi="Garamond"/>
          <w:lang w:val="id-ID"/>
        </w:rPr>
        <w:t xml:space="preserve"> </w:t>
      </w:r>
      <w:r w:rsidRPr="00B85DBA">
        <w:rPr>
          <w:rFonts w:ascii="Garamond" w:hAnsi="Garamond"/>
        </w:rPr>
        <w:t>1980</w:t>
      </w:r>
      <w:r>
        <w:rPr>
          <w:rFonts w:ascii="Garamond" w:hAnsi="Garamond"/>
          <w:lang w:val="id-ID"/>
        </w:rPr>
        <w:t xml:space="preserve">, as the comprehensive information on such variables in previous decades is </w:t>
      </w:r>
      <w:r w:rsidRPr="00B85DBA">
        <w:rPr>
          <w:rFonts w:ascii="Garamond" w:hAnsi="Garamond"/>
        </w:rPr>
        <w:t>not available from both international and national</w:t>
      </w:r>
      <w:r>
        <w:rPr>
          <w:rFonts w:ascii="Garamond" w:hAnsi="Garamond"/>
          <w:lang w:val="id-ID"/>
        </w:rPr>
        <w:t xml:space="preserve"> data sources</w:t>
      </w:r>
      <w:r>
        <w:rPr>
          <w:rFonts w:ascii="Garamond" w:hAnsi="Garamond"/>
        </w:rPr>
        <w:t>.</w:t>
      </w:r>
      <w:r>
        <w:rPr>
          <w:rFonts w:ascii="Garamond" w:hAnsi="Garamond"/>
          <w:lang w:val="id-ID"/>
        </w:rPr>
        <w:t xml:space="preserve"> </w:t>
      </w:r>
      <w:r>
        <w:rPr>
          <w:rFonts w:ascii="Garamond" w:hAnsi="Garamond"/>
        </w:rPr>
        <w:t xml:space="preserve">However, </w:t>
      </w:r>
      <w:r>
        <w:rPr>
          <w:rFonts w:ascii="Garamond" w:hAnsi="Garamond"/>
          <w:lang w:val="id-ID"/>
        </w:rPr>
        <w:t>such limitation</w:t>
      </w:r>
      <w:r>
        <w:rPr>
          <w:rFonts w:ascii="Garamond" w:hAnsi="Garamond"/>
        </w:rPr>
        <w:t xml:space="preserve"> doesn’t hinder this research because the data trend from 1970 to 1980 tend</w:t>
      </w:r>
      <w:r>
        <w:rPr>
          <w:rFonts w:ascii="Garamond" w:hAnsi="Garamond"/>
          <w:lang w:val="id-ID"/>
        </w:rPr>
        <w:t>s</w:t>
      </w:r>
      <w:r>
        <w:rPr>
          <w:rFonts w:ascii="Garamond" w:hAnsi="Garamond"/>
        </w:rPr>
        <w:t xml:space="preserve"> to be the same.</w:t>
      </w:r>
    </w:p>
    <w:p w:rsidR="002506F2" w:rsidRPr="00B85DBA" w:rsidRDefault="002506F2" w:rsidP="002506F2">
      <w:pPr>
        <w:jc w:val="both"/>
        <w:rPr>
          <w:rFonts w:ascii="Garamond" w:hAnsi="Garamond"/>
        </w:rPr>
      </w:pPr>
    </w:p>
    <w:p w:rsidR="002506F2" w:rsidRDefault="002506F2" w:rsidP="002506F2">
      <w:pPr>
        <w:pStyle w:val="Heading1"/>
        <w:spacing w:before="0"/>
        <w:rPr>
          <w:rFonts w:ascii="Garamond" w:hAnsi="Garamond"/>
          <w:color w:val="auto"/>
        </w:rPr>
      </w:pPr>
      <w:bookmarkStart w:id="19" w:name="_Toc209559674"/>
    </w:p>
    <w:p w:rsidR="002506F2" w:rsidRDefault="002506F2" w:rsidP="002506F2">
      <w:pPr>
        <w:pStyle w:val="Heading1"/>
        <w:spacing w:before="0"/>
        <w:rPr>
          <w:rFonts w:ascii="Garamond" w:hAnsi="Garamond"/>
          <w:color w:val="auto"/>
        </w:rPr>
      </w:pPr>
    </w:p>
    <w:p w:rsidR="002506F2" w:rsidRDefault="002506F2" w:rsidP="002506F2">
      <w:pPr>
        <w:pStyle w:val="Heading1"/>
        <w:spacing w:before="0"/>
        <w:rPr>
          <w:rFonts w:ascii="Garamond" w:hAnsi="Garamond"/>
          <w:color w:val="auto"/>
        </w:rPr>
      </w:pPr>
    </w:p>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Pr="00FC1C3D" w:rsidRDefault="002506F2" w:rsidP="002506F2"/>
    <w:p w:rsidR="002506F2" w:rsidRDefault="002506F2" w:rsidP="002506F2">
      <w:pPr>
        <w:pStyle w:val="Heading1"/>
        <w:spacing w:before="0"/>
        <w:rPr>
          <w:rFonts w:ascii="Garamond" w:hAnsi="Garamond"/>
          <w:color w:val="auto"/>
        </w:rPr>
      </w:pPr>
    </w:p>
    <w:p w:rsidR="002506F2" w:rsidRDefault="002506F2" w:rsidP="002506F2"/>
    <w:p w:rsidR="002506F2" w:rsidRPr="00FC1C3D" w:rsidRDefault="002506F2" w:rsidP="002506F2"/>
    <w:p w:rsidR="002506F2" w:rsidRPr="00B86117" w:rsidRDefault="002506F2" w:rsidP="002506F2">
      <w:pPr>
        <w:pStyle w:val="Heading1"/>
        <w:spacing w:before="0"/>
        <w:rPr>
          <w:rFonts w:ascii="Garamond" w:hAnsi="Garamond"/>
          <w:color w:val="auto"/>
          <w:sz w:val="36"/>
          <w:szCs w:val="36"/>
        </w:rPr>
      </w:pPr>
      <w:bookmarkStart w:id="20" w:name="_Toc343007178"/>
      <w:r w:rsidRPr="00B86117">
        <w:rPr>
          <w:rFonts w:ascii="Garamond" w:hAnsi="Garamond"/>
          <w:color w:val="auto"/>
          <w:sz w:val="36"/>
          <w:szCs w:val="36"/>
        </w:rPr>
        <w:lastRenderedPageBreak/>
        <w:t>Chapter 2</w:t>
      </w:r>
      <w:bookmarkEnd w:id="19"/>
      <w:bookmarkEnd w:id="20"/>
    </w:p>
    <w:p w:rsidR="002506F2" w:rsidRPr="00B86117" w:rsidRDefault="002506F2" w:rsidP="002506F2">
      <w:pPr>
        <w:pStyle w:val="Heading1"/>
        <w:spacing w:before="0"/>
        <w:rPr>
          <w:rFonts w:ascii="Garamond" w:hAnsi="Garamond"/>
          <w:color w:val="auto"/>
          <w:sz w:val="36"/>
          <w:szCs w:val="36"/>
        </w:rPr>
      </w:pPr>
      <w:bookmarkStart w:id="21" w:name="_Toc209559675"/>
      <w:bookmarkStart w:id="22" w:name="_Toc343007179"/>
      <w:r w:rsidRPr="00B86117">
        <w:rPr>
          <w:rFonts w:ascii="Garamond" w:hAnsi="Garamond"/>
          <w:color w:val="auto"/>
          <w:sz w:val="36"/>
          <w:szCs w:val="36"/>
        </w:rPr>
        <w:t>Literature Review and Empirical Evidence</w:t>
      </w:r>
      <w:bookmarkEnd w:id="21"/>
      <w:bookmarkEnd w:id="22"/>
    </w:p>
    <w:p w:rsidR="002506F2" w:rsidRPr="00B86117" w:rsidRDefault="002506F2" w:rsidP="002506F2">
      <w:pPr>
        <w:pStyle w:val="Heading2"/>
        <w:rPr>
          <w:rFonts w:ascii="Garamond" w:hAnsi="Garamond"/>
          <w:color w:val="auto"/>
          <w:sz w:val="32"/>
          <w:szCs w:val="32"/>
        </w:rPr>
      </w:pPr>
      <w:bookmarkStart w:id="23" w:name="_Toc209559676"/>
      <w:bookmarkStart w:id="24" w:name="_Toc343007180"/>
      <w:r w:rsidRPr="00B86117">
        <w:rPr>
          <w:rFonts w:ascii="Garamond" w:hAnsi="Garamond"/>
          <w:color w:val="auto"/>
          <w:sz w:val="32"/>
          <w:szCs w:val="32"/>
        </w:rPr>
        <w:t>2.1 Introduction</w:t>
      </w:r>
      <w:bookmarkEnd w:id="23"/>
      <w:bookmarkEnd w:id="24"/>
    </w:p>
    <w:p w:rsidR="002506F2" w:rsidRPr="007C1589" w:rsidRDefault="002506F2" w:rsidP="002506F2">
      <w:pPr>
        <w:jc w:val="both"/>
        <w:rPr>
          <w:rFonts w:ascii="Garamond" w:hAnsi="Garamond"/>
        </w:rPr>
      </w:pPr>
      <w:r w:rsidRPr="007C1589">
        <w:rPr>
          <w:rFonts w:ascii="Garamond" w:hAnsi="Garamond"/>
        </w:rPr>
        <w:t xml:space="preserve">In this chapter the theoretical perspectives of the dependency on primary commodity will be divided in two views, </w:t>
      </w:r>
      <w:proofErr w:type="spellStart"/>
      <w:r w:rsidRPr="007C1589">
        <w:rPr>
          <w:rFonts w:ascii="Garamond" w:hAnsi="Garamond"/>
        </w:rPr>
        <w:t>structuralist</w:t>
      </w:r>
      <w:proofErr w:type="spellEnd"/>
      <w:r w:rsidRPr="007C1589">
        <w:rPr>
          <w:rFonts w:ascii="Garamond" w:hAnsi="Garamond"/>
        </w:rPr>
        <w:t xml:space="preserve"> economists and new institution economists. The </w:t>
      </w:r>
      <w:proofErr w:type="spellStart"/>
      <w:r w:rsidRPr="007C1589">
        <w:rPr>
          <w:rFonts w:ascii="Garamond" w:hAnsi="Garamond"/>
        </w:rPr>
        <w:t>structuralist</w:t>
      </w:r>
      <w:proofErr w:type="spellEnd"/>
      <w:r w:rsidRPr="007C1589">
        <w:rPr>
          <w:rFonts w:ascii="Garamond" w:hAnsi="Garamond"/>
        </w:rPr>
        <w:t xml:space="preserve"> economists oppose the idea that dependency on commodity could hamper economic growth while the new institutions economists argue differently.</w:t>
      </w:r>
    </w:p>
    <w:p w:rsidR="002506F2" w:rsidRPr="007C1589" w:rsidRDefault="002506F2" w:rsidP="002506F2">
      <w:pPr>
        <w:jc w:val="both"/>
        <w:rPr>
          <w:rFonts w:ascii="Garamond" w:hAnsi="Garamond"/>
        </w:rPr>
      </w:pPr>
    </w:p>
    <w:p w:rsidR="002506F2" w:rsidRPr="007C1589" w:rsidRDefault="002506F2" w:rsidP="002506F2">
      <w:pPr>
        <w:jc w:val="both"/>
        <w:rPr>
          <w:rFonts w:ascii="Garamond" w:hAnsi="Garamond"/>
        </w:rPr>
      </w:pPr>
      <w:r w:rsidRPr="007C1589">
        <w:rPr>
          <w:rFonts w:ascii="Garamond" w:hAnsi="Garamond"/>
        </w:rPr>
        <w:t xml:space="preserve">The first part of the this chapter will discuss the view of the </w:t>
      </w:r>
      <w:proofErr w:type="spellStart"/>
      <w:r w:rsidRPr="007C1589">
        <w:rPr>
          <w:rFonts w:ascii="Garamond" w:hAnsi="Garamond"/>
        </w:rPr>
        <w:t>structuralist</w:t>
      </w:r>
      <w:proofErr w:type="spellEnd"/>
      <w:r w:rsidRPr="007C1589">
        <w:rPr>
          <w:rFonts w:ascii="Garamond" w:hAnsi="Garamond"/>
        </w:rPr>
        <w:t xml:space="preserve"> economists such as </w:t>
      </w:r>
      <w:proofErr w:type="spellStart"/>
      <w:r w:rsidRPr="007C1589">
        <w:rPr>
          <w:rFonts w:ascii="Garamond" w:hAnsi="Garamond"/>
        </w:rPr>
        <w:t>Prebisch</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RW.CITE{{136 Prebisch,Rau</w:instrText>
      </w:r>
      <w:r w:rsidRPr="007C1589">
        <w:rPr>
          <w:rFonts w:asciiTheme="minorHAnsi" w:hAnsiTheme="minorHAnsi"/>
        </w:rPr>
        <w:instrText>́</w:instrText>
      </w:r>
      <w:r w:rsidRPr="007C1589">
        <w:rPr>
          <w:rFonts w:ascii="Garamond" w:hAnsi="Garamond"/>
        </w:rPr>
        <w:instrText>l 1950 /a}}</w:instrText>
      </w:r>
      <w:r w:rsidR="00496FE5" w:rsidRPr="007C1589">
        <w:rPr>
          <w:rFonts w:ascii="Garamond" w:hAnsi="Garamond"/>
        </w:rPr>
        <w:fldChar w:fldCharType="separate"/>
      </w:r>
      <w:r w:rsidRPr="007C1589">
        <w:rPr>
          <w:rFonts w:ascii="Garamond" w:hAnsi="Garamond"/>
        </w:rPr>
        <w:t>(1950)</w:t>
      </w:r>
      <w:r w:rsidR="00496FE5" w:rsidRPr="007C1589">
        <w:rPr>
          <w:rFonts w:ascii="Garamond" w:hAnsi="Garamond"/>
        </w:rPr>
        <w:fldChar w:fldCharType="end"/>
      </w:r>
      <w:r w:rsidRPr="007C1589">
        <w:rPr>
          <w:rFonts w:ascii="Garamond" w:hAnsi="Garamond"/>
        </w:rPr>
        <w:t xml:space="preserve">, </w:t>
      </w:r>
      <w:proofErr w:type="spellStart"/>
      <w:r w:rsidRPr="007C1589">
        <w:rPr>
          <w:rFonts w:ascii="Garamond" w:hAnsi="Garamond"/>
        </w:rPr>
        <w:t>Corden</w:t>
      </w:r>
      <w:proofErr w:type="spellEnd"/>
      <w:r w:rsidRPr="007C1589">
        <w:rPr>
          <w:rFonts w:ascii="Garamond" w:hAnsi="Garamond"/>
        </w:rPr>
        <w:t xml:space="preserve"> and </w:t>
      </w:r>
      <w:proofErr w:type="spellStart"/>
      <w:r w:rsidRPr="007C1589">
        <w:rPr>
          <w:rFonts w:ascii="Garamond" w:hAnsi="Garamond"/>
        </w:rPr>
        <w:t>Neary</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RW.CITE{{115 Corden,W.Max 1982 /a}}</w:instrText>
      </w:r>
      <w:r w:rsidR="00496FE5" w:rsidRPr="007C1589">
        <w:rPr>
          <w:rFonts w:ascii="Garamond" w:hAnsi="Garamond"/>
        </w:rPr>
        <w:fldChar w:fldCharType="separate"/>
      </w:r>
      <w:r w:rsidRPr="007C1589">
        <w:rPr>
          <w:rFonts w:ascii="Garamond" w:hAnsi="Garamond"/>
        </w:rPr>
        <w:t>(1982)</w:t>
      </w:r>
      <w:r w:rsidR="00496FE5" w:rsidRPr="007C1589">
        <w:rPr>
          <w:rFonts w:ascii="Garamond" w:hAnsi="Garamond"/>
        </w:rPr>
        <w:fldChar w:fldCharType="end"/>
      </w:r>
      <w:r w:rsidRPr="007C1589">
        <w:rPr>
          <w:rFonts w:ascii="Garamond" w:hAnsi="Garamond"/>
        </w:rPr>
        <w:t xml:space="preserve">, Baldwin </w:t>
      </w:r>
      <w:r w:rsidR="00496FE5" w:rsidRPr="007C1589">
        <w:rPr>
          <w:rFonts w:ascii="Garamond" w:hAnsi="Garamond"/>
        </w:rPr>
        <w:fldChar w:fldCharType="begin"/>
      </w:r>
      <w:r w:rsidRPr="007C1589">
        <w:rPr>
          <w:rFonts w:ascii="Garamond" w:hAnsi="Garamond"/>
        </w:rPr>
        <w:instrText>ADDIN RW.CITE{{127 Baldwin,R.E. 1956 /a}}</w:instrText>
      </w:r>
      <w:r w:rsidR="00496FE5" w:rsidRPr="007C1589">
        <w:rPr>
          <w:rFonts w:ascii="Garamond" w:hAnsi="Garamond"/>
        </w:rPr>
        <w:fldChar w:fldCharType="separate"/>
      </w:r>
      <w:r w:rsidRPr="007C1589">
        <w:rPr>
          <w:rFonts w:ascii="Garamond" w:hAnsi="Garamond"/>
        </w:rPr>
        <w:t>(1956)</w:t>
      </w:r>
      <w:r w:rsidR="00496FE5" w:rsidRPr="007C1589">
        <w:rPr>
          <w:rFonts w:ascii="Garamond" w:hAnsi="Garamond"/>
        </w:rPr>
        <w:fldChar w:fldCharType="end"/>
      </w:r>
      <w:r w:rsidRPr="007C1589">
        <w:rPr>
          <w:rFonts w:ascii="Garamond" w:hAnsi="Garamond"/>
        </w:rPr>
        <w:t xml:space="preserve"> , </w:t>
      </w:r>
      <w:proofErr w:type="spellStart"/>
      <w:r w:rsidRPr="007C1589">
        <w:rPr>
          <w:rFonts w:ascii="Garamond" w:hAnsi="Garamond"/>
        </w:rPr>
        <w:t>Sindzingre</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RW.CITE{{140 Sindzingre,Alice 2009 /a}}</w:instrText>
      </w:r>
      <w:r w:rsidR="00496FE5" w:rsidRPr="007C1589">
        <w:rPr>
          <w:rFonts w:ascii="Garamond" w:hAnsi="Garamond"/>
        </w:rPr>
        <w:fldChar w:fldCharType="separate"/>
      </w:r>
      <w:r w:rsidRPr="007C1589">
        <w:rPr>
          <w:rFonts w:ascii="Garamond" w:hAnsi="Garamond"/>
        </w:rPr>
        <w:t>(2009)</w:t>
      </w:r>
      <w:r w:rsidR="00496FE5" w:rsidRPr="007C1589">
        <w:rPr>
          <w:rFonts w:ascii="Garamond" w:hAnsi="Garamond"/>
        </w:rPr>
        <w:fldChar w:fldCharType="end"/>
      </w:r>
      <w:r w:rsidRPr="007C1589">
        <w:rPr>
          <w:rFonts w:ascii="Garamond" w:hAnsi="Garamond"/>
        </w:rPr>
        <w:t xml:space="preserve"> and </w:t>
      </w:r>
      <w:proofErr w:type="spellStart"/>
      <w:r w:rsidRPr="007C1589">
        <w:rPr>
          <w:rFonts w:ascii="Garamond" w:hAnsi="Garamond"/>
        </w:rPr>
        <w:t>Auty</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RW.CITE{{116 Auty,R.M. 2001 /a}}</w:instrText>
      </w:r>
      <w:r w:rsidR="00496FE5" w:rsidRPr="007C1589">
        <w:rPr>
          <w:rFonts w:ascii="Garamond" w:hAnsi="Garamond"/>
        </w:rPr>
        <w:fldChar w:fldCharType="separate"/>
      </w:r>
      <w:r w:rsidRPr="007C1589">
        <w:rPr>
          <w:rFonts w:ascii="Garamond" w:hAnsi="Garamond"/>
        </w:rPr>
        <w:t>(2001)</w:t>
      </w:r>
      <w:r w:rsidR="00496FE5" w:rsidRPr="007C1589">
        <w:rPr>
          <w:rFonts w:ascii="Garamond" w:hAnsi="Garamond"/>
        </w:rPr>
        <w:fldChar w:fldCharType="end"/>
      </w:r>
      <w:r w:rsidRPr="007C1589">
        <w:rPr>
          <w:rFonts w:ascii="Garamond" w:hAnsi="Garamond"/>
        </w:rPr>
        <w:t xml:space="preserve"> argue that countries with abundant natural resources tend to have lower economy growth rather than resources poor countries. The second part, on the other hand, new institution economists such as </w:t>
      </w:r>
      <w:proofErr w:type="spellStart"/>
      <w:r w:rsidRPr="007C1589">
        <w:rPr>
          <w:rFonts w:ascii="Garamond" w:hAnsi="Garamond"/>
        </w:rPr>
        <w:t>Mehlum</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RW.CITE{{120 Mehlum,Halvor 2006 /a}}</w:instrText>
      </w:r>
      <w:r w:rsidR="00496FE5" w:rsidRPr="007C1589">
        <w:rPr>
          <w:rFonts w:ascii="Garamond" w:hAnsi="Garamond"/>
        </w:rPr>
        <w:fldChar w:fldCharType="separate"/>
      </w:r>
      <w:r w:rsidRPr="007C1589">
        <w:rPr>
          <w:rFonts w:ascii="Garamond" w:hAnsi="Garamond"/>
        </w:rPr>
        <w:t>(2006)</w:t>
      </w:r>
      <w:r w:rsidR="00496FE5" w:rsidRPr="007C1589">
        <w:rPr>
          <w:rFonts w:ascii="Garamond" w:hAnsi="Garamond"/>
        </w:rPr>
        <w:fldChar w:fldCharType="end"/>
      </w:r>
      <w:r w:rsidRPr="007C1589">
        <w:rPr>
          <w:rFonts w:ascii="Garamond" w:hAnsi="Garamond"/>
        </w:rPr>
        <w:t xml:space="preserve">, </w:t>
      </w:r>
      <w:proofErr w:type="spellStart"/>
      <w:r w:rsidRPr="007C1589">
        <w:rPr>
          <w:rFonts w:ascii="Garamond" w:hAnsi="Garamond"/>
        </w:rPr>
        <w:t>Alexeev</w:t>
      </w:r>
      <w:proofErr w:type="spellEnd"/>
      <w:r w:rsidRPr="007C1589">
        <w:rPr>
          <w:rFonts w:ascii="Garamond" w:hAnsi="Garamond"/>
        </w:rPr>
        <w:t xml:space="preserve"> and Conrad </w:t>
      </w:r>
      <w:r w:rsidR="00496FE5" w:rsidRPr="007C1589">
        <w:rPr>
          <w:rFonts w:ascii="Garamond" w:hAnsi="Garamond"/>
        </w:rPr>
        <w:fldChar w:fldCharType="begin"/>
      </w:r>
      <w:r w:rsidRPr="007C1589">
        <w:rPr>
          <w:rFonts w:ascii="Garamond" w:hAnsi="Garamond"/>
        </w:rPr>
        <w:instrText>ADDIN RW.CITE{{121 Alexeev,Michael 2009 /a}}</w:instrText>
      </w:r>
      <w:r w:rsidR="00496FE5" w:rsidRPr="007C1589">
        <w:rPr>
          <w:rFonts w:ascii="Garamond" w:hAnsi="Garamond"/>
        </w:rPr>
        <w:fldChar w:fldCharType="separate"/>
      </w:r>
      <w:r w:rsidRPr="007C1589">
        <w:rPr>
          <w:rFonts w:ascii="Garamond" w:hAnsi="Garamond"/>
        </w:rPr>
        <w:t>(2009)</w:t>
      </w:r>
      <w:r w:rsidR="00496FE5" w:rsidRPr="007C1589">
        <w:rPr>
          <w:rFonts w:ascii="Garamond" w:hAnsi="Garamond"/>
        </w:rPr>
        <w:fldChar w:fldCharType="end"/>
      </w:r>
      <w:r w:rsidRPr="007C1589">
        <w:rPr>
          <w:rFonts w:ascii="Garamond" w:hAnsi="Garamond"/>
        </w:rPr>
        <w:t xml:space="preserve"> and </w:t>
      </w:r>
      <w:proofErr w:type="spellStart"/>
      <w:r w:rsidRPr="007C1589">
        <w:rPr>
          <w:rFonts w:ascii="Garamond" w:hAnsi="Garamond"/>
        </w:rPr>
        <w:t>Gylfason</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RW.CITE{{156 Gylfason,Thorvaldur 2001 /a}}</w:instrText>
      </w:r>
      <w:r w:rsidR="00496FE5" w:rsidRPr="007C1589">
        <w:rPr>
          <w:rFonts w:ascii="Garamond" w:hAnsi="Garamond"/>
        </w:rPr>
        <w:fldChar w:fldCharType="separate"/>
      </w:r>
      <w:r w:rsidRPr="007C1589">
        <w:rPr>
          <w:rFonts w:ascii="Garamond" w:hAnsi="Garamond"/>
        </w:rPr>
        <w:t>(2001)</w:t>
      </w:r>
      <w:r w:rsidR="00496FE5" w:rsidRPr="007C1589">
        <w:rPr>
          <w:rFonts w:ascii="Garamond" w:hAnsi="Garamond"/>
        </w:rPr>
        <w:fldChar w:fldCharType="end"/>
      </w:r>
      <w:r w:rsidRPr="007C1589">
        <w:rPr>
          <w:rFonts w:ascii="Garamond" w:hAnsi="Garamond"/>
        </w:rPr>
        <w:t xml:space="preserve"> argue that dependency upon natural resources for growth doesn’t necessarily harmful but it could be beneficial depending on how the policies and institutions manage the natural resources. The third part argues about the benefit of primary commodity dependency to the economic growth. Then in the fourth part will elaborate the empirical findings that has been done by researchers and the fourth part will discuss exclusively on Indonesia commodity exports.</w:t>
      </w:r>
    </w:p>
    <w:p w:rsidR="002506F2" w:rsidRPr="007C1589" w:rsidRDefault="002506F2" w:rsidP="002506F2">
      <w:pPr>
        <w:jc w:val="both"/>
        <w:rPr>
          <w:rFonts w:ascii="Garamond" w:hAnsi="Garamond"/>
          <w:sz w:val="22"/>
          <w:szCs w:val="22"/>
        </w:rPr>
      </w:pPr>
    </w:p>
    <w:p w:rsidR="002506F2" w:rsidRPr="00B86117" w:rsidRDefault="002506F2" w:rsidP="002506F2">
      <w:pPr>
        <w:pStyle w:val="Heading2"/>
        <w:rPr>
          <w:rFonts w:ascii="Garamond" w:hAnsi="Garamond"/>
          <w:color w:val="auto"/>
          <w:sz w:val="32"/>
          <w:szCs w:val="32"/>
        </w:rPr>
      </w:pPr>
      <w:bookmarkStart w:id="25" w:name="_Toc343007181"/>
      <w:bookmarkStart w:id="26" w:name="_Toc209559677"/>
      <w:r w:rsidRPr="00B86117">
        <w:rPr>
          <w:rFonts w:ascii="Garamond" w:hAnsi="Garamond"/>
          <w:color w:val="auto"/>
          <w:sz w:val="32"/>
          <w:szCs w:val="32"/>
        </w:rPr>
        <w:t>2.2 Literature Review</w:t>
      </w:r>
      <w:bookmarkEnd w:id="25"/>
    </w:p>
    <w:p w:rsidR="002506F2" w:rsidRPr="00B86117" w:rsidRDefault="002506F2" w:rsidP="002506F2">
      <w:pPr>
        <w:pStyle w:val="Heading3"/>
        <w:rPr>
          <w:rFonts w:ascii="Garamond" w:hAnsi="Garamond"/>
          <w:color w:val="auto"/>
          <w:sz w:val="26"/>
          <w:szCs w:val="26"/>
        </w:rPr>
      </w:pPr>
      <w:bookmarkStart w:id="27" w:name="_Toc343007182"/>
      <w:r w:rsidRPr="00B86117">
        <w:rPr>
          <w:rFonts w:ascii="Garamond" w:hAnsi="Garamond"/>
          <w:color w:val="auto"/>
          <w:sz w:val="26"/>
          <w:szCs w:val="26"/>
        </w:rPr>
        <w:t xml:space="preserve">2.2.1 </w:t>
      </w:r>
      <w:bookmarkEnd w:id="26"/>
      <w:proofErr w:type="spellStart"/>
      <w:r w:rsidRPr="00B86117">
        <w:rPr>
          <w:rFonts w:ascii="Garamond" w:hAnsi="Garamond"/>
          <w:color w:val="auto"/>
          <w:sz w:val="26"/>
          <w:szCs w:val="26"/>
        </w:rPr>
        <w:t>Structuralist</w:t>
      </w:r>
      <w:proofErr w:type="spellEnd"/>
      <w:r w:rsidRPr="00B86117">
        <w:rPr>
          <w:rFonts w:ascii="Garamond" w:hAnsi="Garamond"/>
          <w:color w:val="auto"/>
          <w:sz w:val="26"/>
          <w:szCs w:val="26"/>
        </w:rPr>
        <w:t xml:space="preserve"> view of commodity dependency</w:t>
      </w:r>
      <w:bookmarkEnd w:id="27"/>
    </w:p>
    <w:p w:rsidR="002506F2" w:rsidRPr="007C1589" w:rsidRDefault="002506F2" w:rsidP="002506F2">
      <w:pPr>
        <w:jc w:val="both"/>
        <w:rPr>
          <w:rFonts w:ascii="Garamond" w:hAnsi="Garamond"/>
        </w:rPr>
      </w:pPr>
      <w:r w:rsidRPr="00A26F73">
        <w:rPr>
          <w:rFonts w:ascii="Garamond" w:hAnsi="Garamond"/>
        </w:rPr>
        <w:t xml:space="preserve">The </w:t>
      </w:r>
      <w:proofErr w:type="spellStart"/>
      <w:r w:rsidRPr="00A26F73">
        <w:rPr>
          <w:rFonts w:ascii="Garamond" w:hAnsi="Garamond"/>
        </w:rPr>
        <w:t>Structuralist</w:t>
      </w:r>
      <w:proofErr w:type="spellEnd"/>
      <w:r w:rsidRPr="00A26F73">
        <w:rPr>
          <w:rFonts w:ascii="Garamond" w:hAnsi="Garamond"/>
        </w:rPr>
        <w:t xml:space="preserve"> economists’ theoretical perspectives</w:t>
      </w:r>
      <w:r w:rsidRPr="007C1589">
        <w:rPr>
          <w:rFonts w:ascii="Garamond" w:hAnsi="Garamond"/>
        </w:rPr>
        <w:t xml:space="preserve"> regarding the adverse impact of commodity dependency are divided into two main focus notably adverse impact of commodity sector specialization and the adverse impact price volatility of primary commodity on growth. </w:t>
      </w:r>
    </w:p>
    <w:p w:rsidR="002506F2" w:rsidRPr="007C1589" w:rsidRDefault="002506F2" w:rsidP="002506F2">
      <w:pPr>
        <w:jc w:val="both"/>
        <w:rPr>
          <w:rFonts w:ascii="Garamond" w:hAnsi="Garamond"/>
        </w:rPr>
      </w:pPr>
    </w:p>
    <w:p w:rsidR="002506F2" w:rsidRPr="007C1589" w:rsidRDefault="002506F2" w:rsidP="002506F2">
      <w:pPr>
        <w:jc w:val="both"/>
        <w:rPr>
          <w:rFonts w:ascii="Garamond" w:hAnsi="Garamond"/>
        </w:rPr>
      </w:pPr>
      <w:r w:rsidRPr="007C1589">
        <w:rPr>
          <w:rFonts w:ascii="Garamond" w:hAnsi="Garamond"/>
        </w:rPr>
        <w:t xml:space="preserve">The adverse impacts of commodity sector specialization are the long term declining terms of trade, staple trap and Dutch disease. The Dutch disease emphasize on the adverse impact of natural resources dependency focus on the movement of inputs from lagging manufacturing sector to booming natural resources sector (resource movement effect), where booming sector tend to have revenue increment and increase the price of non-tradable goods (spending effect) that cause the real appreciation of domestic currency which cause the export to become more expensive, government spending and undermine the manufacture sector hence become less competitive </w:t>
      </w:r>
      <w:r w:rsidR="00496FE5" w:rsidRPr="007C1589">
        <w:rPr>
          <w:rFonts w:ascii="Garamond" w:hAnsi="Garamond"/>
        </w:rPr>
        <w:fldChar w:fldCharType="begin"/>
      </w:r>
      <w:r w:rsidRPr="007C1589">
        <w:rPr>
          <w:rFonts w:ascii="Garamond" w:hAnsi="Garamond"/>
        </w:rPr>
        <w:instrText>ADDIN RW.CITE{{193 Acosta,PabloA. 2009; 115 Corden,W.Max 1982; 119 Frankel,JeffreyA. 2010}}</w:instrText>
      </w:r>
      <w:r w:rsidR="00496FE5" w:rsidRPr="007C1589">
        <w:rPr>
          <w:rFonts w:ascii="Garamond" w:hAnsi="Garamond"/>
        </w:rPr>
        <w:fldChar w:fldCharType="separate"/>
      </w:r>
      <w:r w:rsidRPr="007C1589">
        <w:rPr>
          <w:rFonts w:ascii="Garamond" w:hAnsi="Garamond"/>
        </w:rPr>
        <w:t>(Acosta et al. 2009, Corden and Neary 1982, Frankel 2010)</w:t>
      </w:r>
      <w:r w:rsidR="00496FE5" w:rsidRPr="007C1589">
        <w:rPr>
          <w:rFonts w:ascii="Garamond" w:hAnsi="Garamond"/>
        </w:rPr>
        <w:fldChar w:fldCharType="end"/>
      </w:r>
      <w:r w:rsidRPr="007C1589">
        <w:rPr>
          <w:rFonts w:ascii="Garamond" w:hAnsi="Garamond"/>
        </w:rPr>
        <w:t xml:space="preserve"> . The next arguments regarding commodity dependency that hinder or have negative impact on economic growth is the long run deterioration in terms of trade of developing countries </w:t>
      </w:r>
      <w:r w:rsidR="00496FE5" w:rsidRPr="007C1589">
        <w:rPr>
          <w:rFonts w:ascii="Garamond" w:hAnsi="Garamond"/>
        </w:rPr>
        <w:fldChar w:fldCharType="begin"/>
      </w:r>
      <w:r w:rsidRPr="007C1589">
        <w:rPr>
          <w:rFonts w:ascii="Garamond" w:hAnsi="Garamond"/>
        </w:rPr>
        <w:instrText>ADDIN RW.CITE{{136 Prebisch,Rau</w:instrText>
      </w:r>
      <w:r w:rsidRPr="007C1589">
        <w:rPr>
          <w:rFonts w:asciiTheme="minorHAnsi" w:hAnsiTheme="minorHAnsi"/>
        </w:rPr>
        <w:instrText>́</w:instrText>
      </w:r>
      <w:r w:rsidRPr="007C1589">
        <w:rPr>
          <w:rFonts w:ascii="Garamond" w:hAnsi="Garamond"/>
        </w:rPr>
        <w:instrText>l 1950; 130 Singer,H.W. 1950}}</w:instrText>
      </w:r>
      <w:r w:rsidR="00496FE5" w:rsidRPr="007C1589">
        <w:rPr>
          <w:rFonts w:ascii="Garamond" w:hAnsi="Garamond"/>
        </w:rPr>
        <w:fldChar w:fldCharType="separate"/>
      </w:r>
      <w:r w:rsidRPr="007C1589">
        <w:rPr>
          <w:rFonts w:ascii="Garamond" w:hAnsi="Garamond"/>
        </w:rPr>
        <w:t>(Prebisch 1950, Singer 1950)</w:t>
      </w:r>
      <w:r w:rsidR="00496FE5" w:rsidRPr="007C1589">
        <w:rPr>
          <w:rFonts w:ascii="Garamond" w:hAnsi="Garamond"/>
        </w:rPr>
        <w:fldChar w:fldCharType="end"/>
      </w:r>
      <w:r w:rsidRPr="007C1589">
        <w:rPr>
          <w:rFonts w:ascii="Garamond" w:hAnsi="Garamond"/>
        </w:rPr>
        <w:t xml:space="preserve"> as manufactures value tend to rise over time as they have higher value added than primary commodity </w:t>
      </w:r>
      <w:r w:rsidR="00496FE5" w:rsidRPr="007C1589">
        <w:rPr>
          <w:rFonts w:ascii="Garamond" w:hAnsi="Garamond"/>
        </w:rPr>
        <w:fldChar w:fldCharType="begin"/>
      </w:r>
      <w:r w:rsidRPr="007C1589">
        <w:rPr>
          <w:rFonts w:ascii="Garamond" w:hAnsi="Garamond"/>
        </w:rPr>
        <w:instrText>ADDIN RW.CITE{{139 Blattman,Christopher 2007}}</w:instrText>
      </w:r>
      <w:r w:rsidR="00496FE5" w:rsidRPr="007C1589">
        <w:rPr>
          <w:rFonts w:ascii="Garamond" w:hAnsi="Garamond"/>
        </w:rPr>
        <w:fldChar w:fldCharType="separate"/>
      </w:r>
      <w:r w:rsidRPr="007C1589">
        <w:rPr>
          <w:rFonts w:ascii="Garamond" w:hAnsi="Garamond"/>
        </w:rPr>
        <w:t>(Blattman et al. 2007)</w:t>
      </w:r>
      <w:r w:rsidR="00496FE5" w:rsidRPr="007C1589">
        <w:rPr>
          <w:rFonts w:ascii="Garamond" w:hAnsi="Garamond"/>
        </w:rPr>
        <w:fldChar w:fldCharType="end"/>
      </w:r>
      <w:r w:rsidRPr="007C1589">
        <w:rPr>
          <w:rFonts w:ascii="Garamond" w:hAnsi="Garamond"/>
        </w:rPr>
        <w:t xml:space="preserve">. </w:t>
      </w:r>
      <w:proofErr w:type="spellStart"/>
      <w:r w:rsidRPr="007C1589">
        <w:rPr>
          <w:rFonts w:ascii="Garamond" w:hAnsi="Garamond"/>
        </w:rPr>
        <w:t>Prebisch</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RW.CITE{{136 Prebisch,Rau</w:instrText>
      </w:r>
      <w:r w:rsidRPr="007C1589">
        <w:rPr>
          <w:rFonts w:asciiTheme="minorHAnsi" w:hAnsiTheme="minorHAnsi"/>
        </w:rPr>
        <w:instrText>́</w:instrText>
      </w:r>
      <w:r w:rsidRPr="007C1589">
        <w:rPr>
          <w:rFonts w:ascii="Garamond" w:hAnsi="Garamond"/>
        </w:rPr>
        <w:instrText>l 1950 /a}}</w:instrText>
      </w:r>
      <w:r w:rsidR="00496FE5" w:rsidRPr="007C1589">
        <w:rPr>
          <w:rFonts w:ascii="Garamond" w:hAnsi="Garamond"/>
        </w:rPr>
        <w:fldChar w:fldCharType="separate"/>
      </w:r>
      <w:r w:rsidRPr="007C1589">
        <w:rPr>
          <w:rFonts w:ascii="Garamond" w:hAnsi="Garamond"/>
        </w:rPr>
        <w:t>(1950)</w:t>
      </w:r>
      <w:r w:rsidR="00496FE5" w:rsidRPr="007C1589">
        <w:rPr>
          <w:rFonts w:ascii="Garamond" w:hAnsi="Garamond"/>
        </w:rPr>
        <w:fldChar w:fldCharType="end"/>
      </w:r>
      <w:r w:rsidRPr="007C1589">
        <w:rPr>
          <w:rFonts w:ascii="Garamond" w:hAnsi="Garamond"/>
        </w:rPr>
        <w:t xml:space="preserve"> focuses on the terms of trade of developing countries as primary commodity supplier and advanced countries as supplier of manufacture products as manufacture products has higher value added and long term declining primary commodity prices cause by the use of synthetic </w:t>
      </w:r>
      <w:r w:rsidRPr="007C1589">
        <w:rPr>
          <w:rFonts w:ascii="Garamond" w:hAnsi="Garamond"/>
        </w:rPr>
        <w:lastRenderedPageBreak/>
        <w:t xml:space="preserve">inputs. Another adverse impact is the staple trap where resource abundant countries tend to rely on commodity exports longer than resource poor countries hence postpones the industrialization development as consequences retards urbanization that favorable for the process of human capital accumulation and postponed labor market turning point hence the number of rural labor overwhelm and raise income inequality as they keep rely on producing raw materials </w:t>
      </w:r>
      <w:r w:rsidR="00496FE5" w:rsidRPr="007C1589">
        <w:rPr>
          <w:rFonts w:ascii="Garamond" w:hAnsi="Garamond"/>
        </w:rPr>
        <w:fldChar w:fldCharType="begin"/>
      </w:r>
      <w:r w:rsidRPr="007C1589">
        <w:rPr>
          <w:rFonts w:ascii="Garamond" w:hAnsi="Garamond"/>
        </w:rPr>
        <w:instrText>ADDIN RW.CITE{{116 Auty,R.M. 2001}}</w:instrText>
      </w:r>
      <w:r w:rsidR="00496FE5" w:rsidRPr="007C1589">
        <w:rPr>
          <w:rFonts w:ascii="Garamond" w:hAnsi="Garamond"/>
        </w:rPr>
        <w:fldChar w:fldCharType="separate"/>
      </w:r>
      <w:r w:rsidRPr="007C1589">
        <w:rPr>
          <w:rFonts w:ascii="Garamond" w:hAnsi="Garamond"/>
        </w:rPr>
        <w:t>(Auty 2001)</w:t>
      </w:r>
      <w:r w:rsidR="00496FE5" w:rsidRPr="007C1589">
        <w:rPr>
          <w:rFonts w:ascii="Garamond" w:hAnsi="Garamond"/>
        </w:rPr>
        <w:fldChar w:fldCharType="end"/>
      </w:r>
      <w:r w:rsidRPr="007C1589">
        <w:rPr>
          <w:rFonts w:ascii="Garamond" w:hAnsi="Garamond"/>
        </w:rPr>
        <w:t xml:space="preserve"> as a result resource abundant countries could only specialize in producing raw materials and further as the production of staples became more capital intensive where it is imported hence labor become less use in the production and the processing for the raw materials are done out of the country </w:t>
      </w:r>
      <w:r w:rsidR="00496FE5" w:rsidRPr="007C1589">
        <w:rPr>
          <w:rFonts w:ascii="Garamond" w:hAnsi="Garamond"/>
        </w:rPr>
        <w:fldChar w:fldCharType="begin"/>
      </w:r>
      <w:r w:rsidRPr="007C1589">
        <w:rPr>
          <w:rFonts w:ascii="Garamond" w:hAnsi="Garamond"/>
        </w:rPr>
        <w:instrText>ADDIN RW.CITE{{127 Baldwin,R.E. 1956}}</w:instrText>
      </w:r>
      <w:r w:rsidR="00496FE5" w:rsidRPr="007C1589">
        <w:rPr>
          <w:rFonts w:ascii="Garamond" w:hAnsi="Garamond"/>
        </w:rPr>
        <w:fldChar w:fldCharType="separate"/>
      </w:r>
      <w:r w:rsidRPr="007C1589">
        <w:rPr>
          <w:rFonts w:ascii="Garamond" w:hAnsi="Garamond"/>
        </w:rPr>
        <w:t>(Baldwin 1956)</w:t>
      </w:r>
      <w:r w:rsidR="00496FE5" w:rsidRPr="007C1589">
        <w:rPr>
          <w:rFonts w:ascii="Garamond" w:hAnsi="Garamond"/>
        </w:rPr>
        <w:fldChar w:fldCharType="end"/>
      </w:r>
      <w:r w:rsidRPr="007C1589">
        <w:rPr>
          <w:rFonts w:ascii="Garamond" w:hAnsi="Garamond"/>
        </w:rPr>
        <w:t xml:space="preserve">. </w:t>
      </w:r>
    </w:p>
    <w:p w:rsidR="002506F2" w:rsidRPr="007C1589" w:rsidRDefault="002506F2" w:rsidP="002506F2">
      <w:pPr>
        <w:jc w:val="both"/>
        <w:rPr>
          <w:rFonts w:ascii="Garamond" w:eastAsiaTheme="minorHAnsi" w:hAnsi="Garamond" w:cs="MathPackOne"/>
        </w:rPr>
      </w:pPr>
    </w:p>
    <w:p w:rsidR="002506F2" w:rsidRPr="007C1589" w:rsidRDefault="002506F2" w:rsidP="002506F2">
      <w:pPr>
        <w:jc w:val="both"/>
        <w:rPr>
          <w:rFonts w:ascii="Garamond" w:hAnsi="Garamond"/>
        </w:rPr>
      </w:pPr>
      <w:r w:rsidRPr="007C1589">
        <w:rPr>
          <w:rFonts w:ascii="Garamond" w:hAnsi="Garamond"/>
        </w:rPr>
        <w:t xml:space="preserve">The second focus is the adverse impact of price volatility of primary commodity on commodity dependence economy. The economy that heavily dependent to primary commodity exports are prone to the changes of global commodity prices which tend to fluctuates every periods and cause income instability hence resulting internal instability, reduce investment and diminish economic growth </w:t>
      </w:r>
      <w:r w:rsidR="00496FE5" w:rsidRPr="007C1589">
        <w:rPr>
          <w:rFonts w:ascii="Garamond" w:hAnsi="Garamond"/>
        </w:rPr>
        <w:fldChar w:fldCharType="begin"/>
      </w:r>
      <w:r w:rsidRPr="007C1589">
        <w:rPr>
          <w:rFonts w:ascii="Garamond" w:hAnsi="Garamond"/>
        </w:rPr>
        <w:instrText>ADDIN RW.CITE{{139 Blattman,Christopher 2007}}</w:instrText>
      </w:r>
      <w:r w:rsidR="00496FE5" w:rsidRPr="007C1589">
        <w:rPr>
          <w:rFonts w:ascii="Garamond" w:hAnsi="Garamond"/>
        </w:rPr>
        <w:fldChar w:fldCharType="separate"/>
      </w:r>
      <w:r w:rsidRPr="007C1589">
        <w:rPr>
          <w:rFonts w:ascii="Garamond" w:hAnsi="Garamond"/>
        </w:rPr>
        <w:t>(Blattman et al. 2007)</w:t>
      </w:r>
      <w:r w:rsidR="00496FE5" w:rsidRPr="007C1589">
        <w:rPr>
          <w:rFonts w:ascii="Garamond" w:hAnsi="Garamond"/>
        </w:rPr>
        <w:fldChar w:fldCharType="end"/>
      </w:r>
      <w:r w:rsidRPr="007C1589">
        <w:rPr>
          <w:rFonts w:ascii="Garamond" w:hAnsi="Garamond"/>
        </w:rPr>
        <w:t xml:space="preserve"> . The next argument brought by </w:t>
      </w:r>
      <w:proofErr w:type="spellStart"/>
      <w:r w:rsidRPr="007C1589">
        <w:rPr>
          <w:rFonts w:ascii="Garamond" w:hAnsi="Garamond"/>
        </w:rPr>
        <w:t>Sindzingre</w:t>
      </w:r>
      <w:proofErr w:type="spellEnd"/>
      <w:r w:rsidRPr="007C1589">
        <w:rPr>
          <w:rFonts w:ascii="Garamond" w:hAnsi="Garamond"/>
        </w:rPr>
        <w:t xml:space="preserve"> </w:t>
      </w:r>
      <w:r w:rsidR="00496FE5" w:rsidRPr="007C1589">
        <w:rPr>
          <w:rFonts w:ascii="Garamond" w:hAnsi="Garamond"/>
        </w:rPr>
        <w:fldChar w:fldCharType="begin"/>
      </w:r>
      <w:r w:rsidRPr="007C1589">
        <w:rPr>
          <w:rFonts w:ascii="Garamond" w:hAnsi="Garamond"/>
        </w:rPr>
        <w:instrText>ADDIN RW.CITE{{140 Sindzingre,Alice 2009 /a}}</w:instrText>
      </w:r>
      <w:r w:rsidR="00496FE5" w:rsidRPr="007C1589">
        <w:rPr>
          <w:rFonts w:ascii="Garamond" w:hAnsi="Garamond"/>
        </w:rPr>
        <w:fldChar w:fldCharType="separate"/>
      </w:r>
      <w:r w:rsidRPr="007C1589">
        <w:rPr>
          <w:rFonts w:ascii="Garamond" w:hAnsi="Garamond"/>
        </w:rPr>
        <w:t>(2009)</w:t>
      </w:r>
      <w:r w:rsidR="00496FE5" w:rsidRPr="007C1589">
        <w:rPr>
          <w:rFonts w:ascii="Garamond" w:hAnsi="Garamond"/>
        </w:rPr>
        <w:fldChar w:fldCharType="end"/>
      </w:r>
      <w:r w:rsidRPr="007C1589">
        <w:rPr>
          <w:rFonts w:ascii="Garamond" w:hAnsi="Garamond"/>
        </w:rPr>
        <w:t xml:space="preserve"> is the poverty trap, where the price changes in primary commodity make commodity dependence countries difficult to reach the tipping point above which can enhance long run growth, and hamper industrialization where it is viewed as the solution for commodity dependence countries to get out of the poverty trap since manufacture product is less subject to the price volatility</w:t>
      </w:r>
      <w:r w:rsidRPr="007C1589">
        <w:rPr>
          <w:rFonts w:ascii="Garamond" w:hAnsi="Garamond" w:cs="Times"/>
          <w:color w:val="000000"/>
          <w:lang w:eastAsia="ja-JP"/>
        </w:rPr>
        <w:t xml:space="preserve">. The other argument is that sharp fluctuation of commodity prices cause the commodity dependence countries tend to have increasing external debt and difficulty in servicing their debt where commodity dependency countries increase external loan to finance the booming commodity sector hence when the prices fall, they fail to service their debt </w:t>
      </w:r>
      <w:r w:rsidR="00496FE5" w:rsidRPr="007C1589">
        <w:rPr>
          <w:rFonts w:ascii="Garamond" w:hAnsi="Garamond" w:cs="Times"/>
          <w:color w:val="000000"/>
          <w:lang w:eastAsia="ja-JP"/>
        </w:rPr>
        <w:fldChar w:fldCharType="begin"/>
      </w:r>
      <w:r w:rsidRPr="007C1589">
        <w:rPr>
          <w:rFonts w:ascii="Garamond" w:hAnsi="Garamond" w:cs="Times"/>
          <w:color w:val="000000"/>
          <w:lang w:eastAsia="ja-JP"/>
        </w:rPr>
        <w:instrText>ADDIN RW.CITE{{133 Swaray,R 2005}}</w:instrText>
      </w:r>
      <w:r w:rsidR="00496FE5" w:rsidRPr="007C1589">
        <w:rPr>
          <w:rFonts w:ascii="Garamond" w:hAnsi="Garamond" w:cs="Times"/>
          <w:color w:val="000000"/>
          <w:lang w:eastAsia="ja-JP"/>
        </w:rPr>
        <w:fldChar w:fldCharType="separate"/>
      </w:r>
      <w:r w:rsidRPr="007C1589">
        <w:rPr>
          <w:rFonts w:ascii="Garamond" w:hAnsi="Garamond" w:cs="Times"/>
          <w:color w:val="000000"/>
          <w:lang w:eastAsia="ja-JP"/>
        </w:rPr>
        <w:t>(Swaray 2005)</w:t>
      </w:r>
      <w:r w:rsidR="00496FE5" w:rsidRPr="007C1589">
        <w:rPr>
          <w:rFonts w:ascii="Garamond" w:hAnsi="Garamond" w:cs="Times"/>
          <w:color w:val="000000"/>
          <w:lang w:eastAsia="ja-JP"/>
        </w:rPr>
        <w:fldChar w:fldCharType="end"/>
      </w:r>
      <w:r w:rsidRPr="007C1589">
        <w:rPr>
          <w:rFonts w:ascii="Garamond" w:hAnsi="Garamond" w:cs="Times"/>
          <w:color w:val="000000"/>
          <w:lang w:eastAsia="ja-JP"/>
        </w:rPr>
        <w:t xml:space="preserve"> </w:t>
      </w:r>
      <w:r w:rsidRPr="007C1589">
        <w:rPr>
          <w:rFonts w:ascii="Garamond" w:hAnsi="Garamond"/>
        </w:rPr>
        <w:t xml:space="preserve">and instability in terms of trade decrease exports revenue hence capital inflows shrank as price shocks reduce the effectiveness of investment resulting capital account shocks hence vulnerable to financial crisis and poor growth </w:t>
      </w:r>
      <w:r w:rsidR="00496FE5" w:rsidRPr="007C1589">
        <w:rPr>
          <w:rFonts w:ascii="Garamond" w:hAnsi="Garamond"/>
        </w:rPr>
        <w:fldChar w:fldCharType="begin"/>
      </w:r>
      <w:r w:rsidRPr="007C1589">
        <w:rPr>
          <w:rFonts w:ascii="Garamond" w:hAnsi="Garamond"/>
        </w:rPr>
        <w:instrText>ADDIN RW.CITE{{129 Eichengreen,Barry 1996}}</w:instrText>
      </w:r>
      <w:r w:rsidR="00496FE5" w:rsidRPr="007C1589">
        <w:rPr>
          <w:rFonts w:ascii="Garamond" w:hAnsi="Garamond"/>
        </w:rPr>
        <w:fldChar w:fldCharType="separate"/>
      </w:r>
      <w:r w:rsidRPr="007C1589">
        <w:rPr>
          <w:rFonts w:ascii="Garamond" w:hAnsi="Garamond"/>
        </w:rPr>
        <w:t>(Eichengreen 1996)</w:t>
      </w:r>
      <w:r w:rsidR="00496FE5" w:rsidRPr="007C1589">
        <w:rPr>
          <w:rFonts w:ascii="Garamond" w:hAnsi="Garamond"/>
        </w:rPr>
        <w:fldChar w:fldCharType="end"/>
      </w:r>
      <w:r w:rsidRPr="007C1589">
        <w:rPr>
          <w:rFonts w:ascii="Garamond" w:hAnsi="Garamond"/>
        </w:rPr>
        <w:t xml:space="preserve">.     </w:t>
      </w:r>
    </w:p>
    <w:p w:rsidR="002506F2" w:rsidRPr="007C1589" w:rsidRDefault="002506F2" w:rsidP="002506F2">
      <w:pPr>
        <w:jc w:val="both"/>
        <w:rPr>
          <w:rFonts w:ascii="Garamond" w:hAnsi="Garamond"/>
        </w:rPr>
      </w:pPr>
    </w:p>
    <w:p w:rsidR="002506F2" w:rsidRPr="00BD2779" w:rsidRDefault="002506F2" w:rsidP="002506F2">
      <w:pPr>
        <w:jc w:val="both"/>
        <w:rPr>
          <w:rFonts w:ascii="Garamond" w:hAnsi="Garamond"/>
        </w:rPr>
      </w:pPr>
      <w:r w:rsidRPr="007C1589">
        <w:rPr>
          <w:rFonts w:ascii="Garamond" w:hAnsi="Garamond"/>
        </w:rPr>
        <w:t xml:space="preserve">In sum, the </w:t>
      </w:r>
      <w:proofErr w:type="spellStart"/>
      <w:r w:rsidRPr="007C1589">
        <w:rPr>
          <w:rFonts w:ascii="Garamond" w:hAnsi="Garamond"/>
        </w:rPr>
        <w:t>structuralist</w:t>
      </w:r>
      <w:proofErr w:type="spellEnd"/>
      <w:r w:rsidRPr="007C1589">
        <w:rPr>
          <w:rFonts w:ascii="Garamond" w:hAnsi="Garamond"/>
        </w:rPr>
        <w:t xml:space="preserve"> </w:t>
      </w:r>
      <w:proofErr w:type="gramStart"/>
      <w:r w:rsidRPr="007C1589">
        <w:rPr>
          <w:rFonts w:ascii="Garamond" w:hAnsi="Garamond"/>
        </w:rPr>
        <w:t>economists</w:t>
      </w:r>
      <w:proofErr w:type="gramEnd"/>
      <w:r w:rsidRPr="007C1589">
        <w:rPr>
          <w:rFonts w:ascii="Garamond" w:hAnsi="Garamond"/>
        </w:rPr>
        <w:t xml:space="preserve"> view that the dependency on primary commodity hampers economic growth and the reliance on this sector would lead to slower economic growth rather than the countries which is not. The adverse impact channels through the price volatility and commodity sector specialization.</w:t>
      </w:r>
    </w:p>
    <w:p w:rsidR="002506F2" w:rsidRPr="002178FB" w:rsidRDefault="002506F2" w:rsidP="002506F2">
      <w:pPr>
        <w:pStyle w:val="Heading3"/>
        <w:rPr>
          <w:rFonts w:ascii="Garamond" w:hAnsi="Garamond"/>
          <w:color w:val="auto"/>
          <w:sz w:val="26"/>
          <w:szCs w:val="26"/>
        </w:rPr>
      </w:pPr>
      <w:bookmarkStart w:id="28" w:name="_Toc343007183"/>
      <w:r w:rsidRPr="002178FB">
        <w:rPr>
          <w:rFonts w:ascii="Garamond" w:hAnsi="Garamond"/>
          <w:color w:val="auto"/>
          <w:sz w:val="26"/>
          <w:szCs w:val="26"/>
        </w:rPr>
        <w:t>2.2.2 The new institution view of commodity dependence</w:t>
      </w:r>
      <w:bookmarkEnd w:id="28"/>
      <w:r w:rsidRPr="002178FB">
        <w:rPr>
          <w:rFonts w:ascii="Garamond" w:hAnsi="Garamond"/>
          <w:color w:val="auto"/>
          <w:sz w:val="26"/>
          <w:szCs w:val="26"/>
        </w:rPr>
        <w:t xml:space="preserve">  </w:t>
      </w:r>
    </w:p>
    <w:p w:rsidR="002506F2" w:rsidRPr="00650D96" w:rsidRDefault="002506F2" w:rsidP="002506F2">
      <w:pPr>
        <w:jc w:val="both"/>
        <w:rPr>
          <w:rFonts w:ascii="Garamond" w:hAnsi="Garamond"/>
        </w:rPr>
      </w:pPr>
      <w:r w:rsidRPr="00650D96">
        <w:rPr>
          <w:rFonts w:ascii="Garamond" w:hAnsi="Garamond"/>
        </w:rPr>
        <w:t xml:space="preserve">As the commodity prices tend to be fluctuating over periods hence the growth of developing countries which are dependent on commodity exports for its growth would likely to fluctuate and cause instability in their economy. New institutional economists partly advocates the idea of specialization in primary commodity but with the presence of good institutions as they argue that countries such as Norway, Botswana, Australia and Canada gain and enhance its economy growth from commodity exports without prices volatility negatively affecting their economic performance </w:t>
      </w:r>
      <w:r w:rsidR="00496FE5" w:rsidRPr="00650D96">
        <w:rPr>
          <w:rFonts w:ascii="Garamond" w:hAnsi="Garamond"/>
        </w:rPr>
        <w:fldChar w:fldCharType="begin"/>
      </w:r>
      <w:r w:rsidRPr="00650D96">
        <w:rPr>
          <w:rFonts w:ascii="Garamond" w:hAnsi="Garamond"/>
        </w:rPr>
        <w:instrText>ADDIN RW.CITE{{120 Mehlum,Halvor 2006}}</w:instrText>
      </w:r>
      <w:r w:rsidR="00496FE5" w:rsidRPr="00650D96">
        <w:rPr>
          <w:rFonts w:ascii="Garamond" w:hAnsi="Garamond"/>
        </w:rPr>
        <w:fldChar w:fldCharType="separate"/>
      </w:r>
      <w:r w:rsidRPr="00650D96">
        <w:rPr>
          <w:rFonts w:ascii="Garamond" w:hAnsi="Garamond"/>
        </w:rPr>
        <w:t>(Mehlum et al. 2006)</w:t>
      </w:r>
      <w:r w:rsidR="00496FE5" w:rsidRPr="00650D96">
        <w:rPr>
          <w:rFonts w:ascii="Garamond" w:hAnsi="Garamond"/>
        </w:rPr>
        <w:fldChar w:fldCharType="end"/>
      </w:r>
      <w:r w:rsidRPr="00650D96">
        <w:rPr>
          <w:rFonts w:ascii="Garamond" w:hAnsi="Garamond"/>
        </w:rPr>
        <w:t xml:space="preserve"> and they argue that in resource abundant economy, the government behavior consider to be essential in researching the adverse impact of natural resources dependency </w:t>
      </w:r>
      <w:r w:rsidR="00496FE5" w:rsidRPr="00650D96">
        <w:rPr>
          <w:rFonts w:ascii="Garamond" w:hAnsi="Garamond"/>
        </w:rPr>
        <w:fldChar w:fldCharType="begin"/>
      </w:r>
      <w:r w:rsidRPr="00650D96">
        <w:rPr>
          <w:rFonts w:ascii="Garamond" w:hAnsi="Garamond"/>
        </w:rPr>
        <w:instrText>ADDIN RW.CITE{{176 Newberry,DavidMG 1986}}</w:instrText>
      </w:r>
      <w:r w:rsidR="00496FE5" w:rsidRPr="00650D96">
        <w:rPr>
          <w:rFonts w:ascii="Garamond" w:hAnsi="Garamond"/>
        </w:rPr>
        <w:fldChar w:fldCharType="separate"/>
      </w:r>
      <w:r w:rsidRPr="00650D96">
        <w:rPr>
          <w:rFonts w:ascii="Garamond" w:hAnsi="Garamond"/>
        </w:rPr>
        <w:t>(Newberry 1986)</w:t>
      </w:r>
      <w:r w:rsidR="00496FE5" w:rsidRPr="00650D96">
        <w:rPr>
          <w:rFonts w:ascii="Garamond" w:hAnsi="Garamond"/>
        </w:rPr>
        <w:fldChar w:fldCharType="end"/>
      </w:r>
      <w:r w:rsidRPr="00650D96">
        <w:rPr>
          <w:rFonts w:ascii="Garamond" w:hAnsi="Garamond"/>
        </w:rPr>
        <w:t>.</w:t>
      </w:r>
    </w:p>
    <w:p w:rsidR="002506F2" w:rsidRPr="00650D96" w:rsidRDefault="002506F2" w:rsidP="002506F2">
      <w:pPr>
        <w:jc w:val="both"/>
        <w:rPr>
          <w:rFonts w:ascii="Garamond" w:hAnsi="Garamond"/>
        </w:rPr>
      </w:pPr>
    </w:p>
    <w:p w:rsidR="002506F2" w:rsidRPr="00650D96" w:rsidRDefault="002506F2" w:rsidP="002506F2">
      <w:pPr>
        <w:autoSpaceDE w:val="0"/>
        <w:autoSpaceDN w:val="0"/>
        <w:adjustRightInd w:val="0"/>
        <w:jc w:val="both"/>
        <w:rPr>
          <w:rFonts w:ascii="Garamond" w:hAnsi="Garamond"/>
        </w:rPr>
      </w:pPr>
      <w:r w:rsidRPr="00650D96">
        <w:rPr>
          <w:rFonts w:ascii="Garamond" w:hAnsi="Garamond"/>
        </w:rPr>
        <w:t xml:space="preserve">The new institution economists don’t entirely oppose to the idea of natural resources as unbeneficial. Dependency on natural resources as the source of economic growth doesn’t always lead to resource curse instead countries could both be growth losers (e.g. Saudi Arabia, Nigeria, Zambia, Angola and </w:t>
      </w:r>
      <w:proofErr w:type="spellStart"/>
      <w:r w:rsidRPr="00650D96">
        <w:rPr>
          <w:rFonts w:ascii="Garamond" w:hAnsi="Garamond"/>
        </w:rPr>
        <w:t>Venezuala</w:t>
      </w:r>
      <w:proofErr w:type="spellEnd"/>
      <w:r w:rsidRPr="00650D96">
        <w:rPr>
          <w:rFonts w:ascii="Garamond" w:hAnsi="Garamond"/>
        </w:rPr>
        <w:t xml:space="preserve">) and growth winners (e.g. Botswana, Australia, Canada and Norway). The different results of commodity dependency on countries’ economic growth due to the quality of their institutions which measured from the corruption perception index and the institutions’ quality determine if resource abundant country could avoid the resource curse or not </w:t>
      </w:r>
      <w:r w:rsidR="00496FE5" w:rsidRPr="00650D96">
        <w:rPr>
          <w:rFonts w:ascii="Garamond" w:hAnsi="Garamond"/>
        </w:rPr>
        <w:fldChar w:fldCharType="begin"/>
      </w:r>
      <w:r w:rsidRPr="00650D96">
        <w:rPr>
          <w:rFonts w:ascii="Garamond" w:hAnsi="Garamond"/>
        </w:rPr>
        <w:instrText>ADDIN RW.CITE{{120 Mehlum,Halvor 2006}}</w:instrText>
      </w:r>
      <w:r w:rsidR="00496FE5" w:rsidRPr="00650D96">
        <w:rPr>
          <w:rFonts w:ascii="Garamond" w:hAnsi="Garamond"/>
        </w:rPr>
        <w:fldChar w:fldCharType="separate"/>
      </w:r>
      <w:r w:rsidRPr="00650D96">
        <w:rPr>
          <w:rFonts w:ascii="Garamond" w:hAnsi="Garamond"/>
        </w:rPr>
        <w:t>(Mehlum et al. 2006)</w:t>
      </w:r>
      <w:r w:rsidR="00496FE5" w:rsidRPr="00650D96">
        <w:rPr>
          <w:rFonts w:ascii="Garamond" w:hAnsi="Garamond"/>
        </w:rPr>
        <w:fldChar w:fldCharType="end"/>
      </w:r>
      <w:r w:rsidRPr="00650D96">
        <w:rPr>
          <w:rFonts w:ascii="Garamond" w:hAnsi="Garamond"/>
        </w:rPr>
        <w:t xml:space="preserve">. Hence, the deterioration on economy growth that cause by dependency on natural resources is due to the poor institutional development that leads to rent-seeking behavior and corruptive government </w:t>
      </w:r>
      <w:r w:rsidR="00496FE5" w:rsidRPr="00650D96">
        <w:rPr>
          <w:rFonts w:ascii="Garamond" w:hAnsi="Garamond"/>
        </w:rPr>
        <w:fldChar w:fldCharType="begin"/>
      </w:r>
      <w:r w:rsidRPr="00650D96">
        <w:rPr>
          <w:rFonts w:ascii="Garamond" w:hAnsi="Garamond"/>
        </w:rPr>
        <w:instrText>ADDIN RW.CITE{{120 Mehlum,Halvor 2006; 156 Gylfason,Thorvaldur 2001}}</w:instrText>
      </w:r>
      <w:r w:rsidR="00496FE5" w:rsidRPr="00650D96">
        <w:rPr>
          <w:rFonts w:ascii="Garamond" w:hAnsi="Garamond"/>
        </w:rPr>
        <w:fldChar w:fldCharType="separate"/>
      </w:r>
      <w:r w:rsidRPr="00650D96">
        <w:rPr>
          <w:rFonts w:ascii="Garamond" w:hAnsi="Garamond"/>
        </w:rPr>
        <w:t>(Mehlum et al. 2006, Gylfason 2001)</w:t>
      </w:r>
      <w:r w:rsidR="00496FE5" w:rsidRPr="00650D96">
        <w:rPr>
          <w:rFonts w:ascii="Garamond" w:hAnsi="Garamond"/>
        </w:rPr>
        <w:fldChar w:fldCharType="end"/>
      </w:r>
      <w:r w:rsidRPr="00650D96">
        <w:rPr>
          <w:rFonts w:ascii="Garamond" w:hAnsi="Garamond"/>
        </w:rPr>
        <w:t xml:space="preserve">. Different from </w:t>
      </w:r>
      <w:proofErr w:type="spellStart"/>
      <w:r w:rsidRPr="00650D96">
        <w:rPr>
          <w:rFonts w:ascii="Garamond" w:hAnsi="Garamond"/>
        </w:rPr>
        <w:t>structuralist</w:t>
      </w:r>
      <w:proofErr w:type="spellEnd"/>
      <w:r w:rsidRPr="00650D96">
        <w:rPr>
          <w:rFonts w:ascii="Garamond" w:hAnsi="Garamond"/>
        </w:rPr>
        <w:t xml:space="preserve"> economists, new institution economist emphasize on the government role in resource abundant economy which government behaviors consider being essential in determining resource abundance could be a curse or </w:t>
      </w:r>
      <w:proofErr w:type="gramStart"/>
      <w:r w:rsidRPr="00650D96">
        <w:rPr>
          <w:rFonts w:ascii="Garamond" w:hAnsi="Garamond"/>
        </w:rPr>
        <w:t>blessing.</w:t>
      </w:r>
      <w:proofErr w:type="gramEnd"/>
    </w:p>
    <w:p w:rsidR="002506F2" w:rsidRPr="00650D96" w:rsidRDefault="002506F2" w:rsidP="002506F2">
      <w:pPr>
        <w:autoSpaceDE w:val="0"/>
        <w:autoSpaceDN w:val="0"/>
        <w:adjustRightInd w:val="0"/>
        <w:jc w:val="both"/>
        <w:rPr>
          <w:rFonts w:ascii="Garamond" w:hAnsi="Garamond"/>
        </w:rPr>
      </w:pPr>
    </w:p>
    <w:p w:rsidR="002506F2" w:rsidRPr="00650D96" w:rsidRDefault="002506F2" w:rsidP="002506F2">
      <w:pPr>
        <w:autoSpaceDE w:val="0"/>
        <w:autoSpaceDN w:val="0"/>
        <w:adjustRightInd w:val="0"/>
        <w:jc w:val="both"/>
        <w:rPr>
          <w:rFonts w:ascii="Garamond" w:hAnsi="Garamond"/>
        </w:rPr>
      </w:pPr>
      <w:r w:rsidRPr="00650D96">
        <w:rPr>
          <w:rFonts w:ascii="Garamond" w:hAnsi="Garamond"/>
        </w:rPr>
        <w:t xml:space="preserve">Lane and </w:t>
      </w:r>
      <w:proofErr w:type="spellStart"/>
      <w:r w:rsidRPr="00650D96">
        <w:rPr>
          <w:rFonts w:ascii="Garamond" w:hAnsi="Garamond"/>
        </w:rPr>
        <w:t>Tornell</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RW.CITE{{124 Lane,PhilipR. 1996 /a; 123 Tornell,Aaron 1999 /a}}</w:instrText>
      </w:r>
      <w:r w:rsidR="00496FE5" w:rsidRPr="00650D96">
        <w:rPr>
          <w:rFonts w:ascii="Garamond" w:hAnsi="Garamond"/>
        </w:rPr>
        <w:fldChar w:fldCharType="separate"/>
      </w:r>
      <w:r w:rsidRPr="00650D96">
        <w:rPr>
          <w:rFonts w:ascii="Garamond" w:hAnsi="Garamond"/>
        </w:rPr>
        <w:t>(1996, 1999)</w:t>
      </w:r>
      <w:r w:rsidR="00496FE5" w:rsidRPr="00650D96">
        <w:rPr>
          <w:rFonts w:ascii="Garamond" w:hAnsi="Garamond"/>
        </w:rPr>
        <w:fldChar w:fldCharType="end"/>
      </w:r>
      <w:r w:rsidRPr="00650D96">
        <w:rPr>
          <w:rFonts w:ascii="Garamond" w:hAnsi="Garamond"/>
        </w:rPr>
        <w:t xml:space="preserve"> argue that countries with weak government and strong rent-seeking groups, natural resources windfall revenue stimulate voracity effect. Voracity effect is where the competition among rent-seeking groups caused a condition in which public subsidies and other forms of transfer overwhelm the windfall revenue hence this higher redistribution lower the effective rate of return to investment and cause the economy growth to deteriorates. </w:t>
      </w:r>
    </w:p>
    <w:p w:rsidR="002506F2" w:rsidRPr="00650D96" w:rsidRDefault="002506F2" w:rsidP="002506F2">
      <w:pPr>
        <w:autoSpaceDE w:val="0"/>
        <w:autoSpaceDN w:val="0"/>
        <w:adjustRightInd w:val="0"/>
        <w:jc w:val="both"/>
        <w:rPr>
          <w:rFonts w:ascii="Garamond" w:hAnsi="Garamond"/>
        </w:rPr>
      </w:pPr>
    </w:p>
    <w:p w:rsidR="002506F2" w:rsidRPr="00650D96" w:rsidRDefault="002506F2" w:rsidP="002506F2">
      <w:pPr>
        <w:autoSpaceDE w:val="0"/>
        <w:autoSpaceDN w:val="0"/>
        <w:adjustRightInd w:val="0"/>
        <w:jc w:val="both"/>
        <w:rPr>
          <w:rFonts w:ascii="Garamond" w:hAnsi="Garamond"/>
        </w:rPr>
      </w:pPr>
      <w:r w:rsidRPr="00650D96">
        <w:rPr>
          <w:rFonts w:ascii="Garamond" w:hAnsi="Garamond"/>
        </w:rPr>
        <w:t xml:space="preserve">Robinson et al </w:t>
      </w:r>
      <w:r w:rsidR="00496FE5" w:rsidRPr="00650D96">
        <w:rPr>
          <w:rFonts w:ascii="Garamond" w:hAnsi="Garamond"/>
        </w:rPr>
        <w:fldChar w:fldCharType="begin"/>
      </w:r>
      <w:r w:rsidRPr="00650D96">
        <w:rPr>
          <w:rFonts w:ascii="Garamond" w:hAnsi="Garamond"/>
        </w:rPr>
        <w:instrText>ADDIN RW.CITE{{195 Robinson,JamesA 2002 /a}}</w:instrText>
      </w:r>
      <w:r w:rsidR="00496FE5" w:rsidRPr="00650D96">
        <w:rPr>
          <w:rFonts w:ascii="Garamond" w:hAnsi="Garamond"/>
        </w:rPr>
        <w:fldChar w:fldCharType="separate"/>
      </w:r>
      <w:r w:rsidRPr="00650D96">
        <w:rPr>
          <w:rFonts w:ascii="Garamond" w:hAnsi="Garamond"/>
        </w:rPr>
        <w:t>(2002)</w:t>
      </w:r>
      <w:r w:rsidR="00496FE5" w:rsidRPr="00650D96">
        <w:rPr>
          <w:rFonts w:ascii="Garamond" w:hAnsi="Garamond"/>
        </w:rPr>
        <w:fldChar w:fldCharType="end"/>
      </w:r>
      <w:r w:rsidRPr="00650D96">
        <w:rPr>
          <w:rFonts w:ascii="Garamond" w:hAnsi="Garamond"/>
        </w:rPr>
        <w:t xml:space="preserve"> argue that with the presence of institutions that promote the accountability and competence of the state will tend to benefit the economy from resource boom and deter the politician incentives. Otherwise, the resource booms will cause the politician to over-extract the natural resources more than the efficient extraction to discount the future hence provide those politicians with resources that give them power to influence the elections’ outcome. Hence, the impact of resource booms on the economy depends heavily on the quality of the institutions. In countries without the accountable and competence institutions may lead to resource curse while in countries with the presence of institutions that limit the ability of politicians to use </w:t>
      </w:r>
      <w:proofErr w:type="spellStart"/>
      <w:r w:rsidRPr="00650D96">
        <w:rPr>
          <w:rFonts w:ascii="Garamond" w:hAnsi="Garamond"/>
        </w:rPr>
        <w:t>clientelism</w:t>
      </w:r>
      <w:proofErr w:type="spellEnd"/>
      <w:r w:rsidRPr="00650D96">
        <w:rPr>
          <w:rFonts w:ascii="Garamond" w:hAnsi="Garamond"/>
        </w:rPr>
        <w:t xml:space="preserve"> to control the elections results, the resource booms tend to enhance the economy growth </w:t>
      </w:r>
      <w:r w:rsidR="00496FE5" w:rsidRPr="00650D96">
        <w:rPr>
          <w:rFonts w:ascii="Garamond" w:hAnsi="Garamond"/>
        </w:rPr>
        <w:fldChar w:fldCharType="begin"/>
      </w:r>
      <w:r w:rsidRPr="00650D96">
        <w:rPr>
          <w:rFonts w:ascii="Garamond" w:hAnsi="Garamond"/>
        </w:rPr>
        <w:instrText>ADDIN RW.CITE{{195 Robinson,JamesA 2002}}</w:instrText>
      </w:r>
      <w:r w:rsidR="00496FE5" w:rsidRPr="00650D96">
        <w:rPr>
          <w:rFonts w:ascii="Garamond" w:hAnsi="Garamond"/>
        </w:rPr>
        <w:fldChar w:fldCharType="separate"/>
      </w:r>
      <w:r w:rsidRPr="00650D96">
        <w:rPr>
          <w:rFonts w:ascii="Garamond" w:hAnsi="Garamond"/>
        </w:rPr>
        <w:t>(Robinson et al. 2002)</w:t>
      </w:r>
      <w:r w:rsidR="00496FE5" w:rsidRPr="00650D96">
        <w:rPr>
          <w:rFonts w:ascii="Garamond" w:hAnsi="Garamond"/>
        </w:rPr>
        <w:fldChar w:fldCharType="end"/>
      </w:r>
      <w:r w:rsidRPr="00650D96">
        <w:rPr>
          <w:rFonts w:ascii="Garamond" w:hAnsi="Garamond"/>
        </w:rPr>
        <w:t xml:space="preserve">. Collier and </w:t>
      </w:r>
      <w:proofErr w:type="spellStart"/>
      <w:r w:rsidRPr="00650D96">
        <w:rPr>
          <w:rFonts w:ascii="Garamond" w:hAnsi="Garamond"/>
        </w:rPr>
        <w:t>Hoeffler</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RW.CITE{{122 Collier,Paul 2004 /a}}</w:instrText>
      </w:r>
      <w:r w:rsidR="00496FE5" w:rsidRPr="00650D96">
        <w:rPr>
          <w:rFonts w:ascii="Garamond" w:hAnsi="Garamond"/>
        </w:rPr>
        <w:fldChar w:fldCharType="separate"/>
      </w:r>
      <w:r w:rsidRPr="00650D96">
        <w:rPr>
          <w:rFonts w:ascii="Garamond" w:hAnsi="Garamond"/>
        </w:rPr>
        <w:t>(2004)</w:t>
      </w:r>
      <w:r w:rsidR="00496FE5" w:rsidRPr="00650D96">
        <w:rPr>
          <w:rFonts w:ascii="Garamond" w:hAnsi="Garamond"/>
        </w:rPr>
        <w:fldChar w:fldCharType="end"/>
      </w:r>
      <w:r w:rsidRPr="00650D96">
        <w:rPr>
          <w:rFonts w:ascii="Garamond" w:hAnsi="Garamond"/>
        </w:rPr>
        <w:t xml:space="preserve"> make an argument that is in line with Robinson et al </w:t>
      </w:r>
      <w:r w:rsidR="00496FE5" w:rsidRPr="00650D96">
        <w:rPr>
          <w:rFonts w:ascii="Garamond" w:hAnsi="Garamond"/>
        </w:rPr>
        <w:fldChar w:fldCharType="begin"/>
      </w:r>
      <w:r w:rsidRPr="00650D96">
        <w:rPr>
          <w:rFonts w:ascii="Garamond" w:hAnsi="Garamond"/>
        </w:rPr>
        <w:instrText>ADDIN RW.CITE{{195 Robinson,JamesA 2002 /a}}</w:instrText>
      </w:r>
      <w:r w:rsidR="00496FE5" w:rsidRPr="00650D96">
        <w:rPr>
          <w:rFonts w:ascii="Garamond" w:hAnsi="Garamond"/>
        </w:rPr>
        <w:fldChar w:fldCharType="separate"/>
      </w:r>
      <w:r w:rsidRPr="00650D96">
        <w:rPr>
          <w:rFonts w:ascii="Garamond" w:hAnsi="Garamond"/>
        </w:rPr>
        <w:t>(2002)</w:t>
      </w:r>
      <w:r w:rsidR="00496FE5" w:rsidRPr="00650D96">
        <w:rPr>
          <w:rFonts w:ascii="Garamond" w:hAnsi="Garamond"/>
        </w:rPr>
        <w:fldChar w:fldCharType="end"/>
      </w:r>
      <w:r w:rsidRPr="00650D96">
        <w:rPr>
          <w:rFonts w:ascii="Garamond" w:hAnsi="Garamond"/>
        </w:rPr>
        <w:t xml:space="preserve"> where the absence of the institutions will cause the politicians to stay in power by using the over-extracted natural resources earnings hence it causes the citizen to have inequality in political rights and economic inequality which later translates into conflict and civil war and some opposition politicians use the primary commodity revenue to finance the conflict and the other argument is rent-seeking where government tempted to offer tariff protection to domestic producers which later breed corruption </w:t>
      </w:r>
      <w:r w:rsidR="00496FE5" w:rsidRPr="00650D96">
        <w:rPr>
          <w:rFonts w:ascii="Garamond" w:hAnsi="Garamond"/>
        </w:rPr>
        <w:fldChar w:fldCharType="begin"/>
      </w:r>
      <w:r w:rsidRPr="00650D96">
        <w:rPr>
          <w:rFonts w:ascii="Garamond" w:hAnsi="Garamond"/>
        </w:rPr>
        <w:instrText>ADDIN RW.CITE{{156 Gylfason,Thorvaldur 2001; 165 Krueger,AnneO. 1974}}</w:instrText>
      </w:r>
      <w:r w:rsidR="00496FE5" w:rsidRPr="00650D96">
        <w:rPr>
          <w:rFonts w:ascii="Garamond" w:hAnsi="Garamond"/>
        </w:rPr>
        <w:fldChar w:fldCharType="separate"/>
      </w:r>
      <w:r w:rsidRPr="00650D96">
        <w:rPr>
          <w:rFonts w:ascii="Garamond" w:hAnsi="Garamond"/>
        </w:rPr>
        <w:t>(Gylfason 2001, Krueger 1974)</w:t>
      </w:r>
      <w:r w:rsidR="00496FE5" w:rsidRPr="00650D96">
        <w:rPr>
          <w:rFonts w:ascii="Garamond" w:hAnsi="Garamond"/>
        </w:rPr>
        <w:fldChar w:fldCharType="end"/>
      </w:r>
      <w:r w:rsidRPr="00650D96">
        <w:rPr>
          <w:rFonts w:ascii="Garamond" w:hAnsi="Garamond"/>
        </w:rPr>
        <w:t>.</w:t>
      </w:r>
    </w:p>
    <w:p w:rsidR="002506F2" w:rsidRPr="00650D96" w:rsidRDefault="002506F2" w:rsidP="002506F2">
      <w:pPr>
        <w:jc w:val="both"/>
        <w:rPr>
          <w:rFonts w:ascii="Garamond" w:hAnsi="Garamond"/>
        </w:rPr>
      </w:pPr>
    </w:p>
    <w:p w:rsidR="002506F2" w:rsidRPr="00650D96" w:rsidRDefault="002506F2" w:rsidP="002506F2">
      <w:pPr>
        <w:jc w:val="both"/>
        <w:rPr>
          <w:rFonts w:ascii="Garamond" w:hAnsi="Garamond"/>
        </w:rPr>
      </w:pPr>
      <w:r w:rsidRPr="00650D96">
        <w:rPr>
          <w:rFonts w:ascii="Garamond" w:hAnsi="Garamond"/>
        </w:rPr>
        <w:t xml:space="preserve">In sum, the theories brought by both </w:t>
      </w:r>
      <w:proofErr w:type="spellStart"/>
      <w:r w:rsidRPr="00650D96">
        <w:rPr>
          <w:rFonts w:ascii="Garamond" w:hAnsi="Garamond"/>
        </w:rPr>
        <w:t>struturalists</w:t>
      </w:r>
      <w:proofErr w:type="spellEnd"/>
      <w:r w:rsidRPr="00650D96">
        <w:rPr>
          <w:rFonts w:ascii="Garamond" w:hAnsi="Garamond"/>
        </w:rPr>
        <w:t xml:space="preserve"> and new institutions quite different regarding the benefit and cost of commodity dependency or dependency on natural resources for economic growth. </w:t>
      </w:r>
      <w:proofErr w:type="spellStart"/>
      <w:r w:rsidRPr="00650D96">
        <w:rPr>
          <w:rFonts w:ascii="Garamond" w:hAnsi="Garamond"/>
        </w:rPr>
        <w:t>Structuralists</w:t>
      </w:r>
      <w:proofErr w:type="spellEnd"/>
      <w:r w:rsidRPr="00650D96">
        <w:rPr>
          <w:rFonts w:ascii="Garamond" w:hAnsi="Garamond"/>
        </w:rPr>
        <w:t xml:space="preserve"> in on one hand focus on the long run declining global commodity prices, currency real </w:t>
      </w:r>
      <w:r w:rsidRPr="00650D96">
        <w:rPr>
          <w:rFonts w:ascii="Garamond" w:hAnsi="Garamond"/>
        </w:rPr>
        <w:lastRenderedPageBreak/>
        <w:t>appreciation and resource movement to the booming sector while new institutions economists partly opposing the dependency on commodity for economic growth which they argue that the absence of good institutions and good governance that cause the curse of natural resources but with the presence of good institutions to manage the use of the windfall revenue and the extraction of the natural resources, the resource curse could be avoided. Hence, with the presence of good institutions, natural resources could enhance economic growth (i.e. Botswana and Norway).</w:t>
      </w:r>
    </w:p>
    <w:p w:rsidR="002506F2" w:rsidRPr="002178FB" w:rsidRDefault="002506F2" w:rsidP="002506F2">
      <w:pPr>
        <w:pStyle w:val="Heading3"/>
        <w:rPr>
          <w:rFonts w:ascii="Garamond" w:hAnsi="Garamond"/>
          <w:color w:val="auto"/>
          <w:sz w:val="26"/>
          <w:szCs w:val="26"/>
        </w:rPr>
      </w:pPr>
      <w:bookmarkStart w:id="29" w:name="_Toc343007184"/>
      <w:r w:rsidRPr="002178FB">
        <w:rPr>
          <w:rFonts w:ascii="Garamond" w:hAnsi="Garamond"/>
          <w:color w:val="auto"/>
          <w:sz w:val="26"/>
          <w:szCs w:val="26"/>
        </w:rPr>
        <w:t>2.2.3 Criticism</w:t>
      </w:r>
      <w:bookmarkEnd w:id="29"/>
      <w:r w:rsidRPr="002178FB">
        <w:rPr>
          <w:rFonts w:ascii="Garamond" w:hAnsi="Garamond"/>
          <w:color w:val="auto"/>
          <w:sz w:val="26"/>
          <w:szCs w:val="26"/>
        </w:rPr>
        <w:t xml:space="preserve">  </w:t>
      </w:r>
    </w:p>
    <w:p w:rsidR="002506F2" w:rsidRPr="00650D96" w:rsidRDefault="002506F2" w:rsidP="002506F2">
      <w:pPr>
        <w:jc w:val="both"/>
        <w:rPr>
          <w:rFonts w:ascii="Garamond" w:hAnsi="Garamond"/>
        </w:rPr>
      </w:pPr>
      <w:r w:rsidRPr="00650D96">
        <w:rPr>
          <w:rFonts w:ascii="Garamond" w:hAnsi="Garamond"/>
        </w:rPr>
        <w:t xml:space="preserve">The dependency on commodity can’t be generalized to have negative impact on all economies. This section will criticize on those arguments put forth by both </w:t>
      </w:r>
      <w:proofErr w:type="spellStart"/>
      <w:r w:rsidRPr="00650D96">
        <w:rPr>
          <w:rFonts w:ascii="Garamond" w:hAnsi="Garamond"/>
        </w:rPr>
        <w:t>structuralist</w:t>
      </w:r>
      <w:proofErr w:type="spellEnd"/>
      <w:r w:rsidRPr="00650D96">
        <w:rPr>
          <w:rFonts w:ascii="Garamond" w:hAnsi="Garamond"/>
        </w:rPr>
        <w:t xml:space="preserve"> and new institutions economist. The </w:t>
      </w:r>
      <w:proofErr w:type="spellStart"/>
      <w:r w:rsidRPr="00650D96">
        <w:rPr>
          <w:rFonts w:ascii="Garamond" w:hAnsi="Garamond"/>
        </w:rPr>
        <w:t>structuralist</w:t>
      </w:r>
      <w:proofErr w:type="spellEnd"/>
      <w:r w:rsidRPr="00650D96">
        <w:rPr>
          <w:rFonts w:ascii="Garamond" w:hAnsi="Garamond"/>
        </w:rPr>
        <w:t xml:space="preserve"> criticism brought by </w:t>
      </w:r>
      <w:proofErr w:type="spellStart"/>
      <w:r w:rsidRPr="00650D96">
        <w:rPr>
          <w:rFonts w:ascii="Garamond" w:hAnsi="Garamond"/>
        </w:rPr>
        <w:t>Fardmanesh</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RW.CITE{{196 Fardmanesh,Mohsen 1991 /a}}</w:instrText>
      </w:r>
      <w:r w:rsidR="00496FE5" w:rsidRPr="00650D96">
        <w:rPr>
          <w:rFonts w:ascii="Garamond" w:hAnsi="Garamond"/>
        </w:rPr>
        <w:fldChar w:fldCharType="separate"/>
      </w:r>
      <w:r w:rsidRPr="00650D96">
        <w:rPr>
          <w:rFonts w:ascii="Garamond" w:hAnsi="Garamond"/>
        </w:rPr>
        <w:t>(1991)</w:t>
      </w:r>
      <w:r w:rsidR="00496FE5" w:rsidRPr="00650D96">
        <w:rPr>
          <w:rFonts w:ascii="Garamond" w:hAnsi="Garamond"/>
        </w:rPr>
        <w:fldChar w:fldCharType="end"/>
      </w:r>
      <w:r w:rsidRPr="00650D96">
        <w:rPr>
          <w:rFonts w:ascii="Garamond" w:hAnsi="Garamond"/>
        </w:rPr>
        <w:t xml:space="preserve">, </w:t>
      </w:r>
      <w:proofErr w:type="spellStart"/>
      <w:r w:rsidRPr="00650D96">
        <w:rPr>
          <w:rFonts w:ascii="Garamond" w:hAnsi="Garamond"/>
        </w:rPr>
        <w:t>Mickesell</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RW.CITE{{197 Mikesell,RaymondF. 1997 /a}}</w:instrText>
      </w:r>
      <w:r w:rsidR="00496FE5" w:rsidRPr="00650D96">
        <w:rPr>
          <w:rFonts w:ascii="Garamond" w:hAnsi="Garamond"/>
        </w:rPr>
        <w:fldChar w:fldCharType="separate"/>
      </w:r>
      <w:r w:rsidRPr="00650D96">
        <w:rPr>
          <w:rFonts w:ascii="Garamond" w:hAnsi="Garamond"/>
        </w:rPr>
        <w:t>(1997)</w:t>
      </w:r>
      <w:r w:rsidR="00496FE5" w:rsidRPr="00650D96">
        <w:rPr>
          <w:rFonts w:ascii="Garamond" w:hAnsi="Garamond"/>
        </w:rPr>
        <w:fldChar w:fldCharType="end"/>
      </w:r>
      <w:r w:rsidRPr="00650D96">
        <w:rPr>
          <w:rFonts w:ascii="Garamond" w:hAnsi="Garamond"/>
        </w:rPr>
        <w:t xml:space="preserve">, Stevens </w:t>
      </w:r>
      <w:r w:rsidR="00496FE5" w:rsidRPr="00650D96">
        <w:rPr>
          <w:rFonts w:ascii="Garamond" w:hAnsi="Garamond"/>
        </w:rPr>
        <w:fldChar w:fldCharType="begin"/>
      </w:r>
      <w:r w:rsidRPr="00650D96">
        <w:rPr>
          <w:rFonts w:ascii="Garamond" w:hAnsi="Garamond"/>
        </w:rPr>
        <w:instrText>ADDIN RW.CITE{{199 Stevens,Paul 2003 /a}}</w:instrText>
      </w:r>
      <w:r w:rsidR="00496FE5" w:rsidRPr="00650D96">
        <w:rPr>
          <w:rFonts w:ascii="Garamond" w:hAnsi="Garamond"/>
        </w:rPr>
        <w:fldChar w:fldCharType="separate"/>
      </w:r>
      <w:r w:rsidRPr="00650D96">
        <w:rPr>
          <w:rFonts w:ascii="Garamond" w:hAnsi="Garamond"/>
        </w:rPr>
        <w:t>(2003)</w:t>
      </w:r>
      <w:r w:rsidR="00496FE5" w:rsidRPr="00650D96">
        <w:rPr>
          <w:rFonts w:ascii="Garamond" w:hAnsi="Garamond"/>
        </w:rPr>
        <w:fldChar w:fldCharType="end"/>
      </w:r>
      <w:r w:rsidRPr="00650D96">
        <w:rPr>
          <w:rFonts w:ascii="Garamond" w:hAnsi="Garamond"/>
        </w:rPr>
        <w:t xml:space="preserve"> on Dutch disease and </w:t>
      </w:r>
      <w:proofErr w:type="spellStart"/>
      <w:r w:rsidRPr="00650D96">
        <w:rPr>
          <w:rFonts w:ascii="Garamond" w:hAnsi="Garamond"/>
        </w:rPr>
        <w:t>Bleaney</w:t>
      </w:r>
      <w:proofErr w:type="spellEnd"/>
      <w:r w:rsidRPr="00650D96">
        <w:rPr>
          <w:rFonts w:ascii="Garamond" w:hAnsi="Garamond"/>
        </w:rPr>
        <w:t xml:space="preserve"> and Greenaway </w:t>
      </w:r>
      <w:r w:rsidR="00496FE5" w:rsidRPr="00650D96">
        <w:rPr>
          <w:rFonts w:ascii="Garamond" w:hAnsi="Garamond"/>
        </w:rPr>
        <w:fldChar w:fldCharType="begin"/>
      </w:r>
      <w:r w:rsidRPr="00650D96">
        <w:rPr>
          <w:rFonts w:ascii="Garamond" w:hAnsi="Garamond"/>
        </w:rPr>
        <w:instrText>ADDIN RW.CITE{{198 Bleaney,Michael 1993 /a}}</w:instrText>
      </w:r>
      <w:r w:rsidR="00496FE5" w:rsidRPr="00650D96">
        <w:rPr>
          <w:rFonts w:ascii="Garamond" w:hAnsi="Garamond"/>
        </w:rPr>
        <w:fldChar w:fldCharType="separate"/>
      </w:r>
      <w:r w:rsidRPr="00650D96">
        <w:rPr>
          <w:rFonts w:ascii="Garamond" w:hAnsi="Garamond"/>
        </w:rPr>
        <w:t>(1993)</w:t>
      </w:r>
      <w:r w:rsidR="00496FE5" w:rsidRPr="00650D96">
        <w:rPr>
          <w:rFonts w:ascii="Garamond" w:hAnsi="Garamond"/>
        </w:rPr>
        <w:fldChar w:fldCharType="end"/>
      </w:r>
      <w:r w:rsidRPr="00650D96">
        <w:rPr>
          <w:rFonts w:ascii="Garamond" w:hAnsi="Garamond"/>
        </w:rPr>
        <w:t xml:space="preserve"> on long term deterioration of terms of trade. While the new institutions criticism brought by Stevens </w:t>
      </w:r>
      <w:r w:rsidR="00496FE5" w:rsidRPr="00650D96">
        <w:rPr>
          <w:rFonts w:ascii="Garamond" w:hAnsi="Garamond"/>
        </w:rPr>
        <w:fldChar w:fldCharType="begin"/>
      </w:r>
      <w:r w:rsidRPr="00650D96">
        <w:rPr>
          <w:rFonts w:ascii="Garamond" w:hAnsi="Garamond"/>
        </w:rPr>
        <w:instrText>ADDIN RW.CITE{{199 Stevens,Paul 2003 /a}}</w:instrText>
      </w:r>
      <w:r w:rsidR="00496FE5" w:rsidRPr="00650D96">
        <w:rPr>
          <w:rFonts w:ascii="Garamond" w:hAnsi="Garamond"/>
        </w:rPr>
        <w:fldChar w:fldCharType="separate"/>
      </w:r>
      <w:r w:rsidRPr="00650D96">
        <w:rPr>
          <w:rFonts w:ascii="Garamond" w:hAnsi="Garamond"/>
        </w:rPr>
        <w:t>(2003)</w:t>
      </w:r>
      <w:r w:rsidR="00496FE5" w:rsidRPr="00650D96">
        <w:rPr>
          <w:rFonts w:ascii="Garamond" w:hAnsi="Garamond"/>
        </w:rPr>
        <w:fldChar w:fldCharType="end"/>
      </w:r>
    </w:p>
    <w:p w:rsidR="002506F2" w:rsidRPr="00650D96" w:rsidRDefault="002506F2" w:rsidP="002506F2">
      <w:pPr>
        <w:jc w:val="both"/>
        <w:rPr>
          <w:rFonts w:ascii="Garamond" w:hAnsi="Garamond"/>
        </w:rPr>
      </w:pPr>
    </w:p>
    <w:p w:rsidR="002506F2" w:rsidRPr="00650D96" w:rsidRDefault="002506F2" w:rsidP="002506F2">
      <w:pPr>
        <w:jc w:val="both"/>
        <w:rPr>
          <w:rFonts w:ascii="Garamond" w:hAnsi="Garamond"/>
        </w:rPr>
      </w:pPr>
      <w:r w:rsidRPr="00650D96">
        <w:rPr>
          <w:rFonts w:ascii="Garamond" w:hAnsi="Garamond"/>
        </w:rPr>
        <w:t xml:space="preserve">The Dutch disease that bring forth by the </w:t>
      </w:r>
      <w:proofErr w:type="spellStart"/>
      <w:r w:rsidRPr="00650D96">
        <w:rPr>
          <w:rFonts w:ascii="Garamond" w:hAnsi="Garamond"/>
        </w:rPr>
        <w:t>structuralist</w:t>
      </w:r>
      <w:proofErr w:type="spellEnd"/>
      <w:r w:rsidRPr="00650D96">
        <w:rPr>
          <w:rFonts w:ascii="Garamond" w:hAnsi="Garamond"/>
        </w:rPr>
        <w:t xml:space="preserve"> hamper the economic growth channels through resource movement to booming sector that cause underdevelopment of manufacture sector and real currency appreciation. Criticism on the Dutch disease brought by </w:t>
      </w:r>
      <w:proofErr w:type="spellStart"/>
      <w:r w:rsidRPr="00650D96">
        <w:rPr>
          <w:rFonts w:ascii="Garamond" w:hAnsi="Garamond"/>
        </w:rPr>
        <w:t>Fardmanesh</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RW.CITE{{196 Fardmanesh,Mohsen 1991 /a}}</w:instrText>
      </w:r>
      <w:r w:rsidR="00496FE5" w:rsidRPr="00650D96">
        <w:rPr>
          <w:rFonts w:ascii="Garamond" w:hAnsi="Garamond"/>
        </w:rPr>
        <w:fldChar w:fldCharType="separate"/>
      </w:r>
      <w:r w:rsidRPr="00650D96">
        <w:rPr>
          <w:rFonts w:ascii="Garamond" w:hAnsi="Garamond"/>
        </w:rPr>
        <w:t>(1991)</w:t>
      </w:r>
      <w:r w:rsidR="00496FE5" w:rsidRPr="00650D96">
        <w:rPr>
          <w:rFonts w:ascii="Garamond" w:hAnsi="Garamond"/>
        </w:rPr>
        <w:fldChar w:fldCharType="end"/>
      </w:r>
      <w:r w:rsidRPr="00650D96">
        <w:rPr>
          <w:rFonts w:ascii="Garamond" w:hAnsi="Garamond"/>
        </w:rPr>
        <w:t xml:space="preserve"> where the empirical evidence shows that the oil booms in 1970s expands the manufacture sector in oil exporting countries such as Algeria, Indonesia, Ecuador, Nigeria and Venezuela. Another feature of Dutch disease is the relatively permanent overvaluation of the exchange rate in resource abundant countries </w:t>
      </w:r>
      <w:r w:rsidR="00496FE5" w:rsidRPr="00650D96">
        <w:rPr>
          <w:rFonts w:ascii="Garamond" w:hAnsi="Garamond"/>
        </w:rPr>
        <w:fldChar w:fldCharType="begin"/>
      </w:r>
      <w:r w:rsidRPr="00650D96">
        <w:rPr>
          <w:rFonts w:ascii="Garamond" w:hAnsi="Garamond"/>
        </w:rPr>
        <w:instrText>ADDIN RW.CITE{{194 Bresser-Pereira,LuizCarlos 2008}}</w:instrText>
      </w:r>
      <w:r w:rsidR="00496FE5" w:rsidRPr="00650D96">
        <w:rPr>
          <w:rFonts w:ascii="Garamond" w:hAnsi="Garamond"/>
        </w:rPr>
        <w:fldChar w:fldCharType="separate"/>
      </w:r>
      <w:r w:rsidRPr="00650D96">
        <w:rPr>
          <w:rFonts w:ascii="Garamond" w:hAnsi="Garamond"/>
        </w:rPr>
        <w:t>(</w:t>
      </w:r>
      <w:proofErr w:type="spellStart"/>
      <w:r w:rsidRPr="00650D96">
        <w:rPr>
          <w:rFonts w:ascii="Garamond" w:hAnsi="Garamond"/>
        </w:rPr>
        <w:t>Bresser</w:t>
      </w:r>
      <w:proofErr w:type="spellEnd"/>
      <w:r w:rsidRPr="00650D96">
        <w:rPr>
          <w:rFonts w:ascii="Garamond" w:hAnsi="Garamond"/>
        </w:rPr>
        <w:t>-Pereira 2008)</w:t>
      </w:r>
      <w:r w:rsidR="00496FE5" w:rsidRPr="00650D96">
        <w:rPr>
          <w:rFonts w:ascii="Garamond" w:hAnsi="Garamond"/>
        </w:rPr>
        <w:fldChar w:fldCharType="end"/>
      </w:r>
      <w:r w:rsidRPr="00650D96">
        <w:rPr>
          <w:rFonts w:ascii="Garamond" w:hAnsi="Garamond"/>
        </w:rPr>
        <w:t xml:space="preserve"> while </w:t>
      </w:r>
      <w:proofErr w:type="spellStart"/>
      <w:r w:rsidRPr="00650D96">
        <w:rPr>
          <w:rFonts w:ascii="Garamond" w:hAnsi="Garamond"/>
        </w:rPr>
        <w:t>Mickesell</w:t>
      </w:r>
      <w:proofErr w:type="spellEnd"/>
      <w:r w:rsidRPr="00650D96">
        <w:rPr>
          <w:rFonts w:ascii="Garamond" w:hAnsi="Garamond"/>
        </w:rPr>
        <w:t xml:space="preserve"> </w:t>
      </w:r>
      <w:r w:rsidR="00496FE5" w:rsidRPr="00650D96">
        <w:rPr>
          <w:rFonts w:ascii="Garamond" w:hAnsi="Garamond"/>
        </w:rPr>
        <w:fldChar w:fldCharType="begin"/>
      </w:r>
      <w:r w:rsidRPr="00650D96">
        <w:rPr>
          <w:rFonts w:ascii="Garamond" w:hAnsi="Garamond"/>
        </w:rPr>
        <w:instrText>ADDIN RW.CITE{{197 Mikesell,RaymondF. 1997 /a}}</w:instrText>
      </w:r>
      <w:r w:rsidR="00496FE5" w:rsidRPr="00650D96">
        <w:rPr>
          <w:rFonts w:ascii="Garamond" w:hAnsi="Garamond"/>
        </w:rPr>
        <w:fldChar w:fldCharType="separate"/>
      </w:r>
      <w:r w:rsidRPr="00650D96">
        <w:rPr>
          <w:rFonts w:ascii="Garamond" w:hAnsi="Garamond"/>
        </w:rPr>
        <w:t>(1997)</w:t>
      </w:r>
      <w:r w:rsidR="00496FE5" w:rsidRPr="00650D96">
        <w:rPr>
          <w:rFonts w:ascii="Garamond" w:hAnsi="Garamond"/>
        </w:rPr>
        <w:fldChar w:fldCharType="end"/>
      </w:r>
      <w:r w:rsidRPr="00650D96">
        <w:rPr>
          <w:rFonts w:ascii="Garamond" w:hAnsi="Garamond"/>
        </w:rPr>
        <w:t xml:space="preserve"> found that resource abundant country such as Indonesia devalued its currency substantially when there was a windfall revenue from the oil booms which means there was no strong evidence of </w:t>
      </w:r>
      <w:proofErr w:type="spellStart"/>
      <w:r w:rsidRPr="00650D96">
        <w:rPr>
          <w:rFonts w:ascii="Garamond" w:hAnsi="Garamond"/>
        </w:rPr>
        <w:t>Ducth</w:t>
      </w:r>
      <w:proofErr w:type="spellEnd"/>
      <w:r w:rsidRPr="00650D96">
        <w:rPr>
          <w:rFonts w:ascii="Garamond" w:hAnsi="Garamond"/>
        </w:rPr>
        <w:t xml:space="preserve"> disease hence he conclude that there is no strong evidence that explain resource curse cause by mineral exports but it is more about the incorrect government policies or exogenous conditions and also found. Moreover, Stevens (2003) says that Dutch disease in economies in transition tend to be too theoretical with the analysis using econometric models rather than empirical evidence. While </w:t>
      </w:r>
      <w:proofErr w:type="spellStart"/>
      <w:r w:rsidRPr="00650D96">
        <w:rPr>
          <w:rFonts w:ascii="Garamond" w:eastAsiaTheme="minorHAnsi" w:hAnsi="Garamond"/>
        </w:rPr>
        <w:t>Bleaney</w:t>
      </w:r>
      <w:proofErr w:type="spellEnd"/>
      <w:r w:rsidRPr="00650D96">
        <w:rPr>
          <w:rFonts w:ascii="Garamond" w:eastAsiaTheme="minorHAnsi" w:hAnsi="Garamond"/>
        </w:rPr>
        <w:t xml:space="preserve"> and Greenaway (1993) criticize on the long term deterioration of terms of trade where they argue that different commodity may have different impact hence it cast a doubt on any conclusions that state dependency on commodity exports cause long term deterioration terms of trade because most resource abundant countries does not solely dependent on single commodity but several hence they advise that the deterioration could happen on certain commodity instead of generalize on all commodities.</w:t>
      </w:r>
    </w:p>
    <w:p w:rsidR="002506F2" w:rsidRPr="00650D96" w:rsidRDefault="002506F2" w:rsidP="002506F2">
      <w:pPr>
        <w:jc w:val="both"/>
        <w:rPr>
          <w:rFonts w:ascii="Garamond" w:hAnsi="Garamond"/>
        </w:rPr>
      </w:pPr>
    </w:p>
    <w:p w:rsidR="002506F2" w:rsidRPr="00650D96" w:rsidRDefault="002506F2" w:rsidP="002506F2">
      <w:pPr>
        <w:jc w:val="both"/>
        <w:rPr>
          <w:rFonts w:ascii="Garamond" w:hAnsi="Garamond"/>
        </w:rPr>
      </w:pPr>
      <w:r w:rsidRPr="00650D96">
        <w:rPr>
          <w:rFonts w:ascii="Garamond" w:hAnsi="Garamond"/>
        </w:rPr>
        <w:t xml:space="preserve">The new institutions propose that without the presence of good institutions and governance which is essential for resource abundant countries would hamper economic growth which channels through corruption, rent seeking behavior and over extraction. This negative impact completely questioned by Stevens </w:t>
      </w:r>
      <w:r w:rsidR="00496FE5" w:rsidRPr="00650D96">
        <w:rPr>
          <w:rFonts w:ascii="Garamond" w:hAnsi="Garamond"/>
        </w:rPr>
        <w:fldChar w:fldCharType="begin"/>
      </w:r>
      <w:r w:rsidRPr="00650D96">
        <w:rPr>
          <w:rFonts w:ascii="Garamond" w:hAnsi="Garamond"/>
        </w:rPr>
        <w:instrText>ADDIN RW.CITE{{199 Stevens,Paul 2003 /a}}</w:instrText>
      </w:r>
      <w:r w:rsidR="00496FE5" w:rsidRPr="00650D96">
        <w:rPr>
          <w:rFonts w:ascii="Garamond" w:hAnsi="Garamond"/>
        </w:rPr>
        <w:fldChar w:fldCharType="separate"/>
      </w:r>
      <w:r w:rsidRPr="00650D96">
        <w:rPr>
          <w:rFonts w:ascii="Garamond" w:hAnsi="Garamond"/>
        </w:rPr>
        <w:t>(2003)</w:t>
      </w:r>
      <w:r w:rsidR="00496FE5" w:rsidRPr="00650D96">
        <w:rPr>
          <w:rFonts w:ascii="Garamond" w:hAnsi="Garamond"/>
        </w:rPr>
        <w:fldChar w:fldCharType="end"/>
      </w:r>
      <w:r w:rsidRPr="00650D96">
        <w:rPr>
          <w:rFonts w:ascii="Garamond" w:hAnsi="Garamond"/>
        </w:rPr>
        <w:t>. The argument by new institutions is that government in resource abundant countries should intervene in the economy while good governance which to be believed as what the Washington consensus suggest the otherwise. Hence, the good governance here is not what describes in the Washington consensus but it is about good decision making by the government on natural resources</w:t>
      </w:r>
      <w:r>
        <w:rPr>
          <w:rFonts w:ascii="Garamond" w:hAnsi="Garamond"/>
        </w:rPr>
        <w:t xml:space="preserve"> windfall revenue management</w:t>
      </w:r>
      <w:r w:rsidRPr="00650D96">
        <w:rPr>
          <w:rFonts w:ascii="Garamond" w:hAnsi="Garamond"/>
        </w:rPr>
        <w:t xml:space="preserve"> where the </w:t>
      </w:r>
      <w:r w:rsidRPr="00650D96">
        <w:rPr>
          <w:rFonts w:ascii="Garamond" w:hAnsi="Garamond"/>
        </w:rPr>
        <w:lastRenderedPageBreak/>
        <w:t xml:space="preserve">macro policy failure </w:t>
      </w:r>
      <w:r>
        <w:rPr>
          <w:rFonts w:ascii="Garamond" w:hAnsi="Garamond"/>
        </w:rPr>
        <w:t xml:space="preserve">could </w:t>
      </w:r>
      <w:r w:rsidRPr="00650D96">
        <w:rPr>
          <w:rFonts w:ascii="Garamond" w:hAnsi="Garamond"/>
        </w:rPr>
        <w:t xml:space="preserve">damage the micro policy in the business level </w:t>
      </w:r>
      <w:r w:rsidR="00496FE5" w:rsidRPr="00650D96">
        <w:rPr>
          <w:rFonts w:ascii="Garamond" w:hAnsi="Garamond"/>
        </w:rPr>
        <w:fldChar w:fldCharType="begin"/>
      </w:r>
      <w:r w:rsidRPr="00650D96">
        <w:rPr>
          <w:rFonts w:ascii="Garamond" w:hAnsi="Garamond"/>
        </w:rPr>
        <w:instrText>ADDIN RW.CITE{{200 Auty,RichardM 2003}}</w:instrText>
      </w:r>
      <w:r w:rsidR="00496FE5" w:rsidRPr="00650D96">
        <w:rPr>
          <w:rFonts w:ascii="Garamond" w:hAnsi="Garamond"/>
        </w:rPr>
        <w:fldChar w:fldCharType="separate"/>
      </w:r>
      <w:r w:rsidRPr="00650D96">
        <w:rPr>
          <w:rFonts w:ascii="Garamond" w:hAnsi="Garamond"/>
        </w:rPr>
        <w:t>(Auty 2003)</w:t>
      </w:r>
      <w:r w:rsidR="00496FE5" w:rsidRPr="00650D96">
        <w:rPr>
          <w:rFonts w:ascii="Garamond" w:hAnsi="Garamond"/>
        </w:rPr>
        <w:fldChar w:fldCharType="end"/>
      </w:r>
      <w:r w:rsidRPr="00650D96">
        <w:rPr>
          <w:rFonts w:ascii="Garamond" w:hAnsi="Garamond"/>
        </w:rPr>
        <w:t xml:space="preserve">. The corruption and rent seeking that occur might have different impact on each </w:t>
      </w:r>
      <w:proofErr w:type="gramStart"/>
      <w:r w:rsidRPr="00650D96">
        <w:rPr>
          <w:rFonts w:ascii="Garamond" w:hAnsi="Garamond"/>
        </w:rPr>
        <w:t>economies</w:t>
      </w:r>
      <w:proofErr w:type="gramEnd"/>
      <w:r w:rsidRPr="00650D96">
        <w:rPr>
          <w:rFonts w:ascii="Garamond" w:hAnsi="Garamond"/>
        </w:rPr>
        <w:t xml:space="preserve"> where it depends on where they allocate those rewards from their actions. It might enhance economic performance if they invest it in productive sector while it might says differently if they use it for consumption activity or another corruptive activity </w:t>
      </w:r>
      <w:r w:rsidR="00496FE5" w:rsidRPr="00650D96">
        <w:rPr>
          <w:rFonts w:ascii="Garamond" w:hAnsi="Garamond"/>
        </w:rPr>
        <w:fldChar w:fldCharType="begin"/>
      </w:r>
      <w:r w:rsidRPr="00650D96">
        <w:rPr>
          <w:rFonts w:ascii="Garamond" w:hAnsi="Garamond"/>
        </w:rPr>
        <w:instrText>ADDIN RW.CITE{{199 Stevens,Paul 2003}}</w:instrText>
      </w:r>
      <w:r w:rsidR="00496FE5" w:rsidRPr="00650D96">
        <w:rPr>
          <w:rFonts w:ascii="Garamond" w:hAnsi="Garamond"/>
        </w:rPr>
        <w:fldChar w:fldCharType="separate"/>
      </w:r>
      <w:r w:rsidRPr="00650D96">
        <w:rPr>
          <w:rFonts w:ascii="Garamond" w:hAnsi="Garamond"/>
        </w:rPr>
        <w:t>(Stevens 2003)</w:t>
      </w:r>
      <w:r w:rsidR="00496FE5" w:rsidRPr="00650D96">
        <w:rPr>
          <w:rFonts w:ascii="Garamond" w:hAnsi="Garamond"/>
        </w:rPr>
        <w:fldChar w:fldCharType="end"/>
      </w:r>
      <w:r w:rsidRPr="00650D96">
        <w:rPr>
          <w:rFonts w:ascii="Garamond" w:hAnsi="Garamond"/>
        </w:rPr>
        <w:t xml:space="preserve">. Hence, the point of the criticism is the management of the windfall revenue from the commodity sector and sound macroeconomic policy that might limit the mismanagement not merely the presence of good institutions and governance that obliterate the corruptive activity. </w:t>
      </w:r>
    </w:p>
    <w:p w:rsidR="002506F2" w:rsidRPr="00650D96" w:rsidRDefault="002506F2" w:rsidP="002506F2">
      <w:pPr>
        <w:jc w:val="both"/>
        <w:rPr>
          <w:rFonts w:ascii="Garamond" w:hAnsi="Garamond"/>
        </w:rPr>
      </w:pPr>
    </w:p>
    <w:p w:rsidR="002506F2" w:rsidRPr="00650D96" w:rsidRDefault="002506F2" w:rsidP="002506F2">
      <w:pPr>
        <w:jc w:val="both"/>
        <w:rPr>
          <w:rFonts w:ascii="Garamond" w:hAnsi="Garamond"/>
        </w:rPr>
      </w:pPr>
      <w:r w:rsidRPr="00650D96">
        <w:rPr>
          <w:rFonts w:ascii="Garamond" w:hAnsi="Garamond"/>
        </w:rPr>
        <w:t xml:space="preserve">On the other side, mainstream economists advocate the reliance on natural resources where they argue that exports of primary commodity is the only way for countries in the early stage of development to generate foreign exchange that is needed to pay for imports and service external debt </w:t>
      </w:r>
      <w:r w:rsidR="00496FE5" w:rsidRPr="00650D96">
        <w:rPr>
          <w:rFonts w:ascii="Garamond" w:hAnsi="Garamond"/>
        </w:rPr>
        <w:fldChar w:fldCharType="begin"/>
      </w:r>
      <w:r w:rsidRPr="00650D96">
        <w:rPr>
          <w:rFonts w:ascii="Garamond" w:hAnsi="Garamond"/>
        </w:rPr>
        <w:instrText>ADDIN RW.CITE{{116 Auty,R.M. 2001}}</w:instrText>
      </w:r>
      <w:r w:rsidR="00496FE5" w:rsidRPr="00650D96">
        <w:rPr>
          <w:rFonts w:ascii="Garamond" w:hAnsi="Garamond"/>
        </w:rPr>
        <w:fldChar w:fldCharType="separate"/>
      </w:r>
      <w:r w:rsidRPr="00650D96">
        <w:rPr>
          <w:rFonts w:ascii="Garamond" w:hAnsi="Garamond"/>
        </w:rPr>
        <w:t>(Auty 2001)</w:t>
      </w:r>
      <w:r w:rsidR="00496FE5" w:rsidRPr="00650D96">
        <w:rPr>
          <w:rFonts w:ascii="Garamond" w:hAnsi="Garamond"/>
        </w:rPr>
        <w:fldChar w:fldCharType="end"/>
      </w:r>
      <w:r>
        <w:rPr>
          <w:rFonts w:ascii="Garamond" w:hAnsi="Garamond"/>
        </w:rPr>
        <w:t xml:space="preserve"> </w:t>
      </w:r>
      <w:r w:rsidRPr="00650D96">
        <w:rPr>
          <w:rFonts w:ascii="Garamond" w:hAnsi="Garamond"/>
        </w:rPr>
        <w:t xml:space="preserve">and also points out by H-O model that one should exports and specialize in their factor endowments which exhibit their comparative advantage. The theory of comparative advantage that advocate by David Ricardo and H-O model suggest that specialization on the several commodity that a country richly endowed with will benefit its economic growth  </w:t>
      </w:r>
      <w:r w:rsidR="00496FE5" w:rsidRPr="00650D96">
        <w:rPr>
          <w:rFonts w:ascii="Garamond" w:hAnsi="Garamond"/>
        </w:rPr>
        <w:fldChar w:fldCharType="begin"/>
      </w:r>
      <w:r w:rsidRPr="00650D96">
        <w:rPr>
          <w:rFonts w:ascii="Garamond" w:hAnsi="Garamond"/>
        </w:rPr>
        <w:instrText>ADDIN RW.CITE{{201 Dong,Baomin 2009}}</w:instrText>
      </w:r>
      <w:r w:rsidR="00496FE5" w:rsidRPr="00650D96">
        <w:rPr>
          <w:rFonts w:ascii="Garamond" w:hAnsi="Garamond"/>
        </w:rPr>
        <w:fldChar w:fldCharType="separate"/>
      </w:r>
      <w:r w:rsidRPr="00650D96">
        <w:rPr>
          <w:rFonts w:ascii="Garamond" w:hAnsi="Garamond"/>
        </w:rPr>
        <w:t>(Dong and Yan 2009)</w:t>
      </w:r>
      <w:r w:rsidR="00496FE5" w:rsidRPr="00650D96">
        <w:rPr>
          <w:rFonts w:ascii="Garamond" w:hAnsi="Garamond"/>
        </w:rPr>
        <w:fldChar w:fldCharType="end"/>
      </w:r>
      <w:r w:rsidRPr="00650D96">
        <w:rPr>
          <w:rFonts w:ascii="Garamond" w:hAnsi="Garamond"/>
        </w:rPr>
        <w:t xml:space="preserve"> as witnessed in Africa that the booming prices of commodity increases the level and growth rate of per capita income </w:t>
      </w:r>
      <w:r w:rsidR="00496FE5" w:rsidRPr="00650D96">
        <w:rPr>
          <w:rFonts w:ascii="Garamond" w:hAnsi="Garamond"/>
        </w:rPr>
        <w:fldChar w:fldCharType="begin"/>
      </w:r>
      <w:r w:rsidRPr="00650D96">
        <w:rPr>
          <w:rFonts w:ascii="Garamond" w:hAnsi="Garamond"/>
        </w:rPr>
        <w:instrText>ADDIN RW.CITE{{138 Deaton,AngusS. 1995}}</w:instrText>
      </w:r>
      <w:r w:rsidR="00496FE5" w:rsidRPr="00650D96">
        <w:rPr>
          <w:rFonts w:ascii="Garamond" w:hAnsi="Garamond"/>
        </w:rPr>
        <w:fldChar w:fldCharType="separate"/>
      </w:r>
      <w:r w:rsidRPr="00650D96">
        <w:rPr>
          <w:rFonts w:ascii="Garamond" w:hAnsi="Garamond"/>
        </w:rPr>
        <w:t>(Deaton and Miller 1995)</w:t>
      </w:r>
      <w:r w:rsidR="00496FE5" w:rsidRPr="00650D96">
        <w:rPr>
          <w:rFonts w:ascii="Garamond" w:hAnsi="Garamond"/>
        </w:rPr>
        <w:fldChar w:fldCharType="end"/>
      </w:r>
      <w:r w:rsidRPr="00650D96">
        <w:rPr>
          <w:rFonts w:ascii="Garamond" w:hAnsi="Garamond"/>
        </w:rPr>
        <w:t xml:space="preserve"> and increase of terms of trade in developing countries which rises its GDP </w:t>
      </w:r>
      <w:r w:rsidR="00496FE5" w:rsidRPr="00650D96">
        <w:rPr>
          <w:rFonts w:ascii="Garamond" w:hAnsi="Garamond"/>
        </w:rPr>
        <w:fldChar w:fldCharType="begin"/>
      </w:r>
      <w:r w:rsidRPr="00650D96">
        <w:rPr>
          <w:rFonts w:ascii="Garamond" w:hAnsi="Garamond"/>
        </w:rPr>
        <w:instrText>ADDIN RW.CITE{{135 Basu,Parantap 1991}}</w:instrText>
      </w:r>
      <w:r w:rsidR="00496FE5" w:rsidRPr="00650D96">
        <w:rPr>
          <w:rFonts w:ascii="Garamond" w:hAnsi="Garamond"/>
        </w:rPr>
        <w:fldChar w:fldCharType="separate"/>
      </w:r>
      <w:r w:rsidRPr="00650D96">
        <w:rPr>
          <w:rFonts w:ascii="Garamond" w:hAnsi="Garamond"/>
        </w:rPr>
        <w:t>(Basu and McLeod 1991)</w:t>
      </w:r>
      <w:r w:rsidR="00496FE5" w:rsidRPr="00650D96">
        <w:rPr>
          <w:rFonts w:ascii="Garamond" w:hAnsi="Garamond"/>
        </w:rPr>
        <w:fldChar w:fldCharType="end"/>
      </w:r>
      <w:r w:rsidRPr="00650D96">
        <w:rPr>
          <w:rFonts w:ascii="Garamond" w:hAnsi="Garamond"/>
        </w:rPr>
        <w:t xml:space="preserve">. Hence, this suggests that economies in transition particularly the one that rich of natural resources should specialize in primary commodity export and production to earn foreign exchange to further diversify their economy. </w:t>
      </w:r>
    </w:p>
    <w:p w:rsidR="002506F2" w:rsidRPr="00F211F8" w:rsidRDefault="002506F2" w:rsidP="002506F2">
      <w:pPr>
        <w:pStyle w:val="Heading2"/>
        <w:rPr>
          <w:rFonts w:ascii="Garamond" w:hAnsi="Garamond"/>
          <w:color w:val="auto"/>
        </w:rPr>
      </w:pPr>
      <w:bookmarkStart w:id="30" w:name="_Toc209559679"/>
      <w:bookmarkStart w:id="31" w:name="_Toc343007185"/>
      <w:r>
        <w:rPr>
          <w:rFonts w:ascii="Garamond" w:hAnsi="Garamond"/>
          <w:color w:val="auto"/>
        </w:rPr>
        <w:t>2.3</w:t>
      </w:r>
      <w:r w:rsidRPr="00F211F8">
        <w:rPr>
          <w:rFonts w:ascii="Garamond" w:hAnsi="Garamond"/>
          <w:color w:val="auto"/>
        </w:rPr>
        <w:t xml:space="preserve"> Empirical findings</w:t>
      </w:r>
      <w:bookmarkEnd w:id="30"/>
      <w:bookmarkEnd w:id="31"/>
    </w:p>
    <w:p w:rsidR="002506F2" w:rsidRPr="00EB4B24" w:rsidRDefault="002506F2" w:rsidP="002506F2">
      <w:pPr>
        <w:jc w:val="both"/>
        <w:rPr>
          <w:rFonts w:ascii="Garamond" w:hAnsi="Garamond"/>
        </w:rPr>
      </w:pPr>
      <w:r w:rsidRPr="00EB4B24">
        <w:rPr>
          <w:rFonts w:ascii="Garamond" w:hAnsi="Garamond"/>
        </w:rPr>
        <w:t xml:space="preserve">This section will discuss the empirical findings relating to the above theories. Most of the findings below show that dependency on commodity sector would likely to have negative impact on economic growth. The empirical evidences show that in the short run commodity booms do bring positive impact on their economy. However, in the long run the commodity booms tend to have adverse impact on the economy in particular commodity dependence countries as their economy vulnerable to price instability where global commodity prices tend to change over time and has long run downward trend </w:t>
      </w:r>
      <w:r w:rsidR="00496FE5">
        <w:rPr>
          <w:rFonts w:ascii="Garamond" w:hAnsi="Garamond"/>
        </w:rPr>
        <w:fldChar w:fldCharType="begin"/>
      </w:r>
      <w:r>
        <w:rPr>
          <w:rFonts w:ascii="Garamond" w:hAnsi="Garamond"/>
        </w:rPr>
        <w:instrText>ADDIN RW.CITE{{130 Singer,H.W. 1950; 136 Prebisch,Raúl 1950}}</w:instrText>
      </w:r>
      <w:r w:rsidR="00496FE5">
        <w:rPr>
          <w:rFonts w:ascii="Garamond" w:hAnsi="Garamond"/>
        </w:rPr>
        <w:fldChar w:fldCharType="separate"/>
      </w:r>
      <w:r>
        <w:rPr>
          <w:rFonts w:ascii="Garamond" w:hAnsi="Garamond"/>
        </w:rPr>
        <w:t>(Singer 1950, Prebisch 1950)</w:t>
      </w:r>
      <w:r w:rsidR="00496FE5">
        <w:rPr>
          <w:rFonts w:ascii="Garamond" w:hAnsi="Garamond"/>
        </w:rPr>
        <w:fldChar w:fldCharType="end"/>
      </w:r>
      <w:r w:rsidRPr="00EB4B24">
        <w:rPr>
          <w:rFonts w:ascii="Garamond" w:hAnsi="Garamond"/>
        </w:rPr>
        <w:t>.</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proofErr w:type="spellStart"/>
      <w:r w:rsidRPr="00EB4B24">
        <w:rPr>
          <w:rFonts w:ascii="Garamond" w:hAnsi="Garamond"/>
        </w:rPr>
        <w:t>Blattman</w:t>
      </w:r>
      <w:proofErr w:type="spellEnd"/>
      <w:r w:rsidRPr="00EB4B24">
        <w:rPr>
          <w:rFonts w:ascii="Garamond" w:hAnsi="Garamond"/>
        </w:rPr>
        <w:t xml:space="preserve"> et</w:t>
      </w:r>
      <w:r>
        <w:rPr>
          <w:rFonts w:ascii="Garamond" w:hAnsi="Garamond"/>
        </w:rPr>
        <w:t xml:space="preserve"> al</w:t>
      </w:r>
      <w:r w:rsidRPr="00EB4B24">
        <w:rPr>
          <w:rFonts w:ascii="Garamond" w:hAnsi="Garamond"/>
        </w:rPr>
        <w:t xml:space="preserve"> </w:t>
      </w:r>
      <w:r w:rsidR="00496FE5">
        <w:rPr>
          <w:rFonts w:ascii="Garamond" w:hAnsi="Garamond"/>
        </w:rPr>
        <w:fldChar w:fldCharType="begin"/>
      </w:r>
      <w:r>
        <w:rPr>
          <w:rFonts w:ascii="Garamond" w:hAnsi="Garamond"/>
        </w:rPr>
        <w:instrText>ADDIN RW.CITE{{139 Blattman,Christopher 2007 /a}}</w:instrText>
      </w:r>
      <w:r w:rsidR="00496FE5">
        <w:rPr>
          <w:rFonts w:ascii="Garamond" w:hAnsi="Garamond"/>
        </w:rPr>
        <w:fldChar w:fldCharType="separate"/>
      </w:r>
      <w:r>
        <w:rPr>
          <w:rFonts w:ascii="Garamond" w:hAnsi="Garamond"/>
        </w:rPr>
        <w:t>(2007)</w:t>
      </w:r>
      <w:r w:rsidR="00496FE5">
        <w:rPr>
          <w:rFonts w:ascii="Garamond" w:hAnsi="Garamond"/>
        </w:rPr>
        <w:fldChar w:fldCharType="end"/>
      </w:r>
      <w:r w:rsidRPr="00EB4B24">
        <w:rPr>
          <w:rFonts w:ascii="Garamond" w:hAnsi="Garamond"/>
        </w:rPr>
        <w:t xml:space="preserve">used the data from 1870 to 1939 of 35 countries and divide them into two groups notably core and periphery and estimated how terms of trade volatility as cause by commodity prices instability and secular change on countries performance from 1870 to 1939 using regression analysis. They found that in long-run growth, commodity prices instability cause both poor economic performances in the periphery compared to the core and poor relative performance within the commodity specialized periphery. However, there are some commodity producers countries did quite well by specializing in particular commodity and diversify their economy towards industrialization. They conclude that terms of trade should be the central thinking in those commodity producers where commodity choice, dependent and the price trend were crucial determinant of growth in peripheries countries up to 1940. They suggest that countries should diversify their economy towards </w:t>
      </w:r>
      <w:r w:rsidRPr="00EB4B24">
        <w:rPr>
          <w:rFonts w:ascii="Garamond" w:hAnsi="Garamond"/>
        </w:rPr>
        <w:lastRenderedPageBreak/>
        <w:t xml:space="preserve">industrialization instead of merely dependent on commodity production to avert the adverse effect of commodity price instability which also in line with the finding by </w:t>
      </w:r>
      <w:proofErr w:type="spellStart"/>
      <w:r w:rsidRPr="00EB4B24">
        <w:rPr>
          <w:rFonts w:ascii="Garamond" w:hAnsi="Garamond"/>
        </w:rPr>
        <w:t>Hausmann</w:t>
      </w:r>
      <w:proofErr w:type="spellEnd"/>
      <w:r w:rsidRPr="00EB4B24">
        <w:rPr>
          <w:rFonts w:ascii="Garamond" w:hAnsi="Garamond"/>
        </w:rPr>
        <w:t xml:space="preserve"> et al </w:t>
      </w:r>
      <w:r w:rsidR="00496FE5">
        <w:rPr>
          <w:rFonts w:ascii="Garamond" w:hAnsi="Garamond"/>
        </w:rPr>
        <w:fldChar w:fldCharType="begin"/>
      </w:r>
      <w:r>
        <w:rPr>
          <w:rFonts w:ascii="Garamond" w:hAnsi="Garamond"/>
        </w:rPr>
        <w:instrText>ADDIN RW.CITE{{166 Hausmann,Ricardo 2007 /a}}</w:instrText>
      </w:r>
      <w:r w:rsidR="00496FE5">
        <w:rPr>
          <w:rFonts w:ascii="Garamond" w:hAnsi="Garamond"/>
        </w:rPr>
        <w:fldChar w:fldCharType="separate"/>
      </w:r>
      <w:r>
        <w:rPr>
          <w:rFonts w:ascii="Garamond" w:hAnsi="Garamond"/>
        </w:rPr>
        <w:t>(2007)</w:t>
      </w:r>
      <w:r w:rsidR="00496FE5">
        <w:rPr>
          <w:rFonts w:ascii="Garamond" w:hAnsi="Garamond"/>
        </w:rPr>
        <w:fldChar w:fldCharType="end"/>
      </w:r>
      <w:r w:rsidRPr="00EB4B24">
        <w:rPr>
          <w:rFonts w:ascii="Garamond" w:hAnsi="Garamond"/>
        </w:rPr>
        <w:t xml:space="preserve"> and </w:t>
      </w:r>
      <w:proofErr w:type="spellStart"/>
      <w:r w:rsidRPr="00EB4B24">
        <w:rPr>
          <w:rFonts w:ascii="Garamond" w:hAnsi="Garamond"/>
        </w:rPr>
        <w:t>Cavalcanti</w:t>
      </w:r>
      <w:proofErr w:type="spellEnd"/>
      <w:r w:rsidRPr="00EB4B24">
        <w:rPr>
          <w:rFonts w:ascii="Garamond" w:hAnsi="Garamond"/>
        </w:rPr>
        <w:t xml:space="preserve"> </w:t>
      </w:r>
      <w:r>
        <w:rPr>
          <w:rFonts w:ascii="Garamond" w:hAnsi="Garamond"/>
        </w:rPr>
        <w:t xml:space="preserve">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sidRPr="00EB4B24">
        <w:rPr>
          <w:rFonts w:ascii="Garamond" w:hAnsi="Garamond"/>
        </w:rPr>
        <w:t xml:space="preserve"> where they found that those countries with more diversified export composition more likely to avert the adverse impact of dependency on commodity export and enhance economic growth. </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r w:rsidRPr="00EB4B24">
        <w:rPr>
          <w:rFonts w:ascii="Garamond" w:hAnsi="Garamond"/>
        </w:rPr>
        <w:t xml:space="preserve">The next empirical evidences pay particular attention from the year of 1970 to 2007 when the second and the third booms happened in 1970s and 2000s. </w:t>
      </w:r>
      <w:proofErr w:type="spellStart"/>
      <w:r w:rsidRPr="00EB4B24">
        <w:rPr>
          <w:rFonts w:ascii="Garamond" w:hAnsi="Garamond"/>
        </w:rPr>
        <w:t>Cavalcanti</w:t>
      </w:r>
      <w:proofErr w:type="spellEnd"/>
      <w:r w:rsidRPr="00EB4B24">
        <w:rPr>
          <w:rFonts w:ascii="Garamond" w:hAnsi="Garamond"/>
        </w:rPr>
        <w:t xml:space="preserve"> 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sidRPr="00EB4B24">
        <w:rPr>
          <w:rFonts w:ascii="Garamond" w:hAnsi="Garamond"/>
        </w:rPr>
        <w:t xml:space="preserve">used the annual data from 1970 to 2007 on 118 countries and 32 commodities; </w:t>
      </w:r>
      <w:proofErr w:type="spellStart"/>
      <w:r w:rsidRPr="00EB4B24">
        <w:rPr>
          <w:rFonts w:ascii="Garamond" w:hAnsi="Garamond"/>
        </w:rPr>
        <w:t>Bleaney</w:t>
      </w:r>
      <w:proofErr w:type="spellEnd"/>
      <w:r w:rsidRPr="00EB4B24">
        <w:rPr>
          <w:rFonts w:ascii="Garamond" w:hAnsi="Garamond"/>
        </w:rPr>
        <w:t xml:space="preserve"> and Greenaway </w:t>
      </w:r>
      <w:r w:rsidR="00496FE5">
        <w:rPr>
          <w:rFonts w:ascii="Garamond" w:hAnsi="Garamond"/>
        </w:rPr>
        <w:fldChar w:fldCharType="begin"/>
      </w:r>
      <w:r>
        <w:rPr>
          <w:rFonts w:ascii="Garamond" w:hAnsi="Garamond"/>
        </w:rPr>
        <w:instrText>ADDIN RW.CITE{{204 Bleaney,Michael 2001 /a}}</w:instrText>
      </w:r>
      <w:r w:rsidR="00496FE5">
        <w:rPr>
          <w:rFonts w:ascii="Garamond" w:hAnsi="Garamond"/>
        </w:rPr>
        <w:fldChar w:fldCharType="separate"/>
      </w:r>
      <w:r>
        <w:rPr>
          <w:rFonts w:ascii="Garamond" w:hAnsi="Garamond"/>
        </w:rPr>
        <w:t>(2001)</w:t>
      </w:r>
      <w:r w:rsidR="00496FE5">
        <w:rPr>
          <w:rFonts w:ascii="Garamond" w:hAnsi="Garamond"/>
        </w:rPr>
        <w:fldChar w:fldCharType="end"/>
      </w:r>
      <w:r w:rsidRPr="00EB4B24">
        <w:rPr>
          <w:rFonts w:ascii="Garamond" w:hAnsi="Garamond"/>
        </w:rPr>
        <w:t xml:space="preserve"> used the data from 1980 to 1995 on 14 sub-Saharan Africa countries</w:t>
      </w:r>
      <w:r>
        <w:rPr>
          <w:rFonts w:ascii="Garamond" w:hAnsi="Garamond"/>
        </w:rPr>
        <w:t xml:space="preserve">; and Collier and </w:t>
      </w:r>
      <w:proofErr w:type="spellStart"/>
      <w:r>
        <w:rPr>
          <w:rFonts w:ascii="Garamond" w:hAnsi="Garamond"/>
        </w:rPr>
        <w:t>Goderis</w:t>
      </w:r>
      <w:proofErr w:type="spellEnd"/>
      <w:r>
        <w:rPr>
          <w:rFonts w:ascii="Garamond" w:hAnsi="Garamond"/>
        </w:rPr>
        <w:t xml:space="preserve"> </w:t>
      </w:r>
      <w:r w:rsidR="00496FE5">
        <w:rPr>
          <w:rFonts w:ascii="Garamond" w:hAnsi="Garamond"/>
        </w:rPr>
        <w:fldChar w:fldCharType="begin"/>
      </w:r>
      <w:r>
        <w:rPr>
          <w:rFonts w:ascii="Garamond" w:hAnsi="Garamond"/>
        </w:rPr>
        <w:instrText>ADDIN RW.CITE{{202 Collier,Paul 2007 /a}}</w:instrText>
      </w:r>
      <w:r w:rsidR="00496FE5">
        <w:rPr>
          <w:rFonts w:ascii="Garamond" w:hAnsi="Garamond"/>
        </w:rPr>
        <w:fldChar w:fldCharType="separate"/>
      </w:r>
      <w:r>
        <w:rPr>
          <w:rFonts w:ascii="Garamond" w:hAnsi="Garamond"/>
        </w:rPr>
        <w:t>(2007)</w:t>
      </w:r>
      <w:r w:rsidR="00496FE5">
        <w:rPr>
          <w:rFonts w:ascii="Garamond" w:hAnsi="Garamond"/>
        </w:rPr>
        <w:fldChar w:fldCharType="end"/>
      </w:r>
      <w:r w:rsidRPr="00EB4B24">
        <w:rPr>
          <w:rFonts w:ascii="Garamond" w:hAnsi="Garamond"/>
        </w:rPr>
        <w:t xml:space="preserve"> used the data from 1963 to 2003 on 130 countries and 58 commodities. </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proofErr w:type="spellStart"/>
      <w:r>
        <w:rPr>
          <w:rFonts w:ascii="Garamond" w:hAnsi="Garamond"/>
        </w:rPr>
        <w:t>Cavalcanti</w:t>
      </w:r>
      <w:proofErr w:type="spellEnd"/>
      <w:r>
        <w:rPr>
          <w:rFonts w:ascii="Garamond" w:hAnsi="Garamond"/>
        </w:rPr>
        <w:t xml:space="preserve"> 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Pr>
          <w:rFonts w:ascii="Garamond" w:hAnsi="Garamond"/>
        </w:rPr>
        <w:t xml:space="preserve"> </w:t>
      </w:r>
      <w:r w:rsidRPr="00EB4B24">
        <w:rPr>
          <w:rFonts w:ascii="Garamond" w:hAnsi="Garamond"/>
        </w:rPr>
        <w:t xml:space="preserve"> used the GMM and </w:t>
      </w:r>
      <w:r w:rsidRPr="00EB4B24">
        <w:rPr>
          <w:rFonts w:ascii="Garamond" w:hAnsi="Garamond" w:cs="Times"/>
          <w:color w:val="000000"/>
          <w:lang w:eastAsia="ja-JP"/>
        </w:rPr>
        <w:t>Cross-</w:t>
      </w:r>
      <w:proofErr w:type="spellStart"/>
      <w:r w:rsidRPr="00EB4B24">
        <w:rPr>
          <w:rFonts w:ascii="Garamond" w:hAnsi="Garamond" w:cs="Times"/>
          <w:color w:val="000000"/>
          <w:lang w:eastAsia="ja-JP"/>
        </w:rPr>
        <w:t>sectionally</w:t>
      </w:r>
      <w:proofErr w:type="spellEnd"/>
      <w:r w:rsidRPr="00EB4B24">
        <w:rPr>
          <w:rFonts w:ascii="Garamond" w:hAnsi="Garamond" w:cs="Times"/>
          <w:color w:val="000000"/>
          <w:lang w:eastAsia="ja-JP"/>
        </w:rPr>
        <w:t xml:space="preserve"> augmented version of the Pooled Mean Group </w:t>
      </w:r>
      <w:r w:rsidRPr="00EB4B24">
        <w:rPr>
          <w:rFonts w:ascii="Garamond" w:hAnsi="Garamond"/>
        </w:rPr>
        <w:t>(CPMG) method. They divided those 118 countries to two groups notably 62 commodity dependent countries with 50% exports in primary commodity and 56 countries with more diversified export structure. They found that in commodity dependent countries lower volatility in commodity prices could enhance growth but commodity terms of trade (CTOT) volatility have significant negative impact on economic growth which channels through lower physical and human capital accumulation. However, in the 56 countries with more diversified export structure, they found no significant impact of CTOT instability on per capita growth.</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proofErr w:type="spellStart"/>
      <w:r>
        <w:rPr>
          <w:rFonts w:ascii="Garamond" w:hAnsi="Garamond"/>
        </w:rPr>
        <w:t>Bleaney</w:t>
      </w:r>
      <w:proofErr w:type="spellEnd"/>
      <w:r>
        <w:rPr>
          <w:rFonts w:ascii="Garamond" w:hAnsi="Garamond"/>
        </w:rPr>
        <w:t xml:space="preserve"> and Greenaway </w:t>
      </w:r>
      <w:r w:rsidR="00496FE5">
        <w:rPr>
          <w:rFonts w:ascii="Garamond" w:hAnsi="Garamond"/>
        </w:rPr>
        <w:fldChar w:fldCharType="begin"/>
      </w:r>
      <w:r>
        <w:rPr>
          <w:rFonts w:ascii="Garamond" w:hAnsi="Garamond"/>
        </w:rPr>
        <w:instrText>ADDIN RW.CITE{{204 Bleaney,Michael 2001 /a}}</w:instrText>
      </w:r>
      <w:r w:rsidR="00496FE5">
        <w:rPr>
          <w:rFonts w:ascii="Garamond" w:hAnsi="Garamond"/>
        </w:rPr>
        <w:fldChar w:fldCharType="separate"/>
      </w:r>
      <w:r>
        <w:rPr>
          <w:rFonts w:ascii="Garamond" w:hAnsi="Garamond"/>
        </w:rPr>
        <w:t>(2001)</w:t>
      </w:r>
      <w:r w:rsidR="00496FE5">
        <w:rPr>
          <w:rFonts w:ascii="Garamond" w:hAnsi="Garamond"/>
        </w:rPr>
        <w:fldChar w:fldCharType="end"/>
      </w:r>
      <w:r w:rsidRPr="00EB4B24">
        <w:rPr>
          <w:rFonts w:ascii="Garamond" w:hAnsi="Garamond"/>
        </w:rPr>
        <w:t xml:space="preserve"> used the coefficient correlation to analyze the impact of terms of trade and real exchange on investment and growth in sub-Saharan Africa. Their finding is quite different from the others where the volatility in terms of trade as cause by the primary commodity prices change doesn’t directly affect growth. It affect growth through real exchange rate where boom in prices tend to cause the exchange rate to rise and bust of prices cause the exchange rate to fall. This instability discourages and has negative impact on investment growth. They suggest that investment could be higher when terms of trade favor commodity producer and real exchange rate is less overvalued.</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r w:rsidRPr="00EB4B24">
        <w:rPr>
          <w:rFonts w:ascii="Garamond" w:hAnsi="Garamond"/>
        </w:rPr>
        <w:t xml:space="preserve">From the findings above, in general they imply that dependency on commodity would likely to have adverse impact on economy growth. Both </w:t>
      </w:r>
      <w:proofErr w:type="spellStart"/>
      <w:r w:rsidRPr="00EB4B24">
        <w:rPr>
          <w:rFonts w:ascii="Garamond" w:hAnsi="Garamond"/>
        </w:rPr>
        <w:t>Blattman</w:t>
      </w:r>
      <w:proofErr w:type="spellEnd"/>
      <w:r w:rsidRPr="00EB4B24">
        <w:rPr>
          <w:rFonts w:ascii="Garamond" w:hAnsi="Garamond"/>
        </w:rPr>
        <w:t xml:space="preserve"> et al </w:t>
      </w:r>
      <w:r w:rsidR="00496FE5">
        <w:rPr>
          <w:rFonts w:ascii="Garamond" w:hAnsi="Garamond"/>
        </w:rPr>
        <w:fldChar w:fldCharType="begin"/>
      </w:r>
      <w:r>
        <w:rPr>
          <w:rFonts w:ascii="Garamond" w:hAnsi="Garamond"/>
        </w:rPr>
        <w:instrText>ADDIN RW.CITE{{139 Blattman,Christopher 2007 /a}}</w:instrText>
      </w:r>
      <w:r w:rsidR="00496FE5">
        <w:rPr>
          <w:rFonts w:ascii="Garamond" w:hAnsi="Garamond"/>
        </w:rPr>
        <w:fldChar w:fldCharType="separate"/>
      </w:r>
      <w:r>
        <w:rPr>
          <w:rFonts w:ascii="Garamond" w:hAnsi="Garamond"/>
        </w:rPr>
        <w:t>(2007)</w:t>
      </w:r>
      <w:r w:rsidR="00496FE5">
        <w:rPr>
          <w:rFonts w:ascii="Garamond" w:hAnsi="Garamond"/>
        </w:rPr>
        <w:fldChar w:fldCharType="end"/>
      </w:r>
      <w:r>
        <w:rPr>
          <w:rFonts w:ascii="Garamond" w:hAnsi="Garamond"/>
        </w:rPr>
        <w:t xml:space="preserve"> and </w:t>
      </w:r>
      <w:proofErr w:type="spellStart"/>
      <w:r>
        <w:rPr>
          <w:rFonts w:ascii="Garamond" w:hAnsi="Garamond"/>
        </w:rPr>
        <w:t>Calvacanti</w:t>
      </w:r>
      <w:proofErr w:type="spellEnd"/>
      <w:r>
        <w:rPr>
          <w:rFonts w:ascii="Garamond" w:hAnsi="Garamond"/>
        </w:rPr>
        <w:t xml:space="preserve"> 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sidRPr="00EB4B24">
        <w:rPr>
          <w:rFonts w:ascii="Garamond" w:hAnsi="Garamond"/>
        </w:rPr>
        <w:t xml:space="preserve"> used different methods but come with the same findings where they found that country that specialized in commodity sector would likely to suffer from the long term deterioration of terms of trade while </w:t>
      </w:r>
      <w:proofErr w:type="spellStart"/>
      <w:r w:rsidRPr="00EB4B24">
        <w:rPr>
          <w:rFonts w:ascii="Garamond" w:hAnsi="Garamond"/>
        </w:rPr>
        <w:t>Bleaney</w:t>
      </w:r>
      <w:proofErr w:type="spellEnd"/>
      <w:r w:rsidRPr="00EB4B24">
        <w:rPr>
          <w:rFonts w:ascii="Garamond" w:hAnsi="Garamond"/>
        </w:rPr>
        <w:t xml:space="preserve"> and Greenaway</w:t>
      </w:r>
      <w:r>
        <w:rPr>
          <w:rFonts w:ascii="Garamond" w:hAnsi="Garamond"/>
        </w:rPr>
        <w:t xml:space="preserve"> </w:t>
      </w:r>
      <w:r w:rsidR="00496FE5">
        <w:rPr>
          <w:rFonts w:ascii="Garamond" w:hAnsi="Garamond"/>
        </w:rPr>
        <w:fldChar w:fldCharType="begin"/>
      </w:r>
      <w:r>
        <w:rPr>
          <w:rFonts w:ascii="Garamond" w:hAnsi="Garamond"/>
        </w:rPr>
        <w:instrText>ADDIN RW.CITE{{204 Bleaney,Michael 2001 /a}}</w:instrText>
      </w:r>
      <w:r w:rsidR="00496FE5">
        <w:rPr>
          <w:rFonts w:ascii="Garamond" w:hAnsi="Garamond"/>
        </w:rPr>
        <w:fldChar w:fldCharType="separate"/>
      </w:r>
      <w:r>
        <w:rPr>
          <w:rFonts w:ascii="Garamond" w:hAnsi="Garamond"/>
        </w:rPr>
        <w:t>(2001)</w:t>
      </w:r>
      <w:r w:rsidR="00496FE5">
        <w:rPr>
          <w:rFonts w:ascii="Garamond" w:hAnsi="Garamond"/>
        </w:rPr>
        <w:fldChar w:fldCharType="end"/>
      </w:r>
      <w:r w:rsidRPr="00EB4B24">
        <w:rPr>
          <w:rFonts w:ascii="Garamond" w:hAnsi="Garamond"/>
        </w:rPr>
        <w:t xml:space="preserve"> imply that the price changes doesn’t directly affect the growth but it channels through the exchange rate the rise during the booms and fall during busts hence it cause instability in investment. Overall, the dependency on commodity tends to cause instability in economic growth which hampers the economic growth. In sum, those findings imply that commodity boom does have short-term positive impact on growth but adverse long-run impact. During the commodity boom, those primary commodity producer countries accumulate revenue hence their currency appreciated and they move most of the productive input to booming sector </w:t>
      </w:r>
      <w:r w:rsidRPr="00EB4B24">
        <w:rPr>
          <w:rFonts w:ascii="Garamond" w:hAnsi="Garamond"/>
        </w:rPr>
        <w:lastRenderedPageBreak/>
        <w:t xml:space="preserve">and abandoning lagging sector and non-tradable sectors. While in the long term, commodity prices tend to have downward trend </w:t>
      </w:r>
      <w:r w:rsidR="00496FE5">
        <w:rPr>
          <w:rFonts w:ascii="Garamond" w:hAnsi="Garamond"/>
        </w:rPr>
        <w:fldChar w:fldCharType="begin"/>
      </w:r>
      <w:r>
        <w:rPr>
          <w:rFonts w:ascii="Garamond" w:hAnsi="Garamond"/>
        </w:rPr>
        <w:instrText>ADDIN RW.CITE{{130 Singer,H.W. 1950; 136 Prebisch,Raúl 1950}}</w:instrText>
      </w:r>
      <w:r w:rsidR="00496FE5">
        <w:rPr>
          <w:rFonts w:ascii="Garamond" w:hAnsi="Garamond"/>
        </w:rPr>
        <w:fldChar w:fldCharType="separate"/>
      </w:r>
      <w:r>
        <w:rPr>
          <w:rFonts w:ascii="Garamond" w:hAnsi="Garamond"/>
        </w:rPr>
        <w:t>(Singer 1950, Prebisch 1950)</w:t>
      </w:r>
      <w:r w:rsidR="00496FE5">
        <w:rPr>
          <w:rFonts w:ascii="Garamond" w:hAnsi="Garamond"/>
        </w:rPr>
        <w:fldChar w:fldCharType="end"/>
      </w:r>
      <w:r w:rsidRPr="00EB4B24">
        <w:rPr>
          <w:rFonts w:ascii="Garamond" w:hAnsi="Garamond"/>
        </w:rPr>
        <w:t xml:space="preserve"> hence those commodity dependent economies economic growth hampered as they rely on commodity for growth and they suggest that countries should diversify their economy towards manufacturing to avert negative long-term impact of global commodity prices trend where it needs the presence of right institutions and government to avoid the resource curse.</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r w:rsidRPr="00EB4B24">
        <w:rPr>
          <w:rFonts w:ascii="Garamond" w:hAnsi="Garamond"/>
        </w:rPr>
        <w:t xml:space="preserve">On the other hand, Collier and </w:t>
      </w:r>
      <w:proofErr w:type="spellStart"/>
      <w:r w:rsidRPr="00EB4B24">
        <w:rPr>
          <w:rFonts w:ascii="Garamond" w:hAnsi="Garamond"/>
        </w:rPr>
        <w:t>Goderis</w:t>
      </w:r>
      <w:proofErr w:type="spellEnd"/>
      <w:r>
        <w:rPr>
          <w:rFonts w:ascii="Garamond" w:hAnsi="Garamond"/>
        </w:rPr>
        <w:t xml:space="preserve"> </w:t>
      </w:r>
      <w:r w:rsidR="00496FE5">
        <w:rPr>
          <w:rFonts w:ascii="Garamond" w:hAnsi="Garamond"/>
        </w:rPr>
        <w:fldChar w:fldCharType="begin"/>
      </w:r>
      <w:r>
        <w:rPr>
          <w:rFonts w:ascii="Garamond" w:hAnsi="Garamond"/>
        </w:rPr>
        <w:instrText>ADDIN RW.CITE{{202 Collier,Paul 2007 /a}}</w:instrText>
      </w:r>
      <w:r w:rsidR="00496FE5">
        <w:rPr>
          <w:rFonts w:ascii="Garamond" w:hAnsi="Garamond"/>
        </w:rPr>
        <w:fldChar w:fldCharType="separate"/>
      </w:r>
      <w:r>
        <w:rPr>
          <w:rFonts w:ascii="Garamond" w:hAnsi="Garamond"/>
        </w:rPr>
        <w:t>(2007)</w:t>
      </w:r>
      <w:r w:rsidR="00496FE5">
        <w:rPr>
          <w:rFonts w:ascii="Garamond" w:hAnsi="Garamond"/>
        </w:rPr>
        <w:fldChar w:fldCharType="end"/>
      </w:r>
      <w:r>
        <w:rPr>
          <w:rFonts w:ascii="Garamond" w:hAnsi="Garamond"/>
        </w:rPr>
        <w:t xml:space="preserve"> </w:t>
      </w:r>
      <w:r w:rsidRPr="00EB4B24">
        <w:rPr>
          <w:rFonts w:ascii="Garamond" w:hAnsi="Garamond"/>
        </w:rPr>
        <w:t xml:space="preserve">used the panel co integration methodology to analyze what is the impact of commodity prices change on economic growth. They found that commodity boom has short run impact on growth through the improvement of terms of trade as shown in the current African growth cause by the rise of global commodity prices that begun in 2000 but it has adverse long run impact. However, this short term positive effect cause the commodity producer countries overvalued exchange rate, high public and private consumption, low and inefficient investment and in the long run cause the countries to focus and promote incentives on non productive activities such as rent seeking behavior, lobbying or public sector employment which is also in line with the findings of </w:t>
      </w:r>
      <w:proofErr w:type="spellStart"/>
      <w:r w:rsidRPr="00EB4B24">
        <w:rPr>
          <w:rFonts w:ascii="Garamond" w:hAnsi="Garamond"/>
        </w:rPr>
        <w:t>Baland</w:t>
      </w:r>
      <w:proofErr w:type="spellEnd"/>
      <w:r w:rsidRPr="00EB4B24">
        <w:rPr>
          <w:rFonts w:ascii="Garamond" w:hAnsi="Garamond"/>
        </w:rPr>
        <w:t xml:space="preserve"> and F</w:t>
      </w:r>
      <w:r>
        <w:rPr>
          <w:rFonts w:ascii="Garamond" w:hAnsi="Garamond"/>
        </w:rPr>
        <w:t xml:space="preserve">rancois </w:t>
      </w:r>
      <w:r w:rsidR="00496FE5">
        <w:rPr>
          <w:rFonts w:ascii="Garamond" w:hAnsi="Garamond"/>
        </w:rPr>
        <w:fldChar w:fldCharType="begin"/>
      </w:r>
      <w:r>
        <w:rPr>
          <w:rFonts w:ascii="Garamond" w:hAnsi="Garamond"/>
        </w:rPr>
        <w:instrText>ADDIN RW.CITE{{167 Baland,Jean-Marie 2000 /a}}</w:instrText>
      </w:r>
      <w:r w:rsidR="00496FE5">
        <w:rPr>
          <w:rFonts w:ascii="Garamond" w:hAnsi="Garamond"/>
        </w:rPr>
        <w:fldChar w:fldCharType="separate"/>
      </w:r>
      <w:r>
        <w:rPr>
          <w:rFonts w:ascii="Garamond" w:hAnsi="Garamond"/>
        </w:rPr>
        <w:t>(2000)</w:t>
      </w:r>
      <w:r w:rsidR="00496FE5">
        <w:rPr>
          <w:rFonts w:ascii="Garamond" w:hAnsi="Garamond"/>
        </w:rPr>
        <w:fldChar w:fldCharType="end"/>
      </w:r>
      <w:r>
        <w:rPr>
          <w:rFonts w:ascii="Garamond" w:hAnsi="Garamond"/>
        </w:rPr>
        <w:t xml:space="preserve"> and </w:t>
      </w:r>
      <w:proofErr w:type="spellStart"/>
      <w:r>
        <w:rPr>
          <w:rFonts w:ascii="Garamond" w:hAnsi="Garamond"/>
        </w:rPr>
        <w:t>Torvik</w:t>
      </w:r>
      <w:proofErr w:type="spellEnd"/>
      <w:r>
        <w:rPr>
          <w:rFonts w:ascii="Garamond" w:hAnsi="Garamond"/>
        </w:rPr>
        <w:t xml:space="preserve"> </w:t>
      </w:r>
      <w:r w:rsidR="00496FE5">
        <w:rPr>
          <w:rFonts w:ascii="Garamond" w:hAnsi="Garamond"/>
        </w:rPr>
        <w:fldChar w:fldCharType="begin"/>
      </w:r>
      <w:r>
        <w:rPr>
          <w:rFonts w:ascii="Garamond" w:hAnsi="Garamond"/>
        </w:rPr>
        <w:instrText>ADDIN RW.CITE{{168 Torvik,Ragnar 2002 /a}}</w:instrText>
      </w:r>
      <w:r w:rsidR="00496FE5">
        <w:rPr>
          <w:rFonts w:ascii="Garamond" w:hAnsi="Garamond"/>
        </w:rPr>
        <w:fldChar w:fldCharType="separate"/>
      </w:r>
      <w:r>
        <w:rPr>
          <w:rFonts w:ascii="Garamond" w:hAnsi="Garamond"/>
        </w:rPr>
        <w:t>(2002)</w:t>
      </w:r>
      <w:r w:rsidR="00496FE5">
        <w:rPr>
          <w:rFonts w:ascii="Garamond" w:hAnsi="Garamond"/>
        </w:rPr>
        <w:fldChar w:fldCharType="end"/>
      </w:r>
      <w:r w:rsidRPr="00EB4B24">
        <w:rPr>
          <w:rFonts w:ascii="Garamond" w:hAnsi="Garamond"/>
        </w:rPr>
        <w:t xml:space="preserve"> which they found that without the presence of good institutions, natural resources lead to rent seeking behavior.</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rPr>
      </w:pPr>
      <w:r w:rsidRPr="00EB4B24">
        <w:rPr>
          <w:rFonts w:ascii="Garamond" w:hAnsi="Garamond"/>
        </w:rPr>
        <w:t xml:space="preserve">In sum, those findings imply that commodity boom does have short-term positive impact on growth but adverse long-run impact. During the commodity boom, those primary commodity producer countries accumulate revenue hence their currency appreciated and they move most of the productive input to booming sector and abandoning lagging sector and non-tradable sectors. While in the long term, commodity prices tend to have downward trend </w:t>
      </w:r>
      <w:r w:rsidR="00496FE5">
        <w:rPr>
          <w:rFonts w:ascii="Garamond" w:hAnsi="Garamond"/>
        </w:rPr>
        <w:fldChar w:fldCharType="begin"/>
      </w:r>
      <w:r>
        <w:rPr>
          <w:rFonts w:ascii="Garamond" w:hAnsi="Garamond"/>
        </w:rPr>
        <w:instrText>ADDIN RW.CITE{{130 Singer,H.W. 1950; 136 Prebisch,Raúl 1950}}</w:instrText>
      </w:r>
      <w:r w:rsidR="00496FE5">
        <w:rPr>
          <w:rFonts w:ascii="Garamond" w:hAnsi="Garamond"/>
        </w:rPr>
        <w:fldChar w:fldCharType="separate"/>
      </w:r>
      <w:r>
        <w:rPr>
          <w:rFonts w:ascii="Garamond" w:hAnsi="Garamond"/>
        </w:rPr>
        <w:t>(Singer 1950, Prebisch 1950)</w:t>
      </w:r>
      <w:r w:rsidR="00496FE5">
        <w:rPr>
          <w:rFonts w:ascii="Garamond" w:hAnsi="Garamond"/>
        </w:rPr>
        <w:fldChar w:fldCharType="end"/>
      </w:r>
      <w:r w:rsidRPr="00EB4B24">
        <w:rPr>
          <w:rFonts w:ascii="Garamond" w:hAnsi="Garamond"/>
        </w:rPr>
        <w:t xml:space="preserve"> hence those commodity dependent economies economic growth hampered as they rely on commodity for growth and they suggest that countries should diversify their economy towards manufacturing to avert negative long-term impact of global commodity prices trend where it needs the presence of right institutions and government to avoid the resource curse.</w:t>
      </w:r>
    </w:p>
    <w:p w:rsidR="002506F2" w:rsidRPr="00EB4B24" w:rsidRDefault="002506F2" w:rsidP="002506F2">
      <w:pPr>
        <w:jc w:val="both"/>
        <w:rPr>
          <w:rFonts w:ascii="Garamond" w:hAnsi="Garamond"/>
        </w:rPr>
      </w:pPr>
    </w:p>
    <w:p w:rsidR="002506F2" w:rsidRPr="00EB4B24" w:rsidRDefault="002506F2" w:rsidP="002506F2">
      <w:pPr>
        <w:jc w:val="both"/>
        <w:rPr>
          <w:rFonts w:ascii="Garamond" w:hAnsi="Garamond"/>
          <w:i/>
        </w:rPr>
      </w:pPr>
      <w:r w:rsidRPr="00EB4B24">
        <w:rPr>
          <w:rFonts w:ascii="Garamond" w:hAnsi="Garamond"/>
          <w:i/>
        </w:rPr>
        <w:t>Criticism</w:t>
      </w:r>
    </w:p>
    <w:p w:rsidR="002506F2" w:rsidRPr="00EB4B24" w:rsidRDefault="002506F2" w:rsidP="002506F2">
      <w:pPr>
        <w:jc w:val="both"/>
        <w:rPr>
          <w:rFonts w:ascii="Garamond" w:hAnsi="Garamond"/>
        </w:rPr>
      </w:pPr>
      <w:r w:rsidRPr="00EB4B24">
        <w:rPr>
          <w:rFonts w:ascii="Garamond" w:hAnsi="Garamond"/>
        </w:rPr>
        <w:t xml:space="preserve">Research on commodity dependency impact on growth that used the oldest data set was </w:t>
      </w:r>
      <w:proofErr w:type="spellStart"/>
      <w:r w:rsidRPr="00EB4B24">
        <w:rPr>
          <w:rFonts w:ascii="Garamond" w:hAnsi="Garamond"/>
        </w:rPr>
        <w:t>Blattman</w:t>
      </w:r>
      <w:proofErr w:type="spellEnd"/>
      <w:r w:rsidRPr="00EB4B24">
        <w:rPr>
          <w:rFonts w:ascii="Garamond" w:hAnsi="Garamond"/>
        </w:rPr>
        <w:t xml:space="preserve"> et al. their findings seems to be less plausible because the years of data used in the research was when many countries were still not yet independent hence those countries didn’t have the capability to set any economic development plan and the price of commodity was not yet decided by the market where the periphery or commodity dependent countries were only price taker. </w:t>
      </w:r>
    </w:p>
    <w:p w:rsidR="002506F2" w:rsidRPr="00EB4B24" w:rsidRDefault="002506F2" w:rsidP="002506F2">
      <w:pPr>
        <w:jc w:val="both"/>
        <w:rPr>
          <w:rFonts w:ascii="Garamond" w:hAnsi="Garamond"/>
        </w:rPr>
      </w:pPr>
    </w:p>
    <w:p w:rsidR="002506F2" w:rsidRPr="00EB4B24" w:rsidRDefault="002506F2" w:rsidP="002506F2">
      <w:pPr>
        <w:autoSpaceDE w:val="0"/>
        <w:autoSpaceDN w:val="0"/>
        <w:adjustRightInd w:val="0"/>
        <w:jc w:val="both"/>
        <w:rPr>
          <w:rFonts w:ascii="Garamond" w:eastAsiaTheme="minorHAnsi" w:hAnsi="Garamond" w:cs="BookAntiqua"/>
        </w:rPr>
      </w:pPr>
      <w:proofErr w:type="spellStart"/>
      <w:r>
        <w:rPr>
          <w:rFonts w:ascii="Garamond" w:hAnsi="Garamond"/>
        </w:rPr>
        <w:t>Cavalcanti</w:t>
      </w:r>
      <w:proofErr w:type="spellEnd"/>
      <w:r>
        <w:rPr>
          <w:rFonts w:ascii="Garamond" w:hAnsi="Garamond"/>
        </w:rPr>
        <w:t xml:space="preserve"> 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Pr>
          <w:rFonts w:ascii="Garamond" w:hAnsi="Garamond"/>
        </w:rPr>
        <w:t xml:space="preserve"> </w:t>
      </w:r>
      <w:r w:rsidRPr="00EB4B24">
        <w:rPr>
          <w:rFonts w:ascii="Garamond" w:hAnsi="Garamond"/>
        </w:rPr>
        <w:t xml:space="preserve">and </w:t>
      </w:r>
      <w:proofErr w:type="spellStart"/>
      <w:r w:rsidRPr="00EB4B24">
        <w:rPr>
          <w:rFonts w:ascii="Garamond" w:hAnsi="Garamond"/>
        </w:rPr>
        <w:t>Bleaney</w:t>
      </w:r>
      <w:proofErr w:type="spellEnd"/>
      <w:r w:rsidRPr="00EB4B24">
        <w:rPr>
          <w:rFonts w:ascii="Garamond" w:hAnsi="Garamond"/>
        </w:rPr>
        <w:t xml:space="preserve"> and Greenaway</w:t>
      </w:r>
      <w:r>
        <w:rPr>
          <w:rFonts w:ascii="Garamond" w:hAnsi="Garamond"/>
        </w:rPr>
        <w:t xml:space="preserve"> </w:t>
      </w:r>
      <w:r w:rsidR="00496FE5">
        <w:rPr>
          <w:rFonts w:ascii="Garamond" w:hAnsi="Garamond"/>
        </w:rPr>
        <w:fldChar w:fldCharType="begin"/>
      </w:r>
      <w:r>
        <w:rPr>
          <w:rFonts w:ascii="Garamond" w:hAnsi="Garamond"/>
        </w:rPr>
        <w:instrText>ADDIN RW.CITE{{204 Bleaney,Michael 2001 /a}}</w:instrText>
      </w:r>
      <w:r w:rsidR="00496FE5">
        <w:rPr>
          <w:rFonts w:ascii="Garamond" w:hAnsi="Garamond"/>
        </w:rPr>
        <w:fldChar w:fldCharType="separate"/>
      </w:r>
      <w:r>
        <w:rPr>
          <w:rFonts w:ascii="Garamond" w:hAnsi="Garamond"/>
        </w:rPr>
        <w:t>(2001)</w:t>
      </w:r>
      <w:r w:rsidR="00496FE5">
        <w:rPr>
          <w:rFonts w:ascii="Garamond" w:hAnsi="Garamond"/>
        </w:rPr>
        <w:fldChar w:fldCharType="end"/>
      </w:r>
      <w:r w:rsidRPr="00EB4B24">
        <w:rPr>
          <w:rFonts w:ascii="Garamond" w:hAnsi="Garamond"/>
        </w:rPr>
        <w:t xml:space="preserve"> use both the data years when all countries already independent which data years started in the year of 1970. </w:t>
      </w:r>
      <w:proofErr w:type="spellStart"/>
      <w:r>
        <w:rPr>
          <w:rFonts w:ascii="Garamond" w:hAnsi="Garamond"/>
        </w:rPr>
        <w:t>Cavalcanti</w:t>
      </w:r>
      <w:proofErr w:type="spellEnd"/>
      <w:r>
        <w:rPr>
          <w:rFonts w:ascii="Garamond" w:hAnsi="Garamond"/>
        </w:rPr>
        <w:t xml:space="preserve"> et al </w:t>
      </w:r>
      <w:r w:rsidR="00496FE5">
        <w:rPr>
          <w:rFonts w:ascii="Garamond" w:hAnsi="Garamond"/>
        </w:rPr>
        <w:fldChar w:fldCharType="begin"/>
      </w:r>
      <w:r>
        <w:rPr>
          <w:rFonts w:ascii="Garamond" w:hAnsi="Garamond"/>
        </w:rPr>
        <w:instrText>ADDIN RW.CITE{{203 Cavalcanti,TiagoV.deV 2012 /a}}</w:instrText>
      </w:r>
      <w:r w:rsidR="00496FE5">
        <w:rPr>
          <w:rFonts w:ascii="Garamond" w:hAnsi="Garamond"/>
        </w:rPr>
        <w:fldChar w:fldCharType="separate"/>
      </w:r>
      <w:r>
        <w:rPr>
          <w:rFonts w:ascii="Garamond" w:hAnsi="Garamond"/>
        </w:rPr>
        <w:t>(2012)</w:t>
      </w:r>
      <w:r w:rsidR="00496FE5">
        <w:rPr>
          <w:rFonts w:ascii="Garamond" w:hAnsi="Garamond"/>
        </w:rPr>
        <w:fldChar w:fldCharType="end"/>
      </w:r>
      <w:r w:rsidRPr="00EB4B24">
        <w:rPr>
          <w:rFonts w:ascii="Garamond" w:hAnsi="Garamond"/>
        </w:rPr>
        <w:t xml:space="preserve"> findings was one of the most complete because they take into account resource curse literature both from the view of </w:t>
      </w:r>
      <w:proofErr w:type="spellStart"/>
      <w:r w:rsidRPr="00EB4B24">
        <w:rPr>
          <w:rFonts w:ascii="Garamond" w:hAnsi="Garamond"/>
        </w:rPr>
        <w:t>structuralist</w:t>
      </w:r>
      <w:proofErr w:type="spellEnd"/>
      <w:r w:rsidRPr="00EB4B24">
        <w:rPr>
          <w:rFonts w:ascii="Garamond" w:hAnsi="Garamond"/>
        </w:rPr>
        <w:t xml:space="preserve"> and new institution but the categorization of countries groups have weak reference and argument because they only explain that commodity dependence country is the one with more than 50% commodity export is </w:t>
      </w:r>
      <w:r w:rsidRPr="00EB4B24">
        <w:rPr>
          <w:rFonts w:ascii="Garamond" w:hAnsi="Garamond"/>
        </w:rPr>
        <w:lastRenderedPageBreak/>
        <w:t>commodity dependent and they were trapped in the same method of using only GDP share as sole measurements of such dependency. They need more validated measurement and data to support their categorization. In order to generate comprehensive results in determining a country is commodity dependence by measuring</w:t>
      </w:r>
      <w:r w:rsidRPr="00EB4B24">
        <w:rPr>
          <w:rFonts w:ascii="Garamond" w:eastAsiaTheme="minorHAnsi" w:hAnsi="Garamond" w:cs="BookAntiqua"/>
        </w:rPr>
        <w:t xml:space="preserve"> the share of export earnings of the top single commodity or top three export commodities in GDP in total merchandise exports, percentage of total employment in commodity production and share of government revenue</w:t>
      </w:r>
      <w:r>
        <w:rPr>
          <w:rFonts w:ascii="Garamond" w:eastAsiaTheme="minorHAnsi" w:hAnsi="Garamond" w:cs="BookAntiqua"/>
        </w:rPr>
        <w:t xml:space="preserve"> </w:t>
      </w:r>
      <w:r w:rsidR="00496FE5">
        <w:rPr>
          <w:rFonts w:ascii="Garamond" w:eastAsiaTheme="minorHAnsi" w:hAnsi="Garamond" w:cs="BookAntiqua"/>
        </w:rPr>
        <w:fldChar w:fldCharType="begin"/>
      </w:r>
      <w:r>
        <w:rPr>
          <w:rFonts w:ascii="Garamond" w:eastAsiaTheme="minorHAnsi" w:hAnsi="Garamond" w:cs="BookAntiqua"/>
        </w:rPr>
        <w:instrText>ADDIN RW.CITE{{205 SouthCenter 2005}}</w:instrText>
      </w:r>
      <w:r w:rsidR="00496FE5">
        <w:rPr>
          <w:rFonts w:ascii="Garamond" w:eastAsiaTheme="minorHAnsi" w:hAnsi="Garamond" w:cs="BookAntiqua"/>
        </w:rPr>
        <w:fldChar w:fldCharType="separate"/>
      </w:r>
      <w:r>
        <w:rPr>
          <w:rFonts w:ascii="Garamond" w:eastAsiaTheme="minorHAnsi" w:hAnsi="Garamond" w:cs="BookAntiqua"/>
        </w:rPr>
        <w:t>(South Center 2005)</w:t>
      </w:r>
      <w:r w:rsidR="00496FE5">
        <w:rPr>
          <w:rFonts w:ascii="Garamond" w:eastAsiaTheme="minorHAnsi" w:hAnsi="Garamond" w:cs="BookAntiqua"/>
        </w:rPr>
        <w:fldChar w:fldCharType="end"/>
      </w:r>
      <w:r w:rsidRPr="00EB4B24">
        <w:rPr>
          <w:rFonts w:ascii="Garamond" w:eastAsiaTheme="minorHAnsi" w:hAnsi="Garamond" w:cs="BookAntiqua"/>
        </w:rPr>
        <w:t xml:space="preserve">. While </w:t>
      </w:r>
      <w:proofErr w:type="spellStart"/>
      <w:r w:rsidRPr="00EB4B24">
        <w:rPr>
          <w:rFonts w:ascii="Garamond" w:hAnsi="Garamond"/>
        </w:rPr>
        <w:t>Bleaney</w:t>
      </w:r>
      <w:proofErr w:type="spellEnd"/>
      <w:r w:rsidRPr="00EB4B24">
        <w:rPr>
          <w:rFonts w:ascii="Garamond" w:hAnsi="Garamond"/>
        </w:rPr>
        <w:t xml:space="preserve"> and Greenaway</w:t>
      </w:r>
      <w:r>
        <w:rPr>
          <w:rFonts w:ascii="Garamond" w:hAnsi="Garamond"/>
        </w:rPr>
        <w:t xml:space="preserve"> </w:t>
      </w:r>
      <w:r w:rsidR="00496FE5">
        <w:rPr>
          <w:rFonts w:ascii="Garamond" w:hAnsi="Garamond"/>
        </w:rPr>
        <w:fldChar w:fldCharType="begin"/>
      </w:r>
      <w:r>
        <w:rPr>
          <w:rFonts w:ascii="Garamond" w:hAnsi="Garamond"/>
        </w:rPr>
        <w:instrText>ADDIN RW.CITE{{204 Bleaney,Michael 2001 /a}}</w:instrText>
      </w:r>
      <w:r w:rsidR="00496FE5">
        <w:rPr>
          <w:rFonts w:ascii="Garamond" w:hAnsi="Garamond"/>
        </w:rPr>
        <w:fldChar w:fldCharType="separate"/>
      </w:r>
      <w:r>
        <w:rPr>
          <w:rFonts w:ascii="Garamond" w:hAnsi="Garamond"/>
        </w:rPr>
        <w:t>(2001)</w:t>
      </w:r>
      <w:r w:rsidR="00496FE5">
        <w:rPr>
          <w:rFonts w:ascii="Garamond" w:hAnsi="Garamond"/>
        </w:rPr>
        <w:fldChar w:fldCharType="end"/>
      </w:r>
      <w:r>
        <w:rPr>
          <w:rFonts w:ascii="Garamond" w:hAnsi="Garamond"/>
        </w:rPr>
        <w:t xml:space="preserve"> </w:t>
      </w:r>
      <w:r w:rsidRPr="00EB4B24">
        <w:rPr>
          <w:rFonts w:ascii="Garamond" w:eastAsiaTheme="minorHAnsi" w:hAnsi="Garamond" w:cs="BookAntiqua"/>
        </w:rPr>
        <w:t>findings only shows the correlations between specialization in commodity exports impact on growth and only used two variables that is the exchange rate and terms of trade volatility without deeply analyzing the resource curse literature and the political issues.</w:t>
      </w:r>
    </w:p>
    <w:p w:rsidR="002506F2" w:rsidRPr="00EB4B24" w:rsidRDefault="002506F2" w:rsidP="002506F2">
      <w:pPr>
        <w:autoSpaceDE w:val="0"/>
        <w:autoSpaceDN w:val="0"/>
        <w:adjustRightInd w:val="0"/>
        <w:jc w:val="both"/>
        <w:rPr>
          <w:rFonts w:ascii="Garamond" w:eastAsiaTheme="minorHAnsi" w:hAnsi="Garamond" w:cs="BookAntiqua"/>
        </w:rPr>
      </w:pPr>
    </w:p>
    <w:p w:rsidR="002506F2" w:rsidRDefault="002506F2" w:rsidP="002506F2">
      <w:pPr>
        <w:autoSpaceDE w:val="0"/>
        <w:autoSpaceDN w:val="0"/>
        <w:adjustRightInd w:val="0"/>
        <w:jc w:val="both"/>
        <w:rPr>
          <w:rFonts w:ascii="Garamond" w:eastAsiaTheme="minorHAnsi" w:hAnsi="Garamond" w:cs="BookAntiqua"/>
        </w:rPr>
      </w:pPr>
      <w:r w:rsidRPr="00EB4B24">
        <w:rPr>
          <w:rFonts w:ascii="Garamond" w:eastAsiaTheme="minorHAnsi" w:hAnsi="Garamond" w:cs="BookAntiqua"/>
        </w:rPr>
        <w:t>On the other hand, Collier research was also a comprehensive one where they investigate the effects of different type of commodity on growth and they also analyze on the resource curse literature but the conclusions were weak when they conclude that recent post 2000 commodity booms would likely to have long term adverse impact on commodity dependent countries by analogous the historical trend while it is not proven yet.</w:t>
      </w:r>
    </w:p>
    <w:p w:rsidR="002506F2" w:rsidRDefault="002506F2" w:rsidP="002506F2">
      <w:pPr>
        <w:autoSpaceDE w:val="0"/>
        <w:autoSpaceDN w:val="0"/>
        <w:adjustRightInd w:val="0"/>
        <w:jc w:val="both"/>
        <w:rPr>
          <w:rFonts w:ascii="Garamond" w:eastAsiaTheme="minorHAnsi" w:hAnsi="Garamond" w:cs="BookAntiqua"/>
        </w:rPr>
      </w:pPr>
    </w:p>
    <w:p w:rsidR="002506F2" w:rsidRPr="00F842BE" w:rsidRDefault="002506F2" w:rsidP="002506F2">
      <w:pPr>
        <w:autoSpaceDE w:val="0"/>
        <w:autoSpaceDN w:val="0"/>
        <w:adjustRightInd w:val="0"/>
        <w:jc w:val="both"/>
        <w:rPr>
          <w:rFonts w:ascii="Garamond" w:eastAsiaTheme="minorHAnsi" w:hAnsi="Garamond" w:cs="BookAntiqua"/>
        </w:rPr>
      </w:pPr>
      <w:r>
        <w:rPr>
          <w:rFonts w:ascii="Garamond" w:eastAsiaTheme="minorHAnsi" w:hAnsi="Garamond" w:cs="BookAntiqua"/>
        </w:rPr>
        <w:t>Moreover, all of the above findings use the econometrics models that only explain the correlations and they tend</w:t>
      </w:r>
      <w:r w:rsidRPr="00B85DBA">
        <w:rPr>
          <w:rFonts w:ascii="Garamond" w:hAnsi="Garamond"/>
        </w:rPr>
        <w:t xml:space="preserve"> to present correlations as causal relations where more experiments and better data analysis could be used to address issues in a research </w:t>
      </w:r>
      <w:r w:rsidR="00496FE5">
        <w:rPr>
          <w:rFonts w:ascii="Garamond" w:hAnsi="Garamond"/>
        </w:rPr>
        <w:fldChar w:fldCharType="begin"/>
      </w:r>
      <w:r>
        <w:rPr>
          <w:rFonts w:ascii="Garamond" w:hAnsi="Garamond"/>
        </w:rPr>
        <w:instrText>ADDIN RW.CITE{{187 Black,Fischer 1982}}</w:instrText>
      </w:r>
      <w:r w:rsidR="00496FE5">
        <w:rPr>
          <w:rFonts w:ascii="Garamond" w:hAnsi="Garamond"/>
        </w:rPr>
        <w:fldChar w:fldCharType="separate"/>
      </w:r>
      <w:r>
        <w:rPr>
          <w:rFonts w:ascii="Garamond" w:hAnsi="Garamond"/>
        </w:rPr>
        <w:t>(Black 1982)</w:t>
      </w:r>
      <w:r w:rsidR="00496FE5">
        <w:rPr>
          <w:rFonts w:ascii="Garamond" w:hAnsi="Garamond"/>
        </w:rPr>
        <w:fldChar w:fldCharType="end"/>
      </w:r>
      <w:r>
        <w:rPr>
          <w:rFonts w:ascii="Garamond" w:hAnsi="Garamond"/>
        </w:rPr>
        <w:t>. Those methods didn’t really explain the resource curse impact on growth where the resource curse explains that it’s a causal relationship between commodity dependency and economic growth.</w:t>
      </w:r>
    </w:p>
    <w:p w:rsidR="002506F2" w:rsidRPr="00BD2779" w:rsidRDefault="002506F2" w:rsidP="002506F2">
      <w:pPr>
        <w:pStyle w:val="Heading2"/>
        <w:jc w:val="both"/>
        <w:rPr>
          <w:rFonts w:ascii="Garamond" w:hAnsi="Garamond"/>
          <w:color w:val="auto"/>
        </w:rPr>
      </w:pPr>
      <w:bookmarkStart w:id="32" w:name="_Toc209559680"/>
      <w:bookmarkStart w:id="33" w:name="_Toc343007186"/>
      <w:r w:rsidRPr="00BD2779">
        <w:rPr>
          <w:rFonts w:ascii="Garamond" w:hAnsi="Garamond"/>
          <w:color w:val="auto"/>
        </w:rPr>
        <w:t>2.4 Indonesian Case Study</w:t>
      </w:r>
      <w:bookmarkEnd w:id="32"/>
      <w:bookmarkEnd w:id="33"/>
    </w:p>
    <w:p w:rsidR="002506F2" w:rsidRPr="00B04933" w:rsidRDefault="002506F2" w:rsidP="002506F2">
      <w:pPr>
        <w:jc w:val="both"/>
        <w:rPr>
          <w:rFonts w:ascii="Garamond" w:hAnsi="Garamond"/>
        </w:rPr>
      </w:pPr>
      <w:r w:rsidRPr="00B04933">
        <w:rPr>
          <w:rFonts w:ascii="Garamond" w:hAnsi="Garamond"/>
        </w:rPr>
        <w:t xml:space="preserve">Indonesia has been one of the largest economies that export primary commodity. Hence, its economy has been vulnerable to global commodity prices change even though that Indonesia today has decreasing rate as its manufacture sector has well developed; it is still remain dependent on primary commodity exports in particular mining and agricultural </w:t>
      </w:r>
      <w:r>
        <w:rPr>
          <w:rFonts w:ascii="Garamond" w:hAnsi="Garamond"/>
        </w:rPr>
        <w:t xml:space="preserve">production </w:t>
      </w:r>
      <w:r w:rsidR="00496FE5">
        <w:rPr>
          <w:rFonts w:ascii="Garamond" w:hAnsi="Garamond"/>
        </w:rPr>
        <w:fldChar w:fldCharType="begin"/>
      </w:r>
      <w:r>
        <w:rPr>
          <w:rFonts w:ascii="Garamond" w:hAnsi="Garamond"/>
        </w:rPr>
        <w:instrText>ADDIN RW.CITE{{177 Tambunan,Tulus 2010}}</w:instrText>
      </w:r>
      <w:r w:rsidR="00496FE5">
        <w:rPr>
          <w:rFonts w:ascii="Garamond" w:hAnsi="Garamond"/>
        </w:rPr>
        <w:fldChar w:fldCharType="separate"/>
      </w:r>
      <w:r>
        <w:rPr>
          <w:rFonts w:ascii="Garamond" w:hAnsi="Garamond"/>
        </w:rPr>
        <w:t>(Tambunan 2010)</w:t>
      </w:r>
      <w:r w:rsidR="00496FE5">
        <w:rPr>
          <w:rFonts w:ascii="Garamond" w:hAnsi="Garamond"/>
        </w:rPr>
        <w:fldChar w:fldCharType="end"/>
      </w:r>
      <w:r w:rsidRPr="00B04933">
        <w:rPr>
          <w:rFonts w:ascii="Garamond" w:hAnsi="Garamond"/>
        </w:rPr>
        <w:t>. Both IMF and World Bank used different data set and method and they found that recent boom in primary commodity prices give significant positive impact on its economic growth and less evidence of Dutch Disease and resource curse occurrence on its econ</w:t>
      </w:r>
      <w:r>
        <w:rPr>
          <w:rFonts w:ascii="Garamond" w:hAnsi="Garamond"/>
        </w:rPr>
        <w:t xml:space="preserve">omy </w:t>
      </w:r>
      <w:r w:rsidR="00496FE5">
        <w:rPr>
          <w:rFonts w:ascii="Garamond" w:hAnsi="Garamond"/>
        </w:rPr>
        <w:fldChar w:fldCharType="begin"/>
      </w:r>
      <w:r>
        <w:rPr>
          <w:rFonts w:ascii="Garamond" w:hAnsi="Garamond"/>
        </w:rPr>
        <w:instrText>ADDIN RW.CITE{{170 Lipscomb,Laura 2010; 184 Warr,Peter 2010}}</w:instrText>
      </w:r>
      <w:r w:rsidR="00496FE5">
        <w:rPr>
          <w:rFonts w:ascii="Garamond" w:hAnsi="Garamond"/>
        </w:rPr>
        <w:fldChar w:fldCharType="separate"/>
      </w:r>
      <w:r>
        <w:rPr>
          <w:rFonts w:ascii="Garamond" w:hAnsi="Garamond"/>
        </w:rPr>
        <w:t>(Lipscomb et al. 2010, Warr and Aldaz-Carroll 2010)</w:t>
      </w:r>
      <w:r w:rsidR="00496FE5">
        <w:rPr>
          <w:rFonts w:ascii="Garamond" w:hAnsi="Garamond"/>
        </w:rPr>
        <w:fldChar w:fldCharType="end"/>
      </w:r>
      <w:r w:rsidRPr="00B04933">
        <w:rPr>
          <w:rFonts w:ascii="Garamond" w:hAnsi="Garamond"/>
        </w:rPr>
        <w:t>. On contrary, when global demand fall during the global financial crisis 2008 and 2009 Indonesia exports of primary commodity still in modest stage where the volume of the exports didn’t fall significantly following the financial crisis and didn’t have any significant</w:t>
      </w:r>
      <w:r>
        <w:rPr>
          <w:rFonts w:ascii="Garamond" w:hAnsi="Garamond"/>
        </w:rPr>
        <w:t xml:space="preserve"> negative impact on its growth </w:t>
      </w:r>
      <w:r w:rsidR="00496FE5">
        <w:rPr>
          <w:rFonts w:ascii="Garamond" w:hAnsi="Garamond"/>
        </w:rPr>
        <w:fldChar w:fldCharType="begin"/>
      </w:r>
      <w:r>
        <w:rPr>
          <w:rFonts w:ascii="Garamond" w:hAnsi="Garamond"/>
        </w:rPr>
        <w:instrText>ADDIN RW.CITE{{170 Lipscomb,Laura 2010; 184 Warr,Peter 2010}}</w:instrText>
      </w:r>
      <w:r w:rsidR="00496FE5">
        <w:rPr>
          <w:rFonts w:ascii="Garamond" w:hAnsi="Garamond"/>
        </w:rPr>
        <w:fldChar w:fldCharType="separate"/>
      </w:r>
      <w:r>
        <w:rPr>
          <w:rFonts w:ascii="Garamond" w:hAnsi="Garamond"/>
        </w:rPr>
        <w:t>(Lipscomb et al. 2010, Warr and Aldaz-Carroll 2010)</w:t>
      </w:r>
      <w:r w:rsidR="00496FE5">
        <w:rPr>
          <w:rFonts w:ascii="Garamond" w:hAnsi="Garamond"/>
        </w:rPr>
        <w:fldChar w:fldCharType="end"/>
      </w:r>
      <w:r>
        <w:rPr>
          <w:rFonts w:ascii="Garamond" w:hAnsi="Garamond"/>
        </w:rPr>
        <w:t xml:space="preserve"> </w:t>
      </w:r>
      <w:r w:rsidRPr="00B04933">
        <w:rPr>
          <w:rFonts w:ascii="Garamond" w:hAnsi="Garamond"/>
        </w:rPr>
        <w:t xml:space="preserve">and Indonesia even showed that its growth higher than its neighbor countries such as Singapore, Malaysia, Philippines and Thailand during the crisis in 2008 and 2009 </w:t>
      </w:r>
      <w:r w:rsidR="00496FE5">
        <w:rPr>
          <w:rFonts w:ascii="Garamond" w:hAnsi="Garamond"/>
        </w:rPr>
        <w:fldChar w:fldCharType="begin"/>
      </w:r>
      <w:r>
        <w:rPr>
          <w:rFonts w:ascii="Garamond" w:hAnsi="Garamond"/>
        </w:rPr>
        <w:instrText>ADDIN RW.CITE{{177 Tambunan,Tulus 2010}}</w:instrText>
      </w:r>
      <w:r w:rsidR="00496FE5">
        <w:rPr>
          <w:rFonts w:ascii="Garamond" w:hAnsi="Garamond"/>
        </w:rPr>
        <w:fldChar w:fldCharType="separate"/>
      </w:r>
      <w:r>
        <w:rPr>
          <w:rFonts w:ascii="Garamond" w:hAnsi="Garamond"/>
        </w:rPr>
        <w:t>(Tambunan 2010)</w:t>
      </w:r>
      <w:r w:rsidR="00496FE5">
        <w:rPr>
          <w:rFonts w:ascii="Garamond" w:hAnsi="Garamond"/>
        </w:rPr>
        <w:fldChar w:fldCharType="end"/>
      </w:r>
      <w:r w:rsidRPr="00B04933">
        <w:rPr>
          <w:rFonts w:ascii="Garamond" w:hAnsi="Garamond"/>
        </w:rPr>
        <w:t xml:space="preserve">.   </w:t>
      </w:r>
    </w:p>
    <w:p w:rsidR="002506F2" w:rsidRPr="00B04933" w:rsidRDefault="002506F2" w:rsidP="002506F2">
      <w:pPr>
        <w:jc w:val="both"/>
        <w:rPr>
          <w:rFonts w:ascii="Garamond" w:hAnsi="Garamond"/>
        </w:rPr>
      </w:pPr>
    </w:p>
    <w:p w:rsidR="002506F2" w:rsidRPr="00062C2A" w:rsidRDefault="002506F2" w:rsidP="002506F2">
      <w:pPr>
        <w:jc w:val="both"/>
        <w:rPr>
          <w:rFonts w:ascii="Garamond" w:hAnsi="Garamond" w:cstheme="majorHAnsi"/>
          <w:lang w:eastAsia="ja-JP"/>
        </w:rPr>
      </w:pPr>
      <w:r w:rsidRPr="00B04933">
        <w:rPr>
          <w:rFonts w:ascii="Garamond" w:hAnsi="Garamond"/>
        </w:rPr>
        <w:t xml:space="preserve">Both IMF and World Bank analyze on Indonesia recent growth during the commodity boom that started in 2000s. IMF used both exploratory data analysis to analyze the data from the year of 1990 to 2009 and VAR to analyze the data from 1993 to 2008 to estimate the commodity boom effect on manufacturing sector and explain the growth during this period. IMF found </w:t>
      </w:r>
      <w:r w:rsidRPr="00B04933">
        <w:rPr>
          <w:rFonts w:ascii="Garamond" w:hAnsi="Garamond"/>
        </w:rPr>
        <w:lastRenderedPageBreak/>
        <w:t>that (</w:t>
      </w:r>
      <w:proofErr w:type="spellStart"/>
      <w:r w:rsidRPr="00B04933">
        <w:rPr>
          <w:rFonts w:ascii="Garamond" w:hAnsi="Garamond"/>
        </w:rPr>
        <w:t>i</w:t>
      </w:r>
      <w:proofErr w:type="spellEnd"/>
      <w:r w:rsidRPr="00B04933">
        <w:rPr>
          <w:rFonts w:ascii="Garamond" w:hAnsi="Garamond"/>
        </w:rPr>
        <w:t xml:space="preserve">) there was no strong evidence of Dutch Disease during the commodity boom and the Dutch disease often associated with the </w:t>
      </w:r>
      <w:r w:rsidRPr="00B04933">
        <w:rPr>
          <w:rFonts w:ascii="Garamond" w:hAnsi="Garamond" w:cstheme="majorHAnsi"/>
          <w:lang w:eastAsia="ja-JP"/>
        </w:rPr>
        <w:t xml:space="preserve">currency real appreciation where the currency did appreciate by about 14% during the booms in the late 2003 to mid-2008 but there is no evidence of overvaluation </w:t>
      </w:r>
      <w:r w:rsidRPr="00B04933">
        <w:rPr>
          <w:rFonts w:ascii="Garamond" w:hAnsi="Garamond"/>
        </w:rPr>
        <w:t xml:space="preserve">; (ii) they did find that other sectors was weaken during the boom such as manufacturing sector in textiles, wood manufactures and paper producers was poor and stagnant but it wasn’t cause by the booms but due to the infrastructure bottlenecks and labor market frictions however, the manufacturing sector in chemical, machinery and apparatus show a positive growth as the demand for those products from the booming commodity sector while some other sectors was in sluggish growth as it has been like that even before the commodity boom; (iii) the reliance of Indonesia on commodity sector for its growth does increase Indonesia’s vulnerability to export price volatility but the terms of trade have been quite stable and its export increase to 120% in 2003 to 2008 and its growth was stronger compare to the growth in 1990s with the fact that in 1990s its export boom was driven by manufacture sector while in 2003 to 2008 was driven by commodity </w:t>
      </w:r>
      <w:r w:rsidRPr="00062C2A">
        <w:rPr>
          <w:rFonts w:ascii="Garamond" w:hAnsi="Garamond"/>
        </w:rPr>
        <w:t xml:space="preserve">exports </w:t>
      </w:r>
      <w:r w:rsidR="00496FE5" w:rsidRPr="00062C2A">
        <w:rPr>
          <w:rFonts w:ascii="Garamond" w:hAnsi="Garamond"/>
        </w:rPr>
        <w:fldChar w:fldCharType="begin"/>
      </w:r>
      <w:r w:rsidRPr="00062C2A">
        <w:rPr>
          <w:rFonts w:ascii="Garamond" w:hAnsi="Garamond"/>
        </w:rPr>
        <w:instrText>ADDIN RW.CITE{{170 Lipscomb,Laura 2010}}</w:instrText>
      </w:r>
      <w:r w:rsidR="00496FE5" w:rsidRPr="00062C2A">
        <w:rPr>
          <w:rFonts w:ascii="Garamond" w:hAnsi="Garamond"/>
        </w:rPr>
        <w:fldChar w:fldCharType="separate"/>
      </w:r>
      <w:r w:rsidRPr="00062C2A">
        <w:rPr>
          <w:rFonts w:ascii="Garamond" w:hAnsi="Garamond"/>
        </w:rPr>
        <w:t>(Lipscomb et al. 2010)</w:t>
      </w:r>
      <w:r w:rsidR="00496FE5" w:rsidRPr="00062C2A">
        <w:rPr>
          <w:rFonts w:ascii="Garamond" w:hAnsi="Garamond"/>
        </w:rPr>
        <w:fldChar w:fldCharType="end"/>
      </w:r>
      <w:r w:rsidRPr="00062C2A">
        <w:rPr>
          <w:rFonts w:ascii="Garamond" w:hAnsi="Garamond"/>
        </w:rPr>
        <w:t xml:space="preserve">. </w:t>
      </w:r>
    </w:p>
    <w:p w:rsidR="002506F2" w:rsidRPr="00062C2A" w:rsidRDefault="002506F2" w:rsidP="002506F2">
      <w:pPr>
        <w:jc w:val="both"/>
        <w:rPr>
          <w:rFonts w:ascii="Garamond" w:hAnsi="Garamond"/>
        </w:rPr>
      </w:pPr>
    </w:p>
    <w:p w:rsidR="002506F2" w:rsidRPr="00062C2A" w:rsidRDefault="002506F2" w:rsidP="002506F2">
      <w:pPr>
        <w:jc w:val="both"/>
        <w:rPr>
          <w:rFonts w:ascii="Garamond" w:hAnsi="Garamond"/>
        </w:rPr>
      </w:pPr>
      <w:r w:rsidRPr="00062C2A">
        <w:rPr>
          <w:rFonts w:ascii="Garamond" w:hAnsi="Garamond"/>
        </w:rPr>
        <w:t xml:space="preserve">World Bank on the other hand narrowed their analysis both short-term impact on the year 2005 to 2008 on actual data where the global commodity prices rise at its peak and long-term impact on year of 2005 to 2020 on projected data using the </w:t>
      </w:r>
      <w:proofErr w:type="spellStart"/>
      <w:r w:rsidRPr="00062C2A">
        <w:rPr>
          <w:rFonts w:ascii="Garamond" w:hAnsi="Garamond"/>
        </w:rPr>
        <w:t>Wayang</w:t>
      </w:r>
      <w:proofErr w:type="spellEnd"/>
      <w:r w:rsidRPr="00062C2A">
        <w:rPr>
          <w:rFonts w:ascii="Garamond" w:hAnsi="Garamond"/>
        </w:rPr>
        <w:t xml:space="preserve"> 2005 general equilibrium model but the focus is to be the short-term impact of commodity booms during 2005 to 2008. They found that in the short run, the impact of global commodity price increases gives positive impact on Indonesia economy where the evidence shows that there was a decline in rural poverty of 4.7% and urban poverty of 2.7% also accentuated by government cash transfer system to compensate the poor consumers from international petroleum price rise hence the overall rate of poverty decline for 4.1% and increasing terms of trade. To be more specific, World Bank divided the analysis on each commodity sector notably energy sector, agricultural sector and mining sector. In the energy sector, the price rise has adverse impact on government spending, as Indonesia is net importer of petroleum products. Indonesia government responded to this condition by increase the subsidy on this product and cash transfer to the poor consumers to decrease the adverse impact. In general, the rise in agriculture products benefits the producer but it harms the consumer of rural and urban areas where the price rise increases their expenditure on food items but the rural poor income increase and as the demand for unskilled labor rise. While in the price rise in the mining sector benefits the most on Indonesia economy. It shows that in the short run mining sector enhance robust economic growth, which induces investment in this sector </w:t>
      </w:r>
      <w:r w:rsidR="00496FE5" w:rsidRPr="00062C2A">
        <w:rPr>
          <w:rFonts w:ascii="Garamond" w:hAnsi="Garamond"/>
        </w:rPr>
        <w:fldChar w:fldCharType="begin"/>
      </w:r>
      <w:r w:rsidRPr="00062C2A">
        <w:rPr>
          <w:rFonts w:ascii="Garamond" w:hAnsi="Garamond"/>
        </w:rPr>
        <w:instrText>ADDIN RW.CITE{{184 Warr,Peter 2010}}</w:instrText>
      </w:r>
      <w:r w:rsidR="00496FE5" w:rsidRPr="00062C2A">
        <w:rPr>
          <w:rFonts w:ascii="Garamond" w:hAnsi="Garamond"/>
        </w:rPr>
        <w:fldChar w:fldCharType="separate"/>
      </w:r>
      <w:r w:rsidRPr="00062C2A">
        <w:rPr>
          <w:rFonts w:ascii="Garamond" w:hAnsi="Garamond"/>
        </w:rPr>
        <w:t>(Warr and Aldaz-Carroll 2010)</w:t>
      </w:r>
      <w:r w:rsidR="00496FE5" w:rsidRPr="00062C2A">
        <w:rPr>
          <w:rFonts w:ascii="Garamond" w:hAnsi="Garamond"/>
        </w:rPr>
        <w:fldChar w:fldCharType="end"/>
      </w:r>
      <w:r w:rsidRPr="00062C2A">
        <w:rPr>
          <w:rFonts w:ascii="Garamond" w:hAnsi="Garamond"/>
        </w:rPr>
        <w:t>.</w:t>
      </w:r>
    </w:p>
    <w:p w:rsidR="002506F2" w:rsidRPr="00062C2A" w:rsidRDefault="002506F2" w:rsidP="002506F2">
      <w:pPr>
        <w:jc w:val="both"/>
        <w:rPr>
          <w:rFonts w:ascii="Garamond" w:hAnsi="Garamond"/>
        </w:rPr>
      </w:pPr>
    </w:p>
    <w:p w:rsidR="002506F2" w:rsidRPr="00B04933" w:rsidRDefault="002506F2" w:rsidP="002506F2">
      <w:pPr>
        <w:jc w:val="both"/>
        <w:rPr>
          <w:rFonts w:ascii="Garamond" w:hAnsi="Garamond"/>
        </w:rPr>
      </w:pPr>
      <w:r w:rsidRPr="00B04933">
        <w:rPr>
          <w:rFonts w:ascii="Garamond" w:hAnsi="Garamond"/>
        </w:rPr>
        <w:t>In sum, both World Bank and IMF analysis in line with the other research on other commodity dependent economy show that in the short run, commodity booms does benefit Indonesia in a way of boosting economic growth, enhancing exports and increase investment in commodity sector as it is one of the largest commodi</w:t>
      </w:r>
      <w:r>
        <w:rPr>
          <w:rFonts w:ascii="Garamond" w:hAnsi="Garamond"/>
        </w:rPr>
        <w:t xml:space="preserve">ty exporter. From the IMF </w:t>
      </w:r>
      <w:r w:rsidR="00496FE5">
        <w:rPr>
          <w:rFonts w:ascii="Garamond" w:hAnsi="Garamond"/>
        </w:rPr>
        <w:fldChar w:fldCharType="begin"/>
      </w:r>
      <w:r>
        <w:rPr>
          <w:rFonts w:ascii="Garamond" w:hAnsi="Garamond"/>
        </w:rPr>
        <w:instrText>ADDIN RW.CITE{{170 Lipscomb,Laura 2010 /a}}</w:instrText>
      </w:r>
      <w:r w:rsidR="00496FE5">
        <w:rPr>
          <w:rFonts w:ascii="Garamond" w:hAnsi="Garamond"/>
        </w:rPr>
        <w:fldChar w:fldCharType="separate"/>
      </w:r>
      <w:r>
        <w:rPr>
          <w:rFonts w:ascii="Garamond" w:hAnsi="Garamond"/>
        </w:rPr>
        <w:t>(2010)</w:t>
      </w:r>
      <w:r w:rsidR="00496FE5">
        <w:rPr>
          <w:rFonts w:ascii="Garamond" w:hAnsi="Garamond"/>
        </w:rPr>
        <w:fldChar w:fldCharType="end"/>
      </w:r>
      <w:r w:rsidRPr="00B04933">
        <w:rPr>
          <w:rFonts w:ascii="Garamond" w:hAnsi="Garamond"/>
        </w:rPr>
        <w:t xml:space="preserve"> they found that there is no resource curse occur in Indonesia as commodity dependence country instead the commodity prices booms enhance its economic growth so does the findings of the World Bank </w:t>
      </w:r>
      <w:r w:rsidR="00496FE5">
        <w:rPr>
          <w:rFonts w:ascii="Garamond" w:hAnsi="Garamond"/>
        </w:rPr>
        <w:fldChar w:fldCharType="begin"/>
      </w:r>
      <w:r>
        <w:rPr>
          <w:rFonts w:ascii="Garamond" w:hAnsi="Garamond"/>
        </w:rPr>
        <w:instrText>ADDIN RW.CITE{{184 Warr,Peter 2010 /a}}</w:instrText>
      </w:r>
      <w:r w:rsidR="00496FE5">
        <w:rPr>
          <w:rFonts w:ascii="Garamond" w:hAnsi="Garamond"/>
        </w:rPr>
        <w:fldChar w:fldCharType="separate"/>
      </w:r>
      <w:r>
        <w:rPr>
          <w:rFonts w:ascii="Garamond" w:hAnsi="Garamond"/>
        </w:rPr>
        <w:t>(2010)</w:t>
      </w:r>
      <w:r w:rsidR="00496FE5">
        <w:rPr>
          <w:rFonts w:ascii="Garamond" w:hAnsi="Garamond"/>
        </w:rPr>
        <w:fldChar w:fldCharType="end"/>
      </w:r>
      <w:r>
        <w:rPr>
          <w:rFonts w:ascii="Garamond" w:hAnsi="Garamond"/>
        </w:rPr>
        <w:t xml:space="preserve"> </w:t>
      </w:r>
      <w:r w:rsidRPr="00B04933">
        <w:rPr>
          <w:rFonts w:ascii="Garamond" w:hAnsi="Garamond"/>
        </w:rPr>
        <w:t xml:space="preserve">where they argue that the rise in prices of </w:t>
      </w:r>
      <w:r w:rsidRPr="00B04933">
        <w:rPr>
          <w:rFonts w:ascii="Garamond" w:hAnsi="Garamond"/>
        </w:rPr>
        <w:lastRenderedPageBreak/>
        <w:t xml:space="preserve">commodity in commodity sector such as Energy does have adverse impact on its economy and agriculture sector does have adverse impact too but not significantly hamper its economic growth, on the other hand, the mining sector gives significant positive impact. </w:t>
      </w:r>
    </w:p>
    <w:p w:rsidR="002506F2" w:rsidRPr="00B04933" w:rsidRDefault="002506F2" w:rsidP="002506F2">
      <w:pPr>
        <w:jc w:val="both"/>
        <w:rPr>
          <w:rFonts w:ascii="Garamond" w:hAnsi="Garamond"/>
        </w:rPr>
      </w:pPr>
    </w:p>
    <w:p w:rsidR="002506F2" w:rsidRPr="00B04933" w:rsidRDefault="002506F2" w:rsidP="002506F2">
      <w:pPr>
        <w:jc w:val="both"/>
        <w:rPr>
          <w:rFonts w:ascii="Garamond" w:hAnsi="Garamond"/>
          <w:i/>
        </w:rPr>
      </w:pPr>
      <w:r w:rsidRPr="00B04933">
        <w:rPr>
          <w:rFonts w:ascii="Garamond" w:hAnsi="Garamond"/>
          <w:i/>
        </w:rPr>
        <w:t>Criticism</w:t>
      </w:r>
    </w:p>
    <w:p w:rsidR="002506F2" w:rsidRPr="00B04933" w:rsidRDefault="002506F2" w:rsidP="002506F2">
      <w:pPr>
        <w:jc w:val="both"/>
        <w:rPr>
          <w:rFonts w:ascii="Garamond" w:hAnsi="Garamond"/>
        </w:rPr>
      </w:pPr>
      <w:r w:rsidRPr="00B04933">
        <w:rPr>
          <w:rFonts w:ascii="Garamond" w:hAnsi="Garamond"/>
        </w:rPr>
        <w:t xml:space="preserve">The findings of World Bank </w:t>
      </w:r>
      <w:r w:rsidR="00496FE5">
        <w:rPr>
          <w:rFonts w:ascii="Garamond" w:hAnsi="Garamond"/>
        </w:rPr>
        <w:fldChar w:fldCharType="begin"/>
      </w:r>
      <w:r>
        <w:rPr>
          <w:rFonts w:ascii="Garamond" w:hAnsi="Garamond"/>
        </w:rPr>
        <w:instrText>ADDIN RW.CITE{{184 Warr,Peter 2010 /a}}</w:instrText>
      </w:r>
      <w:r w:rsidR="00496FE5">
        <w:rPr>
          <w:rFonts w:ascii="Garamond" w:hAnsi="Garamond"/>
        </w:rPr>
        <w:fldChar w:fldCharType="separate"/>
      </w:r>
      <w:r>
        <w:rPr>
          <w:rFonts w:ascii="Garamond" w:hAnsi="Garamond"/>
        </w:rPr>
        <w:t>(2010)</w:t>
      </w:r>
      <w:r w:rsidR="00496FE5">
        <w:rPr>
          <w:rFonts w:ascii="Garamond" w:hAnsi="Garamond"/>
        </w:rPr>
        <w:fldChar w:fldCharType="end"/>
      </w:r>
      <w:r w:rsidRPr="00B04933">
        <w:rPr>
          <w:rFonts w:ascii="Garamond" w:hAnsi="Garamond"/>
        </w:rPr>
        <w:t xml:space="preserve"> didn’t go deeper to the literature debate regarding the adverse impact of commodity dependency during the booms and busts. It only shows the magnitude of the impact of commodity booms on Indonesia economy</w:t>
      </w:r>
      <w:r>
        <w:rPr>
          <w:rFonts w:ascii="Garamond" w:hAnsi="Garamond"/>
        </w:rPr>
        <w:t xml:space="preserve"> without related it to the resource curse literature and didn’t explain what kind of adverse impact that causes by the dependency on commodity</w:t>
      </w:r>
      <w:r w:rsidRPr="00B04933">
        <w:rPr>
          <w:rFonts w:ascii="Garamond" w:hAnsi="Garamond"/>
        </w:rPr>
        <w:t xml:space="preserve">. </w:t>
      </w:r>
      <w:r>
        <w:rPr>
          <w:rFonts w:ascii="Garamond" w:hAnsi="Garamond"/>
        </w:rPr>
        <w:t>Moreover,</w:t>
      </w:r>
      <w:r w:rsidRPr="00B04933">
        <w:rPr>
          <w:rFonts w:ascii="Garamond" w:hAnsi="Garamond"/>
        </w:rPr>
        <w:t xml:space="preserve"> the length of the current data they used was too short </w:t>
      </w:r>
      <w:r>
        <w:rPr>
          <w:rFonts w:ascii="Garamond" w:hAnsi="Garamond"/>
        </w:rPr>
        <w:t>and</w:t>
      </w:r>
      <w:r w:rsidRPr="00B04933">
        <w:rPr>
          <w:rFonts w:ascii="Garamond" w:hAnsi="Garamond"/>
        </w:rPr>
        <w:t xml:space="preserve"> t</w:t>
      </w:r>
      <w:r>
        <w:rPr>
          <w:rFonts w:ascii="Garamond" w:hAnsi="Garamond"/>
        </w:rPr>
        <w:t>hey try to explain long term impact using projected</w:t>
      </w:r>
      <w:r w:rsidRPr="00B04933">
        <w:rPr>
          <w:rFonts w:ascii="Garamond" w:hAnsi="Garamond"/>
        </w:rPr>
        <w:t xml:space="preserve"> data until 2020 which</w:t>
      </w:r>
      <w:r>
        <w:rPr>
          <w:rFonts w:ascii="Garamond" w:hAnsi="Garamond"/>
        </w:rPr>
        <w:t xml:space="preserve"> the data accuracy are still to be questioned. Also</w:t>
      </w:r>
      <w:r w:rsidRPr="00B04933">
        <w:rPr>
          <w:rFonts w:ascii="Garamond" w:hAnsi="Garamond"/>
        </w:rPr>
        <w:t xml:space="preserve"> it doesn’t make any sense where they didn’t use historical data to explain the trend and make their arguments on the findings strong enough.</w:t>
      </w:r>
    </w:p>
    <w:p w:rsidR="002506F2" w:rsidRPr="00B04933" w:rsidRDefault="002506F2" w:rsidP="002506F2">
      <w:pPr>
        <w:jc w:val="both"/>
        <w:rPr>
          <w:rFonts w:ascii="Garamond" w:hAnsi="Garamond"/>
        </w:rPr>
      </w:pPr>
    </w:p>
    <w:p w:rsidR="002506F2" w:rsidRPr="00B04933" w:rsidRDefault="002506F2" w:rsidP="002506F2">
      <w:pPr>
        <w:jc w:val="both"/>
        <w:rPr>
          <w:rFonts w:ascii="Garamond" w:hAnsi="Garamond"/>
        </w:rPr>
      </w:pPr>
      <w:r w:rsidRPr="00B04933">
        <w:rPr>
          <w:rFonts w:ascii="Garamond" w:hAnsi="Garamond"/>
        </w:rPr>
        <w:t>On the other hand,</w:t>
      </w:r>
      <w:r>
        <w:rPr>
          <w:rFonts w:ascii="Garamond" w:hAnsi="Garamond"/>
        </w:rPr>
        <w:t xml:space="preserve"> IMF </w:t>
      </w:r>
      <w:r w:rsidR="00496FE5">
        <w:rPr>
          <w:rFonts w:ascii="Garamond" w:hAnsi="Garamond"/>
        </w:rPr>
        <w:fldChar w:fldCharType="begin"/>
      </w:r>
      <w:r>
        <w:rPr>
          <w:rFonts w:ascii="Garamond" w:hAnsi="Garamond"/>
        </w:rPr>
        <w:instrText>ADDIN RW.CITE{{170 Lipscomb,Laura 2010 /a}}</w:instrText>
      </w:r>
      <w:r w:rsidR="00496FE5">
        <w:rPr>
          <w:rFonts w:ascii="Garamond" w:hAnsi="Garamond"/>
        </w:rPr>
        <w:fldChar w:fldCharType="separate"/>
      </w:r>
      <w:r>
        <w:rPr>
          <w:rFonts w:ascii="Garamond" w:hAnsi="Garamond"/>
        </w:rPr>
        <w:t>(2010)</w:t>
      </w:r>
      <w:r w:rsidR="00496FE5">
        <w:rPr>
          <w:rFonts w:ascii="Garamond" w:hAnsi="Garamond"/>
        </w:rPr>
        <w:fldChar w:fldCharType="end"/>
      </w:r>
      <w:r>
        <w:rPr>
          <w:rFonts w:ascii="Garamond" w:hAnsi="Garamond"/>
        </w:rPr>
        <w:t xml:space="preserve"> research </w:t>
      </w:r>
      <w:r w:rsidRPr="00B04933">
        <w:rPr>
          <w:rFonts w:ascii="Garamond" w:hAnsi="Garamond"/>
        </w:rPr>
        <w:t>methods could be accounted as the most complete one where they use both exploratory data analysis and VAR. However, the data used in their research started from 1990 which they didn’t use any historical data as comparison to the current one and there was no strong arguments why they start from the year of 1990. Moreover, the</w:t>
      </w:r>
      <w:r>
        <w:rPr>
          <w:rFonts w:ascii="Garamond" w:hAnsi="Garamond"/>
        </w:rPr>
        <w:t xml:space="preserve"> resource curse</w:t>
      </w:r>
      <w:r w:rsidRPr="00B04933">
        <w:rPr>
          <w:rFonts w:ascii="Garamond" w:hAnsi="Garamond"/>
        </w:rPr>
        <w:t xml:space="preserve"> literature they use to </w:t>
      </w:r>
      <w:r>
        <w:rPr>
          <w:rFonts w:ascii="Garamond" w:hAnsi="Garamond"/>
        </w:rPr>
        <w:t>analyze</w:t>
      </w:r>
      <w:r w:rsidRPr="00B04933">
        <w:rPr>
          <w:rFonts w:ascii="Garamond" w:hAnsi="Garamond"/>
        </w:rPr>
        <w:t xml:space="preserve"> the dependency on commodity only limited to the Dutch disease and terms of trade issues while there are more than those two impacts on economic growth. </w:t>
      </w:r>
      <w:r>
        <w:rPr>
          <w:rFonts w:ascii="Garamond" w:hAnsi="Garamond"/>
        </w:rPr>
        <w:t>The other weakness of this research is that they didn’t take into account the government macroeconomic policy which is also crucial in determining the impact of dependency on commodity on economic growth.</w:t>
      </w:r>
    </w:p>
    <w:p w:rsidR="002506F2" w:rsidRDefault="002506F2" w:rsidP="002506F2">
      <w:pPr>
        <w:rPr>
          <w:rFonts w:ascii="Garamond" w:hAnsi="Garamond"/>
        </w:rPr>
      </w:pPr>
    </w:p>
    <w:p w:rsidR="002506F2" w:rsidRDefault="002506F2" w:rsidP="002506F2">
      <w:pPr>
        <w:pStyle w:val="Heading1"/>
        <w:spacing w:before="0"/>
        <w:rPr>
          <w:rFonts w:ascii="Garamond" w:hAnsi="Garamond"/>
          <w:color w:val="auto"/>
        </w:rPr>
      </w:pPr>
      <w:bookmarkStart w:id="34" w:name="_Toc209559681"/>
    </w:p>
    <w:p w:rsidR="002506F2" w:rsidRPr="008D4120" w:rsidRDefault="002506F2" w:rsidP="002506F2"/>
    <w:p w:rsidR="002506F2" w:rsidRDefault="002506F2" w:rsidP="002506F2">
      <w:pPr>
        <w:pStyle w:val="Heading1"/>
        <w:spacing w:before="0"/>
        <w:rPr>
          <w:rFonts w:ascii="Garamond" w:hAnsi="Garamond"/>
          <w:color w:val="auto"/>
        </w:rPr>
      </w:pPr>
    </w:p>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Default="002506F2" w:rsidP="002506F2"/>
    <w:p w:rsidR="002506F2" w:rsidRPr="008D4120" w:rsidRDefault="002506F2" w:rsidP="002506F2"/>
    <w:bookmarkEnd w:id="34"/>
    <w:p w:rsidR="002506F2" w:rsidRDefault="002506F2" w:rsidP="002506F2"/>
    <w:p w:rsidR="002506F2" w:rsidRDefault="002506F2" w:rsidP="002506F2"/>
    <w:p w:rsidR="002506F2" w:rsidRDefault="002506F2" w:rsidP="002506F2"/>
    <w:p w:rsidR="002506F2" w:rsidRPr="008D4120" w:rsidRDefault="002506F2" w:rsidP="002506F2"/>
    <w:p w:rsidR="002506F2" w:rsidRDefault="002506F2" w:rsidP="002506F2">
      <w:pPr>
        <w:pStyle w:val="Heading2"/>
        <w:rPr>
          <w:rFonts w:ascii="Garamond" w:hAnsi="Garamond" w:cstheme="majorHAnsi"/>
          <w:color w:val="auto"/>
          <w:sz w:val="24"/>
          <w:szCs w:val="24"/>
        </w:rPr>
      </w:pPr>
      <w:bookmarkStart w:id="35" w:name="_Toc209559683"/>
    </w:p>
    <w:p w:rsidR="002506F2" w:rsidRPr="008D4120" w:rsidRDefault="002506F2" w:rsidP="002506F2"/>
    <w:p w:rsidR="002506F2" w:rsidRPr="002178FB" w:rsidRDefault="002506F2" w:rsidP="002506F2">
      <w:pPr>
        <w:pStyle w:val="Heading1"/>
        <w:spacing w:before="0"/>
        <w:rPr>
          <w:rFonts w:ascii="Garamond" w:hAnsi="Garamond"/>
          <w:color w:val="auto"/>
          <w:sz w:val="36"/>
          <w:szCs w:val="36"/>
        </w:rPr>
      </w:pPr>
      <w:bookmarkStart w:id="36" w:name="_Toc343007187"/>
      <w:r w:rsidRPr="002178FB">
        <w:rPr>
          <w:rFonts w:ascii="Garamond" w:hAnsi="Garamond"/>
          <w:color w:val="auto"/>
          <w:sz w:val="36"/>
          <w:szCs w:val="36"/>
        </w:rPr>
        <w:lastRenderedPageBreak/>
        <w:t>Chapter 3</w:t>
      </w:r>
      <w:bookmarkEnd w:id="36"/>
    </w:p>
    <w:p w:rsidR="002506F2" w:rsidRPr="002178FB" w:rsidRDefault="002506F2" w:rsidP="002506F2">
      <w:pPr>
        <w:pStyle w:val="Heading1"/>
        <w:spacing w:before="0"/>
        <w:rPr>
          <w:rFonts w:ascii="Garamond" w:hAnsi="Garamond"/>
          <w:color w:val="auto"/>
          <w:sz w:val="36"/>
          <w:szCs w:val="36"/>
        </w:rPr>
      </w:pPr>
      <w:bookmarkStart w:id="37" w:name="_Toc209559682"/>
      <w:bookmarkStart w:id="38" w:name="_Toc343007188"/>
      <w:r w:rsidRPr="002178FB">
        <w:rPr>
          <w:rFonts w:ascii="Garamond" w:hAnsi="Garamond"/>
          <w:color w:val="auto"/>
          <w:sz w:val="36"/>
          <w:szCs w:val="36"/>
        </w:rPr>
        <w:t>Indonesia Economy Background</w:t>
      </w:r>
      <w:bookmarkEnd w:id="37"/>
      <w:bookmarkEnd w:id="38"/>
    </w:p>
    <w:p w:rsidR="002506F2" w:rsidRPr="002178FB" w:rsidRDefault="002506F2" w:rsidP="002506F2">
      <w:pPr>
        <w:pStyle w:val="Heading2"/>
        <w:rPr>
          <w:rFonts w:ascii="Garamond" w:hAnsi="Garamond" w:cstheme="majorHAnsi"/>
          <w:color w:val="auto"/>
          <w:sz w:val="32"/>
          <w:szCs w:val="32"/>
        </w:rPr>
      </w:pPr>
      <w:bookmarkStart w:id="39" w:name="_Toc343007189"/>
      <w:r w:rsidRPr="002178FB">
        <w:rPr>
          <w:rFonts w:ascii="Garamond" w:hAnsi="Garamond" w:cstheme="majorHAnsi"/>
          <w:color w:val="auto"/>
          <w:sz w:val="32"/>
          <w:szCs w:val="32"/>
        </w:rPr>
        <w:t>3.1 Introduction</w:t>
      </w:r>
      <w:bookmarkEnd w:id="35"/>
      <w:bookmarkEnd w:id="39"/>
    </w:p>
    <w:p w:rsidR="002506F2" w:rsidRPr="00B11AEA" w:rsidRDefault="002506F2" w:rsidP="002506F2">
      <w:pPr>
        <w:jc w:val="both"/>
        <w:rPr>
          <w:rFonts w:ascii="Garamond" w:hAnsi="Garamond" w:cstheme="majorHAnsi"/>
        </w:rPr>
      </w:pPr>
      <w:r w:rsidRPr="00B11AEA">
        <w:rPr>
          <w:rFonts w:ascii="Garamond" w:hAnsi="Garamond" w:cstheme="majorHAnsi"/>
        </w:rPr>
        <w:t>Indonesian economy for the past three decades since 1970 to 1996 has been a rapid growth economy where as one of the resource abundant countries and colonized compare to the other same features countries shouldn’t be able to reach such a tremendous achievement. In 1970 to 1996 Indonesia was one of the fastest economic growth country in the world that recorded 7.2% annual growth and the real annual income per capita in 1996 reach nearly four times than it was in 1970 followed by the high poverty reduction from more than 60% in 1970 to 11% in 1996</w:t>
      </w:r>
      <w:r w:rsidR="00496FE5" w:rsidRPr="00B11AEA">
        <w:rPr>
          <w:rFonts w:ascii="Garamond" w:hAnsi="Garamond" w:cstheme="majorHAnsi"/>
        </w:rPr>
        <w:fldChar w:fldCharType="begin"/>
      </w:r>
      <w:r w:rsidRPr="00B11AEA">
        <w:rPr>
          <w:rFonts w:ascii="Garamond" w:hAnsi="Garamond" w:cstheme="majorHAnsi"/>
        </w:rPr>
        <w:instrText>ADDIN RW.CITE{{148 Radelet,S 1999; 141 Temple,Jonathan 2001}}</w:instrText>
      </w:r>
      <w:r w:rsidR="00496FE5" w:rsidRPr="00B11AEA">
        <w:rPr>
          <w:rFonts w:ascii="Garamond" w:hAnsi="Garamond" w:cstheme="majorHAnsi"/>
        </w:rPr>
        <w:fldChar w:fldCharType="separate"/>
      </w:r>
      <w:r w:rsidRPr="00B11AEA">
        <w:rPr>
          <w:rFonts w:ascii="Garamond" w:hAnsi="Garamond" w:cstheme="majorHAnsi"/>
        </w:rPr>
        <w:t>(Radelet 1999, Temple 2001)</w:t>
      </w:r>
      <w:r w:rsidR="00496FE5" w:rsidRPr="00B11AEA">
        <w:rPr>
          <w:rFonts w:ascii="Garamond" w:hAnsi="Garamond" w:cstheme="majorHAnsi"/>
        </w:rPr>
        <w:fldChar w:fldCharType="end"/>
      </w:r>
      <w:r w:rsidRPr="00B11AEA">
        <w:rPr>
          <w:rFonts w:ascii="Garamond" w:hAnsi="Garamond" w:cstheme="majorHAnsi"/>
        </w:rPr>
        <w:t xml:space="preserve">. While the literatures in chapter 2 suggest that resource abundant countries tend to have slow economic growth rather than those with less resources and natural resources could only bring blessing to those countries with the presence of good institutions. </w:t>
      </w:r>
    </w:p>
    <w:p w:rsidR="002506F2" w:rsidRPr="00B11AEA" w:rsidRDefault="002506F2" w:rsidP="002506F2">
      <w:pPr>
        <w:jc w:val="both"/>
        <w:rPr>
          <w:rFonts w:ascii="Garamond" w:hAnsi="Garamond" w:cstheme="majorHAnsi"/>
        </w:rPr>
      </w:pPr>
    </w:p>
    <w:p w:rsidR="002506F2" w:rsidRPr="00B11AEA" w:rsidRDefault="002506F2" w:rsidP="002506F2">
      <w:pPr>
        <w:jc w:val="both"/>
        <w:rPr>
          <w:rFonts w:ascii="Garamond" w:hAnsi="Garamond" w:cstheme="majorHAnsi"/>
        </w:rPr>
      </w:pPr>
      <w:r w:rsidRPr="00B11AEA">
        <w:rPr>
          <w:rFonts w:ascii="Garamond" w:hAnsi="Garamond" w:cstheme="majorHAnsi"/>
        </w:rPr>
        <w:t>This chapter gives brief overview of Indonesia economy. This chapter will be organize as follow; the 2</w:t>
      </w:r>
      <w:r w:rsidRPr="00B11AEA">
        <w:rPr>
          <w:rFonts w:ascii="Garamond" w:hAnsi="Garamond" w:cstheme="majorHAnsi"/>
          <w:vertAlign w:val="superscript"/>
        </w:rPr>
        <w:t>nd</w:t>
      </w:r>
      <w:r w:rsidRPr="00B11AEA">
        <w:rPr>
          <w:rFonts w:ascii="Garamond" w:hAnsi="Garamond" w:cstheme="majorHAnsi"/>
        </w:rPr>
        <w:t xml:space="preserve"> section gives the overview of the structure of the Indonesia economy and the changed over time to lesser the magnitude of the resource curse and the 3</w:t>
      </w:r>
      <w:r w:rsidRPr="00B11AEA">
        <w:rPr>
          <w:rFonts w:ascii="Garamond" w:hAnsi="Garamond" w:cstheme="majorHAnsi"/>
          <w:vertAlign w:val="superscript"/>
        </w:rPr>
        <w:t>rd</w:t>
      </w:r>
      <w:r w:rsidRPr="00B11AEA">
        <w:rPr>
          <w:rFonts w:ascii="Garamond" w:hAnsi="Garamond" w:cstheme="majorHAnsi"/>
        </w:rPr>
        <w:t xml:space="preserve"> section gives overview of the policy reform during the booms and bust of primary commodity prices; and the last part draws conclusions on Indonesia economy background.</w:t>
      </w:r>
    </w:p>
    <w:p w:rsidR="002506F2" w:rsidRPr="002178FB" w:rsidRDefault="002506F2" w:rsidP="002506F2">
      <w:pPr>
        <w:pStyle w:val="Heading2"/>
        <w:rPr>
          <w:rFonts w:ascii="Garamond" w:hAnsi="Garamond" w:cstheme="majorHAnsi"/>
          <w:color w:val="auto"/>
          <w:sz w:val="32"/>
          <w:szCs w:val="32"/>
        </w:rPr>
      </w:pPr>
      <w:bookmarkStart w:id="40" w:name="_Toc209559684"/>
      <w:bookmarkStart w:id="41" w:name="_Toc343007190"/>
      <w:r w:rsidRPr="002178FB">
        <w:rPr>
          <w:rFonts w:ascii="Garamond" w:hAnsi="Garamond" w:cstheme="majorHAnsi"/>
          <w:color w:val="auto"/>
          <w:sz w:val="32"/>
          <w:szCs w:val="32"/>
        </w:rPr>
        <w:t>3.2 Structure of economy, changes in structure</w:t>
      </w:r>
      <w:bookmarkEnd w:id="40"/>
      <w:r w:rsidRPr="002178FB">
        <w:rPr>
          <w:rFonts w:ascii="Garamond" w:hAnsi="Garamond" w:cstheme="majorHAnsi"/>
          <w:color w:val="auto"/>
          <w:sz w:val="32"/>
          <w:szCs w:val="32"/>
        </w:rPr>
        <w:t xml:space="preserve"> and economic growth</w:t>
      </w:r>
      <w:bookmarkEnd w:id="41"/>
    </w:p>
    <w:p w:rsidR="002506F2" w:rsidRPr="00E4605A" w:rsidRDefault="002506F2" w:rsidP="002506F2">
      <w:pPr>
        <w:jc w:val="both"/>
        <w:rPr>
          <w:rFonts w:ascii="Garamond" w:hAnsi="Garamond" w:cstheme="majorHAnsi"/>
        </w:rPr>
      </w:pPr>
      <w:r w:rsidRPr="00E4605A">
        <w:rPr>
          <w:rFonts w:ascii="Garamond" w:hAnsi="Garamond" w:cstheme="majorHAnsi"/>
        </w:rPr>
        <w:t>Indonesia economy structure has been changing from the heavily dependent on commodity sector to manufactures sector. The structure of Indonesia economy changing overtime adapting to the condition on the current time particularly during the commodity prices booms and busts as it main objectives of the structure reform was to enhance better economic growth and to lesser the magnitude of Resource curse where Indonesia is one of the resource abundant and commodity dependence country.</w:t>
      </w:r>
    </w:p>
    <w:p w:rsidR="002506F2" w:rsidRPr="00E4605A" w:rsidRDefault="002506F2" w:rsidP="002506F2">
      <w:pPr>
        <w:jc w:val="both"/>
        <w:rPr>
          <w:rFonts w:ascii="Garamond" w:hAnsi="Garamond" w:cstheme="majorHAnsi"/>
        </w:rPr>
      </w:pPr>
    </w:p>
    <w:p w:rsidR="002506F2" w:rsidRPr="00E4605A" w:rsidRDefault="002506F2" w:rsidP="002506F2">
      <w:pPr>
        <w:jc w:val="both"/>
        <w:rPr>
          <w:rFonts w:ascii="Garamond" w:hAnsi="Garamond" w:cstheme="majorHAnsi"/>
        </w:rPr>
      </w:pPr>
      <w:r w:rsidRPr="00E4605A">
        <w:rPr>
          <w:rFonts w:ascii="Garamond" w:hAnsi="Garamond" w:cstheme="majorHAnsi"/>
        </w:rPr>
        <w:t xml:space="preserve">In the aftermath of the independent from Dutch government colonialism, for the first 20 years since 1945 there wasn’t much room for Indonesia to implement any set of economic development policy </w:t>
      </w:r>
      <w:r w:rsidR="00496FE5" w:rsidRPr="00E4605A">
        <w:rPr>
          <w:rFonts w:ascii="Garamond" w:hAnsi="Garamond" w:cstheme="majorHAnsi"/>
        </w:rPr>
        <w:fldChar w:fldCharType="begin"/>
      </w:r>
      <w:r w:rsidRPr="00E4605A">
        <w:rPr>
          <w:rFonts w:ascii="Garamond" w:hAnsi="Garamond" w:cstheme="majorHAnsi"/>
        </w:rPr>
        <w:instrText>ADDIN RW.CITE{{151 Kuncoro,A 2003}}</w:instrText>
      </w:r>
      <w:r w:rsidR="00496FE5" w:rsidRPr="00E4605A">
        <w:rPr>
          <w:rFonts w:ascii="Garamond" w:hAnsi="Garamond" w:cstheme="majorHAnsi"/>
        </w:rPr>
        <w:fldChar w:fldCharType="separate"/>
      </w:r>
      <w:r w:rsidRPr="00E4605A">
        <w:rPr>
          <w:rFonts w:ascii="Garamond" w:hAnsi="Garamond" w:cstheme="majorHAnsi"/>
        </w:rPr>
        <w:t>(Kuncoro and Resosudarmo 2003)</w:t>
      </w:r>
      <w:r w:rsidR="00496FE5" w:rsidRPr="00E4605A">
        <w:rPr>
          <w:rFonts w:ascii="Garamond" w:hAnsi="Garamond" w:cstheme="majorHAnsi"/>
        </w:rPr>
        <w:fldChar w:fldCharType="end"/>
      </w:r>
      <w:r w:rsidRPr="00E4605A">
        <w:rPr>
          <w:rFonts w:ascii="Garamond" w:hAnsi="Garamond" w:cstheme="majorHAnsi"/>
        </w:rPr>
        <w:t xml:space="preserve">. Indonesia was still going through a series of political instability, lack of coherent economic policy and large adverse shock to the terms of trade which led to the collapse in the early 1960 hence Indonesia was among the poorest economies in the world in the mid-1960 where inflation almost 600% and in the end of 1965 it could no longer service its debt service obligations then later in 1966, the second president, general </w:t>
      </w:r>
      <w:proofErr w:type="spellStart"/>
      <w:r w:rsidRPr="00E4605A">
        <w:rPr>
          <w:rFonts w:ascii="Garamond" w:hAnsi="Garamond" w:cstheme="majorHAnsi"/>
        </w:rPr>
        <w:t>Soeharto</w:t>
      </w:r>
      <w:proofErr w:type="spellEnd"/>
      <w:r w:rsidRPr="00E4605A">
        <w:rPr>
          <w:rFonts w:ascii="Garamond" w:hAnsi="Garamond" w:cstheme="majorHAnsi"/>
        </w:rPr>
        <w:t xml:space="preserve"> assume the presidency and instituting the new order which have power for more than 30 years which under his regime, Indonesia achieved remarkable economic growth as the GDP per capita grew rapidly in most years, incidence of poverty decline, food self-sufficiency by development in agriculture sector in early development programs, rapid urbanization, growing literacy rate and declining infa</w:t>
      </w:r>
      <w:r w:rsidR="005F571B">
        <w:rPr>
          <w:rFonts w:ascii="Garamond" w:hAnsi="Garamond" w:cstheme="majorHAnsi"/>
        </w:rPr>
        <w:t xml:space="preserve">nt mortality rate </w:t>
      </w:r>
      <w:r w:rsidR="00496FE5">
        <w:rPr>
          <w:rFonts w:ascii="Garamond" w:hAnsi="Garamond" w:cstheme="majorHAnsi"/>
        </w:rPr>
        <w:fldChar w:fldCharType="begin"/>
      </w:r>
      <w:r w:rsidR="005F571B">
        <w:rPr>
          <w:rFonts w:ascii="Garamond" w:hAnsi="Garamond" w:cstheme="majorHAnsi"/>
        </w:rPr>
        <w:instrText>ADDIN RW.CITE{{141 Temple,Jonathan 2001}}</w:instrText>
      </w:r>
      <w:r w:rsidR="00496FE5">
        <w:rPr>
          <w:rFonts w:ascii="Garamond" w:hAnsi="Garamond" w:cstheme="majorHAnsi"/>
        </w:rPr>
        <w:fldChar w:fldCharType="separate"/>
      </w:r>
      <w:r w:rsidR="005F571B">
        <w:rPr>
          <w:rFonts w:ascii="Garamond" w:hAnsi="Garamond" w:cstheme="majorHAnsi"/>
        </w:rPr>
        <w:t>(Temple 2001)</w:t>
      </w:r>
      <w:r w:rsidR="00496FE5">
        <w:rPr>
          <w:rFonts w:ascii="Garamond" w:hAnsi="Garamond" w:cstheme="majorHAnsi"/>
        </w:rPr>
        <w:fldChar w:fldCharType="end"/>
      </w:r>
      <w:r w:rsidRPr="00E4605A">
        <w:rPr>
          <w:rFonts w:ascii="Garamond" w:hAnsi="Garamond" w:cstheme="majorHAnsi"/>
        </w:rPr>
        <w:t xml:space="preserve">.  </w:t>
      </w:r>
    </w:p>
    <w:p w:rsidR="002506F2" w:rsidRPr="00E4605A" w:rsidRDefault="002506F2" w:rsidP="002506F2">
      <w:pPr>
        <w:jc w:val="both"/>
        <w:rPr>
          <w:rFonts w:ascii="Garamond" w:hAnsi="Garamond" w:cstheme="majorHAnsi"/>
        </w:rPr>
      </w:pPr>
    </w:p>
    <w:p w:rsidR="002506F2" w:rsidRPr="00E4605A" w:rsidRDefault="002506F2" w:rsidP="002506F2">
      <w:pPr>
        <w:jc w:val="both"/>
        <w:rPr>
          <w:rFonts w:ascii="Garamond" w:hAnsi="Garamond" w:cstheme="majorHAnsi"/>
        </w:rPr>
      </w:pPr>
      <w:r w:rsidRPr="00E4605A">
        <w:rPr>
          <w:rFonts w:ascii="Garamond" w:hAnsi="Garamond" w:cstheme="majorHAnsi"/>
        </w:rPr>
        <w:t xml:space="preserve">After four years </w:t>
      </w:r>
      <w:proofErr w:type="spellStart"/>
      <w:r w:rsidRPr="00E4605A">
        <w:rPr>
          <w:rFonts w:ascii="Garamond" w:hAnsi="Garamond" w:cstheme="majorHAnsi"/>
        </w:rPr>
        <w:t>Soeharto</w:t>
      </w:r>
      <w:proofErr w:type="spellEnd"/>
      <w:r w:rsidRPr="00E4605A">
        <w:rPr>
          <w:rFonts w:ascii="Garamond" w:hAnsi="Garamond" w:cstheme="majorHAnsi"/>
        </w:rPr>
        <w:t xml:space="preserve"> assuming presidency in 1970 Indonesia economy performance was very impressive where the annual GDP annual growth rate was 7.4% until 1981 </w:t>
      </w:r>
      <w:r w:rsidR="00496FE5" w:rsidRPr="00E4605A">
        <w:rPr>
          <w:rFonts w:ascii="Garamond" w:hAnsi="Garamond" w:cstheme="majorHAnsi"/>
        </w:rPr>
        <w:fldChar w:fldCharType="begin"/>
      </w:r>
      <w:r w:rsidRPr="00E4605A">
        <w:rPr>
          <w:rFonts w:ascii="Garamond" w:hAnsi="Garamond" w:cstheme="majorHAnsi"/>
        </w:rPr>
        <w:instrText>ADDIN RW.CITE{{151 Kuncoro,A 2003}}</w:instrText>
      </w:r>
      <w:r w:rsidR="00496FE5" w:rsidRPr="00E4605A">
        <w:rPr>
          <w:rFonts w:ascii="Garamond" w:hAnsi="Garamond" w:cstheme="majorHAnsi"/>
        </w:rPr>
        <w:fldChar w:fldCharType="separate"/>
      </w:r>
      <w:r w:rsidRPr="00E4605A">
        <w:rPr>
          <w:rFonts w:ascii="Garamond" w:hAnsi="Garamond"/>
        </w:rPr>
        <w:t>(Kuncoro and Resosudarmo 2003)</w:t>
      </w:r>
      <w:r w:rsidR="00496FE5" w:rsidRPr="00E4605A">
        <w:rPr>
          <w:rFonts w:ascii="Garamond" w:hAnsi="Garamond" w:cstheme="majorHAnsi"/>
        </w:rPr>
        <w:fldChar w:fldCharType="end"/>
      </w:r>
      <w:r w:rsidRPr="00E4605A">
        <w:rPr>
          <w:rFonts w:ascii="Garamond" w:hAnsi="Garamond" w:cstheme="majorHAnsi"/>
        </w:rPr>
        <w:t>. Indonesia moved from net rice importer as rice is the staple food to self-sufficiency in 1985</w:t>
      </w:r>
      <w:r w:rsidR="00496FE5" w:rsidRPr="00E4605A">
        <w:rPr>
          <w:rFonts w:ascii="Garamond" w:hAnsi="Garamond" w:cstheme="majorHAnsi"/>
        </w:rPr>
        <w:fldChar w:fldCharType="begin"/>
      </w:r>
      <w:r w:rsidRPr="00E4605A">
        <w:rPr>
          <w:rFonts w:ascii="Garamond" w:hAnsi="Garamond" w:cstheme="majorHAnsi"/>
        </w:rPr>
        <w:instrText>ADDIN RW.CITE{{143 Hill,HalChristopher 2000; 151 Kuncoro,A 2003}}</w:instrText>
      </w:r>
      <w:r w:rsidR="00496FE5" w:rsidRPr="00E4605A">
        <w:rPr>
          <w:rFonts w:ascii="Garamond" w:hAnsi="Garamond" w:cstheme="majorHAnsi"/>
        </w:rPr>
        <w:fldChar w:fldCharType="separate"/>
      </w:r>
      <w:r w:rsidRPr="00E4605A">
        <w:rPr>
          <w:rFonts w:ascii="Garamond" w:hAnsi="Garamond" w:cstheme="majorHAnsi"/>
        </w:rPr>
        <w:t>(Hill 2000, Kuncoro and Resosudarmo 2003)</w:t>
      </w:r>
      <w:r w:rsidR="00496FE5" w:rsidRPr="00E4605A">
        <w:rPr>
          <w:rFonts w:ascii="Garamond" w:hAnsi="Garamond" w:cstheme="majorHAnsi"/>
        </w:rPr>
        <w:fldChar w:fldCharType="end"/>
      </w:r>
      <w:r w:rsidRPr="00E4605A">
        <w:rPr>
          <w:rFonts w:ascii="Garamond" w:hAnsi="Garamond" w:cstheme="majorHAnsi"/>
        </w:rPr>
        <w:t xml:space="preserve">. However, the opportunity cost was high in subsidized for the inputs such as fertilizers and the strategy wasn’t homogeneously successful in all regions worsened by the policy failure in promoting other cash crops such as palm oil and natural rubber </w:t>
      </w:r>
      <w:r w:rsidR="00496FE5" w:rsidRPr="00E4605A">
        <w:rPr>
          <w:rFonts w:ascii="Garamond" w:hAnsi="Garamond" w:cstheme="majorHAnsi"/>
        </w:rPr>
        <w:fldChar w:fldCharType="begin"/>
      </w:r>
      <w:r w:rsidRPr="00E4605A">
        <w:rPr>
          <w:rFonts w:ascii="Garamond" w:hAnsi="Garamond" w:cstheme="majorHAnsi"/>
        </w:rPr>
        <w:instrText>ADDIN RW.CITE{{162 Muller,A.L. 1998}}</w:instrText>
      </w:r>
      <w:r w:rsidR="00496FE5" w:rsidRPr="00E4605A">
        <w:rPr>
          <w:rFonts w:ascii="Garamond" w:hAnsi="Garamond" w:cstheme="majorHAnsi"/>
        </w:rPr>
        <w:fldChar w:fldCharType="separate"/>
      </w:r>
      <w:r w:rsidRPr="00E4605A">
        <w:rPr>
          <w:rFonts w:ascii="Garamond" w:hAnsi="Garamond" w:cstheme="majorHAnsi"/>
        </w:rPr>
        <w:t>(Muller 1998)</w:t>
      </w:r>
      <w:r w:rsidR="00496FE5" w:rsidRPr="00E4605A">
        <w:rPr>
          <w:rFonts w:ascii="Garamond" w:hAnsi="Garamond" w:cstheme="majorHAnsi"/>
        </w:rPr>
        <w:fldChar w:fldCharType="end"/>
      </w:r>
      <w:r w:rsidRPr="00E4605A">
        <w:rPr>
          <w:rFonts w:ascii="Garamond" w:hAnsi="Garamond" w:cstheme="majorHAnsi"/>
        </w:rPr>
        <w:t xml:space="preserve">.  </w:t>
      </w:r>
    </w:p>
    <w:p w:rsidR="002506F2" w:rsidRPr="00E4605A" w:rsidRDefault="002506F2" w:rsidP="002506F2">
      <w:pPr>
        <w:rPr>
          <w:rFonts w:ascii="Garamond" w:hAnsi="Garamond" w:cstheme="majorHAnsi"/>
        </w:rPr>
      </w:pPr>
    </w:p>
    <w:p w:rsidR="002506F2" w:rsidRPr="00E4605A" w:rsidRDefault="002506F2" w:rsidP="002506F2">
      <w:pPr>
        <w:jc w:val="both"/>
        <w:rPr>
          <w:rFonts w:ascii="Garamond" w:hAnsi="Garamond"/>
          <w:lang w:eastAsia="ja-JP"/>
        </w:rPr>
      </w:pPr>
      <w:r w:rsidRPr="00E4605A">
        <w:rPr>
          <w:rFonts w:ascii="Garamond" w:hAnsi="Garamond" w:cstheme="majorHAnsi"/>
        </w:rPr>
        <w:t xml:space="preserve">In table </w:t>
      </w:r>
      <w:r w:rsidR="00953411">
        <w:rPr>
          <w:rFonts w:ascii="Garamond" w:hAnsi="Garamond" w:cstheme="majorHAnsi"/>
        </w:rPr>
        <w:t>3-</w:t>
      </w:r>
      <w:r w:rsidRPr="00E4605A">
        <w:rPr>
          <w:rFonts w:ascii="Garamond" w:hAnsi="Garamond" w:cstheme="majorHAnsi"/>
        </w:rPr>
        <w:t>1 we see that in the beginning stage of development of Indonesia economy in 1970, its economy relies heavily on commodity exports where the primary commodity exports account</w:t>
      </w:r>
      <w:r>
        <w:rPr>
          <w:rFonts w:asciiTheme="majorHAnsi" w:hAnsiTheme="majorHAnsi" w:cstheme="majorHAnsi"/>
          <w:sz w:val="22"/>
          <w:szCs w:val="22"/>
        </w:rPr>
        <w:t xml:space="preserve"> for </w:t>
      </w:r>
      <w:r w:rsidRPr="00E4605A">
        <w:rPr>
          <w:rFonts w:ascii="Garamond" w:hAnsi="Garamond" w:cstheme="majorHAnsi"/>
        </w:rPr>
        <w:t xml:space="preserve">99% of its total exports share base on the </w:t>
      </w:r>
      <w:r w:rsidRPr="00E4605A">
        <w:rPr>
          <w:rFonts w:ascii="Garamond" w:hAnsi="Garamond"/>
        </w:rPr>
        <w:t>World Bank data (World Development Indicators &amp; Global Development Finance)</w:t>
      </w:r>
      <w:r w:rsidRPr="00E4605A">
        <w:rPr>
          <w:rFonts w:ascii="Garamond" w:hAnsi="Garamond" w:cstheme="majorHAnsi"/>
        </w:rPr>
        <w:t xml:space="preserve">. </w:t>
      </w:r>
      <w:r w:rsidRPr="00E4605A">
        <w:rPr>
          <w:rFonts w:ascii="Garamond" w:hAnsi="Garamond"/>
          <w:lang w:eastAsia="ja-JP"/>
        </w:rPr>
        <w:t xml:space="preserve">Indonesia principal commodity that it exports are fisheries commodities, coffee, cocoa beans, tea, natural rubber, vegetables oilseeds and oils, bauxite, copper, tin and nickel </w:t>
      </w:r>
      <w:r w:rsidR="00496FE5" w:rsidRPr="00E4605A">
        <w:rPr>
          <w:rFonts w:ascii="Garamond" w:hAnsi="Garamond"/>
          <w:lang w:eastAsia="ja-JP"/>
        </w:rPr>
        <w:fldChar w:fldCharType="begin"/>
      </w:r>
      <w:r w:rsidRPr="00E4605A">
        <w:rPr>
          <w:rFonts w:ascii="Garamond" w:hAnsi="Garamond"/>
          <w:lang w:eastAsia="ja-JP"/>
        </w:rPr>
        <w:instrText>ADDIN RW.CITE{{111 CommonFundforCommodities 2003}}</w:instrText>
      </w:r>
      <w:r w:rsidR="00496FE5" w:rsidRPr="00E4605A">
        <w:rPr>
          <w:rFonts w:ascii="Garamond" w:hAnsi="Garamond"/>
          <w:lang w:eastAsia="ja-JP"/>
        </w:rPr>
        <w:fldChar w:fldCharType="separate"/>
      </w:r>
      <w:r w:rsidRPr="00E4605A">
        <w:rPr>
          <w:rFonts w:ascii="Garamond" w:hAnsi="Garamond"/>
          <w:lang w:eastAsia="ja-JP"/>
        </w:rPr>
        <w:t>(Common Fund for Commodities et al. 2003)</w:t>
      </w:r>
      <w:r w:rsidR="00496FE5" w:rsidRPr="00E4605A">
        <w:rPr>
          <w:rFonts w:ascii="Garamond" w:hAnsi="Garamond"/>
          <w:lang w:eastAsia="ja-JP"/>
        </w:rPr>
        <w:fldChar w:fldCharType="end"/>
      </w:r>
      <w:r w:rsidRPr="00E4605A">
        <w:rPr>
          <w:rFonts w:ascii="Garamond" w:hAnsi="Garamond"/>
          <w:lang w:eastAsia="ja-JP"/>
        </w:rPr>
        <w:t xml:space="preserve">. </w:t>
      </w:r>
      <w:r w:rsidR="00D939DF">
        <w:rPr>
          <w:rFonts w:ascii="Garamond" w:hAnsi="Garamond"/>
          <w:lang w:eastAsia="ja-JP"/>
        </w:rPr>
        <w:t>Started in 1990s Indonesia export structure changed as the development plans successfully lifted its dependency on commodity exports to manufacture exports.</w:t>
      </w:r>
    </w:p>
    <w:p w:rsidR="002506F2" w:rsidRPr="00E4605A" w:rsidRDefault="002506F2" w:rsidP="002506F2">
      <w:pPr>
        <w:jc w:val="center"/>
        <w:rPr>
          <w:rFonts w:ascii="Garamond" w:hAnsi="Garamond" w:cstheme="majorHAnsi"/>
        </w:rPr>
      </w:pPr>
    </w:p>
    <w:p w:rsidR="002506F2" w:rsidRDefault="00953411" w:rsidP="002506F2">
      <w:pPr>
        <w:jc w:val="center"/>
        <w:rPr>
          <w:rFonts w:asciiTheme="majorHAnsi" w:hAnsiTheme="majorHAnsi" w:cstheme="majorHAnsi"/>
          <w:sz w:val="20"/>
          <w:szCs w:val="20"/>
        </w:rPr>
      </w:pPr>
      <w:r>
        <w:rPr>
          <w:rFonts w:asciiTheme="majorHAnsi" w:hAnsiTheme="majorHAnsi" w:cstheme="majorHAnsi"/>
          <w:sz w:val="20"/>
          <w:szCs w:val="20"/>
        </w:rPr>
        <w:t>Table 3-1</w:t>
      </w:r>
    </w:p>
    <w:p w:rsidR="002506F2" w:rsidRDefault="002506F2" w:rsidP="002506F2">
      <w:pPr>
        <w:jc w:val="center"/>
        <w:rPr>
          <w:rFonts w:asciiTheme="majorHAnsi" w:hAnsiTheme="majorHAnsi" w:cstheme="majorHAnsi"/>
          <w:sz w:val="20"/>
          <w:szCs w:val="20"/>
        </w:rPr>
      </w:pPr>
      <w:r w:rsidRPr="00721C1F">
        <w:rPr>
          <w:rFonts w:asciiTheme="majorHAnsi" w:hAnsiTheme="majorHAnsi" w:cstheme="majorHAnsi"/>
          <w:sz w:val="20"/>
          <w:szCs w:val="20"/>
        </w:rPr>
        <w:t>Indonesia Exports Composition and Annual GDP Growth</w:t>
      </w:r>
    </w:p>
    <w:tbl>
      <w:tblPr>
        <w:tblW w:w="7382" w:type="dxa"/>
        <w:tblInd w:w="96" w:type="dxa"/>
        <w:tblLook w:val="04A0"/>
      </w:tblPr>
      <w:tblGrid>
        <w:gridCol w:w="712"/>
        <w:gridCol w:w="1143"/>
        <w:gridCol w:w="1157"/>
        <w:gridCol w:w="1055"/>
        <w:gridCol w:w="1216"/>
        <w:gridCol w:w="1127"/>
        <w:gridCol w:w="1038"/>
      </w:tblGrid>
      <w:tr w:rsidR="002506F2" w:rsidRPr="00BC25A8" w:rsidTr="00B8408F">
        <w:trPr>
          <w:trHeight w:val="1054"/>
        </w:trPr>
        <w:tc>
          <w:tcPr>
            <w:tcW w:w="7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Year</w:t>
            </w:r>
          </w:p>
        </w:tc>
        <w:tc>
          <w:tcPr>
            <w:tcW w:w="1143"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Agricultural raw materials exports (% of merchandise exports)</w:t>
            </w:r>
          </w:p>
        </w:tc>
        <w:tc>
          <w:tcPr>
            <w:tcW w:w="1157"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Food exports (% of merchandise exports)</w:t>
            </w:r>
          </w:p>
        </w:tc>
        <w:tc>
          <w:tcPr>
            <w:tcW w:w="1038"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Fuel exports (% of merchandise exports)</w:t>
            </w:r>
          </w:p>
        </w:tc>
        <w:tc>
          <w:tcPr>
            <w:tcW w:w="1216"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Ores and metals exports (% of merchandise exports)</w:t>
            </w:r>
          </w:p>
        </w:tc>
        <w:tc>
          <w:tcPr>
            <w:tcW w:w="1078"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Manufactures exports (% of merchandise exports)</w:t>
            </w:r>
          </w:p>
        </w:tc>
        <w:tc>
          <w:tcPr>
            <w:tcW w:w="1038" w:type="dxa"/>
            <w:tcBorders>
              <w:top w:val="single" w:sz="4" w:space="0" w:color="auto"/>
              <w:left w:val="nil"/>
              <w:bottom w:val="single" w:sz="4" w:space="0" w:color="auto"/>
              <w:right w:val="single" w:sz="4" w:space="0" w:color="auto"/>
            </w:tcBorders>
            <w:shd w:val="clear" w:color="auto" w:fill="auto"/>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Annual GDP Growth %</w:t>
            </w:r>
          </w:p>
        </w:tc>
      </w:tr>
      <w:tr w:rsidR="002506F2" w:rsidRPr="00BC25A8" w:rsidTr="00B8408F">
        <w:trPr>
          <w:trHeight w:val="303"/>
        </w:trPr>
        <w:tc>
          <w:tcPr>
            <w:tcW w:w="712" w:type="dxa"/>
            <w:tcBorders>
              <w:top w:val="nil"/>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1970</w:t>
            </w:r>
          </w:p>
        </w:tc>
        <w:tc>
          <w:tcPr>
            <w:tcW w:w="1143"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35%</w:t>
            </w:r>
          </w:p>
        </w:tc>
        <w:tc>
          <w:tcPr>
            <w:tcW w:w="1157"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20%</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33%</w:t>
            </w:r>
          </w:p>
        </w:tc>
        <w:tc>
          <w:tcPr>
            <w:tcW w:w="1216"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11%</w:t>
            </w:r>
          </w:p>
        </w:tc>
        <w:tc>
          <w:tcPr>
            <w:tcW w:w="107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7%</w:t>
            </w:r>
          </w:p>
        </w:tc>
      </w:tr>
      <w:tr w:rsidR="002506F2" w:rsidRPr="00BC25A8" w:rsidTr="00B8408F">
        <w:trPr>
          <w:trHeight w:val="303"/>
        </w:trPr>
        <w:tc>
          <w:tcPr>
            <w:tcW w:w="712" w:type="dxa"/>
            <w:tcBorders>
              <w:top w:val="nil"/>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1980</w:t>
            </w:r>
          </w:p>
        </w:tc>
        <w:tc>
          <w:tcPr>
            <w:tcW w:w="1143"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14%</w:t>
            </w:r>
          </w:p>
        </w:tc>
        <w:tc>
          <w:tcPr>
            <w:tcW w:w="1157"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8%</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72%</w:t>
            </w:r>
          </w:p>
        </w:tc>
        <w:tc>
          <w:tcPr>
            <w:tcW w:w="1216"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4%</w:t>
            </w:r>
          </w:p>
        </w:tc>
        <w:tc>
          <w:tcPr>
            <w:tcW w:w="107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2%</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9%</w:t>
            </w:r>
          </w:p>
        </w:tc>
      </w:tr>
      <w:tr w:rsidR="002506F2" w:rsidRPr="00BC25A8" w:rsidTr="00B8408F">
        <w:trPr>
          <w:trHeight w:val="303"/>
        </w:trPr>
        <w:tc>
          <w:tcPr>
            <w:tcW w:w="712" w:type="dxa"/>
            <w:tcBorders>
              <w:top w:val="nil"/>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1990</w:t>
            </w:r>
          </w:p>
        </w:tc>
        <w:tc>
          <w:tcPr>
            <w:tcW w:w="1143"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1157"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11%</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44%</w:t>
            </w:r>
          </w:p>
        </w:tc>
        <w:tc>
          <w:tcPr>
            <w:tcW w:w="1216"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4%</w:t>
            </w:r>
          </w:p>
        </w:tc>
        <w:tc>
          <w:tcPr>
            <w:tcW w:w="107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35%</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9%</w:t>
            </w:r>
          </w:p>
        </w:tc>
      </w:tr>
      <w:tr w:rsidR="002506F2" w:rsidRPr="00BC25A8" w:rsidTr="00B8408F">
        <w:trPr>
          <w:trHeight w:val="303"/>
        </w:trPr>
        <w:tc>
          <w:tcPr>
            <w:tcW w:w="712" w:type="dxa"/>
            <w:tcBorders>
              <w:top w:val="nil"/>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4%</w:t>
            </w:r>
          </w:p>
        </w:tc>
        <w:tc>
          <w:tcPr>
            <w:tcW w:w="1157"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9%</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25%</w:t>
            </w:r>
          </w:p>
        </w:tc>
        <w:tc>
          <w:tcPr>
            <w:tcW w:w="1216"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107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57%</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r>
      <w:tr w:rsidR="002506F2" w:rsidRPr="00BC25A8" w:rsidTr="00B8408F">
        <w:trPr>
          <w:trHeight w:val="303"/>
        </w:trPr>
        <w:tc>
          <w:tcPr>
            <w:tcW w:w="712" w:type="dxa"/>
            <w:tcBorders>
              <w:top w:val="nil"/>
              <w:left w:val="single" w:sz="4" w:space="0" w:color="auto"/>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2010</w:t>
            </w:r>
          </w:p>
        </w:tc>
        <w:tc>
          <w:tcPr>
            <w:tcW w:w="1143"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7%</w:t>
            </w:r>
          </w:p>
        </w:tc>
        <w:tc>
          <w:tcPr>
            <w:tcW w:w="1157"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16%</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30%</w:t>
            </w:r>
          </w:p>
        </w:tc>
        <w:tc>
          <w:tcPr>
            <w:tcW w:w="1216"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10%</w:t>
            </w:r>
          </w:p>
        </w:tc>
        <w:tc>
          <w:tcPr>
            <w:tcW w:w="107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37%</w:t>
            </w:r>
          </w:p>
        </w:tc>
        <w:tc>
          <w:tcPr>
            <w:tcW w:w="1038" w:type="dxa"/>
            <w:tcBorders>
              <w:top w:val="nil"/>
              <w:left w:val="nil"/>
              <w:bottom w:val="single" w:sz="4" w:space="0" w:color="auto"/>
              <w:right w:val="single" w:sz="4" w:space="0" w:color="auto"/>
            </w:tcBorders>
            <w:shd w:val="clear" w:color="auto" w:fill="auto"/>
            <w:noWrap/>
            <w:vAlign w:val="bottom"/>
            <w:hideMark/>
          </w:tcPr>
          <w:p w:rsidR="002506F2" w:rsidRDefault="002506F2" w:rsidP="00B8408F">
            <w:pPr>
              <w:jc w:val="center"/>
              <w:rPr>
                <w:rFonts w:ascii="Calibri" w:eastAsia="Times New Roman" w:hAnsi="Calibri" w:cs="Calibri"/>
                <w:color w:val="000000"/>
                <w:sz w:val="16"/>
                <w:szCs w:val="16"/>
              </w:rPr>
            </w:pPr>
            <w:r w:rsidRPr="00721C1F">
              <w:rPr>
                <w:rFonts w:ascii="Calibri" w:eastAsia="Times New Roman" w:hAnsi="Calibri" w:cs="Calibri"/>
                <w:color w:val="000000"/>
                <w:sz w:val="16"/>
                <w:szCs w:val="16"/>
              </w:rPr>
              <w:t>6%</w:t>
            </w:r>
          </w:p>
        </w:tc>
      </w:tr>
    </w:tbl>
    <w:p w:rsidR="002506F2" w:rsidRDefault="002506F2" w:rsidP="002506F2">
      <w:pPr>
        <w:rPr>
          <w:rFonts w:asciiTheme="majorHAnsi" w:hAnsiTheme="majorHAnsi" w:cstheme="majorHAnsi"/>
          <w:i/>
          <w:sz w:val="18"/>
          <w:szCs w:val="18"/>
        </w:rPr>
      </w:pPr>
      <w:r w:rsidRPr="00721C1F">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2506F2" w:rsidRPr="00E4605A" w:rsidRDefault="002506F2" w:rsidP="002506F2">
      <w:pPr>
        <w:jc w:val="both"/>
        <w:rPr>
          <w:rFonts w:ascii="Garamond" w:hAnsi="Garamond"/>
          <w:lang w:eastAsia="ja-JP"/>
        </w:rPr>
      </w:pPr>
    </w:p>
    <w:p w:rsidR="002506F2" w:rsidRPr="00E4605A" w:rsidRDefault="002506F2" w:rsidP="002506F2">
      <w:pPr>
        <w:jc w:val="both"/>
        <w:rPr>
          <w:rFonts w:ascii="Garamond" w:hAnsi="Garamond" w:cstheme="majorHAnsi"/>
        </w:rPr>
      </w:pPr>
      <w:r w:rsidRPr="00E4605A">
        <w:rPr>
          <w:rFonts w:ascii="Garamond" w:hAnsi="Garamond"/>
          <w:lang w:eastAsia="ja-JP"/>
        </w:rPr>
        <w:t xml:space="preserve">In sum, as Indonesia earned foreign exchange from its commodity exports, they start to develop the manufacturing industries hence in 1980s the manufactures exports started to grow rapidly where in 1990 the manufacture exports reach 35% of total exports as shown in table </w:t>
      </w:r>
      <w:r w:rsidR="00953411">
        <w:rPr>
          <w:rFonts w:ascii="Garamond" w:hAnsi="Garamond"/>
          <w:lang w:eastAsia="ja-JP"/>
        </w:rPr>
        <w:t>3-</w:t>
      </w:r>
      <w:r w:rsidRPr="00E4605A">
        <w:rPr>
          <w:rFonts w:ascii="Garamond" w:hAnsi="Garamond"/>
          <w:lang w:eastAsia="ja-JP"/>
        </w:rPr>
        <w:t xml:space="preserve">1 until 1996 its exports reached above 50% and they already reached food self sufficiency in food and cash crops in the mid-1980s </w:t>
      </w:r>
      <w:r w:rsidR="00496FE5" w:rsidRPr="00E4605A">
        <w:rPr>
          <w:rFonts w:ascii="Garamond" w:hAnsi="Garamond"/>
          <w:lang w:eastAsia="ja-JP"/>
        </w:rPr>
        <w:fldChar w:fldCharType="begin"/>
      </w:r>
      <w:r w:rsidRPr="00E4605A">
        <w:rPr>
          <w:rFonts w:ascii="Garamond" w:hAnsi="Garamond"/>
          <w:lang w:eastAsia="ja-JP"/>
        </w:rPr>
        <w:instrText>ADDIN RW.CITE{{143 Hill,HalChristopher 2000}}</w:instrText>
      </w:r>
      <w:r w:rsidR="00496FE5" w:rsidRPr="00E4605A">
        <w:rPr>
          <w:rFonts w:ascii="Garamond" w:hAnsi="Garamond"/>
          <w:lang w:eastAsia="ja-JP"/>
        </w:rPr>
        <w:fldChar w:fldCharType="separate"/>
      </w:r>
      <w:r w:rsidRPr="00E4605A">
        <w:rPr>
          <w:rFonts w:ascii="Garamond" w:hAnsi="Garamond"/>
        </w:rPr>
        <w:t>(Hill 2000)</w:t>
      </w:r>
      <w:r w:rsidR="00496FE5" w:rsidRPr="00E4605A">
        <w:rPr>
          <w:rFonts w:ascii="Garamond" w:hAnsi="Garamond"/>
          <w:lang w:eastAsia="ja-JP"/>
        </w:rPr>
        <w:fldChar w:fldCharType="end"/>
      </w:r>
      <w:r w:rsidRPr="00E4605A">
        <w:rPr>
          <w:rFonts w:ascii="Garamond" w:hAnsi="Garamond"/>
          <w:lang w:eastAsia="ja-JP"/>
        </w:rPr>
        <w:t xml:space="preserve">. </w:t>
      </w:r>
      <w:r w:rsidRPr="00E4605A">
        <w:rPr>
          <w:rFonts w:ascii="Garamond" w:hAnsi="Garamond" w:cstheme="majorHAnsi"/>
          <w:lang w:eastAsia="ja-JP"/>
        </w:rPr>
        <w:t xml:space="preserve">In table 1 we also see that the dependency of Indonesia on primary commodity exports tend to decline since the rapid development of the manufacturing sector that took significant effect in the late 1980s and the share of Indonesia exports of primary commodity keep declining even when the commodity prices booms. </w:t>
      </w:r>
      <w:r w:rsidRPr="00E4605A">
        <w:rPr>
          <w:rFonts w:ascii="Garamond" w:hAnsi="Garamond" w:cstheme="majorHAnsi"/>
        </w:rPr>
        <w:t xml:space="preserve">Indonesia remarkable achievement in diversifying exports from primary commodity to manufacture sector was due to its export oriented industrialization in the aftermath of the fall in oil prices in the mid-1980s </w:t>
      </w:r>
      <w:r w:rsidR="00496FE5" w:rsidRPr="00E4605A">
        <w:rPr>
          <w:rFonts w:ascii="Garamond" w:hAnsi="Garamond" w:cstheme="majorHAnsi"/>
        </w:rPr>
        <w:fldChar w:fldCharType="begin"/>
      </w:r>
      <w:r w:rsidRPr="00E4605A">
        <w:rPr>
          <w:rFonts w:ascii="Garamond" w:hAnsi="Garamond" w:cstheme="majorHAnsi"/>
        </w:rPr>
        <w:instrText>ADDIN RW.CITE{{163 Aswicahyono,Haryo 2000}}</w:instrText>
      </w:r>
      <w:r w:rsidR="00496FE5" w:rsidRPr="00E4605A">
        <w:rPr>
          <w:rFonts w:ascii="Garamond" w:hAnsi="Garamond" w:cstheme="majorHAnsi"/>
        </w:rPr>
        <w:fldChar w:fldCharType="separate"/>
      </w:r>
      <w:r w:rsidRPr="00E4605A">
        <w:rPr>
          <w:rFonts w:ascii="Garamond" w:hAnsi="Garamond" w:cstheme="majorHAnsi"/>
        </w:rPr>
        <w:t>(Aswicahyono and Pangestu 2000)</w:t>
      </w:r>
      <w:r w:rsidR="00496FE5" w:rsidRPr="00E4605A">
        <w:rPr>
          <w:rFonts w:ascii="Garamond" w:hAnsi="Garamond" w:cstheme="majorHAnsi"/>
        </w:rPr>
        <w:fldChar w:fldCharType="end"/>
      </w:r>
      <w:r w:rsidRPr="00E4605A">
        <w:rPr>
          <w:rFonts w:ascii="Garamond" w:hAnsi="Garamond" w:cstheme="majorHAnsi"/>
        </w:rPr>
        <w:t>.</w:t>
      </w:r>
      <w:r>
        <w:rPr>
          <w:rFonts w:ascii="Garamond" w:hAnsi="Garamond" w:cstheme="majorHAnsi"/>
          <w:lang w:eastAsia="ja-JP"/>
        </w:rPr>
        <w:t>Therefore, we see how</w:t>
      </w:r>
      <w:r w:rsidRPr="00E4605A">
        <w:rPr>
          <w:rFonts w:ascii="Garamond" w:hAnsi="Garamond" w:cstheme="majorHAnsi"/>
          <w:lang w:eastAsia="ja-JP"/>
        </w:rPr>
        <w:t xml:space="preserve"> Indonesia economy structure moved from heavily dependent on primary commodity exports in 1970s to manufacture exports in the late 1980s by using the windfall revenue of primary commodity exports to enhance the development of manufacture sector. </w:t>
      </w:r>
    </w:p>
    <w:p w:rsidR="002506F2" w:rsidRPr="002178FB" w:rsidRDefault="002506F2" w:rsidP="002506F2">
      <w:pPr>
        <w:pStyle w:val="Heading2"/>
        <w:rPr>
          <w:rFonts w:ascii="Garamond" w:hAnsi="Garamond" w:cstheme="majorHAnsi"/>
          <w:color w:val="auto"/>
          <w:sz w:val="32"/>
          <w:szCs w:val="32"/>
        </w:rPr>
      </w:pPr>
      <w:bookmarkStart w:id="42" w:name="_Toc209559686"/>
      <w:bookmarkStart w:id="43" w:name="_Toc343007191"/>
      <w:r w:rsidRPr="002178FB">
        <w:rPr>
          <w:rFonts w:ascii="Garamond" w:hAnsi="Garamond" w:cstheme="majorHAnsi"/>
          <w:color w:val="auto"/>
          <w:sz w:val="32"/>
          <w:szCs w:val="32"/>
        </w:rPr>
        <w:lastRenderedPageBreak/>
        <w:t>3.3 Policy toward Primary Commodity</w:t>
      </w:r>
      <w:bookmarkEnd w:id="42"/>
      <w:bookmarkEnd w:id="43"/>
    </w:p>
    <w:p w:rsidR="002506F2" w:rsidRPr="00E9299E" w:rsidRDefault="002506F2" w:rsidP="002506F2">
      <w:pPr>
        <w:jc w:val="both"/>
        <w:rPr>
          <w:rFonts w:ascii="Garamond" w:hAnsi="Garamond" w:cstheme="majorHAnsi"/>
        </w:rPr>
      </w:pPr>
      <w:r w:rsidRPr="00E9299E">
        <w:rPr>
          <w:rFonts w:ascii="Garamond" w:hAnsi="Garamond" w:cstheme="majorHAnsi"/>
        </w:rPr>
        <w:t xml:space="preserve">In the early 1960s Indonesia was hostile towards foreign investment hence many foreign enterprises were taken over by the government and it was also acknowledged as closed economy. Until 1966, as </w:t>
      </w:r>
      <w:proofErr w:type="spellStart"/>
      <w:r w:rsidRPr="00E9299E">
        <w:rPr>
          <w:rFonts w:ascii="Garamond" w:hAnsi="Garamond" w:cstheme="majorHAnsi"/>
        </w:rPr>
        <w:t>Soeharto</w:t>
      </w:r>
      <w:proofErr w:type="spellEnd"/>
      <w:r w:rsidRPr="00E9299E">
        <w:rPr>
          <w:rFonts w:ascii="Garamond" w:hAnsi="Garamond" w:cstheme="majorHAnsi"/>
        </w:rPr>
        <w:t xml:space="preserve"> took over the presidency, he started to liberalize its economy (open economy) and welcome foreign aid and investment as he realized that Indonesia immense natural resources cultivation and development on manufacturing sector would have to depend on foreign investment as they have the technology advantage </w:t>
      </w:r>
      <w:r w:rsidR="00496FE5" w:rsidRPr="00E9299E">
        <w:rPr>
          <w:rFonts w:ascii="Garamond" w:hAnsi="Garamond" w:cstheme="majorHAnsi"/>
        </w:rPr>
        <w:fldChar w:fldCharType="begin"/>
      </w:r>
      <w:r w:rsidRPr="00E9299E">
        <w:rPr>
          <w:rFonts w:ascii="Garamond" w:hAnsi="Garamond" w:cstheme="majorHAnsi"/>
        </w:rPr>
        <w:instrText>ADDIN RW.CITE{{157 Sadli,Mohammad 1972}}</w:instrText>
      </w:r>
      <w:r w:rsidR="00496FE5" w:rsidRPr="00E9299E">
        <w:rPr>
          <w:rFonts w:ascii="Garamond" w:hAnsi="Garamond" w:cstheme="majorHAnsi"/>
        </w:rPr>
        <w:fldChar w:fldCharType="separate"/>
      </w:r>
      <w:r w:rsidRPr="00E9299E">
        <w:rPr>
          <w:rFonts w:ascii="Garamond" w:hAnsi="Garamond" w:cstheme="majorHAnsi"/>
        </w:rPr>
        <w:t>(Sadli 1972)</w:t>
      </w:r>
      <w:r w:rsidR="00496FE5" w:rsidRPr="00E9299E">
        <w:rPr>
          <w:rFonts w:ascii="Garamond" w:hAnsi="Garamond" w:cstheme="majorHAnsi"/>
        </w:rPr>
        <w:fldChar w:fldCharType="end"/>
      </w:r>
      <w:r w:rsidRPr="00E9299E">
        <w:rPr>
          <w:rFonts w:ascii="Garamond" w:hAnsi="Garamond" w:cstheme="majorHAnsi"/>
        </w:rPr>
        <w:t>.</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 xml:space="preserve">The development plans chartered in the four stage five years plans which was also included the policy needed was outlined in the name of </w:t>
      </w:r>
      <w:proofErr w:type="spellStart"/>
      <w:r w:rsidRPr="00E9299E">
        <w:rPr>
          <w:rFonts w:ascii="Garamond" w:hAnsi="Garamond" w:cstheme="majorHAnsi"/>
        </w:rPr>
        <w:t>Repelita</w:t>
      </w:r>
      <w:proofErr w:type="spellEnd"/>
      <w:r w:rsidRPr="00E9299E">
        <w:rPr>
          <w:rFonts w:ascii="Garamond" w:hAnsi="Garamond" w:cstheme="majorHAnsi"/>
        </w:rPr>
        <w:t xml:space="preserve"> (</w:t>
      </w:r>
      <w:proofErr w:type="spellStart"/>
      <w:r w:rsidRPr="00E9299E">
        <w:rPr>
          <w:rFonts w:ascii="Garamond" w:hAnsi="Garamond" w:cstheme="majorHAnsi"/>
        </w:rPr>
        <w:t>Rencana</w:t>
      </w:r>
      <w:proofErr w:type="spellEnd"/>
      <w:r w:rsidRPr="00E9299E">
        <w:rPr>
          <w:rFonts w:ascii="Garamond" w:hAnsi="Garamond" w:cstheme="majorHAnsi"/>
        </w:rPr>
        <w:t xml:space="preserve"> Pembangunan Lima </w:t>
      </w:r>
      <w:proofErr w:type="spellStart"/>
      <w:r w:rsidRPr="00E9299E">
        <w:rPr>
          <w:rFonts w:ascii="Garamond" w:hAnsi="Garamond" w:cstheme="majorHAnsi"/>
        </w:rPr>
        <w:t>Tahun</w:t>
      </w:r>
      <w:proofErr w:type="spellEnd"/>
      <w:r w:rsidRPr="00E9299E">
        <w:rPr>
          <w:rFonts w:ascii="Garamond" w:hAnsi="Garamond" w:cstheme="majorHAnsi"/>
        </w:rPr>
        <w:t xml:space="preserve">) started from 1969 to 1989. In the early stage of development in 1970 Indonesia manufacture sector was still underdeveloped hence as a country that rich of natural resources but late industrialized Indonesia used its factor endowments to achieve better economic growth by using the commodity windfall revenue to develop its manufacture sector. In the government development plans stated that one of the objectives of long-term development was to achieve balanced economic structure in which a resilient manufacturing sector that would be supported by strong agriculture sectors </w:t>
      </w:r>
      <w:r w:rsidR="00496FE5" w:rsidRPr="00E9299E">
        <w:rPr>
          <w:rFonts w:ascii="Garamond" w:hAnsi="Garamond" w:cstheme="majorHAnsi"/>
        </w:rPr>
        <w:fldChar w:fldCharType="begin"/>
      </w:r>
      <w:r w:rsidRPr="00E9299E">
        <w:rPr>
          <w:rFonts w:ascii="Garamond" w:hAnsi="Garamond" w:cstheme="majorHAnsi"/>
        </w:rPr>
        <w:instrText>ADDIN RW.CITE{{159 Thee,KianWie 1987}}</w:instrText>
      </w:r>
      <w:r w:rsidR="00496FE5" w:rsidRPr="00E9299E">
        <w:rPr>
          <w:rFonts w:ascii="Garamond" w:hAnsi="Garamond" w:cstheme="majorHAnsi"/>
        </w:rPr>
        <w:fldChar w:fldCharType="separate"/>
      </w:r>
      <w:r w:rsidRPr="00E9299E">
        <w:rPr>
          <w:rFonts w:ascii="Garamond" w:hAnsi="Garamond"/>
        </w:rPr>
        <w:t>(Wie 1987)</w:t>
      </w:r>
      <w:r w:rsidR="00496FE5" w:rsidRPr="00E9299E">
        <w:rPr>
          <w:rFonts w:ascii="Garamond" w:hAnsi="Garamond" w:cstheme="majorHAnsi"/>
        </w:rPr>
        <w:fldChar w:fldCharType="end"/>
      </w:r>
      <w:r w:rsidRPr="00E9299E">
        <w:rPr>
          <w:rFonts w:ascii="Garamond" w:hAnsi="Garamond" w:cstheme="majorHAnsi"/>
        </w:rPr>
        <w:t xml:space="preserve">. Agriculture is one of the most important sector for Indonesia where it is one of the sector that absorb most of the unskilled labor and sector that earns most of the foreign exchange by raising country’s earnings from exports and agriculture import substitutions </w:t>
      </w:r>
      <w:r w:rsidR="00496FE5" w:rsidRPr="00E9299E">
        <w:rPr>
          <w:rFonts w:ascii="Garamond" w:hAnsi="Garamond" w:cstheme="majorHAnsi"/>
        </w:rPr>
        <w:fldChar w:fldCharType="begin"/>
      </w:r>
      <w:r w:rsidRPr="00E9299E">
        <w:rPr>
          <w:rFonts w:ascii="Garamond" w:hAnsi="Garamond" w:cstheme="majorHAnsi"/>
        </w:rPr>
        <w:instrText>ADDIN RW.CITE{{178 Daryanto,Arief 1999}}</w:instrText>
      </w:r>
      <w:r w:rsidR="00496FE5" w:rsidRPr="00E9299E">
        <w:rPr>
          <w:rFonts w:ascii="Garamond" w:hAnsi="Garamond" w:cstheme="majorHAnsi"/>
        </w:rPr>
        <w:fldChar w:fldCharType="separate"/>
      </w:r>
      <w:r w:rsidRPr="00E9299E">
        <w:rPr>
          <w:rFonts w:ascii="Garamond" w:hAnsi="Garamond" w:cstheme="majorHAnsi"/>
        </w:rPr>
        <w:t>(Daryanto 1999)</w:t>
      </w:r>
      <w:r w:rsidR="00496FE5" w:rsidRPr="00E9299E">
        <w:rPr>
          <w:rFonts w:ascii="Garamond" w:hAnsi="Garamond" w:cstheme="majorHAnsi"/>
        </w:rPr>
        <w:fldChar w:fldCharType="end"/>
      </w:r>
      <w:r w:rsidRPr="00E9299E">
        <w:rPr>
          <w:rFonts w:ascii="Garamond" w:hAnsi="Garamond" w:cstheme="majorHAnsi"/>
        </w:rPr>
        <w:t xml:space="preserve">. Rice supply and price for example is Indonesia national staple food needed to be secured hence Indonesia built an institution named BULOG to maintain the price and reserves </w:t>
      </w:r>
      <w:r w:rsidR="00496FE5" w:rsidRPr="00E9299E">
        <w:rPr>
          <w:rFonts w:ascii="Garamond" w:hAnsi="Garamond" w:cstheme="majorHAnsi"/>
        </w:rPr>
        <w:fldChar w:fldCharType="begin"/>
      </w:r>
      <w:r w:rsidRPr="00E9299E">
        <w:rPr>
          <w:rFonts w:ascii="Garamond" w:hAnsi="Garamond" w:cstheme="majorHAnsi"/>
        </w:rPr>
        <w:instrText>ADDIN RW.CITE{{144 Scherr,SaraJ. 1989}}</w:instrText>
      </w:r>
      <w:r w:rsidR="00496FE5" w:rsidRPr="00E9299E">
        <w:rPr>
          <w:rFonts w:ascii="Garamond" w:hAnsi="Garamond" w:cstheme="majorHAnsi"/>
        </w:rPr>
        <w:fldChar w:fldCharType="separate"/>
      </w:r>
      <w:r w:rsidRPr="00E9299E">
        <w:rPr>
          <w:rFonts w:ascii="Garamond" w:hAnsi="Garamond" w:cstheme="majorHAnsi"/>
        </w:rPr>
        <w:t>(Scherr 1989)</w:t>
      </w:r>
      <w:r w:rsidR="00496FE5" w:rsidRPr="00E9299E">
        <w:rPr>
          <w:rFonts w:ascii="Garamond" w:hAnsi="Garamond" w:cstheme="majorHAnsi"/>
        </w:rPr>
        <w:fldChar w:fldCharType="end"/>
      </w:r>
      <w:r w:rsidRPr="00E9299E">
        <w:rPr>
          <w:rFonts w:ascii="Garamond" w:hAnsi="Garamond" w:cstheme="majorHAnsi"/>
        </w:rPr>
        <w:t>.</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 xml:space="preserve">The policy toward the primary commodity encompasses controls of the exchange rate, domestic prices, tariffs barrier and tax. Indonesia succeeded in achieving rapid economic growth and lessened the adverse impact of Resource curse during the commodity booms were due to its sound policies. This part explains the plans and policy stipulated by Indonesia government that chartered in the four stages five year development plans from 1969 to 1989 during booms and the bust of commodity prices in order to controls the adverse effect of Dutch disease and gains to support the manufacture sector as the backbone to boost economic growth. Indonesia policy has been heavily focused on the agriculture sector as it serves to accommodate its dense population needs and its contribution towards GDP. Further we will discuss the government plans and policies towards the agriculture sectors in three periods. </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i/>
        </w:rPr>
      </w:pPr>
      <w:r w:rsidRPr="00E9299E">
        <w:rPr>
          <w:rFonts w:ascii="Garamond" w:hAnsi="Garamond" w:cstheme="majorHAnsi"/>
          <w:i/>
        </w:rPr>
        <w:t>Period of 1969 to 1979</w:t>
      </w:r>
    </w:p>
    <w:p w:rsidR="002506F2" w:rsidRPr="00E9299E" w:rsidRDefault="002506F2" w:rsidP="002506F2">
      <w:pPr>
        <w:jc w:val="both"/>
        <w:rPr>
          <w:rFonts w:ascii="Garamond" w:hAnsi="Garamond" w:cstheme="majorHAnsi"/>
        </w:rPr>
      </w:pPr>
      <w:r w:rsidRPr="00E9299E">
        <w:rPr>
          <w:rFonts w:ascii="Garamond" w:hAnsi="Garamond" w:cstheme="majorHAnsi"/>
        </w:rPr>
        <w:t xml:space="preserve">In 1967 the main policy objective focus on the agriculture sector to attain agriculture self-sufficiency in rice where in 1970, Indonesia focus more on the earning of non-oil exports which is the agriculture. Even though the price of agriculture commodity was unstable and unfavorable, Indonesia promote its main agriculture crops exports such as rubber, palm oil, coffee, tea, pepper and tobacco with the hope that the successful strategy used in attain rice self-sufficiency would also worked in the other agriculture commodity </w:t>
      </w:r>
      <w:r w:rsidR="00496FE5" w:rsidRPr="00E9299E">
        <w:rPr>
          <w:rFonts w:ascii="Garamond" w:hAnsi="Garamond" w:cstheme="majorHAnsi"/>
        </w:rPr>
        <w:fldChar w:fldCharType="begin"/>
      </w:r>
      <w:r w:rsidRPr="00E9299E">
        <w:rPr>
          <w:rFonts w:ascii="Garamond" w:hAnsi="Garamond" w:cstheme="majorHAnsi"/>
        </w:rPr>
        <w:instrText>ADDIN RW.CITE{{146 Barbier,EdwardB. 1989}}</w:instrText>
      </w:r>
      <w:r w:rsidR="00496FE5" w:rsidRPr="00E9299E">
        <w:rPr>
          <w:rFonts w:ascii="Garamond" w:hAnsi="Garamond" w:cstheme="majorHAnsi"/>
        </w:rPr>
        <w:fldChar w:fldCharType="separate"/>
      </w:r>
      <w:r w:rsidRPr="00E9299E">
        <w:rPr>
          <w:rFonts w:ascii="Garamond" w:hAnsi="Garamond" w:cstheme="majorHAnsi"/>
        </w:rPr>
        <w:t>(Barbier 1989)</w:t>
      </w:r>
      <w:r w:rsidR="00496FE5" w:rsidRPr="00E9299E">
        <w:rPr>
          <w:rFonts w:ascii="Garamond" w:hAnsi="Garamond" w:cstheme="majorHAnsi"/>
        </w:rPr>
        <w:fldChar w:fldCharType="end"/>
      </w:r>
      <w:r w:rsidRPr="00E9299E">
        <w:rPr>
          <w:rFonts w:ascii="Garamond" w:hAnsi="Garamond" w:cstheme="majorHAnsi"/>
        </w:rPr>
        <w:t xml:space="preserve">. The first and second </w:t>
      </w:r>
      <w:proofErr w:type="spellStart"/>
      <w:r w:rsidRPr="00E9299E">
        <w:rPr>
          <w:rFonts w:ascii="Garamond" w:hAnsi="Garamond" w:cstheme="majorHAnsi"/>
        </w:rPr>
        <w:t>Repelita</w:t>
      </w:r>
      <w:proofErr w:type="spellEnd"/>
      <w:r w:rsidRPr="00E9299E">
        <w:rPr>
          <w:rFonts w:ascii="Garamond" w:hAnsi="Garamond" w:cstheme="majorHAnsi"/>
        </w:rPr>
        <w:t xml:space="preserve"> was in 1969 to 1979 which was </w:t>
      </w:r>
      <w:r w:rsidRPr="00E9299E">
        <w:rPr>
          <w:rFonts w:ascii="Garamond" w:hAnsi="Garamond" w:cstheme="majorHAnsi"/>
        </w:rPr>
        <w:lastRenderedPageBreak/>
        <w:t xml:space="preserve">concurrence with first commodity prices boom started in 1970s precisely in 1973 where all the prices of all primary commodity rose. Both of the policy and plans were almost the same which prioritize the development of manufacturing sector that support the agriculture sector namely the industries that produce agriculture equipment, industries that process more domestic raw materials that foreign and produce import-substituting products </w:t>
      </w:r>
      <w:r w:rsidR="00496FE5" w:rsidRPr="00E9299E">
        <w:rPr>
          <w:rFonts w:ascii="Garamond" w:hAnsi="Garamond" w:cstheme="majorHAnsi"/>
        </w:rPr>
        <w:fldChar w:fldCharType="begin"/>
      </w:r>
      <w:r w:rsidRPr="00E9299E">
        <w:rPr>
          <w:rFonts w:ascii="Garamond" w:hAnsi="Garamond" w:cstheme="majorHAnsi"/>
        </w:rPr>
        <w:instrText>ADDIN RW.CITE{{159 Thee,KianWie 1987}}</w:instrText>
      </w:r>
      <w:r w:rsidR="00496FE5" w:rsidRPr="00E9299E">
        <w:rPr>
          <w:rFonts w:ascii="Garamond" w:hAnsi="Garamond" w:cstheme="majorHAnsi"/>
        </w:rPr>
        <w:fldChar w:fldCharType="separate"/>
      </w:r>
      <w:r w:rsidRPr="00E9299E">
        <w:rPr>
          <w:rFonts w:ascii="Garamond" w:hAnsi="Garamond"/>
        </w:rPr>
        <w:t>(Wie 1987)</w:t>
      </w:r>
      <w:r w:rsidR="00496FE5" w:rsidRPr="00E9299E">
        <w:rPr>
          <w:rFonts w:ascii="Garamond" w:hAnsi="Garamond" w:cstheme="majorHAnsi"/>
        </w:rPr>
        <w:fldChar w:fldCharType="end"/>
      </w:r>
      <w:r w:rsidRPr="00E9299E">
        <w:rPr>
          <w:rFonts w:ascii="Garamond" w:hAnsi="Garamond" w:cstheme="majorHAnsi"/>
        </w:rPr>
        <w:t xml:space="preserve">. Hence, during the decade, huge amount of foreign exchange flow into Indonesia which comes from foreign investments and revenues of both oil exports and agriculture which caused Indonesia currency to be overvalued as Indonesia exports was dominated by the primary commodity. Also, many traditional export taxes that removed and reduced in 1976 and 1978 and the policy towards the exchange rate was managed hence the government kept the nominal exchange rate constant from 1971 to 1978 and use most of the foreign revenues to pay foreign loan of </w:t>
      </w:r>
      <w:proofErr w:type="spellStart"/>
      <w:r w:rsidRPr="00E9299E">
        <w:rPr>
          <w:rFonts w:ascii="Garamond" w:hAnsi="Garamond" w:cstheme="majorHAnsi"/>
        </w:rPr>
        <w:t>Pertamina</w:t>
      </w:r>
      <w:proofErr w:type="spellEnd"/>
      <w:r w:rsidRPr="00E9299E">
        <w:rPr>
          <w:rFonts w:ascii="Garamond" w:hAnsi="Garamond" w:cstheme="majorHAnsi"/>
        </w:rPr>
        <w:t xml:space="preserve"> (Indonesia state own oil and gas company) in 1970s to sterilize and in 1978 an extensive protective devaluation was carried out to prevent both tradable and non-tradable sector prices from falling hence it has positive impact on tradable sector particularly in manufacturing sector </w:t>
      </w:r>
      <w:r w:rsidR="00496FE5" w:rsidRPr="00E9299E">
        <w:rPr>
          <w:rFonts w:ascii="Garamond" w:hAnsi="Garamond" w:cstheme="majorHAnsi"/>
        </w:rPr>
        <w:fldChar w:fldCharType="begin"/>
      </w:r>
      <w:r w:rsidRPr="00E9299E">
        <w:rPr>
          <w:rFonts w:ascii="Garamond" w:hAnsi="Garamond" w:cstheme="majorHAnsi"/>
        </w:rPr>
        <w:instrText>ADDIN RW.CITE{{103 Usui,Norio 1996; 144 Scherr,SaraJ. 1989}}</w:instrText>
      </w:r>
      <w:r w:rsidR="00496FE5" w:rsidRPr="00E9299E">
        <w:rPr>
          <w:rFonts w:ascii="Garamond" w:hAnsi="Garamond" w:cstheme="majorHAnsi"/>
        </w:rPr>
        <w:fldChar w:fldCharType="separate"/>
      </w:r>
      <w:r w:rsidRPr="00E9299E">
        <w:rPr>
          <w:rFonts w:ascii="Garamond" w:hAnsi="Garamond" w:cstheme="majorHAnsi"/>
        </w:rPr>
        <w:t>(Usui 1996, Scherr 1989)</w:t>
      </w:r>
      <w:r w:rsidR="00496FE5" w:rsidRPr="00E9299E">
        <w:rPr>
          <w:rFonts w:ascii="Garamond" w:hAnsi="Garamond" w:cstheme="majorHAnsi"/>
        </w:rPr>
        <w:fldChar w:fldCharType="end"/>
      </w:r>
      <w:r w:rsidRPr="00E9299E">
        <w:rPr>
          <w:rFonts w:ascii="Garamond" w:hAnsi="Garamond" w:cstheme="majorHAnsi"/>
        </w:rPr>
        <w:t xml:space="preserve">. </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1E1576">
        <w:rPr>
          <w:rFonts w:ascii="Garamond" w:hAnsi="Garamond" w:cstheme="majorHAnsi"/>
        </w:rPr>
        <w:t xml:space="preserve">In the early of 1970s food security was major concern of Indonesia government as the world food crisis encourage Indonesia to pursue self-sufficiency in rice hence the second </w:t>
      </w:r>
      <w:proofErr w:type="spellStart"/>
      <w:r w:rsidRPr="001E1576">
        <w:rPr>
          <w:rFonts w:ascii="Garamond" w:hAnsi="Garamond" w:cstheme="majorHAnsi"/>
        </w:rPr>
        <w:t>Repelita</w:t>
      </w:r>
      <w:proofErr w:type="spellEnd"/>
      <w:r w:rsidRPr="001E1576">
        <w:rPr>
          <w:rFonts w:ascii="Garamond" w:hAnsi="Garamond" w:cstheme="majorHAnsi"/>
        </w:rPr>
        <w:t xml:space="preserve"> was to promote the agriculture sector particularly rice by giving subsidy for the fertilizers and price stabilization through </w:t>
      </w:r>
      <w:proofErr w:type="spellStart"/>
      <w:r w:rsidRPr="001E1576">
        <w:rPr>
          <w:rFonts w:ascii="Garamond" w:hAnsi="Garamond" w:cstheme="majorHAnsi"/>
        </w:rPr>
        <w:t>Bulog</w:t>
      </w:r>
      <w:proofErr w:type="spellEnd"/>
      <w:r w:rsidRPr="001E1576">
        <w:rPr>
          <w:rFonts w:ascii="Garamond" w:hAnsi="Garamond" w:cstheme="majorHAnsi"/>
        </w:rPr>
        <w:t xml:space="preserve">  </w:t>
      </w:r>
      <w:r w:rsidR="00496FE5" w:rsidRPr="001E1576">
        <w:rPr>
          <w:rFonts w:ascii="Garamond" w:hAnsi="Garamond" w:cstheme="majorHAnsi"/>
        </w:rPr>
        <w:fldChar w:fldCharType="begin"/>
      </w:r>
      <w:r w:rsidRPr="001E1576">
        <w:rPr>
          <w:rFonts w:ascii="Garamond" w:hAnsi="Garamond" w:cstheme="majorHAnsi"/>
        </w:rPr>
        <w:instrText>ADDIN RW.CITE{{213 Françoise,Gérard 2010; 210 Bautista,RomeoM. 1990; 209 Bautista,RomeoM. 1998}}</w:instrText>
      </w:r>
      <w:r w:rsidR="00496FE5" w:rsidRPr="001E1576">
        <w:rPr>
          <w:rFonts w:ascii="Garamond" w:hAnsi="Garamond" w:cstheme="majorHAnsi"/>
        </w:rPr>
        <w:fldChar w:fldCharType="separate"/>
      </w:r>
      <w:r w:rsidRPr="001E1576">
        <w:rPr>
          <w:rFonts w:ascii="Garamond" w:hAnsi="Garamond"/>
        </w:rPr>
        <w:t>(Françoise 2010, Bautista 1990, Bautista and San 1998)</w:t>
      </w:r>
      <w:r w:rsidR="00496FE5" w:rsidRPr="001E1576">
        <w:rPr>
          <w:rFonts w:ascii="Garamond" w:hAnsi="Garamond" w:cstheme="majorHAnsi"/>
        </w:rPr>
        <w:fldChar w:fldCharType="end"/>
      </w:r>
      <w:r w:rsidRPr="001E1576">
        <w:rPr>
          <w:rFonts w:ascii="Garamond" w:hAnsi="Garamond" w:cstheme="majorHAnsi"/>
        </w:rPr>
        <w:t>. The trade policy during this period until the mid-1980s  was more inward looking, government taxed or banned some traditional exports in order to protect its domestic prices and used part of the windfall revenue from the oil price hikes to pursue self-sufficiency in</w:t>
      </w:r>
      <w:r w:rsidRPr="00E9299E">
        <w:rPr>
          <w:rFonts w:ascii="Garamond" w:hAnsi="Garamond" w:cstheme="majorHAnsi"/>
        </w:rPr>
        <w:t xml:space="preserve"> rice and investment in state own enterprises in the import substitution manufacturing industries where it responded to the improvements in the TOT with a series of trade restricting importing substitution policies to protect those traded goods that harmed by the Dutch disease effects of the oil booms </w:t>
      </w:r>
      <w:r w:rsidR="00496FE5" w:rsidRPr="00E9299E">
        <w:rPr>
          <w:rFonts w:ascii="Garamond" w:hAnsi="Garamond" w:cstheme="majorHAnsi"/>
        </w:rPr>
        <w:fldChar w:fldCharType="begin"/>
      </w:r>
      <w:r w:rsidRPr="00E9299E">
        <w:rPr>
          <w:rFonts w:ascii="Garamond" w:hAnsi="Garamond" w:cstheme="majorHAnsi"/>
        </w:rPr>
        <w:instrText>ADDIN RW.CITE{{145 Fane,G. 2008}}</w:instrText>
      </w:r>
      <w:r w:rsidR="00496FE5" w:rsidRPr="00E9299E">
        <w:rPr>
          <w:rFonts w:ascii="Garamond" w:hAnsi="Garamond" w:cstheme="majorHAnsi"/>
        </w:rPr>
        <w:fldChar w:fldCharType="separate"/>
      </w:r>
      <w:r w:rsidRPr="00E9299E">
        <w:rPr>
          <w:rFonts w:ascii="Garamond" w:hAnsi="Garamond" w:cstheme="majorHAnsi"/>
        </w:rPr>
        <w:t>(Fane and Warr 2008)</w:t>
      </w:r>
      <w:r w:rsidR="00496FE5" w:rsidRPr="00E9299E">
        <w:rPr>
          <w:rFonts w:ascii="Garamond" w:hAnsi="Garamond" w:cstheme="majorHAnsi"/>
        </w:rPr>
        <w:fldChar w:fldCharType="end"/>
      </w:r>
      <w:r w:rsidRPr="00E9299E">
        <w:rPr>
          <w:rFonts w:ascii="Garamond" w:hAnsi="Garamond" w:cstheme="majorHAnsi"/>
        </w:rPr>
        <w:t xml:space="preserve">.   </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Period of 1979 to 1989</w:t>
      </w:r>
    </w:p>
    <w:p w:rsidR="002506F2" w:rsidRPr="00E9299E" w:rsidRDefault="002506F2" w:rsidP="002506F2">
      <w:pPr>
        <w:jc w:val="both"/>
        <w:rPr>
          <w:rFonts w:ascii="Garamond" w:hAnsi="Garamond" w:cstheme="majorHAnsi"/>
        </w:rPr>
      </w:pPr>
      <w:r w:rsidRPr="00E9299E">
        <w:rPr>
          <w:rFonts w:ascii="Garamond" w:hAnsi="Garamond" w:cstheme="majorHAnsi"/>
        </w:rPr>
        <w:t xml:space="preserve">Under the first </w:t>
      </w:r>
      <w:proofErr w:type="spellStart"/>
      <w:r w:rsidRPr="00E9299E">
        <w:rPr>
          <w:rFonts w:ascii="Garamond" w:hAnsi="Garamond" w:cstheme="majorHAnsi"/>
        </w:rPr>
        <w:t>Repelita</w:t>
      </w:r>
      <w:proofErr w:type="spellEnd"/>
      <w:r w:rsidRPr="00E9299E">
        <w:rPr>
          <w:rFonts w:ascii="Garamond" w:hAnsi="Garamond" w:cstheme="majorHAnsi"/>
        </w:rPr>
        <w:t xml:space="preserve"> that boost the development of agriculture supporter sector which increase the productivity of the agriculture sector, Indonesia rice production exceed its domestic consumption in 1984 </w:t>
      </w:r>
      <w:r w:rsidR="00496FE5" w:rsidRPr="00E9299E">
        <w:rPr>
          <w:rFonts w:ascii="Garamond" w:hAnsi="Garamond" w:cstheme="majorHAnsi"/>
        </w:rPr>
        <w:fldChar w:fldCharType="begin"/>
      </w:r>
      <w:r w:rsidRPr="00E9299E">
        <w:rPr>
          <w:rFonts w:ascii="Garamond" w:hAnsi="Garamond" w:cstheme="majorHAnsi"/>
        </w:rPr>
        <w:instrText>ADDIN RW.CITE{{146 Barbier,EdwardB. 1989}}</w:instrText>
      </w:r>
      <w:r w:rsidR="00496FE5" w:rsidRPr="00E9299E">
        <w:rPr>
          <w:rFonts w:ascii="Garamond" w:hAnsi="Garamond" w:cstheme="majorHAnsi"/>
        </w:rPr>
        <w:fldChar w:fldCharType="separate"/>
      </w:r>
      <w:r w:rsidRPr="00E9299E">
        <w:rPr>
          <w:rFonts w:ascii="Garamond" w:hAnsi="Garamond" w:cstheme="majorHAnsi"/>
        </w:rPr>
        <w:t>(Barbier 1989)</w:t>
      </w:r>
      <w:r w:rsidR="00496FE5" w:rsidRPr="00E9299E">
        <w:rPr>
          <w:rFonts w:ascii="Garamond" w:hAnsi="Garamond" w:cstheme="majorHAnsi"/>
        </w:rPr>
        <w:fldChar w:fldCharType="end"/>
      </w:r>
      <w:r w:rsidRPr="00E9299E">
        <w:rPr>
          <w:rFonts w:ascii="Garamond" w:hAnsi="Garamond" w:cstheme="majorHAnsi"/>
        </w:rPr>
        <w:t xml:space="preserve">. The third and the fourth </w:t>
      </w:r>
      <w:proofErr w:type="spellStart"/>
      <w:r w:rsidRPr="00E9299E">
        <w:rPr>
          <w:rFonts w:ascii="Garamond" w:hAnsi="Garamond" w:cstheme="majorHAnsi"/>
        </w:rPr>
        <w:t>Repelita</w:t>
      </w:r>
      <w:proofErr w:type="spellEnd"/>
      <w:r w:rsidRPr="00E9299E">
        <w:rPr>
          <w:rFonts w:ascii="Garamond" w:hAnsi="Garamond" w:cstheme="majorHAnsi"/>
        </w:rPr>
        <w:t xml:space="preserve"> that focus towards the development of manufacture sector was started in the end of 1979 to 1989. The third </w:t>
      </w:r>
      <w:proofErr w:type="spellStart"/>
      <w:r w:rsidRPr="00E9299E">
        <w:rPr>
          <w:rFonts w:ascii="Garamond" w:hAnsi="Garamond" w:cstheme="majorHAnsi"/>
        </w:rPr>
        <w:t>Repelita</w:t>
      </w:r>
      <w:proofErr w:type="spellEnd"/>
      <w:r w:rsidRPr="00E9299E">
        <w:rPr>
          <w:rFonts w:ascii="Garamond" w:hAnsi="Garamond" w:cstheme="majorHAnsi"/>
        </w:rPr>
        <w:t xml:space="preserve"> was designed to boost the industries that process domestic raw materials into manufacture products with the hope that these local products could decrease the needs of import products. It also set up to support the fourth </w:t>
      </w:r>
      <w:proofErr w:type="spellStart"/>
      <w:r w:rsidRPr="00E9299E">
        <w:rPr>
          <w:rFonts w:ascii="Garamond" w:hAnsi="Garamond" w:cstheme="majorHAnsi"/>
        </w:rPr>
        <w:t>Repelita</w:t>
      </w:r>
      <w:proofErr w:type="spellEnd"/>
      <w:r w:rsidRPr="00E9299E">
        <w:rPr>
          <w:rFonts w:ascii="Garamond" w:hAnsi="Garamond" w:cstheme="majorHAnsi"/>
        </w:rPr>
        <w:t xml:space="preserve"> which focus on the objective of the whole development plans which was to move into industrialization to expand its manufacture sector as to reduce the dependency on commodity driven growth </w:t>
      </w:r>
      <w:r w:rsidR="00496FE5" w:rsidRPr="00E9299E">
        <w:rPr>
          <w:rFonts w:ascii="Garamond" w:hAnsi="Garamond" w:cstheme="majorHAnsi"/>
        </w:rPr>
        <w:fldChar w:fldCharType="begin"/>
      </w:r>
      <w:r w:rsidRPr="00E9299E">
        <w:rPr>
          <w:rFonts w:ascii="Garamond" w:hAnsi="Garamond" w:cstheme="majorHAnsi"/>
        </w:rPr>
        <w:instrText>ADDIN RW.CITE{{159 Thee,KianWie 1987}}</w:instrText>
      </w:r>
      <w:r w:rsidR="00496FE5" w:rsidRPr="00E9299E">
        <w:rPr>
          <w:rFonts w:ascii="Garamond" w:hAnsi="Garamond" w:cstheme="majorHAnsi"/>
        </w:rPr>
        <w:fldChar w:fldCharType="separate"/>
      </w:r>
      <w:r w:rsidRPr="00E9299E">
        <w:rPr>
          <w:rFonts w:ascii="Garamond" w:hAnsi="Garamond"/>
        </w:rPr>
        <w:t>(Wie 1987)</w:t>
      </w:r>
      <w:r w:rsidR="00496FE5" w:rsidRPr="00E9299E">
        <w:rPr>
          <w:rFonts w:ascii="Garamond" w:hAnsi="Garamond" w:cstheme="majorHAnsi"/>
        </w:rPr>
        <w:fldChar w:fldCharType="end"/>
      </w:r>
      <w:r w:rsidRPr="00E9299E">
        <w:rPr>
          <w:rFonts w:ascii="Garamond" w:hAnsi="Garamond" w:cstheme="majorHAnsi"/>
        </w:rPr>
        <w:t xml:space="preserve">. In instance, the trade policy was reformed as the oil price fall in 1982 and international recession which caused Indonesia economy to slow down hence Indonesia started to liberalized its economy and opening up the economy aimed to promote the manufacturing sector </w:t>
      </w:r>
      <w:r w:rsidR="00496FE5" w:rsidRPr="00E9299E">
        <w:rPr>
          <w:rFonts w:ascii="Garamond" w:hAnsi="Garamond" w:cstheme="majorHAnsi"/>
        </w:rPr>
        <w:fldChar w:fldCharType="begin"/>
      </w:r>
      <w:r w:rsidRPr="00E9299E">
        <w:rPr>
          <w:rFonts w:ascii="Garamond" w:hAnsi="Garamond" w:cstheme="majorHAnsi"/>
        </w:rPr>
        <w:instrText>ADDIN RW.CITE{{159 Wie,TheeKian 1987; 164 Jacob,Jojo 2005}}</w:instrText>
      </w:r>
      <w:r w:rsidR="00496FE5" w:rsidRPr="00E9299E">
        <w:rPr>
          <w:rFonts w:ascii="Garamond" w:hAnsi="Garamond" w:cstheme="majorHAnsi"/>
        </w:rPr>
        <w:fldChar w:fldCharType="separate"/>
      </w:r>
      <w:r w:rsidRPr="00E9299E">
        <w:rPr>
          <w:rFonts w:ascii="Garamond" w:hAnsi="Garamond"/>
        </w:rPr>
        <w:t>(Wie 1987, Jacob 2005)</w:t>
      </w:r>
      <w:r w:rsidR="00496FE5" w:rsidRPr="00E9299E">
        <w:rPr>
          <w:rFonts w:ascii="Garamond" w:hAnsi="Garamond" w:cstheme="majorHAnsi"/>
        </w:rPr>
        <w:fldChar w:fldCharType="end"/>
      </w:r>
      <w:r w:rsidRPr="00E9299E">
        <w:rPr>
          <w:rFonts w:ascii="Garamond" w:hAnsi="Garamond" w:cstheme="majorHAnsi"/>
        </w:rPr>
        <w:t xml:space="preserve"> followed by the second devaluation carried out in March 1983 after high inflation in 1978 to 1983 and declining terms of trade </w:t>
      </w:r>
      <w:r w:rsidRPr="00E9299E">
        <w:rPr>
          <w:rFonts w:ascii="Garamond" w:hAnsi="Garamond" w:cstheme="majorHAnsi"/>
        </w:rPr>
        <w:lastRenderedPageBreak/>
        <w:t xml:space="preserve">for commodity sector after the global commodity prices declined </w:t>
      </w:r>
      <w:r w:rsidR="00496FE5" w:rsidRPr="00E9299E">
        <w:rPr>
          <w:rFonts w:ascii="Garamond" w:hAnsi="Garamond" w:cstheme="majorHAnsi"/>
        </w:rPr>
        <w:fldChar w:fldCharType="begin"/>
      </w:r>
      <w:r w:rsidRPr="00E9299E">
        <w:rPr>
          <w:rFonts w:ascii="Garamond" w:hAnsi="Garamond" w:cstheme="majorHAnsi"/>
        </w:rPr>
        <w:instrText>ADDIN RW.CITE{{149 Warr,PeterG 1986; 154 Gelb,Alan 1986}}</w:instrText>
      </w:r>
      <w:r w:rsidR="00496FE5" w:rsidRPr="00E9299E">
        <w:rPr>
          <w:rFonts w:ascii="Garamond" w:hAnsi="Garamond" w:cstheme="majorHAnsi"/>
        </w:rPr>
        <w:fldChar w:fldCharType="separate"/>
      </w:r>
      <w:r w:rsidRPr="00E9299E">
        <w:rPr>
          <w:rFonts w:ascii="Garamond" w:hAnsi="Garamond" w:cstheme="majorHAnsi"/>
        </w:rPr>
        <w:t>(Warr 1986, Gelb 1986)</w:t>
      </w:r>
      <w:r w:rsidR="00496FE5" w:rsidRPr="00E9299E">
        <w:rPr>
          <w:rFonts w:ascii="Garamond" w:hAnsi="Garamond" w:cstheme="majorHAnsi"/>
        </w:rPr>
        <w:fldChar w:fldCharType="end"/>
      </w:r>
      <w:r w:rsidRPr="00E9299E">
        <w:rPr>
          <w:rFonts w:ascii="Garamond" w:hAnsi="Garamond" w:cstheme="majorHAnsi"/>
        </w:rPr>
        <w:t xml:space="preserve">.    </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 xml:space="preserve">When the oil price fall in the mid-1980 some oil exporting countries abandon the attempt to open its economy, Indonesia in contrast kept opening its economy but raise its trade barriers by imposing exchange controls and tightening import licensing, it also cut public spending and devaluate its currency to protect the non-oil exports sector </w:t>
      </w:r>
      <w:r w:rsidR="00496FE5" w:rsidRPr="00E9299E">
        <w:rPr>
          <w:rFonts w:ascii="Garamond" w:hAnsi="Garamond" w:cstheme="majorHAnsi"/>
        </w:rPr>
        <w:fldChar w:fldCharType="begin"/>
      </w:r>
      <w:r w:rsidRPr="00E9299E">
        <w:rPr>
          <w:rFonts w:ascii="Garamond" w:hAnsi="Garamond" w:cstheme="majorHAnsi"/>
        </w:rPr>
        <w:instrText>ADDIN RW.CITE{{145 Fane,G. 2008}}</w:instrText>
      </w:r>
      <w:r w:rsidR="00496FE5" w:rsidRPr="00E9299E">
        <w:rPr>
          <w:rFonts w:ascii="Garamond" w:hAnsi="Garamond" w:cstheme="majorHAnsi"/>
        </w:rPr>
        <w:fldChar w:fldCharType="separate"/>
      </w:r>
      <w:r w:rsidRPr="00E9299E">
        <w:rPr>
          <w:rFonts w:ascii="Garamond" w:hAnsi="Garamond" w:cstheme="majorHAnsi"/>
        </w:rPr>
        <w:t>(Fane and Warr 2008)</w:t>
      </w:r>
      <w:r w:rsidR="00496FE5" w:rsidRPr="00E9299E">
        <w:rPr>
          <w:rFonts w:ascii="Garamond" w:hAnsi="Garamond" w:cstheme="majorHAnsi"/>
        </w:rPr>
        <w:fldChar w:fldCharType="end"/>
      </w:r>
      <w:r w:rsidRPr="00E9299E">
        <w:rPr>
          <w:rFonts w:ascii="Garamond" w:hAnsi="Garamond" w:cstheme="majorHAnsi"/>
        </w:rPr>
        <w:t xml:space="preserve">. During this period the fiscal revenue was declining hence the irrigation development expenditure was reduced together with the subsidies for fertilizers and in May 1986 the government introduced the duty drawbacks and exemption on imports for exports products with the intention to boost the manufacture sector </w:t>
      </w:r>
      <w:r w:rsidR="00496FE5" w:rsidRPr="00E9299E">
        <w:rPr>
          <w:rFonts w:ascii="Garamond" w:hAnsi="Garamond" w:cstheme="majorHAnsi"/>
        </w:rPr>
        <w:fldChar w:fldCharType="begin"/>
      </w:r>
      <w:r w:rsidRPr="00E9299E">
        <w:rPr>
          <w:rFonts w:ascii="Garamond" w:hAnsi="Garamond" w:cstheme="majorHAnsi"/>
        </w:rPr>
        <w:instrText>ADDIN RW.CITE{{210 Bautista,RomeoM. 1990; 211 Wie,TheeKian 2006}}</w:instrText>
      </w:r>
      <w:r w:rsidR="00496FE5" w:rsidRPr="00E9299E">
        <w:rPr>
          <w:rFonts w:ascii="Garamond" w:hAnsi="Garamond" w:cstheme="majorHAnsi"/>
        </w:rPr>
        <w:fldChar w:fldCharType="separate"/>
      </w:r>
      <w:r w:rsidRPr="00E9299E">
        <w:rPr>
          <w:rFonts w:ascii="Garamond" w:hAnsi="Garamond" w:cstheme="majorHAnsi"/>
        </w:rPr>
        <w:t>(Bautista 1990, Wie 2006)</w:t>
      </w:r>
      <w:r w:rsidR="00496FE5" w:rsidRPr="00E9299E">
        <w:rPr>
          <w:rFonts w:ascii="Garamond" w:hAnsi="Garamond" w:cstheme="majorHAnsi"/>
        </w:rPr>
        <w:fldChar w:fldCharType="end"/>
      </w:r>
      <w:r w:rsidRPr="00E9299E">
        <w:rPr>
          <w:rFonts w:ascii="Garamond" w:hAnsi="Garamond" w:cstheme="majorHAnsi"/>
        </w:rPr>
        <w:t>.</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Period of 1989 to 1999</w:t>
      </w:r>
    </w:p>
    <w:p w:rsidR="002506F2" w:rsidRPr="00E9299E" w:rsidRDefault="002506F2" w:rsidP="002506F2">
      <w:pPr>
        <w:jc w:val="both"/>
        <w:rPr>
          <w:rFonts w:ascii="Garamond" w:hAnsi="Garamond" w:cstheme="majorHAnsi"/>
        </w:rPr>
      </w:pPr>
      <w:r w:rsidRPr="00E9299E">
        <w:rPr>
          <w:rFonts w:ascii="Garamond" w:hAnsi="Garamond" w:cstheme="majorHAnsi"/>
        </w:rPr>
        <w:t xml:space="preserve">In this period, Indonesia policy towards commodity focus more on the palm oil where Indonesia is the second largest palm oil producer after Malaysia </w:t>
      </w:r>
      <w:r w:rsidR="00496FE5" w:rsidRPr="00E9299E">
        <w:rPr>
          <w:rFonts w:ascii="Garamond" w:hAnsi="Garamond" w:cstheme="majorHAnsi"/>
        </w:rPr>
        <w:fldChar w:fldCharType="begin"/>
      </w:r>
      <w:r w:rsidRPr="00E9299E">
        <w:rPr>
          <w:rFonts w:ascii="Garamond" w:hAnsi="Garamond" w:cstheme="majorHAnsi"/>
        </w:rPr>
        <w:instrText>ADDIN RW.CITE{{158 Piermartini,Roberta 2004}}</w:instrText>
      </w:r>
      <w:r w:rsidR="00496FE5" w:rsidRPr="00E9299E">
        <w:rPr>
          <w:rFonts w:ascii="Garamond" w:hAnsi="Garamond" w:cstheme="majorHAnsi"/>
        </w:rPr>
        <w:fldChar w:fldCharType="separate"/>
      </w:r>
      <w:r w:rsidRPr="00E9299E">
        <w:rPr>
          <w:rFonts w:ascii="Garamond" w:hAnsi="Garamond" w:cstheme="majorHAnsi"/>
        </w:rPr>
        <w:t>(Piermartini 2004)</w:t>
      </w:r>
      <w:r w:rsidR="00496FE5" w:rsidRPr="00E9299E">
        <w:rPr>
          <w:rFonts w:ascii="Garamond" w:hAnsi="Garamond" w:cstheme="majorHAnsi"/>
        </w:rPr>
        <w:fldChar w:fldCharType="end"/>
      </w:r>
      <w:r w:rsidRPr="00E9299E">
        <w:rPr>
          <w:rFonts w:ascii="Garamond" w:hAnsi="Garamond" w:cstheme="majorHAnsi"/>
        </w:rPr>
        <w:t xml:space="preserve"> and it is one of Indonesia staple food. Following the trade liberalization policies, Indonesia lifted up all palm oil trade restrictions, including domestic prices and the quantity for exports hence Indonesia exports in the world market for CPO increased significantly which cause the domestic price to rise. As the exports overwhelm, the government concerned with the rising price of palm oil products hence the government set a new policy that imposed export taxes on palm oil products in 1994 to 1997 </w:t>
      </w:r>
      <w:r w:rsidR="00496FE5" w:rsidRPr="00E9299E">
        <w:rPr>
          <w:rFonts w:ascii="Garamond" w:hAnsi="Garamond" w:cstheme="majorHAnsi"/>
        </w:rPr>
        <w:fldChar w:fldCharType="begin"/>
      </w:r>
      <w:r w:rsidRPr="00E9299E">
        <w:rPr>
          <w:rFonts w:ascii="Garamond" w:hAnsi="Garamond" w:cstheme="majorHAnsi"/>
        </w:rPr>
        <w:instrText>ADDIN RW.CITE{{152 Hasan,MohamadF 2001}}</w:instrText>
      </w:r>
      <w:r w:rsidR="00496FE5" w:rsidRPr="00E9299E">
        <w:rPr>
          <w:rFonts w:ascii="Garamond" w:hAnsi="Garamond" w:cstheme="majorHAnsi"/>
        </w:rPr>
        <w:fldChar w:fldCharType="separate"/>
      </w:r>
      <w:r w:rsidRPr="00E9299E">
        <w:rPr>
          <w:rFonts w:ascii="Garamond" w:hAnsi="Garamond" w:cstheme="majorHAnsi"/>
        </w:rPr>
        <w:t>(Hasan et al. 2001)</w:t>
      </w:r>
      <w:r w:rsidR="00496FE5" w:rsidRPr="00E9299E">
        <w:rPr>
          <w:rFonts w:ascii="Garamond" w:hAnsi="Garamond" w:cstheme="majorHAnsi"/>
        </w:rPr>
        <w:fldChar w:fldCharType="end"/>
      </w:r>
      <w:r w:rsidRPr="00E9299E">
        <w:rPr>
          <w:rFonts w:ascii="Garamond" w:hAnsi="Garamond" w:cstheme="majorHAnsi"/>
        </w:rPr>
        <w:t>. The tax policy on palm oil export was to tax windfall exports during boo</w:t>
      </w:r>
      <w:r>
        <w:rPr>
          <w:rFonts w:ascii="Garamond" w:hAnsi="Garamond" w:cstheme="majorHAnsi"/>
        </w:rPr>
        <w:t>ming periods. However,</w:t>
      </w:r>
      <w:r w:rsidRPr="00E9299E">
        <w:rPr>
          <w:rFonts w:ascii="Garamond" w:hAnsi="Garamond" w:cstheme="majorHAnsi"/>
        </w:rPr>
        <w:t xml:space="preserve"> this tax policy also has negative impact on the other sector notably the coconut oil sector. The taxation cause the palm oil producer to divert their focus from exports to domestic market with lower price where it competed with the coconut oil hence the coconut oil producers move more towards exports market as they didn’t taxed since 1991 and also the profitability in exporting crude coconut oil was more than domestic market </w:t>
      </w:r>
      <w:r w:rsidR="00496FE5" w:rsidRPr="00E9299E">
        <w:rPr>
          <w:rFonts w:ascii="Garamond" w:hAnsi="Garamond" w:cstheme="majorHAnsi"/>
        </w:rPr>
        <w:fldChar w:fldCharType="begin"/>
      </w:r>
      <w:r w:rsidRPr="00E9299E">
        <w:rPr>
          <w:rFonts w:ascii="Garamond" w:hAnsi="Garamond" w:cstheme="majorHAnsi"/>
        </w:rPr>
        <w:instrText>ADDIN RW.CITE{{147 Marks,StephenV. 1998}}</w:instrText>
      </w:r>
      <w:r w:rsidR="00496FE5" w:rsidRPr="00E9299E">
        <w:rPr>
          <w:rFonts w:ascii="Garamond" w:hAnsi="Garamond" w:cstheme="majorHAnsi"/>
        </w:rPr>
        <w:fldChar w:fldCharType="separate"/>
      </w:r>
      <w:r w:rsidRPr="00E9299E">
        <w:rPr>
          <w:rFonts w:ascii="Garamond" w:hAnsi="Garamond" w:cstheme="majorHAnsi"/>
        </w:rPr>
        <w:t>(Marks et al. 1998)</w:t>
      </w:r>
      <w:r w:rsidR="00496FE5" w:rsidRPr="00E9299E">
        <w:rPr>
          <w:rFonts w:ascii="Garamond" w:hAnsi="Garamond" w:cstheme="majorHAnsi"/>
        </w:rPr>
        <w:fldChar w:fldCharType="end"/>
      </w:r>
      <w:r w:rsidRPr="00E9299E">
        <w:rPr>
          <w:rFonts w:ascii="Garamond" w:hAnsi="Garamond" w:cstheme="majorHAnsi"/>
        </w:rPr>
        <w:t>.</w:t>
      </w:r>
    </w:p>
    <w:p w:rsidR="002506F2" w:rsidRPr="00E9299E" w:rsidRDefault="002506F2" w:rsidP="002506F2">
      <w:pPr>
        <w:jc w:val="both"/>
        <w:rPr>
          <w:rFonts w:ascii="Garamond" w:hAnsi="Garamond" w:cstheme="majorHAnsi"/>
        </w:rPr>
      </w:pPr>
    </w:p>
    <w:p w:rsidR="002506F2" w:rsidRPr="00E9299E" w:rsidRDefault="002506F2" w:rsidP="002506F2">
      <w:pPr>
        <w:jc w:val="both"/>
        <w:rPr>
          <w:rFonts w:ascii="Garamond" w:hAnsi="Garamond" w:cstheme="majorHAnsi"/>
        </w:rPr>
      </w:pPr>
      <w:r w:rsidRPr="00E9299E">
        <w:rPr>
          <w:rFonts w:ascii="Garamond" w:hAnsi="Garamond" w:cstheme="majorHAnsi"/>
        </w:rPr>
        <w:t xml:space="preserve">The tax policy imposed by the government on the commodity exports particularly in the agriculture sector was to protect the domestic prices as agriculture sector plays main role in Indonesia dense population. Taxes on the booming sector has two implications where first it was to protect the domestic prices from rising too much and the second was to increase government revenue that would allow the government to allocate the revenue to productive sector. </w:t>
      </w:r>
    </w:p>
    <w:p w:rsidR="002506F2" w:rsidRPr="00E9299E" w:rsidRDefault="002506F2" w:rsidP="002506F2">
      <w:pPr>
        <w:jc w:val="both"/>
        <w:rPr>
          <w:rFonts w:ascii="Garamond" w:hAnsi="Garamond" w:cstheme="majorHAnsi"/>
        </w:rPr>
      </w:pPr>
    </w:p>
    <w:p w:rsidR="002506F2" w:rsidRPr="00E9299E" w:rsidRDefault="002506F2" w:rsidP="002506F2">
      <w:pPr>
        <w:rPr>
          <w:rFonts w:ascii="Garamond" w:hAnsi="Garamond" w:cstheme="majorHAnsi"/>
        </w:rPr>
      </w:pPr>
      <w:r w:rsidRPr="00E9299E">
        <w:rPr>
          <w:rFonts w:ascii="Garamond" w:hAnsi="Garamond" w:cstheme="majorHAnsi"/>
        </w:rPr>
        <w:t>Period of 2000 – 2010</w:t>
      </w:r>
    </w:p>
    <w:p w:rsidR="002506F2" w:rsidRPr="00E9299E" w:rsidRDefault="002506F2" w:rsidP="002506F2">
      <w:pPr>
        <w:jc w:val="both"/>
        <w:rPr>
          <w:rFonts w:ascii="Garamond" w:hAnsi="Garamond" w:cstheme="majorHAnsi"/>
        </w:rPr>
      </w:pPr>
      <w:r w:rsidRPr="00E9299E">
        <w:rPr>
          <w:rFonts w:ascii="Garamond" w:hAnsi="Garamond" w:cstheme="majorHAnsi"/>
        </w:rPr>
        <w:t xml:space="preserve">Before going further discussing the commodity export policy of Indonesia in 2000, it is wise to convey that the Asian crisis brought a huge change to Indonesia economy. In April 1998 as agreement with the IMF, Indonesia cut the exports tariff of 34 commodities and cut the complex process related to the exports tax payments. As the objectives was to recover its economic growth and increase the foreign reserves, Indonesia boost its exports by reduce the taxes of forestry commodities of 20% at the end of 1998 and another 25% at the end of 2000 but on the on the other hand, Indonesia imposes taxes on cocoa and palm oil products to ensure an adequate supply and domestic price </w:t>
      </w:r>
      <w:r w:rsidRPr="00E9299E">
        <w:rPr>
          <w:rFonts w:ascii="Garamond" w:hAnsi="Garamond" w:cstheme="majorHAnsi"/>
        </w:rPr>
        <w:lastRenderedPageBreak/>
        <w:t xml:space="preserve">stability. Then in 2005 Indonesia imposed export tariffs on raw skins for 25%, white tanned hides (20%) and coal (5%) and in 2008 exports ban was imposed on unprocessed rattan then lifted in 2009 </w:t>
      </w:r>
      <w:r w:rsidR="00496FE5" w:rsidRPr="00E9299E">
        <w:rPr>
          <w:rFonts w:ascii="Garamond" w:hAnsi="Garamond" w:cstheme="majorHAnsi"/>
        </w:rPr>
        <w:fldChar w:fldCharType="begin"/>
      </w:r>
      <w:r w:rsidRPr="00E9299E">
        <w:rPr>
          <w:rFonts w:ascii="Garamond" w:hAnsi="Garamond" w:cstheme="majorHAnsi"/>
        </w:rPr>
        <w:instrText>ADDIN RW.CITE{{212 TheEconomistIntelligenceUnit 2012}}</w:instrText>
      </w:r>
      <w:r w:rsidR="00496FE5" w:rsidRPr="00E9299E">
        <w:rPr>
          <w:rFonts w:ascii="Garamond" w:hAnsi="Garamond" w:cstheme="majorHAnsi"/>
        </w:rPr>
        <w:fldChar w:fldCharType="separate"/>
      </w:r>
      <w:r w:rsidRPr="00E9299E">
        <w:rPr>
          <w:rFonts w:ascii="Garamond" w:hAnsi="Garamond" w:cstheme="majorHAnsi"/>
        </w:rPr>
        <w:t>(The Economist Intelligence Unit. 2012)</w:t>
      </w:r>
      <w:r w:rsidR="00496FE5" w:rsidRPr="00E9299E">
        <w:rPr>
          <w:rFonts w:ascii="Garamond" w:hAnsi="Garamond" w:cstheme="majorHAnsi"/>
        </w:rPr>
        <w:fldChar w:fldCharType="end"/>
      </w:r>
      <w:r w:rsidRPr="00E9299E">
        <w:rPr>
          <w:rFonts w:ascii="Garamond" w:hAnsi="Garamond" w:cstheme="majorHAnsi"/>
        </w:rPr>
        <w:t xml:space="preserve">. </w:t>
      </w:r>
    </w:p>
    <w:p w:rsidR="002506F2" w:rsidRPr="00E9299E" w:rsidRDefault="002506F2" w:rsidP="002506F2">
      <w:pPr>
        <w:jc w:val="center"/>
        <w:rPr>
          <w:rFonts w:ascii="Garamond" w:hAnsi="Garamond"/>
        </w:rPr>
      </w:pPr>
    </w:p>
    <w:p w:rsidR="002506F2" w:rsidRPr="00E9299E" w:rsidRDefault="00953411" w:rsidP="002506F2">
      <w:pPr>
        <w:jc w:val="center"/>
        <w:rPr>
          <w:rFonts w:ascii="Garamond" w:hAnsi="Garamond"/>
        </w:rPr>
      </w:pPr>
      <w:r>
        <w:rPr>
          <w:rFonts w:ascii="Garamond" w:hAnsi="Garamond"/>
        </w:rPr>
        <w:t>Table 3-2</w:t>
      </w:r>
    </w:p>
    <w:p w:rsidR="002506F2" w:rsidRPr="00E9299E" w:rsidRDefault="002506F2" w:rsidP="002506F2">
      <w:pPr>
        <w:jc w:val="center"/>
        <w:rPr>
          <w:rFonts w:ascii="Garamond" w:hAnsi="Garamond"/>
        </w:rPr>
      </w:pPr>
      <w:r w:rsidRPr="00E9299E">
        <w:rPr>
          <w:rFonts w:ascii="Garamond" w:hAnsi="Garamond"/>
        </w:rPr>
        <w:t>Policy and Plans Summary</w:t>
      </w:r>
    </w:p>
    <w:tbl>
      <w:tblPr>
        <w:tblStyle w:val="TableGrid"/>
        <w:tblW w:w="0" w:type="auto"/>
        <w:tblLook w:val="04A0"/>
      </w:tblPr>
      <w:tblGrid>
        <w:gridCol w:w="1645"/>
        <w:gridCol w:w="5930"/>
      </w:tblGrid>
      <w:tr w:rsidR="002506F2" w:rsidRPr="00E9299E" w:rsidTr="00B8408F">
        <w:tc>
          <w:tcPr>
            <w:tcW w:w="1818" w:type="dxa"/>
          </w:tcPr>
          <w:p w:rsidR="002506F2" w:rsidRPr="00E9299E" w:rsidRDefault="002506F2" w:rsidP="00B8408F">
            <w:pPr>
              <w:rPr>
                <w:rFonts w:ascii="Garamond" w:hAnsi="Garamond"/>
              </w:rPr>
            </w:pPr>
            <w:r w:rsidRPr="00E9299E">
              <w:rPr>
                <w:rFonts w:ascii="Garamond" w:hAnsi="Garamond"/>
              </w:rPr>
              <w:t>Years</w:t>
            </w:r>
          </w:p>
        </w:tc>
        <w:tc>
          <w:tcPr>
            <w:tcW w:w="6698" w:type="dxa"/>
          </w:tcPr>
          <w:p w:rsidR="002506F2" w:rsidRPr="00E9299E" w:rsidRDefault="002506F2" w:rsidP="00B8408F">
            <w:pPr>
              <w:rPr>
                <w:rFonts w:ascii="Garamond" w:hAnsi="Garamond"/>
              </w:rPr>
            </w:pPr>
            <w:r w:rsidRPr="00E9299E">
              <w:rPr>
                <w:rFonts w:ascii="Garamond" w:hAnsi="Garamond"/>
              </w:rPr>
              <w:t>Policy and Plans</w:t>
            </w:r>
          </w:p>
        </w:tc>
      </w:tr>
      <w:tr w:rsidR="002506F2" w:rsidRPr="00E9299E" w:rsidTr="00B8408F">
        <w:tc>
          <w:tcPr>
            <w:tcW w:w="1818" w:type="dxa"/>
          </w:tcPr>
          <w:p w:rsidR="002506F2" w:rsidRPr="00E9299E" w:rsidRDefault="002506F2" w:rsidP="00B8408F">
            <w:pPr>
              <w:rPr>
                <w:rFonts w:ascii="Garamond" w:hAnsi="Garamond"/>
              </w:rPr>
            </w:pPr>
            <w:r w:rsidRPr="00E9299E">
              <w:rPr>
                <w:rFonts w:ascii="Garamond" w:hAnsi="Garamond"/>
              </w:rPr>
              <w:t xml:space="preserve">1969 – 1979 </w:t>
            </w:r>
          </w:p>
        </w:tc>
        <w:tc>
          <w:tcPr>
            <w:tcW w:w="6698" w:type="dxa"/>
          </w:tcPr>
          <w:p w:rsidR="002506F2" w:rsidRPr="00E9299E" w:rsidRDefault="002506F2" w:rsidP="002506F2">
            <w:pPr>
              <w:pStyle w:val="ListParagraph"/>
              <w:numPr>
                <w:ilvl w:val="0"/>
                <w:numId w:val="9"/>
              </w:numPr>
              <w:ind w:left="342" w:hanging="270"/>
              <w:rPr>
                <w:rFonts w:ascii="Garamond" w:hAnsi="Garamond"/>
              </w:rPr>
            </w:pPr>
            <w:r w:rsidRPr="00E9299E">
              <w:rPr>
                <w:rFonts w:ascii="Garamond" w:hAnsi="Garamond"/>
              </w:rPr>
              <w:t>First and second development plans (</w:t>
            </w:r>
            <w:proofErr w:type="spellStart"/>
            <w:r w:rsidRPr="00E9299E">
              <w:rPr>
                <w:rFonts w:ascii="Garamond" w:hAnsi="Garamond"/>
              </w:rPr>
              <w:t>Repelita</w:t>
            </w:r>
            <w:proofErr w:type="spellEnd"/>
            <w:r w:rsidRPr="00E9299E">
              <w:rPr>
                <w:rFonts w:ascii="Garamond" w:hAnsi="Garamond"/>
              </w:rPr>
              <w:t>)</w:t>
            </w:r>
          </w:p>
          <w:p w:rsidR="002506F2" w:rsidRPr="00E9299E" w:rsidRDefault="002506F2" w:rsidP="002506F2">
            <w:pPr>
              <w:pStyle w:val="ListParagraph"/>
              <w:numPr>
                <w:ilvl w:val="0"/>
                <w:numId w:val="9"/>
              </w:numPr>
              <w:ind w:left="342" w:hanging="270"/>
              <w:rPr>
                <w:rFonts w:ascii="Garamond" w:hAnsi="Garamond"/>
              </w:rPr>
            </w:pPr>
            <w:r w:rsidRPr="00E9299E">
              <w:rPr>
                <w:rFonts w:ascii="Garamond" w:hAnsi="Garamond"/>
              </w:rPr>
              <w:t>Focus on agriculture sector and manufacturing sector that produce input for agriculture sector</w:t>
            </w:r>
          </w:p>
          <w:p w:rsidR="002506F2" w:rsidRPr="00E9299E" w:rsidRDefault="002506F2" w:rsidP="002506F2">
            <w:pPr>
              <w:pStyle w:val="ListParagraph"/>
              <w:numPr>
                <w:ilvl w:val="0"/>
                <w:numId w:val="9"/>
              </w:numPr>
              <w:ind w:left="342" w:hanging="270"/>
              <w:rPr>
                <w:rFonts w:ascii="Garamond" w:hAnsi="Garamond"/>
              </w:rPr>
            </w:pPr>
            <w:r w:rsidRPr="00E9299E">
              <w:rPr>
                <w:rFonts w:ascii="Garamond" w:hAnsi="Garamond"/>
              </w:rPr>
              <w:t>Attain food self-sufficiency</w:t>
            </w:r>
          </w:p>
          <w:p w:rsidR="002506F2" w:rsidRPr="00E9299E" w:rsidRDefault="002506F2" w:rsidP="002506F2">
            <w:pPr>
              <w:pStyle w:val="ListParagraph"/>
              <w:numPr>
                <w:ilvl w:val="0"/>
                <w:numId w:val="9"/>
              </w:numPr>
              <w:ind w:left="342" w:hanging="270"/>
              <w:rPr>
                <w:rFonts w:ascii="Garamond" w:hAnsi="Garamond"/>
              </w:rPr>
            </w:pPr>
            <w:r w:rsidRPr="00E9299E">
              <w:rPr>
                <w:rFonts w:ascii="Garamond" w:hAnsi="Garamond"/>
              </w:rPr>
              <w:t>Protect domestic market by taxed or banned some commodity exports</w:t>
            </w:r>
          </w:p>
        </w:tc>
      </w:tr>
      <w:tr w:rsidR="002506F2" w:rsidRPr="00E9299E" w:rsidTr="00B8408F">
        <w:tc>
          <w:tcPr>
            <w:tcW w:w="1818" w:type="dxa"/>
          </w:tcPr>
          <w:p w:rsidR="002506F2" w:rsidRPr="00E9299E" w:rsidRDefault="002506F2" w:rsidP="00B8408F">
            <w:pPr>
              <w:rPr>
                <w:rFonts w:ascii="Garamond" w:hAnsi="Garamond"/>
              </w:rPr>
            </w:pPr>
            <w:r w:rsidRPr="00E9299E">
              <w:rPr>
                <w:rFonts w:ascii="Garamond" w:hAnsi="Garamond"/>
              </w:rPr>
              <w:t>1979 – 1989</w:t>
            </w:r>
          </w:p>
        </w:tc>
        <w:tc>
          <w:tcPr>
            <w:tcW w:w="6698" w:type="dxa"/>
          </w:tcPr>
          <w:p w:rsidR="002506F2" w:rsidRPr="00E9299E" w:rsidRDefault="002506F2" w:rsidP="002506F2">
            <w:pPr>
              <w:pStyle w:val="ListParagraph"/>
              <w:numPr>
                <w:ilvl w:val="0"/>
                <w:numId w:val="10"/>
              </w:numPr>
              <w:ind w:left="342" w:hanging="270"/>
              <w:rPr>
                <w:rFonts w:ascii="Garamond" w:hAnsi="Garamond"/>
              </w:rPr>
            </w:pPr>
            <w:r w:rsidRPr="00E9299E">
              <w:rPr>
                <w:rFonts w:ascii="Garamond" w:hAnsi="Garamond"/>
              </w:rPr>
              <w:t>Third and fourth development plans</w:t>
            </w:r>
          </w:p>
          <w:p w:rsidR="002506F2" w:rsidRPr="00E9299E" w:rsidRDefault="002506F2" w:rsidP="002506F2">
            <w:pPr>
              <w:pStyle w:val="ListParagraph"/>
              <w:numPr>
                <w:ilvl w:val="0"/>
                <w:numId w:val="10"/>
              </w:numPr>
              <w:ind w:left="342" w:hanging="270"/>
              <w:rPr>
                <w:rFonts w:ascii="Garamond" w:hAnsi="Garamond"/>
              </w:rPr>
            </w:pPr>
            <w:r w:rsidRPr="00E9299E">
              <w:rPr>
                <w:rFonts w:ascii="Garamond" w:hAnsi="Garamond"/>
              </w:rPr>
              <w:t>Development of manufacture sector to reduce the dependency on commodity sector</w:t>
            </w:r>
          </w:p>
          <w:p w:rsidR="002506F2" w:rsidRPr="00E9299E" w:rsidRDefault="002506F2" w:rsidP="002506F2">
            <w:pPr>
              <w:pStyle w:val="ListParagraph"/>
              <w:numPr>
                <w:ilvl w:val="0"/>
                <w:numId w:val="10"/>
              </w:numPr>
              <w:ind w:left="342" w:hanging="270"/>
              <w:rPr>
                <w:rFonts w:ascii="Garamond" w:hAnsi="Garamond"/>
              </w:rPr>
            </w:pPr>
            <w:r w:rsidRPr="00E9299E">
              <w:rPr>
                <w:rFonts w:ascii="Garamond" w:hAnsi="Garamond"/>
              </w:rPr>
              <w:t>Raising trade barriers by imposing exchange controls and tightening import licensing</w:t>
            </w:r>
          </w:p>
          <w:p w:rsidR="002506F2" w:rsidRPr="00E9299E" w:rsidRDefault="002506F2" w:rsidP="002506F2">
            <w:pPr>
              <w:pStyle w:val="ListParagraph"/>
              <w:numPr>
                <w:ilvl w:val="0"/>
                <w:numId w:val="10"/>
              </w:numPr>
              <w:ind w:left="342" w:hanging="270"/>
              <w:rPr>
                <w:rFonts w:ascii="Garamond" w:hAnsi="Garamond"/>
              </w:rPr>
            </w:pPr>
            <w:r w:rsidRPr="00E9299E">
              <w:rPr>
                <w:rFonts w:ascii="Garamond" w:hAnsi="Garamond"/>
              </w:rPr>
              <w:t xml:space="preserve">Duty drawback for imports of manufacturing capital goods </w:t>
            </w:r>
          </w:p>
        </w:tc>
      </w:tr>
      <w:tr w:rsidR="002506F2" w:rsidRPr="00E9299E" w:rsidTr="00B8408F">
        <w:tc>
          <w:tcPr>
            <w:tcW w:w="1818" w:type="dxa"/>
          </w:tcPr>
          <w:p w:rsidR="002506F2" w:rsidRPr="00E9299E" w:rsidRDefault="002506F2" w:rsidP="00B8408F">
            <w:pPr>
              <w:rPr>
                <w:rFonts w:ascii="Garamond" w:hAnsi="Garamond"/>
              </w:rPr>
            </w:pPr>
            <w:r w:rsidRPr="00E9299E">
              <w:rPr>
                <w:rFonts w:ascii="Garamond" w:hAnsi="Garamond"/>
              </w:rPr>
              <w:t xml:space="preserve">1989 – 1999 </w:t>
            </w:r>
          </w:p>
        </w:tc>
        <w:tc>
          <w:tcPr>
            <w:tcW w:w="6698" w:type="dxa"/>
          </w:tcPr>
          <w:p w:rsidR="002506F2" w:rsidRPr="00E9299E" w:rsidRDefault="002506F2" w:rsidP="002506F2">
            <w:pPr>
              <w:pStyle w:val="ListParagraph"/>
              <w:numPr>
                <w:ilvl w:val="0"/>
                <w:numId w:val="11"/>
              </w:numPr>
              <w:ind w:left="342" w:hanging="270"/>
              <w:rPr>
                <w:rFonts w:ascii="Garamond" w:hAnsi="Garamond"/>
              </w:rPr>
            </w:pPr>
            <w:r w:rsidRPr="00E9299E">
              <w:rPr>
                <w:rFonts w:ascii="Garamond" w:hAnsi="Garamond"/>
              </w:rPr>
              <w:t>Focus on palm oil exports</w:t>
            </w:r>
          </w:p>
          <w:p w:rsidR="002506F2" w:rsidRPr="00E9299E" w:rsidRDefault="002506F2" w:rsidP="002506F2">
            <w:pPr>
              <w:pStyle w:val="ListParagraph"/>
              <w:numPr>
                <w:ilvl w:val="0"/>
                <w:numId w:val="11"/>
              </w:numPr>
              <w:ind w:left="342" w:hanging="270"/>
              <w:rPr>
                <w:rFonts w:ascii="Garamond" w:hAnsi="Garamond"/>
              </w:rPr>
            </w:pPr>
            <w:r w:rsidRPr="00E9299E">
              <w:rPr>
                <w:rFonts w:ascii="Garamond" w:hAnsi="Garamond"/>
              </w:rPr>
              <w:t>Imposed tax on palm oil exports</w:t>
            </w:r>
          </w:p>
          <w:p w:rsidR="002506F2" w:rsidRPr="00E9299E" w:rsidRDefault="002506F2" w:rsidP="002506F2">
            <w:pPr>
              <w:pStyle w:val="ListParagraph"/>
              <w:numPr>
                <w:ilvl w:val="0"/>
                <w:numId w:val="11"/>
              </w:numPr>
              <w:ind w:left="342" w:hanging="270"/>
              <w:rPr>
                <w:rFonts w:ascii="Garamond" w:hAnsi="Garamond"/>
              </w:rPr>
            </w:pPr>
            <w:r w:rsidRPr="00E9299E">
              <w:rPr>
                <w:rFonts w:ascii="Garamond" w:hAnsi="Garamond"/>
              </w:rPr>
              <w:t>Tax on other agriculture exports to protect domestic market and earnings to fund other productive sector</w:t>
            </w:r>
          </w:p>
        </w:tc>
      </w:tr>
      <w:tr w:rsidR="002506F2" w:rsidRPr="00E9299E" w:rsidTr="00B8408F">
        <w:tc>
          <w:tcPr>
            <w:tcW w:w="1818" w:type="dxa"/>
          </w:tcPr>
          <w:p w:rsidR="002506F2" w:rsidRPr="00E9299E" w:rsidRDefault="002506F2" w:rsidP="00B8408F">
            <w:pPr>
              <w:rPr>
                <w:rFonts w:ascii="Garamond" w:hAnsi="Garamond"/>
              </w:rPr>
            </w:pPr>
            <w:r w:rsidRPr="00E9299E">
              <w:rPr>
                <w:rFonts w:ascii="Garamond" w:hAnsi="Garamond"/>
              </w:rPr>
              <w:t xml:space="preserve">2000 – 2010 </w:t>
            </w:r>
          </w:p>
        </w:tc>
        <w:tc>
          <w:tcPr>
            <w:tcW w:w="6698" w:type="dxa"/>
          </w:tcPr>
          <w:p w:rsidR="002506F2" w:rsidRPr="00E9299E" w:rsidRDefault="002506F2" w:rsidP="002506F2">
            <w:pPr>
              <w:pStyle w:val="ListParagraph"/>
              <w:numPr>
                <w:ilvl w:val="0"/>
                <w:numId w:val="12"/>
              </w:numPr>
              <w:ind w:left="342" w:hanging="270"/>
              <w:rPr>
                <w:rFonts w:ascii="Garamond" w:hAnsi="Garamond"/>
              </w:rPr>
            </w:pPr>
            <w:r w:rsidRPr="00E9299E">
              <w:rPr>
                <w:rFonts w:ascii="Garamond" w:hAnsi="Garamond"/>
              </w:rPr>
              <w:t>Tax on agriculture raw materials to protect domestic market and ensure adequate supply to meet domestic demand</w:t>
            </w:r>
          </w:p>
        </w:tc>
      </w:tr>
    </w:tbl>
    <w:p w:rsidR="002506F2" w:rsidRPr="00E9299E"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Default="002506F2" w:rsidP="002506F2">
      <w:pPr>
        <w:rPr>
          <w:rFonts w:ascii="Garamond" w:hAnsi="Garamond"/>
        </w:rPr>
      </w:pPr>
    </w:p>
    <w:p w:rsidR="002506F2" w:rsidRPr="00B85DBA" w:rsidRDefault="002506F2" w:rsidP="002506F2">
      <w:pPr>
        <w:rPr>
          <w:rFonts w:ascii="Garamond" w:hAnsi="Garamond"/>
        </w:rPr>
      </w:pPr>
    </w:p>
    <w:p w:rsidR="001025E8" w:rsidRPr="002506F2" w:rsidRDefault="001025E8" w:rsidP="002506F2">
      <w:pPr>
        <w:pStyle w:val="Heading1"/>
        <w:spacing w:before="0"/>
        <w:rPr>
          <w:rFonts w:ascii="Garamond" w:hAnsi="Garamond"/>
          <w:color w:val="auto"/>
          <w:sz w:val="36"/>
          <w:szCs w:val="36"/>
        </w:rPr>
      </w:pPr>
      <w:bookmarkStart w:id="44" w:name="_Toc343007192"/>
      <w:r w:rsidRPr="002506F2">
        <w:rPr>
          <w:rFonts w:ascii="Garamond" w:hAnsi="Garamond"/>
          <w:color w:val="auto"/>
          <w:sz w:val="36"/>
          <w:szCs w:val="36"/>
        </w:rPr>
        <w:lastRenderedPageBreak/>
        <w:t>Chapter 4</w:t>
      </w:r>
      <w:bookmarkEnd w:id="0"/>
      <w:bookmarkEnd w:id="44"/>
    </w:p>
    <w:p w:rsidR="001025E8" w:rsidRPr="002506F2" w:rsidRDefault="001025E8" w:rsidP="002506F2">
      <w:pPr>
        <w:pStyle w:val="Heading1"/>
        <w:spacing w:before="0"/>
        <w:rPr>
          <w:rFonts w:ascii="Garamond" w:hAnsi="Garamond"/>
          <w:color w:val="auto"/>
          <w:sz w:val="36"/>
          <w:szCs w:val="36"/>
        </w:rPr>
      </w:pPr>
      <w:bookmarkStart w:id="45" w:name="_Toc343007193"/>
      <w:bookmarkStart w:id="46" w:name="_Toc209559688"/>
      <w:r w:rsidRPr="002506F2">
        <w:rPr>
          <w:rFonts w:ascii="Garamond" w:hAnsi="Garamond"/>
          <w:color w:val="auto"/>
          <w:sz w:val="36"/>
          <w:szCs w:val="36"/>
        </w:rPr>
        <w:t>Analysis</w:t>
      </w:r>
      <w:bookmarkEnd w:id="45"/>
      <w:r w:rsidRPr="002506F2">
        <w:rPr>
          <w:rFonts w:ascii="Garamond" w:hAnsi="Garamond"/>
          <w:color w:val="auto"/>
          <w:sz w:val="36"/>
          <w:szCs w:val="36"/>
        </w:rPr>
        <w:t xml:space="preserve"> </w:t>
      </w:r>
      <w:bookmarkEnd w:id="46"/>
    </w:p>
    <w:p w:rsidR="001025E8" w:rsidRPr="002506F2" w:rsidRDefault="001025E8" w:rsidP="001025E8">
      <w:pPr>
        <w:pStyle w:val="Heading2"/>
        <w:rPr>
          <w:rFonts w:ascii="Garamond" w:hAnsi="Garamond"/>
          <w:color w:val="auto"/>
          <w:sz w:val="32"/>
          <w:szCs w:val="32"/>
        </w:rPr>
      </w:pPr>
      <w:bookmarkStart w:id="47" w:name="_Toc209559689"/>
      <w:bookmarkStart w:id="48" w:name="_Toc343007194"/>
      <w:r w:rsidRPr="002506F2">
        <w:rPr>
          <w:rFonts w:ascii="Garamond" w:hAnsi="Garamond"/>
          <w:color w:val="auto"/>
          <w:sz w:val="32"/>
          <w:szCs w:val="32"/>
        </w:rPr>
        <w:t>4.1 Introduction</w:t>
      </w:r>
      <w:bookmarkEnd w:id="47"/>
      <w:bookmarkEnd w:id="48"/>
    </w:p>
    <w:p w:rsidR="00F62CF2" w:rsidRDefault="001025E8" w:rsidP="001025E8">
      <w:pPr>
        <w:jc w:val="both"/>
        <w:rPr>
          <w:rFonts w:ascii="Garamond" w:hAnsi="Garamond" w:cstheme="majorHAnsi"/>
        </w:rPr>
      </w:pPr>
      <w:r w:rsidRPr="001025E8">
        <w:rPr>
          <w:rFonts w:ascii="Garamond" w:hAnsi="Garamond" w:cstheme="majorHAnsi"/>
        </w:rPr>
        <w:t>This chapter analyzes the data of global primary commodity prices, Indonesia GDP growth and GDP by sector, export and import structure and principal primary commodity export by categories. The first section analyzes to what extent does Indonesia economy growth depend on primary commodity production and the second section analyzes on what is the impact of this dependency for its growth. The last section is the conclusion of the two findings. The data analyzed in t</w:t>
      </w:r>
      <w:r>
        <w:rPr>
          <w:rFonts w:ascii="Garamond" w:hAnsi="Garamond" w:cstheme="majorHAnsi"/>
        </w:rPr>
        <w:t>his pape</w:t>
      </w:r>
      <w:r w:rsidR="00F54785">
        <w:rPr>
          <w:rFonts w:ascii="Garamond" w:hAnsi="Garamond" w:cstheme="majorHAnsi"/>
        </w:rPr>
        <w:t>r are the data from 198</w:t>
      </w:r>
      <w:r>
        <w:rPr>
          <w:rFonts w:ascii="Garamond" w:hAnsi="Garamond" w:cstheme="majorHAnsi"/>
        </w:rPr>
        <w:t>0</w:t>
      </w:r>
      <w:r w:rsidRPr="001025E8">
        <w:rPr>
          <w:rFonts w:ascii="Garamond" w:hAnsi="Garamond" w:cstheme="majorHAnsi"/>
        </w:rPr>
        <w:t xml:space="preserve"> to 2010 which specifically discuss Indonesia economy</w:t>
      </w:r>
      <w:r w:rsidR="00796372">
        <w:rPr>
          <w:rFonts w:ascii="Garamond" w:hAnsi="Garamond" w:cstheme="majorHAnsi"/>
        </w:rPr>
        <w:t xml:space="preserve"> growth in details from 1990 to 1996 before the Asian crisis and 2000</w:t>
      </w:r>
      <w:r w:rsidR="00F62CF2">
        <w:rPr>
          <w:rFonts w:ascii="Garamond" w:hAnsi="Garamond" w:cstheme="majorHAnsi"/>
        </w:rPr>
        <w:t xml:space="preserve"> after the Asian crisis</w:t>
      </w:r>
      <w:r w:rsidR="00796372">
        <w:rPr>
          <w:rFonts w:ascii="Garamond" w:hAnsi="Garamond" w:cstheme="majorHAnsi"/>
        </w:rPr>
        <w:t xml:space="preserve"> to 2010 to 2010 to look at impact of commodity dependency on the recent growth after the Asian crisis that severely damaged its growth during the crisis. W</w:t>
      </w:r>
      <w:r w:rsidR="007B1BE9">
        <w:rPr>
          <w:rFonts w:ascii="Garamond" w:hAnsi="Garamond" w:cstheme="majorHAnsi"/>
        </w:rPr>
        <w:t>hen</w:t>
      </w:r>
      <w:r w:rsidR="00F62CF2" w:rsidRPr="00F62CF2">
        <w:rPr>
          <w:rFonts w:ascii="Garamond" w:hAnsi="Garamond" w:cstheme="majorHAnsi"/>
        </w:rPr>
        <w:t xml:space="preserve"> </w:t>
      </w:r>
      <w:r w:rsidR="00F62CF2">
        <w:rPr>
          <w:rFonts w:ascii="Garamond" w:hAnsi="Garamond" w:cstheme="majorHAnsi"/>
        </w:rPr>
        <w:t>the</w:t>
      </w:r>
      <w:r w:rsidR="00F62CF2" w:rsidRPr="001025E8">
        <w:rPr>
          <w:rFonts w:ascii="Garamond" w:hAnsi="Garamond" w:cstheme="majorHAnsi"/>
        </w:rPr>
        <w:t xml:space="preserve"> crisis in 199</w:t>
      </w:r>
      <w:r w:rsidR="00796372">
        <w:rPr>
          <w:rFonts w:ascii="Garamond" w:hAnsi="Garamond" w:cstheme="majorHAnsi"/>
        </w:rPr>
        <w:t>7/</w:t>
      </w:r>
      <w:r w:rsidR="00F62CF2" w:rsidRPr="001025E8">
        <w:rPr>
          <w:rFonts w:ascii="Garamond" w:hAnsi="Garamond" w:cstheme="majorHAnsi"/>
        </w:rPr>
        <w:t xml:space="preserve">8 that hit Indonesia economy was a sudden collapse in their economy which it hurts the economy domestically where it raised the issues of political instability regarding </w:t>
      </w:r>
      <w:proofErr w:type="spellStart"/>
      <w:r w:rsidR="00F62CF2" w:rsidRPr="001025E8">
        <w:rPr>
          <w:rFonts w:ascii="Garamond" w:hAnsi="Garamond" w:cstheme="majorHAnsi"/>
        </w:rPr>
        <w:t>Soeharto</w:t>
      </w:r>
      <w:proofErr w:type="spellEnd"/>
      <w:r w:rsidR="00F62CF2" w:rsidRPr="001025E8">
        <w:rPr>
          <w:rFonts w:ascii="Garamond" w:hAnsi="Garamond" w:cstheme="majorHAnsi"/>
        </w:rPr>
        <w:t xml:space="preserve"> regime, evident of corruption and repression of all political opposition and internationally where the trade facility such as short and medium term capital and loan was rejected and fled away from many trade partners </w:t>
      </w:r>
      <w:r w:rsidR="00496FE5">
        <w:rPr>
          <w:rFonts w:ascii="Garamond" w:hAnsi="Garamond" w:cstheme="majorHAnsi"/>
        </w:rPr>
        <w:fldChar w:fldCharType="begin"/>
      </w:r>
      <w:r w:rsidR="00796372">
        <w:rPr>
          <w:rFonts w:ascii="Garamond" w:hAnsi="Garamond" w:cstheme="majorHAnsi"/>
        </w:rPr>
        <w:instrText>ADDIN RW.CITE{{169 Sadli,Mohammad 1998}}</w:instrText>
      </w:r>
      <w:r w:rsidR="00496FE5">
        <w:rPr>
          <w:rFonts w:ascii="Garamond" w:hAnsi="Garamond" w:cstheme="majorHAnsi"/>
        </w:rPr>
        <w:fldChar w:fldCharType="separate"/>
      </w:r>
      <w:r w:rsidR="00796372">
        <w:rPr>
          <w:rFonts w:ascii="Garamond" w:hAnsi="Garamond" w:cstheme="majorHAnsi"/>
        </w:rPr>
        <w:t>(Sadli 1998)</w:t>
      </w:r>
      <w:r w:rsidR="00496FE5">
        <w:rPr>
          <w:rFonts w:ascii="Garamond" w:hAnsi="Garamond" w:cstheme="majorHAnsi"/>
        </w:rPr>
        <w:fldChar w:fldCharType="end"/>
      </w:r>
      <w:r w:rsidR="00796372">
        <w:rPr>
          <w:rFonts w:ascii="Garamond" w:hAnsi="Garamond" w:cstheme="majorHAnsi"/>
        </w:rPr>
        <w:t>. Hence, the period during the crisis will be excluded as it takes more than this research to specifically focus on the impact of the crisis on its economy.</w:t>
      </w:r>
      <w:r w:rsidR="00A914F6">
        <w:rPr>
          <w:rFonts w:ascii="Garamond" w:hAnsi="Garamond" w:cstheme="majorHAnsi"/>
        </w:rPr>
        <w:t xml:space="preserve"> </w:t>
      </w:r>
    </w:p>
    <w:p w:rsidR="00796372" w:rsidRPr="001025E8" w:rsidRDefault="00796372" w:rsidP="001025E8">
      <w:pPr>
        <w:jc w:val="both"/>
        <w:rPr>
          <w:rFonts w:ascii="Garamond" w:hAnsi="Garamond" w:cstheme="majorHAnsi"/>
        </w:rPr>
      </w:pPr>
    </w:p>
    <w:p w:rsidR="001025E8" w:rsidRPr="001025E8" w:rsidRDefault="001025E8" w:rsidP="001025E8">
      <w:pPr>
        <w:jc w:val="both"/>
        <w:rPr>
          <w:rFonts w:ascii="Garamond" w:hAnsi="Garamond" w:cstheme="majorHAnsi"/>
        </w:rPr>
      </w:pPr>
      <w:r w:rsidRPr="001025E8">
        <w:rPr>
          <w:rFonts w:ascii="Garamond" w:hAnsi="Garamond" w:cstheme="majorHAnsi"/>
        </w:rPr>
        <w:t>The data used in this paper was collected from both national and international sources. National source is the Indonesia statistic center institution (</w:t>
      </w:r>
      <w:proofErr w:type="spellStart"/>
      <w:r w:rsidRPr="001025E8">
        <w:rPr>
          <w:rFonts w:ascii="Garamond" w:hAnsi="Garamond" w:cstheme="majorHAnsi"/>
        </w:rPr>
        <w:t>BadanPusatStatistik</w:t>
      </w:r>
      <w:proofErr w:type="spellEnd"/>
      <w:r w:rsidRPr="001025E8">
        <w:rPr>
          <w:rFonts w:ascii="Garamond" w:hAnsi="Garamond" w:cstheme="majorHAnsi"/>
        </w:rPr>
        <w:t xml:space="preserve">) and international sources are the World Bank database, UNCTAD statistics and </w:t>
      </w:r>
      <w:proofErr w:type="spellStart"/>
      <w:r w:rsidRPr="001025E8">
        <w:rPr>
          <w:rFonts w:ascii="Garamond" w:hAnsi="Garamond" w:cstheme="majorHAnsi"/>
        </w:rPr>
        <w:t>UNComtrade</w:t>
      </w:r>
      <w:proofErr w:type="spellEnd"/>
      <w:r w:rsidRPr="001025E8">
        <w:rPr>
          <w:rFonts w:ascii="Garamond" w:hAnsi="Garamond" w:cstheme="majorHAnsi"/>
        </w:rPr>
        <w:t>.</w:t>
      </w:r>
    </w:p>
    <w:p w:rsidR="001025E8" w:rsidRPr="001025E8" w:rsidRDefault="001025E8" w:rsidP="001025E8">
      <w:pPr>
        <w:jc w:val="both"/>
        <w:rPr>
          <w:rFonts w:ascii="Garamond" w:hAnsi="Garamond"/>
        </w:rPr>
      </w:pPr>
    </w:p>
    <w:p w:rsidR="001025E8" w:rsidRPr="002506F2" w:rsidRDefault="00962DD4" w:rsidP="001025E8">
      <w:pPr>
        <w:pStyle w:val="Heading2"/>
        <w:rPr>
          <w:rFonts w:ascii="Garamond" w:hAnsi="Garamond"/>
          <w:color w:val="auto"/>
          <w:sz w:val="32"/>
          <w:szCs w:val="32"/>
        </w:rPr>
      </w:pPr>
      <w:bookmarkStart w:id="49" w:name="_Toc209559690"/>
      <w:bookmarkStart w:id="50" w:name="_Toc343007195"/>
      <w:r w:rsidRPr="002506F2">
        <w:rPr>
          <w:rFonts w:ascii="Garamond" w:hAnsi="Garamond"/>
          <w:color w:val="auto"/>
          <w:sz w:val="32"/>
          <w:szCs w:val="32"/>
        </w:rPr>
        <w:t>4.2</w:t>
      </w:r>
      <w:r w:rsidR="00CC5742" w:rsidRPr="002506F2">
        <w:rPr>
          <w:rFonts w:ascii="Garamond" w:hAnsi="Garamond"/>
          <w:color w:val="auto"/>
          <w:sz w:val="32"/>
          <w:szCs w:val="32"/>
        </w:rPr>
        <w:t xml:space="preserve"> Indonesia dependency on primary c</w:t>
      </w:r>
      <w:r w:rsidR="001025E8" w:rsidRPr="002506F2">
        <w:rPr>
          <w:rFonts w:ascii="Garamond" w:hAnsi="Garamond"/>
          <w:color w:val="auto"/>
          <w:sz w:val="32"/>
          <w:szCs w:val="32"/>
        </w:rPr>
        <w:t xml:space="preserve">ommodity </w:t>
      </w:r>
      <w:r w:rsidR="00CC5742" w:rsidRPr="002506F2">
        <w:rPr>
          <w:rFonts w:ascii="Garamond" w:hAnsi="Garamond"/>
          <w:color w:val="auto"/>
          <w:sz w:val="32"/>
          <w:szCs w:val="32"/>
        </w:rPr>
        <w:t>exports and i</w:t>
      </w:r>
      <w:r w:rsidR="001025E8" w:rsidRPr="002506F2">
        <w:rPr>
          <w:rFonts w:ascii="Garamond" w:hAnsi="Garamond"/>
          <w:color w:val="auto"/>
          <w:sz w:val="32"/>
          <w:szCs w:val="32"/>
        </w:rPr>
        <w:t>mports</w:t>
      </w:r>
      <w:bookmarkEnd w:id="49"/>
      <w:bookmarkEnd w:id="50"/>
    </w:p>
    <w:p w:rsidR="001025E8" w:rsidRPr="00962DD4" w:rsidRDefault="00962DD4" w:rsidP="001025E8">
      <w:pPr>
        <w:pStyle w:val="Heading3"/>
        <w:rPr>
          <w:rFonts w:ascii="Garamond" w:hAnsi="Garamond"/>
          <w:color w:val="auto"/>
          <w:sz w:val="26"/>
          <w:szCs w:val="26"/>
        </w:rPr>
      </w:pPr>
      <w:bookmarkStart w:id="51" w:name="_Toc343007196"/>
      <w:r>
        <w:rPr>
          <w:rFonts w:ascii="Garamond" w:hAnsi="Garamond"/>
          <w:color w:val="auto"/>
          <w:sz w:val="26"/>
          <w:szCs w:val="26"/>
        </w:rPr>
        <w:t>4.2.1</w:t>
      </w:r>
      <w:r w:rsidR="00CC5742" w:rsidRPr="00962DD4">
        <w:rPr>
          <w:rFonts w:ascii="Garamond" w:hAnsi="Garamond"/>
          <w:color w:val="auto"/>
          <w:sz w:val="26"/>
          <w:szCs w:val="26"/>
        </w:rPr>
        <w:t xml:space="preserve"> Dependence on commodity e</w:t>
      </w:r>
      <w:r w:rsidR="001025E8" w:rsidRPr="00962DD4">
        <w:rPr>
          <w:rFonts w:ascii="Garamond" w:hAnsi="Garamond"/>
          <w:color w:val="auto"/>
          <w:sz w:val="26"/>
          <w:szCs w:val="26"/>
        </w:rPr>
        <w:t>xports</w:t>
      </w:r>
      <w:bookmarkEnd w:id="51"/>
    </w:p>
    <w:p w:rsidR="001025E8" w:rsidRPr="00796372" w:rsidRDefault="001025E8" w:rsidP="001025E8">
      <w:pPr>
        <w:jc w:val="both"/>
        <w:rPr>
          <w:rFonts w:ascii="Garamond" w:hAnsi="Garamond"/>
          <w:lang w:eastAsia="ja-JP"/>
        </w:rPr>
      </w:pPr>
      <w:r w:rsidRPr="00796372">
        <w:rPr>
          <w:rFonts w:ascii="Garamond" w:hAnsi="Garamond"/>
          <w:lang w:eastAsia="ja-JP"/>
        </w:rPr>
        <w:t>Base on the data of UNCTAD commodity year book, Indonesia principal commodity that it exports are fisheries commodities, coffee, cocoa beans, tea, natural rubber, vegetables</w:t>
      </w:r>
      <w:r w:rsidR="00114D94" w:rsidRPr="00796372">
        <w:rPr>
          <w:rFonts w:ascii="Garamond" w:hAnsi="Garamond"/>
          <w:lang w:eastAsia="ja-JP"/>
        </w:rPr>
        <w:t xml:space="preserve"> oils and oilseeds</w:t>
      </w:r>
      <w:r w:rsidRPr="00796372">
        <w:rPr>
          <w:rFonts w:ascii="Garamond" w:hAnsi="Garamond"/>
          <w:lang w:eastAsia="ja-JP"/>
        </w:rPr>
        <w:t xml:space="preserve">, bauxite, copper, tin and nickel. In the early 1970s Indonesia exports were entirely dominated by the primary commodity because of its early development stage, the manufactures sector was still underdeveloped. However, as Indonesia earned foreign exchange from its commodity exports, they start to develop the manufacturing industries hence in the late 1980s the manufactures exports started to grow rapidly until </w:t>
      </w:r>
      <w:r w:rsidR="00114D94" w:rsidRPr="00796372">
        <w:rPr>
          <w:rFonts w:ascii="Garamond" w:hAnsi="Garamond"/>
          <w:lang w:eastAsia="ja-JP"/>
        </w:rPr>
        <w:t>today</w:t>
      </w:r>
      <w:r w:rsidRPr="00796372">
        <w:rPr>
          <w:rFonts w:ascii="Garamond" w:hAnsi="Garamond"/>
          <w:lang w:eastAsia="ja-JP"/>
        </w:rPr>
        <w:t>.</w:t>
      </w:r>
    </w:p>
    <w:p w:rsidR="001025E8" w:rsidRPr="00796372" w:rsidRDefault="001025E8" w:rsidP="001025E8">
      <w:pPr>
        <w:jc w:val="both"/>
        <w:rPr>
          <w:rFonts w:ascii="Garamond" w:hAnsi="Garamond" w:cstheme="majorHAnsi"/>
        </w:rPr>
      </w:pPr>
    </w:p>
    <w:p w:rsidR="001025E8" w:rsidRPr="00796372" w:rsidRDefault="001025E8" w:rsidP="001025E8">
      <w:pPr>
        <w:jc w:val="both"/>
        <w:rPr>
          <w:rFonts w:ascii="Garamond" w:hAnsi="Garamond" w:cstheme="majorHAnsi"/>
        </w:rPr>
      </w:pPr>
      <w:r w:rsidRPr="00796372">
        <w:rPr>
          <w:rFonts w:ascii="Garamond" w:hAnsi="Garamond" w:cstheme="majorHAnsi"/>
        </w:rPr>
        <w:t>Indonesia in the early development stage in 1970s was heavily dependent on the commodity sector for its exports ea</w:t>
      </w:r>
      <w:r w:rsidR="00114D94" w:rsidRPr="00796372">
        <w:rPr>
          <w:rFonts w:ascii="Garamond" w:hAnsi="Garamond" w:cstheme="majorHAnsi"/>
        </w:rPr>
        <w:t>rnings where as shown in table 2</w:t>
      </w:r>
      <w:r w:rsidRPr="00796372">
        <w:rPr>
          <w:rFonts w:ascii="Garamond" w:hAnsi="Garamond" w:cstheme="majorHAnsi"/>
        </w:rPr>
        <w:t xml:space="preserve"> that</w:t>
      </w:r>
      <w:r w:rsidR="00114D94" w:rsidRPr="00796372">
        <w:rPr>
          <w:rFonts w:ascii="Garamond" w:hAnsi="Garamond" w:cstheme="majorHAnsi"/>
        </w:rPr>
        <w:t xml:space="preserve"> the share of total merchandise exports</w:t>
      </w:r>
      <w:r w:rsidRPr="00796372">
        <w:rPr>
          <w:rFonts w:ascii="Garamond" w:hAnsi="Garamond" w:cstheme="majorHAnsi"/>
        </w:rPr>
        <w:t xml:space="preserve"> </w:t>
      </w:r>
      <w:r w:rsidR="00114D94" w:rsidRPr="00796372">
        <w:rPr>
          <w:rFonts w:ascii="Garamond" w:hAnsi="Garamond" w:cstheme="majorHAnsi"/>
        </w:rPr>
        <w:t>was</w:t>
      </w:r>
      <w:r w:rsidRPr="00796372">
        <w:rPr>
          <w:rFonts w:ascii="Garamond" w:hAnsi="Garamond" w:cstheme="majorHAnsi"/>
        </w:rPr>
        <w:t xml:space="preserve"> primary commodity exports</w:t>
      </w:r>
      <w:r w:rsidR="00114D94" w:rsidRPr="00796372">
        <w:rPr>
          <w:rFonts w:ascii="Garamond" w:hAnsi="Garamond" w:cstheme="majorHAnsi"/>
        </w:rPr>
        <w:t xml:space="preserve"> which</w:t>
      </w:r>
      <w:r w:rsidRPr="00796372">
        <w:rPr>
          <w:rFonts w:ascii="Garamond" w:hAnsi="Garamond" w:cstheme="majorHAnsi"/>
        </w:rPr>
        <w:t xml:space="preserve"> was 98% from total merchandise exports.</w:t>
      </w:r>
      <w:r w:rsidR="00114D94" w:rsidRPr="00796372">
        <w:rPr>
          <w:rFonts w:ascii="Garamond" w:hAnsi="Garamond" w:cstheme="majorHAnsi"/>
        </w:rPr>
        <w:t xml:space="preserve"> Even though in 1969 Indonesia government had set development plans which focus on manufacture development, t</w:t>
      </w:r>
      <w:r w:rsidRPr="00796372">
        <w:rPr>
          <w:rFonts w:ascii="Garamond" w:hAnsi="Garamond" w:cstheme="majorHAnsi"/>
        </w:rPr>
        <w:t xml:space="preserve">he growth of manufacturing sector was still in its early stage of </w:t>
      </w:r>
      <w:r w:rsidRPr="00796372">
        <w:rPr>
          <w:rFonts w:ascii="Garamond" w:hAnsi="Garamond" w:cstheme="majorHAnsi"/>
        </w:rPr>
        <w:lastRenderedPageBreak/>
        <w:t>development in the early 1980s hence its exports</w:t>
      </w:r>
      <w:r w:rsidR="00122CCC" w:rsidRPr="00796372">
        <w:rPr>
          <w:rFonts w:ascii="Garamond" w:hAnsi="Garamond" w:cstheme="majorHAnsi"/>
        </w:rPr>
        <w:t xml:space="preserve"> earning</w:t>
      </w:r>
      <w:r w:rsidRPr="00796372">
        <w:rPr>
          <w:rFonts w:ascii="Garamond" w:hAnsi="Garamond" w:cstheme="majorHAnsi"/>
        </w:rPr>
        <w:t xml:space="preserve"> was still depending on primary commodity where the share of primary commodity exports still hold 86% in average in 1980s of total merchandise exports. Indonesia exports composition started to change from heavily dependent on commodity sector to manufactures exports in the late 1980s. Started in 1990 to 2010, Indonesia exports share didn’t dominated by commodity sector as </w:t>
      </w:r>
      <w:r w:rsidR="0025162D" w:rsidRPr="00796372">
        <w:rPr>
          <w:rFonts w:ascii="Garamond" w:hAnsi="Garamond" w:cstheme="majorHAnsi"/>
        </w:rPr>
        <w:t xml:space="preserve">much as </w:t>
      </w:r>
      <w:r w:rsidRPr="00796372">
        <w:rPr>
          <w:rFonts w:ascii="Garamond" w:hAnsi="Garamond" w:cstheme="majorHAnsi"/>
        </w:rPr>
        <w:t>it was in the 1970s and 1980s where more than 50% of total merchandise exports were manufactures exports.</w:t>
      </w:r>
    </w:p>
    <w:p w:rsidR="001025E8" w:rsidRDefault="001025E8" w:rsidP="001025E8">
      <w:pPr>
        <w:jc w:val="center"/>
        <w:rPr>
          <w:rFonts w:asciiTheme="majorHAnsi" w:hAnsiTheme="majorHAnsi"/>
          <w:sz w:val="20"/>
          <w:szCs w:val="20"/>
        </w:rPr>
      </w:pPr>
    </w:p>
    <w:p w:rsidR="003E5449" w:rsidRDefault="003E5449" w:rsidP="00122CCC">
      <w:pPr>
        <w:rPr>
          <w:rFonts w:asciiTheme="majorHAnsi" w:hAnsiTheme="majorHAnsi"/>
          <w:sz w:val="20"/>
          <w:szCs w:val="20"/>
        </w:rPr>
      </w:pPr>
    </w:p>
    <w:p w:rsidR="003E5449" w:rsidRDefault="00295549" w:rsidP="007E705E">
      <w:pPr>
        <w:jc w:val="center"/>
        <w:rPr>
          <w:rFonts w:asciiTheme="majorHAnsi" w:hAnsiTheme="majorHAnsi"/>
          <w:sz w:val="20"/>
          <w:szCs w:val="20"/>
        </w:rPr>
      </w:pPr>
      <w:r>
        <w:rPr>
          <w:rFonts w:asciiTheme="majorHAnsi" w:hAnsiTheme="majorHAnsi"/>
          <w:sz w:val="20"/>
          <w:szCs w:val="20"/>
        </w:rPr>
        <w:t>Figure 4-1</w:t>
      </w:r>
      <w:r w:rsidR="007E705E">
        <w:rPr>
          <w:rFonts w:asciiTheme="majorHAnsi" w:hAnsiTheme="majorHAnsi"/>
          <w:sz w:val="20"/>
          <w:szCs w:val="20"/>
        </w:rPr>
        <w:t xml:space="preserve"> </w:t>
      </w:r>
      <w:r w:rsidR="003E5449">
        <w:rPr>
          <w:rFonts w:asciiTheme="majorHAnsi" w:hAnsiTheme="majorHAnsi"/>
          <w:sz w:val="20"/>
          <w:szCs w:val="20"/>
        </w:rPr>
        <w:t>Global Commodity Prices and Share of Exports (Percentage Change)</w:t>
      </w:r>
    </w:p>
    <w:p w:rsidR="003E5449" w:rsidRDefault="003E5449" w:rsidP="001025E8">
      <w:pPr>
        <w:jc w:val="center"/>
        <w:rPr>
          <w:rFonts w:asciiTheme="majorHAnsi" w:hAnsiTheme="majorHAnsi"/>
          <w:sz w:val="20"/>
          <w:szCs w:val="20"/>
        </w:rPr>
      </w:pPr>
      <w:r w:rsidRPr="003E5449">
        <w:rPr>
          <w:rFonts w:asciiTheme="majorHAnsi" w:hAnsiTheme="majorHAnsi"/>
          <w:noProof/>
          <w:sz w:val="20"/>
          <w:szCs w:val="20"/>
        </w:rPr>
        <w:drawing>
          <wp:inline distT="0" distB="0" distL="0" distR="0">
            <wp:extent cx="4616561" cy="2565096"/>
            <wp:effectExtent l="19050" t="0" r="12589" b="6654"/>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3E5449" w:rsidRDefault="003E5449" w:rsidP="003E5449">
      <w:pPr>
        <w:jc w:val="both"/>
        <w:rPr>
          <w:rFonts w:asciiTheme="majorHAnsi" w:hAnsiTheme="majorHAnsi"/>
          <w:i/>
          <w:sz w:val="20"/>
          <w:szCs w:val="20"/>
        </w:rPr>
      </w:pPr>
      <w:r w:rsidRPr="00227036">
        <w:rPr>
          <w:rFonts w:asciiTheme="majorHAnsi" w:hAnsiTheme="majorHAnsi" w:cstheme="majorHAnsi"/>
          <w:i/>
          <w:sz w:val="18"/>
          <w:szCs w:val="18"/>
        </w:rPr>
        <w:t>Source:</w:t>
      </w:r>
      <w:r>
        <w:rPr>
          <w:rFonts w:asciiTheme="majorHAnsi" w:hAnsiTheme="majorHAnsi" w:cstheme="majorHAnsi"/>
          <w:i/>
          <w:sz w:val="18"/>
          <w:szCs w:val="18"/>
        </w:rPr>
        <w:t xml:space="preserve"> Author’s own illustration base on</w:t>
      </w:r>
      <w:r w:rsidRPr="00227036">
        <w:rPr>
          <w:rFonts w:asciiTheme="majorHAnsi" w:hAnsiTheme="majorHAnsi" w:cstheme="majorHAnsi"/>
          <w:i/>
          <w:sz w:val="18"/>
          <w:szCs w:val="18"/>
        </w:rPr>
        <w:t xml:space="preserve"> </w:t>
      </w:r>
      <w:r>
        <w:rPr>
          <w:rFonts w:asciiTheme="majorHAnsi" w:hAnsiTheme="majorHAnsi"/>
          <w:i/>
          <w:sz w:val="18"/>
          <w:szCs w:val="18"/>
        </w:rPr>
        <w:t>World Bank data (World Development Indicators &amp; Global Development Finance) and UNCTAD Statistics</w:t>
      </w:r>
    </w:p>
    <w:p w:rsidR="003E5449" w:rsidRDefault="003E5449" w:rsidP="003E5449">
      <w:pPr>
        <w:jc w:val="both"/>
        <w:rPr>
          <w:rFonts w:asciiTheme="majorHAnsi" w:eastAsiaTheme="majorEastAsia" w:hAnsiTheme="majorHAnsi" w:cstheme="majorHAnsi"/>
          <w:bCs/>
          <w:sz w:val="22"/>
          <w:szCs w:val="22"/>
        </w:rPr>
      </w:pPr>
    </w:p>
    <w:p w:rsidR="002D1B68" w:rsidRPr="002D1B68" w:rsidRDefault="00295549" w:rsidP="007E705E">
      <w:pPr>
        <w:jc w:val="center"/>
        <w:rPr>
          <w:rFonts w:asciiTheme="majorHAnsi" w:hAnsiTheme="majorHAnsi"/>
          <w:sz w:val="18"/>
          <w:szCs w:val="18"/>
        </w:rPr>
      </w:pPr>
      <w:r>
        <w:rPr>
          <w:rFonts w:asciiTheme="majorHAnsi" w:hAnsiTheme="majorHAnsi"/>
          <w:sz w:val="18"/>
          <w:szCs w:val="18"/>
        </w:rPr>
        <w:t>Figure 4-2</w:t>
      </w:r>
      <w:r w:rsidR="007E705E">
        <w:rPr>
          <w:rFonts w:asciiTheme="majorHAnsi" w:hAnsiTheme="majorHAnsi"/>
          <w:sz w:val="18"/>
          <w:szCs w:val="18"/>
        </w:rPr>
        <w:t xml:space="preserve"> </w:t>
      </w:r>
      <w:r w:rsidR="002D1B68" w:rsidRPr="002D1B68">
        <w:rPr>
          <w:rFonts w:asciiTheme="majorHAnsi" w:hAnsiTheme="majorHAnsi"/>
          <w:sz w:val="18"/>
          <w:szCs w:val="18"/>
        </w:rPr>
        <w:t>Food Commodity Volume Exports and Prices (Percentage Change)</w:t>
      </w:r>
    </w:p>
    <w:p w:rsidR="003E5449" w:rsidRDefault="002D1B68" w:rsidP="001025E8">
      <w:pPr>
        <w:jc w:val="center"/>
        <w:rPr>
          <w:rFonts w:asciiTheme="majorHAnsi" w:hAnsiTheme="majorHAnsi"/>
          <w:sz w:val="20"/>
          <w:szCs w:val="20"/>
        </w:rPr>
      </w:pPr>
      <w:r w:rsidRPr="002D1B68">
        <w:rPr>
          <w:rFonts w:asciiTheme="majorHAnsi" w:hAnsiTheme="majorHAnsi"/>
          <w:noProof/>
          <w:sz w:val="20"/>
          <w:szCs w:val="20"/>
        </w:rPr>
        <w:drawing>
          <wp:inline distT="0" distB="0" distL="0" distR="0">
            <wp:extent cx="4628350" cy="2012646"/>
            <wp:effectExtent l="19050" t="0" r="19850" b="6654"/>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D1B68" w:rsidRDefault="002D1B68" w:rsidP="002D1B68">
      <w:pPr>
        <w:jc w:val="both"/>
        <w:rPr>
          <w:rFonts w:asciiTheme="majorHAnsi" w:hAnsiTheme="majorHAnsi"/>
          <w:i/>
          <w:sz w:val="18"/>
          <w:szCs w:val="18"/>
        </w:rPr>
      </w:pPr>
      <w:r w:rsidRPr="00227036">
        <w:rPr>
          <w:rFonts w:asciiTheme="majorHAnsi" w:hAnsiTheme="majorHAnsi" w:cstheme="majorHAnsi"/>
          <w:i/>
          <w:sz w:val="18"/>
          <w:szCs w:val="18"/>
        </w:rPr>
        <w:t>Source:</w:t>
      </w:r>
      <w:r>
        <w:rPr>
          <w:rFonts w:asciiTheme="majorHAnsi" w:hAnsiTheme="majorHAnsi" w:cstheme="majorHAnsi"/>
          <w:i/>
          <w:sz w:val="18"/>
          <w:szCs w:val="18"/>
        </w:rPr>
        <w:t xml:space="preserve"> Author’s own illustration base on</w:t>
      </w:r>
      <w:r w:rsidRPr="00227036">
        <w:rPr>
          <w:rFonts w:asciiTheme="majorHAnsi" w:hAnsiTheme="majorHAnsi" w:cstheme="majorHAnsi"/>
          <w:i/>
          <w:sz w:val="18"/>
          <w:szCs w:val="18"/>
        </w:rPr>
        <w:t xml:space="preserve"> </w:t>
      </w:r>
      <w:r>
        <w:rPr>
          <w:rFonts w:asciiTheme="majorHAnsi" w:hAnsiTheme="majorHAnsi"/>
          <w:i/>
          <w:sz w:val="18"/>
          <w:szCs w:val="18"/>
        </w:rPr>
        <w:t>World Bank data (World Development Indicators &amp; Global Development Finance) and UNCTAD Statistics</w:t>
      </w:r>
    </w:p>
    <w:p w:rsidR="007E705E" w:rsidRDefault="007E705E" w:rsidP="002D1B68">
      <w:pPr>
        <w:jc w:val="both"/>
        <w:rPr>
          <w:rFonts w:asciiTheme="majorHAnsi" w:hAnsiTheme="majorHAnsi"/>
          <w:i/>
          <w:sz w:val="20"/>
          <w:szCs w:val="20"/>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178FB" w:rsidRDefault="002178FB" w:rsidP="007E705E">
      <w:pPr>
        <w:jc w:val="center"/>
        <w:rPr>
          <w:rFonts w:asciiTheme="majorHAnsi" w:hAnsiTheme="majorHAnsi"/>
          <w:sz w:val="18"/>
          <w:szCs w:val="18"/>
        </w:rPr>
      </w:pPr>
    </w:p>
    <w:p w:rsidR="002D1B68" w:rsidRPr="002D1B68" w:rsidRDefault="00295549" w:rsidP="007E705E">
      <w:pPr>
        <w:jc w:val="center"/>
        <w:rPr>
          <w:rFonts w:asciiTheme="majorHAnsi" w:hAnsiTheme="majorHAnsi"/>
          <w:sz w:val="18"/>
          <w:szCs w:val="18"/>
        </w:rPr>
      </w:pPr>
      <w:r>
        <w:rPr>
          <w:rFonts w:asciiTheme="majorHAnsi" w:hAnsiTheme="majorHAnsi"/>
          <w:sz w:val="18"/>
          <w:szCs w:val="18"/>
        </w:rPr>
        <w:lastRenderedPageBreak/>
        <w:t>Figure 4-3</w:t>
      </w:r>
      <w:r w:rsidR="007E705E">
        <w:rPr>
          <w:rFonts w:asciiTheme="majorHAnsi" w:hAnsiTheme="majorHAnsi"/>
          <w:sz w:val="18"/>
          <w:szCs w:val="18"/>
        </w:rPr>
        <w:t xml:space="preserve"> </w:t>
      </w:r>
      <w:r w:rsidR="002D1B68" w:rsidRPr="002D1B68">
        <w:rPr>
          <w:rFonts w:asciiTheme="majorHAnsi" w:hAnsiTheme="majorHAnsi"/>
          <w:sz w:val="18"/>
          <w:szCs w:val="18"/>
        </w:rPr>
        <w:t xml:space="preserve">Tropical Beverages Volume Exports and Prices </w:t>
      </w:r>
      <w:r w:rsidR="007E705E">
        <w:rPr>
          <w:rFonts w:asciiTheme="majorHAnsi" w:hAnsiTheme="majorHAnsi"/>
          <w:sz w:val="18"/>
          <w:szCs w:val="18"/>
        </w:rPr>
        <w:t>(Percentage Change)</w:t>
      </w:r>
    </w:p>
    <w:p w:rsidR="003E5449" w:rsidRDefault="002D1B68" w:rsidP="001025E8">
      <w:pPr>
        <w:jc w:val="center"/>
        <w:rPr>
          <w:rFonts w:asciiTheme="majorHAnsi" w:hAnsiTheme="majorHAnsi"/>
          <w:sz w:val="20"/>
          <w:szCs w:val="20"/>
        </w:rPr>
      </w:pPr>
      <w:r w:rsidRPr="002D1B68">
        <w:rPr>
          <w:rFonts w:asciiTheme="majorHAnsi" w:hAnsiTheme="majorHAnsi"/>
          <w:noProof/>
          <w:sz w:val="20"/>
          <w:szCs w:val="20"/>
        </w:rPr>
        <w:drawing>
          <wp:inline distT="0" distB="0" distL="0" distR="0">
            <wp:extent cx="4608610" cy="2003093"/>
            <wp:effectExtent l="19050" t="0" r="2054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D1B68" w:rsidRDefault="002D1B68" w:rsidP="002D1B68">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sidRPr="002D1B68">
        <w:rPr>
          <w:rFonts w:asciiTheme="majorHAnsi" w:hAnsiTheme="majorHAnsi"/>
          <w:i/>
          <w:sz w:val="16"/>
          <w:szCs w:val="16"/>
        </w:rPr>
        <w:t>World Bank data (World Development Indicators &amp; Global Development Finance) and UNCTAD Statistics</w:t>
      </w:r>
    </w:p>
    <w:p w:rsidR="002178FB" w:rsidRPr="002D1B68" w:rsidRDefault="002178FB" w:rsidP="002D1B68">
      <w:pPr>
        <w:jc w:val="both"/>
        <w:rPr>
          <w:rFonts w:asciiTheme="majorHAnsi" w:hAnsiTheme="majorHAnsi"/>
          <w:i/>
          <w:sz w:val="16"/>
          <w:szCs w:val="16"/>
        </w:rPr>
      </w:pPr>
    </w:p>
    <w:p w:rsidR="001025E8" w:rsidRPr="007E705E" w:rsidRDefault="00295549" w:rsidP="007E705E">
      <w:pPr>
        <w:jc w:val="center"/>
        <w:rPr>
          <w:rFonts w:asciiTheme="majorHAnsi" w:hAnsiTheme="majorHAnsi"/>
          <w:sz w:val="20"/>
          <w:szCs w:val="20"/>
        </w:rPr>
      </w:pPr>
      <w:r>
        <w:rPr>
          <w:rFonts w:asciiTheme="majorHAnsi" w:hAnsiTheme="majorHAnsi"/>
          <w:sz w:val="20"/>
          <w:szCs w:val="20"/>
        </w:rPr>
        <w:t>Figure 4-4</w:t>
      </w:r>
      <w:r w:rsidR="007E705E" w:rsidRPr="007E705E">
        <w:rPr>
          <w:rFonts w:asciiTheme="majorHAnsi" w:hAnsiTheme="majorHAnsi"/>
          <w:sz w:val="20"/>
          <w:szCs w:val="20"/>
        </w:rPr>
        <w:t xml:space="preserve"> Vegetables Oils and Oilseeds Volume Exports and Prices (Percentage Change)</w:t>
      </w:r>
    </w:p>
    <w:p w:rsidR="002D1B68" w:rsidRPr="002D1B68" w:rsidRDefault="002D1B68" w:rsidP="001025E8">
      <w:pPr>
        <w:jc w:val="both"/>
        <w:rPr>
          <w:rFonts w:asciiTheme="majorHAnsi" w:hAnsiTheme="majorHAnsi"/>
          <w:sz w:val="16"/>
          <w:szCs w:val="16"/>
        </w:rPr>
      </w:pPr>
      <w:r w:rsidRPr="002D1B68">
        <w:rPr>
          <w:rFonts w:asciiTheme="majorHAnsi" w:hAnsiTheme="majorHAnsi"/>
          <w:noProof/>
        </w:rPr>
        <w:drawing>
          <wp:inline distT="0" distB="0" distL="0" distR="0">
            <wp:extent cx="4664269" cy="2194560"/>
            <wp:effectExtent l="19050" t="0" r="22031"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2D1B68" w:rsidRDefault="002D1B68" w:rsidP="002D1B68">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sidRPr="002D1B68">
        <w:rPr>
          <w:rFonts w:asciiTheme="majorHAnsi" w:hAnsiTheme="majorHAnsi"/>
          <w:i/>
          <w:sz w:val="16"/>
          <w:szCs w:val="16"/>
        </w:rPr>
        <w:t>World Bank data (World Development Indicators &amp; Global Development Finance) and UNCTAD Statistics</w:t>
      </w:r>
    </w:p>
    <w:p w:rsidR="002178FB" w:rsidRPr="002D1B68" w:rsidRDefault="002178FB" w:rsidP="002D1B68">
      <w:pPr>
        <w:jc w:val="both"/>
        <w:rPr>
          <w:rFonts w:asciiTheme="majorHAnsi" w:hAnsiTheme="majorHAnsi"/>
          <w:i/>
          <w:sz w:val="16"/>
          <w:szCs w:val="16"/>
        </w:rPr>
      </w:pPr>
    </w:p>
    <w:p w:rsidR="002D1B68" w:rsidRPr="007E705E" w:rsidRDefault="00295549" w:rsidP="007E705E">
      <w:pPr>
        <w:jc w:val="center"/>
        <w:rPr>
          <w:rFonts w:asciiTheme="majorHAnsi" w:hAnsiTheme="majorHAnsi"/>
          <w:sz w:val="20"/>
          <w:szCs w:val="20"/>
        </w:rPr>
      </w:pPr>
      <w:r>
        <w:rPr>
          <w:rFonts w:asciiTheme="majorHAnsi" w:hAnsiTheme="majorHAnsi"/>
          <w:sz w:val="20"/>
          <w:szCs w:val="20"/>
        </w:rPr>
        <w:t>Figure 4-5</w:t>
      </w:r>
      <w:r w:rsidR="007E705E" w:rsidRPr="007E705E">
        <w:rPr>
          <w:rFonts w:asciiTheme="majorHAnsi" w:hAnsiTheme="majorHAnsi"/>
          <w:sz w:val="20"/>
          <w:szCs w:val="20"/>
        </w:rPr>
        <w:t xml:space="preserve"> </w:t>
      </w:r>
      <w:r w:rsidR="007E705E">
        <w:rPr>
          <w:rFonts w:asciiTheme="majorHAnsi" w:hAnsiTheme="majorHAnsi"/>
          <w:sz w:val="20"/>
          <w:szCs w:val="20"/>
        </w:rPr>
        <w:t>Agriculture Raw Materials</w:t>
      </w:r>
      <w:r w:rsidR="007E705E" w:rsidRPr="007E705E">
        <w:rPr>
          <w:rFonts w:asciiTheme="majorHAnsi" w:hAnsiTheme="majorHAnsi"/>
          <w:sz w:val="20"/>
          <w:szCs w:val="20"/>
        </w:rPr>
        <w:t xml:space="preserve"> Volume Exports and Prices (Percentage Change)</w:t>
      </w:r>
    </w:p>
    <w:p w:rsidR="002D1B68" w:rsidRDefault="007E705E" w:rsidP="001025E8">
      <w:pPr>
        <w:jc w:val="both"/>
        <w:rPr>
          <w:rFonts w:asciiTheme="majorHAnsi" w:hAnsiTheme="majorHAnsi"/>
          <w:sz w:val="22"/>
          <w:szCs w:val="22"/>
        </w:rPr>
      </w:pPr>
      <w:r w:rsidRPr="007E705E">
        <w:rPr>
          <w:rFonts w:asciiTheme="majorHAnsi" w:hAnsiTheme="majorHAnsi"/>
          <w:noProof/>
          <w:sz w:val="22"/>
          <w:szCs w:val="22"/>
        </w:rPr>
        <w:drawing>
          <wp:inline distT="0" distB="0" distL="0" distR="0">
            <wp:extent cx="4759684" cy="2186608"/>
            <wp:effectExtent l="19050" t="0" r="21866" b="4142"/>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E705E" w:rsidRDefault="007E705E" w:rsidP="007E705E">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sidRPr="002D1B68">
        <w:rPr>
          <w:rFonts w:asciiTheme="majorHAnsi" w:hAnsiTheme="majorHAnsi"/>
          <w:i/>
          <w:sz w:val="16"/>
          <w:szCs w:val="16"/>
        </w:rPr>
        <w:t>World Bank data (World Development Indicators &amp; Global Development Finance) and UNCTAD Statistics</w:t>
      </w:r>
    </w:p>
    <w:p w:rsidR="007E705E" w:rsidRDefault="007E705E" w:rsidP="007E705E">
      <w:pPr>
        <w:jc w:val="both"/>
        <w:rPr>
          <w:rFonts w:asciiTheme="majorHAnsi" w:hAnsiTheme="majorHAnsi"/>
          <w:i/>
          <w:sz w:val="16"/>
          <w:szCs w:val="16"/>
        </w:rPr>
      </w:pPr>
    </w:p>
    <w:p w:rsidR="002178FB" w:rsidRDefault="002178FB" w:rsidP="007E705E">
      <w:pPr>
        <w:jc w:val="both"/>
        <w:rPr>
          <w:rFonts w:asciiTheme="majorHAnsi" w:hAnsiTheme="majorHAnsi"/>
          <w:i/>
          <w:sz w:val="16"/>
          <w:szCs w:val="16"/>
        </w:rPr>
      </w:pPr>
    </w:p>
    <w:p w:rsidR="002178FB" w:rsidRDefault="002178FB" w:rsidP="007E705E">
      <w:pPr>
        <w:jc w:val="both"/>
        <w:rPr>
          <w:rFonts w:asciiTheme="majorHAnsi" w:hAnsiTheme="majorHAnsi"/>
          <w:i/>
          <w:sz w:val="16"/>
          <w:szCs w:val="16"/>
        </w:rPr>
      </w:pPr>
    </w:p>
    <w:p w:rsidR="002178FB" w:rsidRDefault="002178FB" w:rsidP="007E705E">
      <w:pPr>
        <w:jc w:val="both"/>
        <w:rPr>
          <w:rFonts w:asciiTheme="majorHAnsi" w:hAnsiTheme="majorHAnsi"/>
          <w:i/>
          <w:sz w:val="16"/>
          <w:szCs w:val="16"/>
        </w:rPr>
      </w:pPr>
    </w:p>
    <w:p w:rsidR="002178FB" w:rsidRDefault="002178FB" w:rsidP="007E705E">
      <w:pPr>
        <w:jc w:val="both"/>
        <w:rPr>
          <w:rFonts w:asciiTheme="majorHAnsi" w:hAnsiTheme="majorHAnsi"/>
          <w:i/>
          <w:sz w:val="16"/>
          <w:szCs w:val="16"/>
        </w:rPr>
      </w:pPr>
    </w:p>
    <w:p w:rsidR="00295549" w:rsidRDefault="00295549" w:rsidP="007E705E">
      <w:pPr>
        <w:jc w:val="both"/>
        <w:rPr>
          <w:rFonts w:asciiTheme="majorHAnsi" w:hAnsiTheme="majorHAnsi"/>
          <w:i/>
          <w:sz w:val="16"/>
          <w:szCs w:val="16"/>
        </w:rPr>
      </w:pPr>
    </w:p>
    <w:p w:rsidR="00295549" w:rsidRDefault="00295549" w:rsidP="007E705E">
      <w:pPr>
        <w:jc w:val="both"/>
        <w:rPr>
          <w:rFonts w:asciiTheme="majorHAnsi" w:hAnsiTheme="majorHAnsi"/>
          <w:i/>
          <w:sz w:val="16"/>
          <w:szCs w:val="16"/>
        </w:rPr>
      </w:pPr>
    </w:p>
    <w:p w:rsidR="007E705E" w:rsidRPr="007E705E" w:rsidRDefault="00295549" w:rsidP="007E705E">
      <w:pPr>
        <w:jc w:val="center"/>
        <w:rPr>
          <w:rFonts w:asciiTheme="majorHAnsi" w:hAnsiTheme="majorHAnsi"/>
          <w:sz w:val="20"/>
          <w:szCs w:val="20"/>
        </w:rPr>
      </w:pPr>
      <w:r>
        <w:rPr>
          <w:rFonts w:asciiTheme="majorHAnsi" w:hAnsiTheme="majorHAnsi"/>
          <w:sz w:val="20"/>
          <w:szCs w:val="20"/>
        </w:rPr>
        <w:lastRenderedPageBreak/>
        <w:t>Figure 4-6</w:t>
      </w:r>
      <w:r w:rsidR="007E705E" w:rsidRPr="007E705E">
        <w:rPr>
          <w:rFonts w:asciiTheme="majorHAnsi" w:hAnsiTheme="majorHAnsi"/>
          <w:sz w:val="20"/>
          <w:szCs w:val="20"/>
        </w:rPr>
        <w:t xml:space="preserve"> Minerals, Ores and Metal Exports Volume Exports and Prices (Percentage Change)</w:t>
      </w:r>
    </w:p>
    <w:p w:rsidR="007E705E" w:rsidRPr="002D1B68" w:rsidRDefault="007E705E" w:rsidP="007E705E">
      <w:pPr>
        <w:jc w:val="both"/>
        <w:rPr>
          <w:rFonts w:asciiTheme="majorHAnsi" w:hAnsiTheme="majorHAnsi"/>
          <w:i/>
          <w:sz w:val="16"/>
          <w:szCs w:val="16"/>
        </w:rPr>
      </w:pPr>
      <w:r w:rsidRPr="007E705E">
        <w:rPr>
          <w:rFonts w:asciiTheme="majorHAnsi" w:hAnsiTheme="majorHAnsi"/>
          <w:i/>
          <w:noProof/>
          <w:sz w:val="16"/>
          <w:szCs w:val="16"/>
        </w:rPr>
        <w:drawing>
          <wp:inline distT="0" distB="0" distL="0" distR="0">
            <wp:extent cx="4632463" cy="2289975"/>
            <wp:effectExtent l="19050" t="0" r="15737"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E705E" w:rsidRDefault="007E705E" w:rsidP="007E705E">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sidRPr="002D1B68">
        <w:rPr>
          <w:rFonts w:asciiTheme="majorHAnsi" w:hAnsiTheme="majorHAnsi"/>
          <w:i/>
          <w:sz w:val="16"/>
          <w:szCs w:val="16"/>
        </w:rPr>
        <w:t>World Bank data (World Development Indicators &amp; Global Development Finance) and UNCTAD Statistics</w:t>
      </w:r>
    </w:p>
    <w:p w:rsidR="00CF6B74" w:rsidRDefault="00CF6B74" w:rsidP="001025E8">
      <w:pPr>
        <w:jc w:val="both"/>
        <w:rPr>
          <w:rFonts w:asciiTheme="majorHAnsi" w:hAnsiTheme="majorHAnsi"/>
          <w:i/>
          <w:sz w:val="22"/>
          <w:szCs w:val="22"/>
        </w:rPr>
      </w:pPr>
    </w:p>
    <w:p w:rsidR="002D1B68" w:rsidRDefault="00497D12" w:rsidP="001025E8">
      <w:pPr>
        <w:jc w:val="both"/>
        <w:rPr>
          <w:rFonts w:asciiTheme="majorHAnsi" w:hAnsiTheme="majorHAnsi"/>
          <w:i/>
          <w:sz w:val="22"/>
          <w:szCs w:val="22"/>
        </w:rPr>
      </w:pPr>
      <w:r w:rsidRPr="00497D12">
        <w:rPr>
          <w:rFonts w:asciiTheme="majorHAnsi" w:hAnsiTheme="majorHAnsi"/>
          <w:i/>
          <w:sz w:val="22"/>
          <w:szCs w:val="22"/>
        </w:rPr>
        <w:t>Prior to 1999</w:t>
      </w:r>
    </w:p>
    <w:p w:rsidR="000F1FE0" w:rsidRDefault="000F1FE0" w:rsidP="000F1FE0">
      <w:pPr>
        <w:jc w:val="both"/>
        <w:rPr>
          <w:rFonts w:ascii="Garamond" w:hAnsi="Garamond"/>
          <w:lang w:eastAsia="ja-JP"/>
        </w:rPr>
      </w:pPr>
      <w:r w:rsidRPr="00E4605A">
        <w:rPr>
          <w:rFonts w:ascii="Garamond" w:hAnsi="Garamond"/>
          <w:lang w:eastAsia="ja-JP"/>
        </w:rPr>
        <w:t xml:space="preserve">In the early 1970s Indonesia exports were entirely dominated by the primary commodity as shown </w:t>
      </w:r>
      <w:r w:rsidR="00295549">
        <w:rPr>
          <w:rFonts w:ascii="Garamond" w:hAnsi="Garamond"/>
          <w:lang w:eastAsia="ja-JP"/>
        </w:rPr>
        <w:t>in figure 4-1</w:t>
      </w:r>
      <w:r>
        <w:rPr>
          <w:rFonts w:ascii="Garamond" w:hAnsi="Garamond"/>
          <w:lang w:eastAsia="ja-JP"/>
        </w:rPr>
        <w:t xml:space="preserve"> that Indonesia exports were mainly commodity exports and explained </w:t>
      </w:r>
      <w:r w:rsidRPr="00E4605A">
        <w:rPr>
          <w:rFonts w:ascii="Garamond" w:hAnsi="Garamond"/>
          <w:lang w:eastAsia="ja-JP"/>
        </w:rPr>
        <w:t xml:space="preserve">in table 1 that </w:t>
      </w:r>
      <w:r>
        <w:rPr>
          <w:rFonts w:ascii="Garamond" w:hAnsi="Garamond"/>
          <w:lang w:eastAsia="ja-JP"/>
        </w:rPr>
        <w:t>its</w:t>
      </w:r>
      <w:r w:rsidRPr="00E4605A">
        <w:rPr>
          <w:rFonts w:ascii="Garamond" w:hAnsi="Garamond"/>
          <w:lang w:eastAsia="ja-JP"/>
        </w:rPr>
        <w:t xml:space="preserve"> exports mostly was the agriculture raw materials and fuel where fuel exports accounted for two-third of total exports earnings in 1982 when the manufactures sector was still underdeveloped and it was only accounted for 1% of total m</w:t>
      </w:r>
      <w:r w:rsidR="00CF6B74">
        <w:rPr>
          <w:rFonts w:ascii="Garamond" w:hAnsi="Garamond"/>
          <w:lang w:eastAsia="ja-JP"/>
        </w:rPr>
        <w:t xml:space="preserve">erchandise exports. </w:t>
      </w:r>
      <w:r w:rsidRPr="00E4605A">
        <w:rPr>
          <w:rFonts w:ascii="Garamond" w:hAnsi="Garamond"/>
          <w:lang w:eastAsia="ja-JP"/>
        </w:rPr>
        <w:t xml:space="preserve">As oil price fall rapidly in the late 1982, Indonesia government responded to the price fall by introducing stabilization program to reduce vulnerability to the external shocks but even before the adjustment program. Indonesia has gone through a series of structural change where the share of agriculture in GDP declined from 40.7% in the early 1970s to 29.8% in the early 1980s as also the mining sector fell from 11.4% to 8% while the manufacturing sector increased from 9.6% to 15.4% </w:t>
      </w:r>
      <w:r w:rsidR="00496FE5" w:rsidRPr="00E4605A">
        <w:rPr>
          <w:rFonts w:ascii="Garamond" w:hAnsi="Garamond"/>
          <w:lang w:eastAsia="ja-JP"/>
        </w:rPr>
        <w:fldChar w:fldCharType="begin"/>
      </w:r>
      <w:r w:rsidRPr="00E4605A">
        <w:rPr>
          <w:rFonts w:ascii="Garamond" w:hAnsi="Garamond"/>
          <w:lang w:eastAsia="ja-JP"/>
        </w:rPr>
        <w:instrText>ADDIN RW.CITE{{208 Thorbecke,Erik 1991}}</w:instrText>
      </w:r>
      <w:r w:rsidR="00496FE5" w:rsidRPr="00E4605A">
        <w:rPr>
          <w:rFonts w:ascii="Garamond" w:hAnsi="Garamond"/>
          <w:lang w:eastAsia="ja-JP"/>
        </w:rPr>
        <w:fldChar w:fldCharType="separate"/>
      </w:r>
      <w:r w:rsidRPr="00E4605A">
        <w:rPr>
          <w:rFonts w:ascii="Garamond" w:hAnsi="Garamond"/>
          <w:lang w:eastAsia="ja-JP"/>
        </w:rPr>
        <w:t>(Thorbecke 1991)</w:t>
      </w:r>
      <w:r w:rsidR="00496FE5" w:rsidRPr="00E4605A">
        <w:rPr>
          <w:rFonts w:ascii="Garamond" w:hAnsi="Garamond"/>
          <w:lang w:eastAsia="ja-JP"/>
        </w:rPr>
        <w:fldChar w:fldCharType="end"/>
      </w:r>
      <w:r w:rsidRPr="00E4605A">
        <w:rPr>
          <w:rFonts w:ascii="Garamond" w:hAnsi="Garamond"/>
          <w:lang w:eastAsia="ja-JP"/>
        </w:rPr>
        <w:t>.</w:t>
      </w:r>
    </w:p>
    <w:p w:rsidR="00054F20" w:rsidRPr="00E4605A" w:rsidRDefault="00054F20" w:rsidP="000F1FE0">
      <w:pPr>
        <w:rPr>
          <w:rFonts w:ascii="Garamond" w:hAnsi="Garamond" w:cstheme="majorHAnsi"/>
        </w:rPr>
      </w:pPr>
    </w:p>
    <w:p w:rsidR="00955B84" w:rsidRDefault="000F1FE0" w:rsidP="000F1FE0">
      <w:pPr>
        <w:jc w:val="both"/>
        <w:rPr>
          <w:rFonts w:ascii="Garamond" w:hAnsi="Garamond" w:cstheme="majorHAnsi"/>
        </w:rPr>
      </w:pPr>
      <w:r w:rsidRPr="00E4605A">
        <w:rPr>
          <w:rFonts w:ascii="Garamond" w:hAnsi="Garamond" w:cstheme="majorHAnsi"/>
        </w:rPr>
        <w:t xml:space="preserve">Indonesia begun to move its development strategy from focusing on the commodity sector to the manufacture sector  to reduce the magnitude of Dutch disease by expanded the non-oil sectors and devaluation (real appreciation caused by the booming oil prices) hence, the reform shifted Indonesia from import substitution in agriculture particularly rice to export promotion for its manufacture products supported by currency devaluation in March 1983 and September 1986 thus during this decade, Indonesia showed improvement in the total factor production performance of manufacture sector and exports started to be dominated by manufacturing exports </w:t>
      </w:r>
      <w:r w:rsidR="00496FE5" w:rsidRPr="00E4605A">
        <w:rPr>
          <w:rFonts w:ascii="Garamond" w:hAnsi="Garamond" w:cstheme="majorHAnsi"/>
        </w:rPr>
        <w:fldChar w:fldCharType="begin"/>
      </w:r>
      <w:r w:rsidRPr="00E4605A">
        <w:rPr>
          <w:rFonts w:ascii="Garamond" w:hAnsi="Garamond" w:cstheme="majorHAnsi"/>
        </w:rPr>
        <w:instrText>ADDIN RW.CITE{{141 Temple,Jonathan 2001}}</w:instrText>
      </w:r>
      <w:r w:rsidR="00496FE5" w:rsidRPr="00E4605A">
        <w:rPr>
          <w:rFonts w:ascii="Garamond" w:hAnsi="Garamond" w:cstheme="majorHAnsi"/>
        </w:rPr>
        <w:fldChar w:fldCharType="separate"/>
      </w:r>
      <w:r w:rsidRPr="00E4605A">
        <w:rPr>
          <w:rFonts w:ascii="Garamond" w:hAnsi="Garamond" w:cstheme="majorHAnsi"/>
        </w:rPr>
        <w:t>(Temple 2001)</w:t>
      </w:r>
      <w:r w:rsidR="00496FE5" w:rsidRPr="00E4605A">
        <w:rPr>
          <w:rFonts w:ascii="Garamond" w:hAnsi="Garamond" w:cstheme="majorHAnsi"/>
        </w:rPr>
        <w:fldChar w:fldCharType="end"/>
      </w:r>
      <w:r w:rsidRPr="00E4605A">
        <w:rPr>
          <w:rFonts w:ascii="Garamond" w:hAnsi="Garamond" w:cstheme="majorHAnsi"/>
        </w:rPr>
        <w:t xml:space="preserve"> where in 1975 to 1985 TFP growth of manufacturing was only 0.3% and in 1986 to 1995 was 4.8% </w:t>
      </w:r>
      <w:r w:rsidR="00496FE5" w:rsidRPr="00E4605A">
        <w:rPr>
          <w:rFonts w:ascii="Garamond" w:hAnsi="Garamond" w:cstheme="majorHAnsi"/>
        </w:rPr>
        <w:fldChar w:fldCharType="begin"/>
      </w:r>
      <w:r w:rsidRPr="00E4605A">
        <w:rPr>
          <w:rFonts w:ascii="Garamond" w:hAnsi="Garamond" w:cstheme="majorHAnsi"/>
        </w:rPr>
        <w:instrText>ADDIN RW.CITE{{142 Timmer,MP 1999}}</w:instrText>
      </w:r>
      <w:r w:rsidR="00496FE5" w:rsidRPr="00E4605A">
        <w:rPr>
          <w:rFonts w:ascii="Garamond" w:hAnsi="Garamond" w:cstheme="majorHAnsi"/>
        </w:rPr>
        <w:fldChar w:fldCharType="separate"/>
      </w:r>
      <w:r w:rsidRPr="00E4605A">
        <w:rPr>
          <w:rFonts w:ascii="Garamond" w:hAnsi="Garamond" w:cstheme="majorHAnsi"/>
        </w:rPr>
        <w:t>(Timmer 1999)</w:t>
      </w:r>
      <w:r w:rsidR="00496FE5" w:rsidRPr="00E4605A">
        <w:rPr>
          <w:rFonts w:ascii="Garamond" w:hAnsi="Garamond" w:cstheme="majorHAnsi"/>
        </w:rPr>
        <w:fldChar w:fldCharType="end"/>
      </w:r>
      <w:r w:rsidRPr="00E4605A">
        <w:rPr>
          <w:rFonts w:ascii="Garamond" w:hAnsi="Garamond" w:cstheme="majorHAnsi"/>
        </w:rPr>
        <w:t>.</w:t>
      </w:r>
    </w:p>
    <w:p w:rsidR="000F1FE0" w:rsidRPr="00E4605A" w:rsidRDefault="00054F20" w:rsidP="000F1FE0">
      <w:pPr>
        <w:jc w:val="both"/>
        <w:rPr>
          <w:rFonts w:ascii="Garamond" w:hAnsi="Garamond" w:cstheme="majorHAnsi"/>
        </w:rPr>
      </w:pPr>
      <w:r w:rsidRPr="00054F20">
        <w:rPr>
          <w:rFonts w:asciiTheme="majorHAnsi" w:hAnsiTheme="majorHAnsi"/>
          <w:sz w:val="22"/>
          <w:szCs w:val="22"/>
        </w:rPr>
        <w:t xml:space="preserve"> </w:t>
      </w:r>
    </w:p>
    <w:p w:rsidR="000F1FE0" w:rsidRDefault="00955B84" w:rsidP="000F1FE0">
      <w:pPr>
        <w:jc w:val="both"/>
        <w:rPr>
          <w:rFonts w:ascii="Garamond" w:hAnsi="Garamond" w:cstheme="majorHAnsi"/>
        </w:rPr>
      </w:pPr>
      <w:r>
        <w:rPr>
          <w:rFonts w:ascii="Garamond" w:hAnsi="Garamond" w:cstheme="majorHAnsi"/>
        </w:rPr>
        <w:t>Hence, t</w:t>
      </w:r>
      <w:r w:rsidR="000F1FE0" w:rsidRPr="00E4605A">
        <w:rPr>
          <w:rFonts w:ascii="Garamond" w:hAnsi="Garamond" w:cstheme="majorHAnsi"/>
        </w:rPr>
        <w:t xml:space="preserve">he share of manufactures in total merchandise export rose from 7% in 1983 to almost 50% in 1992 where the extreme shift was caused by both policy reform (internal) notably currency depreciation and the fall of global commodity prices (external) that Indonesia exported (Crude Oil and Natural Rubber) and in Indonesia 1980 banned exports on unprocessed logs, which raised exports of plywood (manufactured logs) </w:t>
      </w:r>
      <w:r w:rsidR="00496FE5" w:rsidRPr="00E4605A">
        <w:rPr>
          <w:rFonts w:ascii="Garamond" w:hAnsi="Garamond" w:cstheme="majorHAnsi"/>
        </w:rPr>
        <w:fldChar w:fldCharType="begin"/>
      </w:r>
      <w:r w:rsidR="000F1FE0" w:rsidRPr="00E4605A">
        <w:rPr>
          <w:rFonts w:ascii="Garamond" w:hAnsi="Garamond" w:cstheme="majorHAnsi"/>
        </w:rPr>
        <w:instrText>ADDIN RW.CITE{{141 Temple,Jonathan 2001}}</w:instrText>
      </w:r>
      <w:r w:rsidR="00496FE5" w:rsidRPr="00E4605A">
        <w:rPr>
          <w:rFonts w:ascii="Garamond" w:hAnsi="Garamond" w:cstheme="majorHAnsi"/>
        </w:rPr>
        <w:fldChar w:fldCharType="separate"/>
      </w:r>
      <w:r w:rsidR="000F1FE0" w:rsidRPr="00E4605A">
        <w:rPr>
          <w:rFonts w:ascii="Garamond" w:hAnsi="Garamond"/>
        </w:rPr>
        <w:t>(Temple 2001)</w:t>
      </w:r>
      <w:r w:rsidR="00496FE5" w:rsidRPr="00E4605A">
        <w:rPr>
          <w:rFonts w:ascii="Garamond" w:hAnsi="Garamond" w:cstheme="majorHAnsi"/>
        </w:rPr>
        <w:fldChar w:fldCharType="end"/>
      </w:r>
      <w:r w:rsidR="000F1FE0" w:rsidRPr="00E4605A">
        <w:rPr>
          <w:rFonts w:ascii="Garamond" w:hAnsi="Garamond" w:cstheme="majorHAnsi"/>
        </w:rPr>
        <w:t xml:space="preserve">. The other </w:t>
      </w:r>
      <w:r w:rsidR="000F1FE0" w:rsidRPr="00E4605A">
        <w:rPr>
          <w:rFonts w:ascii="Garamond" w:hAnsi="Garamond" w:cstheme="majorHAnsi"/>
        </w:rPr>
        <w:lastRenderedPageBreak/>
        <w:t xml:space="preserve">positive impact was reducing the dependency of Indonesia economy growth in primary commodity sector notably oil and gas taxes revenue </w:t>
      </w:r>
      <w:r w:rsidR="00496FE5" w:rsidRPr="00E4605A">
        <w:rPr>
          <w:rFonts w:ascii="Garamond" w:hAnsi="Garamond" w:cstheme="majorHAnsi"/>
        </w:rPr>
        <w:fldChar w:fldCharType="begin"/>
      </w:r>
      <w:r w:rsidR="000F1FE0" w:rsidRPr="00E4605A">
        <w:rPr>
          <w:rFonts w:ascii="Garamond" w:hAnsi="Garamond" w:cstheme="majorHAnsi"/>
        </w:rPr>
        <w:instrText>ADDIN RW.CITE{{151 Kuncoro,A 2003}}</w:instrText>
      </w:r>
      <w:r w:rsidR="00496FE5" w:rsidRPr="00E4605A">
        <w:rPr>
          <w:rFonts w:ascii="Garamond" w:hAnsi="Garamond" w:cstheme="majorHAnsi"/>
        </w:rPr>
        <w:fldChar w:fldCharType="separate"/>
      </w:r>
      <w:r w:rsidR="000F1FE0" w:rsidRPr="00E4605A">
        <w:rPr>
          <w:rFonts w:ascii="Garamond" w:hAnsi="Garamond"/>
        </w:rPr>
        <w:t>(Kuncoro and Resosudarmo 2003)</w:t>
      </w:r>
      <w:r w:rsidR="00496FE5" w:rsidRPr="00E4605A">
        <w:rPr>
          <w:rFonts w:ascii="Garamond" w:hAnsi="Garamond" w:cstheme="majorHAnsi"/>
        </w:rPr>
        <w:fldChar w:fldCharType="end"/>
      </w:r>
      <w:r w:rsidR="000F1FE0" w:rsidRPr="00E4605A">
        <w:rPr>
          <w:rFonts w:ascii="Garamond" w:hAnsi="Garamond" w:cstheme="majorHAnsi"/>
        </w:rPr>
        <w:t xml:space="preserve">. </w:t>
      </w:r>
    </w:p>
    <w:p w:rsidR="00955B84" w:rsidRPr="00E4605A" w:rsidRDefault="00955B84" w:rsidP="000F1FE0">
      <w:pPr>
        <w:jc w:val="both"/>
        <w:rPr>
          <w:rFonts w:ascii="Garamond" w:hAnsi="Garamond" w:cstheme="majorHAnsi"/>
        </w:rPr>
      </w:pPr>
    </w:p>
    <w:p w:rsidR="00955B84" w:rsidRPr="00AE1D19" w:rsidRDefault="00955B84" w:rsidP="00955B84">
      <w:pPr>
        <w:jc w:val="both"/>
        <w:rPr>
          <w:rFonts w:ascii="Garamond" w:hAnsi="Garamond"/>
        </w:rPr>
      </w:pPr>
      <w:r w:rsidRPr="00AE1D19">
        <w:rPr>
          <w:rFonts w:ascii="Garamond" w:hAnsi="Garamond"/>
        </w:rPr>
        <w:t xml:space="preserve">Therefore, in the late 1980s until the onset of Asian crisis in mid 1997 the boom in Indonesia economic growth was mainly caused by the rapid growth of its export from crude oil exports to non-oil primary commodity exports and particularly manufacturing that was the most influential factor that boosts its growth </w:t>
      </w:r>
      <w:r w:rsidR="00496FE5" w:rsidRPr="00AE1D19">
        <w:rPr>
          <w:rFonts w:ascii="Garamond" w:hAnsi="Garamond"/>
        </w:rPr>
        <w:fldChar w:fldCharType="begin"/>
      </w:r>
      <w:r w:rsidR="00AE1D19" w:rsidRPr="00AE1D19">
        <w:rPr>
          <w:rFonts w:ascii="Garamond" w:hAnsi="Garamond"/>
        </w:rPr>
        <w:instrText>ADDIN RW.CITE{{215 Athukorala,PC 2006}}</w:instrText>
      </w:r>
      <w:r w:rsidR="00496FE5" w:rsidRPr="00AE1D19">
        <w:rPr>
          <w:rFonts w:ascii="Garamond" w:hAnsi="Garamond"/>
        </w:rPr>
        <w:fldChar w:fldCharType="separate"/>
      </w:r>
      <w:r w:rsidR="00AE1D19" w:rsidRPr="00AE1D19">
        <w:rPr>
          <w:rFonts w:ascii="Garamond" w:hAnsi="Garamond"/>
        </w:rPr>
        <w:t>(Athukorala 2006)</w:t>
      </w:r>
      <w:r w:rsidR="00496FE5" w:rsidRPr="00AE1D19">
        <w:rPr>
          <w:rFonts w:ascii="Garamond" w:hAnsi="Garamond"/>
        </w:rPr>
        <w:fldChar w:fldCharType="end"/>
      </w:r>
      <w:r w:rsidRPr="00AE1D19">
        <w:rPr>
          <w:rFonts w:ascii="Garamond" w:hAnsi="Garamond"/>
        </w:rPr>
        <w:t>.</w:t>
      </w:r>
    </w:p>
    <w:p w:rsidR="00955B84" w:rsidRPr="00AE1D19" w:rsidRDefault="00955B84" w:rsidP="00955B84">
      <w:pPr>
        <w:jc w:val="both"/>
        <w:rPr>
          <w:rFonts w:ascii="Garamond" w:hAnsi="Garamond" w:cstheme="majorHAnsi"/>
        </w:rPr>
      </w:pPr>
    </w:p>
    <w:p w:rsidR="001025E8" w:rsidRPr="00AE1D19" w:rsidRDefault="00295549" w:rsidP="001025E8">
      <w:pPr>
        <w:jc w:val="both"/>
        <w:rPr>
          <w:rFonts w:ascii="Garamond" w:hAnsi="Garamond"/>
        </w:rPr>
      </w:pPr>
      <w:r>
        <w:rPr>
          <w:rFonts w:ascii="Garamond" w:hAnsi="Garamond"/>
        </w:rPr>
        <w:t>From the figure 4-2 to 4-6</w:t>
      </w:r>
      <w:r w:rsidR="006770FB" w:rsidRPr="00AE1D19">
        <w:rPr>
          <w:rFonts w:ascii="Garamond" w:hAnsi="Garamond"/>
        </w:rPr>
        <w:t xml:space="preserve"> we see that Indonesia principal commodity exports volume started to rise in the mid-1985 to 1990. The exports were also supported by the rise of the prices except for the tropical beverages commodity. Started in 1990 until 1997 most of those commodity exports </w:t>
      </w:r>
      <w:r w:rsidR="00CF6B74" w:rsidRPr="00AE1D19">
        <w:rPr>
          <w:rFonts w:ascii="Garamond" w:hAnsi="Garamond"/>
        </w:rPr>
        <w:t xml:space="preserve">volume </w:t>
      </w:r>
      <w:r w:rsidR="006770FB" w:rsidRPr="00AE1D19">
        <w:rPr>
          <w:rFonts w:ascii="Garamond" w:hAnsi="Garamond"/>
        </w:rPr>
        <w:t xml:space="preserve">were declining as they focus more on the manufacturing sector exports which also confirmed by figure 2 that the share of total merchandise exports value was dominated by the manufacturing sector exports. </w:t>
      </w:r>
      <w:r w:rsidR="001025E8" w:rsidRPr="00AE1D19">
        <w:rPr>
          <w:rFonts w:ascii="Garamond" w:hAnsi="Garamond"/>
        </w:rPr>
        <w:t>Manufacture sectors started to soar in the share of exports started in the 1990 where it had more than 50% of total merchandise exports in the mid-1990s. Base on the data we see that Indonesia reliance on commodity exports decrease over years which it was due to the development plan (</w:t>
      </w:r>
      <w:proofErr w:type="spellStart"/>
      <w:r w:rsidR="001025E8" w:rsidRPr="00AE1D19">
        <w:rPr>
          <w:rFonts w:ascii="Garamond" w:hAnsi="Garamond"/>
        </w:rPr>
        <w:t>Repelita</w:t>
      </w:r>
      <w:proofErr w:type="spellEnd"/>
      <w:r w:rsidR="001025E8" w:rsidRPr="00AE1D19">
        <w:rPr>
          <w:rFonts w:ascii="Garamond" w:hAnsi="Garamond"/>
        </w:rPr>
        <w:t>) that it objective was to develop its manufacture sectors.</w:t>
      </w:r>
    </w:p>
    <w:p w:rsidR="001025E8" w:rsidRDefault="001025E8" w:rsidP="001025E8">
      <w:pPr>
        <w:jc w:val="both"/>
        <w:rPr>
          <w:rFonts w:asciiTheme="majorHAnsi" w:hAnsiTheme="majorHAnsi"/>
          <w:sz w:val="22"/>
          <w:szCs w:val="22"/>
        </w:rPr>
      </w:pPr>
    </w:p>
    <w:p w:rsidR="001025E8" w:rsidRPr="00AE1D19" w:rsidRDefault="00A03A96" w:rsidP="001025E8">
      <w:pPr>
        <w:jc w:val="both"/>
        <w:rPr>
          <w:rFonts w:ascii="Garamond" w:hAnsi="Garamond"/>
          <w:i/>
        </w:rPr>
      </w:pPr>
      <w:r w:rsidRPr="00AE1D19">
        <w:rPr>
          <w:rFonts w:ascii="Garamond" w:hAnsi="Garamond"/>
          <w:i/>
        </w:rPr>
        <w:t>After 1999</w:t>
      </w:r>
    </w:p>
    <w:p w:rsidR="00AA466E" w:rsidRPr="00AE1D19" w:rsidRDefault="00AA466E" w:rsidP="001025E8">
      <w:pPr>
        <w:jc w:val="both"/>
        <w:rPr>
          <w:rFonts w:ascii="Garamond" w:hAnsi="Garamond"/>
        </w:rPr>
      </w:pPr>
      <w:r w:rsidRPr="00AE1D19">
        <w:rPr>
          <w:rFonts w:ascii="Garamond" w:hAnsi="Garamond"/>
        </w:rPr>
        <w:t xml:space="preserve">In the aftermath of Asian crisis, Indonesia exports recovery was still sluggish for the next 5 years. The average annual growth of non-oil commodity exports from 2000 to 2004 was only 8.7% compared to the pre-crisis period in 1990 to 1996 </w:t>
      </w:r>
      <w:r w:rsidR="00FB2B4A" w:rsidRPr="00AE1D19">
        <w:rPr>
          <w:rFonts w:ascii="Garamond" w:hAnsi="Garamond"/>
        </w:rPr>
        <w:t>while the manufacture exports average growth rate decline from 19.6% in pre-crisis period to 7.5% in the aftermath of the crisis</w:t>
      </w:r>
      <w:r w:rsidR="00496FE5" w:rsidRPr="00AE1D19">
        <w:rPr>
          <w:rFonts w:ascii="Garamond" w:hAnsi="Garamond"/>
        </w:rPr>
        <w:fldChar w:fldCharType="begin"/>
      </w:r>
      <w:r w:rsidR="00AE1D19" w:rsidRPr="00AE1D19">
        <w:rPr>
          <w:rFonts w:ascii="Garamond" w:hAnsi="Garamond"/>
        </w:rPr>
        <w:instrText>ADDIN RW.CITE{{215 Athukorala,PC 2006}}</w:instrText>
      </w:r>
      <w:r w:rsidR="00496FE5" w:rsidRPr="00AE1D19">
        <w:rPr>
          <w:rFonts w:ascii="Garamond" w:hAnsi="Garamond"/>
        </w:rPr>
        <w:fldChar w:fldCharType="separate"/>
      </w:r>
      <w:r w:rsidR="00AE1D19" w:rsidRPr="00AE1D19">
        <w:rPr>
          <w:rFonts w:ascii="Garamond" w:hAnsi="Garamond"/>
        </w:rPr>
        <w:t>(Athukorala 2006)</w:t>
      </w:r>
      <w:r w:rsidR="00496FE5" w:rsidRPr="00AE1D19">
        <w:rPr>
          <w:rFonts w:ascii="Garamond" w:hAnsi="Garamond"/>
        </w:rPr>
        <w:fldChar w:fldCharType="end"/>
      </w:r>
      <w:r w:rsidR="00FB2B4A" w:rsidRPr="00AE1D19">
        <w:rPr>
          <w:rFonts w:ascii="Garamond" w:hAnsi="Garamond"/>
        </w:rPr>
        <w:t>.</w:t>
      </w:r>
      <w:r w:rsidR="00745F05" w:rsidRPr="00AE1D19">
        <w:rPr>
          <w:rFonts w:ascii="Garamond" w:hAnsi="Garamond"/>
        </w:rPr>
        <w:t xml:space="preserve"> As confirm in table 5 data shows that total merchandise exports value didn’t rise significantly </w:t>
      </w:r>
      <w:r w:rsidR="000D6DFA" w:rsidRPr="00AE1D19">
        <w:rPr>
          <w:rFonts w:ascii="Garamond" w:hAnsi="Garamond"/>
        </w:rPr>
        <w:t>and fall in</w:t>
      </w:r>
      <w:r w:rsidR="00745F05" w:rsidRPr="00AE1D19">
        <w:rPr>
          <w:rFonts w:ascii="Garamond" w:hAnsi="Garamond"/>
        </w:rPr>
        <w:t xml:space="preserve"> </w:t>
      </w:r>
      <w:r w:rsidR="00295549">
        <w:rPr>
          <w:rFonts w:ascii="Garamond" w:hAnsi="Garamond"/>
        </w:rPr>
        <w:t>2001. In figure 4-2 to 4-6</w:t>
      </w:r>
      <w:r w:rsidR="000D6DFA" w:rsidRPr="00AE1D19">
        <w:rPr>
          <w:rFonts w:ascii="Garamond" w:hAnsi="Garamond"/>
        </w:rPr>
        <w:t xml:space="preserve"> they show that in the early 2000 the commodity prices has small contraction so even Indonesia commodity exports did increase but the value didn’t support by the</w:t>
      </w:r>
      <w:r w:rsidR="006D3FA5" w:rsidRPr="00AE1D19">
        <w:rPr>
          <w:rFonts w:ascii="Garamond" w:hAnsi="Garamond"/>
        </w:rPr>
        <w:t xml:space="preserve"> rise of</w:t>
      </w:r>
      <w:r w:rsidR="000D6DFA" w:rsidRPr="00AE1D19">
        <w:rPr>
          <w:rFonts w:ascii="Garamond" w:hAnsi="Garamond"/>
        </w:rPr>
        <w:t xml:space="preserve"> prices hence Indonesia exports during the early 2000s was disappointing.</w:t>
      </w:r>
      <w:r w:rsidR="005B32FF" w:rsidRPr="00AE1D19">
        <w:rPr>
          <w:rFonts w:ascii="Garamond" w:hAnsi="Garamond"/>
        </w:rPr>
        <w:t xml:space="preserve"> Moreover, when prices started to rise again in the late 2002 Indonesia failed to boost its commodity exports to earn the windfall revenue from the price rise.</w:t>
      </w:r>
    </w:p>
    <w:p w:rsidR="000D6DFA" w:rsidRPr="00AE1D19" w:rsidRDefault="000D6DFA" w:rsidP="001025E8">
      <w:pPr>
        <w:jc w:val="both"/>
        <w:rPr>
          <w:rFonts w:ascii="Garamond" w:hAnsi="Garamond"/>
        </w:rPr>
      </w:pPr>
    </w:p>
    <w:p w:rsidR="00712E4E" w:rsidRPr="00AE1D19" w:rsidRDefault="00324BFA" w:rsidP="001025E8">
      <w:pPr>
        <w:jc w:val="both"/>
        <w:rPr>
          <w:rFonts w:ascii="Garamond" w:hAnsi="Garamond"/>
        </w:rPr>
      </w:pPr>
      <w:r w:rsidRPr="00AE1D19">
        <w:rPr>
          <w:rFonts w:ascii="Garamond" w:hAnsi="Garamond"/>
        </w:rPr>
        <w:t>S</w:t>
      </w:r>
      <w:r w:rsidR="000D6DFA" w:rsidRPr="00AE1D19">
        <w:rPr>
          <w:rFonts w:ascii="Garamond" w:hAnsi="Garamond"/>
        </w:rPr>
        <w:t>tarted in 2005</w:t>
      </w:r>
      <w:r w:rsidR="00295549">
        <w:rPr>
          <w:rFonts w:ascii="Garamond" w:hAnsi="Garamond"/>
        </w:rPr>
        <w:t xml:space="preserve"> onwards, the data in figure 4-1</w:t>
      </w:r>
      <w:r w:rsidRPr="00AE1D19">
        <w:rPr>
          <w:rFonts w:ascii="Garamond" w:hAnsi="Garamond"/>
        </w:rPr>
        <w:t xml:space="preserve"> shows that the share of merchandise exports value of commodity rise gradually until 2010 but the data in figure </w:t>
      </w:r>
      <w:r w:rsidR="00295549">
        <w:rPr>
          <w:rFonts w:ascii="Garamond" w:hAnsi="Garamond"/>
        </w:rPr>
        <w:t>4-2 to 4-6</w:t>
      </w:r>
      <w:r w:rsidRPr="00AE1D19">
        <w:rPr>
          <w:rFonts w:ascii="Garamond" w:hAnsi="Garamond"/>
        </w:rPr>
        <w:t xml:space="preserve"> on the other hand shows that the growth of volume of commodity exports didn’t rise significantly as much as the value growth except in the Minerals, Ores and Metal Exports</w:t>
      </w:r>
      <w:r w:rsidR="00712E4E" w:rsidRPr="00AE1D19">
        <w:rPr>
          <w:rFonts w:ascii="Garamond" w:hAnsi="Garamond"/>
        </w:rPr>
        <w:t xml:space="preserve"> which rise in 2006 but fall after several years. </w:t>
      </w:r>
      <w:r w:rsidR="007B1BE9" w:rsidRPr="00AE1D19">
        <w:rPr>
          <w:rFonts w:ascii="Garamond" w:hAnsi="Garamond"/>
        </w:rPr>
        <w:t>This suggests</w:t>
      </w:r>
      <w:r w:rsidR="00712E4E" w:rsidRPr="00AE1D19">
        <w:rPr>
          <w:rFonts w:ascii="Garamond" w:hAnsi="Garamond"/>
        </w:rPr>
        <w:t xml:space="preserve"> that the share of commodity exports value that exceed the manufacture sector wasn’t due to the rise in volume exports but the incident of price rises.</w:t>
      </w:r>
    </w:p>
    <w:p w:rsidR="00712E4E" w:rsidRPr="00AE1D19" w:rsidRDefault="00712E4E" w:rsidP="001025E8">
      <w:pPr>
        <w:jc w:val="both"/>
        <w:rPr>
          <w:rFonts w:ascii="Garamond" w:hAnsi="Garamond"/>
        </w:rPr>
      </w:pPr>
    </w:p>
    <w:p w:rsidR="001025E8" w:rsidRPr="006D3FA5" w:rsidRDefault="00EF72F1" w:rsidP="001025E8">
      <w:pPr>
        <w:jc w:val="both"/>
        <w:rPr>
          <w:rFonts w:asciiTheme="majorHAnsi" w:hAnsiTheme="majorHAnsi"/>
        </w:rPr>
      </w:pPr>
      <w:r w:rsidRPr="00AE1D19">
        <w:rPr>
          <w:rFonts w:ascii="Garamond" w:hAnsi="Garamond"/>
        </w:rPr>
        <w:t xml:space="preserve">The data from the figures and tables shows that there was no strong evidence of Dutch disease that channels through resource movement from lagging manufacture sector to booming commodity sector that argues commodity dependency tend cause a country to undermine manufacture sectors and the staple trap concept that argues commodity dependent countries would likely to </w:t>
      </w:r>
      <w:r w:rsidRPr="00AE1D19">
        <w:rPr>
          <w:rFonts w:ascii="Garamond" w:hAnsi="Garamond"/>
        </w:rPr>
        <w:lastRenderedPageBreak/>
        <w:t>keep producing raw materials and hinder industri</w:t>
      </w:r>
      <w:r w:rsidR="00295549">
        <w:rPr>
          <w:rFonts w:ascii="Garamond" w:hAnsi="Garamond"/>
        </w:rPr>
        <w:t>alization process. From figure 4-1</w:t>
      </w:r>
      <w:r w:rsidRPr="00AE1D19">
        <w:rPr>
          <w:rFonts w:ascii="Garamond" w:hAnsi="Garamond"/>
        </w:rPr>
        <w:t xml:space="preserve"> we see how the share of manufacture exports started to rise gradually started in 1985. Suppo</w:t>
      </w:r>
      <w:r w:rsidR="00953411">
        <w:rPr>
          <w:rFonts w:ascii="Garamond" w:hAnsi="Garamond"/>
        </w:rPr>
        <w:t>rted also by the data in table 4-1</w:t>
      </w:r>
      <w:r w:rsidRPr="00AE1D19">
        <w:rPr>
          <w:rFonts w:ascii="Garamond" w:hAnsi="Garamond"/>
        </w:rPr>
        <w:t xml:space="preserve"> that shows </w:t>
      </w:r>
      <w:r w:rsidR="008266FC" w:rsidRPr="00AE1D19">
        <w:rPr>
          <w:rFonts w:ascii="Garamond" w:hAnsi="Garamond"/>
        </w:rPr>
        <w:t>the share of manufacture exports were high in the early 2000s but the contraction of the share in the late 2000s was due to the rise in commodity prices that raise the percentage value of commodity exports</w:t>
      </w:r>
      <w:r w:rsidR="00CF6B74" w:rsidRPr="00AE1D19">
        <w:rPr>
          <w:rFonts w:ascii="Garamond" w:hAnsi="Garamond"/>
        </w:rPr>
        <w:t xml:space="preserve"> while figure </w:t>
      </w:r>
      <w:r w:rsidR="00295549">
        <w:rPr>
          <w:rFonts w:ascii="Garamond" w:hAnsi="Garamond"/>
        </w:rPr>
        <w:t>4-2</w:t>
      </w:r>
      <w:r w:rsidR="00CF6B74" w:rsidRPr="00AE1D19">
        <w:rPr>
          <w:rFonts w:ascii="Garamond" w:hAnsi="Garamond"/>
        </w:rPr>
        <w:t xml:space="preserve"> </w:t>
      </w:r>
      <w:r w:rsidR="00295549">
        <w:rPr>
          <w:rFonts w:ascii="Garamond" w:hAnsi="Garamond"/>
        </w:rPr>
        <w:t xml:space="preserve">to 4-6 </w:t>
      </w:r>
      <w:r w:rsidR="00CF6B74" w:rsidRPr="00AE1D19">
        <w:rPr>
          <w:rFonts w:ascii="Garamond" w:hAnsi="Garamond"/>
        </w:rPr>
        <w:t>shows that the volume exports of commodity declining</w:t>
      </w:r>
      <w:r w:rsidR="008266FC" w:rsidRPr="00AE1D19">
        <w:rPr>
          <w:rFonts w:ascii="Garamond" w:hAnsi="Garamond"/>
        </w:rPr>
        <w:t>.</w:t>
      </w:r>
    </w:p>
    <w:p w:rsidR="001025E8" w:rsidRDefault="00953411" w:rsidP="008266FC">
      <w:pPr>
        <w:jc w:val="center"/>
        <w:rPr>
          <w:rFonts w:asciiTheme="majorHAnsi" w:hAnsiTheme="majorHAnsi"/>
          <w:sz w:val="20"/>
          <w:szCs w:val="20"/>
        </w:rPr>
      </w:pPr>
      <w:r>
        <w:rPr>
          <w:rFonts w:asciiTheme="majorHAnsi" w:hAnsiTheme="majorHAnsi"/>
          <w:sz w:val="20"/>
          <w:szCs w:val="20"/>
        </w:rPr>
        <w:t>Table 4-1</w:t>
      </w:r>
    </w:p>
    <w:p w:rsidR="00324BFA" w:rsidRDefault="00324BFA" w:rsidP="008266FC">
      <w:pPr>
        <w:jc w:val="center"/>
        <w:rPr>
          <w:rFonts w:asciiTheme="majorHAnsi" w:hAnsiTheme="majorHAnsi"/>
          <w:sz w:val="20"/>
          <w:szCs w:val="20"/>
        </w:rPr>
      </w:pPr>
      <w:r w:rsidRPr="00721C1F">
        <w:rPr>
          <w:rFonts w:asciiTheme="majorHAnsi" w:hAnsiTheme="majorHAnsi"/>
          <w:sz w:val="20"/>
          <w:szCs w:val="20"/>
        </w:rPr>
        <w:t>Export</w:t>
      </w:r>
      <w:r>
        <w:rPr>
          <w:rFonts w:asciiTheme="majorHAnsi" w:hAnsiTheme="majorHAnsi"/>
          <w:sz w:val="20"/>
          <w:szCs w:val="20"/>
        </w:rPr>
        <w:t>s</w:t>
      </w:r>
      <w:r w:rsidRPr="00721C1F">
        <w:rPr>
          <w:rFonts w:asciiTheme="majorHAnsi" w:hAnsiTheme="majorHAnsi"/>
          <w:sz w:val="20"/>
          <w:szCs w:val="20"/>
        </w:rPr>
        <w:t xml:space="preserve"> Composition in 2000 </w:t>
      </w:r>
      <w:r>
        <w:rPr>
          <w:rFonts w:asciiTheme="majorHAnsi" w:hAnsiTheme="majorHAnsi"/>
          <w:sz w:val="20"/>
          <w:szCs w:val="20"/>
        </w:rPr>
        <w:t>–</w:t>
      </w:r>
      <w:r w:rsidRPr="00721C1F">
        <w:rPr>
          <w:rFonts w:asciiTheme="majorHAnsi" w:hAnsiTheme="majorHAnsi"/>
          <w:sz w:val="20"/>
          <w:szCs w:val="20"/>
        </w:rPr>
        <w:t xml:space="preserve"> 2010</w:t>
      </w:r>
    </w:p>
    <w:tbl>
      <w:tblPr>
        <w:tblW w:w="8895" w:type="dxa"/>
        <w:tblInd w:w="-867" w:type="dxa"/>
        <w:tblLayout w:type="fixed"/>
        <w:tblLook w:val="04A0"/>
      </w:tblPr>
      <w:tblGrid>
        <w:gridCol w:w="615"/>
        <w:gridCol w:w="1260"/>
        <w:gridCol w:w="990"/>
        <w:gridCol w:w="900"/>
        <w:gridCol w:w="1080"/>
        <w:gridCol w:w="1260"/>
        <w:gridCol w:w="894"/>
        <w:gridCol w:w="906"/>
        <w:gridCol w:w="990"/>
      </w:tblGrid>
      <w:tr w:rsidR="00324BFA" w:rsidRPr="00324BFA" w:rsidTr="00415014">
        <w:trPr>
          <w:trHeight w:val="1080"/>
        </w:trPr>
        <w:tc>
          <w:tcPr>
            <w:tcW w:w="6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Year </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Agricultural raw materials exports (% of merchandise exports) </w:t>
            </w:r>
          </w:p>
        </w:tc>
        <w:tc>
          <w:tcPr>
            <w:tcW w:w="99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Food exports (% of merchandise exports) </w:t>
            </w:r>
          </w:p>
        </w:tc>
        <w:tc>
          <w:tcPr>
            <w:tcW w:w="90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Fuel exports (% of merchandise exports) </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Ores and metals exports (% of merchandise exports) </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Manufactures exports (% of merchandise exports) </w:t>
            </w:r>
          </w:p>
        </w:tc>
        <w:tc>
          <w:tcPr>
            <w:tcW w:w="894"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Merchandise exports (current US$) </w:t>
            </w:r>
          </w:p>
        </w:tc>
        <w:tc>
          <w:tcPr>
            <w:tcW w:w="906"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Commodity Exports Value (% Change) </w:t>
            </w:r>
          </w:p>
        </w:tc>
        <w:tc>
          <w:tcPr>
            <w:tcW w:w="990" w:type="dxa"/>
            <w:tcBorders>
              <w:top w:val="single" w:sz="4" w:space="0" w:color="auto"/>
              <w:left w:val="nil"/>
              <w:bottom w:val="single" w:sz="4" w:space="0" w:color="auto"/>
              <w:right w:val="single" w:sz="4" w:space="0" w:color="auto"/>
            </w:tcBorders>
            <w:shd w:val="clear" w:color="auto" w:fill="auto"/>
            <w:vAlign w:val="bottom"/>
            <w:hideMark/>
          </w:tcPr>
          <w:p w:rsidR="00324BFA" w:rsidRPr="00324BFA" w:rsidRDefault="00324BFA" w:rsidP="00324BFA">
            <w:pPr>
              <w:rPr>
                <w:rFonts w:ascii="Cambria" w:eastAsia="Times New Roman" w:hAnsi="Cambria"/>
                <w:color w:val="000000"/>
                <w:sz w:val="16"/>
                <w:szCs w:val="16"/>
              </w:rPr>
            </w:pPr>
            <w:r w:rsidRPr="00324BFA">
              <w:rPr>
                <w:rFonts w:ascii="Cambria" w:eastAsia="Times New Roman" w:hAnsi="Cambria"/>
                <w:color w:val="000000"/>
                <w:sz w:val="16"/>
                <w:szCs w:val="16"/>
              </w:rPr>
              <w:t xml:space="preserve"> Manufactures Exports Value (% Change) </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1999</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4%</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12%</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23%</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5%</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54%</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libri" w:eastAsia="Times New Roman" w:hAnsi="Calibri"/>
                <w:color w:val="000000"/>
                <w:sz w:val="16"/>
                <w:szCs w:val="16"/>
              </w:rPr>
            </w:pPr>
            <w:r w:rsidRPr="00324BFA">
              <w:rPr>
                <w:rFonts w:ascii="Calibri" w:eastAsia="Times New Roman" w:hAnsi="Calibri"/>
                <w:color w:val="000000"/>
                <w:sz w:val="16"/>
                <w:szCs w:val="16"/>
              </w:rPr>
              <w:t>51,243</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Arial" w:eastAsia="Times New Roman" w:hAnsi="Arial" w:cs="Arial"/>
                <w:sz w:val="16"/>
                <w:szCs w:val="16"/>
              </w:rPr>
            </w:pPr>
            <w:r w:rsidRPr="00324BFA">
              <w:rPr>
                <w:rFonts w:ascii="Arial" w:eastAsia="Times New Roman" w:hAnsi="Arial" w:cs="Arial"/>
                <w:sz w:val="16"/>
                <w:szCs w:val="16"/>
              </w:rPr>
              <w:t>15%</w:t>
            </w:r>
          </w:p>
        </w:tc>
        <w:tc>
          <w:tcPr>
            <w:tcW w:w="990" w:type="dxa"/>
            <w:tcBorders>
              <w:top w:val="nil"/>
              <w:left w:val="nil"/>
              <w:bottom w:val="single" w:sz="4" w:space="0" w:color="auto"/>
              <w:right w:val="single" w:sz="4" w:space="0" w:color="auto"/>
            </w:tcBorders>
            <w:shd w:val="clear" w:color="auto" w:fill="auto"/>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2000</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9%</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25%</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57%</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65,403</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28%</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2001</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9%</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26%</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56%</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57,361</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-10%</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-12%</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2002</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12%</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24%</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54%</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59,166</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2003</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11%</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26%</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52%</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64,108</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16%</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8%</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2004</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12%</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26%</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50%</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70,767</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13%</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10%</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2005</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12%</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28%</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8%</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47%</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86,996</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33%</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23%</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2006</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12%</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27%</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10%</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45%</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103,527</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23%</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19%</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2007</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15%</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25%</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11%</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43%</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118,013</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18%</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14%</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2008</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6%</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18%</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29%</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8%</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39%</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139,606</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27%</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18%</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2009</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5%</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17%</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28%</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9%</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41%</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119,646</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-17%</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-14%</w:t>
            </w:r>
          </w:p>
        </w:tc>
      </w:tr>
      <w:tr w:rsidR="00324BFA" w:rsidRPr="00324BFA" w:rsidTr="00415014">
        <w:trPr>
          <w:trHeight w:val="300"/>
        </w:trPr>
        <w:tc>
          <w:tcPr>
            <w:tcW w:w="615" w:type="dxa"/>
            <w:tcBorders>
              <w:top w:val="nil"/>
              <w:left w:val="single" w:sz="4" w:space="0" w:color="auto"/>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2010</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7%</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16%</w:t>
            </w:r>
          </w:p>
        </w:tc>
        <w:tc>
          <w:tcPr>
            <w:tcW w:w="90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30%</w:t>
            </w:r>
          </w:p>
        </w:tc>
        <w:tc>
          <w:tcPr>
            <w:tcW w:w="108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10%</w:t>
            </w:r>
          </w:p>
        </w:tc>
        <w:tc>
          <w:tcPr>
            <w:tcW w:w="126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37%</w:t>
            </w:r>
          </w:p>
        </w:tc>
        <w:tc>
          <w:tcPr>
            <w:tcW w:w="894"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158,074</w:t>
            </w:r>
          </w:p>
        </w:tc>
        <w:tc>
          <w:tcPr>
            <w:tcW w:w="906"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41%</w:t>
            </w:r>
          </w:p>
        </w:tc>
        <w:tc>
          <w:tcPr>
            <w:tcW w:w="990" w:type="dxa"/>
            <w:tcBorders>
              <w:top w:val="nil"/>
              <w:left w:val="nil"/>
              <w:bottom w:val="single" w:sz="4" w:space="0" w:color="auto"/>
              <w:right w:val="single" w:sz="4" w:space="0" w:color="auto"/>
            </w:tcBorders>
            <w:shd w:val="clear" w:color="auto" w:fill="auto"/>
            <w:noWrap/>
            <w:vAlign w:val="bottom"/>
            <w:hideMark/>
          </w:tcPr>
          <w:p w:rsidR="00324BFA" w:rsidRPr="00324BFA" w:rsidRDefault="00324BFA" w:rsidP="00324BFA">
            <w:pPr>
              <w:jc w:val="right"/>
              <w:rPr>
                <w:rFonts w:ascii="Cambria" w:eastAsia="Times New Roman" w:hAnsi="Cambria"/>
                <w:color w:val="000000"/>
                <w:sz w:val="16"/>
                <w:szCs w:val="16"/>
              </w:rPr>
            </w:pPr>
            <w:r w:rsidRPr="00324BFA">
              <w:rPr>
                <w:rFonts w:ascii="Cambria" w:eastAsia="Times New Roman" w:hAnsi="Cambria"/>
                <w:color w:val="000000"/>
                <w:sz w:val="16"/>
                <w:szCs w:val="16"/>
              </w:rPr>
              <w:t>32%</w:t>
            </w:r>
          </w:p>
        </w:tc>
      </w:tr>
    </w:tbl>
    <w:p w:rsidR="001025E8" w:rsidRPr="00415014" w:rsidRDefault="001025E8" w:rsidP="00415014">
      <w:pPr>
        <w:rPr>
          <w:rFonts w:asciiTheme="majorHAnsi" w:hAnsiTheme="majorHAnsi" w:cstheme="majorHAnsi"/>
          <w:i/>
          <w:sz w:val="18"/>
          <w:szCs w:val="18"/>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1025E8" w:rsidRPr="00415014" w:rsidRDefault="00415014" w:rsidP="001025E8">
      <w:pPr>
        <w:pStyle w:val="Heading3"/>
        <w:rPr>
          <w:rFonts w:ascii="Garamond" w:hAnsi="Garamond"/>
          <w:sz w:val="26"/>
          <w:szCs w:val="26"/>
        </w:rPr>
      </w:pPr>
      <w:bookmarkStart w:id="52" w:name="_Toc343007197"/>
      <w:r w:rsidRPr="00415014">
        <w:rPr>
          <w:rFonts w:ascii="Garamond" w:hAnsi="Garamond"/>
          <w:color w:val="auto"/>
          <w:sz w:val="26"/>
          <w:szCs w:val="26"/>
        </w:rPr>
        <w:t>4.2.2</w:t>
      </w:r>
      <w:r w:rsidR="00CC5742" w:rsidRPr="00415014">
        <w:rPr>
          <w:rFonts w:ascii="Garamond" w:hAnsi="Garamond"/>
          <w:color w:val="auto"/>
          <w:sz w:val="26"/>
          <w:szCs w:val="26"/>
        </w:rPr>
        <w:t xml:space="preserve"> Dependence on commodity i</w:t>
      </w:r>
      <w:r w:rsidR="001025E8" w:rsidRPr="00415014">
        <w:rPr>
          <w:rFonts w:ascii="Garamond" w:hAnsi="Garamond"/>
          <w:color w:val="auto"/>
          <w:sz w:val="26"/>
          <w:szCs w:val="26"/>
        </w:rPr>
        <w:t>mports</w:t>
      </w:r>
      <w:bookmarkEnd w:id="52"/>
    </w:p>
    <w:p w:rsidR="001025E8" w:rsidRPr="00415014" w:rsidRDefault="001025E8" w:rsidP="001025E8">
      <w:pPr>
        <w:jc w:val="both"/>
        <w:rPr>
          <w:rFonts w:ascii="Garamond" w:hAnsi="Garamond"/>
        </w:rPr>
      </w:pPr>
      <w:r w:rsidRPr="00415014">
        <w:rPr>
          <w:rFonts w:ascii="Garamond" w:hAnsi="Garamond"/>
        </w:rPr>
        <w:t xml:space="preserve">Indonesia as natural resource abundant county rarely imports primary commodity. Base on the data in UNCTAD commodity yearbook, Indonesia only imported </w:t>
      </w:r>
      <w:r w:rsidR="00996B40" w:rsidRPr="00415014">
        <w:rPr>
          <w:rFonts w:ascii="Garamond" w:hAnsi="Garamond"/>
        </w:rPr>
        <w:t>a few</w:t>
      </w:r>
      <w:r w:rsidRPr="00415014">
        <w:rPr>
          <w:rFonts w:ascii="Garamond" w:hAnsi="Garamond"/>
        </w:rPr>
        <w:t xml:space="preserve"> primary commodities such as raw c</w:t>
      </w:r>
      <w:r w:rsidR="000F39F9" w:rsidRPr="00415014">
        <w:rPr>
          <w:rFonts w:ascii="Garamond" w:hAnsi="Garamond"/>
        </w:rPr>
        <w:t>otton, and sugar and honey</w:t>
      </w:r>
      <w:r w:rsidRPr="00415014">
        <w:rPr>
          <w:rFonts w:ascii="Garamond" w:hAnsi="Garamond"/>
        </w:rPr>
        <w:t>.</w:t>
      </w:r>
      <w:r w:rsidR="00996B40" w:rsidRPr="00415014">
        <w:rPr>
          <w:rFonts w:ascii="Garamond" w:hAnsi="Garamond"/>
        </w:rPr>
        <w:t xml:space="preserve"> However, started in 2004 Indonesia became net importer of oil and </w:t>
      </w:r>
      <w:r w:rsidR="006E5F6D" w:rsidRPr="00415014">
        <w:rPr>
          <w:rFonts w:ascii="Garamond" w:hAnsi="Garamond"/>
        </w:rPr>
        <w:t xml:space="preserve">effectively in January 2009 suspended </w:t>
      </w:r>
      <w:r w:rsidR="0086197C" w:rsidRPr="00415014">
        <w:rPr>
          <w:rFonts w:ascii="Garamond" w:hAnsi="Garamond"/>
        </w:rPr>
        <w:t>its membership in OPEC as its import of oil exceeds</w:t>
      </w:r>
      <w:r w:rsidR="006E5F6D" w:rsidRPr="00415014">
        <w:rPr>
          <w:rFonts w:ascii="Garamond" w:hAnsi="Garamond"/>
        </w:rPr>
        <w:t xml:space="preserve"> its exports </w:t>
      </w:r>
      <w:r w:rsidR="00496FE5" w:rsidRPr="00415014">
        <w:rPr>
          <w:rFonts w:ascii="Garamond" w:hAnsi="Garamond"/>
        </w:rPr>
        <w:fldChar w:fldCharType="begin"/>
      </w:r>
      <w:r w:rsidR="00415014" w:rsidRPr="00415014">
        <w:rPr>
          <w:rFonts w:ascii="Garamond" w:hAnsi="Garamond"/>
        </w:rPr>
        <w:instrText>ADDIN RW.CITE{{216 EnergyInformationAdministration 2011}}</w:instrText>
      </w:r>
      <w:r w:rsidR="00496FE5" w:rsidRPr="00415014">
        <w:rPr>
          <w:rFonts w:ascii="Garamond" w:hAnsi="Garamond"/>
        </w:rPr>
        <w:fldChar w:fldCharType="separate"/>
      </w:r>
      <w:r w:rsidR="00415014" w:rsidRPr="00415014">
        <w:rPr>
          <w:rFonts w:ascii="Garamond" w:hAnsi="Garamond"/>
        </w:rPr>
        <w:t>(Energy Information Administration 2011)</w:t>
      </w:r>
      <w:r w:rsidR="00496FE5" w:rsidRPr="00415014">
        <w:rPr>
          <w:rFonts w:ascii="Garamond" w:hAnsi="Garamond"/>
        </w:rPr>
        <w:fldChar w:fldCharType="end"/>
      </w:r>
    </w:p>
    <w:p w:rsidR="001025E8" w:rsidRDefault="001025E8" w:rsidP="001025E8">
      <w:pPr>
        <w:jc w:val="both"/>
        <w:rPr>
          <w:rFonts w:asciiTheme="majorHAnsi" w:hAnsiTheme="majorHAnsi"/>
          <w:i/>
          <w:sz w:val="20"/>
          <w:szCs w:val="20"/>
        </w:rPr>
      </w:pPr>
    </w:p>
    <w:p w:rsidR="001025E8" w:rsidRPr="000F7387" w:rsidRDefault="00226527" w:rsidP="001025E8">
      <w:pPr>
        <w:jc w:val="center"/>
        <w:rPr>
          <w:rFonts w:asciiTheme="majorHAnsi" w:hAnsiTheme="majorHAnsi"/>
          <w:sz w:val="20"/>
          <w:szCs w:val="20"/>
        </w:rPr>
      </w:pPr>
      <w:r>
        <w:rPr>
          <w:rFonts w:asciiTheme="majorHAnsi" w:hAnsiTheme="majorHAnsi"/>
          <w:sz w:val="20"/>
          <w:szCs w:val="20"/>
        </w:rPr>
        <w:t>Table 4</w:t>
      </w:r>
      <w:r w:rsidR="00953411">
        <w:rPr>
          <w:rFonts w:asciiTheme="majorHAnsi" w:hAnsiTheme="majorHAnsi"/>
          <w:sz w:val="20"/>
          <w:szCs w:val="20"/>
        </w:rPr>
        <w:t>-2</w:t>
      </w:r>
    </w:p>
    <w:p w:rsidR="001025E8" w:rsidRDefault="001025E8" w:rsidP="001025E8">
      <w:pPr>
        <w:jc w:val="center"/>
        <w:rPr>
          <w:rFonts w:asciiTheme="majorHAnsi" w:hAnsiTheme="majorHAnsi"/>
          <w:sz w:val="20"/>
          <w:szCs w:val="20"/>
        </w:rPr>
      </w:pPr>
      <w:r>
        <w:rPr>
          <w:rFonts w:asciiTheme="majorHAnsi" w:hAnsiTheme="majorHAnsi"/>
          <w:sz w:val="20"/>
          <w:szCs w:val="20"/>
        </w:rPr>
        <w:t>Ten Years Average Share of Commodity Imports</w:t>
      </w:r>
      <w:r w:rsidR="00CC5742">
        <w:rPr>
          <w:rFonts w:asciiTheme="majorHAnsi" w:hAnsiTheme="majorHAnsi"/>
          <w:sz w:val="20"/>
          <w:szCs w:val="20"/>
        </w:rPr>
        <w:t xml:space="preserve"> Value</w:t>
      </w:r>
      <w:r>
        <w:rPr>
          <w:rFonts w:asciiTheme="majorHAnsi" w:hAnsiTheme="majorHAnsi"/>
          <w:sz w:val="20"/>
          <w:szCs w:val="20"/>
        </w:rPr>
        <w:t xml:space="preserve"> of Total Merchandise Imports in 1970 - 2010</w:t>
      </w:r>
    </w:p>
    <w:tbl>
      <w:tblPr>
        <w:tblW w:w="7305" w:type="dxa"/>
        <w:tblInd w:w="96" w:type="dxa"/>
        <w:tblLook w:val="04A0"/>
      </w:tblPr>
      <w:tblGrid>
        <w:gridCol w:w="1124"/>
        <w:gridCol w:w="2218"/>
        <w:gridCol w:w="2160"/>
        <w:gridCol w:w="1803"/>
      </w:tblGrid>
      <w:tr w:rsidR="001025E8" w:rsidRPr="000F7387" w:rsidTr="00415014">
        <w:trPr>
          <w:trHeight w:val="756"/>
        </w:trPr>
        <w:tc>
          <w:tcPr>
            <w:tcW w:w="11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0F7387" w:rsidRDefault="001025E8" w:rsidP="001025E8">
            <w:pPr>
              <w:rPr>
                <w:rFonts w:ascii="Calibri" w:eastAsia="Times New Roman" w:hAnsi="Calibri" w:cs="Calibri"/>
                <w:color w:val="000000"/>
                <w:sz w:val="18"/>
                <w:szCs w:val="18"/>
              </w:rPr>
            </w:pPr>
            <w:r>
              <w:rPr>
                <w:rFonts w:ascii="Calibri" w:eastAsia="Times New Roman" w:hAnsi="Calibri" w:cs="Calibri"/>
                <w:color w:val="000000"/>
                <w:sz w:val="18"/>
                <w:szCs w:val="18"/>
              </w:rPr>
              <w:t xml:space="preserve">Year </w:t>
            </w:r>
          </w:p>
        </w:tc>
        <w:tc>
          <w:tcPr>
            <w:tcW w:w="2218" w:type="dxa"/>
            <w:tcBorders>
              <w:top w:val="single" w:sz="4" w:space="0" w:color="auto"/>
              <w:left w:val="nil"/>
              <w:bottom w:val="single" w:sz="4" w:space="0" w:color="auto"/>
              <w:right w:val="single" w:sz="4" w:space="0" w:color="auto"/>
            </w:tcBorders>
            <w:shd w:val="clear" w:color="auto" w:fill="auto"/>
            <w:vAlign w:val="bottom"/>
            <w:hideMark/>
          </w:tcPr>
          <w:p w:rsidR="001025E8" w:rsidRPr="000F7387" w:rsidRDefault="001025E8" w:rsidP="001025E8">
            <w:pPr>
              <w:rPr>
                <w:rFonts w:ascii="Calibri" w:eastAsia="Times New Roman" w:hAnsi="Calibri" w:cs="Calibri"/>
                <w:color w:val="000000"/>
                <w:sz w:val="18"/>
                <w:szCs w:val="18"/>
              </w:rPr>
            </w:pPr>
            <w:r>
              <w:rPr>
                <w:rFonts w:ascii="Calibri" w:eastAsia="Times New Roman" w:hAnsi="Calibri" w:cs="Calibri"/>
                <w:color w:val="000000"/>
                <w:sz w:val="18"/>
                <w:szCs w:val="18"/>
              </w:rPr>
              <w:t xml:space="preserve"> Total Merchandise Imports Value (in Millions US$) </w:t>
            </w:r>
          </w:p>
        </w:tc>
        <w:tc>
          <w:tcPr>
            <w:tcW w:w="2160" w:type="dxa"/>
            <w:tcBorders>
              <w:top w:val="single" w:sz="4" w:space="0" w:color="auto"/>
              <w:left w:val="nil"/>
              <w:bottom w:val="single" w:sz="4" w:space="0" w:color="auto"/>
              <w:right w:val="single" w:sz="4" w:space="0" w:color="auto"/>
            </w:tcBorders>
            <w:shd w:val="clear" w:color="auto" w:fill="auto"/>
            <w:vAlign w:val="bottom"/>
            <w:hideMark/>
          </w:tcPr>
          <w:p w:rsidR="001025E8" w:rsidRPr="000F7387" w:rsidRDefault="001025E8" w:rsidP="001025E8">
            <w:pPr>
              <w:rPr>
                <w:rFonts w:ascii="Calibri" w:eastAsia="Times New Roman" w:hAnsi="Calibri" w:cs="Calibri"/>
                <w:color w:val="000000"/>
                <w:sz w:val="18"/>
                <w:szCs w:val="18"/>
              </w:rPr>
            </w:pPr>
            <w:r>
              <w:rPr>
                <w:rFonts w:ascii="Calibri" w:eastAsia="Times New Roman" w:hAnsi="Calibri" w:cs="Calibri"/>
                <w:color w:val="000000"/>
                <w:sz w:val="18"/>
                <w:szCs w:val="18"/>
              </w:rPr>
              <w:t xml:space="preserve"> Commodity Imports Value (in Current Millions US$) </w:t>
            </w:r>
          </w:p>
        </w:tc>
        <w:tc>
          <w:tcPr>
            <w:tcW w:w="1803" w:type="dxa"/>
            <w:tcBorders>
              <w:top w:val="single" w:sz="4" w:space="0" w:color="auto"/>
              <w:left w:val="nil"/>
              <w:bottom w:val="single" w:sz="4" w:space="0" w:color="auto"/>
              <w:right w:val="single" w:sz="4" w:space="0" w:color="auto"/>
            </w:tcBorders>
            <w:shd w:val="clear" w:color="auto" w:fill="auto"/>
            <w:vAlign w:val="bottom"/>
            <w:hideMark/>
          </w:tcPr>
          <w:p w:rsidR="001025E8" w:rsidRPr="000F7387" w:rsidRDefault="001025E8" w:rsidP="001025E8">
            <w:pPr>
              <w:rPr>
                <w:rFonts w:ascii="Calibri" w:eastAsia="Times New Roman" w:hAnsi="Calibri" w:cs="Calibri"/>
                <w:color w:val="000000"/>
                <w:sz w:val="18"/>
                <w:szCs w:val="18"/>
              </w:rPr>
            </w:pPr>
            <w:r>
              <w:rPr>
                <w:rFonts w:ascii="Calibri" w:eastAsia="Times New Roman" w:hAnsi="Calibri" w:cs="Calibri"/>
                <w:color w:val="000000"/>
                <w:sz w:val="18"/>
                <w:szCs w:val="18"/>
              </w:rPr>
              <w:t xml:space="preserve"> % of Commodity Imports of Total Merchandise Imports </w:t>
            </w:r>
          </w:p>
        </w:tc>
      </w:tr>
      <w:tr w:rsidR="001025E8" w:rsidRPr="000F7387" w:rsidTr="00415014">
        <w:trPr>
          <w:trHeight w:val="308"/>
        </w:trPr>
        <w:tc>
          <w:tcPr>
            <w:tcW w:w="1124" w:type="dxa"/>
            <w:tcBorders>
              <w:top w:val="nil"/>
              <w:left w:val="single" w:sz="4" w:space="0" w:color="auto"/>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1970 - 1979 </w:t>
            </w:r>
          </w:p>
        </w:tc>
        <w:tc>
          <w:tcPr>
            <w:tcW w:w="2218"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4,080 </w:t>
            </w:r>
          </w:p>
        </w:tc>
        <w:tc>
          <w:tcPr>
            <w:tcW w:w="2160"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1,127 </w:t>
            </w:r>
          </w:p>
        </w:tc>
        <w:tc>
          <w:tcPr>
            <w:tcW w:w="1803"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jc w:val="right"/>
              <w:rPr>
                <w:rFonts w:ascii="Calibri" w:eastAsia="Times New Roman" w:hAnsi="Calibri" w:cs="Calibri"/>
                <w:color w:val="000000"/>
                <w:sz w:val="18"/>
                <w:szCs w:val="18"/>
              </w:rPr>
            </w:pPr>
            <w:r w:rsidRPr="00721C1F">
              <w:rPr>
                <w:rFonts w:ascii="Calibri" w:eastAsia="Times New Roman" w:hAnsi="Calibri" w:cs="Calibri"/>
                <w:color w:val="000000"/>
                <w:sz w:val="18"/>
                <w:szCs w:val="18"/>
              </w:rPr>
              <w:t>28%</w:t>
            </w:r>
          </w:p>
        </w:tc>
      </w:tr>
      <w:tr w:rsidR="001025E8" w:rsidRPr="000F7387" w:rsidTr="00415014">
        <w:trPr>
          <w:trHeight w:val="308"/>
        </w:trPr>
        <w:tc>
          <w:tcPr>
            <w:tcW w:w="1124" w:type="dxa"/>
            <w:tcBorders>
              <w:top w:val="nil"/>
              <w:left w:val="single" w:sz="4" w:space="0" w:color="auto"/>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1980 - 1989 </w:t>
            </w:r>
          </w:p>
        </w:tc>
        <w:tc>
          <w:tcPr>
            <w:tcW w:w="2218"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13,476 </w:t>
            </w:r>
          </w:p>
        </w:tc>
        <w:tc>
          <w:tcPr>
            <w:tcW w:w="2160"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4,019 </w:t>
            </w:r>
          </w:p>
        </w:tc>
        <w:tc>
          <w:tcPr>
            <w:tcW w:w="1803"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jc w:val="right"/>
              <w:rPr>
                <w:rFonts w:ascii="Calibri" w:eastAsia="Times New Roman" w:hAnsi="Calibri" w:cs="Calibri"/>
                <w:color w:val="000000"/>
                <w:sz w:val="18"/>
                <w:szCs w:val="18"/>
              </w:rPr>
            </w:pPr>
            <w:r w:rsidRPr="00721C1F">
              <w:rPr>
                <w:rFonts w:ascii="Calibri" w:eastAsia="Times New Roman" w:hAnsi="Calibri" w:cs="Calibri"/>
                <w:color w:val="000000"/>
                <w:sz w:val="18"/>
                <w:szCs w:val="18"/>
              </w:rPr>
              <w:t>30%</w:t>
            </w:r>
          </w:p>
        </w:tc>
      </w:tr>
      <w:tr w:rsidR="001025E8" w:rsidRPr="000F7387" w:rsidTr="00415014">
        <w:trPr>
          <w:trHeight w:val="308"/>
        </w:trPr>
        <w:tc>
          <w:tcPr>
            <w:tcW w:w="1124" w:type="dxa"/>
            <w:tcBorders>
              <w:top w:val="nil"/>
              <w:left w:val="single" w:sz="4" w:space="0" w:color="auto"/>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1990 - 1997 </w:t>
            </w:r>
          </w:p>
        </w:tc>
        <w:tc>
          <w:tcPr>
            <w:tcW w:w="2218"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33,770 </w:t>
            </w:r>
          </w:p>
        </w:tc>
        <w:tc>
          <w:tcPr>
            <w:tcW w:w="2160"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8,628 </w:t>
            </w:r>
          </w:p>
        </w:tc>
        <w:tc>
          <w:tcPr>
            <w:tcW w:w="1803"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jc w:val="right"/>
              <w:rPr>
                <w:rFonts w:ascii="Calibri" w:eastAsia="Times New Roman" w:hAnsi="Calibri" w:cs="Calibri"/>
                <w:color w:val="000000"/>
                <w:sz w:val="18"/>
                <w:szCs w:val="18"/>
              </w:rPr>
            </w:pPr>
            <w:r w:rsidRPr="00721C1F">
              <w:rPr>
                <w:rFonts w:ascii="Calibri" w:eastAsia="Times New Roman" w:hAnsi="Calibri" w:cs="Calibri"/>
                <w:color w:val="000000"/>
                <w:sz w:val="18"/>
                <w:szCs w:val="18"/>
              </w:rPr>
              <w:t>26%</w:t>
            </w:r>
          </w:p>
        </w:tc>
      </w:tr>
      <w:tr w:rsidR="001025E8" w:rsidRPr="000F7387" w:rsidTr="00415014">
        <w:trPr>
          <w:trHeight w:val="308"/>
        </w:trPr>
        <w:tc>
          <w:tcPr>
            <w:tcW w:w="1124" w:type="dxa"/>
            <w:tcBorders>
              <w:top w:val="nil"/>
              <w:left w:val="single" w:sz="4" w:space="0" w:color="auto"/>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2000 - 2005 </w:t>
            </w:r>
          </w:p>
        </w:tc>
        <w:tc>
          <w:tcPr>
            <w:tcW w:w="2218"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48,711 </w:t>
            </w:r>
          </w:p>
        </w:tc>
        <w:tc>
          <w:tcPr>
            <w:tcW w:w="2160"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20,733 </w:t>
            </w:r>
          </w:p>
        </w:tc>
        <w:tc>
          <w:tcPr>
            <w:tcW w:w="1803"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jc w:val="right"/>
              <w:rPr>
                <w:rFonts w:ascii="Calibri" w:eastAsia="Times New Roman" w:hAnsi="Calibri" w:cs="Calibri"/>
                <w:color w:val="000000"/>
                <w:sz w:val="18"/>
                <w:szCs w:val="18"/>
              </w:rPr>
            </w:pPr>
            <w:r w:rsidRPr="00721C1F">
              <w:rPr>
                <w:rFonts w:ascii="Calibri" w:eastAsia="Times New Roman" w:hAnsi="Calibri" w:cs="Calibri"/>
                <w:color w:val="000000"/>
                <w:sz w:val="18"/>
                <w:szCs w:val="18"/>
              </w:rPr>
              <w:t>43%</w:t>
            </w:r>
          </w:p>
        </w:tc>
      </w:tr>
      <w:tr w:rsidR="001025E8" w:rsidRPr="000F7387" w:rsidTr="00415014">
        <w:trPr>
          <w:trHeight w:val="308"/>
        </w:trPr>
        <w:tc>
          <w:tcPr>
            <w:tcW w:w="1124" w:type="dxa"/>
            <w:tcBorders>
              <w:top w:val="nil"/>
              <w:left w:val="single" w:sz="4" w:space="0" w:color="auto"/>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2006 - 2010 </w:t>
            </w:r>
          </w:p>
        </w:tc>
        <w:tc>
          <w:tcPr>
            <w:tcW w:w="2218"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106,080 </w:t>
            </w:r>
          </w:p>
        </w:tc>
        <w:tc>
          <w:tcPr>
            <w:tcW w:w="2160"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rPr>
                <w:rFonts w:ascii="Calibri" w:eastAsia="Times New Roman" w:hAnsi="Calibri" w:cs="Calibri"/>
                <w:color w:val="000000"/>
                <w:sz w:val="18"/>
                <w:szCs w:val="18"/>
              </w:rPr>
            </w:pPr>
            <w:r w:rsidRPr="00721C1F">
              <w:rPr>
                <w:rFonts w:ascii="Calibri" w:eastAsia="Times New Roman" w:hAnsi="Calibri" w:cs="Calibri"/>
                <w:color w:val="000000"/>
                <w:sz w:val="18"/>
                <w:szCs w:val="18"/>
              </w:rPr>
              <w:t xml:space="preserve">                                  42,245 </w:t>
            </w:r>
          </w:p>
        </w:tc>
        <w:tc>
          <w:tcPr>
            <w:tcW w:w="1803" w:type="dxa"/>
            <w:tcBorders>
              <w:top w:val="nil"/>
              <w:left w:val="nil"/>
              <w:bottom w:val="single" w:sz="4" w:space="0" w:color="auto"/>
              <w:right w:val="single" w:sz="4" w:space="0" w:color="auto"/>
            </w:tcBorders>
            <w:shd w:val="clear" w:color="auto" w:fill="auto"/>
            <w:noWrap/>
            <w:vAlign w:val="bottom"/>
            <w:hideMark/>
          </w:tcPr>
          <w:p w:rsidR="001025E8" w:rsidRPr="000F7387" w:rsidRDefault="001025E8" w:rsidP="001025E8">
            <w:pPr>
              <w:jc w:val="right"/>
              <w:rPr>
                <w:rFonts w:ascii="Calibri" w:eastAsia="Times New Roman" w:hAnsi="Calibri" w:cs="Calibri"/>
                <w:color w:val="000000"/>
                <w:sz w:val="18"/>
                <w:szCs w:val="18"/>
              </w:rPr>
            </w:pPr>
            <w:r w:rsidRPr="00721C1F">
              <w:rPr>
                <w:rFonts w:ascii="Calibri" w:eastAsia="Times New Roman" w:hAnsi="Calibri" w:cs="Calibri"/>
                <w:color w:val="000000"/>
                <w:sz w:val="18"/>
                <w:szCs w:val="18"/>
              </w:rPr>
              <w:t>40%</w:t>
            </w:r>
          </w:p>
        </w:tc>
      </w:tr>
    </w:tbl>
    <w:p w:rsidR="001025E8" w:rsidRPr="00415014" w:rsidRDefault="001025E8" w:rsidP="00415014">
      <w:pPr>
        <w:rPr>
          <w:rFonts w:asciiTheme="majorHAnsi" w:hAnsiTheme="majorHAnsi" w:cstheme="majorHAnsi"/>
          <w:i/>
          <w:sz w:val="18"/>
          <w:szCs w:val="18"/>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1025E8" w:rsidRDefault="00953411" w:rsidP="0086197C">
      <w:pPr>
        <w:jc w:val="center"/>
        <w:rPr>
          <w:rFonts w:asciiTheme="majorHAnsi" w:hAnsiTheme="majorHAnsi"/>
          <w:sz w:val="20"/>
          <w:szCs w:val="20"/>
        </w:rPr>
      </w:pPr>
      <w:r>
        <w:rPr>
          <w:rFonts w:asciiTheme="majorHAnsi" w:hAnsiTheme="majorHAnsi"/>
          <w:sz w:val="20"/>
          <w:szCs w:val="20"/>
        </w:rPr>
        <w:lastRenderedPageBreak/>
        <w:t>Table 4-3</w:t>
      </w:r>
    </w:p>
    <w:p w:rsidR="001025E8" w:rsidRDefault="001025E8" w:rsidP="001025E8">
      <w:pPr>
        <w:jc w:val="center"/>
        <w:rPr>
          <w:rFonts w:asciiTheme="majorHAnsi" w:hAnsiTheme="majorHAnsi"/>
          <w:sz w:val="20"/>
          <w:szCs w:val="20"/>
        </w:rPr>
      </w:pPr>
      <w:r>
        <w:rPr>
          <w:rFonts w:asciiTheme="majorHAnsi" w:hAnsiTheme="majorHAnsi"/>
          <w:sz w:val="20"/>
          <w:szCs w:val="20"/>
        </w:rPr>
        <w:t>Impor</w:t>
      </w:r>
      <w:r w:rsidRPr="004B1DA4">
        <w:rPr>
          <w:rFonts w:asciiTheme="majorHAnsi" w:hAnsiTheme="majorHAnsi"/>
          <w:sz w:val="20"/>
          <w:szCs w:val="20"/>
        </w:rPr>
        <w:t>ts Composition in 1990 to 1997</w:t>
      </w:r>
    </w:p>
    <w:tbl>
      <w:tblPr>
        <w:tblW w:w="0" w:type="auto"/>
        <w:tblInd w:w="96" w:type="dxa"/>
        <w:tblLook w:val="04A0"/>
      </w:tblPr>
      <w:tblGrid>
        <w:gridCol w:w="1083"/>
        <w:gridCol w:w="1299"/>
        <w:gridCol w:w="1241"/>
        <w:gridCol w:w="1239"/>
        <w:gridCol w:w="1273"/>
        <w:gridCol w:w="1344"/>
      </w:tblGrid>
      <w:tr w:rsidR="001025E8" w:rsidRPr="0086197C" w:rsidTr="001025E8">
        <w:trPr>
          <w:trHeight w:val="73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cente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Year</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Agricultural raw materials imports (% of merchandise imports)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Food imports (% of merchandise imports)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Fuel imports (% of merchandise imports)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Ores and metals imports (% of merchandise imports)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Manufactures imports (% of merchandise imports)</w:t>
            </w:r>
          </w:p>
        </w:tc>
      </w:tr>
      <w:tr w:rsidR="001025E8" w:rsidRPr="0086197C" w:rsidTr="001025E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1970 - 1979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76%</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1980 - 1989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70%</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1990</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77%</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1991</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76%</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76%</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76%</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75%</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73%</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11%</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71%</w:t>
            </w:r>
          </w:p>
        </w:tc>
      </w:tr>
      <w:tr w:rsidR="001025E8" w:rsidRPr="0086197C"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1997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10%</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73%</w:t>
            </w:r>
          </w:p>
        </w:tc>
      </w:tr>
    </w:tbl>
    <w:p w:rsidR="001025E8" w:rsidRDefault="001025E8" w:rsidP="001025E8">
      <w:pPr>
        <w:rPr>
          <w:rFonts w:asciiTheme="majorHAnsi" w:hAnsiTheme="majorHAnsi" w:cstheme="majorHAnsi"/>
          <w:i/>
          <w:sz w:val="18"/>
          <w:szCs w:val="18"/>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1025E8" w:rsidRDefault="001025E8" w:rsidP="001025E8">
      <w:pPr>
        <w:jc w:val="both"/>
        <w:rPr>
          <w:rFonts w:asciiTheme="majorHAnsi" w:hAnsiTheme="majorHAnsi"/>
          <w:sz w:val="22"/>
          <w:szCs w:val="22"/>
        </w:rPr>
      </w:pPr>
    </w:p>
    <w:p w:rsidR="001025E8" w:rsidRDefault="00226527" w:rsidP="001025E8">
      <w:pPr>
        <w:jc w:val="both"/>
        <w:rPr>
          <w:rFonts w:asciiTheme="majorHAnsi" w:hAnsiTheme="majorHAnsi"/>
          <w:sz w:val="22"/>
          <w:szCs w:val="22"/>
        </w:rPr>
      </w:pPr>
      <w:r>
        <w:rPr>
          <w:rFonts w:asciiTheme="majorHAnsi" w:hAnsiTheme="majorHAnsi"/>
          <w:sz w:val="22"/>
          <w:szCs w:val="22"/>
        </w:rPr>
        <w:t>In table 4</w:t>
      </w:r>
      <w:r w:rsidR="00953411">
        <w:rPr>
          <w:rFonts w:asciiTheme="majorHAnsi" w:hAnsiTheme="majorHAnsi"/>
          <w:sz w:val="22"/>
          <w:szCs w:val="22"/>
        </w:rPr>
        <w:t>-2 and 4-3</w:t>
      </w:r>
      <w:r w:rsidR="001025E8">
        <w:rPr>
          <w:rFonts w:asciiTheme="majorHAnsi" w:hAnsiTheme="majorHAnsi"/>
          <w:sz w:val="22"/>
          <w:szCs w:val="22"/>
        </w:rPr>
        <w:t>, it shows that Indonesia only imports small amounts of commodity in the early 1970s until the late 1990s. Indonesia imports mostly in food and Fuel where in the 1970s the government import quite large amount of rice</w:t>
      </w:r>
      <w:r w:rsidR="00B43796">
        <w:rPr>
          <w:rFonts w:asciiTheme="majorHAnsi" w:hAnsiTheme="majorHAnsi"/>
          <w:sz w:val="22"/>
          <w:szCs w:val="22"/>
        </w:rPr>
        <w:t xml:space="preserve"> before they achieve food self sufficiency</w:t>
      </w:r>
      <w:r w:rsidR="001025E8">
        <w:rPr>
          <w:rFonts w:asciiTheme="majorHAnsi" w:hAnsiTheme="majorHAnsi"/>
          <w:sz w:val="22"/>
          <w:szCs w:val="22"/>
        </w:rPr>
        <w:t xml:space="preserve"> to meet the demand of domestic market as rice is Indonesia staple food and the import keep continue until 2004</w:t>
      </w:r>
      <w:r w:rsidR="00721A12">
        <w:rPr>
          <w:rFonts w:asciiTheme="majorHAnsi" w:hAnsiTheme="majorHAnsi"/>
          <w:sz w:val="22"/>
          <w:szCs w:val="22"/>
        </w:rPr>
        <w:t xml:space="preserve"> but later</w:t>
      </w:r>
      <w:r w:rsidR="001025E8">
        <w:rPr>
          <w:rFonts w:asciiTheme="majorHAnsi" w:hAnsiTheme="majorHAnsi"/>
          <w:sz w:val="22"/>
          <w:szCs w:val="22"/>
        </w:rPr>
        <w:t xml:space="preserve"> the rice import banned by the government (</w:t>
      </w:r>
      <w:proofErr w:type="spellStart"/>
      <w:r w:rsidR="001025E8">
        <w:rPr>
          <w:rFonts w:asciiTheme="majorHAnsi" w:hAnsiTheme="majorHAnsi"/>
          <w:sz w:val="22"/>
          <w:szCs w:val="22"/>
        </w:rPr>
        <w:t>Warr</w:t>
      </w:r>
      <w:proofErr w:type="spellEnd"/>
      <w:r w:rsidR="001025E8">
        <w:rPr>
          <w:rFonts w:asciiTheme="majorHAnsi" w:hAnsiTheme="majorHAnsi"/>
          <w:sz w:val="22"/>
          <w:szCs w:val="22"/>
        </w:rPr>
        <w:t xml:space="preserve">, 2005). </w:t>
      </w:r>
    </w:p>
    <w:p w:rsidR="00B43796" w:rsidRDefault="00B43796" w:rsidP="00415014">
      <w:pPr>
        <w:rPr>
          <w:rFonts w:asciiTheme="majorHAnsi" w:hAnsiTheme="majorHAnsi"/>
          <w:sz w:val="20"/>
          <w:szCs w:val="20"/>
        </w:rPr>
      </w:pPr>
    </w:p>
    <w:p w:rsidR="001025E8" w:rsidRDefault="00953411" w:rsidP="0086197C">
      <w:pPr>
        <w:jc w:val="center"/>
        <w:rPr>
          <w:rFonts w:asciiTheme="majorHAnsi" w:hAnsiTheme="majorHAnsi"/>
          <w:sz w:val="20"/>
          <w:szCs w:val="20"/>
        </w:rPr>
      </w:pPr>
      <w:r>
        <w:rPr>
          <w:rFonts w:asciiTheme="majorHAnsi" w:hAnsiTheme="majorHAnsi"/>
          <w:sz w:val="20"/>
          <w:szCs w:val="20"/>
        </w:rPr>
        <w:t>Table 4-4</w:t>
      </w:r>
    </w:p>
    <w:p w:rsidR="001025E8" w:rsidRDefault="001025E8" w:rsidP="001025E8">
      <w:pPr>
        <w:jc w:val="center"/>
        <w:rPr>
          <w:rFonts w:asciiTheme="majorHAnsi" w:hAnsiTheme="majorHAnsi"/>
          <w:sz w:val="20"/>
          <w:szCs w:val="20"/>
        </w:rPr>
      </w:pPr>
      <w:r w:rsidRPr="00721C1F">
        <w:rPr>
          <w:rFonts w:asciiTheme="majorHAnsi" w:hAnsiTheme="majorHAnsi"/>
          <w:sz w:val="20"/>
          <w:szCs w:val="20"/>
        </w:rPr>
        <w:t>Imports Composition in 2000 to 2010</w:t>
      </w:r>
    </w:p>
    <w:tbl>
      <w:tblPr>
        <w:tblW w:w="7530" w:type="dxa"/>
        <w:tblInd w:w="96" w:type="dxa"/>
        <w:tblLayout w:type="fixed"/>
        <w:tblLook w:val="04A0"/>
      </w:tblPr>
      <w:tblGrid>
        <w:gridCol w:w="654"/>
        <w:gridCol w:w="1369"/>
        <w:gridCol w:w="1127"/>
        <w:gridCol w:w="1046"/>
        <w:gridCol w:w="1207"/>
        <w:gridCol w:w="1127"/>
        <w:gridCol w:w="1000"/>
      </w:tblGrid>
      <w:tr w:rsidR="001025E8" w:rsidRPr="0086197C" w:rsidTr="00415014">
        <w:trPr>
          <w:trHeight w:val="303"/>
        </w:trPr>
        <w:tc>
          <w:tcPr>
            <w:tcW w:w="65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cente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Year</w:t>
            </w:r>
          </w:p>
        </w:tc>
        <w:tc>
          <w:tcPr>
            <w:tcW w:w="1369"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Agricultural raw materials imports (% of merchandise imports)</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Food imports (% of merchandise imports)</w:t>
            </w:r>
          </w:p>
        </w:tc>
        <w:tc>
          <w:tcPr>
            <w:tcW w:w="104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Fuel imports (% of merchandise imports)</w:t>
            </w:r>
          </w:p>
        </w:tc>
        <w:tc>
          <w:tcPr>
            <w:tcW w:w="120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Ores and metals imports (% of merchandise imports)</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1025E8" w:rsidP="001025E8">
            <w:pP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Manufactures imports (% of merchandise imports)</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86197C" w:rsidRDefault="0086197C" w:rsidP="001025E8">
            <w:pPr>
              <w:jc w:val="center"/>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 Merchandise imports</w:t>
            </w:r>
            <w:r w:rsidR="001025E8" w:rsidRPr="0086197C">
              <w:rPr>
                <w:rFonts w:asciiTheme="minorHAnsi" w:eastAsia="Times New Roman" w:hAnsiTheme="minorHAnsi" w:cstheme="majorHAnsi"/>
                <w:color w:val="000000"/>
                <w:sz w:val="18"/>
                <w:szCs w:val="18"/>
              </w:rPr>
              <w:t xml:space="preserve"> (current US$) </w:t>
            </w:r>
          </w:p>
        </w:tc>
      </w:tr>
      <w:tr w:rsidR="001025E8" w:rsidRPr="0086197C" w:rsidTr="00415014">
        <w:trPr>
          <w:trHeight w:val="910"/>
        </w:trPr>
        <w:tc>
          <w:tcPr>
            <w:tcW w:w="654"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127"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046"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207"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127"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1025E8" w:rsidRPr="0086197C" w:rsidRDefault="001025E8" w:rsidP="001025E8">
            <w:pPr>
              <w:rPr>
                <w:rFonts w:asciiTheme="minorHAnsi" w:eastAsia="Times New Roman" w:hAnsiTheme="minorHAnsi" w:cstheme="majorHAnsi"/>
                <w:color w:val="000000"/>
                <w:sz w:val="18"/>
                <w:szCs w:val="18"/>
              </w:rPr>
            </w:pPr>
          </w:p>
        </w:tc>
      </w:tr>
      <w:tr w:rsidR="001025E8" w:rsidRPr="0086197C" w:rsidTr="00415014">
        <w:trPr>
          <w:trHeight w:val="217"/>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2000</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7.2%</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10.0%</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18.5%</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3.3%</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60.9%</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43,595 </w:t>
            </w:r>
          </w:p>
        </w:tc>
      </w:tr>
      <w:tr w:rsidR="001025E8" w:rsidRPr="0086197C" w:rsidTr="00415014">
        <w:trPr>
          <w:trHeight w:val="171"/>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2001</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7.5%</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9.9%</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18.3%</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3.4%</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60.8%</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37,534 </w:t>
            </w:r>
          </w:p>
        </w:tc>
      </w:tr>
      <w:tr w:rsidR="001025E8" w:rsidRPr="0086197C" w:rsidTr="00415014">
        <w:trPr>
          <w:trHeight w:val="136"/>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2002</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5.8%</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11.1%</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21.5%</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3.1%</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58.4%</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38,340 </w:t>
            </w:r>
          </w:p>
        </w:tc>
      </w:tr>
      <w:tr w:rsidR="001025E8" w:rsidRPr="0086197C" w:rsidTr="00415014">
        <w:trPr>
          <w:trHeight w:val="190"/>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2003</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5.3%</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11.5%</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24.1%</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2.9%</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56.0%</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42,196 </w:t>
            </w:r>
          </w:p>
        </w:tc>
      </w:tr>
      <w:tr w:rsidR="001025E8" w:rsidRPr="0086197C" w:rsidTr="00415014">
        <w:trPr>
          <w:trHeight w:val="236"/>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2004</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4.6%</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9.7%</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25.8%</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3.4%</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56.4%</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54,877 </w:t>
            </w:r>
          </w:p>
        </w:tc>
      </w:tr>
      <w:tr w:rsidR="001025E8" w:rsidRPr="0086197C" w:rsidTr="00415014">
        <w:trPr>
          <w:trHeight w:val="199"/>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2005</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3.5%</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8.1%</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30.8%</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3.1%</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54.6%</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75,725 </w:t>
            </w:r>
          </w:p>
        </w:tc>
      </w:tr>
      <w:tr w:rsidR="001025E8" w:rsidRPr="0086197C" w:rsidTr="00415014">
        <w:trPr>
          <w:trHeight w:val="245"/>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2006</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3.4%</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8.9%</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31.5%</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3.5%</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52.7%</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80,650 </w:t>
            </w:r>
          </w:p>
        </w:tc>
      </w:tr>
      <w:tr w:rsidR="001025E8" w:rsidRPr="0086197C" w:rsidTr="00415014">
        <w:trPr>
          <w:trHeight w:val="217"/>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2007</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3.5%</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10.6%</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29.7%</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3.6%</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52.6%</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 93,101 </w:t>
            </w:r>
          </w:p>
        </w:tc>
      </w:tr>
      <w:tr w:rsidR="001025E8" w:rsidRPr="0086197C" w:rsidTr="00415014">
        <w:trPr>
          <w:trHeight w:val="153"/>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2008</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3.0%</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7.3%</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23.9%</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3.9%</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61.9%</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 127,538 </w:t>
            </w:r>
          </w:p>
        </w:tc>
      </w:tr>
      <w:tr w:rsidR="001025E8" w:rsidRPr="0086197C" w:rsidTr="00415014">
        <w:trPr>
          <w:trHeight w:val="217"/>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2009</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2.8%</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8.9%</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19.8%</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3.1%</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65.3%</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93,786 </w:t>
            </w:r>
          </w:p>
        </w:tc>
      </w:tr>
      <w:tr w:rsidR="001025E8" w:rsidRPr="0086197C" w:rsidTr="00415014">
        <w:trPr>
          <w:trHeight w:val="227"/>
        </w:trPr>
        <w:tc>
          <w:tcPr>
            <w:tcW w:w="654" w:type="dxa"/>
            <w:tcBorders>
              <w:top w:val="nil"/>
              <w:left w:val="single" w:sz="4" w:space="0" w:color="auto"/>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2010</w:t>
            </w:r>
          </w:p>
        </w:tc>
        <w:tc>
          <w:tcPr>
            <w:tcW w:w="1369"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3.1%</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8.5%</w:t>
            </w:r>
          </w:p>
        </w:tc>
        <w:tc>
          <w:tcPr>
            <w:tcW w:w="1046"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20.4%</w:t>
            </w:r>
          </w:p>
        </w:tc>
        <w:tc>
          <w:tcPr>
            <w:tcW w:w="120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3.4%</w:t>
            </w:r>
          </w:p>
        </w:tc>
        <w:tc>
          <w:tcPr>
            <w:tcW w:w="1127"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1025E8">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64.5%</w:t>
            </w:r>
          </w:p>
        </w:tc>
        <w:tc>
          <w:tcPr>
            <w:tcW w:w="1000" w:type="dxa"/>
            <w:tcBorders>
              <w:top w:val="nil"/>
              <w:left w:val="nil"/>
              <w:bottom w:val="single" w:sz="4" w:space="0" w:color="auto"/>
              <w:right w:val="single" w:sz="4" w:space="0" w:color="auto"/>
            </w:tcBorders>
            <w:shd w:val="clear" w:color="auto" w:fill="auto"/>
            <w:noWrap/>
            <w:vAlign w:val="bottom"/>
            <w:hideMark/>
          </w:tcPr>
          <w:p w:rsidR="001025E8" w:rsidRPr="0086197C" w:rsidRDefault="001025E8" w:rsidP="006C54B9">
            <w:pPr>
              <w:jc w:val="right"/>
              <w:rPr>
                <w:rFonts w:asciiTheme="minorHAnsi" w:eastAsia="Times New Roman" w:hAnsiTheme="minorHAnsi" w:cstheme="majorHAnsi"/>
                <w:color w:val="000000"/>
                <w:sz w:val="18"/>
                <w:szCs w:val="18"/>
              </w:rPr>
            </w:pPr>
            <w:r w:rsidRPr="0086197C">
              <w:rPr>
                <w:rFonts w:asciiTheme="minorHAnsi" w:eastAsia="Times New Roman" w:hAnsiTheme="minorHAnsi" w:cstheme="majorHAnsi"/>
                <w:color w:val="000000"/>
                <w:sz w:val="18"/>
                <w:szCs w:val="18"/>
              </w:rPr>
              <w:t xml:space="preserve">135,323 </w:t>
            </w:r>
          </w:p>
        </w:tc>
      </w:tr>
    </w:tbl>
    <w:p w:rsidR="001025E8" w:rsidRDefault="001025E8" w:rsidP="001025E8">
      <w:pPr>
        <w:jc w:val="both"/>
        <w:rPr>
          <w:rFonts w:asciiTheme="majorHAnsi" w:hAnsiTheme="majorHAnsi"/>
          <w:i/>
          <w:sz w:val="20"/>
          <w:szCs w:val="20"/>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1025E8" w:rsidRDefault="001025E8"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415014" w:rsidRDefault="00415014" w:rsidP="001025E8">
      <w:pPr>
        <w:jc w:val="both"/>
        <w:rPr>
          <w:rFonts w:asciiTheme="majorHAnsi" w:hAnsiTheme="majorHAnsi"/>
          <w:i/>
          <w:sz w:val="20"/>
          <w:szCs w:val="20"/>
        </w:rPr>
      </w:pPr>
    </w:p>
    <w:p w:rsidR="00231D71" w:rsidRPr="00567573" w:rsidRDefault="00295549" w:rsidP="00567573">
      <w:pPr>
        <w:jc w:val="center"/>
        <w:rPr>
          <w:rFonts w:asciiTheme="majorHAnsi" w:hAnsiTheme="majorHAnsi"/>
          <w:sz w:val="20"/>
          <w:szCs w:val="20"/>
        </w:rPr>
      </w:pPr>
      <w:r>
        <w:rPr>
          <w:rFonts w:asciiTheme="majorHAnsi" w:hAnsiTheme="majorHAnsi"/>
          <w:sz w:val="20"/>
          <w:szCs w:val="20"/>
        </w:rPr>
        <w:lastRenderedPageBreak/>
        <w:t>Figure 4-7</w:t>
      </w:r>
      <w:r w:rsidR="00567573" w:rsidRPr="00567573">
        <w:rPr>
          <w:rFonts w:asciiTheme="majorHAnsi" w:hAnsiTheme="majorHAnsi"/>
          <w:sz w:val="20"/>
          <w:szCs w:val="20"/>
        </w:rPr>
        <w:t xml:space="preserve"> Food commodity import volume</w:t>
      </w:r>
      <w:r w:rsidR="00B43796">
        <w:rPr>
          <w:rFonts w:asciiTheme="majorHAnsi" w:hAnsiTheme="majorHAnsi"/>
          <w:sz w:val="20"/>
          <w:szCs w:val="20"/>
        </w:rPr>
        <w:t xml:space="preserve"> (% Change)</w:t>
      </w:r>
    </w:p>
    <w:p w:rsidR="00231D71" w:rsidRDefault="00567573" w:rsidP="001025E8">
      <w:pPr>
        <w:jc w:val="both"/>
        <w:rPr>
          <w:rFonts w:asciiTheme="majorHAnsi" w:hAnsiTheme="majorHAnsi"/>
          <w:i/>
          <w:sz w:val="20"/>
          <w:szCs w:val="20"/>
        </w:rPr>
      </w:pPr>
      <w:r w:rsidRPr="00567573">
        <w:rPr>
          <w:rFonts w:asciiTheme="majorHAnsi" w:hAnsiTheme="majorHAnsi"/>
          <w:i/>
          <w:noProof/>
          <w:sz w:val="20"/>
          <w:szCs w:val="20"/>
        </w:rPr>
        <w:drawing>
          <wp:inline distT="0" distB="0" distL="0" distR="0">
            <wp:extent cx="4592707" cy="1868556"/>
            <wp:effectExtent l="19050" t="0" r="17393"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67573" w:rsidRDefault="00567573" w:rsidP="00567573">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Pr>
          <w:rFonts w:asciiTheme="majorHAnsi" w:hAnsiTheme="majorHAnsi"/>
          <w:i/>
          <w:sz w:val="16"/>
          <w:szCs w:val="16"/>
        </w:rPr>
        <w:t xml:space="preserve">UN commodity trade data </w:t>
      </w:r>
      <w:r w:rsidRPr="002D1B68">
        <w:rPr>
          <w:rFonts w:asciiTheme="majorHAnsi" w:hAnsiTheme="majorHAnsi"/>
          <w:i/>
          <w:sz w:val="16"/>
          <w:szCs w:val="16"/>
        </w:rPr>
        <w:t>and UNCTAD Statistics</w:t>
      </w:r>
    </w:p>
    <w:p w:rsidR="00231D71" w:rsidRDefault="00231D71" w:rsidP="001025E8">
      <w:pPr>
        <w:jc w:val="both"/>
        <w:rPr>
          <w:rFonts w:asciiTheme="majorHAnsi" w:hAnsiTheme="majorHAnsi"/>
          <w:i/>
          <w:sz w:val="20"/>
          <w:szCs w:val="20"/>
        </w:rPr>
      </w:pPr>
    </w:p>
    <w:p w:rsidR="00231D71" w:rsidRPr="00567573" w:rsidRDefault="00295549" w:rsidP="00567573">
      <w:pPr>
        <w:jc w:val="center"/>
        <w:rPr>
          <w:rFonts w:asciiTheme="majorHAnsi" w:hAnsiTheme="majorHAnsi"/>
          <w:sz w:val="20"/>
          <w:szCs w:val="20"/>
        </w:rPr>
      </w:pPr>
      <w:r>
        <w:rPr>
          <w:rFonts w:asciiTheme="majorHAnsi" w:hAnsiTheme="majorHAnsi"/>
          <w:sz w:val="20"/>
          <w:szCs w:val="20"/>
        </w:rPr>
        <w:t>Figure 4-8</w:t>
      </w:r>
      <w:r w:rsidR="00567573" w:rsidRPr="00567573">
        <w:rPr>
          <w:rFonts w:asciiTheme="majorHAnsi" w:hAnsiTheme="majorHAnsi"/>
          <w:sz w:val="20"/>
          <w:szCs w:val="20"/>
        </w:rPr>
        <w:t xml:space="preserve"> Agriculture raw materials imports volume</w:t>
      </w:r>
      <w:r w:rsidR="00B43796">
        <w:rPr>
          <w:rFonts w:asciiTheme="majorHAnsi" w:hAnsiTheme="majorHAnsi"/>
          <w:sz w:val="20"/>
          <w:szCs w:val="20"/>
        </w:rPr>
        <w:t xml:space="preserve"> (% Change)</w:t>
      </w:r>
    </w:p>
    <w:p w:rsidR="00231D71" w:rsidRDefault="00567573" w:rsidP="001025E8">
      <w:pPr>
        <w:jc w:val="both"/>
        <w:rPr>
          <w:rFonts w:asciiTheme="majorHAnsi" w:hAnsiTheme="majorHAnsi"/>
          <w:i/>
          <w:sz w:val="20"/>
          <w:szCs w:val="20"/>
        </w:rPr>
      </w:pPr>
      <w:r w:rsidRPr="00567573">
        <w:rPr>
          <w:rFonts w:asciiTheme="majorHAnsi" w:hAnsiTheme="majorHAnsi"/>
          <w:i/>
          <w:noProof/>
          <w:sz w:val="20"/>
          <w:szCs w:val="20"/>
        </w:rPr>
        <w:drawing>
          <wp:inline distT="0" distB="0" distL="0" distR="0">
            <wp:extent cx="4632463" cy="2091193"/>
            <wp:effectExtent l="19050" t="0" r="15737" b="4307"/>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67573" w:rsidRDefault="00567573" w:rsidP="00567573">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Pr>
          <w:rFonts w:asciiTheme="majorHAnsi" w:hAnsiTheme="majorHAnsi"/>
          <w:i/>
          <w:sz w:val="16"/>
          <w:szCs w:val="16"/>
        </w:rPr>
        <w:t xml:space="preserve">UN commodity trade data </w:t>
      </w:r>
      <w:r w:rsidRPr="002D1B68">
        <w:rPr>
          <w:rFonts w:asciiTheme="majorHAnsi" w:hAnsiTheme="majorHAnsi"/>
          <w:i/>
          <w:sz w:val="16"/>
          <w:szCs w:val="16"/>
        </w:rPr>
        <w:t>and UNCTAD Statistics</w:t>
      </w:r>
    </w:p>
    <w:p w:rsidR="00B43796" w:rsidRDefault="00B43796" w:rsidP="00B43796">
      <w:pPr>
        <w:jc w:val="center"/>
        <w:rPr>
          <w:rFonts w:asciiTheme="majorHAnsi" w:hAnsiTheme="majorHAnsi"/>
          <w:sz w:val="20"/>
          <w:szCs w:val="20"/>
        </w:rPr>
      </w:pPr>
    </w:p>
    <w:p w:rsidR="00B43796" w:rsidRPr="00B43796" w:rsidRDefault="00295549" w:rsidP="00B43796">
      <w:pPr>
        <w:jc w:val="center"/>
        <w:rPr>
          <w:rFonts w:asciiTheme="majorHAnsi" w:hAnsiTheme="majorHAnsi"/>
          <w:sz w:val="20"/>
          <w:szCs w:val="20"/>
        </w:rPr>
      </w:pPr>
      <w:r>
        <w:rPr>
          <w:rFonts w:asciiTheme="majorHAnsi" w:hAnsiTheme="majorHAnsi"/>
          <w:sz w:val="20"/>
          <w:szCs w:val="20"/>
        </w:rPr>
        <w:t>Figure 4-9</w:t>
      </w:r>
      <w:r w:rsidR="00B43796" w:rsidRPr="00B43796">
        <w:rPr>
          <w:rFonts w:asciiTheme="majorHAnsi" w:hAnsiTheme="majorHAnsi"/>
          <w:sz w:val="20"/>
          <w:szCs w:val="20"/>
        </w:rPr>
        <w:t xml:space="preserve"> Fuel imports volume (% Change)</w:t>
      </w:r>
    </w:p>
    <w:p w:rsidR="00231D71" w:rsidRDefault="00B43796" w:rsidP="001025E8">
      <w:pPr>
        <w:jc w:val="both"/>
        <w:rPr>
          <w:rFonts w:asciiTheme="majorHAnsi" w:hAnsiTheme="majorHAnsi"/>
          <w:i/>
          <w:sz w:val="20"/>
          <w:szCs w:val="20"/>
        </w:rPr>
      </w:pPr>
      <w:r w:rsidRPr="00B43796">
        <w:rPr>
          <w:rFonts w:asciiTheme="majorHAnsi" w:hAnsiTheme="majorHAnsi"/>
          <w:i/>
          <w:noProof/>
          <w:sz w:val="20"/>
          <w:szCs w:val="20"/>
        </w:rPr>
        <w:drawing>
          <wp:inline distT="0" distB="0" distL="0" distR="0">
            <wp:extent cx="4728542" cy="2234316"/>
            <wp:effectExtent l="19050" t="0" r="14908"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415014" w:rsidRDefault="00415014" w:rsidP="00B43796">
      <w:pPr>
        <w:jc w:val="both"/>
        <w:rPr>
          <w:rFonts w:asciiTheme="majorHAnsi" w:hAnsiTheme="majorHAnsi" w:cstheme="majorHAnsi"/>
          <w:i/>
          <w:sz w:val="16"/>
          <w:szCs w:val="16"/>
        </w:rPr>
      </w:pPr>
    </w:p>
    <w:p w:rsidR="00B43796" w:rsidRDefault="00B43796" w:rsidP="00B43796">
      <w:pPr>
        <w:jc w:val="both"/>
        <w:rPr>
          <w:rFonts w:asciiTheme="majorHAnsi" w:hAnsiTheme="majorHAnsi"/>
          <w:i/>
          <w:sz w:val="16"/>
          <w:szCs w:val="16"/>
        </w:rPr>
      </w:pPr>
      <w:r w:rsidRPr="002D1B68">
        <w:rPr>
          <w:rFonts w:asciiTheme="majorHAnsi" w:hAnsiTheme="majorHAnsi" w:cstheme="majorHAnsi"/>
          <w:i/>
          <w:sz w:val="16"/>
          <w:szCs w:val="16"/>
        </w:rPr>
        <w:t xml:space="preserve">Source: Author’s own illustration base on </w:t>
      </w:r>
      <w:r>
        <w:rPr>
          <w:rFonts w:asciiTheme="majorHAnsi" w:hAnsiTheme="majorHAnsi"/>
          <w:i/>
          <w:sz w:val="16"/>
          <w:szCs w:val="16"/>
        </w:rPr>
        <w:t xml:space="preserve">UN commodity trade data </w:t>
      </w:r>
      <w:r w:rsidRPr="002D1B68">
        <w:rPr>
          <w:rFonts w:asciiTheme="majorHAnsi" w:hAnsiTheme="majorHAnsi"/>
          <w:i/>
          <w:sz w:val="16"/>
          <w:szCs w:val="16"/>
        </w:rPr>
        <w:t>and UNCTAD Statistics</w:t>
      </w:r>
    </w:p>
    <w:p w:rsidR="00B43796" w:rsidRDefault="00B43796" w:rsidP="001025E8">
      <w:pPr>
        <w:jc w:val="both"/>
        <w:rPr>
          <w:rFonts w:asciiTheme="majorHAnsi" w:hAnsiTheme="majorHAnsi"/>
          <w:sz w:val="22"/>
          <w:szCs w:val="22"/>
        </w:rPr>
      </w:pPr>
    </w:p>
    <w:p w:rsidR="00B43796" w:rsidRPr="00415014" w:rsidRDefault="00226527" w:rsidP="001025E8">
      <w:pPr>
        <w:jc w:val="both"/>
        <w:rPr>
          <w:rFonts w:ascii="Garamond" w:hAnsi="Garamond"/>
        </w:rPr>
      </w:pPr>
      <w:r>
        <w:rPr>
          <w:rFonts w:ascii="Garamond" w:hAnsi="Garamond"/>
        </w:rPr>
        <w:t xml:space="preserve">From the data above in table </w:t>
      </w:r>
      <w:r w:rsidR="00295549">
        <w:rPr>
          <w:rFonts w:ascii="Garamond" w:hAnsi="Garamond"/>
        </w:rPr>
        <w:t>4-7</w:t>
      </w:r>
      <w:r>
        <w:rPr>
          <w:rFonts w:ascii="Garamond" w:hAnsi="Garamond"/>
        </w:rPr>
        <w:t xml:space="preserve"> and </w:t>
      </w:r>
      <w:r w:rsidR="00295549">
        <w:rPr>
          <w:rFonts w:ascii="Garamond" w:hAnsi="Garamond"/>
        </w:rPr>
        <w:t>4-8</w:t>
      </w:r>
      <w:r w:rsidR="001025E8" w:rsidRPr="00415014">
        <w:rPr>
          <w:rFonts w:ascii="Garamond" w:hAnsi="Garamond"/>
        </w:rPr>
        <w:t>, it shows that Indonesia imports in agriculture raw materials and ores and metals rel</w:t>
      </w:r>
      <w:r w:rsidR="00B43796" w:rsidRPr="00415014">
        <w:rPr>
          <w:rFonts w:ascii="Garamond" w:hAnsi="Garamond"/>
        </w:rPr>
        <w:t>atively stable over the years on average below 6</w:t>
      </w:r>
      <w:r w:rsidR="001025E8" w:rsidRPr="00415014">
        <w:rPr>
          <w:rFonts w:ascii="Garamond" w:hAnsi="Garamond"/>
        </w:rPr>
        <w:t xml:space="preserve">% share of total merchandise imports except </w:t>
      </w:r>
      <w:r w:rsidR="007F6E7C" w:rsidRPr="00415014">
        <w:rPr>
          <w:rFonts w:ascii="Garamond" w:hAnsi="Garamond"/>
        </w:rPr>
        <w:t>in the 2000 and 2001 where both the value and volume of</w:t>
      </w:r>
      <w:r w:rsidR="001025E8" w:rsidRPr="00415014">
        <w:rPr>
          <w:rFonts w:ascii="Garamond" w:hAnsi="Garamond"/>
        </w:rPr>
        <w:t xml:space="preserve"> imports in agriculture raw materials increase quite high</w:t>
      </w:r>
      <w:r w:rsidR="007F6E7C" w:rsidRPr="00415014">
        <w:rPr>
          <w:rFonts w:ascii="Garamond" w:hAnsi="Garamond"/>
        </w:rPr>
        <w:t xml:space="preserve"> but later in 2002 to 2004 the value of the imports was still high due to the rise of the prices</w:t>
      </w:r>
      <w:r w:rsidR="001025E8" w:rsidRPr="00415014">
        <w:rPr>
          <w:rFonts w:ascii="Garamond" w:hAnsi="Garamond"/>
        </w:rPr>
        <w:t xml:space="preserve"> but then</w:t>
      </w:r>
      <w:r w:rsidR="007F6E7C" w:rsidRPr="00415014">
        <w:rPr>
          <w:rFonts w:ascii="Garamond" w:hAnsi="Garamond"/>
        </w:rPr>
        <w:t xml:space="preserve"> in 2005</w:t>
      </w:r>
      <w:r w:rsidR="001025E8" w:rsidRPr="00415014">
        <w:rPr>
          <w:rFonts w:ascii="Garamond" w:hAnsi="Garamond"/>
        </w:rPr>
        <w:t xml:space="preserve"> it</w:t>
      </w:r>
      <w:r w:rsidR="007F6E7C" w:rsidRPr="00415014">
        <w:rPr>
          <w:rFonts w:ascii="Garamond" w:hAnsi="Garamond"/>
        </w:rPr>
        <w:t xml:space="preserve"> gradually decrease.</w:t>
      </w:r>
    </w:p>
    <w:p w:rsidR="00B43796" w:rsidRDefault="00B43796" w:rsidP="001025E8">
      <w:pPr>
        <w:jc w:val="both"/>
        <w:rPr>
          <w:rFonts w:asciiTheme="majorHAnsi" w:hAnsiTheme="majorHAnsi"/>
          <w:sz w:val="22"/>
          <w:szCs w:val="22"/>
        </w:rPr>
      </w:pPr>
    </w:p>
    <w:p w:rsidR="007F6E7C" w:rsidRPr="00415014" w:rsidRDefault="001025E8" w:rsidP="001025E8">
      <w:pPr>
        <w:jc w:val="both"/>
        <w:rPr>
          <w:rFonts w:ascii="Garamond" w:hAnsi="Garamond"/>
        </w:rPr>
      </w:pPr>
      <w:r w:rsidRPr="00415014">
        <w:rPr>
          <w:rFonts w:ascii="Garamond" w:hAnsi="Garamond"/>
        </w:rPr>
        <w:lastRenderedPageBreak/>
        <w:t xml:space="preserve">Imports of food also relatively stable on average below 10% </w:t>
      </w:r>
      <w:r w:rsidR="007F6E7C" w:rsidRPr="00415014">
        <w:rPr>
          <w:rFonts w:ascii="Garamond" w:hAnsi="Garamond"/>
        </w:rPr>
        <w:t xml:space="preserve">in 1990s. However, there was increment in food imports in 2000s </w:t>
      </w:r>
      <w:r w:rsidRPr="00415014">
        <w:rPr>
          <w:rFonts w:ascii="Garamond" w:hAnsi="Garamond"/>
        </w:rPr>
        <w:t>even in 2004 Indonesia stipulated rice imports ban it didn’t significantly reduce the share of food imports</w:t>
      </w:r>
      <w:r w:rsidR="00295549">
        <w:rPr>
          <w:rFonts w:ascii="Garamond" w:hAnsi="Garamond"/>
        </w:rPr>
        <w:t xml:space="preserve"> value where in figure 8</w:t>
      </w:r>
      <w:r w:rsidR="007F6E7C" w:rsidRPr="00415014">
        <w:rPr>
          <w:rFonts w:ascii="Garamond" w:hAnsi="Garamond"/>
        </w:rPr>
        <w:t xml:space="preserve"> we see that food imports was declining but the prices was high. </w:t>
      </w:r>
    </w:p>
    <w:p w:rsidR="007F6E7C" w:rsidRDefault="007F6E7C" w:rsidP="001025E8">
      <w:pPr>
        <w:jc w:val="both"/>
        <w:rPr>
          <w:rFonts w:asciiTheme="majorHAnsi" w:hAnsiTheme="majorHAnsi"/>
          <w:sz w:val="22"/>
          <w:szCs w:val="22"/>
        </w:rPr>
      </w:pPr>
    </w:p>
    <w:p w:rsidR="001025E8" w:rsidRDefault="007F6E7C" w:rsidP="001025E8">
      <w:pPr>
        <w:jc w:val="both"/>
        <w:rPr>
          <w:rFonts w:asciiTheme="majorHAnsi" w:hAnsiTheme="majorHAnsi"/>
          <w:sz w:val="22"/>
          <w:szCs w:val="22"/>
        </w:rPr>
      </w:pPr>
      <w:r w:rsidRPr="00623DD7">
        <w:rPr>
          <w:rFonts w:ascii="Garamond" w:hAnsi="Garamond"/>
        </w:rPr>
        <w:t>On the other hand,</w:t>
      </w:r>
      <w:r w:rsidR="001025E8" w:rsidRPr="00623DD7">
        <w:rPr>
          <w:rFonts w:ascii="Garamond" w:hAnsi="Garamond"/>
        </w:rPr>
        <w:t xml:space="preserve"> imports of fuel keep increasing from average on 1990s below 10% to above 20% in 2000s. Increasing imports of fuel is due to the increasing </w:t>
      </w:r>
      <w:r w:rsidR="00D8774F" w:rsidRPr="00623DD7">
        <w:rPr>
          <w:rFonts w:ascii="Garamond" w:hAnsi="Garamond"/>
        </w:rPr>
        <w:t xml:space="preserve">domestic </w:t>
      </w:r>
      <w:r w:rsidR="001025E8" w:rsidRPr="00623DD7">
        <w:rPr>
          <w:rFonts w:ascii="Garamond" w:hAnsi="Garamond"/>
        </w:rPr>
        <w:t>demand of fuel which also propelled by the subsidy on fuel that cause the</w:t>
      </w:r>
      <w:r w:rsidR="00D8774F" w:rsidRPr="00623DD7">
        <w:rPr>
          <w:rFonts w:ascii="Garamond" w:hAnsi="Garamond"/>
        </w:rPr>
        <w:t xml:space="preserve"> domestic</w:t>
      </w:r>
      <w:r w:rsidR="001025E8" w:rsidRPr="00623DD7">
        <w:rPr>
          <w:rFonts w:ascii="Garamond" w:hAnsi="Garamond"/>
        </w:rPr>
        <w:t xml:space="preserve"> price of fuel to be low.</w:t>
      </w:r>
      <w:r w:rsidR="008373CC" w:rsidRPr="00623DD7">
        <w:rPr>
          <w:rFonts w:ascii="Garamond" w:hAnsi="Garamond"/>
        </w:rPr>
        <w:t xml:space="preserve"> Indonesia imports of fuel was due to the increasing amount of motor vehicles hence the demand for fuel keep increasing and also cause by the subsidy that kept the fuel price low </w:t>
      </w:r>
      <w:r w:rsidR="00496FE5" w:rsidRPr="00623DD7">
        <w:rPr>
          <w:rFonts w:ascii="Garamond" w:hAnsi="Garamond"/>
        </w:rPr>
        <w:fldChar w:fldCharType="begin"/>
      </w:r>
      <w:r w:rsidR="007D4DD9" w:rsidRPr="00623DD7">
        <w:rPr>
          <w:rFonts w:ascii="Garamond" w:hAnsi="Garamond"/>
        </w:rPr>
        <w:instrText>ADDIN RW.CITE{{217 Beals,Ralph 1987}}</w:instrText>
      </w:r>
      <w:r w:rsidR="00496FE5" w:rsidRPr="00623DD7">
        <w:rPr>
          <w:rFonts w:ascii="Garamond" w:hAnsi="Garamond"/>
        </w:rPr>
        <w:fldChar w:fldCharType="separate"/>
      </w:r>
      <w:r w:rsidR="007D4DD9" w:rsidRPr="00623DD7">
        <w:rPr>
          <w:rFonts w:ascii="Garamond" w:hAnsi="Garamond"/>
        </w:rPr>
        <w:t>(Beals 1987)</w:t>
      </w:r>
      <w:r w:rsidR="00496FE5" w:rsidRPr="00623DD7">
        <w:rPr>
          <w:rFonts w:ascii="Garamond" w:hAnsi="Garamond"/>
        </w:rPr>
        <w:fldChar w:fldCharType="end"/>
      </w:r>
      <w:r w:rsidR="008373CC" w:rsidRPr="00623DD7">
        <w:rPr>
          <w:rFonts w:ascii="Garamond" w:hAnsi="Garamond"/>
        </w:rPr>
        <w:t>. The increment of the share of fuel imports value was also due to the price rises in the early 2000s</w:t>
      </w:r>
      <w:r w:rsidR="008373CC">
        <w:rPr>
          <w:rFonts w:asciiTheme="majorHAnsi" w:hAnsiTheme="majorHAnsi"/>
          <w:sz w:val="22"/>
          <w:szCs w:val="22"/>
        </w:rPr>
        <w:t>.</w:t>
      </w:r>
    </w:p>
    <w:p w:rsidR="001025E8" w:rsidRDefault="001025E8" w:rsidP="001025E8">
      <w:pPr>
        <w:jc w:val="both"/>
        <w:rPr>
          <w:rFonts w:asciiTheme="majorHAnsi" w:hAnsiTheme="majorHAnsi"/>
          <w:sz w:val="22"/>
          <w:szCs w:val="22"/>
        </w:rPr>
      </w:pPr>
    </w:p>
    <w:p w:rsidR="001025E8" w:rsidRPr="00623DD7" w:rsidRDefault="001025E8" w:rsidP="001025E8">
      <w:pPr>
        <w:jc w:val="both"/>
        <w:rPr>
          <w:rFonts w:ascii="Garamond" w:hAnsi="Garamond"/>
        </w:rPr>
      </w:pPr>
      <w:r w:rsidRPr="00623DD7">
        <w:rPr>
          <w:rFonts w:ascii="Garamond" w:hAnsi="Garamond"/>
        </w:rPr>
        <w:t>Indonesia imports over the decades have been dominated by the manufactures imports. Even though Indonesia has developed its manufactures sector, Indonesia still dependent on imports of technological product particularly advanced technology and Indonesia also recognized as net importer of technology</w:t>
      </w:r>
      <w:r w:rsidR="00623DD7" w:rsidRPr="00623DD7">
        <w:rPr>
          <w:rFonts w:ascii="Garamond" w:hAnsi="Garamond"/>
        </w:rPr>
        <w:t xml:space="preserve"> </w:t>
      </w:r>
      <w:r w:rsidR="00496FE5" w:rsidRPr="00623DD7">
        <w:rPr>
          <w:rFonts w:ascii="Garamond" w:hAnsi="Garamond"/>
        </w:rPr>
        <w:fldChar w:fldCharType="begin"/>
      </w:r>
      <w:r w:rsidR="00623DD7" w:rsidRPr="00623DD7">
        <w:rPr>
          <w:rFonts w:ascii="Garamond" w:hAnsi="Garamond"/>
        </w:rPr>
        <w:instrText>ADDIN RW.CITE{{172 Madanmohan,T.R. 2004}}</w:instrText>
      </w:r>
      <w:r w:rsidR="00496FE5" w:rsidRPr="00623DD7">
        <w:rPr>
          <w:rFonts w:ascii="Garamond" w:hAnsi="Garamond"/>
        </w:rPr>
        <w:fldChar w:fldCharType="separate"/>
      </w:r>
      <w:r w:rsidR="00623DD7" w:rsidRPr="00623DD7">
        <w:rPr>
          <w:rFonts w:ascii="Garamond" w:hAnsi="Garamond"/>
        </w:rPr>
        <w:t>(Madanmohan et al. 2004)</w:t>
      </w:r>
      <w:r w:rsidR="00496FE5" w:rsidRPr="00623DD7">
        <w:rPr>
          <w:rFonts w:ascii="Garamond" w:hAnsi="Garamond"/>
        </w:rPr>
        <w:fldChar w:fldCharType="end"/>
      </w:r>
      <w:r w:rsidRPr="00623DD7">
        <w:rPr>
          <w:rFonts w:ascii="Garamond" w:hAnsi="Garamond"/>
        </w:rPr>
        <w:t>.</w:t>
      </w:r>
    </w:p>
    <w:p w:rsidR="001025E8" w:rsidRPr="00623DD7" w:rsidRDefault="001025E8" w:rsidP="001025E8">
      <w:pPr>
        <w:jc w:val="both"/>
        <w:rPr>
          <w:rFonts w:ascii="Garamond" w:hAnsi="Garamond"/>
        </w:rPr>
      </w:pPr>
    </w:p>
    <w:p w:rsidR="008373CC" w:rsidRPr="00623DD7" w:rsidRDefault="008373CC" w:rsidP="001025E8">
      <w:pPr>
        <w:jc w:val="both"/>
        <w:rPr>
          <w:rFonts w:ascii="Garamond" w:hAnsi="Garamond"/>
        </w:rPr>
      </w:pPr>
      <w:r w:rsidRPr="00623DD7">
        <w:rPr>
          <w:rFonts w:ascii="Garamond" w:hAnsi="Garamond"/>
        </w:rPr>
        <w:t xml:space="preserve">In sum, the increment in import value of commodity both oil and non oil was due to the rise of global commodity prices instead of the rise in volume per se. The volume of commodity imports only raises in several years such as in the early 2000s but later it decline but this volume increase propelled by the rise of the prices hence </w:t>
      </w:r>
      <w:r w:rsidR="008D3248" w:rsidRPr="00623DD7">
        <w:rPr>
          <w:rFonts w:ascii="Garamond" w:hAnsi="Garamond"/>
        </w:rPr>
        <w:t>causes</w:t>
      </w:r>
      <w:r w:rsidRPr="00623DD7">
        <w:rPr>
          <w:rFonts w:ascii="Garamond" w:hAnsi="Garamond"/>
        </w:rPr>
        <w:t xml:space="preserve"> the value imports to rise. </w:t>
      </w:r>
    </w:p>
    <w:p w:rsidR="001025E8" w:rsidRPr="00623DD7" w:rsidRDefault="00387429" w:rsidP="001025E8">
      <w:pPr>
        <w:pStyle w:val="Heading2"/>
        <w:rPr>
          <w:rFonts w:ascii="Garamond" w:hAnsi="Garamond"/>
          <w:color w:val="auto"/>
          <w:sz w:val="32"/>
          <w:szCs w:val="32"/>
        </w:rPr>
      </w:pPr>
      <w:bookmarkStart w:id="53" w:name="_Toc343007198"/>
      <w:r w:rsidRPr="00623DD7">
        <w:rPr>
          <w:rFonts w:ascii="Garamond" w:hAnsi="Garamond"/>
          <w:color w:val="auto"/>
          <w:sz w:val="32"/>
          <w:szCs w:val="32"/>
        </w:rPr>
        <w:t>4.3</w:t>
      </w:r>
      <w:r w:rsidR="001025E8" w:rsidRPr="00623DD7">
        <w:rPr>
          <w:rFonts w:ascii="Garamond" w:hAnsi="Garamond"/>
          <w:color w:val="auto"/>
          <w:sz w:val="32"/>
          <w:szCs w:val="32"/>
        </w:rPr>
        <w:t xml:space="preserve"> Impact of</w:t>
      </w:r>
      <w:r w:rsidRPr="00623DD7">
        <w:rPr>
          <w:rFonts w:ascii="Garamond" w:hAnsi="Garamond"/>
          <w:color w:val="auto"/>
          <w:sz w:val="32"/>
          <w:szCs w:val="32"/>
        </w:rPr>
        <w:t xml:space="preserve"> c</w:t>
      </w:r>
      <w:r w:rsidR="001025E8" w:rsidRPr="00623DD7">
        <w:rPr>
          <w:rFonts w:ascii="Garamond" w:hAnsi="Garamond"/>
          <w:color w:val="auto"/>
          <w:sz w:val="32"/>
          <w:szCs w:val="32"/>
        </w:rPr>
        <w:t xml:space="preserve">ommodity </w:t>
      </w:r>
      <w:r w:rsidRPr="00623DD7">
        <w:rPr>
          <w:rFonts w:ascii="Garamond" w:hAnsi="Garamond"/>
          <w:color w:val="auto"/>
          <w:sz w:val="32"/>
          <w:szCs w:val="32"/>
        </w:rPr>
        <w:t>d</w:t>
      </w:r>
      <w:r w:rsidR="001025E8" w:rsidRPr="00623DD7">
        <w:rPr>
          <w:rFonts w:ascii="Garamond" w:hAnsi="Garamond"/>
          <w:color w:val="auto"/>
          <w:sz w:val="32"/>
          <w:szCs w:val="32"/>
        </w:rPr>
        <w:t>epende</w:t>
      </w:r>
      <w:r w:rsidRPr="00623DD7">
        <w:rPr>
          <w:rFonts w:ascii="Garamond" w:hAnsi="Garamond"/>
          <w:color w:val="auto"/>
          <w:sz w:val="32"/>
          <w:szCs w:val="32"/>
        </w:rPr>
        <w:t>ncy on economic g</w:t>
      </w:r>
      <w:r w:rsidR="001025E8" w:rsidRPr="00623DD7">
        <w:rPr>
          <w:rFonts w:ascii="Garamond" w:hAnsi="Garamond"/>
          <w:color w:val="auto"/>
          <w:sz w:val="32"/>
          <w:szCs w:val="32"/>
        </w:rPr>
        <w:t>rowth</w:t>
      </w:r>
      <w:bookmarkEnd w:id="53"/>
    </w:p>
    <w:p w:rsidR="001025E8" w:rsidRPr="00623DD7" w:rsidRDefault="000C18DF" w:rsidP="001025E8">
      <w:pPr>
        <w:pStyle w:val="Heading3"/>
        <w:rPr>
          <w:rFonts w:ascii="Garamond" w:hAnsi="Garamond"/>
          <w:bCs w:val="0"/>
          <w:color w:val="auto"/>
          <w:sz w:val="26"/>
          <w:szCs w:val="26"/>
        </w:rPr>
      </w:pPr>
      <w:bookmarkStart w:id="54" w:name="_Toc343007199"/>
      <w:r w:rsidRPr="00623DD7">
        <w:rPr>
          <w:rFonts w:ascii="Garamond" w:hAnsi="Garamond"/>
          <w:color w:val="auto"/>
          <w:sz w:val="26"/>
          <w:szCs w:val="26"/>
        </w:rPr>
        <w:t>4.3.1</w:t>
      </w:r>
      <w:r w:rsidR="00CD02B3" w:rsidRPr="00623DD7">
        <w:rPr>
          <w:rFonts w:ascii="Garamond" w:hAnsi="Garamond"/>
          <w:color w:val="auto"/>
          <w:sz w:val="26"/>
          <w:szCs w:val="26"/>
        </w:rPr>
        <w:t xml:space="preserve"> GDP growth and terms of t</w:t>
      </w:r>
      <w:r w:rsidR="001025E8" w:rsidRPr="00623DD7">
        <w:rPr>
          <w:rFonts w:ascii="Garamond" w:hAnsi="Garamond"/>
          <w:color w:val="auto"/>
          <w:sz w:val="26"/>
          <w:szCs w:val="26"/>
        </w:rPr>
        <w:t>rade</w:t>
      </w:r>
      <w:bookmarkEnd w:id="54"/>
    </w:p>
    <w:p w:rsidR="001025E8" w:rsidRDefault="00C628F6" w:rsidP="001025E8">
      <w:pPr>
        <w:jc w:val="both"/>
        <w:rPr>
          <w:rFonts w:ascii="Garamond" w:hAnsi="Garamond"/>
        </w:rPr>
      </w:pPr>
      <w:r w:rsidRPr="00226527">
        <w:rPr>
          <w:rFonts w:ascii="Garamond" w:hAnsi="Garamond" w:cstheme="majorHAnsi"/>
        </w:rPr>
        <w:t xml:space="preserve">Terms of trade and GDP growth has been argued by many economists to be closely related and plays key role in explaining growth performance of a country </w:t>
      </w:r>
      <w:r w:rsidR="00496FE5">
        <w:rPr>
          <w:rFonts w:ascii="Garamond" w:hAnsi="Garamond" w:cstheme="majorHAnsi"/>
        </w:rPr>
        <w:fldChar w:fldCharType="begin"/>
      </w:r>
      <w:r w:rsidR="00D319B7">
        <w:rPr>
          <w:rFonts w:ascii="Garamond" w:hAnsi="Garamond" w:cstheme="majorHAnsi"/>
        </w:rPr>
        <w:instrText>ADDIN RW.CITE{{224 Barro,RobertJoseph 1995; 223 EASTERLY,W. 1993; 225 Fischer,Stanley 1993}}</w:instrText>
      </w:r>
      <w:r w:rsidR="00496FE5">
        <w:rPr>
          <w:rFonts w:ascii="Garamond" w:hAnsi="Garamond" w:cstheme="majorHAnsi"/>
        </w:rPr>
        <w:fldChar w:fldCharType="separate"/>
      </w:r>
      <w:r w:rsidR="00D319B7">
        <w:rPr>
          <w:rFonts w:ascii="Garamond" w:hAnsi="Garamond" w:cstheme="majorHAnsi"/>
        </w:rPr>
        <w:t>(Barro and Sala i Martin 1995, EASTERLY and REBELO 1993, Fischer 1993)</w:t>
      </w:r>
      <w:r w:rsidR="00496FE5">
        <w:rPr>
          <w:rFonts w:ascii="Garamond" w:hAnsi="Garamond" w:cstheme="majorHAnsi"/>
        </w:rPr>
        <w:fldChar w:fldCharType="end"/>
      </w:r>
      <w:r w:rsidR="001A04DE" w:rsidRPr="00226527">
        <w:rPr>
          <w:rFonts w:ascii="Garamond" w:hAnsi="Garamond" w:cstheme="majorHAnsi"/>
        </w:rPr>
        <w:t xml:space="preserve">. </w:t>
      </w:r>
      <w:r w:rsidR="009B6233" w:rsidRPr="00226527">
        <w:rPr>
          <w:rFonts w:ascii="Garamond" w:hAnsi="Garamond"/>
          <w:lang w:eastAsia="ja-JP"/>
        </w:rPr>
        <w:t xml:space="preserve">Country that specialize in primary commodity would likely to have deterioration in the terms of trade because the primary commodity prices tend to fall relative to those of manufactures where the country will become producer of increasingly cheaper primary commodity and consumer of increasingly expensive manufacture </w:t>
      </w:r>
      <w:r w:rsidR="00496FE5">
        <w:rPr>
          <w:rFonts w:ascii="Garamond" w:hAnsi="Garamond"/>
          <w:lang w:eastAsia="ja-JP"/>
        </w:rPr>
        <w:fldChar w:fldCharType="begin"/>
      </w:r>
      <w:r w:rsidR="00D319B7">
        <w:rPr>
          <w:rFonts w:ascii="Garamond" w:hAnsi="Garamond"/>
          <w:lang w:eastAsia="ja-JP"/>
        </w:rPr>
        <w:instrText>ADDIN RW.CITE{{173 Blattman,Christopher 2003}}</w:instrText>
      </w:r>
      <w:r w:rsidR="00496FE5">
        <w:rPr>
          <w:rFonts w:ascii="Garamond" w:hAnsi="Garamond"/>
          <w:lang w:eastAsia="ja-JP"/>
        </w:rPr>
        <w:fldChar w:fldCharType="separate"/>
      </w:r>
      <w:r w:rsidR="00D319B7">
        <w:rPr>
          <w:rFonts w:ascii="Garamond" w:hAnsi="Garamond"/>
          <w:lang w:eastAsia="ja-JP"/>
        </w:rPr>
        <w:t>(Blattman et al. 2003)</w:t>
      </w:r>
      <w:r w:rsidR="00496FE5">
        <w:rPr>
          <w:rFonts w:ascii="Garamond" w:hAnsi="Garamond"/>
          <w:lang w:eastAsia="ja-JP"/>
        </w:rPr>
        <w:fldChar w:fldCharType="end"/>
      </w:r>
      <w:r w:rsidR="00D319B7">
        <w:rPr>
          <w:rFonts w:ascii="Garamond" w:hAnsi="Garamond"/>
          <w:lang w:eastAsia="ja-JP"/>
        </w:rPr>
        <w:t>.</w:t>
      </w:r>
      <w:r w:rsidR="001A04DE" w:rsidRPr="00226527">
        <w:rPr>
          <w:rFonts w:ascii="Garamond" w:hAnsi="Garamond"/>
        </w:rPr>
        <w:t xml:space="preserve"> Hence, this </w:t>
      </w:r>
      <w:r w:rsidR="009B6233" w:rsidRPr="00226527">
        <w:rPr>
          <w:rFonts w:ascii="Garamond" w:hAnsi="Garamond"/>
        </w:rPr>
        <w:t>part</w:t>
      </w:r>
      <w:r w:rsidR="001A04DE" w:rsidRPr="00226527">
        <w:rPr>
          <w:rFonts w:ascii="Garamond" w:hAnsi="Garamond"/>
        </w:rPr>
        <w:t xml:space="preserve"> would like to analyze on Indonesia GDP growth</w:t>
      </w:r>
      <w:r w:rsidR="00595AF9" w:rsidRPr="00226527">
        <w:rPr>
          <w:rFonts w:ascii="Garamond" w:hAnsi="Garamond"/>
        </w:rPr>
        <w:t xml:space="preserve"> rate</w:t>
      </w:r>
      <w:r w:rsidR="001A04DE" w:rsidRPr="00226527">
        <w:rPr>
          <w:rFonts w:ascii="Garamond" w:hAnsi="Garamond"/>
        </w:rPr>
        <w:t xml:space="preserve"> and the</w:t>
      </w:r>
      <w:r w:rsidR="00595AF9" w:rsidRPr="00226527">
        <w:rPr>
          <w:rFonts w:ascii="Garamond" w:hAnsi="Garamond"/>
        </w:rPr>
        <w:t xml:space="preserve"> change in terms of trade and see if the long term deterioration</w:t>
      </w:r>
      <w:r w:rsidR="00387429" w:rsidRPr="00226527">
        <w:rPr>
          <w:rFonts w:ascii="Garamond" w:hAnsi="Garamond"/>
        </w:rPr>
        <w:t xml:space="preserve"> of terms of trade</w:t>
      </w:r>
      <w:r w:rsidR="00595AF9" w:rsidRPr="00226527">
        <w:rPr>
          <w:rFonts w:ascii="Garamond" w:hAnsi="Garamond"/>
        </w:rPr>
        <w:t xml:space="preserve"> that hamper economic growth imply to Indonesia</w:t>
      </w:r>
      <w:r w:rsidR="00595AF9" w:rsidRPr="00623DD7">
        <w:rPr>
          <w:rFonts w:ascii="Garamond" w:hAnsi="Garamond"/>
        </w:rPr>
        <w:t xml:space="preserve">. </w:t>
      </w:r>
    </w:p>
    <w:p w:rsidR="001A04DE" w:rsidRDefault="001A04DE" w:rsidP="001025E8">
      <w:pPr>
        <w:jc w:val="both"/>
        <w:rPr>
          <w:rFonts w:asciiTheme="majorHAnsi" w:eastAsiaTheme="majorEastAsia" w:hAnsiTheme="majorHAnsi" w:cstheme="majorHAnsi"/>
          <w:bCs/>
          <w:sz w:val="22"/>
          <w:szCs w:val="22"/>
        </w:rPr>
      </w:pPr>
    </w:p>
    <w:p w:rsidR="001025E8" w:rsidRDefault="001025E8" w:rsidP="00C14A4C">
      <w:pP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1025E8" w:rsidRDefault="00295549" w:rsidP="001025E8">
      <w:pPr>
        <w:jc w:val="center"/>
        <w:rPr>
          <w:rFonts w:asciiTheme="majorHAnsi" w:hAnsiTheme="majorHAnsi"/>
          <w:sz w:val="20"/>
          <w:szCs w:val="20"/>
          <w:lang w:eastAsia="ja-JP"/>
        </w:rPr>
      </w:pPr>
      <w:r>
        <w:rPr>
          <w:rFonts w:asciiTheme="majorHAnsi" w:hAnsiTheme="majorHAnsi"/>
          <w:sz w:val="20"/>
          <w:szCs w:val="20"/>
          <w:lang w:eastAsia="ja-JP"/>
        </w:rPr>
        <w:t>Figure 4-10</w:t>
      </w:r>
    </w:p>
    <w:p w:rsidR="001025E8" w:rsidRDefault="001025E8" w:rsidP="001025E8">
      <w:pPr>
        <w:jc w:val="center"/>
        <w:rPr>
          <w:rFonts w:asciiTheme="majorHAnsi" w:hAnsiTheme="majorHAnsi"/>
          <w:sz w:val="20"/>
          <w:szCs w:val="20"/>
          <w:lang w:eastAsia="ja-JP"/>
        </w:rPr>
      </w:pPr>
      <w:r w:rsidRPr="00721C1F">
        <w:rPr>
          <w:rFonts w:asciiTheme="majorHAnsi" w:hAnsiTheme="majorHAnsi"/>
          <w:sz w:val="20"/>
          <w:szCs w:val="20"/>
          <w:lang w:eastAsia="ja-JP"/>
        </w:rPr>
        <w:t>Net Barter TOT Index</w:t>
      </w:r>
      <w:r w:rsidR="00C14A4C">
        <w:rPr>
          <w:rFonts w:asciiTheme="majorHAnsi" w:hAnsiTheme="majorHAnsi"/>
          <w:sz w:val="20"/>
          <w:szCs w:val="20"/>
          <w:lang w:eastAsia="ja-JP"/>
        </w:rPr>
        <w:t xml:space="preserve"> % Change</w:t>
      </w:r>
      <w:r w:rsidRPr="00721C1F">
        <w:rPr>
          <w:rFonts w:asciiTheme="majorHAnsi" w:hAnsiTheme="majorHAnsi"/>
          <w:sz w:val="20"/>
          <w:szCs w:val="20"/>
          <w:lang w:eastAsia="ja-JP"/>
        </w:rPr>
        <w:t xml:space="preserve"> and Annual GDP Growth %</w:t>
      </w:r>
    </w:p>
    <w:p w:rsidR="001025E8" w:rsidRDefault="00C14A4C" w:rsidP="001025E8">
      <w:pPr>
        <w:jc w:val="both"/>
        <w:rPr>
          <w:rFonts w:asciiTheme="majorHAnsi" w:hAnsiTheme="majorHAnsi"/>
          <w:lang w:eastAsia="ja-JP"/>
        </w:rPr>
      </w:pPr>
      <w:r w:rsidRPr="00C14A4C">
        <w:rPr>
          <w:rFonts w:asciiTheme="majorHAnsi" w:hAnsiTheme="majorHAnsi"/>
          <w:noProof/>
        </w:rPr>
        <w:drawing>
          <wp:inline distT="0" distB="0" distL="0" distR="0">
            <wp:extent cx="4688123" cy="2910177"/>
            <wp:effectExtent l="19050" t="0" r="17227" b="4473"/>
            <wp:docPr id="1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1025E8" w:rsidRDefault="001025E8" w:rsidP="001025E8">
      <w:pPr>
        <w:jc w:val="both"/>
        <w:rPr>
          <w:rFonts w:asciiTheme="majorHAnsi" w:hAnsiTheme="majorHAnsi"/>
          <w:i/>
          <w:sz w:val="18"/>
          <w:szCs w:val="18"/>
        </w:rPr>
      </w:pPr>
      <w:r w:rsidRPr="00227036">
        <w:rPr>
          <w:rFonts w:asciiTheme="majorHAnsi" w:hAnsiTheme="majorHAnsi" w:cstheme="majorHAnsi"/>
          <w:i/>
          <w:sz w:val="18"/>
          <w:szCs w:val="18"/>
        </w:rPr>
        <w:t xml:space="preserve">Source: </w:t>
      </w:r>
      <w:r w:rsidR="00BA1005">
        <w:rPr>
          <w:rFonts w:asciiTheme="majorHAnsi" w:hAnsiTheme="majorHAnsi" w:cstheme="majorHAnsi"/>
          <w:i/>
          <w:sz w:val="18"/>
          <w:szCs w:val="18"/>
        </w:rPr>
        <w:t xml:space="preserve">Author’s own illustration base on </w:t>
      </w:r>
      <w:r>
        <w:rPr>
          <w:rFonts w:asciiTheme="majorHAnsi" w:hAnsiTheme="majorHAnsi"/>
          <w:i/>
          <w:sz w:val="18"/>
          <w:szCs w:val="18"/>
        </w:rPr>
        <w:t>World Bank data (World Development Indicators &amp; Global Development Finance) and UNCTAD Statistics</w:t>
      </w:r>
    </w:p>
    <w:p w:rsidR="001025E8" w:rsidRPr="00EA4C1D" w:rsidRDefault="001025E8" w:rsidP="001025E8">
      <w:pPr>
        <w:jc w:val="both"/>
        <w:rPr>
          <w:rFonts w:asciiTheme="majorHAnsi" w:hAnsiTheme="majorHAnsi"/>
          <w:sz w:val="22"/>
          <w:szCs w:val="22"/>
        </w:rPr>
      </w:pPr>
    </w:p>
    <w:p w:rsidR="001025E8" w:rsidRPr="00623DD7" w:rsidRDefault="001025E8" w:rsidP="001025E8">
      <w:pPr>
        <w:jc w:val="both"/>
        <w:rPr>
          <w:rFonts w:ascii="Garamond" w:hAnsi="Garamond" w:cstheme="majorHAnsi"/>
          <w:lang w:eastAsia="ja-JP"/>
        </w:rPr>
      </w:pPr>
      <w:r w:rsidRPr="00623DD7">
        <w:rPr>
          <w:rFonts w:ascii="Garamond" w:hAnsi="Garamond"/>
          <w:lang w:eastAsia="ja-JP"/>
        </w:rPr>
        <w:t>Indonesia in the early development stage in the early 1980s still heavily dependent on primary com</w:t>
      </w:r>
      <w:r w:rsidR="00295549">
        <w:rPr>
          <w:rFonts w:ascii="Garamond" w:hAnsi="Garamond"/>
          <w:lang w:eastAsia="ja-JP"/>
        </w:rPr>
        <w:t>modity exports hence in figure 4-10</w:t>
      </w:r>
      <w:r w:rsidRPr="00623DD7">
        <w:rPr>
          <w:rFonts w:ascii="Garamond" w:hAnsi="Garamond"/>
          <w:lang w:eastAsia="ja-JP"/>
        </w:rPr>
        <w:t xml:space="preserve"> we see that there was deterioration of net b</w:t>
      </w:r>
      <w:r w:rsidR="00CA2476" w:rsidRPr="00623DD7">
        <w:rPr>
          <w:rFonts w:ascii="Garamond" w:hAnsi="Garamond"/>
          <w:lang w:eastAsia="ja-JP"/>
        </w:rPr>
        <w:t>arter TOT from 1980 to the mid-</w:t>
      </w:r>
      <w:r w:rsidRPr="00623DD7">
        <w:rPr>
          <w:rFonts w:ascii="Garamond" w:hAnsi="Garamond"/>
          <w:lang w:eastAsia="ja-JP"/>
        </w:rPr>
        <w:t xml:space="preserve">1980s and </w:t>
      </w:r>
      <w:r w:rsidRPr="00623DD7">
        <w:rPr>
          <w:rFonts w:ascii="Garamond" w:hAnsi="Garamond" w:cstheme="majorHAnsi"/>
          <w:lang w:eastAsia="ja-JP"/>
        </w:rPr>
        <w:t>caused the economic growth to be volatile</w:t>
      </w:r>
      <w:r w:rsidR="00CD02B3" w:rsidRPr="00623DD7">
        <w:rPr>
          <w:rFonts w:ascii="Garamond" w:hAnsi="Garamond" w:cstheme="majorHAnsi"/>
          <w:lang w:eastAsia="ja-JP"/>
        </w:rPr>
        <w:t xml:space="preserve"> and propelled by the import pattern where Indonesia has been importing more than 50% of manufacture products for a long period</w:t>
      </w:r>
      <w:r w:rsidRPr="00623DD7">
        <w:rPr>
          <w:rFonts w:ascii="Garamond" w:hAnsi="Garamond" w:cstheme="majorHAnsi"/>
          <w:lang w:eastAsia="ja-JP"/>
        </w:rPr>
        <w:t xml:space="preserve">. </w:t>
      </w:r>
    </w:p>
    <w:p w:rsidR="001025E8" w:rsidRPr="00623DD7" w:rsidRDefault="001025E8" w:rsidP="001025E8">
      <w:pPr>
        <w:jc w:val="both"/>
        <w:rPr>
          <w:rFonts w:ascii="Garamond" w:hAnsi="Garamond" w:cstheme="majorHAnsi"/>
          <w:lang w:eastAsia="ja-JP"/>
        </w:rPr>
      </w:pPr>
    </w:p>
    <w:p w:rsidR="001025E8" w:rsidRPr="00623DD7" w:rsidRDefault="001025E8" w:rsidP="001025E8">
      <w:pPr>
        <w:jc w:val="both"/>
        <w:rPr>
          <w:rFonts w:ascii="Garamond" w:hAnsi="Garamond" w:cstheme="majorHAnsi"/>
          <w:lang w:eastAsia="ja-JP"/>
        </w:rPr>
      </w:pPr>
      <w:r w:rsidRPr="00623DD7">
        <w:rPr>
          <w:rFonts w:ascii="Garamond" w:hAnsi="Garamond" w:cstheme="majorHAnsi"/>
          <w:lang w:eastAsia="ja-JP"/>
        </w:rPr>
        <w:t>The dat</w:t>
      </w:r>
      <w:r w:rsidR="00295549">
        <w:rPr>
          <w:rFonts w:ascii="Garamond" w:hAnsi="Garamond" w:cstheme="majorHAnsi"/>
          <w:lang w:eastAsia="ja-JP"/>
        </w:rPr>
        <w:t>a used in figure 4-10</w:t>
      </w:r>
      <w:r w:rsidRPr="00623DD7">
        <w:rPr>
          <w:rFonts w:ascii="Garamond" w:hAnsi="Garamond" w:cstheme="majorHAnsi"/>
          <w:lang w:eastAsia="ja-JP"/>
        </w:rPr>
        <w:t xml:space="preserve"> started from 1980 due to the availability of UNC</w:t>
      </w:r>
      <w:r w:rsidR="000C18DF" w:rsidRPr="00623DD7">
        <w:rPr>
          <w:rFonts w:ascii="Garamond" w:hAnsi="Garamond" w:cstheme="majorHAnsi"/>
          <w:lang w:eastAsia="ja-JP"/>
        </w:rPr>
        <w:t>TAD statistics data. In figure 5</w:t>
      </w:r>
      <w:r w:rsidRPr="00623DD7">
        <w:rPr>
          <w:rFonts w:ascii="Garamond" w:hAnsi="Garamond" w:cstheme="majorHAnsi"/>
          <w:lang w:eastAsia="ja-JP"/>
        </w:rPr>
        <w:t xml:space="preserve"> we see that the TOT fell dramatically during the end of oil booms in the mid-1980 when the economy still depend so much on oil exports and its GDP growth also</w:t>
      </w:r>
      <w:r w:rsidR="00CA2476" w:rsidRPr="00623DD7">
        <w:rPr>
          <w:rFonts w:ascii="Garamond" w:hAnsi="Garamond" w:cstheme="majorHAnsi"/>
          <w:lang w:eastAsia="ja-JP"/>
        </w:rPr>
        <w:t xml:space="preserve"> fell in 1982 and the mid-1980s where high dependency on oil cause the terms of trade to be highly volatile</w:t>
      </w:r>
      <w:r w:rsidR="00623DD7" w:rsidRPr="00623DD7">
        <w:rPr>
          <w:rFonts w:ascii="Garamond" w:hAnsi="Garamond" w:cstheme="majorHAnsi"/>
          <w:lang w:eastAsia="ja-JP"/>
        </w:rPr>
        <w:t xml:space="preserve"> </w:t>
      </w:r>
      <w:r w:rsidR="00496FE5" w:rsidRPr="00623DD7">
        <w:rPr>
          <w:rFonts w:ascii="Garamond" w:hAnsi="Garamond" w:cstheme="majorHAnsi"/>
          <w:lang w:eastAsia="ja-JP"/>
        </w:rPr>
        <w:fldChar w:fldCharType="begin"/>
      </w:r>
      <w:r w:rsidR="00623DD7" w:rsidRPr="00623DD7">
        <w:rPr>
          <w:rFonts w:ascii="Garamond" w:hAnsi="Garamond" w:cstheme="majorHAnsi"/>
          <w:lang w:eastAsia="ja-JP"/>
        </w:rPr>
        <w:instrText>ADDIN RW.CITE{{218 Backus,DavidK. 2000}}</w:instrText>
      </w:r>
      <w:r w:rsidR="00496FE5" w:rsidRPr="00623DD7">
        <w:rPr>
          <w:rFonts w:ascii="Garamond" w:hAnsi="Garamond" w:cstheme="majorHAnsi"/>
          <w:lang w:eastAsia="ja-JP"/>
        </w:rPr>
        <w:fldChar w:fldCharType="separate"/>
      </w:r>
      <w:r w:rsidR="00623DD7" w:rsidRPr="00623DD7">
        <w:rPr>
          <w:rFonts w:ascii="Garamond" w:hAnsi="Garamond" w:cstheme="majorHAnsi"/>
          <w:lang w:eastAsia="ja-JP"/>
        </w:rPr>
        <w:t>(Backus and Crucini 2000)</w:t>
      </w:r>
      <w:r w:rsidR="00496FE5" w:rsidRPr="00623DD7">
        <w:rPr>
          <w:rFonts w:ascii="Garamond" w:hAnsi="Garamond" w:cstheme="majorHAnsi"/>
          <w:lang w:eastAsia="ja-JP"/>
        </w:rPr>
        <w:fldChar w:fldCharType="end"/>
      </w:r>
      <w:r w:rsidR="00CA2476" w:rsidRPr="00623DD7">
        <w:rPr>
          <w:rFonts w:ascii="Garamond" w:hAnsi="Garamond" w:cstheme="majorHAnsi"/>
          <w:lang w:eastAsia="ja-JP"/>
        </w:rPr>
        <w:t xml:space="preserve">.  </w:t>
      </w:r>
      <w:r w:rsidRPr="00623DD7">
        <w:rPr>
          <w:rFonts w:ascii="Garamond" w:hAnsi="Garamond" w:cstheme="majorHAnsi"/>
          <w:lang w:eastAsia="ja-JP"/>
        </w:rPr>
        <w:t xml:space="preserve">After the oil boom era in 1982, the growth in manufacturing sector that boosted by the manufacture exports has played an important role as the source of export revenue and also as the major engine of Indonesia economic growth in the late 1980s </w:t>
      </w:r>
      <w:r w:rsidR="00496FE5" w:rsidRPr="00623DD7">
        <w:rPr>
          <w:rFonts w:ascii="Garamond" w:hAnsi="Garamond" w:cstheme="majorHAnsi"/>
          <w:lang w:eastAsia="ja-JP"/>
        </w:rPr>
        <w:fldChar w:fldCharType="begin"/>
      </w:r>
      <w:r w:rsidR="00623DD7" w:rsidRPr="00623DD7">
        <w:rPr>
          <w:rFonts w:ascii="Garamond" w:hAnsi="Garamond" w:cstheme="majorHAnsi"/>
          <w:lang w:eastAsia="ja-JP"/>
        </w:rPr>
        <w:instrText>ADDIN RW.CITE{{180 Wie,TheeKian 2010}}</w:instrText>
      </w:r>
      <w:r w:rsidR="00496FE5" w:rsidRPr="00623DD7">
        <w:rPr>
          <w:rFonts w:ascii="Garamond" w:hAnsi="Garamond" w:cstheme="majorHAnsi"/>
          <w:lang w:eastAsia="ja-JP"/>
        </w:rPr>
        <w:fldChar w:fldCharType="separate"/>
      </w:r>
      <w:r w:rsidR="00623DD7" w:rsidRPr="00623DD7">
        <w:rPr>
          <w:rFonts w:ascii="Garamond" w:hAnsi="Garamond" w:cstheme="majorHAnsi"/>
          <w:lang w:eastAsia="ja-JP"/>
        </w:rPr>
        <w:t>(Wie 2010)</w:t>
      </w:r>
      <w:r w:rsidR="00496FE5" w:rsidRPr="00623DD7">
        <w:rPr>
          <w:rFonts w:ascii="Garamond" w:hAnsi="Garamond" w:cstheme="majorHAnsi"/>
          <w:lang w:eastAsia="ja-JP"/>
        </w:rPr>
        <w:fldChar w:fldCharType="end"/>
      </w:r>
      <w:r w:rsidRPr="00623DD7">
        <w:rPr>
          <w:rFonts w:ascii="Garamond" w:hAnsi="Garamond" w:cstheme="majorHAnsi"/>
          <w:lang w:eastAsia="ja-JP"/>
        </w:rPr>
        <w:t>.</w:t>
      </w:r>
      <w:r w:rsidR="00CD02B3" w:rsidRPr="00623DD7">
        <w:rPr>
          <w:rFonts w:ascii="Garamond" w:hAnsi="Garamond" w:cstheme="majorHAnsi"/>
          <w:lang w:eastAsia="ja-JP"/>
        </w:rPr>
        <w:t xml:space="preserve"> Since then, as shown in table 9</w:t>
      </w:r>
      <w:r w:rsidRPr="00623DD7">
        <w:rPr>
          <w:rFonts w:ascii="Garamond" w:hAnsi="Garamond" w:cstheme="majorHAnsi"/>
          <w:lang w:eastAsia="ja-JP"/>
        </w:rPr>
        <w:t xml:space="preserve"> that in 1990</w:t>
      </w:r>
      <w:r w:rsidR="00CD02B3" w:rsidRPr="00623DD7">
        <w:rPr>
          <w:rFonts w:ascii="Garamond" w:hAnsi="Garamond" w:cstheme="majorHAnsi"/>
          <w:lang w:eastAsia="ja-JP"/>
        </w:rPr>
        <w:t>s</w:t>
      </w:r>
      <w:r w:rsidRPr="00623DD7">
        <w:rPr>
          <w:rFonts w:ascii="Garamond" w:hAnsi="Garamond" w:cstheme="majorHAnsi"/>
          <w:lang w:eastAsia="ja-JP"/>
        </w:rPr>
        <w:t xml:space="preserve"> the manufacture exports share of total merchandise exports was </w:t>
      </w:r>
      <w:r w:rsidR="00CD02B3" w:rsidRPr="00623DD7">
        <w:rPr>
          <w:rFonts w:ascii="Garamond" w:hAnsi="Garamond" w:cstheme="majorHAnsi"/>
          <w:lang w:eastAsia="ja-JP"/>
        </w:rPr>
        <w:t>on average 47</w:t>
      </w:r>
      <w:r w:rsidR="000C18DF" w:rsidRPr="00623DD7">
        <w:rPr>
          <w:rFonts w:ascii="Garamond" w:hAnsi="Garamond" w:cstheme="majorHAnsi"/>
          <w:lang w:eastAsia="ja-JP"/>
        </w:rPr>
        <w:t>% and figure 5</w:t>
      </w:r>
      <w:r w:rsidRPr="00623DD7">
        <w:rPr>
          <w:rFonts w:ascii="Garamond" w:hAnsi="Garamond" w:cstheme="majorHAnsi"/>
          <w:lang w:eastAsia="ja-JP"/>
        </w:rPr>
        <w:t xml:space="preserve"> shows that the TOT started to rise in the late 1980s and Indonesia economic growth became more stable in 1990 onwards until 2010 as the TOT improve. </w:t>
      </w:r>
    </w:p>
    <w:p w:rsidR="001025E8" w:rsidRPr="00623DD7" w:rsidRDefault="001025E8" w:rsidP="001025E8">
      <w:pPr>
        <w:jc w:val="both"/>
        <w:rPr>
          <w:rFonts w:ascii="Garamond" w:hAnsi="Garamond" w:cstheme="majorHAnsi"/>
          <w:lang w:eastAsia="ja-JP"/>
        </w:rPr>
      </w:pPr>
    </w:p>
    <w:p w:rsidR="001025E8" w:rsidRDefault="001025E8" w:rsidP="001025E8">
      <w:pPr>
        <w:jc w:val="both"/>
        <w:rPr>
          <w:rFonts w:asciiTheme="majorHAnsi" w:hAnsiTheme="majorHAnsi" w:cstheme="majorHAnsi"/>
          <w:sz w:val="22"/>
          <w:szCs w:val="22"/>
          <w:lang w:eastAsia="ja-JP"/>
        </w:rPr>
      </w:pPr>
      <w:r w:rsidRPr="00623DD7">
        <w:rPr>
          <w:rFonts w:ascii="Garamond" w:hAnsi="Garamond" w:cstheme="majorHAnsi"/>
          <w:lang w:eastAsia="ja-JP"/>
        </w:rPr>
        <w:t xml:space="preserve">In sum, Indonesia economy growth was volatile during the early 1980s as they were still heavily dependent on primary commodity exports revenue. However, in the late 1980s until 2010 as its exports was dominated by the manufacture sector, the net barter TOT index </w:t>
      </w:r>
      <w:r w:rsidR="00CD02B3" w:rsidRPr="00623DD7">
        <w:rPr>
          <w:rFonts w:ascii="Garamond" w:hAnsi="Garamond" w:cstheme="majorHAnsi"/>
          <w:lang w:eastAsia="ja-JP"/>
        </w:rPr>
        <w:t xml:space="preserve">percentage change </w:t>
      </w:r>
      <w:r w:rsidRPr="00623DD7">
        <w:rPr>
          <w:rFonts w:ascii="Garamond" w:hAnsi="Garamond" w:cstheme="majorHAnsi"/>
          <w:lang w:eastAsia="ja-JP"/>
        </w:rPr>
        <w:t>show upward trend and the annual GDP growth rate became less volatile and more stable as Indonesia became less dependent on commodity exports and the growth in manufacturing sector.</w:t>
      </w:r>
      <w:r w:rsidR="00FB14D1" w:rsidRPr="00623DD7">
        <w:rPr>
          <w:rFonts w:ascii="Garamond" w:hAnsi="Garamond" w:cstheme="majorHAnsi"/>
          <w:lang w:eastAsia="ja-JP"/>
        </w:rPr>
        <w:t xml:space="preserve"> </w:t>
      </w:r>
      <w:r w:rsidR="00CD02B3" w:rsidRPr="00623DD7">
        <w:rPr>
          <w:rFonts w:ascii="Garamond" w:hAnsi="Garamond" w:cstheme="majorHAnsi"/>
          <w:lang w:eastAsia="ja-JP"/>
        </w:rPr>
        <w:t>Hence</w:t>
      </w:r>
      <w:r w:rsidR="00FB14D1" w:rsidRPr="00623DD7">
        <w:rPr>
          <w:rFonts w:ascii="Garamond" w:hAnsi="Garamond" w:cstheme="majorHAnsi"/>
          <w:lang w:eastAsia="ja-JP"/>
        </w:rPr>
        <w:t>, from</w:t>
      </w:r>
      <w:r w:rsidR="00CD02B3" w:rsidRPr="00623DD7">
        <w:rPr>
          <w:rFonts w:ascii="Garamond" w:hAnsi="Garamond" w:cstheme="majorHAnsi"/>
          <w:lang w:eastAsia="ja-JP"/>
        </w:rPr>
        <w:t xml:space="preserve"> the figure 4</w:t>
      </w:r>
      <w:r w:rsidR="00E975D9">
        <w:rPr>
          <w:rFonts w:ascii="Garamond" w:hAnsi="Garamond" w:cstheme="majorHAnsi"/>
          <w:lang w:eastAsia="ja-JP"/>
        </w:rPr>
        <w:t>-10</w:t>
      </w:r>
      <w:r w:rsidR="00CD02B3" w:rsidRPr="00623DD7">
        <w:rPr>
          <w:rFonts w:ascii="Garamond" w:hAnsi="Garamond" w:cstheme="majorHAnsi"/>
          <w:lang w:eastAsia="ja-JP"/>
        </w:rPr>
        <w:t xml:space="preserve"> above we see that there is </w:t>
      </w:r>
      <w:r w:rsidR="00CD02B3" w:rsidRPr="00623DD7">
        <w:rPr>
          <w:rFonts w:ascii="Garamond" w:hAnsi="Garamond" w:cstheme="majorHAnsi"/>
          <w:lang w:eastAsia="ja-JP"/>
        </w:rPr>
        <w:lastRenderedPageBreak/>
        <w:t>no evidence of long term deterioration of terms of trade</w:t>
      </w:r>
      <w:r w:rsidR="00FB14D1" w:rsidRPr="00623DD7">
        <w:rPr>
          <w:rFonts w:ascii="Garamond" w:hAnsi="Garamond" w:cstheme="majorHAnsi"/>
          <w:lang w:eastAsia="ja-JP"/>
        </w:rPr>
        <w:t xml:space="preserve"> in Indonesia as commodity dependence country</w:t>
      </w:r>
      <w:r w:rsidR="00CD02B3" w:rsidRPr="00623DD7">
        <w:rPr>
          <w:rFonts w:ascii="Garamond" w:hAnsi="Garamond" w:cstheme="majorHAnsi"/>
          <w:lang w:eastAsia="ja-JP"/>
        </w:rPr>
        <w:t xml:space="preserve"> instead the trend was upward sloping. </w:t>
      </w:r>
    </w:p>
    <w:p w:rsidR="001025E8" w:rsidRPr="00623DD7" w:rsidRDefault="00B8014A" w:rsidP="001025E8">
      <w:pPr>
        <w:pStyle w:val="Heading3"/>
        <w:rPr>
          <w:rFonts w:ascii="Garamond" w:hAnsi="Garamond"/>
          <w:color w:val="auto"/>
          <w:sz w:val="26"/>
          <w:szCs w:val="26"/>
        </w:rPr>
      </w:pPr>
      <w:bookmarkStart w:id="55" w:name="_Toc209559692"/>
      <w:bookmarkStart w:id="56" w:name="_Toc343007200"/>
      <w:r w:rsidRPr="00623DD7">
        <w:rPr>
          <w:rFonts w:ascii="Garamond" w:hAnsi="Garamond"/>
          <w:color w:val="auto"/>
          <w:sz w:val="26"/>
          <w:szCs w:val="26"/>
        </w:rPr>
        <w:t>4.3.3</w:t>
      </w:r>
      <w:r w:rsidR="001025E8" w:rsidRPr="00623DD7">
        <w:rPr>
          <w:rFonts w:ascii="Garamond" w:hAnsi="Garamond"/>
          <w:color w:val="auto"/>
          <w:sz w:val="26"/>
          <w:szCs w:val="26"/>
        </w:rPr>
        <w:t xml:space="preserve"> </w:t>
      </w:r>
      <w:bookmarkEnd w:id="55"/>
      <w:r w:rsidR="001025E8" w:rsidRPr="00623DD7">
        <w:rPr>
          <w:rFonts w:ascii="Garamond" w:hAnsi="Garamond"/>
          <w:color w:val="auto"/>
          <w:sz w:val="26"/>
          <w:szCs w:val="26"/>
        </w:rPr>
        <w:t xml:space="preserve">GDP </w:t>
      </w:r>
      <w:r w:rsidRPr="00623DD7">
        <w:rPr>
          <w:rFonts w:ascii="Garamond" w:hAnsi="Garamond"/>
          <w:color w:val="auto"/>
          <w:sz w:val="26"/>
          <w:szCs w:val="26"/>
        </w:rPr>
        <w:t>growth and exports g</w:t>
      </w:r>
      <w:r w:rsidR="001025E8" w:rsidRPr="00623DD7">
        <w:rPr>
          <w:rFonts w:ascii="Garamond" w:hAnsi="Garamond"/>
          <w:color w:val="auto"/>
          <w:sz w:val="26"/>
          <w:szCs w:val="26"/>
        </w:rPr>
        <w:t>rowth</w:t>
      </w:r>
      <w:bookmarkEnd w:id="56"/>
    </w:p>
    <w:p w:rsidR="001025E8" w:rsidRPr="00623DD7" w:rsidRDefault="001025E8" w:rsidP="001025E8">
      <w:pPr>
        <w:jc w:val="both"/>
        <w:rPr>
          <w:rFonts w:ascii="Garamond" w:hAnsi="Garamond" w:cstheme="majorHAnsi"/>
        </w:rPr>
      </w:pPr>
      <w:r w:rsidRPr="00623DD7">
        <w:rPr>
          <w:rFonts w:ascii="Garamond" w:hAnsi="Garamond" w:cstheme="majorHAnsi"/>
        </w:rPr>
        <w:t xml:space="preserve">In 1973 and 1979 when the oil price booms, Indonesia gain tremendous revenue from the shocks and it was accounted for ¾ of its exports revenue </w:t>
      </w:r>
      <w:r w:rsidR="00496FE5" w:rsidRPr="00623DD7">
        <w:rPr>
          <w:rFonts w:ascii="Garamond" w:hAnsi="Garamond" w:cstheme="majorHAnsi"/>
        </w:rPr>
        <w:fldChar w:fldCharType="begin"/>
      </w:r>
      <w:r w:rsidR="00623DD7" w:rsidRPr="00623DD7">
        <w:rPr>
          <w:rFonts w:ascii="Garamond" w:hAnsi="Garamond" w:cstheme="majorHAnsi"/>
        </w:rPr>
        <w:instrText>ADDIN RW.CITE{{150 Warr,PeterG 1986; 164 Jacob,Jojo 2005}}</w:instrText>
      </w:r>
      <w:r w:rsidR="00496FE5" w:rsidRPr="00623DD7">
        <w:rPr>
          <w:rFonts w:ascii="Garamond" w:hAnsi="Garamond" w:cstheme="majorHAnsi"/>
        </w:rPr>
        <w:fldChar w:fldCharType="separate"/>
      </w:r>
      <w:r w:rsidR="00623DD7" w:rsidRPr="00623DD7">
        <w:rPr>
          <w:rFonts w:ascii="Garamond" w:hAnsi="Garamond" w:cstheme="majorHAnsi"/>
        </w:rPr>
        <w:t>(Warr 1986, Jacob 2005)</w:t>
      </w:r>
      <w:r w:rsidR="00496FE5" w:rsidRPr="00623DD7">
        <w:rPr>
          <w:rFonts w:ascii="Garamond" w:hAnsi="Garamond" w:cstheme="majorHAnsi"/>
        </w:rPr>
        <w:fldChar w:fldCharType="end"/>
      </w:r>
      <w:r w:rsidRPr="00623DD7">
        <w:rPr>
          <w:rFonts w:ascii="Garamond" w:hAnsi="Garamond" w:cstheme="majorHAnsi"/>
        </w:rPr>
        <w:t xml:space="preserve">. The oil exports were the engine of growth for Indonesia economy during this period </w:t>
      </w:r>
      <w:r w:rsidR="00496FE5" w:rsidRPr="00623DD7">
        <w:rPr>
          <w:rFonts w:ascii="Garamond" w:hAnsi="Garamond" w:cstheme="majorHAnsi"/>
        </w:rPr>
        <w:fldChar w:fldCharType="begin"/>
      </w:r>
      <w:r w:rsidR="00623DD7" w:rsidRPr="00623DD7">
        <w:rPr>
          <w:rFonts w:ascii="Garamond" w:hAnsi="Garamond" w:cstheme="majorHAnsi"/>
        </w:rPr>
        <w:instrText>ADDIN RW.CITE{{151 Kuncoro,A 2003}}</w:instrText>
      </w:r>
      <w:r w:rsidR="00496FE5" w:rsidRPr="00623DD7">
        <w:rPr>
          <w:rFonts w:ascii="Garamond" w:hAnsi="Garamond" w:cstheme="majorHAnsi"/>
        </w:rPr>
        <w:fldChar w:fldCharType="separate"/>
      </w:r>
      <w:r w:rsidR="00623DD7" w:rsidRPr="00623DD7">
        <w:rPr>
          <w:rFonts w:ascii="Garamond" w:hAnsi="Garamond" w:cstheme="majorHAnsi"/>
        </w:rPr>
        <w:t>(Kuncoro and Resosudarmo 2003)</w:t>
      </w:r>
      <w:r w:rsidR="00496FE5" w:rsidRPr="00623DD7">
        <w:rPr>
          <w:rFonts w:ascii="Garamond" w:hAnsi="Garamond" w:cstheme="majorHAnsi"/>
        </w:rPr>
        <w:fldChar w:fldCharType="end"/>
      </w:r>
      <w:r w:rsidRPr="00623DD7">
        <w:rPr>
          <w:rFonts w:ascii="Garamond" w:hAnsi="Garamond" w:cstheme="majorHAnsi"/>
        </w:rPr>
        <w:t xml:space="preserve"> and the revenue created by the oil booms were used to finance the development strategy which emphasized on the development in agriculture sector, infrastructure, education and capital intensive industry and the highest proportion of the revenue was used in the agriculture sector hence the technical progress in agriculture played significant role in Indonesia economic growth </w:t>
      </w:r>
      <w:r w:rsidR="00496FE5" w:rsidRPr="00623DD7">
        <w:rPr>
          <w:rFonts w:ascii="Garamond" w:hAnsi="Garamond" w:cstheme="majorHAnsi"/>
        </w:rPr>
        <w:fldChar w:fldCharType="begin"/>
      </w:r>
      <w:r w:rsidR="00623DD7" w:rsidRPr="00623DD7">
        <w:rPr>
          <w:rFonts w:ascii="Garamond" w:hAnsi="Garamond" w:cstheme="majorHAnsi"/>
        </w:rPr>
        <w:instrText>ADDIN RW.CITE{{141 Temple,Jonathan 2001}}</w:instrText>
      </w:r>
      <w:r w:rsidR="00496FE5" w:rsidRPr="00623DD7">
        <w:rPr>
          <w:rFonts w:ascii="Garamond" w:hAnsi="Garamond" w:cstheme="majorHAnsi"/>
        </w:rPr>
        <w:fldChar w:fldCharType="separate"/>
      </w:r>
      <w:r w:rsidR="00623DD7" w:rsidRPr="00623DD7">
        <w:rPr>
          <w:rFonts w:ascii="Garamond" w:hAnsi="Garamond" w:cstheme="majorHAnsi"/>
        </w:rPr>
        <w:t>(Temple 2001)</w:t>
      </w:r>
      <w:r w:rsidR="00496FE5" w:rsidRPr="00623DD7">
        <w:rPr>
          <w:rFonts w:ascii="Garamond" w:hAnsi="Garamond" w:cstheme="majorHAnsi"/>
        </w:rPr>
        <w:fldChar w:fldCharType="end"/>
      </w:r>
      <w:r w:rsidRPr="00623DD7">
        <w:rPr>
          <w:rFonts w:ascii="Garamond" w:hAnsi="Garamond" w:cstheme="majorHAnsi"/>
        </w:rPr>
        <w:t>.</w:t>
      </w:r>
      <w:r w:rsidRPr="00623DD7">
        <w:rPr>
          <w:rStyle w:val="CommentReference"/>
          <w:rFonts w:ascii="Garamond" w:hAnsi="Garamond" w:cstheme="majorHAnsi"/>
          <w:sz w:val="24"/>
          <w:szCs w:val="24"/>
        </w:rPr>
        <w:t xml:space="preserve"> A</w:t>
      </w:r>
      <w:r w:rsidR="001A3342">
        <w:rPr>
          <w:rFonts w:ascii="Garamond" w:hAnsi="Garamond" w:cstheme="majorHAnsi"/>
        </w:rPr>
        <w:t>s shown in table 4-5</w:t>
      </w:r>
      <w:r w:rsidRPr="00623DD7">
        <w:rPr>
          <w:rFonts w:ascii="Garamond" w:hAnsi="Garamond" w:cstheme="majorHAnsi"/>
        </w:rPr>
        <w:t xml:space="preserve"> that during the year of 1970 to 1979 Indonesia economic growths on average was 8%, where more than 50% of total merchandise exports </w:t>
      </w:r>
      <w:r w:rsidR="00760AB4" w:rsidRPr="00623DD7">
        <w:rPr>
          <w:rFonts w:ascii="Garamond" w:hAnsi="Garamond" w:cstheme="majorHAnsi"/>
        </w:rPr>
        <w:t>were</w:t>
      </w:r>
      <w:r w:rsidRPr="00623DD7">
        <w:rPr>
          <w:rFonts w:ascii="Garamond" w:hAnsi="Garamond" w:cstheme="majorHAnsi"/>
        </w:rPr>
        <w:t xml:space="preserve"> fuel exports and 22% was agriculture raw material exports.</w:t>
      </w:r>
    </w:p>
    <w:p w:rsidR="001025E8" w:rsidRPr="00623DD7" w:rsidRDefault="001025E8" w:rsidP="001025E8">
      <w:pPr>
        <w:jc w:val="both"/>
        <w:rPr>
          <w:rFonts w:ascii="Garamond" w:hAnsi="Garamond" w:cstheme="majorHAnsi"/>
        </w:rPr>
      </w:pPr>
    </w:p>
    <w:p w:rsidR="00B87F2B" w:rsidRPr="00623DD7" w:rsidRDefault="001025E8" w:rsidP="00B87F2B">
      <w:pPr>
        <w:jc w:val="both"/>
        <w:rPr>
          <w:rFonts w:ascii="Garamond" w:hAnsi="Garamond" w:cstheme="majorHAnsi"/>
        </w:rPr>
      </w:pPr>
      <w:r w:rsidRPr="00623DD7">
        <w:rPr>
          <w:rFonts w:ascii="Garamond" w:hAnsi="Garamond" w:cstheme="majorHAnsi"/>
        </w:rPr>
        <w:t>During 1970s to 1980s Indonesia economic growth was vulnerable to the global commodity prices as it was still heavily dependent on commodity exports for exports earnings</w:t>
      </w:r>
      <w:r w:rsidR="003A4B8E" w:rsidRPr="00623DD7">
        <w:rPr>
          <w:rFonts w:ascii="Garamond" w:hAnsi="Garamond" w:cstheme="majorHAnsi"/>
        </w:rPr>
        <w:t xml:space="preserve"> particularly fuel exports</w:t>
      </w:r>
      <w:r w:rsidRPr="00623DD7">
        <w:rPr>
          <w:rFonts w:ascii="Garamond" w:hAnsi="Garamond" w:cstheme="majorHAnsi"/>
        </w:rPr>
        <w:t xml:space="preserve"> hence what happened in 1980s was oil exports revenue decline as there were declining oil price in 1982 and sharp falls in the next 3 years followed by the world declining demand of agriculture products in 1980 hence in 1982 Indonesia’s growth rate was only 1% </w:t>
      </w:r>
      <w:r w:rsidR="00496FE5" w:rsidRPr="00623DD7">
        <w:rPr>
          <w:rFonts w:ascii="Garamond" w:hAnsi="Garamond" w:cstheme="majorHAnsi"/>
        </w:rPr>
        <w:fldChar w:fldCharType="begin"/>
      </w:r>
      <w:r w:rsidR="00623DD7" w:rsidRPr="00623DD7">
        <w:rPr>
          <w:rFonts w:ascii="Garamond" w:hAnsi="Garamond" w:cstheme="majorHAnsi"/>
        </w:rPr>
        <w:instrText>ADDIN RW.CITE{{151 Kuncoro,A 2003}}</w:instrText>
      </w:r>
      <w:r w:rsidR="00496FE5" w:rsidRPr="00623DD7">
        <w:rPr>
          <w:rFonts w:ascii="Garamond" w:hAnsi="Garamond" w:cstheme="majorHAnsi"/>
        </w:rPr>
        <w:fldChar w:fldCharType="separate"/>
      </w:r>
      <w:r w:rsidR="00623DD7" w:rsidRPr="00623DD7">
        <w:rPr>
          <w:rFonts w:ascii="Garamond" w:hAnsi="Garamond" w:cstheme="majorHAnsi"/>
        </w:rPr>
        <w:t>(Kuncoro and Resosudarmo 2003)</w:t>
      </w:r>
      <w:r w:rsidR="00496FE5" w:rsidRPr="00623DD7">
        <w:rPr>
          <w:rFonts w:ascii="Garamond" w:hAnsi="Garamond" w:cstheme="majorHAnsi"/>
        </w:rPr>
        <w:fldChar w:fldCharType="end"/>
      </w:r>
      <w:r w:rsidRPr="00623DD7">
        <w:rPr>
          <w:rFonts w:ascii="Garamond" w:hAnsi="Garamond" w:cstheme="majorHAnsi"/>
        </w:rPr>
        <w:t>and sharp rise in current account deficit</w:t>
      </w:r>
      <w:r w:rsidR="00623DD7" w:rsidRPr="00623DD7">
        <w:rPr>
          <w:rFonts w:ascii="Garamond" w:hAnsi="Garamond" w:cstheme="majorHAnsi"/>
        </w:rPr>
        <w:t xml:space="preserve"> </w:t>
      </w:r>
      <w:r w:rsidR="00496FE5" w:rsidRPr="00623DD7">
        <w:rPr>
          <w:rFonts w:ascii="Garamond" w:hAnsi="Garamond" w:cstheme="majorHAnsi"/>
        </w:rPr>
        <w:fldChar w:fldCharType="begin"/>
      </w:r>
      <w:r w:rsidR="00623DD7" w:rsidRPr="00623DD7">
        <w:rPr>
          <w:rFonts w:ascii="Garamond" w:hAnsi="Garamond" w:cstheme="majorHAnsi"/>
        </w:rPr>
        <w:instrText>ADDIN RW.CITE{{141 Temple,Jonathan 2001}}</w:instrText>
      </w:r>
      <w:r w:rsidR="00496FE5" w:rsidRPr="00623DD7">
        <w:rPr>
          <w:rFonts w:ascii="Garamond" w:hAnsi="Garamond" w:cstheme="majorHAnsi"/>
        </w:rPr>
        <w:fldChar w:fldCharType="separate"/>
      </w:r>
      <w:r w:rsidR="00623DD7" w:rsidRPr="00623DD7">
        <w:rPr>
          <w:rFonts w:ascii="Garamond" w:hAnsi="Garamond" w:cstheme="majorHAnsi"/>
        </w:rPr>
        <w:t>(Temple 2001)</w:t>
      </w:r>
      <w:r w:rsidR="00496FE5" w:rsidRPr="00623DD7">
        <w:rPr>
          <w:rFonts w:ascii="Garamond" w:hAnsi="Garamond" w:cstheme="majorHAnsi"/>
        </w:rPr>
        <w:fldChar w:fldCharType="end"/>
      </w:r>
      <w:r w:rsidRPr="00623DD7">
        <w:rPr>
          <w:rFonts w:ascii="Garamond" w:hAnsi="Garamond" w:cstheme="majorHAnsi"/>
        </w:rPr>
        <w:t>.</w:t>
      </w:r>
      <w:r w:rsidR="00B87F2B" w:rsidRPr="00623DD7">
        <w:rPr>
          <w:rFonts w:ascii="Garamond" w:hAnsi="Garamond" w:cstheme="majorHAnsi"/>
        </w:rPr>
        <w:t xml:space="preserve"> </w:t>
      </w:r>
      <w:r w:rsidR="00B87F2B" w:rsidRPr="00623DD7">
        <w:rPr>
          <w:rFonts w:ascii="Garamond" w:hAnsi="Garamond"/>
          <w:lang w:eastAsia="ja-JP"/>
        </w:rPr>
        <w:t xml:space="preserve">The rise in the prices of commodity did have positive impact on the volume of Indonesia exports and economic growth. In the period of 1970 to 1979 Indonesia economic growth was vulnerable to the changes in primary commodity prices but its average growth during this period was 8% where in this period Indonesia exports mostly agriculture raw material and fuel while the manufacture only small proportions of the total exports but Indonesia GDP growth was high. In the period of 1980 to 1989 Indonesia GDP growth on average was 6% which due to the fall of fuel prices and the manufacture sector exports that was still in small proportion of total merchandise exports. </w:t>
      </w:r>
    </w:p>
    <w:p w:rsidR="003A4B8E" w:rsidRPr="00623DD7" w:rsidRDefault="003A4B8E" w:rsidP="001025E8">
      <w:pPr>
        <w:jc w:val="both"/>
        <w:rPr>
          <w:rFonts w:ascii="Garamond" w:hAnsi="Garamond" w:cstheme="majorHAnsi"/>
        </w:rPr>
      </w:pPr>
    </w:p>
    <w:p w:rsidR="003A4B8E" w:rsidRPr="00623DD7" w:rsidRDefault="00295549" w:rsidP="001025E8">
      <w:pPr>
        <w:jc w:val="both"/>
        <w:rPr>
          <w:rFonts w:ascii="Garamond" w:hAnsi="Garamond" w:cstheme="majorHAnsi"/>
        </w:rPr>
      </w:pPr>
      <w:r>
        <w:rPr>
          <w:rFonts w:ascii="Garamond" w:hAnsi="Garamond" w:cstheme="majorHAnsi"/>
        </w:rPr>
        <w:t xml:space="preserve">As shown in figure </w:t>
      </w:r>
      <w:r w:rsidR="00E975D9">
        <w:rPr>
          <w:rFonts w:ascii="Garamond" w:hAnsi="Garamond" w:cstheme="majorHAnsi"/>
        </w:rPr>
        <w:t>4-11</w:t>
      </w:r>
      <w:r w:rsidR="003A4B8E" w:rsidRPr="00623DD7">
        <w:rPr>
          <w:rFonts w:ascii="Garamond" w:hAnsi="Garamond" w:cstheme="majorHAnsi"/>
        </w:rPr>
        <w:t xml:space="preserve"> that its exports in the 1970s keep rising particularly when the first oil price boom in 1973 and 1974, its total exports value rose significantly where it was contributed mostly by the fuel exports. Later when oil price fall </w:t>
      </w:r>
      <w:r w:rsidR="00765B49" w:rsidRPr="00623DD7">
        <w:rPr>
          <w:rFonts w:ascii="Garamond" w:hAnsi="Garamond" w:cstheme="majorHAnsi"/>
        </w:rPr>
        <w:t>started in 1982 and dramatic fell in mid-1980s its exports growth performance was disappointing where it kept falling during this period. Hence, Indonesia GDP growth during this period</w:t>
      </w:r>
      <w:r w:rsidR="00E96D89" w:rsidRPr="00623DD7">
        <w:rPr>
          <w:rFonts w:ascii="Garamond" w:hAnsi="Garamond" w:cstheme="majorHAnsi"/>
        </w:rPr>
        <w:t xml:space="preserve"> was vulnerable </w:t>
      </w:r>
      <w:r w:rsidR="00765B49" w:rsidRPr="00623DD7">
        <w:rPr>
          <w:rFonts w:ascii="Garamond" w:hAnsi="Garamond" w:cstheme="majorHAnsi"/>
        </w:rPr>
        <w:t>following the commodity prices</w:t>
      </w:r>
      <w:r w:rsidR="00E96D89" w:rsidRPr="00623DD7">
        <w:rPr>
          <w:rFonts w:ascii="Garamond" w:hAnsi="Garamond" w:cstheme="majorHAnsi"/>
        </w:rPr>
        <w:t xml:space="preserve"> change</w:t>
      </w:r>
      <w:r w:rsidR="00765B49" w:rsidRPr="00623DD7">
        <w:rPr>
          <w:rFonts w:ascii="Garamond" w:hAnsi="Garamond" w:cstheme="majorHAnsi"/>
        </w:rPr>
        <w:t xml:space="preserve"> particularly oil prices that cause the </w:t>
      </w:r>
      <w:r w:rsidR="00E96D89" w:rsidRPr="00623DD7">
        <w:rPr>
          <w:rFonts w:ascii="Garamond" w:hAnsi="Garamond" w:cstheme="majorHAnsi"/>
        </w:rPr>
        <w:t>exports performance to be volatile.</w:t>
      </w:r>
    </w:p>
    <w:p w:rsidR="001025E8" w:rsidRDefault="001025E8" w:rsidP="001025E8">
      <w:pPr>
        <w:jc w:val="both"/>
        <w:rPr>
          <w:rFonts w:asciiTheme="majorHAnsi" w:hAnsiTheme="majorHAnsi"/>
          <w:b/>
          <w:sz w:val="22"/>
          <w:szCs w:val="22"/>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623DD7" w:rsidRDefault="00623DD7" w:rsidP="001025E8">
      <w:pPr>
        <w:jc w:val="center"/>
        <w:rPr>
          <w:rFonts w:asciiTheme="majorHAnsi" w:hAnsiTheme="majorHAnsi"/>
          <w:sz w:val="20"/>
          <w:szCs w:val="20"/>
          <w:lang w:eastAsia="ja-JP"/>
        </w:rPr>
      </w:pPr>
    </w:p>
    <w:p w:rsidR="001025E8" w:rsidRDefault="001A3342" w:rsidP="001025E8">
      <w:pPr>
        <w:jc w:val="center"/>
        <w:rPr>
          <w:rFonts w:asciiTheme="majorHAnsi" w:hAnsiTheme="majorHAnsi"/>
          <w:sz w:val="20"/>
          <w:szCs w:val="20"/>
          <w:lang w:eastAsia="ja-JP"/>
        </w:rPr>
      </w:pPr>
      <w:r>
        <w:rPr>
          <w:rFonts w:asciiTheme="majorHAnsi" w:hAnsiTheme="majorHAnsi"/>
          <w:sz w:val="20"/>
          <w:szCs w:val="20"/>
          <w:lang w:eastAsia="ja-JP"/>
        </w:rPr>
        <w:t>Table 4-5</w:t>
      </w:r>
    </w:p>
    <w:p w:rsidR="001025E8" w:rsidRDefault="001025E8" w:rsidP="001025E8">
      <w:pPr>
        <w:jc w:val="center"/>
        <w:rPr>
          <w:rFonts w:asciiTheme="majorHAnsi" w:hAnsiTheme="majorHAnsi"/>
          <w:lang w:eastAsia="ja-JP"/>
        </w:rPr>
      </w:pPr>
      <w:r w:rsidRPr="00721C1F">
        <w:rPr>
          <w:rFonts w:asciiTheme="majorHAnsi" w:hAnsiTheme="majorHAnsi"/>
          <w:sz w:val="20"/>
          <w:szCs w:val="20"/>
          <w:lang w:eastAsia="ja-JP"/>
        </w:rPr>
        <w:t>Annual GDP Growth and Exports Share</w:t>
      </w:r>
    </w:p>
    <w:tbl>
      <w:tblPr>
        <w:tblW w:w="0" w:type="auto"/>
        <w:tblInd w:w="103" w:type="dxa"/>
        <w:tblLook w:val="04A0"/>
      </w:tblPr>
      <w:tblGrid>
        <w:gridCol w:w="1023"/>
        <w:gridCol w:w="1114"/>
        <w:gridCol w:w="1089"/>
        <w:gridCol w:w="1088"/>
        <w:gridCol w:w="1103"/>
        <w:gridCol w:w="1171"/>
        <w:gridCol w:w="884"/>
      </w:tblGrid>
      <w:tr w:rsidR="001025E8" w:rsidRPr="00620FC8" w:rsidTr="003A4B8E">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Year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Agricultural raw materials exports (% of merchandise exports)</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Food exports (% of merchandise exports)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Fuel exports (% of merchandise exports)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Ores and metals exports (% of merchandise exports)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Manufactures exports (% of merchandise exports)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Annual GDP Growth % (constant 2000 US$) in Million</w:t>
            </w:r>
          </w:p>
        </w:tc>
      </w:tr>
      <w:tr w:rsidR="001025E8" w:rsidRPr="00620FC8"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1970 - 1979 </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22%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8%</w:t>
            </w:r>
          </w:p>
        </w:tc>
      </w:tr>
      <w:tr w:rsidR="001025E8" w:rsidRPr="00620FC8"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1980 - 1989 </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63%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6%</w:t>
            </w:r>
          </w:p>
        </w:tc>
      </w:tr>
      <w:tr w:rsidR="001025E8" w:rsidRPr="00620FC8"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1990 - 1997 </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11%</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29%</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47%</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8%</w:t>
            </w:r>
          </w:p>
        </w:tc>
      </w:tr>
      <w:tr w:rsidR="001025E8" w:rsidRPr="00620FC8"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2000 - 2005 </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11%</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26%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53%</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5%</w:t>
            </w:r>
          </w:p>
        </w:tc>
      </w:tr>
      <w:tr w:rsidR="001025E8" w:rsidRPr="00620FC8" w:rsidTr="001025E8">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25E8" w:rsidRPr="00620FC8" w:rsidRDefault="001025E8" w:rsidP="001025E8">
            <w:pPr>
              <w:rPr>
                <w:rFonts w:ascii="Calibri" w:eastAsia="Times New Roman" w:hAnsi="Calibri" w:cs="Calibri"/>
                <w:color w:val="000000"/>
                <w:sz w:val="16"/>
                <w:szCs w:val="16"/>
              </w:rPr>
            </w:pPr>
            <w:r w:rsidRPr="00721C1F">
              <w:rPr>
                <w:rFonts w:ascii="Calibri" w:eastAsia="Times New Roman" w:hAnsi="Calibri" w:cs="Calibri"/>
                <w:color w:val="000000"/>
                <w:sz w:val="16"/>
                <w:szCs w:val="16"/>
              </w:rPr>
              <w:t xml:space="preserve"> 2006 - 2010 </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16%</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28%</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10%</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41%</w:t>
            </w:r>
          </w:p>
        </w:tc>
        <w:tc>
          <w:tcPr>
            <w:tcW w:w="0" w:type="auto"/>
            <w:tcBorders>
              <w:top w:val="nil"/>
              <w:left w:val="nil"/>
              <w:bottom w:val="single" w:sz="4" w:space="0" w:color="auto"/>
              <w:right w:val="single" w:sz="4" w:space="0" w:color="auto"/>
            </w:tcBorders>
            <w:shd w:val="clear" w:color="auto" w:fill="auto"/>
            <w:noWrap/>
            <w:vAlign w:val="bottom"/>
            <w:hideMark/>
          </w:tcPr>
          <w:p w:rsidR="001025E8" w:rsidRPr="00620FC8" w:rsidRDefault="001025E8" w:rsidP="001025E8">
            <w:pPr>
              <w:jc w:val="right"/>
              <w:rPr>
                <w:rFonts w:ascii="Calibri" w:eastAsia="Times New Roman" w:hAnsi="Calibri" w:cs="Calibri"/>
                <w:color w:val="000000"/>
                <w:sz w:val="16"/>
                <w:szCs w:val="16"/>
              </w:rPr>
            </w:pPr>
            <w:r w:rsidRPr="00721C1F">
              <w:rPr>
                <w:rFonts w:ascii="Calibri" w:eastAsia="Times New Roman" w:hAnsi="Calibri" w:cs="Calibri"/>
                <w:color w:val="000000"/>
                <w:sz w:val="16"/>
                <w:szCs w:val="16"/>
              </w:rPr>
              <w:t>6%</w:t>
            </w:r>
          </w:p>
        </w:tc>
      </w:tr>
    </w:tbl>
    <w:p w:rsidR="001025E8" w:rsidRDefault="001025E8" w:rsidP="001025E8">
      <w:pPr>
        <w:jc w:val="both"/>
        <w:rPr>
          <w:rFonts w:asciiTheme="majorHAnsi" w:hAnsiTheme="majorHAnsi"/>
          <w:lang w:eastAsia="ja-JP"/>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1025E8" w:rsidRDefault="001025E8" w:rsidP="001025E8">
      <w:pPr>
        <w:jc w:val="both"/>
        <w:rPr>
          <w:rFonts w:asciiTheme="majorHAnsi" w:hAnsiTheme="majorHAnsi"/>
          <w:lang w:eastAsia="ja-JP"/>
        </w:rPr>
      </w:pPr>
    </w:p>
    <w:p w:rsidR="0023183A" w:rsidRDefault="0023183A" w:rsidP="001025E8">
      <w:pPr>
        <w:jc w:val="both"/>
        <w:rPr>
          <w:rFonts w:asciiTheme="majorHAnsi" w:hAnsiTheme="majorHAnsi"/>
          <w:b/>
          <w:lang w:eastAsia="ja-JP"/>
        </w:rPr>
      </w:pPr>
    </w:p>
    <w:p w:rsidR="0023183A" w:rsidRPr="00765B49" w:rsidRDefault="00295549" w:rsidP="00213176">
      <w:pPr>
        <w:jc w:val="center"/>
        <w:rPr>
          <w:rFonts w:asciiTheme="majorHAnsi" w:hAnsiTheme="majorHAnsi"/>
          <w:sz w:val="20"/>
          <w:szCs w:val="20"/>
          <w:lang w:eastAsia="ja-JP"/>
        </w:rPr>
      </w:pPr>
      <w:r>
        <w:rPr>
          <w:rFonts w:asciiTheme="majorHAnsi" w:hAnsiTheme="majorHAnsi"/>
          <w:sz w:val="20"/>
          <w:szCs w:val="20"/>
          <w:lang w:eastAsia="ja-JP"/>
        </w:rPr>
        <w:t>Figure 4-11</w:t>
      </w:r>
      <w:r w:rsidR="0023183A" w:rsidRPr="00765B49">
        <w:rPr>
          <w:rFonts w:asciiTheme="majorHAnsi" w:hAnsiTheme="majorHAnsi"/>
          <w:sz w:val="20"/>
          <w:szCs w:val="20"/>
          <w:lang w:eastAsia="ja-JP"/>
        </w:rPr>
        <w:t xml:space="preserve"> </w:t>
      </w:r>
      <w:r w:rsidR="00213176" w:rsidRPr="00765B49">
        <w:rPr>
          <w:rFonts w:asciiTheme="majorHAnsi" w:hAnsiTheme="majorHAnsi"/>
          <w:sz w:val="20"/>
          <w:szCs w:val="20"/>
          <w:lang w:eastAsia="ja-JP"/>
        </w:rPr>
        <w:t>Exports Growth and GDP Growth</w:t>
      </w:r>
    </w:p>
    <w:p w:rsidR="0023183A" w:rsidRDefault="0023183A" w:rsidP="001025E8">
      <w:pPr>
        <w:jc w:val="both"/>
        <w:rPr>
          <w:rFonts w:asciiTheme="majorHAnsi" w:hAnsiTheme="majorHAnsi"/>
          <w:b/>
          <w:lang w:eastAsia="ja-JP"/>
        </w:rPr>
      </w:pPr>
      <w:r w:rsidRPr="0023183A">
        <w:rPr>
          <w:rFonts w:asciiTheme="majorHAnsi" w:hAnsiTheme="majorHAnsi"/>
          <w:b/>
          <w:noProof/>
        </w:rPr>
        <w:drawing>
          <wp:inline distT="0" distB="0" distL="0" distR="0">
            <wp:extent cx="4719928" cy="2536466"/>
            <wp:effectExtent l="19050" t="0" r="23522" b="0"/>
            <wp:docPr id="1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213176" w:rsidRDefault="00213176" w:rsidP="00213176">
      <w:pPr>
        <w:jc w:val="both"/>
        <w:rPr>
          <w:rFonts w:asciiTheme="majorHAnsi" w:hAnsiTheme="majorHAnsi"/>
          <w:i/>
          <w:sz w:val="18"/>
          <w:szCs w:val="18"/>
        </w:rPr>
      </w:pPr>
      <w:r w:rsidRPr="00227036">
        <w:rPr>
          <w:rFonts w:asciiTheme="majorHAnsi" w:hAnsiTheme="majorHAnsi" w:cstheme="majorHAnsi"/>
          <w:i/>
          <w:sz w:val="18"/>
          <w:szCs w:val="18"/>
        </w:rPr>
        <w:t xml:space="preserve">Source: </w:t>
      </w:r>
      <w:r>
        <w:rPr>
          <w:rFonts w:asciiTheme="majorHAnsi" w:hAnsiTheme="majorHAnsi" w:cstheme="majorHAnsi"/>
          <w:i/>
          <w:sz w:val="18"/>
          <w:szCs w:val="18"/>
        </w:rPr>
        <w:t xml:space="preserve">Author’s own illustration base on </w:t>
      </w:r>
      <w:r>
        <w:rPr>
          <w:rFonts w:asciiTheme="majorHAnsi" w:hAnsiTheme="majorHAnsi"/>
          <w:i/>
          <w:sz w:val="18"/>
          <w:szCs w:val="18"/>
        </w:rPr>
        <w:t xml:space="preserve">World Bank data (World Development Indicators &amp; Global Development Finance) </w:t>
      </w:r>
    </w:p>
    <w:p w:rsidR="0023183A" w:rsidRDefault="0023183A" w:rsidP="001025E8">
      <w:pPr>
        <w:jc w:val="both"/>
        <w:rPr>
          <w:rFonts w:asciiTheme="majorHAnsi" w:hAnsiTheme="majorHAnsi"/>
          <w:b/>
          <w:lang w:eastAsia="ja-JP"/>
        </w:rPr>
      </w:pPr>
    </w:p>
    <w:p w:rsidR="001025E8" w:rsidRPr="000A4D14" w:rsidRDefault="00B87F2B" w:rsidP="001025E8">
      <w:pPr>
        <w:jc w:val="both"/>
        <w:rPr>
          <w:rFonts w:ascii="Garamond" w:hAnsi="Garamond"/>
          <w:lang w:eastAsia="ja-JP"/>
        </w:rPr>
      </w:pPr>
      <w:r w:rsidRPr="000A4D14">
        <w:rPr>
          <w:rFonts w:ascii="Garamond" w:hAnsi="Garamond"/>
          <w:lang w:eastAsia="ja-JP"/>
        </w:rPr>
        <w:t>In the late 1980s until prior to the Asian crisis in 1997/8 Indonesia export growth performance was relatively stable compare to the prior period as the manufacture exports value accounted for more than 40% of total merchandise exports as also its GDP growth performed better with less volatility and better growth. Indonesia</w:t>
      </w:r>
      <w:r w:rsidR="001025E8" w:rsidRPr="000A4D14">
        <w:rPr>
          <w:rFonts w:ascii="Garamond" w:hAnsi="Garamond"/>
          <w:lang w:eastAsia="ja-JP"/>
        </w:rPr>
        <w:t xml:space="preserve"> commodity</w:t>
      </w:r>
      <w:r w:rsidRPr="000A4D14">
        <w:rPr>
          <w:rFonts w:ascii="Garamond" w:hAnsi="Garamond"/>
          <w:lang w:eastAsia="ja-JP"/>
        </w:rPr>
        <w:t xml:space="preserve"> exports value started to</w:t>
      </w:r>
      <w:r w:rsidR="001025E8" w:rsidRPr="000A4D14">
        <w:rPr>
          <w:rFonts w:ascii="Garamond" w:hAnsi="Garamond"/>
          <w:lang w:eastAsia="ja-JP"/>
        </w:rPr>
        <w:t xml:space="preserve"> fell during this period</w:t>
      </w:r>
      <w:r w:rsidRPr="000A4D14">
        <w:rPr>
          <w:rFonts w:ascii="Garamond" w:hAnsi="Garamond"/>
          <w:lang w:eastAsia="ja-JP"/>
        </w:rPr>
        <w:t xml:space="preserve"> due to the unfavorable </w:t>
      </w:r>
      <w:r w:rsidR="00C500F5" w:rsidRPr="000A4D14">
        <w:rPr>
          <w:rFonts w:ascii="Garamond" w:hAnsi="Garamond"/>
          <w:lang w:eastAsia="ja-JP"/>
        </w:rPr>
        <w:t>global commodity prices</w:t>
      </w:r>
      <w:r w:rsidR="001025E8" w:rsidRPr="000A4D14">
        <w:rPr>
          <w:rFonts w:ascii="Garamond" w:hAnsi="Garamond"/>
          <w:lang w:eastAsia="ja-JP"/>
        </w:rPr>
        <w:t xml:space="preserve"> hence reduce Indonesia exports revenue from commodity </w:t>
      </w:r>
      <w:r w:rsidR="00C500F5" w:rsidRPr="000A4D14">
        <w:rPr>
          <w:rFonts w:ascii="Garamond" w:hAnsi="Garamond"/>
          <w:lang w:eastAsia="ja-JP"/>
        </w:rPr>
        <w:t>sector but</w:t>
      </w:r>
      <w:r w:rsidR="001025E8" w:rsidRPr="000A4D14">
        <w:rPr>
          <w:rFonts w:ascii="Garamond" w:hAnsi="Garamond"/>
          <w:lang w:eastAsia="ja-JP"/>
        </w:rPr>
        <w:t xml:space="preserve"> its growth was high during this period due to the manufacture exports that boost its exports earnings. Hence its shows that Indonesia growth has been less dependent on the commodity sector as the manufacture sector has been well developed and dominated the total share of merchandise exports.</w:t>
      </w:r>
    </w:p>
    <w:p w:rsidR="001025E8" w:rsidRPr="000A4D14" w:rsidRDefault="001025E8" w:rsidP="001025E8">
      <w:pPr>
        <w:jc w:val="both"/>
        <w:rPr>
          <w:rFonts w:ascii="Garamond" w:hAnsi="Garamond"/>
          <w:lang w:eastAsia="ja-JP"/>
        </w:rPr>
      </w:pPr>
    </w:p>
    <w:p w:rsidR="001025E8" w:rsidRPr="000A4D14" w:rsidRDefault="001025E8" w:rsidP="001025E8">
      <w:pPr>
        <w:jc w:val="both"/>
        <w:rPr>
          <w:rFonts w:ascii="Garamond" w:hAnsi="Garamond"/>
          <w:lang w:eastAsia="ja-JP"/>
        </w:rPr>
      </w:pPr>
      <w:r w:rsidRPr="000A4D14">
        <w:rPr>
          <w:rFonts w:ascii="Garamond" w:hAnsi="Garamond"/>
          <w:lang w:eastAsia="ja-JP"/>
        </w:rPr>
        <w:t xml:space="preserve">In the year of 2000 to 2005 we see that Indonesia growth was 5% on average and the share of manufacture exports was more than 50%. Even though the share of manufacture exports dominates the total merchandise exports, the </w:t>
      </w:r>
      <w:r w:rsidRPr="000A4D14">
        <w:rPr>
          <w:rFonts w:ascii="Garamond" w:hAnsi="Garamond"/>
          <w:lang w:eastAsia="ja-JP"/>
        </w:rPr>
        <w:lastRenderedPageBreak/>
        <w:t xml:space="preserve">slow growth was due to the </w:t>
      </w:r>
      <w:r w:rsidR="00C500F5" w:rsidRPr="000A4D14">
        <w:rPr>
          <w:rFonts w:ascii="Garamond" w:hAnsi="Garamond"/>
          <w:lang w:eastAsia="ja-JP"/>
        </w:rPr>
        <w:t xml:space="preserve">recovery of the </w:t>
      </w:r>
      <w:r w:rsidRPr="000A4D14">
        <w:rPr>
          <w:rFonts w:ascii="Garamond" w:hAnsi="Garamond"/>
          <w:lang w:eastAsia="ja-JP"/>
        </w:rPr>
        <w:t>aftermath of the As</w:t>
      </w:r>
      <w:r w:rsidR="00C500F5" w:rsidRPr="000A4D14">
        <w:rPr>
          <w:rFonts w:ascii="Garamond" w:hAnsi="Garamond"/>
          <w:lang w:eastAsia="ja-JP"/>
        </w:rPr>
        <w:t>ian crisis. Then in 2006 to 2010</w:t>
      </w:r>
      <w:r w:rsidRPr="000A4D14">
        <w:rPr>
          <w:rFonts w:ascii="Garamond" w:hAnsi="Garamond"/>
          <w:lang w:eastAsia="ja-JP"/>
        </w:rPr>
        <w:t xml:space="preserve"> we see an improve</w:t>
      </w:r>
      <w:r w:rsidR="00496DD6" w:rsidRPr="000A4D14">
        <w:rPr>
          <w:rFonts w:ascii="Garamond" w:hAnsi="Garamond"/>
          <w:lang w:eastAsia="ja-JP"/>
        </w:rPr>
        <w:t>ment of Indonesia growth which o</w:t>
      </w:r>
      <w:r w:rsidRPr="000A4D14">
        <w:rPr>
          <w:rFonts w:ascii="Garamond" w:hAnsi="Garamond"/>
          <w:lang w:eastAsia="ja-JP"/>
        </w:rPr>
        <w:t>n average 6%. In this period the share of manufacture exports value decline from the previous period</w:t>
      </w:r>
      <w:r w:rsidR="00496DD6" w:rsidRPr="000A4D14">
        <w:rPr>
          <w:rFonts w:ascii="Garamond" w:hAnsi="Garamond"/>
          <w:lang w:eastAsia="ja-JP"/>
        </w:rPr>
        <w:t xml:space="preserve"> which was due to the rise in commodity prices. </w:t>
      </w:r>
    </w:p>
    <w:p w:rsidR="00496DD6" w:rsidRPr="000A4D14" w:rsidRDefault="00496DD6" w:rsidP="001025E8">
      <w:pPr>
        <w:jc w:val="both"/>
        <w:rPr>
          <w:rFonts w:ascii="Garamond" w:hAnsi="Garamond"/>
          <w:lang w:eastAsia="ja-JP"/>
        </w:rPr>
      </w:pPr>
    </w:p>
    <w:p w:rsidR="00496DD6" w:rsidRDefault="00496DD6" w:rsidP="001025E8">
      <w:pPr>
        <w:jc w:val="both"/>
        <w:rPr>
          <w:rFonts w:asciiTheme="majorHAnsi" w:hAnsiTheme="majorHAnsi"/>
          <w:sz w:val="22"/>
          <w:szCs w:val="22"/>
          <w:lang w:eastAsia="ja-JP"/>
        </w:rPr>
      </w:pPr>
      <w:r w:rsidRPr="000A4D14">
        <w:rPr>
          <w:rFonts w:ascii="Garamond" w:hAnsi="Garamond"/>
          <w:lang w:eastAsia="ja-JP"/>
        </w:rPr>
        <w:t xml:space="preserve">Indonesia growth pattern has been following the exports growth pattern. However, in the recent years of 2000s Indonesia growth pattern stopped following the exports. Indonesia GDP growth in the recent years has been consistently due to the strong domestic demand growth where over the past 10 years Indonesia domestic demand exceed exports demand hence even during the global financial crisis in 2008 where the global economic downturn cause Indonesia exports volume to fell by 20% </w:t>
      </w:r>
      <w:r w:rsidR="00496FE5" w:rsidRPr="000A4D14">
        <w:rPr>
          <w:rFonts w:ascii="Garamond" w:hAnsi="Garamond"/>
          <w:lang w:eastAsia="ja-JP"/>
        </w:rPr>
        <w:fldChar w:fldCharType="begin"/>
      </w:r>
      <w:r w:rsidR="00623DD7" w:rsidRPr="000A4D14">
        <w:rPr>
          <w:rFonts w:ascii="Garamond" w:hAnsi="Garamond"/>
          <w:lang w:eastAsia="ja-JP"/>
        </w:rPr>
        <w:instrText>ADDIN RW.CITE{{219 Elias,Stephen 2011}}</w:instrText>
      </w:r>
      <w:r w:rsidR="00496FE5" w:rsidRPr="000A4D14">
        <w:rPr>
          <w:rFonts w:ascii="Garamond" w:hAnsi="Garamond"/>
          <w:lang w:eastAsia="ja-JP"/>
        </w:rPr>
        <w:fldChar w:fldCharType="separate"/>
      </w:r>
      <w:r w:rsidR="00623DD7" w:rsidRPr="000A4D14">
        <w:rPr>
          <w:rFonts w:ascii="Garamond" w:hAnsi="Garamond"/>
          <w:lang w:eastAsia="ja-JP"/>
        </w:rPr>
        <w:t>(Elias and Noone 2011)</w:t>
      </w:r>
      <w:r w:rsidR="00496FE5" w:rsidRPr="000A4D14">
        <w:rPr>
          <w:rFonts w:ascii="Garamond" w:hAnsi="Garamond"/>
          <w:lang w:eastAsia="ja-JP"/>
        </w:rPr>
        <w:fldChar w:fldCharType="end"/>
      </w:r>
      <w:r w:rsidR="00623DD7" w:rsidRPr="000A4D14">
        <w:rPr>
          <w:rFonts w:ascii="Garamond" w:hAnsi="Garamond"/>
          <w:lang w:eastAsia="ja-JP"/>
        </w:rPr>
        <w:t>,</w:t>
      </w:r>
      <w:r w:rsidRPr="000A4D14">
        <w:rPr>
          <w:rFonts w:ascii="Garamond" w:hAnsi="Garamond"/>
          <w:lang w:eastAsia="ja-JP"/>
        </w:rPr>
        <w:t xml:space="preserve"> it didn’t significantly impact its growth </w:t>
      </w:r>
      <w:r w:rsidR="00D319B7">
        <w:rPr>
          <w:rFonts w:ascii="Garamond" w:hAnsi="Garamond"/>
          <w:lang w:eastAsia="ja-JP"/>
        </w:rPr>
        <w:t>performance as shown in figure 6</w:t>
      </w:r>
      <w:r w:rsidRPr="000A4D14">
        <w:rPr>
          <w:rFonts w:ascii="Garamond" w:hAnsi="Garamond"/>
          <w:lang w:eastAsia="ja-JP"/>
        </w:rPr>
        <w:t xml:space="preserve">. </w:t>
      </w:r>
    </w:p>
    <w:p w:rsidR="001025E8" w:rsidRPr="001B4F84" w:rsidRDefault="00881513" w:rsidP="001025E8">
      <w:pPr>
        <w:pStyle w:val="Heading3"/>
        <w:rPr>
          <w:rFonts w:ascii="Garamond" w:hAnsi="Garamond"/>
          <w:color w:val="auto"/>
          <w:sz w:val="26"/>
          <w:szCs w:val="26"/>
          <w:lang w:eastAsia="ja-JP"/>
        </w:rPr>
      </w:pPr>
      <w:bookmarkStart w:id="57" w:name="_Toc343007201"/>
      <w:r w:rsidRPr="001B4F84">
        <w:rPr>
          <w:rFonts w:ascii="Garamond" w:hAnsi="Garamond"/>
          <w:color w:val="auto"/>
          <w:sz w:val="26"/>
          <w:szCs w:val="26"/>
          <w:lang w:eastAsia="ja-JP"/>
        </w:rPr>
        <w:t>4.3.3</w:t>
      </w:r>
      <w:r w:rsidR="001025E8" w:rsidRPr="001B4F84">
        <w:rPr>
          <w:rFonts w:ascii="Garamond" w:hAnsi="Garamond"/>
          <w:color w:val="auto"/>
          <w:sz w:val="26"/>
          <w:szCs w:val="26"/>
          <w:lang w:eastAsia="ja-JP"/>
        </w:rPr>
        <w:t xml:space="preserve"> </w:t>
      </w:r>
      <w:r w:rsidRPr="001B4F84">
        <w:rPr>
          <w:rFonts w:ascii="Garamond" w:hAnsi="Garamond"/>
          <w:color w:val="auto"/>
          <w:sz w:val="26"/>
          <w:szCs w:val="26"/>
          <w:lang w:eastAsia="ja-JP"/>
        </w:rPr>
        <w:t>GDP g</w:t>
      </w:r>
      <w:r w:rsidR="001025E8" w:rsidRPr="001B4F84">
        <w:rPr>
          <w:rFonts w:ascii="Garamond" w:hAnsi="Garamond"/>
          <w:color w:val="auto"/>
          <w:sz w:val="26"/>
          <w:szCs w:val="26"/>
          <w:lang w:eastAsia="ja-JP"/>
        </w:rPr>
        <w:t>rowth by Sector</w:t>
      </w:r>
      <w:bookmarkEnd w:id="57"/>
      <w:r w:rsidR="001025E8" w:rsidRPr="001B4F84">
        <w:rPr>
          <w:rFonts w:ascii="Garamond" w:hAnsi="Garamond"/>
          <w:color w:val="auto"/>
          <w:sz w:val="26"/>
          <w:szCs w:val="26"/>
          <w:lang w:eastAsia="ja-JP"/>
        </w:rPr>
        <w:t xml:space="preserve"> </w:t>
      </w:r>
    </w:p>
    <w:p w:rsidR="000C18DF" w:rsidRPr="000A4D14" w:rsidRDefault="000C18DF" w:rsidP="000C18DF">
      <w:pPr>
        <w:jc w:val="both"/>
        <w:rPr>
          <w:rFonts w:ascii="Garamond" w:hAnsi="Garamond" w:cstheme="majorHAnsi"/>
        </w:rPr>
      </w:pPr>
      <w:r w:rsidRPr="000A4D14">
        <w:rPr>
          <w:rFonts w:ascii="Garamond" w:hAnsi="Garamond" w:cstheme="majorHAnsi"/>
        </w:rPr>
        <w:t>The growth of manufacturing exports has not performed quite well in the early 1980s hence its exports was still heavily dependent on commodity sector exports</w:t>
      </w:r>
      <w:r w:rsidR="00D319B7">
        <w:rPr>
          <w:rFonts w:ascii="Garamond" w:hAnsi="Garamond" w:cstheme="majorHAnsi"/>
        </w:rPr>
        <w:t xml:space="preserve"> as shown in figure </w:t>
      </w:r>
      <w:r w:rsidR="00E975D9">
        <w:rPr>
          <w:rFonts w:ascii="Garamond" w:hAnsi="Garamond" w:cstheme="majorHAnsi"/>
        </w:rPr>
        <w:t>4-1 above</w:t>
      </w:r>
      <w:r w:rsidRPr="000A4D14">
        <w:rPr>
          <w:rFonts w:ascii="Garamond" w:hAnsi="Garamond" w:cstheme="majorHAnsi"/>
        </w:rPr>
        <w:t>. During the early stage of development in the early 1970 Indonesia economic growth which still heavily dependent on commodity exports was vulnerable to the change in commo</w:t>
      </w:r>
      <w:r w:rsidR="00E975D9">
        <w:rPr>
          <w:rFonts w:ascii="Garamond" w:hAnsi="Garamond" w:cstheme="majorHAnsi"/>
        </w:rPr>
        <w:t>dity prices as shown in figure 4-12</w:t>
      </w:r>
      <w:r w:rsidRPr="000A4D14">
        <w:rPr>
          <w:rFonts w:ascii="Garamond" w:hAnsi="Garamond" w:cstheme="majorHAnsi"/>
        </w:rPr>
        <w:t xml:space="preserve"> where from 1970 until the late 1980s its growth moved following the changes of commodity prices. Indonesia economic growth started to perform well and relatively stable in the late 1980s was due to its grow</w:t>
      </w:r>
      <w:r w:rsidR="00E975D9">
        <w:rPr>
          <w:rFonts w:ascii="Garamond" w:hAnsi="Garamond" w:cstheme="majorHAnsi"/>
        </w:rPr>
        <w:t>th in manufacturing. In figure 4-12</w:t>
      </w:r>
      <w:r w:rsidRPr="000A4D14">
        <w:rPr>
          <w:rFonts w:ascii="Garamond" w:hAnsi="Garamond" w:cstheme="majorHAnsi"/>
        </w:rPr>
        <w:t xml:space="preserve"> below we see Indonesia growth rate relative to the changes of global primary commodity prices from 1970 to 2010. </w:t>
      </w:r>
    </w:p>
    <w:p w:rsidR="000C18DF" w:rsidRDefault="000C18DF" w:rsidP="000C18DF">
      <w:pPr>
        <w:jc w:val="center"/>
        <w:rPr>
          <w:rFonts w:asciiTheme="majorHAnsi" w:eastAsiaTheme="majorEastAsia" w:hAnsiTheme="majorHAnsi" w:cstheme="majorHAnsi"/>
          <w:bCs/>
          <w:sz w:val="20"/>
          <w:szCs w:val="20"/>
        </w:rPr>
      </w:pPr>
    </w:p>
    <w:p w:rsidR="000C18DF" w:rsidRDefault="00295549" w:rsidP="000C18DF">
      <w:pPr>
        <w:jc w:val="center"/>
        <w:rPr>
          <w:rFonts w:asciiTheme="majorHAnsi" w:eastAsiaTheme="majorEastAsia" w:hAnsiTheme="majorHAnsi" w:cstheme="majorHAnsi"/>
          <w:bCs/>
          <w:sz w:val="20"/>
          <w:szCs w:val="20"/>
        </w:rPr>
      </w:pPr>
      <w:r>
        <w:rPr>
          <w:rFonts w:asciiTheme="majorHAnsi" w:eastAsiaTheme="majorEastAsia" w:hAnsiTheme="majorHAnsi" w:cstheme="majorHAnsi"/>
          <w:bCs/>
          <w:sz w:val="20"/>
          <w:szCs w:val="20"/>
        </w:rPr>
        <w:t>Figure 4-12</w:t>
      </w:r>
    </w:p>
    <w:p w:rsidR="000C18DF" w:rsidRPr="00387429" w:rsidRDefault="000C18DF" w:rsidP="000C18DF">
      <w:pPr>
        <w:jc w:val="center"/>
        <w:rPr>
          <w:rFonts w:asciiTheme="majorHAnsi" w:eastAsiaTheme="majorEastAsia" w:hAnsiTheme="majorHAnsi" w:cstheme="majorHAnsi"/>
          <w:bCs/>
          <w:sz w:val="20"/>
          <w:szCs w:val="20"/>
        </w:rPr>
      </w:pPr>
      <w:r w:rsidRPr="00721C1F">
        <w:rPr>
          <w:rFonts w:asciiTheme="majorHAnsi" w:eastAsiaTheme="majorEastAsia" w:hAnsiTheme="majorHAnsi" w:cstheme="majorHAnsi"/>
          <w:bCs/>
          <w:sz w:val="20"/>
          <w:szCs w:val="20"/>
        </w:rPr>
        <w:t>GDP Annual Growth and Global Commodity Price</w:t>
      </w:r>
    </w:p>
    <w:p w:rsidR="000C18DF" w:rsidRDefault="000C18DF" w:rsidP="000C18DF">
      <w:pPr>
        <w:jc w:val="both"/>
        <w:rPr>
          <w:rFonts w:asciiTheme="majorHAnsi" w:eastAsiaTheme="majorEastAsia" w:hAnsiTheme="majorHAnsi" w:cstheme="majorHAnsi"/>
          <w:bCs/>
          <w:sz w:val="22"/>
          <w:szCs w:val="22"/>
        </w:rPr>
      </w:pPr>
      <w:r w:rsidRPr="00387429">
        <w:rPr>
          <w:rFonts w:asciiTheme="majorHAnsi" w:eastAsiaTheme="majorEastAsia" w:hAnsiTheme="majorHAnsi" w:cstheme="majorHAnsi"/>
          <w:bCs/>
          <w:noProof/>
          <w:sz w:val="22"/>
          <w:szCs w:val="22"/>
        </w:rPr>
        <w:drawing>
          <wp:inline distT="0" distB="0" distL="0" distR="0">
            <wp:extent cx="4696074" cy="2250219"/>
            <wp:effectExtent l="19050" t="0" r="28326" b="0"/>
            <wp:docPr id="1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0C18DF" w:rsidRDefault="000C18DF" w:rsidP="000C18DF">
      <w:pPr>
        <w:jc w:val="both"/>
        <w:rPr>
          <w:rFonts w:asciiTheme="majorHAnsi" w:hAnsiTheme="majorHAnsi"/>
          <w:i/>
          <w:sz w:val="20"/>
          <w:szCs w:val="20"/>
        </w:rPr>
      </w:pPr>
      <w:r w:rsidRPr="00227036">
        <w:rPr>
          <w:rFonts w:asciiTheme="majorHAnsi" w:hAnsiTheme="majorHAnsi" w:cstheme="majorHAnsi"/>
          <w:i/>
          <w:sz w:val="18"/>
          <w:szCs w:val="18"/>
        </w:rPr>
        <w:t xml:space="preserve">Source: </w:t>
      </w:r>
      <w:r>
        <w:rPr>
          <w:rFonts w:asciiTheme="majorHAnsi" w:hAnsiTheme="majorHAnsi"/>
          <w:i/>
          <w:sz w:val="18"/>
          <w:szCs w:val="18"/>
        </w:rPr>
        <w:t>World Bank data (World Development Indicators &amp; Global Development Finance)</w:t>
      </w:r>
    </w:p>
    <w:p w:rsidR="000C18DF" w:rsidRDefault="000C18DF" w:rsidP="000C18DF">
      <w:pPr>
        <w:jc w:val="both"/>
        <w:rPr>
          <w:rFonts w:asciiTheme="majorHAnsi" w:eastAsiaTheme="majorEastAsia" w:hAnsiTheme="majorHAnsi" w:cstheme="majorHAnsi"/>
          <w:bCs/>
          <w:sz w:val="22"/>
          <w:szCs w:val="22"/>
        </w:rPr>
      </w:pPr>
    </w:p>
    <w:p w:rsidR="000C18DF" w:rsidRPr="000A4D14" w:rsidRDefault="000C18DF" w:rsidP="000C18DF">
      <w:pPr>
        <w:jc w:val="both"/>
        <w:rPr>
          <w:rFonts w:ascii="Garamond" w:hAnsi="Garamond" w:cstheme="majorHAnsi"/>
          <w:lang w:eastAsia="ja-JP"/>
        </w:rPr>
      </w:pPr>
      <w:r w:rsidRPr="000A4D14">
        <w:rPr>
          <w:rFonts w:ascii="Garamond" w:eastAsiaTheme="majorEastAsia" w:hAnsi="Garamond" w:cstheme="majorHAnsi"/>
          <w:bCs/>
        </w:rPr>
        <w:t>Indonesia growth rate</w:t>
      </w:r>
      <w:r w:rsidRPr="000A4D14">
        <w:rPr>
          <w:rFonts w:ascii="Garamond" w:hAnsi="Garamond" w:cstheme="majorHAnsi"/>
          <w:lang w:eastAsia="ja-JP"/>
        </w:rPr>
        <w:t xml:space="preserve"> in the early 1970 to 1985 was vulnerable to the changes of global commodity prices as the manufacture exports still under 20% </w:t>
      </w:r>
      <w:r w:rsidR="001A3342">
        <w:rPr>
          <w:rFonts w:ascii="Garamond" w:hAnsi="Garamond" w:cstheme="majorHAnsi"/>
          <w:lang w:eastAsia="ja-JP"/>
        </w:rPr>
        <w:t>as shown in table 4-5</w:t>
      </w:r>
      <w:r w:rsidR="00E975D9">
        <w:rPr>
          <w:rFonts w:ascii="Garamond" w:hAnsi="Garamond" w:cstheme="majorHAnsi"/>
          <w:lang w:eastAsia="ja-JP"/>
        </w:rPr>
        <w:t xml:space="preserve"> and figure 4-12</w:t>
      </w:r>
      <w:r w:rsidRPr="000A4D14">
        <w:rPr>
          <w:rFonts w:ascii="Garamond" w:hAnsi="Garamond" w:cstheme="majorHAnsi"/>
          <w:lang w:eastAsia="ja-JP"/>
        </w:rPr>
        <w:t>. However, in 1986 onwards base on World Bank Data the manufacture exports was above 25% and keep increasing until 1996 where the exports of manufacture reach above 50% of total merchandise exports hence Indonesia GDP annual growth rate was steady in 1990s without any significant fluctuations even though the price of global commodity prices fall</w:t>
      </w:r>
      <w:r w:rsidR="00C645BF" w:rsidRPr="000A4D14">
        <w:rPr>
          <w:rFonts w:ascii="Garamond" w:hAnsi="Garamond" w:cstheme="majorHAnsi"/>
          <w:lang w:eastAsia="ja-JP"/>
        </w:rPr>
        <w:t xml:space="preserve"> drastically</w:t>
      </w:r>
      <w:r w:rsidRPr="000A4D14">
        <w:rPr>
          <w:rFonts w:ascii="Garamond" w:hAnsi="Garamond" w:cstheme="majorHAnsi"/>
          <w:lang w:eastAsia="ja-JP"/>
        </w:rPr>
        <w:t xml:space="preserve"> that used to have significant impact on the growth rate in 1970 until the late 1980s. The stable growth in the 1990s was due to its exports that </w:t>
      </w:r>
      <w:r w:rsidRPr="000A4D14">
        <w:rPr>
          <w:rFonts w:ascii="Garamond" w:hAnsi="Garamond" w:cstheme="majorHAnsi"/>
          <w:lang w:eastAsia="ja-JP"/>
        </w:rPr>
        <w:lastRenderedPageBreak/>
        <w:t xml:space="preserve">dominated by the manufacture sector. The most interesting part is in the end of 1980s when global commodity prices fell dramatically, the GDP </w:t>
      </w:r>
      <w:r w:rsidR="00C645BF" w:rsidRPr="000A4D14">
        <w:rPr>
          <w:rFonts w:ascii="Garamond" w:hAnsi="Garamond" w:cstheme="majorHAnsi"/>
          <w:lang w:eastAsia="ja-JP"/>
        </w:rPr>
        <w:t xml:space="preserve">growth rate on the other hand </w:t>
      </w:r>
      <w:r w:rsidRPr="000A4D14">
        <w:rPr>
          <w:rFonts w:ascii="Garamond" w:hAnsi="Garamond" w:cstheme="majorHAnsi"/>
          <w:lang w:eastAsia="ja-JP"/>
        </w:rPr>
        <w:t>rose hence it shows that Indonesia strong economy structure that caused by the rapid development in the manufacturing sector reduce Indonesia economy growth vulnerability on global commodity prices change. However, during the Asian Crisis in 1997/98 the manufacturing sector in particular the non-oil and gas manufacturing sub sectors declined dramatically</w:t>
      </w:r>
      <w:r w:rsidR="000A4D14" w:rsidRPr="000A4D14">
        <w:rPr>
          <w:rFonts w:ascii="Garamond" w:hAnsi="Garamond" w:cstheme="majorHAnsi"/>
          <w:lang w:eastAsia="ja-JP"/>
        </w:rPr>
        <w:t xml:space="preserve"> </w:t>
      </w:r>
      <w:r w:rsidR="00496FE5" w:rsidRPr="000A4D14">
        <w:rPr>
          <w:rFonts w:ascii="Garamond" w:hAnsi="Garamond" w:cstheme="majorHAnsi"/>
          <w:lang w:eastAsia="ja-JP"/>
        </w:rPr>
        <w:fldChar w:fldCharType="begin"/>
      </w:r>
      <w:r w:rsidR="000A4D14" w:rsidRPr="000A4D14">
        <w:rPr>
          <w:rFonts w:ascii="Garamond" w:hAnsi="Garamond" w:cstheme="majorHAnsi"/>
          <w:lang w:eastAsia="ja-JP"/>
        </w:rPr>
        <w:instrText>ADDIN RW.CITE{{180 Wie,TheeKian 2010}}</w:instrText>
      </w:r>
      <w:r w:rsidR="00496FE5" w:rsidRPr="000A4D14">
        <w:rPr>
          <w:rFonts w:ascii="Garamond" w:hAnsi="Garamond" w:cstheme="majorHAnsi"/>
          <w:lang w:eastAsia="ja-JP"/>
        </w:rPr>
        <w:fldChar w:fldCharType="separate"/>
      </w:r>
      <w:r w:rsidR="000A4D14" w:rsidRPr="000A4D14">
        <w:rPr>
          <w:rFonts w:ascii="Garamond" w:hAnsi="Garamond" w:cstheme="majorHAnsi"/>
          <w:lang w:eastAsia="ja-JP"/>
        </w:rPr>
        <w:t>(Wie 2010)</w:t>
      </w:r>
      <w:r w:rsidR="00496FE5" w:rsidRPr="000A4D14">
        <w:rPr>
          <w:rFonts w:ascii="Garamond" w:hAnsi="Garamond" w:cstheme="majorHAnsi"/>
          <w:lang w:eastAsia="ja-JP"/>
        </w:rPr>
        <w:fldChar w:fldCharType="end"/>
      </w:r>
      <w:r w:rsidRPr="000A4D14">
        <w:rPr>
          <w:rFonts w:ascii="Garamond" w:hAnsi="Garamond" w:cstheme="majorHAnsi"/>
          <w:lang w:eastAsia="ja-JP"/>
        </w:rPr>
        <w:t xml:space="preserve"> hence Indonesia recovered from the crisis by depending on its primary commodity exports which like most developing country in the early stage of development that relied upon primary products </w:t>
      </w:r>
      <w:r w:rsidR="00496FE5" w:rsidRPr="000A4D14">
        <w:rPr>
          <w:rFonts w:ascii="Garamond" w:hAnsi="Garamond" w:cstheme="majorHAnsi"/>
          <w:lang w:eastAsia="ja-JP"/>
        </w:rPr>
        <w:fldChar w:fldCharType="begin"/>
      </w:r>
      <w:r w:rsidR="000A4D14" w:rsidRPr="000A4D14">
        <w:rPr>
          <w:rFonts w:ascii="Garamond" w:hAnsi="Garamond" w:cstheme="majorHAnsi"/>
          <w:lang w:eastAsia="ja-JP"/>
        </w:rPr>
        <w:instrText>ADDIN RW.CITE{{220 Margono,Heru 2006}}</w:instrText>
      </w:r>
      <w:r w:rsidR="00496FE5" w:rsidRPr="000A4D14">
        <w:rPr>
          <w:rFonts w:ascii="Garamond" w:hAnsi="Garamond" w:cstheme="majorHAnsi"/>
          <w:lang w:eastAsia="ja-JP"/>
        </w:rPr>
        <w:fldChar w:fldCharType="separate"/>
      </w:r>
      <w:r w:rsidR="000A4D14" w:rsidRPr="000A4D14">
        <w:rPr>
          <w:rFonts w:ascii="Garamond" w:hAnsi="Garamond" w:cstheme="majorHAnsi"/>
          <w:lang w:eastAsia="ja-JP"/>
        </w:rPr>
        <w:t>(Margono and Sharma 2006)</w:t>
      </w:r>
      <w:r w:rsidR="00496FE5" w:rsidRPr="000A4D14">
        <w:rPr>
          <w:rFonts w:ascii="Garamond" w:hAnsi="Garamond" w:cstheme="majorHAnsi"/>
          <w:lang w:eastAsia="ja-JP"/>
        </w:rPr>
        <w:fldChar w:fldCharType="end"/>
      </w:r>
      <w:r w:rsidRPr="000A4D14">
        <w:rPr>
          <w:rFonts w:ascii="Garamond" w:hAnsi="Garamond" w:cstheme="majorHAnsi"/>
          <w:lang w:eastAsia="ja-JP"/>
        </w:rPr>
        <w:t>. In the aftermath of Asian crisis in 2000 Indonesia economy started to recover even though many manufacture firms collapsed during the crisis, the economy achieve remarkable growth within 3 years. In the early 2000s Indonesia manufacture exports recorded more than 50% of total merchandise exports</w:t>
      </w:r>
      <w:r w:rsidR="00C645BF" w:rsidRPr="000A4D14">
        <w:rPr>
          <w:rFonts w:ascii="Garamond" w:hAnsi="Garamond" w:cstheme="majorHAnsi"/>
          <w:lang w:eastAsia="ja-JP"/>
        </w:rPr>
        <w:t xml:space="preserve"> value</w:t>
      </w:r>
      <w:r w:rsidRPr="000A4D14">
        <w:rPr>
          <w:rFonts w:ascii="Garamond" w:hAnsi="Garamond" w:cstheme="majorHAnsi"/>
          <w:lang w:eastAsia="ja-JP"/>
        </w:rPr>
        <w:t xml:space="preserve"> but this </w:t>
      </w:r>
      <w:r w:rsidR="00C645BF" w:rsidRPr="000A4D14">
        <w:rPr>
          <w:rFonts w:ascii="Garamond" w:hAnsi="Garamond" w:cstheme="majorHAnsi"/>
          <w:lang w:eastAsia="ja-JP"/>
        </w:rPr>
        <w:t>value</w:t>
      </w:r>
      <w:r w:rsidRPr="000A4D14">
        <w:rPr>
          <w:rFonts w:ascii="Garamond" w:hAnsi="Garamond" w:cstheme="majorHAnsi"/>
          <w:lang w:eastAsia="ja-JP"/>
        </w:rPr>
        <w:t xml:space="preserve"> declined over years where in 2010 the share of manufactures value of total merchandise exports products only 37% due to the rise in commodity prices. Its economic growth didn’t show any significant</w:t>
      </w:r>
      <w:r w:rsidR="009470E7" w:rsidRPr="000A4D14">
        <w:rPr>
          <w:rFonts w:ascii="Garamond" w:hAnsi="Garamond" w:cstheme="majorHAnsi"/>
          <w:lang w:eastAsia="ja-JP"/>
        </w:rPr>
        <w:t xml:space="preserve"> growth</w:t>
      </w:r>
      <w:r w:rsidRPr="000A4D14">
        <w:rPr>
          <w:rFonts w:ascii="Garamond" w:hAnsi="Garamond" w:cstheme="majorHAnsi"/>
          <w:lang w:eastAsia="ja-JP"/>
        </w:rPr>
        <w:t xml:space="preserve"> achievement but slightly upward trend constant growth for a decade.</w:t>
      </w:r>
    </w:p>
    <w:p w:rsidR="000C18DF" w:rsidRPr="000A4D14" w:rsidRDefault="000C18DF" w:rsidP="000C18DF">
      <w:pPr>
        <w:rPr>
          <w:rFonts w:ascii="Garamond" w:hAnsi="Garamond"/>
          <w:lang w:eastAsia="ja-JP"/>
        </w:rPr>
      </w:pPr>
    </w:p>
    <w:p w:rsidR="001025E8" w:rsidRPr="000A4D14" w:rsidRDefault="001025E8" w:rsidP="001025E8">
      <w:pPr>
        <w:jc w:val="both"/>
        <w:rPr>
          <w:rFonts w:ascii="Garamond" w:hAnsi="Garamond"/>
        </w:rPr>
      </w:pPr>
      <w:r w:rsidRPr="000A4D14">
        <w:rPr>
          <w:rFonts w:ascii="Garamond" w:hAnsi="Garamond"/>
          <w:lang w:eastAsia="ja-JP"/>
        </w:rPr>
        <w:t>T</w:t>
      </w:r>
      <w:r w:rsidRPr="000A4D14">
        <w:rPr>
          <w:rFonts w:ascii="Garamond" w:hAnsi="Garamond"/>
        </w:rPr>
        <w:t xml:space="preserve">his section focus on the GDP growth by sector </w:t>
      </w:r>
      <w:r w:rsidR="00AF0DCE" w:rsidRPr="000A4D14">
        <w:rPr>
          <w:rFonts w:ascii="Garamond" w:hAnsi="Garamond"/>
        </w:rPr>
        <w:t>in two decades from 1990 to 1996</w:t>
      </w:r>
      <w:r w:rsidRPr="000A4D14">
        <w:rPr>
          <w:rFonts w:ascii="Garamond" w:hAnsi="Garamond"/>
        </w:rPr>
        <w:t xml:space="preserve"> before the Asian Crisis when the manufacturing sector developed rapidly hence Indonesia growth became less dependent on commodity </w:t>
      </w:r>
      <w:r w:rsidR="00C421DA">
        <w:rPr>
          <w:rFonts w:ascii="Garamond" w:hAnsi="Garamond"/>
        </w:rPr>
        <w:t>sectors</w:t>
      </w:r>
      <w:r w:rsidRPr="000A4D14">
        <w:rPr>
          <w:rFonts w:ascii="Garamond" w:hAnsi="Garamond"/>
        </w:rPr>
        <w:t xml:space="preserve"> and from 2000 when Indonesia just recently recover from the crisis and achieve quite stable</w:t>
      </w:r>
      <w:r w:rsidR="00C421DA">
        <w:rPr>
          <w:rFonts w:ascii="Garamond" w:hAnsi="Garamond"/>
        </w:rPr>
        <w:t xml:space="preserve"> growth within the years to 2000s</w:t>
      </w:r>
      <w:r w:rsidRPr="000A4D14">
        <w:rPr>
          <w:rFonts w:ascii="Garamond" w:hAnsi="Garamond"/>
        </w:rPr>
        <w:t>. The data used in this section are from Indonesia statistic center using the constant 2000 price.</w:t>
      </w:r>
      <w:r w:rsidR="00881513" w:rsidRPr="000A4D14">
        <w:rPr>
          <w:rFonts w:ascii="Garamond" w:hAnsi="Garamond"/>
        </w:rPr>
        <w:t xml:space="preserve"> Due to the availability of both international and national data, Indonesia GDP growth by sector data only available from 1990 to 2010. Which also what this paper would like to focus is on the recent growth.</w:t>
      </w:r>
    </w:p>
    <w:p w:rsidR="00881513" w:rsidRDefault="00881513" w:rsidP="001025E8">
      <w:pPr>
        <w:jc w:val="both"/>
        <w:rPr>
          <w:rFonts w:ascii="Garamond" w:hAnsi="Garamond"/>
        </w:rPr>
      </w:pPr>
    </w:p>
    <w:p w:rsidR="00841570" w:rsidRPr="00841570" w:rsidRDefault="00C421DA" w:rsidP="00841570">
      <w:pPr>
        <w:jc w:val="center"/>
        <w:rPr>
          <w:rFonts w:ascii="Garamond" w:hAnsi="Garamond"/>
          <w:sz w:val="22"/>
          <w:szCs w:val="22"/>
        </w:rPr>
      </w:pPr>
      <w:r>
        <w:rPr>
          <w:rFonts w:ascii="Garamond" w:hAnsi="Garamond"/>
          <w:sz w:val="22"/>
          <w:szCs w:val="22"/>
        </w:rPr>
        <w:t>F</w:t>
      </w:r>
      <w:r w:rsidR="00295549">
        <w:rPr>
          <w:rFonts w:ascii="Garamond" w:hAnsi="Garamond"/>
          <w:sz w:val="22"/>
          <w:szCs w:val="22"/>
        </w:rPr>
        <w:t>igure 4-13</w:t>
      </w:r>
      <w:r w:rsidR="00841570" w:rsidRPr="00841570">
        <w:rPr>
          <w:rFonts w:ascii="Garamond" w:hAnsi="Garamond"/>
          <w:sz w:val="22"/>
          <w:szCs w:val="22"/>
        </w:rPr>
        <w:t xml:space="preserve"> Sectors % growth</w:t>
      </w:r>
      <w:r w:rsidR="004272BD">
        <w:rPr>
          <w:rFonts w:ascii="Garamond" w:hAnsi="Garamond"/>
          <w:sz w:val="22"/>
          <w:szCs w:val="22"/>
        </w:rPr>
        <w:t xml:space="preserve"> contribution to GDP</w:t>
      </w:r>
    </w:p>
    <w:p w:rsidR="00841570" w:rsidRDefault="00AF0DCE" w:rsidP="001025E8">
      <w:pPr>
        <w:jc w:val="both"/>
        <w:rPr>
          <w:rFonts w:ascii="Garamond" w:hAnsi="Garamond"/>
        </w:rPr>
      </w:pPr>
      <w:r w:rsidRPr="00AF0DCE">
        <w:rPr>
          <w:rFonts w:ascii="Garamond" w:hAnsi="Garamond"/>
          <w:noProof/>
        </w:rPr>
        <w:drawing>
          <wp:inline distT="0" distB="0" distL="0" distR="0">
            <wp:extent cx="4656317" cy="2448698"/>
            <wp:effectExtent l="19050" t="0" r="10933" b="8752"/>
            <wp:docPr id="1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0C21CC" w:rsidRDefault="000C21CC" w:rsidP="000C21CC">
      <w:pPr>
        <w:jc w:val="both"/>
        <w:rPr>
          <w:rFonts w:asciiTheme="majorHAnsi" w:hAnsiTheme="majorHAnsi"/>
          <w:i/>
          <w:sz w:val="16"/>
          <w:lang w:eastAsia="ja-JP"/>
        </w:rPr>
      </w:pPr>
      <w:r w:rsidRPr="005679D1">
        <w:rPr>
          <w:rFonts w:asciiTheme="majorHAnsi" w:hAnsiTheme="majorHAnsi"/>
          <w:i/>
          <w:sz w:val="16"/>
          <w:lang w:eastAsia="ja-JP"/>
        </w:rPr>
        <w:t xml:space="preserve">Source: </w:t>
      </w:r>
      <w:proofErr w:type="spellStart"/>
      <w:r w:rsidRPr="005679D1">
        <w:rPr>
          <w:rFonts w:asciiTheme="majorHAnsi" w:hAnsiTheme="majorHAnsi"/>
          <w:i/>
          <w:sz w:val="16"/>
          <w:lang w:eastAsia="ja-JP"/>
        </w:rPr>
        <w:t>Badan</w:t>
      </w:r>
      <w:proofErr w:type="spellEnd"/>
      <w:r>
        <w:rPr>
          <w:rFonts w:asciiTheme="majorHAnsi" w:hAnsiTheme="majorHAnsi"/>
          <w:i/>
          <w:sz w:val="16"/>
          <w:lang w:eastAsia="ja-JP"/>
        </w:rPr>
        <w:t xml:space="preserve"> </w:t>
      </w:r>
      <w:proofErr w:type="spellStart"/>
      <w:r w:rsidRPr="005679D1">
        <w:rPr>
          <w:rFonts w:asciiTheme="majorHAnsi" w:hAnsiTheme="majorHAnsi"/>
          <w:i/>
          <w:sz w:val="16"/>
          <w:lang w:eastAsia="ja-JP"/>
        </w:rPr>
        <w:t>Pusat</w:t>
      </w:r>
      <w:proofErr w:type="spellEnd"/>
      <w:r>
        <w:rPr>
          <w:rFonts w:asciiTheme="majorHAnsi" w:hAnsiTheme="majorHAnsi"/>
          <w:i/>
          <w:sz w:val="16"/>
          <w:lang w:eastAsia="ja-JP"/>
        </w:rPr>
        <w:t xml:space="preserve"> </w:t>
      </w:r>
      <w:proofErr w:type="spellStart"/>
      <w:r w:rsidRPr="005679D1">
        <w:rPr>
          <w:rFonts w:asciiTheme="majorHAnsi" w:hAnsiTheme="majorHAnsi"/>
          <w:i/>
          <w:sz w:val="16"/>
          <w:lang w:eastAsia="ja-JP"/>
        </w:rPr>
        <w:t>Statistik</w:t>
      </w:r>
      <w:proofErr w:type="spellEnd"/>
      <w:r w:rsidRPr="005679D1">
        <w:rPr>
          <w:rFonts w:asciiTheme="majorHAnsi" w:hAnsiTheme="majorHAnsi"/>
          <w:i/>
          <w:sz w:val="16"/>
          <w:lang w:eastAsia="ja-JP"/>
        </w:rPr>
        <w:t xml:space="preserve"> (</w:t>
      </w:r>
      <w:r>
        <w:rPr>
          <w:rFonts w:asciiTheme="majorHAnsi" w:hAnsiTheme="majorHAnsi"/>
          <w:i/>
          <w:sz w:val="16"/>
          <w:lang w:eastAsia="ja-JP"/>
        </w:rPr>
        <w:t>Indonesia Central Agency on Statistics</w:t>
      </w:r>
      <w:r w:rsidRPr="005679D1">
        <w:rPr>
          <w:rFonts w:asciiTheme="majorHAnsi" w:hAnsiTheme="majorHAnsi"/>
          <w:i/>
          <w:sz w:val="16"/>
          <w:lang w:eastAsia="ja-JP"/>
        </w:rPr>
        <w:t>)</w:t>
      </w:r>
    </w:p>
    <w:p w:rsidR="00841570" w:rsidRDefault="00841570" w:rsidP="001025E8">
      <w:pPr>
        <w:jc w:val="both"/>
        <w:rPr>
          <w:rFonts w:ascii="Garamond" w:hAnsi="Garamond"/>
        </w:rPr>
      </w:pPr>
    </w:p>
    <w:p w:rsidR="00881513" w:rsidRPr="00025F53" w:rsidRDefault="000C21CC" w:rsidP="001025E8">
      <w:pPr>
        <w:jc w:val="both"/>
        <w:rPr>
          <w:rFonts w:ascii="Garamond" w:hAnsi="Garamond"/>
        </w:rPr>
      </w:pPr>
      <w:r w:rsidRPr="00025F53">
        <w:rPr>
          <w:rFonts w:ascii="Garamond" w:hAnsi="Garamond"/>
        </w:rPr>
        <w:t>Period 1990 to 1996</w:t>
      </w:r>
    </w:p>
    <w:p w:rsidR="001025E8" w:rsidRPr="00025F53" w:rsidRDefault="00E975D9" w:rsidP="001025E8">
      <w:pPr>
        <w:jc w:val="both"/>
        <w:rPr>
          <w:rFonts w:ascii="Garamond" w:hAnsi="Garamond" w:cstheme="majorHAnsi"/>
          <w:lang w:eastAsia="ja-JP"/>
        </w:rPr>
      </w:pPr>
      <w:r>
        <w:rPr>
          <w:rFonts w:ascii="Garamond" w:hAnsi="Garamond" w:cstheme="majorHAnsi"/>
          <w:lang w:eastAsia="ja-JP"/>
        </w:rPr>
        <w:t>According to the figure 4-13</w:t>
      </w:r>
      <w:r w:rsidR="001025E8" w:rsidRPr="00025F53">
        <w:rPr>
          <w:rFonts w:ascii="Garamond" w:hAnsi="Garamond" w:cstheme="majorHAnsi"/>
          <w:lang w:eastAsia="ja-JP"/>
        </w:rPr>
        <w:t xml:space="preserve">, in the early 1990s, Indonesia GDP </w:t>
      </w:r>
      <w:r w:rsidR="004272BD" w:rsidRPr="00025F53">
        <w:rPr>
          <w:rFonts w:ascii="Garamond" w:hAnsi="Garamond" w:cstheme="majorHAnsi"/>
          <w:lang w:eastAsia="ja-JP"/>
        </w:rPr>
        <w:t>that</w:t>
      </w:r>
      <w:r w:rsidR="0025015B" w:rsidRPr="00025F53">
        <w:rPr>
          <w:rFonts w:ascii="Garamond" w:hAnsi="Garamond" w:cstheme="majorHAnsi"/>
          <w:lang w:eastAsia="ja-JP"/>
        </w:rPr>
        <w:t xml:space="preserve"> contributed</w:t>
      </w:r>
      <w:r w:rsidR="001025E8" w:rsidRPr="00025F53">
        <w:rPr>
          <w:rFonts w:ascii="Garamond" w:hAnsi="Garamond" w:cstheme="majorHAnsi"/>
          <w:lang w:eastAsia="ja-JP"/>
        </w:rPr>
        <w:t xml:space="preserve"> by the </w:t>
      </w:r>
      <w:r w:rsidR="004272BD" w:rsidRPr="00025F53">
        <w:rPr>
          <w:rFonts w:ascii="Garamond" w:hAnsi="Garamond" w:cstheme="majorHAnsi"/>
          <w:lang w:eastAsia="ja-JP"/>
        </w:rPr>
        <w:t>primary commodity sector</w:t>
      </w:r>
      <w:r w:rsidR="001025E8" w:rsidRPr="00025F53">
        <w:rPr>
          <w:rFonts w:ascii="Garamond" w:hAnsi="Garamond" w:cstheme="majorHAnsi"/>
          <w:lang w:eastAsia="ja-JP"/>
        </w:rPr>
        <w:t xml:space="preserve"> percentage keep declining in years and this is also confirmed by the data of percentage of merchandise </w:t>
      </w:r>
      <w:r w:rsidR="001025E8" w:rsidRPr="00025F53">
        <w:rPr>
          <w:rFonts w:ascii="Garamond" w:hAnsi="Garamond" w:cstheme="majorHAnsi"/>
          <w:lang w:eastAsia="ja-JP"/>
        </w:rPr>
        <w:lastRenderedPageBreak/>
        <w:t>exports by the World Bank</w:t>
      </w:r>
      <w:r w:rsidR="0025015B" w:rsidRPr="00025F53">
        <w:rPr>
          <w:rFonts w:ascii="Garamond" w:hAnsi="Garamond" w:cstheme="majorHAnsi"/>
          <w:lang w:eastAsia="ja-JP"/>
        </w:rPr>
        <w:t xml:space="preserve"> in section 4.1</w:t>
      </w:r>
      <w:r w:rsidR="001025E8" w:rsidRPr="00025F53">
        <w:rPr>
          <w:rFonts w:ascii="Garamond" w:hAnsi="Garamond" w:cstheme="majorHAnsi"/>
          <w:lang w:eastAsia="ja-JP"/>
        </w:rPr>
        <w:t xml:space="preserve"> that the reliance on commodity exports also keep declining, even though that </w:t>
      </w:r>
      <w:r w:rsidR="0025015B" w:rsidRPr="00025F53">
        <w:rPr>
          <w:rFonts w:ascii="Garamond" w:hAnsi="Garamond" w:cstheme="majorHAnsi"/>
          <w:lang w:eastAsia="ja-JP"/>
        </w:rPr>
        <w:t>there was a commodity prices rise</w:t>
      </w:r>
      <w:r w:rsidR="001025E8" w:rsidRPr="00025F53">
        <w:rPr>
          <w:rFonts w:ascii="Garamond" w:hAnsi="Garamond" w:cstheme="majorHAnsi"/>
          <w:lang w:eastAsia="ja-JP"/>
        </w:rPr>
        <w:t xml:space="preserve"> in 1994, there was no significant increase of the commodity sector exports. </w:t>
      </w:r>
      <w:r w:rsidR="004272BD" w:rsidRPr="00025F53">
        <w:rPr>
          <w:rFonts w:ascii="Garamond" w:hAnsi="Garamond" w:cstheme="majorHAnsi"/>
          <w:lang w:eastAsia="ja-JP"/>
        </w:rPr>
        <w:t>S</w:t>
      </w:r>
      <w:r w:rsidR="001025E8" w:rsidRPr="00025F53">
        <w:rPr>
          <w:rFonts w:ascii="Garamond" w:hAnsi="Garamond" w:cstheme="majorHAnsi"/>
          <w:lang w:eastAsia="ja-JP"/>
        </w:rPr>
        <w:t>urprisingly</w:t>
      </w:r>
      <w:r w:rsidR="0025015B" w:rsidRPr="00025F53">
        <w:rPr>
          <w:rFonts w:ascii="Garamond" w:hAnsi="Garamond" w:cstheme="majorHAnsi"/>
          <w:lang w:eastAsia="ja-JP"/>
        </w:rPr>
        <w:t>,</w:t>
      </w:r>
      <w:r w:rsidR="004272BD" w:rsidRPr="00025F53">
        <w:rPr>
          <w:rFonts w:ascii="Garamond" w:hAnsi="Garamond" w:cstheme="majorHAnsi"/>
          <w:lang w:eastAsia="ja-JP"/>
        </w:rPr>
        <w:t xml:space="preserve"> even</w:t>
      </w:r>
      <w:r w:rsidR="001025E8" w:rsidRPr="00025F53">
        <w:rPr>
          <w:rFonts w:ascii="Garamond" w:hAnsi="Garamond" w:cstheme="majorHAnsi"/>
          <w:lang w:eastAsia="ja-JP"/>
        </w:rPr>
        <w:t xml:space="preserve"> when t</w:t>
      </w:r>
      <w:r w:rsidR="004272BD" w:rsidRPr="00025F53">
        <w:rPr>
          <w:rFonts w:ascii="Garamond" w:hAnsi="Garamond" w:cstheme="majorHAnsi"/>
          <w:lang w:eastAsia="ja-JP"/>
        </w:rPr>
        <w:t xml:space="preserve">he commodity price </w:t>
      </w:r>
      <w:r w:rsidR="0025015B" w:rsidRPr="00025F53">
        <w:rPr>
          <w:rFonts w:ascii="Garamond" w:hAnsi="Garamond" w:cstheme="majorHAnsi"/>
          <w:lang w:eastAsia="ja-JP"/>
        </w:rPr>
        <w:t>raised</w:t>
      </w:r>
      <w:r w:rsidR="004272BD" w:rsidRPr="00025F53">
        <w:rPr>
          <w:rFonts w:ascii="Garamond" w:hAnsi="Garamond" w:cstheme="majorHAnsi"/>
          <w:lang w:eastAsia="ja-JP"/>
        </w:rPr>
        <w:t xml:space="preserve"> in 1994</w:t>
      </w:r>
      <w:r w:rsidR="001025E8" w:rsidRPr="00025F53">
        <w:rPr>
          <w:rFonts w:ascii="Garamond" w:hAnsi="Garamond" w:cstheme="majorHAnsi"/>
          <w:lang w:eastAsia="ja-JP"/>
        </w:rPr>
        <w:t xml:space="preserve"> the manufacturing industries</w:t>
      </w:r>
      <w:r w:rsidR="004272BD" w:rsidRPr="00025F53">
        <w:rPr>
          <w:rFonts w:ascii="Garamond" w:hAnsi="Garamond" w:cstheme="majorHAnsi"/>
          <w:lang w:eastAsia="ja-JP"/>
        </w:rPr>
        <w:t xml:space="preserve"> growth</w:t>
      </w:r>
      <w:r w:rsidR="001025E8" w:rsidRPr="00025F53">
        <w:rPr>
          <w:rFonts w:ascii="Garamond" w:hAnsi="Garamond" w:cstheme="majorHAnsi"/>
          <w:lang w:eastAsia="ja-JP"/>
        </w:rPr>
        <w:t xml:space="preserve"> contribution to GDP incr</w:t>
      </w:r>
      <w:r w:rsidR="004272BD" w:rsidRPr="00025F53">
        <w:rPr>
          <w:rFonts w:ascii="Garamond" w:hAnsi="Garamond" w:cstheme="majorHAnsi"/>
          <w:lang w:eastAsia="ja-JP"/>
        </w:rPr>
        <w:t>ease</w:t>
      </w:r>
      <w:r w:rsidR="0025015B" w:rsidRPr="00025F53">
        <w:rPr>
          <w:rFonts w:ascii="Garamond" w:hAnsi="Garamond" w:cstheme="majorHAnsi"/>
          <w:lang w:eastAsia="ja-JP"/>
        </w:rPr>
        <w:t>d</w:t>
      </w:r>
      <w:r w:rsidR="001025E8" w:rsidRPr="00025F53">
        <w:rPr>
          <w:rFonts w:ascii="Garamond" w:hAnsi="Garamond" w:cstheme="majorHAnsi"/>
          <w:lang w:eastAsia="ja-JP"/>
        </w:rPr>
        <w:t>.</w:t>
      </w:r>
    </w:p>
    <w:p w:rsidR="001025E8" w:rsidRPr="00025F53" w:rsidRDefault="001025E8" w:rsidP="001025E8">
      <w:pPr>
        <w:jc w:val="both"/>
        <w:rPr>
          <w:rFonts w:ascii="Garamond" w:hAnsi="Garamond" w:cstheme="majorHAnsi"/>
          <w:lang w:eastAsia="ja-JP"/>
        </w:rPr>
      </w:pPr>
    </w:p>
    <w:p w:rsidR="001025E8" w:rsidRPr="00025F53" w:rsidRDefault="001025E8" w:rsidP="001025E8">
      <w:pPr>
        <w:jc w:val="both"/>
        <w:rPr>
          <w:rFonts w:ascii="Garamond" w:hAnsi="Garamond" w:cstheme="majorHAnsi"/>
          <w:lang w:eastAsia="ja-JP"/>
        </w:rPr>
      </w:pPr>
      <w:r w:rsidRPr="00025F53">
        <w:rPr>
          <w:rFonts w:ascii="Garamond" w:hAnsi="Garamond" w:cstheme="majorHAnsi"/>
          <w:lang w:eastAsia="ja-JP"/>
        </w:rPr>
        <w:t xml:space="preserve">The </w:t>
      </w:r>
      <w:r w:rsidR="0025015B" w:rsidRPr="00025F53">
        <w:rPr>
          <w:rFonts w:ascii="Garamond" w:hAnsi="Garamond" w:cstheme="majorHAnsi"/>
          <w:lang w:eastAsia="ja-JP"/>
        </w:rPr>
        <w:t>period of 1990 to 1996</w:t>
      </w:r>
      <w:r w:rsidRPr="00025F53">
        <w:rPr>
          <w:rFonts w:ascii="Garamond" w:hAnsi="Garamond" w:cstheme="majorHAnsi"/>
          <w:lang w:eastAsia="ja-JP"/>
        </w:rPr>
        <w:t xml:space="preserve"> clearly shows that there was no evidence of negative impact from the commodi</w:t>
      </w:r>
      <w:r w:rsidR="00846EE5" w:rsidRPr="00025F53">
        <w:rPr>
          <w:rFonts w:ascii="Garamond" w:hAnsi="Garamond" w:cstheme="majorHAnsi"/>
          <w:lang w:eastAsia="ja-JP"/>
        </w:rPr>
        <w:t>ty price rise in 1994</w:t>
      </w:r>
      <w:r w:rsidRPr="00025F53">
        <w:rPr>
          <w:rFonts w:ascii="Garamond" w:hAnsi="Garamond" w:cstheme="majorHAnsi"/>
          <w:lang w:eastAsia="ja-JP"/>
        </w:rPr>
        <w:t xml:space="preserve"> and Indonesia earn much from the boom as it contribute a quarter of Indonesia GDP from its commodity sectors without undermined the</w:t>
      </w:r>
      <w:r w:rsidR="0025015B" w:rsidRPr="00025F53">
        <w:rPr>
          <w:rFonts w:ascii="Garamond" w:hAnsi="Garamond" w:cstheme="majorHAnsi"/>
          <w:lang w:eastAsia="ja-JP"/>
        </w:rPr>
        <w:t xml:space="preserve"> manufacturing sector</w:t>
      </w:r>
      <w:r w:rsidR="008118B6" w:rsidRPr="00025F53">
        <w:rPr>
          <w:rFonts w:ascii="Garamond" w:hAnsi="Garamond" w:cstheme="majorHAnsi"/>
          <w:lang w:eastAsia="ja-JP"/>
        </w:rPr>
        <w:t xml:space="preserve">. Lipscomb et al </w:t>
      </w:r>
      <w:r w:rsidR="00496FE5" w:rsidRPr="00025F53">
        <w:rPr>
          <w:rFonts w:ascii="Garamond" w:hAnsi="Garamond" w:cstheme="majorHAnsi"/>
          <w:lang w:eastAsia="ja-JP"/>
        </w:rPr>
        <w:fldChar w:fldCharType="begin"/>
      </w:r>
      <w:r w:rsidR="008118B6" w:rsidRPr="00025F53">
        <w:rPr>
          <w:rFonts w:ascii="Garamond" w:hAnsi="Garamond" w:cstheme="majorHAnsi"/>
          <w:lang w:eastAsia="ja-JP"/>
        </w:rPr>
        <w:instrText>ADDIN RW.CITE{{170 Lipscomb,Laura 2010 /a}}</w:instrText>
      </w:r>
      <w:r w:rsidR="00496FE5" w:rsidRPr="00025F53">
        <w:rPr>
          <w:rFonts w:ascii="Garamond" w:hAnsi="Garamond" w:cstheme="majorHAnsi"/>
          <w:lang w:eastAsia="ja-JP"/>
        </w:rPr>
        <w:fldChar w:fldCharType="separate"/>
      </w:r>
      <w:r w:rsidR="008118B6" w:rsidRPr="00025F53">
        <w:rPr>
          <w:rFonts w:ascii="Garamond" w:hAnsi="Garamond" w:cstheme="majorHAnsi"/>
          <w:lang w:eastAsia="ja-JP"/>
        </w:rPr>
        <w:t>(2010)</w:t>
      </w:r>
      <w:r w:rsidR="00496FE5" w:rsidRPr="00025F53">
        <w:rPr>
          <w:rFonts w:ascii="Garamond" w:hAnsi="Garamond" w:cstheme="majorHAnsi"/>
          <w:lang w:eastAsia="ja-JP"/>
        </w:rPr>
        <w:fldChar w:fldCharType="end"/>
      </w:r>
      <w:r w:rsidRPr="00025F53">
        <w:rPr>
          <w:rFonts w:ascii="Garamond" w:hAnsi="Garamond" w:cstheme="majorHAnsi"/>
          <w:lang w:eastAsia="ja-JP"/>
        </w:rPr>
        <w:t xml:space="preserve"> points out that Indonesia commodity exports grew faster than the manufacture in the late 1990s</w:t>
      </w:r>
      <w:r w:rsidR="00884C69" w:rsidRPr="00025F53">
        <w:rPr>
          <w:rFonts w:ascii="Garamond" w:hAnsi="Garamond" w:cstheme="majorHAnsi"/>
          <w:lang w:eastAsia="ja-JP"/>
        </w:rPr>
        <w:t xml:space="preserve"> which was due to the Asian crisis where many manufacture industries collapsed </w:t>
      </w:r>
      <w:r w:rsidRPr="00025F53">
        <w:rPr>
          <w:rFonts w:ascii="Garamond" w:hAnsi="Garamond" w:cstheme="majorHAnsi"/>
          <w:lang w:eastAsia="ja-JP"/>
        </w:rPr>
        <w:t xml:space="preserve"> but in the early of 1990s its exports was dominated by the manufacture sectors. However</w:t>
      </w:r>
      <w:r w:rsidR="00884C69" w:rsidRPr="00025F53">
        <w:rPr>
          <w:rFonts w:ascii="Garamond" w:hAnsi="Garamond" w:cstheme="majorHAnsi"/>
          <w:lang w:eastAsia="ja-JP"/>
        </w:rPr>
        <w:t xml:space="preserve">, if we confirm </w:t>
      </w:r>
      <w:r w:rsidR="00E975D9">
        <w:rPr>
          <w:rFonts w:ascii="Garamond" w:hAnsi="Garamond" w:cstheme="majorHAnsi"/>
          <w:lang w:eastAsia="ja-JP"/>
        </w:rPr>
        <w:t>with the data shown in figure 4-13</w:t>
      </w:r>
      <w:r w:rsidRPr="00025F53">
        <w:rPr>
          <w:rFonts w:ascii="Garamond" w:hAnsi="Garamond" w:cstheme="majorHAnsi"/>
          <w:lang w:eastAsia="ja-JP"/>
        </w:rPr>
        <w:t xml:space="preserve"> above, we s</w:t>
      </w:r>
      <w:r w:rsidR="00884C69" w:rsidRPr="00025F53">
        <w:rPr>
          <w:rFonts w:ascii="Garamond" w:hAnsi="Garamond" w:cstheme="majorHAnsi"/>
          <w:lang w:eastAsia="ja-JP"/>
        </w:rPr>
        <w:t>ee that in the early to the mid-</w:t>
      </w:r>
      <w:r w:rsidRPr="00025F53">
        <w:rPr>
          <w:rFonts w:ascii="Garamond" w:hAnsi="Garamond" w:cstheme="majorHAnsi"/>
          <w:lang w:eastAsia="ja-JP"/>
        </w:rPr>
        <w:t>1990s manufacture sectors contribute a constant value to GDP while the commodity sectors val</w:t>
      </w:r>
      <w:r w:rsidR="00884C69" w:rsidRPr="00025F53">
        <w:rPr>
          <w:rFonts w:ascii="Garamond" w:hAnsi="Garamond" w:cstheme="majorHAnsi"/>
          <w:lang w:eastAsia="ja-JP"/>
        </w:rPr>
        <w:t>ue keep declining in years.</w:t>
      </w:r>
    </w:p>
    <w:p w:rsidR="00C421DA" w:rsidRPr="008D103E" w:rsidRDefault="00C421DA" w:rsidP="001025E8">
      <w:pPr>
        <w:jc w:val="both"/>
        <w:rPr>
          <w:rFonts w:asciiTheme="majorHAnsi" w:hAnsiTheme="majorHAnsi" w:cstheme="majorHAnsi"/>
          <w:sz w:val="22"/>
          <w:szCs w:val="22"/>
          <w:lang w:eastAsia="ja-JP"/>
        </w:rPr>
      </w:pPr>
    </w:p>
    <w:p w:rsidR="001025E8" w:rsidRPr="00C421DA" w:rsidRDefault="001A3342" w:rsidP="00C421DA">
      <w:pPr>
        <w:jc w:val="center"/>
        <w:rPr>
          <w:rFonts w:asciiTheme="majorHAnsi" w:hAnsiTheme="majorHAnsi" w:cstheme="majorHAnsi"/>
          <w:sz w:val="20"/>
          <w:szCs w:val="20"/>
          <w:lang w:eastAsia="ja-JP"/>
        </w:rPr>
      </w:pPr>
      <w:r>
        <w:rPr>
          <w:rFonts w:asciiTheme="majorHAnsi" w:hAnsiTheme="majorHAnsi" w:cstheme="majorHAnsi"/>
          <w:sz w:val="20"/>
          <w:szCs w:val="20"/>
          <w:lang w:eastAsia="ja-JP"/>
        </w:rPr>
        <w:t>Table 4-6</w:t>
      </w:r>
      <w:r w:rsidR="00C421DA" w:rsidRPr="00C421DA">
        <w:rPr>
          <w:rFonts w:asciiTheme="majorHAnsi" w:hAnsiTheme="majorHAnsi" w:cstheme="majorHAnsi"/>
          <w:sz w:val="20"/>
          <w:szCs w:val="20"/>
          <w:lang w:eastAsia="ja-JP"/>
        </w:rPr>
        <w:t xml:space="preserve"> Commodity and Manufacture Sectors Share of GDP</w:t>
      </w:r>
    </w:p>
    <w:tbl>
      <w:tblPr>
        <w:tblW w:w="7270" w:type="dxa"/>
        <w:tblInd w:w="103" w:type="dxa"/>
        <w:tblLook w:val="04A0"/>
      </w:tblPr>
      <w:tblGrid>
        <w:gridCol w:w="1762"/>
        <w:gridCol w:w="1933"/>
        <w:gridCol w:w="1530"/>
        <w:gridCol w:w="2045"/>
      </w:tblGrid>
      <w:tr w:rsidR="00C421DA" w:rsidRPr="00C421DA" w:rsidTr="00C421DA">
        <w:trPr>
          <w:trHeight w:val="550"/>
        </w:trPr>
        <w:tc>
          <w:tcPr>
            <w:tcW w:w="176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Years</w:t>
            </w:r>
          </w:p>
        </w:tc>
        <w:tc>
          <w:tcPr>
            <w:tcW w:w="1933" w:type="dxa"/>
            <w:tcBorders>
              <w:top w:val="single" w:sz="4" w:space="0" w:color="auto"/>
              <w:left w:val="nil"/>
              <w:bottom w:val="single" w:sz="4" w:space="0" w:color="auto"/>
              <w:right w:val="single" w:sz="4" w:space="0" w:color="auto"/>
            </w:tcBorders>
            <w:shd w:val="clear" w:color="auto" w:fill="auto"/>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Agriculture, Livestock, Forestry, and Fishery</w:t>
            </w:r>
          </w:p>
        </w:tc>
        <w:tc>
          <w:tcPr>
            <w:tcW w:w="1530" w:type="dxa"/>
            <w:tcBorders>
              <w:top w:val="single" w:sz="4" w:space="0" w:color="auto"/>
              <w:left w:val="nil"/>
              <w:bottom w:val="single" w:sz="4" w:space="0" w:color="auto"/>
              <w:right w:val="single" w:sz="4" w:space="0" w:color="auto"/>
            </w:tcBorders>
            <w:shd w:val="clear" w:color="auto" w:fill="auto"/>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Mining and Quarrying</w:t>
            </w:r>
          </w:p>
        </w:tc>
        <w:tc>
          <w:tcPr>
            <w:tcW w:w="2045" w:type="dxa"/>
            <w:tcBorders>
              <w:top w:val="single" w:sz="4" w:space="0" w:color="auto"/>
              <w:left w:val="nil"/>
              <w:bottom w:val="single" w:sz="4" w:space="0" w:color="auto"/>
              <w:right w:val="single" w:sz="4" w:space="0" w:color="auto"/>
            </w:tcBorders>
            <w:shd w:val="clear" w:color="auto" w:fill="auto"/>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Manufacturing Industries</w:t>
            </w:r>
          </w:p>
        </w:tc>
      </w:tr>
      <w:tr w:rsidR="00C421DA" w:rsidRPr="00C421DA" w:rsidTr="00C421DA">
        <w:trPr>
          <w:trHeight w:val="336"/>
        </w:trPr>
        <w:tc>
          <w:tcPr>
            <w:tcW w:w="1762" w:type="dxa"/>
            <w:tcBorders>
              <w:top w:val="nil"/>
              <w:left w:val="single" w:sz="4" w:space="0" w:color="auto"/>
              <w:bottom w:val="single" w:sz="4" w:space="0" w:color="auto"/>
              <w:right w:val="single" w:sz="4" w:space="0" w:color="auto"/>
            </w:tcBorders>
            <w:shd w:val="clear" w:color="auto" w:fill="auto"/>
            <w:noWrap/>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1990 - 1996</w:t>
            </w:r>
          </w:p>
        </w:tc>
        <w:tc>
          <w:tcPr>
            <w:tcW w:w="1933"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17%</w:t>
            </w:r>
          </w:p>
        </w:tc>
        <w:tc>
          <w:tcPr>
            <w:tcW w:w="1530"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12%</w:t>
            </w:r>
          </w:p>
        </w:tc>
        <w:tc>
          <w:tcPr>
            <w:tcW w:w="2045"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28%</w:t>
            </w:r>
          </w:p>
        </w:tc>
      </w:tr>
      <w:tr w:rsidR="00C421DA" w:rsidRPr="00C421DA" w:rsidTr="00C421DA">
        <w:trPr>
          <w:trHeight w:val="336"/>
        </w:trPr>
        <w:tc>
          <w:tcPr>
            <w:tcW w:w="1762" w:type="dxa"/>
            <w:tcBorders>
              <w:top w:val="nil"/>
              <w:left w:val="single" w:sz="4" w:space="0" w:color="auto"/>
              <w:bottom w:val="single" w:sz="4" w:space="0" w:color="auto"/>
              <w:right w:val="single" w:sz="4" w:space="0" w:color="auto"/>
            </w:tcBorders>
            <w:shd w:val="clear" w:color="auto" w:fill="auto"/>
            <w:noWrap/>
            <w:vAlign w:val="bottom"/>
            <w:hideMark/>
          </w:tcPr>
          <w:p w:rsidR="00C421DA" w:rsidRPr="00C421DA" w:rsidRDefault="00C421DA" w:rsidP="00C421DA">
            <w:pPr>
              <w:rPr>
                <w:rFonts w:ascii="Calibri" w:eastAsia="Times New Roman" w:hAnsi="Calibri"/>
                <w:color w:val="000000"/>
                <w:sz w:val="18"/>
                <w:szCs w:val="18"/>
              </w:rPr>
            </w:pPr>
            <w:r w:rsidRPr="00C421DA">
              <w:rPr>
                <w:rFonts w:ascii="Calibri" w:eastAsia="Times New Roman" w:hAnsi="Calibri"/>
                <w:color w:val="000000"/>
                <w:sz w:val="18"/>
                <w:szCs w:val="18"/>
              </w:rPr>
              <w:t>2000 - 2010</w:t>
            </w:r>
          </w:p>
        </w:tc>
        <w:tc>
          <w:tcPr>
            <w:tcW w:w="1933"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14%</w:t>
            </w:r>
          </w:p>
        </w:tc>
        <w:tc>
          <w:tcPr>
            <w:tcW w:w="1530"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10%</w:t>
            </w:r>
          </w:p>
        </w:tc>
        <w:tc>
          <w:tcPr>
            <w:tcW w:w="2045" w:type="dxa"/>
            <w:tcBorders>
              <w:top w:val="nil"/>
              <w:left w:val="nil"/>
              <w:bottom w:val="single" w:sz="4" w:space="0" w:color="auto"/>
              <w:right w:val="single" w:sz="4" w:space="0" w:color="auto"/>
            </w:tcBorders>
            <w:shd w:val="clear" w:color="auto" w:fill="auto"/>
            <w:noWrap/>
            <w:vAlign w:val="bottom"/>
            <w:hideMark/>
          </w:tcPr>
          <w:p w:rsidR="00C421DA" w:rsidRPr="00C421DA" w:rsidRDefault="00C421DA" w:rsidP="00C421DA">
            <w:pPr>
              <w:jc w:val="right"/>
              <w:rPr>
                <w:rFonts w:ascii="Calibri" w:eastAsia="Times New Roman" w:hAnsi="Calibri"/>
                <w:color w:val="000000"/>
                <w:sz w:val="18"/>
                <w:szCs w:val="18"/>
              </w:rPr>
            </w:pPr>
            <w:r w:rsidRPr="00C421DA">
              <w:rPr>
                <w:rFonts w:ascii="Calibri" w:eastAsia="Times New Roman" w:hAnsi="Calibri"/>
                <w:color w:val="000000"/>
                <w:sz w:val="18"/>
                <w:szCs w:val="18"/>
              </w:rPr>
              <w:t>27%</w:t>
            </w:r>
          </w:p>
        </w:tc>
      </w:tr>
    </w:tbl>
    <w:p w:rsidR="00C421DA" w:rsidRPr="00C421DA" w:rsidRDefault="00C421DA" w:rsidP="00C421DA">
      <w:pPr>
        <w:jc w:val="both"/>
        <w:rPr>
          <w:rFonts w:asciiTheme="majorHAnsi" w:hAnsiTheme="majorHAnsi"/>
          <w:i/>
          <w:sz w:val="18"/>
          <w:szCs w:val="18"/>
          <w:lang w:eastAsia="ja-JP"/>
        </w:rPr>
      </w:pPr>
      <w:r w:rsidRPr="00C421DA">
        <w:rPr>
          <w:rFonts w:asciiTheme="majorHAnsi" w:hAnsiTheme="majorHAnsi"/>
          <w:i/>
          <w:sz w:val="18"/>
          <w:szCs w:val="18"/>
          <w:lang w:eastAsia="ja-JP"/>
        </w:rPr>
        <w:t xml:space="preserve">Source: </w:t>
      </w:r>
      <w:proofErr w:type="spellStart"/>
      <w:r w:rsidRPr="00C421DA">
        <w:rPr>
          <w:rFonts w:asciiTheme="majorHAnsi" w:hAnsiTheme="majorHAnsi"/>
          <w:i/>
          <w:sz w:val="18"/>
          <w:szCs w:val="18"/>
          <w:lang w:eastAsia="ja-JP"/>
        </w:rPr>
        <w:t>Badan</w:t>
      </w:r>
      <w:proofErr w:type="spellEnd"/>
      <w:r w:rsidRPr="00C421DA">
        <w:rPr>
          <w:rFonts w:asciiTheme="majorHAnsi" w:hAnsiTheme="majorHAnsi"/>
          <w:i/>
          <w:sz w:val="18"/>
          <w:szCs w:val="18"/>
          <w:lang w:eastAsia="ja-JP"/>
        </w:rPr>
        <w:t xml:space="preserve"> </w:t>
      </w:r>
      <w:proofErr w:type="spellStart"/>
      <w:r w:rsidRPr="00C421DA">
        <w:rPr>
          <w:rFonts w:asciiTheme="majorHAnsi" w:hAnsiTheme="majorHAnsi"/>
          <w:i/>
          <w:sz w:val="18"/>
          <w:szCs w:val="18"/>
          <w:lang w:eastAsia="ja-JP"/>
        </w:rPr>
        <w:t>Pusat</w:t>
      </w:r>
      <w:proofErr w:type="spellEnd"/>
      <w:r w:rsidRPr="00C421DA">
        <w:rPr>
          <w:rFonts w:asciiTheme="majorHAnsi" w:hAnsiTheme="majorHAnsi"/>
          <w:i/>
          <w:sz w:val="18"/>
          <w:szCs w:val="18"/>
          <w:lang w:eastAsia="ja-JP"/>
        </w:rPr>
        <w:t xml:space="preserve"> </w:t>
      </w:r>
      <w:proofErr w:type="spellStart"/>
      <w:r w:rsidRPr="00C421DA">
        <w:rPr>
          <w:rFonts w:asciiTheme="majorHAnsi" w:hAnsiTheme="majorHAnsi"/>
          <w:i/>
          <w:sz w:val="18"/>
          <w:szCs w:val="18"/>
          <w:lang w:eastAsia="ja-JP"/>
        </w:rPr>
        <w:t>Statistik</w:t>
      </w:r>
      <w:proofErr w:type="spellEnd"/>
      <w:r w:rsidRPr="00C421DA">
        <w:rPr>
          <w:rFonts w:asciiTheme="majorHAnsi" w:hAnsiTheme="majorHAnsi"/>
          <w:i/>
          <w:sz w:val="18"/>
          <w:szCs w:val="18"/>
          <w:lang w:eastAsia="ja-JP"/>
        </w:rPr>
        <w:t xml:space="preserve"> (Indonesia Central Agency on Statistics)</w:t>
      </w:r>
    </w:p>
    <w:p w:rsidR="00C421DA" w:rsidRDefault="00C421DA" w:rsidP="001025E8">
      <w:pPr>
        <w:jc w:val="both"/>
        <w:rPr>
          <w:rFonts w:asciiTheme="majorHAnsi" w:hAnsiTheme="majorHAnsi" w:cstheme="majorHAnsi"/>
          <w:sz w:val="22"/>
          <w:szCs w:val="22"/>
          <w:lang w:eastAsia="ja-JP"/>
        </w:rPr>
      </w:pPr>
    </w:p>
    <w:p w:rsidR="00F83C01" w:rsidRPr="00025F53" w:rsidRDefault="00F83C01" w:rsidP="001025E8">
      <w:pPr>
        <w:jc w:val="both"/>
        <w:rPr>
          <w:rFonts w:ascii="Garamond" w:hAnsi="Garamond" w:cstheme="majorHAnsi"/>
          <w:lang w:eastAsia="ja-JP"/>
        </w:rPr>
      </w:pPr>
      <w:r w:rsidRPr="00025F53">
        <w:rPr>
          <w:rFonts w:ascii="Garamond" w:hAnsi="Garamond" w:cstheme="majorHAnsi"/>
          <w:lang w:eastAsia="ja-JP"/>
        </w:rPr>
        <w:t>Period 2000 - 2010</w:t>
      </w:r>
    </w:p>
    <w:p w:rsidR="001025E8" w:rsidRPr="00025F53" w:rsidRDefault="001025E8" w:rsidP="001025E8">
      <w:pPr>
        <w:jc w:val="both"/>
        <w:rPr>
          <w:rFonts w:ascii="Garamond" w:hAnsi="Garamond" w:cstheme="majorHAnsi"/>
          <w:lang w:eastAsia="ja-JP"/>
        </w:rPr>
      </w:pPr>
      <w:r w:rsidRPr="00025F53">
        <w:rPr>
          <w:rFonts w:ascii="Garamond" w:hAnsi="Garamond" w:cstheme="majorHAnsi"/>
          <w:lang w:eastAsia="ja-JP"/>
        </w:rPr>
        <w:t xml:space="preserve">In the second decade, after the Asian Crisis hit Indonesia economy severely, there was a contraction on its GDP but only within 3 years, its economy recovers quite significantly. Amazingly, its recovery didn’t contribute by the commodity sector as much as it was in the early stage development where </w:t>
      </w:r>
      <w:proofErr w:type="spellStart"/>
      <w:r w:rsidR="00846EE5" w:rsidRPr="00025F53">
        <w:rPr>
          <w:rFonts w:ascii="Garamond" w:hAnsi="Garamond" w:cstheme="majorHAnsi"/>
          <w:lang w:eastAsia="ja-JP"/>
        </w:rPr>
        <w:t>Margono</w:t>
      </w:r>
      <w:proofErr w:type="spellEnd"/>
      <w:r w:rsidR="00846EE5" w:rsidRPr="00025F53">
        <w:rPr>
          <w:rFonts w:ascii="Garamond" w:hAnsi="Garamond" w:cstheme="majorHAnsi"/>
          <w:lang w:eastAsia="ja-JP"/>
        </w:rPr>
        <w:t xml:space="preserve"> and Sharma </w:t>
      </w:r>
      <w:r w:rsidR="00496FE5" w:rsidRPr="00025F53">
        <w:rPr>
          <w:rFonts w:ascii="Garamond" w:hAnsi="Garamond" w:cstheme="majorHAnsi"/>
          <w:lang w:eastAsia="ja-JP"/>
        </w:rPr>
        <w:fldChar w:fldCharType="begin"/>
      </w:r>
      <w:r w:rsidR="00846EE5" w:rsidRPr="00025F53">
        <w:rPr>
          <w:rFonts w:ascii="Garamond" w:hAnsi="Garamond" w:cstheme="majorHAnsi"/>
          <w:lang w:eastAsia="ja-JP"/>
        </w:rPr>
        <w:instrText>ADDIN RW.CITE{{220 Margono,Heru 2006 /a}}</w:instrText>
      </w:r>
      <w:r w:rsidR="00496FE5" w:rsidRPr="00025F53">
        <w:rPr>
          <w:rFonts w:ascii="Garamond" w:hAnsi="Garamond" w:cstheme="majorHAnsi"/>
          <w:lang w:eastAsia="ja-JP"/>
        </w:rPr>
        <w:fldChar w:fldCharType="separate"/>
      </w:r>
      <w:r w:rsidR="00846EE5" w:rsidRPr="00025F53">
        <w:rPr>
          <w:rFonts w:ascii="Garamond" w:hAnsi="Garamond" w:cstheme="majorHAnsi"/>
          <w:lang w:eastAsia="ja-JP"/>
        </w:rPr>
        <w:t>(2006)</w:t>
      </w:r>
      <w:r w:rsidR="00496FE5" w:rsidRPr="00025F53">
        <w:rPr>
          <w:rFonts w:ascii="Garamond" w:hAnsi="Garamond" w:cstheme="majorHAnsi"/>
          <w:lang w:eastAsia="ja-JP"/>
        </w:rPr>
        <w:fldChar w:fldCharType="end"/>
      </w:r>
      <w:r w:rsidR="00846EE5" w:rsidRPr="00025F53">
        <w:rPr>
          <w:rFonts w:ascii="Garamond" w:hAnsi="Garamond" w:cstheme="majorHAnsi"/>
          <w:lang w:eastAsia="ja-JP"/>
        </w:rPr>
        <w:t xml:space="preserve"> says that in the aftermath of Asian Crisis, Indonesia economy growth started to rely heavily on primary products. The reliance on primary products during its recovery from the crisis didn’t lead to any resource curse that undermine its manufacture sector and hamper its growth. When</w:t>
      </w:r>
      <w:r w:rsidRPr="00025F53">
        <w:rPr>
          <w:rFonts w:ascii="Garamond" w:hAnsi="Garamond" w:cstheme="majorHAnsi"/>
          <w:lang w:eastAsia="ja-JP"/>
        </w:rPr>
        <w:t xml:space="preserve"> the crisis hit Indonesia, its economy supposed to be dropped to the lowest point propelled by the foreign investment that fled away during the crisis. On the contrary, </w:t>
      </w:r>
      <w:r w:rsidR="00F83C01" w:rsidRPr="00025F53">
        <w:rPr>
          <w:rFonts w:ascii="Garamond" w:hAnsi="Garamond" w:cstheme="majorHAnsi"/>
          <w:lang w:eastAsia="ja-JP"/>
        </w:rPr>
        <w:t>the growths of manufacture sectors turn out to be higher than the commodity sectors</w:t>
      </w:r>
      <w:r w:rsidR="00025F53" w:rsidRPr="00025F53">
        <w:rPr>
          <w:rFonts w:ascii="Garamond" w:hAnsi="Garamond" w:cstheme="majorHAnsi"/>
          <w:lang w:eastAsia="ja-JP"/>
        </w:rPr>
        <w:t xml:space="preserve"> in the next 3 years</w:t>
      </w:r>
      <w:r w:rsidR="00F83C01" w:rsidRPr="00025F53">
        <w:rPr>
          <w:rFonts w:ascii="Garamond" w:hAnsi="Garamond" w:cstheme="majorHAnsi"/>
          <w:lang w:eastAsia="ja-JP"/>
        </w:rPr>
        <w:t>.</w:t>
      </w:r>
      <w:r w:rsidR="00B41752" w:rsidRPr="00025F53">
        <w:rPr>
          <w:rFonts w:ascii="Garamond" w:hAnsi="Garamond" w:cstheme="majorHAnsi"/>
          <w:lang w:eastAsia="ja-JP"/>
        </w:rPr>
        <w:t xml:space="preserve"> T</w:t>
      </w:r>
      <w:r w:rsidRPr="00025F53">
        <w:rPr>
          <w:rFonts w:ascii="Garamond" w:hAnsi="Garamond" w:cstheme="majorHAnsi"/>
          <w:lang w:eastAsia="ja-JP"/>
        </w:rPr>
        <w:t>he commodity sector</w:t>
      </w:r>
      <w:r w:rsidR="00025F53" w:rsidRPr="00025F53">
        <w:rPr>
          <w:rFonts w:ascii="Garamond" w:hAnsi="Garamond" w:cstheme="majorHAnsi"/>
          <w:lang w:eastAsia="ja-JP"/>
        </w:rPr>
        <w:t>s</w:t>
      </w:r>
      <w:r w:rsidRPr="00025F53">
        <w:rPr>
          <w:rFonts w:ascii="Garamond" w:hAnsi="Garamond" w:cstheme="majorHAnsi"/>
          <w:lang w:eastAsia="ja-JP"/>
        </w:rPr>
        <w:t xml:space="preserve"> percentage in GDP declines and hit the lowest point in 2010. Even though that there was an increase in commodity </w:t>
      </w:r>
      <w:r w:rsidR="00025F53" w:rsidRPr="00025F53">
        <w:rPr>
          <w:rFonts w:ascii="Garamond" w:hAnsi="Garamond" w:cstheme="majorHAnsi"/>
          <w:lang w:eastAsia="ja-JP"/>
        </w:rPr>
        <w:t>value exports as boosted by the price rise, manufacture sectors still hold higher proportion in GDP.</w:t>
      </w:r>
      <w:r w:rsidRPr="00025F53">
        <w:rPr>
          <w:rFonts w:ascii="Garamond" w:hAnsi="Garamond" w:cstheme="majorHAnsi"/>
          <w:lang w:eastAsia="ja-JP"/>
        </w:rPr>
        <w:t xml:space="preserve"> From the data</w:t>
      </w:r>
      <w:r w:rsidR="001A3342">
        <w:rPr>
          <w:rFonts w:ascii="Garamond" w:hAnsi="Garamond" w:cstheme="majorHAnsi"/>
          <w:lang w:eastAsia="ja-JP"/>
        </w:rPr>
        <w:t xml:space="preserve"> in table 4-6</w:t>
      </w:r>
      <w:r w:rsidRPr="00025F53">
        <w:rPr>
          <w:rFonts w:ascii="Garamond" w:hAnsi="Garamond" w:cstheme="majorHAnsi"/>
          <w:lang w:eastAsia="ja-JP"/>
        </w:rPr>
        <w:t xml:space="preserve"> we can conclude that Indonesia GDP growth today doesn’t depend</w:t>
      </w:r>
      <w:r w:rsidR="00025F53" w:rsidRPr="00025F53">
        <w:rPr>
          <w:rFonts w:ascii="Garamond" w:hAnsi="Garamond" w:cstheme="majorHAnsi"/>
          <w:lang w:eastAsia="ja-JP"/>
        </w:rPr>
        <w:t>ent so much on commodity sectors</w:t>
      </w:r>
      <w:r w:rsidRPr="00025F53">
        <w:rPr>
          <w:rFonts w:ascii="Garamond" w:hAnsi="Garamond" w:cstheme="majorHAnsi"/>
          <w:lang w:eastAsia="ja-JP"/>
        </w:rPr>
        <w:t xml:space="preserve"> like i</w:t>
      </w:r>
      <w:r w:rsidR="00025F53" w:rsidRPr="00025F53">
        <w:rPr>
          <w:rFonts w:ascii="Garamond" w:hAnsi="Garamond" w:cstheme="majorHAnsi"/>
          <w:lang w:eastAsia="ja-JP"/>
        </w:rPr>
        <w:t>t was in the 1970s to 1980s</w:t>
      </w:r>
      <w:r w:rsidRPr="00025F53">
        <w:rPr>
          <w:rFonts w:ascii="Garamond" w:hAnsi="Garamond" w:cstheme="majorHAnsi"/>
          <w:lang w:eastAsia="ja-JP"/>
        </w:rPr>
        <w:t xml:space="preserve">. </w:t>
      </w:r>
    </w:p>
    <w:p w:rsidR="001025E8" w:rsidRPr="00025F53" w:rsidRDefault="001025E8" w:rsidP="001025E8">
      <w:pPr>
        <w:jc w:val="both"/>
        <w:rPr>
          <w:rFonts w:ascii="Garamond" w:hAnsi="Garamond" w:cstheme="majorHAnsi"/>
          <w:lang w:eastAsia="ja-JP"/>
        </w:rPr>
      </w:pPr>
    </w:p>
    <w:p w:rsidR="001025E8" w:rsidRPr="00025F53" w:rsidRDefault="001025E8" w:rsidP="001025E8">
      <w:pPr>
        <w:jc w:val="both"/>
        <w:rPr>
          <w:rFonts w:ascii="Garamond" w:hAnsi="Garamond" w:cstheme="majorHAnsi"/>
          <w:lang w:eastAsia="ja-JP"/>
        </w:rPr>
      </w:pPr>
      <w:r w:rsidRPr="00025F53">
        <w:rPr>
          <w:rFonts w:ascii="Garamond" w:hAnsi="Garamond" w:cstheme="majorHAnsi"/>
          <w:lang w:eastAsia="ja-JP"/>
        </w:rPr>
        <w:t xml:space="preserve">There was indeed increased in the value of commodity exports due to the price rise but the volume was narrow where it caused by the low supply response cause by the low level investment in commodity sector particularly in the mineral sector where Indonesia is one the countries with high mining potential </w:t>
      </w:r>
      <w:r w:rsidR="00496FE5" w:rsidRPr="00025F53">
        <w:rPr>
          <w:rFonts w:ascii="Garamond" w:hAnsi="Garamond" w:cstheme="majorHAnsi"/>
          <w:lang w:eastAsia="ja-JP"/>
        </w:rPr>
        <w:fldChar w:fldCharType="begin"/>
      </w:r>
      <w:r w:rsidR="008118B6" w:rsidRPr="00025F53">
        <w:rPr>
          <w:rFonts w:ascii="Garamond" w:hAnsi="Garamond" w:cstheme="majorHAnsi"/>
          <w:lang w:eastAsia="ja-JP"/>
        </w:rPr>
        <w:instrText>ADDIN RW.CITE{{184 Warr,Peter 2010}}</w:instrText>
      </w:r>
      <w:r w:rsidR="00496FE5" w:rsidRPr="00025F53">
        <w:rPr>
          <w:rFonts w:ascii="Garamond" w:hAnsi="Garamond" w:cstheme="majorHAnsi"/>
          <w:lang w:eastAsia="ja-JP"/>
        </w:rPr>
        <w:fldChar w:fldCharType="separate"/>
      </w:r>
      <w:r w:rsidR="008118B6" w:rsidRPr="00025F53">
        <w:rPr>
          <w:rFonts w:ascii="Garamond" w:hAnsi="Garamond" w:cstheme="majorHAnsi"/>
          <w:lang w:eastAsia="ja-JP"/>
        </w:rPr>
        <w:t>(Warr and Aldaz-Carroll 2010)</w:t>
      </w:r>
      <w:r w:rsidR="00496FE5" w:rsidRPr="00025F53">
        <w:rPr>
          <w:rFonts w:ascii="Garamond" w:hAnsi="Garamond" w:cstheme="majorHAnsi"/>
          <w:lang w:eastAsia="ja-JP"/>
        </w:rPr>
        <w:fldChar w:fldCharType="end"/>
      </w:r>
      <w:r w:rsidRPr="00025F53">
        <w:rPr>
          <w:rFonts w:ascii="Garamond" w:hAnsi="Garamond" w:cstheme="majorHAnsi"/>
          <w:lang w:eastAsia="ja-JP"/>
        </w:rPr>
        <w:t xml:space="preserve">. Hence, the contribution of commodity sector towards GDP was decrease in years where Indonesia should have been able to </w:t>
      </w:r>
      <w:r w:rsidRPr="00025F53">
        <w:rPr>
          <w:rFonts w:ascii="Garamond" w:hAnsi="Garamond" w:cstheme="majorHAnsi"/>
          <w:lang w:eastAsia="ja-JP"/>
        </w:rPr>
        <w:lastRenderedPageBreak/>
        <w:t>take the advantage of this external shock to achieve better growth like it was in the late 1980s than it was recently.</w:t>
      </w:r>
    </w:p>
    <w:p w:rsidR="007C423D" w:rsidRDefault="007C423D"/>
    <w:p w:rsidR="00AB5E66" w:rsidRDefault="00AB5E66" w:rsidP="00025F53">
      <w:pPr>
        <w:pStyle w:val="Heading1"/>
        <w:spacing w:before="0"/>
        <w:rPr>
          <w:rFonts w:ascii="Garamond" w:hAnsi="Garamond"/>
          <w:sz w:val="36"/>
          <w:szCs w:val="36"/>
        </w:rPr>
      </w:pPr>
      <w:bookmarkStart w:id="58" w:name="_Toc209559697"/>
      <w:bookmarkStart w:id="59" w:name="_Toc343007202"/>
    </w:p>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Default="00BF585C" w:rsidP="00BF585C"/>
    <w:p w:rsidR="00BF585C" w:rsidRPr="00BF585C" w:rsidRDefault="00BF585C" w:rsidP="00BF585C"/>
    <w:p w:rsidR="00AB5E66" w:rsidRDefault="00AB5E66" w:rsidP="00025F53">
      <w:pPr>
        <w:pStyle w:val="Heading1"/>
        <w:spacing w:before="0"/>
        <w:rPr>
          <w:rFonts w:ascii="Garamond" w:hAnsi="Garamond"/>
          <w:sz w:val="36"/>
          <w:szCs w:val="36"/>
        </w:rPr>
      </w:pPr>
    </w:p>
    <w:p w:rsidR="00025F53" w:rsidRPr="00AB5E66" w:rsidRDefault="00025F53" w:rsidP="00025F53">
      <w:pPr>
        <w:pStyle w:val="Heading1"/>
        <w:spacing w:before="0"/>
        <w:rPr>
          <w:rFonts w:ascii="Garamond" w:hAnsi="Garamond"/>
          <w:color w:val="auto"/>
          <w:sz w:val="36"/>
          <w:szCs w:val="36"/>
        </w:rPr>
      </w:pPr>
      <w:r w:rsidRPr="00AB5E66">
        <w:rPr>
          <w:rFonts w:ascii="Garamond" w:hAnsi="Garamond"/>
          <w:color w:val="auto"/>
          <w:sz w:val="36"/>
          <w:szCs w:val="36"/>
        </w:rPr>
        <w:t>Chapter 5</w:t>
      </w:r>
      <w:bookmarkEnd w:id="58"/>
      <w:bookmarkEnd w:id="59"/>
    </w:p>
    <w:p w:rsidR="00025F53" w:rsidRPr="00AB5E66" w:rsidRDefault="00025F53" w:rsidP="00025F53">
      <w:pPr>
        <w:pStyle w:val="Heading1"/>
        <w:spacing w:before="0"/>
        <w:rPr>
          <w:rFonts w:ascii="Garamond" w:hAnsi="Garamond"/>
          <w:color w:val="auto"/>
          <w:sz w:val="36"/>
          <w:szCs w:val="36"/>
        </w:rPr>
      </w:pPr>
      <w:bookmarkStart w:id="60" w:name="_Toc209559698"/>
      <w:bookmarkStart w:id="61" w:name="_Toc343007203"/>
      <w:r w:rsidRPr="00AB5E66">
        <w:rPr>
          <w:rFonts w:ascii="Garamond" w:hAnsi="Garamond"/>
          <w:color w:val="auto"/>
          <w:sz w:val="36"/>
          <w:szCs w:val="36"/>
        </w:rPr>
        <w:t>Conclusion</w:t>
      </w:r>
      <w:bookmarkEnd w:id="60"/>
      <w:r w:rsidR="008A3CD9" w:rsidRPr="00AB5E66">
        <w:rPr>
          <w:rFonts w:ascii="Garamond" w:hAnsi="Garamond"/>
          <w:color w:val="auto"/>
          <w:sz w:val="36"/>
          <w:szCs w:val="36"/>
        </w:rPr>
        <w:t xml:space="preserve"> and Policy Implications</w:t>
      </w:r>
      <w:bookmarkEnd w:id="61"/>
    </w:p>
    <w:p w:rsidR="00025F53" w:rsidRPr="00203151" w:rsidRDefault="00025F53" w:rsidP="00025F53">
      <w:pPr>
        <w:jc w:val="center"/>
        <w:rPr>
          <w:rFonts w:ascii="Garamond" w:hAnsi="Garamond"/>
        </w:rPr>
      </w:pPr>
    </w:p>
    <w:p w:rsidR="00025F53" w:rsidRPr="005B06F4" w:rsidRDefault="00025F53" w:rsidP="00025F53">
      <w:pPr>
        <w:jc w:val="both"/>
        <w:rPr>
          <w:rFonts w:ascii="Garamond" w:hAnsi="Garamond" w:cstheme="majorHAnsi"/>
        </w:rPr>
      </w:pPr>
      <w:r w:rsidRPr="00203151">
        <w:rPr>
          <w:rFonts w:ascii="Garamond" w:hAnsi="Garamond" w:cstheme="majorHAnsi"/>
        </w:rPr>
        <w:t>The objectives of this paper is to analyze to what extent does Indonesia economy growth depend on primary commodity production and what is the significant of this dependency for its growth. In the early development stage during 1970, its economy was heavily dependent on the commodity exports hence its growth tend to follow the trend of the global commodity prices. However, as the four stage of development plans took place which the objective of this plan was to achieve the food self-sufficiency by boosting development of manufacture sectors to produce capital goods that support the agriculture sector and later diversify its exports</w:t>
      </w:r>
      <w:r w:rsidRPr="005B06F4">
        <w:rPr>
          <w:rFonts w:ascii="Garamond" w:hAnsi="Garamond" w:cstheme="majorHAnsi"/>
        </w:rPr>
        <w:t xml:space="preserve"> from primary commodity exports to manufacture exports with its advantage of abundant cheap labor compare to those developed countries. </w:t>
      </w:r>
    </w:p>
    <w:p w:rsidR="00FC0797" w:rsidRPr="005B06F4" w:rsidRDefault="00FC0797" w:rsidP="00025F53">
      <w:pPr>
        <w:jc w:val="both"/>
        <w:rPr>
          <w:rFonts w:ascii="Garamond" w:hAnsi="Garamond" w:cstheme="majorHAnsi"/>
        </w:rPr>
      </w:pPr>
    </w:p>
    <w:p w:rsidR="00FC0797" w:rsidRPr="005B06F4" w:rsidRDefault="00FC0797" w:rsidP="00025F53">
      <w:pPr>
        <w:jc w:val="both"/>
        <w:rPr>
          <w:rFonts w:ascii="Garamond" w:hAnsi="Garamond" w:cstheme="majorHAnsi"/>
        </w:rPr>
      </w:pPr>
      <w:r w:rsidRPr="005B06F4">
        <w:rPr>
          <w:rFonts w:ascii="Garamond" w:hAnsi="Garamond" w:cstheme="majorHAnsi"/>
        </w:rPr>
        <w:t>Indonesia economic growth has different source led growth. In 1970s to 1980s its growth was driven by commodity sectors, in 1990s until 1996 its growth was mainly driven by the manufacture sectors while in 2000 onwards its growth was driven by both commodity and manufacture sectors.</w:t>
      </w:r>
    </w:p>
    <w:p w:rsidR="00025F53" w:rsidRPr="005B06F4" w:rsidRDefault="00025F53" w:rsidP="00025F53">
      <w:pPr>
        <w:jc w:val="both"/>
        <w:rPr>
          <w:rFonts w:ascii="Garamond" w:hAnsi="Garamond" w:cstheme="majorHAnsi"/>
        </w:rPr>
      </w:pPr>
    </w:p>
    <w:p w:rsidR="003F505D" w:rsidRPr="005B06F4" w:rsidRDefault="003F505D" w:rsidP="00025F53">
      <w:pPr>
        <w:jc w:val="both"/>
        <w:rPr>
          <w:rFonts w:ascii="Garamond" w:hAnsi="Garamond" w:cstheme="majorHAnsi"/>
        </w:rPr>
      </w:pPr>
      <w:r w:rsidRPr="005B06F4">
        <w:rPr>
          <w:rFonts w:ascii="Garamond" w:hAnsi="Garamond" w:cstheme="majorHAnsi"/>
        </w:rPr>
        <w:t>Period 1970s to 1980s (Commodity led growth)</w:t>
      </w:r>
    </w:p>
    <w:p w:rsidR="003F505D" w:rsidRPr="005B06F4" w:rsidRDefault="00025F53" w:rsidP="00025F53">
      <w:pPr>
        <w:jc w:val="both"/>
        <w:rPr>
          <w:rFonts w:ascii="Garamond" w:hAnsi="Garamond" w:cstheme="majorHAnsi"/>
        </w:rPr>
      </w:pPr>
      <w:r w:rsidRPr="005B06F4">
        <w:rPr>
          <w:rFonts w:ascii="Garamond" w:hAnsi="Garamond" w:cstheme="majorHAnsi"/>
        </w:rPr>
        <w:t>The world food crisis in 1970s motivated Indonesia economy to achieve the food self-sufficiency as their main objective. Considering their dense population and early development stage, it was unwise to import foods to meet the domestic demand where prices tend to be more expensive than the domestic prices. Hence, in the early development stage in early 1970s, Indonesia used its factor endowment which is its abundant natural resources for exports earning to develop the manufacture sector under the four five years development plans (</w:t>
      </w:r>
      <w:proofErr w:type="spellStart"/>
      <w:r w:rsidRPr="005B06F4">
        <w:rPr>
          <w:rFonts w:ascii="Garamond" w:hAnsi="Garamond" w:cstheme="majorHAnsi"/>
        </w:rPr>
        <w:t>Repelita</w:t>
      </w:r>
      <w:proofErr w:type="spellEnd"/>
      <w:r w:rsidRPr="005B06F4">
        <w:rPr>
          <w:rFonts w:ascii="Garamond" w:hAnsi="Garamond" w:cstheme="majorHAnsi"/>
        </w:rPr>
        <w:t>).</w:t>
      </w:r>
    </w:p>
    <w:p w:rsidR="003F505D" w:rsidRPr="005B06F4" w:rsidRDefault="003F505D" w:rsidP="00025F53">
      <w:pPr>
        <w:jc w:val="both"/>
        <w:rPr>
          <w:rFonts w:ascii="Garamond" w:hAnsi="Garamond" w:cstheme="majorHAnsi"/>
        </w:rPr>
      </w:pPr>
    </w:p>
    <w:p w:rsidR="003F505D" w:rsidRPr="005B06F4" w:rsidRDefault="00025F53" w:rsidP="003F505D">
      <w:pPr>
        <w:jc w:val="both"/>
        <w:rPr>
          <w:rFonts w:ascii="Garamond" w:hAnsi="Garamond" w:cstheme="majorHAnsi"/>
        </w:rPr>
      </w:pPr>
      <w:r w:rsidRPr="005B06F4">
        <w:rPr>
          <w:rFonts w:ascii="Garamond" w:hAnsi="Garamond" w:cstheme="majorHAnsi"/>
        </w:rPr>
        <w:t xml:space="preserve">In the early 1970 </w:t>
      </w:r>
      <w:r w:rsidR="00FC0797" w:rsidRPr="005B06F4">
        <w:rPr>
          <w:rFonts w:ascii="Garamond" w:hAnsi="Garamond" w:cstheme="majorHAnsi"/>
        </w:rPr>
        <w:t>the export was mostly primary products notably</w:t>
      </w:r>
      <w:r w:rsidRPr="005B06F4">
        <w:rPr>
          <w:rFonts w:ascii="Garamond" w:hAnsi="Garamond" w:cstheme="majorHAnsi"/>
        </w:rPr>
        <w:t xml:space="preserve"> agriculture</w:t>
      </w:r>
      <w:r w:rsidR="00FC0797" w:rsidRPr="005B06F4">
        <w:rPr>
          <w:rFonts w:ascii="Garamond" w:hAnsi="Garamond" w:cstheme="majorHAnsi"/>
        </w:rPr>
        <w:t xml:space="preserve"> and fuel</w:t>
      </w:r>
      <w:r w:rsidRPr="005B06F4">
        <w:rPr>
          <w:rFonts w:ascii="Garamond" w:hAnsi="Garamond" w:cstheme="majorHAnsi"/>
        </w:rPr>
        <w:t xml:space="preserve"> products. However, started in 1974 when the oil price boom, Indonesia merchandise exports was dominated by the fuel exports while the agriculture and ores and metals exports decreasing as the price of the latter two didn’t rise as much as the oil prices. The price rise caused </w:t>
      </w:r>
      <w:r w:rsidR="00FC0797" w:rsidRPr="005B06F4">
        <w:rPr>
          <w:rFonts w:ascii="Garamond" w:hAnsi="Garamond" w:cstheme="majorHAnsi"/>
        </w:rPr>
        <w:t>windfall</w:t>
      </w:r>
      <w:r w:rsidRPr="005B06F4">
        <w:rPr>
          <w:rFonts w:ascii="Garamond" w:hAnsi="Garamond" w:cstheme="majorHAnsi"/>
        </w:rPr>
        <w:t xml:space="preserve"> revenue for oil-exporting countries which expected to favor economic development in these countries </w:t>
      </w:r>
      <w:r w:rsidR="00496FE5">
        <w:rPr>
          <w:rFonts w:ascii="Garamond" w:hAnsi="Garamond" w:cstheme="majorHAnsi"/>
        </w:rPr>
        <w:fldChar w:fldCharType="begin"/>
      </w:r>
      <w:r w:rsidR="00203151">
        <w:rPr>
          <w:rFonts w:ascii="Garamond" w:hAnsi="Garamond" w:cstheme="majorHAnsi"/>
        </w:rPr>
        <w:instrText>ADDIN RW.CITE{{104 Usui,Norio 1997}}</w:instrText>
      </w:r>
      <w:r w:rsidR="00496FE5">
        <w:rPr>
          <w:rFonts w:ascii="Garamond" w:hAnsi="Garamond" w:cstheme="majorHAnsi"/>
        </w:rPr>
        <w:fldChar w:fldCharType="separate"/>
      </w:r>
      <w:r w:rsidR="00203151">
        <w:rPr>
          <w:rFonts w:ascii="Garamond" w:hAnsi="Garamond" w:cstheme="majorHAnsi"/>
        </w:rPr>
        <w:t>(Usui 1997)</w:t>
      </w:r>
      <w:r w:rsidR="00496FE5">
        <w:rPr>
          <w:rFonts w:ascii="Garamond" w:hAnsi="Garamond" w:cstheme="majorHAnsi"/>
        </w:rPr>
        <w:fldChar w:fldCharType="end"/>
      </w:r>
      <w:r w:rsidR="00203151">
        <w:rPr>
          <w:rFonts w:ascii="Garamond" w:hAnsi="Garamond" w:cstheme="majorHAnsi"/>
        </w:rPr>
        <w:t xml:space="preserve"> </w:t>
      </w:r>
      <w:r w:rsidR="00FC0797" w:rsidRPr="005B06F4">
        <w:rPr>
          <w:rFonts w:ascii="Garamond" w:hAnsi="Garamond" w:cstheme="majorHAnsi"/>
        </w:rPr>
        <w:t>and Indonesia was one of it. I</w:t>
      </w:r>
      <w:r w:rsidRPr="005B06F4">
        <w:rPr>
          <w:rFonts w:ascii="Garamond" w:hAnsi="Garamond" w:cstheme="majorHAnsi"/>
        </w:rPr>
        <w:t>n line wi</w:t>
      </w:r>
      <w:r w:rsidR="00FC0797" w:rsidRPr="005B06F4">
        <w:rPr>
          <w:rFonts w:ascii="Garamond" w:hAnsi="Garamond" w:cstheme="majorHAnsi"/>
        </w:rPr>
        <w:t>th its development plan where Indonesia use it oil windfall revenue to run the development plans that</w:t>
      </w:r>
      <w:r w:rsidRPr="005B06F4">
        <w:rPr>
          <w:rFonts w:ascii="Garamond" w:hAnsi="Garamond" w:cstheme="majorHAnsi"/>
        </w:rPr>
        <w:t xml:space="preserve"> focus on the development of manufacture sector.</w:t>
      </w:r>
      <w:r w:rsidR="00FC0797" w:rsidRPr="005B06F4">
        <w:rPr>
          <w:rFonts w:ascii="Garamond" w:hAnsi="Garamond" w:cstheme="majorHAnsi"/>
        </w:rPr>
        <w:t xml:space="preserve"> During the period of 1970s, Indonesia economic growth on average was 8%.</w:t>
      </w:r>
      <w:r w:rsidRPr="005B06F4">
        <w:rPr>
          <w:rFonts w:ascii="Garamond" w:hAnsi="Garamond" w:cstheme="majorHAnsi"/>
        </w:rPr>
        <w:t xml:space="preserve"> The pattern of Indonesia export kept continuing as the price of oil keep rising, without any </w:t>
      </w:r>
      <w:r w:rsidR="00FC0797" w:rsidRPr="005B06F4">
        <w:rPr>
          <w:rFonts w:ascii="Garamond" w:hAnsi="Garamond" w:cstheme="majorHAnsi"/>
        </w:rPr>
        <w:t xml:space="preserve">significant </w:t>
      </w:r>
      <w:r w:rsidRPr="005B06F4">
        <w:rPr>
          <w:rFonts w:ascii="Garamond" w:hAnsi="Garamond" w:cstheme="majorHAnsi"/>
        </w:rPr>
        <w:t>changes yet in the manufacture sector. In this period of time, Indonesia economy was vulnerable and very likely to follow the fluctuations of commodity price changes relative to its growth.</w:t>
      </w:r>
      <w:r w:rsidR="003F505D" w:rsidRPr="005B06F4">
        <w:rPr>
          <w:rFonts w:ascii="Garamond" w:hAnsi="Garamond" w:cstheme="majorHAnsi"/>
        </w:rPr>
        <w:t xml:space="preserve"> Later, in the early 1980s, when the oil price boom ends, Indonesia economic growth contracted for several years but later in the late 1980s its exports started to be dominated by the manufacture sectors hence its economy grow rapidly and became less vulnerable to the changes in global commodity prices. </w:t>
      </w:r>
    </w:p>
    <w:p w:rsidR="003F505D" w:rsidRPr="005B06F4" w:rsidRDefault="003F505D" w:rsidP="00025F53">
      <w:pPr>
        <w:jc w:val="both"/>
        <w:rPr>
          <w:rFonts w:ascii="Garamond" w:hAnsi="Garamond" w:cstheme="majorHAnsi"/>
        </w:rPr>
      </w:pPr>
    </w:p>
    <w:p w:rsidR="00025F53" w:rsidRPr="00203151" w:rsidRDefault="003F505D" w:rsidP="00025F53">
      <w:pPr>
        <w:jc w:val="both"/>
        <w:rPr>
          <w:rFonts w:ascii="Garamond" w:hAnsi="Garamond" w:cstheme="majorHAnsi"/>
        </w:rPr>
      </w:pPr>
      <w:r w:rsidRPr="00203151">
        <w:rPr>
          <w:rFonts w:ascii="Garamond" w:hAnsi="Garamond" w:cstheme="majorHAnsi"/>
        </w:rPr>
        <w:t>The oil price booms during the period of 1970s to 1980s didn’t show any significant Dutch disease impact on its economy. Dutch disease channels through resource movement to booming sector which undermines the manufacture sectors and currency overvaluation. There was currency real appreciation during the period of oil booms but there was no evidence of overvaluation where the government</w:t>
      </w:r>
      <w:r w:rsidR="00C94A30" w:rsidRPr="00203151">
        <w:rPr>
          <w:rFonts w:ascii="Garamond" w:hAnsi="Garamond" w:cstheme="majorHAnsi"/>
        </w:rPr>
        <w:t xml:space="preserve"> sterilized substantial amount of the windfall revenue to avoid currency overvaluation</w:t>
      </w:r>
      <w:r w:rsidRPr="00203151">
        <w:rPr>
          <w:rFonts w:ascii="Garamond" w:hAnsi="Garamond" w:cstheme="majorHAnsi"/>
        </w:rPr>
        <w:t xml:space="preserve"> </w:t>
      </w:r>
      <w:r w:rsidR="00496FE5" w:rsidRPr="00203151">
        <w:rPr>
          <w:rFonts w:ascii="Garamond" w:hAnsi="Garamond" w:cstheme="majorHAnsi"/>
        </w:rPr>
        <w:fldChar w:fldCharType="begin"/>
      </w:r>
      <w:r w:rsidRPr="00203151">
        <w:rPr>
          <w:rFonts w:ascii="Garamond" w:hAnsi="Garamond" w:cstheme="majorHAnsi"/>
        </w:rPr>
        <w:instrText>ADDIN RW.CITE{{197 Mikesell,RaymondF. 1997}}</w:instrText>
      </w:r>
      <w:r w:rsidR="00496FE5" w:rsidRPr="00203151">
        <w:rPr>
          <w:rFonts w:ascii="Garamond" w:hAnsi="Garamond" w:cstheme="majorHAnsi"/>
        </w:rPr>
        <w:fldChar w:fldCharType="separate"/>
      </w:r>
      <w:r w:rsidRPr="00203151">
        <w:rPr>
          <w:rFonts w:ascii="Garamond" w:hAnsi="Garamond" w:cstheme="majorHAnsi"/>
        </w:rPr>
        <w:t>(Mikesell 1997)</w:t>
      </w:r>
      <w:r w:rsidR="00496FE5" w:rsidRPr="00203151">
        <w:rPr>
          <w:rFonts w:ascii="Garamond" w:hAnsi="Garamond" w:cstheme="majorHAnsi"/>
        </w:rPr>
        <w:fldChar w:fldCharType="end"/>
      </w:r>
      <w:r w:rsidRPr="00203151">
        <w:rPr>
          <w:rFonts w:ascii="Garamond" w:hAnsi="Garamond" w:cstheme="majorHAnsi"/>
        </w:rPr>
        <w:t xml:space="preserve"> while as shown in the data in chapter 4 the manufacture sectors gradually dominate the exports</w:t>
      </w:r>
      <w:r w:rsidR="00C94A30" w:rsidRPr="00203151">
        <w:rPr>
          <w:rFonts w:ascii="Garamond" w:hAnsi="Garamond" w:cstheme="majorHAnsi"/>
        </w:rPr>
        <w:t xml:space="preserve"> several years after the fall in oil prices</w:t>
      </w:r>
      <w:r w:rsidRPr="00203151">
        <w:rPr>
          <w:rFonts w:ascii="Garamond" w:hAnsi="Garamond" w:cstheme="majorHAnsi"/>
        </w:rPr>
        <w:t>.</w:t>
      </w:r>
    </w:p>
    <w:p w:rsidR="00025F53" w:rsidRPr="00203151" w:rsidRDefault="00025F53" w:rsidP="00025F53">
      <w:pPr>
        <w:jc w:val="both"/>
        <w:rPr>
          <w:rFonts w:ascii="Garamond" w:hAnsi="Garamond" w:cstheme="majorHAnsi"/>
        </w:rPr>
      </w:pPr>
    </w:p>
    <w:p w:rsidR="003F505D" w:rsidRPr="00203151" w:rsidRDefault="005B06F4" w:rsidP="00025F53">
      <w:pPr>
        <w:jc w:val="both"/>
        <w:rPr>
          <w:rFonts w:ascii="Garamond" w:hAnsi="Garamond" w:cstheme="majorHAnsi"/>
        </w:rPr>
      </w:pPr>
      <w:r w:rsidRPr="00203151">
        <w:rPr>
          <w:rFonts w:ascii="Garamond" w:hAnsi="Garamond" w:cstheme="majorHAnsi"/>
        </w:rPr>
        <w:t>Period 1990 to 1996 (Manufacture led growth)</w:t>
      </w:r>
    </w:p>
    <w:p w:rsidR="00025F53" w:rsidRPr="00203151" w:rsidRDefault="005B06F4" w:rsidP="00025F53">
      <w:pPr>
        <w:jc w:val="both"/>
        <w:rPr>
          <w:rFonts w:ascii="Garamond" w:hAnsi="Garamond" w:cstheme="majorHAnsi"/>
        </w:rPr>
      </w:pPr>
      <w:r w:rsidRPr="00203151">
        <w:rPr>
          <w:rFonts w:ascii="Garamond" w:hAnsi="Garamond" w:cstheme="majorHAnsi"/>
        </w:rPr>
        <w:t>I</w:t>
      </w:r>
      <w:r w:rsidR="00FC0797" w:rsidRPr="00203151">
        <w:rPr>
          <w:rFonts w:ascii="Garamond" w:hAnsi="Garamond" w:cstheme="majorHAnsi"/>
        </w:rPr>
        <w:t>n 1990 to 1996</w:t>
      </w:r>
      <w:r w:rsidR="00025F53" w:rsidRPr="00203151">
        <w:rPr>
          <w:rFonts w:ascii="Garamond" w:hAnsi="Garamond" w:cstheme="majorHAnsi"/>
        </w:rPr>
        <w:t xml:space="preserve"> Indonesia achieve remarkable economic growth which on average 8% GDP growth as its manufacture accounted for more than 40% of total merchandise exports and during this period the price of commodity was unfavorable where the prices fell.</w:t>
      </w:r>
    </w:p>
    <w:p w:rsidR="005B06F4" w:rsidRPr="00203151" w:rsidRDefault="005B06F4" w:rsidP="00025F53">
      <w:pPr>
        <w:jc w:val="both"/>
        <w:rPr>
          <w:rFonts w:ascii="Garamond" w:hAnsi="Garamond" w:cstheme="majorHAnsi"/>
        </w:rPr>
      </w:pPr>
    </w:p>
    <w:p w:rsidR="005B06F4" w:rsidRPr="00203151" w:rsidRDefault="005B06F4" w:rsidP="00025F53">
      <w:pPr>
        <w:jc w:val="both"/>
        <w:rPr>
          <w:rFonts w:ascii="Garamond" w:hAnsi="Garamond" w:cstheme="majorHAnsi"/>
        </w:rPr>
      </w:pPr>
      <w:r w:rsidRPr="00203151">
        <w:rPr>
          <w:rFonts w:ascii="Garamond" w:hAnsi="Garamond" w:cstheme="majorHAnsi"/>
        </w:rPr>
        <w:t>This period proved that the dependency of commodity sectors in the long term didn’t have significant adverse impact on its economic growth. The long term deterioration in terms of trade didn’t occur in its economy. On contrary, the terms of trade became less volatile in this period and Indonesia economic growth was on average 8%.</w:t>
      </w:r>
    </w:p>
    <w:p w:rsidR="005B06F4" w:rsidRPr="00203151" w:rsidRDefault="005B06F4" w:rsidP="00025F53">
      <w:pPr>
        <w:jc w:val="both"/>
        <w:rPr>
          <w:rFonts w:ascii="Garamond" w:hAnsi="Garamond" w:cstheme="majorHAnsi"/>
        </w:rPr>
      </w:pPr>
    </w:p>
    <w:p w:rsidR="005B06F4" w:rsidRPr="00203151" w:rsidRDefault="005B06F4" w:rsidP="00025F53">
      <w:pPr>
        <w:jc w:val="both"/>
        <w:rPr>
          <w:rFonts w:ascii="Garamond" w:hAnsi="Garamond" w:cstheme="majorHAnsi"/>
        </w:rPr>
      </w:pPr>
      <w:r w:rsidRPr="00203151">
        <w:rPr>
          <w:rFonts w:ascii="Garamond" w:hAnsi="Garamond" w:cstheme="majorHAnsi"/>
        </w:rPr>
        <w:t>Period 2000 to 2010 (Domestic demand led growth)</w:t>
      </w:r>
    </w:p>
    <w:p w:rsidR="00025F53" w:rsidRPr="00203151" w:rsidRDefault="00025F53" w:rsidP="00025F53">
      <w:pPr>
        <w:jc w:val="both"/>
        <w:rPr>
          <w:rFonts w:ascii="Garamond" w:hAnsi="Garamond" w:cstheme="majorHAnsi"/>
        </w:rPr>
      </w:pPr>
      <w:r w:rsidRPr="00203151">
        <w:rPr>
          <w:rFonts w:ascii="Garamond" w:hAnsi="Garamond" w:cstheme="majorHAnsi"/>
        </w:rPr>
        <w:t>After the Asian Financial crisis Indonesia economy recover significantly only within 3 years which also coincidently was the time when the global commodity prices rise. As shown in chapter 4</w:t>
      </w:r>
      <w:r w:rsidR="00542D89" w:rsidRPr="00203151">
        <w:rPr>
          <w:rFonts w:ascii="Garamond" w:hAnsi="Garamond" w:cstheme="majorHAnsi"/>
        </w:rPr>
        <w:t>,</w:t>
      </w:r>
      <w:r w:rsidRPr="00203151">
        <w:rPr>
          <w:rFonts w:ascii="Garamond" w:hAnsi="Garamond" w:cstheme="majorHAnsi"/>
        </w:rPr>
        <w:t xml:space="preserve"> during the recent growth from 2000 to 2010 the primary commodity sectors contribution towards the GDP slowly declining.</w:t>
      </w:r>
      <w:r w:rsidR="00542D89" w:rsidRPr="00203151">
        <w:rPr>
          <w:rFonts w:ascii="Garamond" w:hAnsi="Garamond" w:cstheme="majorHAnsi"/>
        </w:rPr>
        <w:t xml:space="preserve"> While the value of commodity exports exceed the manufacture exports was due to the price rise. </w:t>
      </w:r>
    </w:p>
    <w:p w:rsidR="00DC7FFE" w:rsidRPr="00203151" w:rsidRDefault="00DC7FFE" w:rsidP="00025F53">
      <w:pPr>
        <w:jc w:val="both"/>
        <w:rPr>
          <w:rFonts w:ascii="Garamond" w:hAnsi="Garamond" w:cstheme="majorHAnsi"/>
        </w:rPr>
      </w:pPr>
    </w:p>
    <w:p w:rsidR="00DC7FFE" w:rsidRPr="00203151" w:rsidRDefault="00DC7FFE" w:rsidP="00025F53">
      <w:pPr>
        <w:jc w:val="both"/>
        <w:rPr>
          <w:rFonts w:ascii="Garamond" w:hAnsi="Garamond" w:cstheme="majorHAnsi"/>
        </w:rPr>
      </w:pPr>
      <w:r w:rsidRPr="00203151">
        <w:rPr>
          <w:rFonts w:ascii="Garamond" w:hAnsi="Garamond" w:cstheme="majorHAnsi"/>
        </w:rPr>
        <w:t xml:space="preserve">During this period, Indonesia economic growth was less prone to the changes in terms of trade. The terms of trade contracted during the global crisis where there was a fall in global demand of exports but Indonesia growth rate contracted only for a small amount which was due to its strong domestic economy that made Indonesia economy rely less on exports market </w:t>
      </w:r>
      <w:r w:rsidR="00496FE5" w:rsidRPr="00203151">
        <w:rPr>
          <w:rFonts w:ascii="Garamond" w:hAnsi="Garamond"/>
          <w:lang w:eastAsia="ja-JP"/>
        </w:rPr>
        <w:fldChar w:fldCharType="begin"/>
      </w:r>
      <w:r w:rsidRPr="00203151">
        <w:rPr>
          <w:rFonts w:ascii="Garamond" w:hAnsi="Garamond"/>
          <w:lang w:eastAsia="ja-JP"/>
        </w:rPr>
        <w:instrText>ADDIN RW.CITE{{219 Elias,Stephen 2011}}</w:instrText>
      </w:r>
      <w:r w:rsidR="00496FE5" w:rsidRPr="00203151">
        <w:rPr>
          <w:rFonts w:ascii="Garamond" w:hAnsi="Garamond"/>
          <w:lang w:eastAsia="ja-JP"/>
        </w:rPr>
        <w:fldChar w:fldCharType="separate"/>
      </w:r>
      <w:r w:rsidRPr="00203151">
        <w:rPr>
          <w:rFonts w:ascii="Garamond" w:hAnsi="Garamond"/>
          <w:lang w:eastAsia="ja-JP"/>
        </w:rPr>
        <w:t>(Elias and Noone 2011)</w:t>
      </w:r>
      <w:r w:rsidR="00496FE5" w:rsidRPr="00203151">
        <w:rPr>
          <w:rFonts w:ascii="Garamond" w:hAnsi="Garamond"/>
          <w:lang w:eastAsia="ja-JP"/>
        </w:rPr>
        <w:fldChar w:fldCharType="end"/>
      </w:r>
      <w:r w:rsidRPr="00203151">
        <w:rPr>
          <w:rFonts w:ascii="Garamond" w:hAnsi="Garamond"/>
          <w:lang w:eastAsia="ja-JP"/>
        </w:rPr>
        <w:t>.</w:t>
      </w:r>
    </w:p>
    <w:p w:rsidR="00542D89" w:rsidRPr="00203151" w:rsidRDefault="00542D89" w:rsidP="00025F53">
      <w:pPr>
        <w:jc w:val="both"/>
        <w:rPr>
          <w:rFonts w:ascii="Garamond" w:hAnsi="Garamond" w:cstheme="majorHAnsi"/>
        </w:rPr>
      </w:pPr>
    </w:p>
    <w:p w:rsidR="00D939DF" w:rsidRDefault="00DC7FFE" w:rsidP="00D939DF">
      <w:pPr>
        <w:jc w:val="both"/>
        <w:rPr>
          <w:rFonts w:ascii="Garamond" w:hAnsi="Garamond"/>
        </w:rPr>
      </w:pPr>
      <w:r w:rsidRPr="00D939DF">
        <w:rPr>
          <w:rFonts w:ascii="Garamond" w:hAnsi="Garamond" w:cstheme="majorHAnsi"/>
        </w:rPr>
        <w:t xml:space="preserve">In sum, </w:t>
      </w:r>
      <w:r w:rsidR="00D939DF" w:rsidRPr="00D939DF">
        <w:rPr>
          <w:rFonts w:ascii="Garamond" w:hAnsi="Garamond" w:cstheme="majorHAnsi"/>
        </w:rPr>
        <w:t xml:space="preserve">the findings from this research is in line with the arguments where </w:t>
      </w:r>
      <w:r w:rsidR="00D939DF">
        <w:rPr>
          <w:rFonts w:ascii="Garamond" w:hAnsi="Garamond" w:cstheme="majorHAnsi"/>
        </w:rPr>
        <w:t xml:space="preserve">the </w:t>
      </w:r>
      <w:r w:rsidR="00D939DF">
        <w:rPr>
          <w:rFonts w:ascii="Garamond" w:eastAsia="Times New Roman" w:hAnsi="Garamond" w:cs="Tahoma"/>
        </w:rPr>
        <w:t>c</w:t>
      </w:r>
      <w:r w:rsidR="00D939DF" w:rsidRPr="00D939DF">
        <w:rPr>
          <w:rFonts w:ascii="Garamond" w:eastAsia="Times New Roman" w:hAnsi="Garamond" w:cs="Tahoma"/>
        </w:rPr>
        <w:t xml:space="preserve">hanges in global commodity prices continue to have an impact on Indonesia’s economic growth, but this has declined over time </w:t>
      </w:r>
      <w:r w:rsidR="00D939DF" w:rsidRPr="00D939DF">
        <w:rPr>
          <w:rFonts w:ascii="Garamond" w:eastAsia="Times New Roman" w:hAnsi="Garamond" w:cs="Tahoma"/>
          <w:bCs/>
          <w:lang w:val="id-ID"/>
        </w:rPr>
        <w:t>because the industry-oriented exports have increased and substituted the decline in commodity exports</w:t>
      </w:r>
      <w:r w:rsidR="00D939DF">
        <w:rPr>
          <w:rFonts w:ascii="Garamond" w:eastAsia="Times New Roman" w:hAnsi="Garamond" w:cs="Tahoma"/>
          <w:bCs/>
        </w:rPr>
        <w:t xml:space="preserve"> particularly in the year of 1990s when commodity prices was not fa</w:t>
      </w:r>
      <w:r w:rsidR="007B7672">
        <w:rPr>
          <w:rFonts w:ascii="Garamond" w:eastAsia="Times New Roman" w:hAnsi="Garamond" w:cs="Tahoma"/>
          <w:bCs/>
        </w:rPr>
        <w:t xml:space="preserve">vorable but its growth was high and </w:t>
      </w:r>
      <w:r w:rsidR="007B7672">
        <w:rPr>
          <w:rFonts w:ascii="Garamond" w:hAnsi="Garamond"/>
        </w:rPr>
        <w:t>t</w:t>
      </w:r>
      <w:r w:rsidR="007B7672" w:rsidRPr="00451274">
        <w:rPr>
          <w:rFonts w:ascii="Garamond" w:hAnsi="Garamond"/>
        </w:rPr>
        <w:t>he recent rise in Indonesia’s economic growth rate</w:t>
      </w:r>
      <w:r w:rsidR="007B7672">
        <w:rPr>
          <w:rFonts w:ascii="Garamond" w:hAnsi="Garamond"/>
        </w:rPr>
        <w:t xml:space="preserve"> in 2000s</w:t>
      </w:r>
      <w:r w:rsidR="007B7672" w:rsidRPr="00451274">
        <w:rPr>
          <w:rFonts w:ascii="Garamond" w:hAnsi="Garamond"/>
        </w:rPr>
        <w:t xml:space="preserve"> can be attributed to the rise in the prices of its primary commodity exports</w:t>
      </w:r>
      <w:r w:rsidR="007B7672">
        <w:rPr>
          <w:rFonts w:ascii="Garamond" w:hAnsi="Garamond"/>
        </w:rPr>
        <w:t xml:space="preserve"> which cause the value of primary commodity exports to rise significantly even though the volume didn’t increase much during the booms but it benefits Indonesia economy without undermine its manufacture sector.</w:t>
      </w:r>
    </w:p>
    <w:p w:rsidR="007B7672" w:rsidRPr="00D939DF" w:rsidRDefault="007B7672" w:rsidP="00D939DF">
      <w:pPr>
        <w:jc w:val="both"/>
        <w:rPr>
          <w:rFonts w:ascii="Garamond" w:eastAsia="Times New Roman" w:hAnsi="Garamond"/>
        </w:rPr>
      </w:pPr>
    </w:p>
    <w:p w:rsidR="00542D89" w:rsidRPr="00203151" w:rsidRDefault="00542D89" w:rsidP="00025F53">
      <w:pPr>
        <w:jc w:val="both"/>
        <w:rPr>
          <w:rFonts w:ascii="Garamond" w:hAnsi="Garamond" w:cstheme="majorHAnsi"/>
        </w:rPr>
      </w:pPr>
      <w:r w:rsidRPr="00203151">
        <w:rPr>
          <w:rFonts w:ascii="Garamond" w:hAnsi="Garamond" w:cstheme="majorHAnsi"/>
        </w:rPr>
        <w:lastRenderedPageBreak/>
        <w:t>Indonesia dependency on commodity sectors for a long peri</w:t>
      </w:r>
      <w:r w:rsidR="00E03D6B">
        <w:rPr>
          <w:rFonts w:ascii="Garamond" w:hAnsi="Garamond" w:cstheme="majorHAnsi"/>
        </w:rPr>
        <w:t>od didn’t show any significant R</w:t>
      </w:r>
      <w:r w:rsidRPr="00203151">
        <w:rPr>
          <w:rFonts w:ascii="Garamond" w:hAnsi="Garamond" w:cstheme="majorHAnsi"/>
        </w:rPr>
        <w:t xml:space="preserve">esource curse </w:t>
      </w:r>
      <w:r w:rsidR="00DC7FFE" w:rsidRPr="00203151">
        <w:rPr>
          <w:rFonts w:ascii="Garamond" w:hAnsi="Garamond" w:cstheme="majorHAnsi"/>
        </w:rPr>
        <w:t xml:space="preserve"> adverse </w:t>
      </w:r>
      <w:r w:rsidRPr="00203151">
        <w:rPr>
          <w:rFonts w:ascii="Garamond" w:hAnsi="Garamond" w:cstheme="majorHAnsi"/>
        </w:rPr>
        <w:t>impact that hampers its growth on the other hand it enhance its growth by boosting the growth of its manufacturing sector.</w:t>
      </w:r>
      <w:r w:rsidR="00DC7FFE" w:rsidRPr="00203151">
        <w:rPr>
          <w:rFonts w:ascii="Garamond" w:hAnsi="Garamond" w:cstheme="majorHAnsi"/>
        </w:rPr>
        <w:t xml:space="preserve"> In the early stage development in 1970s until 1980s Indonesia reliance on commodity sector was due to the late industrialization and lack of resource to boost manufacture sector hence Indonesia used its commodity sector exports revenue to run its development plan that focus on </w:t>
      </w:r>
      <w:r w:rsidR="00203151" w:rsidRPr="00203151">
        <w:rPr>
          <w:rFonts w:ascii="Garamond" w:hAnsi="Garamond" w:cstheme="majorHAnsi"/>
        </w:rPr>
        <w:t>manufacture sectors development. The remarkable development evidence was in 1990s when the growth was boosted by the manufacture sectors. Indonesia recent economic growth has been relying less on commodity sectors where its volume exports keep declining.</w:t>
      </w:r>
    </w:p>
    <w:p w:rsidR="00203151" w:rsidRPr="00203151" w:rsidRDefault="00203151" w:rsidP="00025F53">
      <w:pPr>
        <w:jc w:val="both"/>
        <w:rPr>
          <w:rFonts w:ascii="Garamond" w:hAnsi="Garamond" w:cstheme="majorHAnsi"/>
        </w:rPr>
      </w:pPr>
    </w:p>
    <w:p w:rsidR="00203151" w:rsidRPr="00203151" w:rsidRDefault="00203151" w:rsidP="00025F53">
      <w:pPr>
        <w:jc w:val="both"/>
        <w:rPr>
          <w:rFonts w:ascii="Garamond" w:hAnsi="Garamond" w:cstheme="majorHAnsi"/>
        </w:rPr>
      </w:pPr>
      <w:r w:rsidRPr="00203151">
        <w:rPr>
          <w:rFonts w:ascii="Garamond" w:hAnsi="Garamond" w:cstheme="majorHAnsi"/>
        </w:rPr>
        <w:t>Indonesia success in avoiding resource curse adverse impact was due to the good management in commodity windfall revenue</w:t>
      </w:r>
      <w:r w:rsidR="00E03D6B">
        <w:rPr>
          <w:rFonts w:ascii="Garamond" w:hAnsi="Garamond" w:cstheme="majorHAnsi"/>
        </w:rPr>
        <w:t xml:space="preserve"> by using the revenue on development plans notably the four stages five years development plan (</w:t>
      </w:r>
      <w:proofErr w:type="spellStart"/>
      <w:r w:rsidR="00E03D6B">
        <w:rPr>
          <w:rFonts w:ascii="Garamond" w:hAnsi="Garamond" w:cstheme="majorHAnsi"/>
        </w:rPr>
        <w:t>Repelita</w:t>
      </w:r>
      <w:proofErr w:type="spellEnd"/>
      <w:r w:rsidR="00E03D6B">
        <w:rPr>
          <w:rFonts w:ascii="Garamond" w:hAnsi="Garamond" w:cstheme="majorHAnsi"/>
        </w:rPr>
        <w:t>)</w:t>
      </w:r>
      <w:r w:rsidRPr="00203151">
        <w:rPr>
          <w:rFonts w:ascii="Garamond" w:hAnsi="Garamond" w:cstheme="majorHAnsi"/>
        </w:rPr>
        <w:t xml:space="preserve">. Which is in line with what Collier et al </w:t>
      </w:r>
      <w:r w:rsidR="00496FE5" w:rsidRPr="00203151">
        <w:rPr>
          <w:rFonts w:ascii="Garamond" w:hAnsi="Garamond" w:cstheme="majorHAnsi"/>
        </w:rPr>
        <w:fldChar w:fldCharType="begin"/>
      </w:r>
      <w:r w:rsidRPr="00203151">
        <w:rPr>
          <w:rFonts w:ascii="Garamond" w:hAnsi="Garamond" w:cstheme="majorHAnsi"/>
        </w:rPr>
        <w:instrText>ADDIN RW.CITE{{221 COLLIER,PAUL 2010 /a}}</w:instrText>
      </w:r>
      <w:r w:rsidR="00496FE5" w:rsidRPr="00203151">
        <w:rPr>
          <w:rFonts w:ascii="Garamond" w:hAnsi="Garamond" w:cstheme="majorHAnsi"/>
        </w:rPr>
        <w:fldChar w:fldCharType="separate"/>
      </w:r>
      <w:r w:rsidRPr="00203151">
        <w:rPr>
          <w:rFonts w:ascii="Garamond" w:hAnsi="Garamond" w:cstheme="majorHAnsi"/>
        </w:rPr>
        <w:t>(2010)</w:t>
      </w:r>
      <w:r w:rsidR="00496FE5" w:rsidRPr="00203151">
        <w:rPr>
          <w:rFonts w:ascii="Garamond" w:hAnsi="Garamond" w:cstheme="majorHAnsi"/>
        </w:rPr>
        <w:fldChar w:fldCharType="end"/>
      </w:r>
      <w:r w:rsidRPr="00203151">
        <w:rPr>
          <w:rFonts w:ascii="Garamond" w:hAnsi="Garamond" w:cstheme="majorHAnsi"/>
        </w:rPr>
        <w:t xml:space="preserve"> suggest that when commodity booms end, windfall revenue should be converted to high return domestic investment and enable the revenue to foster growth by using it on public investment spending that rise productivity of private capital.</w:t>
      </w:r>
    </w:p>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p w:rsidR="00203151" w:rsidRDefault="00203151" w:rsidP="00203151">
      <w:pPr>
        <w:pStyle w:val="Heading1"/>
        <w:rPr>
          <w:rFonts w:ascii="Garamond" w:hAnsi="Garamond"/>
          <w:color w:val="auto"/>
          <w:sz w:val="36"/>
          <w:szCs w:val="36"/>
        </w:rPr>
      </w:pPr>
      <w:bookmarkStart w:id="62" w:name="_Toc343007204"/>
      <w:r w:rsidRPr="00203151">
        <w:rPr>
          <w:rFonts w:ascii="Garamond" w:hAnsi="Garamond"/>
          <w:color w:val="auto"/>
          <w:sz w:val="36"/>
          <w:szCs w:val="36"/>
        </w:rPr>
        <w:lastRenderedPageBreak/>
        <w:t>References</w:t>
      </w:r>
      <w:bookmarkEnd w:id="62"/>
      <w:r w:rsidRPr="00203151">
        <w:rPr>
          <w:rFonts w:ascii="Garamond" w:hAnsi="Garamond"/>
          <w:color w:val="auto"/>
          <w:sz w:val="36"/>
          <w:szCs w:val="36"/>
        </w:rPr>
        <w:t xml:space="preserve"> </w:t>
      </w:r>
    </w:p>
    <w:p w:rsidR="00AB5E66" w:rsidRDefault="00AB5E66" w:rsidP="00AB5E66">
      <w:pPr>
        <w:pStyle w:val="NormalWeb"/>
      </w:pPr>
      <w:r>
        <w:t xml:space="preserve">Acosta, P.A., E.K.K. </w:t>
      </w:r>
      <w:proofErr w:type="spellStart"/>
      <w:r>
        <w:t>Lartey</w:t>
      </w:r>
      <w:proofErr w:type="spellEnd"/>
      <w:r>
        <w:t xml:space="preserve"> and F.S. </w:t>
      </w:r>
      <w:proofErr w:type="spellStart"/>
      <w:r>
        <w:t>Mandelman</w:t>
      </w:r>
      <w:proofErr w:type="spellEnd"/>
      <w:r>
        <w:t xml:space="preserve"> (2009) 'Remittances and the Dutch Disease'</w:t>
      </w:r>
      <w:r>
        <w:rPr>
          <w:i/>
          <w:iCs/>
        </w:rPr>
        <w:t xml:space="preserve">, Journal of International Economics </w:t>
      </w:r>
      <w:r>
        <w:t xml:space="preserve">79(1): 102-116. </w:t>
      </w:r>
    </w:p>
    <w:p w:rsidR="00AB5E66" w:rsidRDefault="00AB5E66" w:rsidP="00AB5E66">
      <w:pPr>
        <w:pStyle w:val="NormalWeb"/>
      </w:pPr>
      <w:proofErr w:type="spellStart"/>
      <w:r>
        <w:t>Alexeev</w:t>
      </w:r>
      <w:proofErr w:type="spellEnd"/>
      <w:r>
        <w:t>, M. and R. Conrad (2009) 'The Elusive Curse of Oil'</w:t>
      </w:r>
      <w:r>
        <w:rPr>
          <w:i/>
          <w:iCs/>
        </w:rPr>
        <w:t xml:space="preserve">, </w:t>
      </w:r>
      <w:proofErr w:type="gramStart"/>
      <w:r>
        <w:rPr>
          <w:i/>
          <w:iCs/>
        </w:rPr>
        <w:t>The</w:t>
      </w:r>
      <w:proofErr w:type="gramEnd"/>
      <w:r>
        <w:rPr>
          <w:i/>
          <w:iCs/>
        </w:rPr>
        <w:t xml:space="preserve"> review of economics and statistics </w:t>
      </w:r>
      <w:r>
        <w:t xml:space="preserve">91(3): 586-598. </w:t>
      </w:r>
    </w:p>
    <w:p w:rsidR="00AB5E66" w:rsidRDefault="00AB5E66" w:rsidP="00AB5E66">
      <w:pPr>
        <w:pStyle w:val="NormalWeb"/>
      </w:pPr>
      <w:proofErr w:type="spellStart"/>
      <w:r>
        <w:t>Aswicahyono</w:t>
      </w:r>
      <w:proofErr w:type="spellEnd"/>
      <w:r>
        <w:t xml:space="preserve">, H. and M. </w:t>
      </w:r>
      <w:proofErr w:type="spellStart"/>
      <w:r>
        <w:t>Pangestu</w:t>
      </w:r>
      <w:proofErr w:type="spellEnd"/>
      <w:r>
        <w:t xml:space="preserve"> (2000) 'Indonesia's Recovery: Exports and Regaining Competitiveness'</w:t>
      </w:r>
      <w:r>
        <w:rPr>
          <w:i/>
          <w:iCs/>
        </w:rPr>
        <w:t xml:space="preserve">, </w:t>
      </w:r>
      <w:proofErr w:type="gramStart"/>
      <w:r>
        <w:rPr>
          <w:i/>
          <w:iCs/>
        </w:rPr>
        <w:t>The</w:t>
      </w:r>
      <w:proofErr w:type="gramEnd"/>
      <w:r>
        <w:rPr>
          <w:i/>
          <w:iCs/>
        </w:rPr>
        <w:t xml:space="preserve"> Developing Economies </w:t>
      </w:r>
      <w:r>
        <w:t xml:space="preserve">38(4): 454-489. </w:t>
      </w:r>
    </w:p>
    <w:p w:rsidR="00AB5E66" w:rsidRDefault="00AB5E66" w:rsidP="00AB5E66">
      <w:pPr>
        <w:pStyle w:val="NormalWeb"/>
      </w:pPr>
      <w:proofErr w:type="spellStart"/>
      <w:r>
        <w:t>Athukorala</w:t>
      </w:r>
      <w:proofErr w:type="spellEnd"/>
      <w:r>
        <w:t>, P. (2006) 'Post-Crisis Export Performance: The Indonesian Experience in Regional Perspective'</w:t>
      </w:r>
      <w:r>
        <w:rPr>
          <w:i/>
          <w:iCs/>
        </w:rPr>
        <w:t xml:space="preserve">, BULLETIN OF INDONESIAN ECONOMIC STUDIES </w:t>
      </w:r>
      <w:r>
        <w:t xml:space="preserve">42(2): 177-211. </w:t>
      </w:r>
    </w:p>
    <w:p w:rsidR="00AB5E66" w:rsidRDefault="00AB5E66" w:rsidP="00AB5E66">
      <w:pPr>
        <w:pStyle w:val="NormalWeb"/>
      </w:pPr>
      <w:proofErr w:type="spellStart"/>
      <w:r>
        <w:t>Auty</w:t>
      </w:r>
      <w:proofErr w:type="spellEnd"/>
      <w:r>
        <w:t>, R.M. (2003) '</w:t>
      </w:r>
      <w:r>
        <w:rPr>
          <w:b/>
          <w:bCs/>
        </w:rPr>
        <w:t>Natural Resources, Development Models and Sustainable Development</w:t>
      </w:r>
      <w:r>
        <w:rPr>
          <w:b/>
          <w:bCs/>
        </w:rPr>
        <w:br/>
      </w:r>
      <w:r>
        <w:t>'</w:t>
      </w:r>
      <w:r>
        <w:rPr>
          <w:i/>
          <w:iCs/>
        </w:rPr>
        <w:t xml:space="preserve">, International Institute for Environment and Development, London, UK </w:t>
      </w:r>
      <w:r>
        <w:t xml:space="preserve">Discussion paper 03-01: 1-16. </w:t>
      </w:r>
    </w:p>
    <w:p w:rsidR="00AB5E66" w:rsidRDefault="00AB5E66" w:rsidP="00AB5E66">
      <w:pPr>
        <w:pStyle w:val="NormalWeb"/>
      </w:pPr>
      <w:proofErr w:type="spellStart"/>
      <w:r>
        <w:t>Auty</w:t>
      </w:r>
      <w:proofErr w:type="spellEnd"/>
      <w:r>
        <w:t xml:space="preserve">, R.M. (2001) </w:t>
      </w:r>
      <w:r>
        <w:rPr>
          <w:i/>
          <w:iCs/>
        </w:rPr>
        <w:t xml:space="preserve">Resource Abundance and Economic Development: Edited by R.M. </w:t>
      </w:r>
      <w:proofErr w:type="spellStart"/>
      <w:r>
        <w:rPr>
          <w:i/>
          <w:iCs/>
        </w:rPr>
        <w:t>Auty</w:t>
      </w:r>
      <w:proofErr w:type="spellEnd"/>
      <w:r>
        <w:rPr>
          <w:i/>
          <w:iCs/>
        </w:rPr>
        <w:t xml:space="preserve">. </w:t>
      </w:r>
      <w:r>
        <w:t xml:space="preserve">Oxford: Oxford University Press. </w:t>
      </w:r>
    </w:p>
    <w:p w:rsidR="00AB5E66" w:rsidRDefault="00AB5E66" w:rsidP="00AB5E66">
      <w:pPr>
        <w:pStyle w:val="NormalWeb"/>
      </w:pPr>
      <w:r>
        <w:t xml:space="preserve">Backus, D.K. and M.J. </w:t>
      </w:r>
      <w:proofErr w:type="spellStart"/>
      <w:r>
        <w:t>Crucini</w:t>
      </w:r>
      <w:proofErr w:type="spellEnd"/>
      <w:r>
        <w:t xml:space="preserve"> (2000) 'Oil Prices and the Terms of Trade'</w:t>
      </w:r>
      <w:r>
        <w:rPr>
          <w:i/>
          <w:iCs/>
        </w:rPr>
        <w:t xml:space="preserve">, Journal of International Economics </w:t>
      </w:r>
      <w:r>
        <w:t xml:space="preserve">50(1): 185-213. </w:t>
      </w:r>
    </w:p>
    <w:p w:rsidR="00AB5E66" w:rsidRDefault="00AB5E66" w:rsidP="00AB5E66">
      <w:pPr>
        <w:pStyle w:val="NormalWeb"/>
      </w:pPr>
      <w:proofErr w:type="spellStart"/>
      <w:r>
        <w:t>Baland</w:t>
      </w:r>
      <w:proofErr w:type="spellEnd"/>
      <w:r>
        <w:t>, J. and P. Francois (2000) 'Rent-Seeking and Resource Booms'</w:t>
      </w:r>
      <w:r>
        <w:rPr>
          <w:i/>
          <w:iCs/>
        </w:rPr>
        <w:t xml:space="preserve">, Journal of Development Economics </w:t>
      </w:r>
      <w:r>
        <w:t xml:space="preserve">61(2): 527-542. </w:t>
      </w:r>
    </w:p>
    <w:p w:rsidR="00AB5E66" w:rsidRDefault="00AB5E66" w:rsidP="00AB5E66">
      <w:pPr>
        <w:pStyle w:val="NormalWeb"/>
      </w:pPr>
      <w:r>
        <w:t>Baldwin, R.E. (1956) 'Patterns of Development in Newly Settled Regions'</w:t>
      </w:r>
      <w:r>
        <w:rPr>
          <w:i/>
          <w:iCs/>
        </w:rPr>
        <w:t xml:space="preserve">, Manchester School of Economic and Social Studies </w:t>
      </w:r>
      <w:r>
        <w:t xml:space="preserve">24(2): 161. </w:t>
      </w:r>
    </w:p>
    <w:p w:rsidR="00AB5E66" w:rsidRDefault="00AB5E66" w:rsidP="00AB5E66">
      <w:pPr>
        <w:pStyle w:val="NormalWeb"/>
      </w:pPr>
      <w:r>
        <w:t xml:space="preserve">Baldwin, R.E. and L.A. University of California (1966) </w:t>
      </w:r>
      <w:r>
        <w:rPr>
          <w:i/>
          <w:iCs/>
        </w:rPr>
        <w:t xml:space="preserve">Economic Development and Export Growth: A Study of Northern Rhodesia, 1920-1960 / by Robert E. Baldwin. </w:t>
      </w:r>
      <w:proofErr w:type="gramStart"/>
      <w:r>
        <w:t>Berkeley ,</w:t>
      </w:r>
      <w:proofErr w:type="gramEnd"/>
      <w:r>
        <w:t xml:space="preserve"> Cal. [etc.]: University of California Press. </w:t>
      </w:r>
    </w:p>
    <w:p w:rsidR="00AB5E66" w:rsidRDefault="00AB5E66" w:rsidP="00AB5E66">
      <w:pPr>
        <w:pStyle w:val="NormalWeb"/>
      </w:pPr>
      <w:proofErr w:type="spellStart"/>
      <w:r>
        <w:t>Barbier</w:t>
      </w:r>
      <w:proofErr w:type="spellEnd"/>
      <w:r>
        <w:t>, E.B. (1989) 'Cash Crops, Food Crops, and Sustainability: The Case of Indonesia'</w:t>
      </w:r>
      <w:r>
        <w:rPr>
          <w:i/>
          <w:iCs/>
        </w:rPr>
        <w:t xml:space="preserve">, World Development </w:t>
      </w:r>
      <w:r>
        <w:t xml:space="preserve">17(6): 879-895. </w:t>
      </w:r>
    </w:p>
    <w:p w:rsidR="00AB5E66" w:rsidRDefault="00AB5E66" w:rsidP="00AB5E66">
      <w:pPr>
        <w:pStyle w:val="NormalWeb"/>
      </w:pPr>
      <w:proofErr w:type="spellStart"/>
      <w:proofErr w:type="gramStart"/>
      <w:r>
        <w:t>Barro</w:t>
      </w:r>
      <w:proofErr w:type="spellEnd"/>
      <w:r>
        <w:t xml:space="preserve">, R.J. and X. </w:t>
      </w:r>
      <w:proofErr w:type="spellStart"/>
      <w:r>
        <w:t>Sala</w:t>
      </w:r>
      <w:proofErr w:type="spellEnd"/>
      <w:r>
        <w:t xml:space="preserve"> </w:t>
      </w:r>
      <w:proofErr w:type="spellStart"/>
      <w:r>
        <w:t>i</w:t>
      </w:r>
      <w:proofErr w:type="spellEnd"/>
      <w:r>
        <w:t xml:space="preserve"> Martin (1995) </w:t>
      </w:r>
      <w:r>
        <w:rPr>
          <w:i/>
          <w:iCs/>
        </w:rPr>
        <w:t xml:space="preserve">Economic Growth: Robert J. </w:t>
      </w:r>
      <w:proofErr w:type="spellStart"/>
      <w:r>
        <w:rPr>
          <w:i/>
          <w:iCs/>
        </w:rPr>
        <w:t>Barro</w:t>
      </w:r>
      <w:proofErr w:type="spellEnd"/>
      <w:r>
        <w:rPr>
          <w:i/>
          <w:iCs/>
        </w:rPr>
        <w:t xml:space="preserve">, Xavier </w:t>
      </w:r>
      <w:proofErr w:type="spellStart"/>
      <w:r>
        <w:rPr>
          <w:i/>
          <w:iCs/>
        </w:rPr>
        <w:t>Sala</w:t>
      </w:r>
      <w:proofErr w:type="spellEnd"/>
      <w:r>
        <w:rPr>
          <w:i/>
          <w:iCs/>
        </w:rPr>
        <w:t>-</w:t>
      </w:r>
      <w:proofErr w:type="spellStart"/>
      <w:r>
        <w:rPr>
          <w:i/>
          <w:iCs/>
        </w:rPr>
        <w:t>i</w:t>
      </w:r>
      <w:proofErr w:type="spellEnd"/>
      <w:r>
        <w:rPr>
          <w:i/>
          <w:iCs/>
        </w:rPr>
        <w:t>-Martin.</w:t>
      </w:r>
      <w:proofErr w:type="gramEnd"/>
      <w:r>
        <w:rPr>
          <w:i/>
          <w:iCs/>
        </w:rPr>
        <w:t xml:space="preserve"> </w:t>
      </w:r>
      <w:r>
        <w:t xml:space="preserve">New York [etc.]: McGraw-Hill. </w:t>
      </w:r>
    </w:p>
    <w:p w:rsidR="00AB5E66" w:rsidRDefault="00AB5E66" w:rsidP="00AB5E66">
      <w:pPr>
        <w:pStyle w:val="NormalWeb"/>
      </w:pPr>
      <w:proofErr w:type="spellStart"/>
      <w:r>
        <w:t>Basiron</w:t>
      </w:r>
      <w:proofErr w:type="spellEnd"/>
      <w:r>
        <w:t>, Y. (2007) 'Palm Oil Production through Sustainable Plantations'</w:t>
      </w:r>
      <w:r>
        <w:rPr>
          <w:i/>
          <w:iCs/>
        </w:rPr>
        <w:t xml:space="preserve">, EUROPEAN JOURNAL OF LIPID SCIENCE AND TECHNOLOGY </w:t>
      </w:r>
      <w:r>
        <w:t xml:space="preserve">109(4): 289-295. </w:t>
      </w:r>
    </w:p>
    <w:p w:rsidR="00AB5E66" w:rsidRDefault="00AB5E66" w:rsidP="00AB5E66">
      <w:pPr>
        <w:pStyle w:val="NormalWeb"/>
      </w:pPr>
      <w:proofErr w:type="spellStart"/>
      <w:r>
        <w:t>Basu</w:t>
      </w:r>
      <w:proofErr w:type="spellEnd"/>
      <w:r>
        <w:t>, P. and D. McLeod (1991) 'Terms of Trade Fluctuations and Economic Growth in Developing Economies'</w:t>
      </w:r>
      <w:r>
        <w:rPr>
          <w:i/>
          <w:iCs/>
        </w:rPr>
        <w:t xml:space="preserve">, Journal of Development Economics </w:t>
      </w:r>
      <w:r>
        <w:t xml:space="preserve">37(1): 89-110. </w:t>
      </w:r>
    </w:p>
    <w:p w:rsidR="00AB5E66" w:rsidRDefault="00AB5E66" w:rsidP="00AB5E66">
      <w:pPr>
        <w:pStyle w:val="NormalWeb"/>
      </w:pPr>
      <w:r>
        <w:t>Bautista, R.M. (1990) 'PRICE AND TRADE POLICIES FOR AGRICULTURAL-DEVELOPMENT'</w:t>
      </w:r>
      <w:r>
        <w:rPr>
          <w:i/>
          <w:iCs/>
        </w:rPr>
        <w:t xml:space="preserve">, WORLD ECONOMY </w:t>
      </w:r>
      <w:r>
        <w:t xml:space="preserve">13(1): 89-109. </w:t>
      </w:r>
    </w:p>
    <w:p w:rsidR="00AB5E66" w:rsidRDefault="00AB5E66" w:rsidP="00AB5E66">
      <w:pPr>
        <w:pStyle w:val="NormalWeb"/>
      </w:pPr>
      <w:r>
        <w:lastRenderedPageBreak/>
        <w:t>Bautista, R.M. and N.N. San (1998) 'Modeling the Price Competitiveness of Indonesian Crops'</w:t>
      </w:r>
      <w:r>
        <w:rPr>
          <w:i/>
          <w:iCs/>
        </w:rPr>
        <w:t xml:space="preserve">, Journal of Asian Economics </w:t>
      </w:r>
      <w:r>
        <w:t xml:space="preserve">9(3): 425-443. </w:t>
      </w:r>
    </w:p>
    <w:p w:rsidR="00AB5E66" w:rsidRDefault="00AB5E66" w:rsidP="00AB5E66">
      <w:pPr>
        <w:pStyle w:val="NormalWeb"/>
      </w:pPr>
      <w:proofErr w:type="spellStart"/>
      <w:r>
        <w:t>Beals</w:t>
      </w:r>
      <w:proofErr w:type="spellEnd"/>
      <w:r>
        <w:t xml:space="preserve">, R. (1987) 'Trade Patterns and Trends of Indonesia', in C.I. Bradford </w:t>
      </w:r>
      <w:proofErr w:type="spellStart"/>
      <w:proofErr w:type="gramStart"/>
      <w:r>
        <w:t>jr</w:t>
      </w:r>
      <w:proofErr w:type="spellEnd"/>
      <w:proofErr w:type="gramEnd"/>
      <w:r>
        <w:t xml:space="preserve"> and W.H. Branson (</w:t>
      </w:r>
      <w:proofErr w:type="spellStart"/>
      <w:r>
        <w:t>eds</w:t>
      </w:r>
      <w:proofErr w:type="spellEnd"/>
      <w:r>
        <w:t xml:space="preserve">) </w:t>
      </w:r>
      <w:r>
        <w:rPr>
          <w:i/>
          <w:iCs/>
        </w:rPr>
        <w:t xml:space="preserve">Trade and Structural Change in Pacific Asia, </w:t>
      </w:r>
      <w:r>
        <w:t xml:space="preserve">pp. 515-546. Chicago: The University of Chicago Press. </w:t>
      </w:r>
    </w:p>
    <w:p w:rsidR="00AB5E66" w:rsidRDefault="00AB5E66" w:rsidP="00AB5E66">
      <w:pPr>
        <w:pStyle w:val="NormalWeb"/>
      </w:pPr>
      <w:r>
        <w:t>Black, F. (1982) 'The Trouble with Econometric Models'</w:t>
      </w:r>
      <w:r>
        <w:rPr>
          <w:i/>
          <w:iCs/>
        </w:rPr>
        <w:t xml:space="preserve">, Financial Analysts Journal </w:t>
      </w:r>
      <w:r>
        <w:t xml:space="preserve">38(2): 29-37. </w:t>
      </w:r>
    </w:p>
    <w:p w:rsidR="00AB5E66" w:rsidRDefault="00AB5E66" w:rsidP="00AB5E66">
      <w:pPr>
        <w:pStyle w:val="NormalWeb"/>
      </w:pPr>
      <w:proofErr w:type="spellStart"/>
      <w:r>
        <w:t>Blattman</w:t>
      </w:r>
      <w:proofErr w:type="spellEnd"/>
      <w:r>
        <w:t>, C., J. Hwang and J.G. Williamson (2007) 'Winners and Losers in the Commodity Lottery: The Impact of Terms of Trade Growth and Volatility in the Periphery 1870–1939'</w:t>
      </w:r>
      <w:r>
        <w:rPr>
          <w:i/>
          <w:iCs/>
        </w:rPr>
        <w:t xml:space="preserve">, Journal of Development Economics </w:t>
      </w:r>
      <w:r>
        <w:t xml:space="preserve">82(1): 156-179. </w:t>
      </w:r>
    </w:p>
    <w:p w:rsidR="00AB5E66" w:rsidRDefault="00AB5E66" w:rsidP="00AB5E66">
      <w:pPr>
        <w:pStyle w:val="NormalWeb"/>
      </w:pPr>
      <w:proofErr w:type="spellStart"/>
      <w:r>
        <w:t>Blattman</w:t>
      </w:r>
      <w:proofErr w:type="spellEnd"/>
      <w:r>
        <w:t>, C., J. Hwang and J.G. Williamson (2003) '</w:t>
      </w:r>
      <w:proofErr w:type="gramStart"/>
      <w:r>
        <w:t>The</w:t>
      </w:r>
      <w:proofErr w:type="gramEnd"/>
      <w:r>
        <w:t xml:space="preserve"> Terms of Trade and Economic Growth in the Periphery 1870-1938'National Bureau of Economic Research. </w:t>
      </w:r>
    </w:p>
    <w:p w:rsidR="00AB5E66" w:rsidRDefault="00AB5E66" w:rsidP="00AB5E66">
      <w:pPr>
        <w:pStyle w:val="NormalWeb"/>
      </w:pPr>
      <w:proofErr w:type="spellStart"/>
      <w:r>
        <w:t>Bleaney</w:t>
      </w:r>
      <w:proofErr w:type="spellEnd"/>
      <w:r>
        <w:t>, M. and D. Greenaway (2001) 'The Impact of Terms of Trade and Real Exchange Rate Volatility on Investment and Growth in Sub-Saharan Africa'</w:t>
      </w:r>
      <w:r>
        <w:rPr>
          <w:i/>
          <w:iCs/>
        </w:rPr>
        <w:t xml:space="preserve">, Journal of Development Economics </w:t>
      </w:r>
      <w:r>
        <w:t xml:space="preserve">65(2): 491-500. </w:t>
      </w:r>
    </w:p>
    <w:p w:rsidR="00AB5E66" w:rsidRDefault="00AB5E66" w:rsidP="00AB5E66">
      <w:pPr>
        <w:pStyle w:val="NormalWeb"/>
      </w:pPr>
      <w:proofErr w:type="spellStart"/>
      <w:r>
        <w:t>Bleaney</w:t>
      </w:r>
      <w:proofErr w:type="spellEnd"/>
      <w:r>
        <w:t>, M. and D. Greenaway (1993) 'Long-Run Trends in the Relative Price of Primary Commodities and in the Terms of Trade of Developing Countries'</w:t>
      </w:r>
      <w:r>
        <w:rPr>
          <w:i/>
          <w:iCs/>
        </w:rPr>
        <w:t xml:space="preserve">, Oxford Economic Papers </w:t>
      </w:r>
      <w:r>
        <w:t xml:space="preserve">45(3): 349-363. </w:t>
      </w:r>
    </w:p>
    <w:p w:rsidR="00AB5E66" w:rsidRDefault="00AB5E66" w:rsidP="00AB5E66">
      <w:pPr>
        <w:pStyle w:val="NormalWeb"/>
      </w:pPr>
      <w:proofErr w:type="spellStart"/>
      <w:r>
        <w:t>Botta</w:t>
      </w:r>
      <w:proofErr w:type="spellEnd"/>
      <w:r>
        <w:t xml:space="preserve">, A. (2010) 'Economic Development, Structural Change and Natural Resource Booms: A </w:t>
      </w:r>
      <w:proofErr w:type="spellStart"/>
      <w:r>
        <w:t>Structuralist</w:t>
      </w:r>
      <w:proofErr w:type="spellEnd"/>
      <w:r>
        <w:t xml:space="preserve"> Perspective'</w:t>
      </w:r>
      <w:r>
        <w:rPr>
          <w:i/>
          <w:iCs/>
        </w:rPr>
        <w:t xml:space="preserve">, METROECONOMICA </w:t>
      </w:r>
      <w:r>
        <w:t xml:space="preserve">61(3): 510-539. </w:t>
      </w:r>
    </w:p>
    <w:p w:rsidR="00AB5E66" w:rsidRDefault="00AB5E66" w:rsidP="00AB5E66">
      <w:pPr>
        <w:pStyle w:val="NormalWeb"/>
      </w:pPr>
      <w:proofErr w:type="spellStart"/>
      <w:r>
        <w:t>Bresser</w:t>
      </w:r>
      <w:proofErr w:type="spellEnd"/>
      <w:r>
        <w:t xml:space="preserve">-Pereira, L.C. (2008) 'The Dutch Disease and its Neutralization: A </w:t>
      </w:r>
      <w:proofErr w:type="spellStart"/>
      <w:r>
        <w:t>Ricardian</w:t>
      </w:r>
      <w:proofErr w:type="spellEnd"/>
      <w:r>
        <w:t xml:space="preserve"> Approach'</w:t>
      </w:r>
      <w:r>
        <w:rPr>
          <w:i/>
          <w:iCs/>
        </w:rPr>
        <w:t xml:space="preserve">, </w:t>
      </w:r>
      <w:proofErr w:type="spellStart"/>
      <w:r>
        <w:rPr>
          <w:i/>
          <w:iCs/>
        </w:rPr>
        <w:t>Revista</w:t>
      </w:r>
      <w:proofErr w:type="spellEnd"/>
      <w:r>
        <w:rPr>
          <w:i/>
          <w:iCs/>
        </w:rPr>
        <w:t xml:space="preserve"> de </w:t>
      </w:r>
      <w:proofErr w:type="spellStart"/>
      <w:r>
        <w:rPr>
          <w:i/>
          <w:iCs/>
        </w:rPr>
        <w:t>Economia</w:t>
      </w:r>
      <w:proofErr w:type="spellEnd"/>
      <w:r>
        <w:rPr>
          <w:i/>
          <w:iCs/>
        </w:rPr>
        <w:t xml:space="preserve"> </w:t>
      </w:r>
      <w:proofErr w:type="spellStart"/>
      <w:r>
        <w:rPr>
          <w:i/>
          <w:iCs/>
        </w:rPr>
        <w:t>Política</w:t>
      </w:r>
      <w:proofErr w:type="spellEnd"/>
      <w:r>
        <w:rPr>
          <w:i/>
          <w:iCs/>
        </w:rPr>
        <w:t xml:space="preserve"> </w:t>
      </w:r>
      <w:r>
        <w:t xml:space="preserve">28(1). </w:t>
      </w:r>
    </w:p>
    <w:p w:rsidR="00AB5E66" w:rsidRDefault="00AB5E66" w:rsidP="00AB5E66">
      <w:pPr>
        <w:pStyle w:val="NormalWeb"/>
      </w:pPr>
      <w:proofErr w:type="spellStart"/>
      <w:proofErr w:type="gramStart"/>
      <w:r>
        <w:t>Cavalcanti</w:t>
      </w:r>
      <w:proofErr w:type="spellEnd"/>
      <w:r>
        <w:t xml:space="preserve">, Tiago V. de V, K. </w:t>
      </w:r>
      <w:proofErr w:type="spellStart"/>
      <w:r>
        <w:t>Mohaddes</w:t>
      </w:r>
      <w:proofErr w:type="spellEnd"/>
      <w:r>
        <w:t xml:space="preserve"> and M. </w:t>
      </w:r>
      <w:proofErr w:type="spellStart"/>
      <w:r>
        <w:t>Raissi</w:t>
      </w:r>
      <w:proofErr w:type="spellEnd"/>
      <w:r>
        <w:t xml:space="preserve"> (2012) </w:t>
      </w:r>
      <w:r>
        <w:rPr>
          <w:i/>
          <w:iCs/>
        </w:rPr>
        <w:t>Commodity Price Volatility and the Sources of Growth.</w:t>
      </w:r>
      <w:proofErr w:type="gramEnd"/>
      <w:r>
        <w:rPr>
          <w:i/>
          <w:iCs/>
        </w:rPr>
        <w:t xml:space="preserve"> </w:t>
      </w:r>
      <w:r>
        <w:t xml:space="preserve">Vol. 12/12. Washington, DC: International monetary fund (IMF). </w:t>
      </w:r>
    </w:p>
    <w:p w:rsidR="00AB5E66" w:rsidRDefault="00AB5E66" w:rsidP="00AB5E66">
      <w:pPr>
        <w:pStyle w:val="NormalWeb"/>
      </w:pPr>
      <w:r>
        <w:t xml:space="preserve">Chalmers, I. (1997) 'Introduction', in I. Chalmers and V.R. </w:t>
      </w:r>
      <w:proofErr w:type="spellStart"/>
      <w:r>
        <w:t>Hadiz</w:t>
      </w:r>
      <w:proofErr w:type="spellEnd"/>
      <w:r>
        <w:t xml:space="preserve"> (</w:t>
      </w:r>
      <w:proofErr w:type="spellStart"/>
      <w:proofErr w:type="gramStart"/>
      <w:r>
        <w:t>eds</w:t>
      </w:r>
      <w:proofErr w:type="spellEnd"/>
      <w:proofErr w:type="gramEnd"/>
      <w:r>
        <w:t xml:space="preserve">) </w:t>
      </w:r>
      <w:r>
        <w:rPr>
          <w:i/>
          <w:iCs/>
        </w:rPr>
        <w:t xml:space="preserve">The Politics of Economic Development in Indonesia: Contending Perspectives, </w:t>
      </w:r>
      <w:r>
        <w:t xml:space="preserve">Vol. 9. pp. 1-32. London: </w:t>
      </w:r>
      <w:proofErr w:type="spellStart"/>
      <w:r>
        <w:t>Routledge</w:t>
      </w:r>
      <w:proofErr w:type="spellEnd"/>
      <w:r>
        <w:t xml:space="preserve">. </w:t>
      </w:r>
    </w:p>
    <w:p w:rsidR="00AB5E66" w:rsidRDefault="00AB5E66" w:rsidP="00AB5E66">
      <w:pPr>
        <w:pStyle w:val="NormalWeb"/>
      </w:pPr>
      <w:proofErr w:type="gramStart"/>
      <w:r>
        <w:t xml:space="preserve">Collier, P. and B. </w:t>
      </w:r>
      <w:proofErr w:type="spellStart"/>
      <w:r>
        <w:t>Goderis</w:t>
      </w:r>
      <w:proofErr w:type="spellEnd"/>
      <w:r>
        <w:t xml:space="preserve"> (2007) </w:t>
      </w:r>
      <w:r>
        <w:rPr>
          <w:i/>
          <w:iCs/>
        </w:rPr>
        <w:t>Commodity Prices, Growth, and the Natural Resource Curse.</w:t>
      </w:r>
      <w:proofErr w:type="gramEnd"/>
      <w:r>
        <w:rPr>
          <w:i/>
          <w:iCs/>
        </w:rPr>
        <w:t xml:space="preserve"> </w:t>
      </w:r>
      <w:proofErr w:type="gramStart"/>
      <w:r>
        <w:t>Vol. 276.</w:t>
      </w:r>
      <w:proofErr w:type="gramEnd"/>
      <w:r>
        <w:t xml:space="preserve"> Oxford: University of Oxford, Centre for the Study of African Economies. </w:t>
      </w:r>
    </w:p>
    <w:p w:rsidR="00AB5E66" w:rsidRDefault="00AB5E66" w:rsidP="00AB5E66">
      <w:pPr>
        <w:pStyle w:val="NormalWeb"/>
      </w:pPr>
      <w:r>
        <w:t xml:space="preserve">Collier, P. and A. </w:t>
      </w:r>
      <w:proofErr w:type="spellStart"/>
      <w:r>
        <w:t>Hoeffler</w:t>
      </w:r>
      <w:proofErr w:type="spellEnd"/>
      <w:r>
        <w:t xml:space="preserve"> (2004) 'Greed and Grievance in Civil War'</w:t>
      </w:r>
      <w:r>
        <w:rPr>
          <w:i/>
          <w:iCs/>
        </w:rPr>
        <w:t xml:space="preserve">, Oxford Economic Papers </w:t>
      </w:r>
      <w:r>
        <w:t xml:space="preserve">56(4): 563-595. </w:t>
      </w:r>
    </w:p>
    <w:p w:rsidR="00AB5E66" w:rsidRDefault="00AB5E66" w:rsidP="00AB5E66">
      <w:pPr>
        <w:pStyle w:val="NormalWeb"/>
      </w:pPr>
      <w:r>
        <w:t xml:space="preserve">COLLIER, P., R. VAN DER PLOEG, M. SPENCE and A.J. VENABLES (2010) 'Managing Resource Revenues in Developing Economies', </w:t>
      </w:r>
      <w:r>
        <w:rPr>
          <w:i/>
          <w:iCs/>
        </w:rPr>
        <w:t>IMF Staff Papers</w:t>
      </w:r>
      <w:r>
        <w:t xml:space="preserve"> 57(1): 84-118. Accessed 12/10/2012 11:59:55 </w:t>
      </w:r>
      <w:proofErr w:type="gramStart"/>
      <w:r>
        <w:t>PM .</w:t>
      </w:r>
      <w:proofErr w:type="gramEnd"/>
      <w:r>
        <w:t xml:space="preserve"> </w:t>
      </w:r>
    </w:p>
    <w:p w:rsidR="00AB5E66" w:rsidRDefault="00AB5E66" w:rsidP="00AB5E66">
      <w:pPr>
        <w:pStyle w:val="NormalWeb"/>
      </w:pPr>
      <w:r>
        <w:lastRenderedPageBreak/>
        <w:t xml:space="preserve">COLLIER, P., R. VAN DER PLOEG, M. SPENCE and A.J. VENABLES (2010) 'Managing Resource Revenues in Developing Economies', </w:t>
      </w:r>
      <w:r>
        <w:rPr>
          <w:i/>
          <w:iCs/>
        </w:rPr>
        <w:t>IMF Staff Papers</w:t>
      </w:r>
      <w:r>
        <w:t xml:space="preserve"> 57(1): 84-118. Accessed 12/11/2012 1:05:34 </w:t>
      </w:r>
      <w:proofErr w:type="gramStart"/>
      <w:r>
        <w:t>AM .</w:t>
      </w:r>
      <w:proofErr w:type="gramEnd"/>
      <w:r>
        <w:t xml:space="preserve"> </w:t>
      </w:r>
    </w:p>
    <w:p w:rsidR="00AB5E66" w:rsidRDefault="00AB5E66" w:rsidP="00AB5E66">
      <w:pPr>
        <w:pStyle w:val="NormalWeb"/>
      </w:pPr>
      <w:r>
        <w:t xml:space="preserve">Common Fund for Commodities, Food and Agriculture Organization of the United Nations and United Nations Conference on Trade and Development (2003) 'Commodity Yearbook ...: Prepared by UNCTAD in Collaboration with the Common Fund for Commodities and the Food and Agriculture Organization of the United Nations = </w:t>
      </w:r>
      <w:proofErr w:type="spellStart"/>
      <w:r>
        <w:t>Annuaire</w:t>
      </w:r>
      <w:proofErr w:type="spellEnd"/>
      <w:r>
        <w:t xml:space="preserve"> Des </w:t>
      </w:r>
      <w:proofErr w:type="spellStart"/>
      <w:r>
        <w:t>Produits</w:t>
      </w:r>
      <w:proofErr w:type="spellEnd"/>
      <w:r>
        <w:t xml:space="preserve"> De Base ... / </w:t>
      </w:r>
      <w:proofErr w:type="spellStart"/>
      <w:r>
        <w:t>prépare</w:t>
      </w:r>
      <w:proofErr w:type="spellEnd"/>
      <w:r>
        <w:t xml:space="preserve">́ Par La CNUCED En Collaboration Avec Le </w:t>
      </w:r>
      <w:proofErr w:type="spellStart"/>
      <w:r>
        <w:t>Fonds</w:t>
      </w:r>
      <w:proofErr w:type="spellEnd"/>
      <w:r>
        <w:t xml:space="preserve"> </w:t>
      </w:r>
      <w:proofErr w:type="spellStart"/>
      <w:r>
        <w:t>Commun</w:t>
      </w:r>
      <w:proofErr w:type="spellEnd"/>
      <w:r>
        <w:t xml:space="preserve"> Pour Les </w:t>
      </w:r>
      <w:proofErr w:type="spellStart"/>
      <w:r>
        <w:t>Produits</w:t>
      </w:r>
      <w:proofErr w:type="spellEnd"/>
      <w:r>
        <w:t xml:space="preserve"> De Base Et </w:t>
      </w:r>
      <w:proofErr w:type="spellStart"/>
      <w:r>
        <w:t>l'Organisation</w:t>
      </w:r>
      <w:proofErr w:type="spellEnd"/>
      <w:r>
        <w:t xml:space="preserve"> Des Nations </w:t>
      </w:r>
      <w:proofErr w:type="spellStart"/>
      <w:r>
        <w:t>Unies</w:t>
      </w:r>
      <w:proofErr w:type="spellEnd"/>
      <w:r>
        <w:t xml:space="preserve"> Pour </w:t>
      </w:r>
      <w:proofErr w:type="spellStart"/>
      <w:r>
        <w:t>l'Alimentation</w:t>
      </w:r>
      <w:proofErr w:type="spellEnd"/>
      <w:r>
        <w:t xml:space="preserve"> Et </w:t>
      </w:r>
      <w:proofErr w:type="spellStart"/>
      <w:r>
        <w:t>l'Agriculture</w:t>
      </w:r>
      <w:proofErr w:type="spellEnd"/>
      <w:r>
        <w:t xml:space="preserve">', </w:t>
      </w:r>
      <w:r>
        <w:rPr>
          <w:i/>
          <w:iCs/>
        </w:rPr>
        <w:t>Commodity yearbook ...</w:t>
      </w:r>
      <w:r>
        <w:t xml:space="preserve"> Accessed 11/30/2012 4:54:02 AM . </w:t>
      </w:r>
    </w:p>
    <w:p w:rsidR="00AB5E66" w:rsidRDefault="00AB5E66" w:rsidP="00AB5E66">
      <w:pPr>
        <w:pStyle w:val="NormalWeb"/>
      </w:pPr>
      <w:proofErr w:type="spellStart"/>
      <w:r>
        <w:t>Corden</w:t>
      </w:r>
      <w:proofErr w:type="spellEnd"/>
      <w:r>
        <w:t xml:space="preserve">, W.M. and J.P. </w:t>
      </w:r>
      <w:proofErr w:type="spellStart"/>
      <w:r>
        <w:t>Neary</w:t>
      </w:r>
      <w:proofErr w:type="spellEnd"/>
      <w:r>
        <w:t xml:space="preserve"> (1982) 'Booming Sector and De-</w:t>
      </w:r>
      <w:proofErr w:type="spellStart"/>
      <w:r>
        <w:t>Industrialisation</w:t>
      </w:r>
      <w:proofErr w:type="spellEnd"/>
      <w:r>
        <w:t xml:space="preserve"> in a Small Open Economy'</w:t>
      </w:r>
      <w:r>
        <w:rPr>
          <w:i/>
          <w:iCs/>
        </w:rPr>
        <w:t xml:space="preserve">, </w:t>
      </w:r>
      <w:proofErr w:type="gramStart"/>
      <w:r>
        <w:rPr>
          <w:i/>
          <w:iCs/>
        </w:rPr>
        <w:t>The</w:t>
      </w:r>
      <w:proofErr w:type="gramEnd"/>
      <w:r>
        <w:rPr>
          <w:i/>
          <w:iCs/>
        </w:rPr>
        <w:t xml:space="preserve"> Economic Journal </w:t>
      </w:r>
      <w:r>
        <w:t xml:space="preserve">92(368): 825-848. </w:t>
      </w:r>
    </w:p>
    <w:p w:rsidR="00AB5E66" w:rsidRDefault="00AB5E66" w:rsidP="00AB5E66">
      <w:pPr>
        <w:pStyle w:val="NormalWeb"/>
      </w:pPr>
      <w:proofErr w:type="spellStart"/>
      <w:r>
        <w:t>Daryanto</w:t>
      </w:r>
      <w:proofErr w:type="spellEnd"/>
      <w:r>
        <w:t xml:space="preserve">, A. (1999) 'Indonesia’s Crisis and the Agricultural Sector: The Relevance of Agricultural Demand-Led </w:t>
      </w:r>
      <w:proofErr w:type="spellStart"/>
      <w:r>
        <w:t>Industrialisation</w:t>
      </w:r>
      <w:proofErr w:type="spellEnd"/>
      <w:r>
        <w:t>'</w:t>
      </w:r>
      <w:r>
        <w:rPr>
          <w:i/>
          <w:iCs/>
        </w:rPr>
        <w:t xml:space="preserve">, UNEAC Asia Papers </w:t>
      </w:r>
      <w:proofErr w:type="gramStart"/>
      <w:r>
        <w:rPr>
          <w:i/>
          <w:iCs/>
        </w:rPr>
        <w:t xml:space="preserve">No.2 </w:t>
      </w:r>
      <w:r>
        <w:t>:</w:t>
      </w:r>
      <w:proofErr w:type="gramEnd"/>
      <w:r>
        <w:t xml:space="preserve"> 61-72. </w:t>
      </w:r>
    </w:p>
    <w:p w:rsidR="00AB5E66" w:rsidRDefault="00AB5E66" w:rsidP="00AB5E66">
      <w:pPr>
        <w:pStyle w:val="NormalWeb"/>
      </w:pPr>
      <w:r>
        <w:t xml:space="preserve">Deaton, A.S. and R.I. Miller (1995) </w:t>
      </w:r>
      <w:r>
        <w:rPr>
          <w:i/>
          <w:iCs/>
        </w:rPr>
        <w:t xml:space="preserve">International Commodity Prices, Macroeconomic Performance, and Politics in Sub-Saharan Africa: Angus S. Deaton and Ronald I. Miller. </w:t>
      </w:r>
      <w:r>
        <w:t xml:space="preserve">Vol. no. 79, December 1995. Princeton, N.J: International Finance Section, Department of Economics, Princeton University. </w:t>
      </w:r>
    </w:p>
    <w:p w:rsidR="00AB5E66" w:rsidRDefault="00AB5E66" w:rsidP="00AB5E66">
      <w:pPr>
        <w:pStyle w:val="NormalWeb"/>
      </w:pPr>
      <w:r>
        <w:t>Dong, B. and L. Yan (2009) 'A Paradox of the Theory of Comparative Advantage'</w:t>
      </w:r>
      <w:r>
        <w:rPr>
          <w:i/>
          <w:iCs/>
        </w:rPr>
        <w:t xml:space="preserve">, Department of Economics, University of International Business and Economics, Beijing, </w:t>
      </w:r>
      <w:proofErr w:type="gramStart"/>
      <w:r>
        <w:rPr>
          <w:i/>
          <w:iCs/>
        </w:rPr>
        <w:t xml:space="preserve">China </w:t>
      </w:r>
      <w:r>
        <w:t>:</w:t>
      </w:r>
      <w:proofErr w:type="gramEnd"/>
      <w:r>
        <w:t xml:space="preserve"> 1-25. </w:t>
      </w:r>
    </w:p>
    <w:p w:rsidR="00AB5E66" w:rsidRDefault="00AB5E66" w:rsidP="00AB5E66">
      <w:pPr>
        <w:pStyle w:val="NormalWeb"/>
      </w:pPr>
      <w:r>
        <w:t xml:space="preserve">Downward, P. and A. </w:t>
      </w:r>
      <w:proofErr w:type="spellStart"/>
      <w:r>
        <w:t>Mearman</w:t>
      </w:r>
      <w:proofErr w:type="spellEnd"/>
      <w:r>
        <w:t xml:space="preserve"> (2002) 'Critical Realism and Econometrics: Constructive Dialogue with Post Keynesian Economics'</w:t>
      </w:r>
      <w:r>
        <w:rPr>
          <w:i/>
          <w:iCs/>
        </w:rPr>
        <w:t xml:space="preserve">, </w:t>
      </w:r>
      <w:proofErr w:type="spellStart"/>
      <w:r>
        <w:rPr>
          <w:i/>
          <w:iCs/>
        </w:rPr>
        <w:t>Metroeconomica</w:t>
      </w:r>
      <w:proofErr w:type="spellEnd"/>
      <w:r>
        <w:rPr>
          <w:i/>
          <w:iCs/>
        </w:rPr>
        <w:t xml:space="preserve"> </w:t>
      </w:r>
      <w:r>
        <w:t xml:space="preserve">53(4): 391-415. </w:t>
      </w:r>
    </w:p>
    <w:p w:rsidR="00AB5E66" w:rsidRDefault="00AB5E66" w:rsidP="00AB5E66">
      <w:pPr>
        <w:pStyle w:val="NormalWeb"/>
      </w:pPr>
      <w:r>
        <w:t>EASTERLY, W. and S. REBELO (1993) 'FISCAL-POLICY AND ECONOMIC-GROWTH - AN EMPIRICAL-INVESTIGATION'</w:t>
      </w:r>
      <w:r>
        <w:rPr>
          <w:i/>
          <w:iCs/>
        </w:rPr>
        <w:t xml:space="preserve">, Journal of Monetary Economics </w:t>
      </w:r>
      <w:r>
        <w:t xml:space="preserve">32(3): 417-458. </w:t>
      </w:r>
    </w:p>
    <w:p w:rsidR="00AB5E66" w:rsidRDefault="00AB5E66" w:rsidP="00AB5E66">
      <w:pPr>
        <w:pStyle w:val="NormalWeb"/>
      </w:pPr>
      <w:proofErr w:type="spellStart"/>
      <w:r>
        <w:t>Eichengreen</w:t>
      </w:r>
      <w:proofErr w:type="spellEnd"/>
      <w:r>
        <w:t xml:space="preserve">, B. (1996) </w:t>
      </w:r>
      <w:r>
        <w:rPr>
          <w:i/>
          <w:iCs/>
        </w:rPr>
        <w:t xml:space="preserve">Globalizing Capital: A History of the International Monetary System / Barry </w:t>
      </w:r>
      <w:proofErr w:type="spellStart"/>
      <w:r>
        <w:rPr>
          <w:i/>
          <w:iCs/>
        </w:rPr>
        <w:t>Eichengreen</w:t>
      </w:r>
      <w:proofErr w:type="spellEnd"/>
      <w:r>
        <w:rPr>
          <w:i/>
          <w:iCs/>
        </w:rPr>
        <w:t xml:space="preserve">. </w:t>
      </w:r>
      <w:r>
        <w:t xml:space="preserve">Princeton, NJ [etc.]: Princeton University Press. </w:t>
      </w:r>
    </w:p>
    <w:p w:rsidR="00AB5E66" w:rsidRDefault="00AB5E66" w:rsidP="00AB5E66">
      <w:pPr>
        <w:pStyle w:val="NormalWeb"/>
      </w:pPr>
      <w:r>
        <w:t xml:space="preserve">Elias, S. and C. </w:t>
      </w:r>
      <w:proofErr w:type="spellStart"/>
      <w:r>
        <w:t>Noone</w:t>
      </w:r>
      <w:proofErr w:type="spellEnd"/>
      <w:r>
        <w:t xml:space="preserve"> (2011) 'The Growth and Development of the Indonesian Economy'</w:t>
      </w:r>
      <w:r>
        <w:rPr>
          <w:i/>
          <w:iCs/>
        </w:rPr>
        <w:t xml:space="preserve">, Reserve Bank of </w:t>
      </w:r>
      <w:proofErr w:type="gramStart"/>
      <w:r>
        <w:rPr>
          <w:i/>
          <w:iCs/>
        </w:rPr>
        <w:t xml:space="preserve">Australia </w:t>
      </w:r>
      <w:r>
        <w:t>:</w:t>
      </w:r>
      <w:proofErr w:type="gramEnd"/>
      <w:r>
        <w:t xml:space="preserve"> 33-43. </w:t>
      </w:r>
    </w:p>
    <w:p w:rsidR="00AB5E66" w:rsidRDefault="00AB5E66" w:rsidP="00AB5E66">
      <w:pPr>
        <w:pStyle w:val="NormalWeb"/>
      </w:pPr>
      <w:r>
        <w:t xml:space="preserve">Energy Information Administration (2011) 'Country Analysis Briefs: Indonesia', </w:t>
      </w:r>
      <w:r>
        <w:rPr>
          <w:i/>
          <w:iCs/>
        </w:rPr>
        <w:t>Energy Information Administration</w:t>
      </w:r>
      <w:r>
        <w:t>: 12/10/2012&lt;</w:t>
      </w:r>
      <w:hyperlink r:id="rId29" w:tgtFrame="_blank" w:history="1">
        <w:r>
          <w:rPr>
            <w:rStyle w:val="Hyperlink"/>
            <w:rFonts w:eastAsiaTheme="majorEastAsia"/>
          </w:rPr>
          <w:t>http://www.eia.gov/EMEU/cabs/Indonesia/pdf.pdf</w:t>
        </w:r>
      </w:hyperlink>
      <w:r>
        <w:t xml:space="preserve">&gt;. </w:t>
      </w:r>
    </w:p>
    <w:p w:rsidR="00AB5E66" w:rsidRDefault="00AB5E66" w:rsidP="00AB5E66">
      <w:pPr>
        <w:pStyle w:val="NormalWeb"/>
      </w:pPr>
      <w:r>
        <w:t xml:space="preserve">Fane, G. and P. </w:t>
      </w:r>
      <w:proofErr w:type="spellStart"/>
      <w:r>
        <w:t>Warr</w:t>
      </w:r>
      <w:proofErr w:type="spellEnd"/>
      <w:r>
        <w:t xml:space="preserve"> (2008) 'Agricultural Protection in Indonesia'</w:t>
      </w:r>
      <w:r>
        <w:rPr>
          <w:i/>
          <w:iCs/>
        </w:rPr>
        <w:t xml:space="preserve">, BULLETIN OF INDONESIAN ECONOMIC STUDIES </w:t>
      </w:r>
      <w:r>
        <w:t xml:space="preserve">44(1): 133-150. </w:t>
      </w:r>
    </w:p>
    <w:p w:rsidR="00AB5E66" w:rsidRDefault="00AB5E66" w:rsidP="00AB5E66">
      <w:pPr>
        <w:pStyle w:val="NormalWeb"/>
      </w:pPr>
      <w:proofErr w:type="spellStart"/>
      <w:r>
        <w:t>Fardmanesh</w:t>
      </w:r>
      <w:proofErr w:type="spellEnd"/>
      <w:r>
        <w:t>, M. (1991) 'Dutch Disease Economics and Oil Syndrome: An Empirical Study'</w:t>
      </w:r>
      <w:r>
        <w:rPr>
          <w:i/>
          <w:iCs/>
        </w:rPr>
        <w:t xml:space="preserve">, World Development </w:t>
      </w:r>
      <w:r>
        <w:t xml:space="preserve">19(6): 711-717. </w:t>
      </w:r>
    </w:p>
    <w:p w:rsidR="00AB5E66" w:rsidRDefault="00AB5E66" w:rsidP="00AB5E66">
      <w:pPr>
        <w:pStyle w:val="NormalWeb"/>
      </w:pPr>
      <w:r>
        <w:lastRenderedPageBreak/>
        <w:t>Fischer, S. (1993) 'The Role of Macroeconomic Factors in Growth'</w:t>
      </w:r>
      <w:r>
        <w:rPr>
          <w:i/>
          <w:iCs/>
        </w:rPr>
        <w:t xml:space="preserve">, Journal of Monetary Economics </w:t>
      </w:r>
      <w:r>
        <w:t xml:space="preserve">32(3): 485-512. </w:t>
      </w:r>
    </w:p>
    <w:p w:rsidR="00AB5E66" w:rsidRDefault="00AB5E66" w:rsidP="00AB5E66">
      <w:pPr>
        <w:pStyle w:val="NormalWeb"/>
      </w:pPr>
      <w:r>
        <w:t xml:space="preserve">Fletcher, I. (2010) 'FREE TRADE DOESN'T WORK: What should Replace it and Why'. Austin: </w:t>
      </w:r>
      <w:proofErr w:type="spellStart"/>
      <w:r>
        <w:t>Kirkus</w:t>
      </w:r>
      <w:proofErr w:type="spellEnd"/>
      <w:r>
        <w:t xml:space="preserve"> Media LLC. </w:t>
      </w:r>
    </w:p>
    <w:p w:rsidR="00AB5E66" w:rsidRDefault="00AB5E66" w:rsidP="00AB5E66">
      <w:pPr>
        <w:pStyle w:val="NormalWeb"/>
      </w:pPr>
      <w:r>
        <w:t>Françoise, G. (2010) 'Indonesian Experience in Rice Price Stabilization'</w:t>
      </w:r>
      <w:r>
        <w:rPr>
          <w:i/>
          <w:iCs/>
        </w:rPr>
        <w:t xml:space="preserve">, </w:t>
      </w:r>
      <w:proofErr w:type="gramStart"/>
      <w:r>
        <w:rPr>
          <w:i/>
          <w:iCs/>
        </w:rPr>
        <w:t xml:space="preserve">CIRAD </w:t>
      </w:r>
      <w:r>
        <w:t>.</w:t>
      </w:r>
      <w:proofErr w:type="gramEnd"/>
      <w:r>
        <w:t xml:space="preserve"> </w:t>
      </w:r>
    </w:p>
    <w:p w:rsidR="00AB5E66" w:rsidRDefault="00AB5E66" w:rsidP="00AB5E66">
      <w:pPr>
        <w:pStyle w:val="NormalWeb"/>
      </w:pPr>
      <w:r>
        <w:t xml:space="preserve">Frankel, J.A. (2010) </w:t>
      </w:r>
      <w:proofErr w:type="gramStart"/>
      <w:r>
        <w:rPr>
          <w:i/>
          <w:iCs/>
        </w:rPr>
        <w:t>The</w:t>
      </w:r>
      <w:proofErr w:type="gramEnd"/>
      <w:r>
        <w:rPr>
          <w:i/>
          <w:iCs/>
        </w:rPr>
        <w:t xml:space="preserve"> Natural Resource Curse: Jeffrey A. Frankel. </w:t>
      </w:r>
      <w:proofErr w:type="gramStart"/>
      <w:r>
        <w:t>Vol. 15836.</w:t>
      </w:r>
      <w:proofErr w:type="gramEnd"/>
      <w:r>
        <w:t xml:space="preserve"> Cambridge, Mass: National Bureau of Economic Research. </w:t>
      </w:r>
    </w:p>
    <w:p w:rsidR="00AB5E66" w:rsidRDefault="00AB5E66" w:rsidP="00AB5E66">
      <w:pPr>
        <w:pStyle w:val="NormalWeb"/>
      </w:pPr>
      <w:r>
        <w:t xml:space="preserve">Gelb, A. (1986) 'Adjustment to Windfall Gains: A Comparative Analysis of Oil Exporting Countries', in P. </w:t>
      </w:r>
      <w:proofErr w:type="spellStart"/>
      <w:r>
        <w:t>Neary</w:t>
      </w:r>
      <w:proofErr w:type="spellEnd"/>
      <w:r>
        <w:t xml:space="preserve"> and S. van </w:t>
      </w:r>
      <w:proofErr w:type="spellStart"/>
      <w:r>
        <w:t>Wijnbergen</w:t>
      </w:r>
      <w:proofErr w:type="spellEnd"/>
      <w:r>
        <w:t xml:space="preserve"> (</w:t>
      </w:r>
      <w:proofErr w:type="spellStart"/>
      <w:r>
        <w:t>eds</w:t>
      </w:r>
      <w:proofErr w:type="spellEnd"/>
      <w:r>
        <w:t xml:space="preserve">) </w:t>
      </w:r>
      <w:r>
        <w:rPr>
          <w:i/>
          <w:iCs/>
        </w:rPr>
        <w:t xml:space="preserve">Natural Resources and the </w:t>
      </w:r>
      <w:proofErr w:type="spellStart"/>
      <w:r>
        <w:rPr>
          <w:i/>
          <w:iCs/>
        </w:rPr>
        <w:t>Marcroeconomy</w:t>
      </w:r>
      <w:proofErr w:type="spellEnd"/>
      <w:r>
        <w:rPr>
          <w:i/>
          <w:iCs/>
        </w:rPr>
        <w:t xml:space="preserve">, </w:t>
      </w:r>
      <w:r>
        <w:t xml:space="preserve">Oxford: Basil Blackwell. </w:t>
      </w:r>
    </w:p>
    <w:p w:rsidR="00AB5E66" w:rsidRDefault="00AB5E66" w:rsidP="00AB5E66">
      <w:pPr>
        <w:pStyle w:val="NormalWeb"/>
      </w:pPr>
      <w:proofErr w:type="spellStart"/>
      <w:r>
        <w:t>Gylfason</w:t>
      </w:r>
      <w:proofErr w:type="spellEnd"/>
      <w:r>
        <w:t>, T. (2001) 'Natural Resources, Education, and Economic Development'</w:t>
      </w:r>
      <w:r>
        <w:rPr>
          <w:i/>
          <w:iCs/>
        </w:rPr>
        <w:t xml:space="preserve">, European Economic Review </w:t>
      </w:r>
      <w:r>
        <w:t xml:space="preserve">45(4): 847-859. </w:t>
      </w:r>
    </w:p>
    <w:p w:rsidR="00AB5E66" w:rsidRDefault="00AB5E66" w:rsidP="00AB5E66">
      <w:pPr>
        <w:pStyle w:val="NormalWeb"/>
      </w:pPr>
      <w:proofErr w:type="spellStart"/>
      <w:r>
        <w:t>Gylfason</w:t>
      </w:r>
      <w:proofErr w:type="spellEnd"/>
      <w:r>
        <w:t>, T. (2001) 'Natural Resources, Education, and Economic Development'</w:t>
      </w:r>
      <w:r>
        <w:rPr>
          <w:i/>
          <w:iCs/>
        </w:rPr>
        <w:t xml:space="preserve">, European Economic Review </w:t>
      </w:r>
      <w:r>
        <w:t xml:space="preserve">45(4): 847-859. </w:t>
      </w:r>
    </w:p>
    <w:p w:rsidR="00AB5E66" w:rsidRDefault="00AB5E66" w:rsidP="00AB5E66">
      <w:pPr>
        <w:pStyle w:val="NormalWeb"/>
      </w:pPr>
      <w:proofErr w:type="spellStart"/>
      <w:r>
        <w:t>Hartwig</w:t>
      </w:r>
      <w:proofErr w:type="spellEnd"/>
      <w:r>
        <w:t xml:space="preserve">, F. and B.E. Dearing (1979) </w:t>
      </w:r>
      <w:r>
        <w:rPr>
          <w:i/>
          <w:iCs/>
        </w:rPr>
        <w:t xml:space="preserve">Exploratory Data Analysis: Frederick </w:t>
      </w:r>
      <w:proofErr w:type="spellStart"/>
      <w:proofErr w:type="gramStart"/>
      <w:r>
        <w:rPr>
          <w:i/>
          <w:iCs/>
        </w:rPr>
        <w:t>Hartwig</w:t>
      </w:r>
      <w:proofErr w:type="spellEnd"/>
      <w:r>
        <w:rPr>
          <w:i/>
          <w:iCs/>
        </w:rPr>
        <w:t xml:space="preserve"> ;</w:t>
      </w:r>
      <w:proofErr w:type="gramEnd"/>
      <w:r>
        <w:rPr>
          <w:i/>
          <w:iCs/>
        </w:rPr>
        <w:t xml:space="preserve"> with Brian E. Dearing. </w:t>
      </w:r>
      <w:r>
        <w:t xml:space="preserve">Vol. no. 07-016. Beverly Hills, CA [etc.]: Sage Publications. </w:t>
      </w:r>
    </w:p>
    <w:p w:rsidR="00AB5E66" w:rsidRDefault="00AB5E66" w:rsidP="00AB5E66">
      <w:pPr>
        <w:pStyle w:val="NormalWeb"/>
      </w:pPr>
      <w:proofErr w:type="spellStart"/>
      <w:r>
        <w:t>Hartwig</w:t>
      </w:r>
      <w:proofErr w:type="spellEnd"/>
      <w:r>
        <w:t xml:space="preserve">, F. and B.E. Dearing (1979) </w:t>
      </w:r>
      <w:r>
        <w:rPr>
          <w:i/>
          <w:iCs/>
        </w:rPr>
        <w:t xml:space="preserve">Exploratory Data Analysis: Frederick </w:t>
      </w:r>
      <w:proofErr w:type="spellStart"/>
      <w:proofErr w:type="gramStart"/>
      <w:r>
        <w:rPr>
          <w:i/>
          <w:iCs/>
        </w:rPr>
        <w:t>Hartwig</w:t>
      </w:r>
      <w:proofErr w:type="spellEnd"/>
      <w:r>
        <w:rPr>
          <w:i/>
          <w:iCs/>
        </w:rPr>
        <w:t xml:space="preserve"> ;</w:t>
      </w:r>
      <w:proofErr w:type="gramEnd"/>
      <w:r>
        <w:rPr>
          <w:i/>
          <w:iCs/>
        </w:rPr>
        <w:t xml:space="preserve"> with Brian E. Dearing. </w:t>
      </w:r>
      <w:r>
        <w:t xml:space="preserve">Vol. no. 07-016. Beverly Hills, CA [etc.]: Sage Publications. </w:t>
      </w:r>
    </w:p>
    <w:p w:rsidR="00AB5E66" w:rsidRDefault="00AB5E66" w:rsidP="00AB5E66">
      <w:pPr>
        <w:pStyle w:val="NormalWeb"/>
      </w:pPr>
      <w:proofErr w:type="spellStart"/>
      <w:r>
        <w:t>Hasan</w:t>
      </w:r>
      <w:proofErr w:type="spellEnd"/>
      <w:r>
        <w:t xml:space="preserve">, M.F., M.R. Reed and M.A. </w:t>
      </w:r>
      <w:proofErr w:type="spellStart"/>
      <w:r>
        <w:t>Marchant</w:t>
      </w:r>
      <w:proofErr w:type="spellEnd"/>
      <w:r>
        <w:t xml:space="preserve"> (2001) 'Effects of an Export Tax on Competitiveness: The Case of the Indonesian Palm Oil Industry'</w:t>
      </w:r>
      <w:r>
        <w:rPr>
          <w:i/>
          <w:iCs/>
        </w:rPr>
        <w:t xml:space="preserve">, Journal of Economic Development </w:t>
      </w:r>
      <w:r>
        <w:t xml:space="preserve">26(2): 77-90. </w:t>
      </w:r>
    </w:p>
    <w:p w:rsidR="00AB5E66" w:rsidRDefault="00AB5E66" w:rsidP="00AB5E66">
      <w:pPr>
        <w:pStyle w:val="NormalWeb"/>
      </w:pPr>
      <w:proofErr w:type="spellStart"/>
      <w:r>
        <w:t>Hausmann</w:t>
      </w:r>
      <w:proofErr w:type="spellEnd"/>
      <w:r>
        <w:t xml:space="preserve">, R., J. Hwang and D. </w:t>
      </w:r>
      <w:proofErr w:type="spellStart"/>
      <w:r>
        <w:t>Rodrik</w:t>
      </w:r>
      <w:proofErr w:type="spellEnd"/>
      <w:r>
        <w:t xml:space="preserve"> (2007) 'What You Export Matters'</w:t>
      </w:r>
      <w:r>
        <w:rPr>
          <w:i/>
          <w:iCs/>
        </w:rPr>
        <w:t xml:space="preserve">, Journal of Economic Growth </w:t>
      </w:r>
      <w:r>
        <w:t xml:space="preserve">12(1): 1-25. </w:t>
      </w:r>
    </w:p>
    <w:p w:rsidR="00AB5E66" w:rsidRDefault="00AB5E66" w:rsidP="00AB5E66">
      <w:pPr>
        <w:pStyle w:val="NormalWeb"/>
      </w:pPr>
      <w:r>
        <w:t xml:space="preserve">Hill, H.C. (2000) </w:t>
      </w:r>
      <w:proofErr w:type="gramStart"/>
      <w:r>
        <w:rPr>
          <w:i/>
          <w:iCs/>
        </w:rPr>
        <w:t>The</w:t>
      </w:r>
      <w:proofErr w:type="gramEnd"/>
      <w:r>
        <w:rPr>
          <w:i/>
          <w:iCs/>
        </w:rPr>
        <w:t xml:space="preserve"> Indonesian Economy: Hal Hill. </w:t>
      </w:r>
      <w:r>
        <w:t xml:space="preserve">Cambridge [etc.]: Cambridge University Press. </w:t>
      </w:r>
    </w:p>
    <w:p w:rsidR="00AB5E66" w:rsidRDefault="00AB5E66" w:rsidP="00AB5E66">
      <w:pPr>
        <w:pStyle w:val="NormalWeb"/>
      </w:pPr>
      <w:r>
        <w:t>Jacob, J. (2005) 'Late Industrialization and Structural Change: Indonesia, 1975–2000'</w:t>
      </w:r>
      <w:r>
        <w:rPr>
          <w:i/>
          <w:iCs/>
        </w:rPr>
        <w:t xml:space="preserve">, Oxford Development Studies </w:t>
      </w:r>
      <w:r>
        <w:t xml:space="preserve">33(3-4): 427-451. </w:t>
      </w:r>
    </w:p>
    <w:p w:rsidR="00AB5E66" w:rsidRDefault="00AB5E66" w:rsidP="00AB5E66">
      <w:pPr>
        <w:pStyle w:val="NormalWeb"/>
      </w:pPr>
      <w:r>
        <w:t>Krueger, A.O. (1974) 'The Political Economy of the Rent-Seeking Society'</w:t>
      </w:r>
      <w:r>
        <w:rPr>
          <w:i/>
          <w:iCs/>
        </w:rPr>
        <w:t xml:space="preserve">, </w:t>
      </w:r>
      <w:proofErr w:type="gramStart"/>
      <w:r>
        <w:rPr>
          <w:i/>
          <w:iCs/>
        </w:rPr>
        <w:t>The</w:t>
      </w:r>
      <w:proofErr w:type="gramEnd"/>
      <w:r>
        <w:rPr>
          <w:i/>
          <w:iCs/>
        </w:rPr>
        <w:t xml:space="preserve"> American Economic Review </w:t>
      </w:r>
      <w:r>
        <w:t xml:space="preserve">64(3): 291-303. </w:t>
      </w:r>
    </w:p>
    <w:p w:rsidR="00AB5E66" w:rsidRDefault="00AB5E66" w:rsidP="00AB5E66">
      <w:pPr>
        <w:pStyle w:val="NormalWeb"/>
      </w:pPr>
      <w:proofErr w:type="spellStart"/>
      <w:r>
        <w:t>Kuncoro</w:t>
      </w:r>
      <w:proofErr w:type="spellEnd"/>
      <w:r>
        <w:t xml:space="preserve">, A. and B. </w:t>
      </w:r>
      <w:proofErr w:type="spellStart"/>
      <w:r>
        <w:t>Resosudarmo</w:t>
      </w:r>
      <w:proofErr w:type="spellEnd"/>
      <w:r>
        <w:t xml:space="preserve"> (2003) 'Understanding Indonesia Economic Reforms: 1983-2000'</w:t>
      </w:r>
      <w:r>
        <w:rPr>
          <w:i/>
          <w:iCs/>
        </w:rPr>
        <w:t xml:space="preserve">, First Draft </w:t>
      </w:r>
      <w:proofErr w:type="gramStart"/>
      <w:r>
        <w:rPr>
          <w:i/>
          <w:iCs/>
        </w:rPr>
        <w:t xml:space="preserve">URP </w:t>
      </w:r>
      <w:r>
        <w:t>.</w:t>
      </w:r>
      <w:proofErr w:type="gramEnd"/>
      <w:r>
        <w:t xml:space="preserve"> </w:t>
      </w:r>
    </w:p>
    <w:p w:rsidR="00AB5E66" w:rsidRDefault="00AB5E66" w:rsidP="00AB5E66">
      <w:pPr>
        <w:pStyle w:val="NormalWeb"/>
      </w:pPr>
      <w:r>
        <w:t xml:space="preserve">Lane, P.R. and A. </w:t>
      </w:r>
      <w:proofErr w:type="spellStart"/>
      <w:r>
        <w:t>Tornell</w:t>
      </w:r>
      <w:proofErr w:type="spellEnd"/>
      <w:r>
        <w:t xml:space="preserve"> (1996) 'Power, Growth, and the Voracity Effect'</w:t>
      </w:r>
      <w:r>
        <w:rPr>
          <w:i/>
          <w:iCs/>
        </w:rPr>
        <w:t xml:space="preserve">, Journal of Economic Growth </w:t>
      </w:r>
      <w:r>
        <w:t xml:space="preserve">1(2): 213-241. </w:t>
      </w:r>
    </w:p>
    <w:p w:rsidR="00AB5E66" w:rsidRDefault="00AB5E66" w:rsidP="00AB5E66">
      <w:pPr>
        <w:pStyle w:val="NormalWeb"/>
      </w:pPr>
      <w:proofErr w:type="spellStart"/>
      <w:r>
        <w:t>Leamer</w:t>
      </w:r>
      <w:proofErr w:type="spellEnd"/>
      <w:r>
        <w:t>, E.E. (1983) 'Let's Take the Con Out of Econometrics'</w:t>
      </w:r>
      <w:r>
        <w:rPr>
          <w:i/>
          <w:iCs/>
        </w:rPr>
        <w:t xml:space="preserve">, </w:t>
      </w:r>
      <w:proofErr w:type="gramStart"/>
      <w:r>
        <w:rPr>
          <w:i/>
          <w:iCs/>
        </w:rPr>
        <w:t>The</w:t>
      </w:r>
      <w:proofErr w:type="gramEnd"/>
      <w:r>
        <w:rPr>
          <w:i/>
          <w:iCs/>
        </w:rPr>
        <w:t xml:space="preserve"> American Economic Review </w:t>
      </w:r>
      <w:r>
        <w:t xml:space="preserve">73(1): 31-43. </w:t>
      </w:r>
    </w:p>
    <w:p w:rsidR="00AB5E66" w:rsidRDefault="00AB5E66" w:rsidP="00AB5E66">
      <w:pPr>
        <w:pStyle w:val="NormalWeb"/>
      </w:pPr>
      <w:r>
        <w:lastRenderedPageBreak/>
        <w:t xml:space="preserve">Lipscomb, L., U. </w:t>
      </w:r>
      <w:proofErr w:type="spellStart"/>
      <w:r>
        <w:t>Ramakrishnan</w:t>
      </w:r>
      <w:proofErr w:type="spellEnd"/>
      <w:r>
        <w:t xml:space="preserve">, G. Adler, N. </w:t>
      </w:r>
      <w:proofErr w:type="spellStart"/>
      <w:r>
        <w:t>Budina</w:t>
      </w:r>
      <w:proofErr w:type="spellEnd"/>
      <w:r>
        <w:t xml:space="preserve"> and X. Li (2010) 'Indonesia’s Commodity Boom: Dutch Disease in the Making?</w:t>
      </w:r>
      <w:proofErr w:type="gramStart"/>
      <w:r>
        <w:t>',</w:t>
      </w:r>
      <w:proofErr w:type="gramEnd"/>
      <w:r>
        <w:t xml:space="preserve"> Indonesia: Selected Issues, No. 10/285, pp. 2-14. Washington, D.C.: International Monetary Fund. </w:t>
      </w:r>
    </w:p>
    <w:p w:rsidR="00AB5E66" w:rsidRDefault="00AB5E66" w:rsidP="00AB5E66">
      <w:pPr>
        <w:pStyle w:val="NormalWeb"/>
      </w:pPr>
      <w:proofErr w:type="spellStart"/>
      <w:r>
        <w:t>Madanmohan</w:t>
      </w:r>
      <w:proofErr w:type="spellEnd"/>
      <w:r>
        <w:t>, T.R., V. Kumar and U. Kumar (2004) 'Import-Led Technological Capability: A Comparative Analysis of Indian and Indonesian Manufacturing Firms'</w:t>
      </w:r>
      <w:r>
        <w:rPr>
          <w:i/>
          <w:iCs/>
        </w:rPr>
        <w:t xml:space="preserve">, </w:t>
      </w:r>
      <w:proofErr w:type="spellStart"/>
      <w:r>
        <w:rPr>
          <w:i/>
          <w:iCs/>
        </w:rPr>
        <w:t>Technovation</w:t>
      </w:r>
      <w:proofErr w:type="spellEnd"/>
      <w:r>
        <w:rPr>
          <w:i/>
          <w:iCs/>
        </w:rPr>
        <w:t xml:space="preserve"> </w:t>
      </w:r>
      <w:r>
        <w:t xml:space="preserve">24(12): 979-993. </w:t>
      </w:r>
    </w:p>
    <w:p w:rsidR="00AB5E66" w:rsidRDefault="00AB5E66" w:rsidP="00AB5E66">
      <w:pPr>
        <w:pStyle w:val="NormalWeb"/>
      </w:pPr>
      <w:proofErr w:type="spellStart"/>
      <w:r>
        <w:t>Maizels</w:t>
      </w:r>
      <w:proofErr w:type="spellEnd"/>
      <w:r>
        <w:t>, A. (1994) 'The Continuing Commodity Crisis of Developing Countries'</w:t>
      </w:r>
      <w:r>
        <w:rPr>
          <w:i/>
          <w:iCs/>
        </w:rPr>
        <w:t xml:space="preserve">, World Development </w:t>
      </w:r>
      <w:r>
        <w:t xml:space="preserve">22(11): 1685-1695. </w:t>
      </w:r>
    </w:p>
    <w:p w:rsidR="00AB5E66" w:rsidRDefault="00AB5E66" w:rsidP="00AB5E66">
      <w:pPr>
        <w:pStyle w:val="NormalWeb"/>
      </w:pPr>
      <w:proofErr w:type="spellStart"/>
      <w:r>
        <w:t>Margono</w:t>
      </w:r>
      <w:proofErr w:type="spellEnd"/>
      <w:r>
        <w:t>, H. and S.C. Sharma (2006) 'Efficiency and Productivity Analyses of Indonesian Manufacturing Industries'</w:t>
      </w:r>
      <w:r>
        <w:rPr>
          <w:i/>
          <w:iCs/>
        </w:rPr>
        <w:t xml:space="preserve">, Journal of Asian Economics </w:t>
      </w:r>
      <w:r>
        <w:t xml:space="preserve">17(6): 979-995. </w:t>
      </w:r>
    </w:p>
    <w:p w:rsidR="00AB5E66" w:rsidRDefault="00AB5E66" w:rsidP="00AB5E66">
      <w:pPr>
        <w:pStyle w:val="NormalWeb"/>
      </w:pPr>
      <w:r>
        <w:t>Marks, S.V., D.F. Larson and J. Pomeroy (1998) 'Economic Effects of Taxes on Exports of Palm Oil Products'</w:t>
      </w:r>
      <w:r>
        <w:rPr>
          <w:i/>
          <w:iCs/>
        </w:rPr>
        <w:t xml:space="preserve">, Bulletin of Indonesian Economic Studies </w:t>
      </w:r>
      <w:r>
        <w:t xml:space="preserve">34(3): 37-58. </w:t>
      </w:r>
    </w:p>
    <w:p w:rsidR="00AB5E66" w:rsidRDefault="00AB5E66" w:rsidP="00AB5E66">
      <w:pPr>
        <w:pStyle w:val="NormalWeb"/>
      </w:pPr>
      <w:proofErr w:type="spellStart"/>
      <w:r>
        <w:t>Mehdi</w:t>
      </w:r>
      <w:proofErr w:type="spellEnd"/>
      <w:r>
        <w:t xml:space="preserve"> </w:t>
      </w:r>
      <w:proofErr w:type="spellStart"/>
      <w:r>
        <w:t>Raissi</w:t>
      </w:r>
      <w:proofErr w:type="spellEnd"/>
      <w:r>
        <w:t xml:space="preserve">, </w:t>
      </w:r>
      <w:proofErr w:type="spellStart"/>
      <w:r>
        <w:t>Kamiar</w:t>
      </w:r>
      <w:proofErr w:type="spellEnd"/>
      <w:r>
        <w:t xml:space="preserve"> </w:t>
      </w:r>
      <w:proofErr w:type="spellStart"/>
      <w:r>
        <w:t>Mohaddes</w:t>
      </w:r>
      <w:proofErr w:type="spellEnd"/>
      <w:r>
        <w:t xml:space="preserve">, Tiago V. de V. </w:t>
      </w:r>
      <w:proofErr w:type="spellStart"/>
      <w:r>
        <w:t>Cavalcanti</w:t>
      </w:r>
      <w:proofErr w:type="spellEnd"/>
      <w:r>
        <w:t xml:space="preserve">, </w:t>
      </w:r>
      <w:proofErr w:type="spellStart"/>
      <w:r>
        <w:t>Kamiar</w:t>
      </w:r>
      <w:proofErr w:type="spellEnd"/>
      <w:r>
        <w:t xml:space="preserve"> </w:t>
      </w:r>
      <w:proofErr w:type="spellStart"/>
      <w:r>
        <w:t>Mohaddes</w:t>
      </w:r>
      <w:proofErr w:type="spellEnd"/>
      <w:r>
        <w:t xml:space="preserve"> and </w:t>
      </w:r>
      <w:proofErr w:type="spellStart"/>
      <w:r>
        <w:t>Mehdi</w:t>
      </w:r>
      <w:proofErr w:type="spellEnd"/>
      <w:r>
        <w:t xml:space="preserve"> </w:t>
      </w:r>
      <w:proofErr w:type="spellStart"/>
      <w:r>
        <w:t>Raissi</w:t>
      </w:r>
      <w:proofErr w:type="spellEnd"/>
      <w:r>
        <w:t xml:space="preserve"> (2012) </w:t>
      </w:r>
      <w:r>
        <w:rPr>
          <w:i/>
          <w:iCs/>
        </w:rPr>
        <w:t xml:space="preserve">Commodity Price Volatility and the Sources of Growth. </w:t>
      </w:r>
      <w:proofErr w:type="gramStart"/>
      <w:r>
        <w:t>INTERNATIONAL MONETARY FUND.</w:t>
      </w:r>
      <w:proofErr w:type="gramEnd"/>
      <w:r>
        <w:t xml:space="preserve"> </w:t>
      </w:r>
    </w:p>
    <w:p w:rsidR="00AB5E66" w:rsidRDefault="00AB5E66" w:rsidP="00AB5E66">
      <w:pPr>
        <w:pStyle w:val="NormalWeb"/>
      </w:pPr>
      <w:proofErr w:type="spellStart"/>
      <w:r>
        <w:t>Mehlum</w:t>
      </w:r>
      <w:proofErr w:type="spellEnd"/>
      <w:r>
        <w:t xml:space="preserve">, H., K. </w:t>
      </w:r>
      <w:proofErr w:type="spellStart"/>
      <w:r>
        <w:t>Moene</w:t>
      </w:r>
      <w:proofErr w:type="spellEnd"/>
      <w:r>
        <w:t xml:space="preserve"> and R. </w:t>
      </w:r>
      <w:proofErr w:type="spellStart"/>
      <w:r>
        <w:t>Torvik</w:t>
      </w:r>
      <w:proofErr w:type="spellEnd"/>
      <w:r>
        <w:t xml:space="preserve"> (2006) 'Institutions and the Resource Curse'</w:t>
      </w:r>
      <w:r>
        <w:rPr>
          <w:i/>
          <w:iCs/>
        </w:rPr>
        <w:t xml:space="preserve">, </w:t>
      </w:r>
      <w:proofErr w:type="gramStart"/>
      <w:r>
        <w:rPr>
          <w:i/>
          <w:iCs/>
        </w:rPr>
        <w:t>The</w:t>
      </w:r>
      <w:proofErr w:type="gramEnd"/>
      <w:r>
        <w:rPr>
          <w:i/>
          <w:iCs/>
        </w:rPr>
        <w:t xml:space="preserve"> Economic Journal </w:t>
      </w:r>
      <w:r>
        <w:t xml:space="preserve">116(508): 1-20. </w:t>
      </w:r>
    </w:p>
    <w:p w:rsidR="00AB5E66" w:rsidRDefault="00AB5E66" w:rsidP="00AB5E66">
      <w:pPr>
        <w:pStyle w:val="NormalWeb"/>
      </w:pPr>
      <w:proofErr w:type="spellStart"/>
      <w:r>
        <w:t>Mikesell</w:t>
      </w:r>
      <w:proofErr w:type="spellEnd"/>
      <w:r>
        <w:t>, R.F. (1997) 'Explaining the Resource Curse, with Special Reference to Mineral-Exporting Countries'</w:t>
      </w:r>
      <w:r>
        <w:rPr>
          <w:i/>
          <w:iCs/>
        </w:rPr>
        <w:t xml:space="preserve">, Resources Policy </w:t>
      </w:r>
      <w:r>
        <w:t xml:space="preserve">23(4): 191-199. </w:t>
      </w:r>
    </w:p>
    <w:p w:rsidR="00AB5E66" w:rsidRDefault="00AB5E66" w:rsidP="00AB5E66">
      <w:pPr>
        <w:pStyle w:val="NormalWeb"/>
      </w:pPr>
      <w:proofErr w:type="gramStart"/>
      <w:r>
        <w:t>Ministry of Trade of Republic of Indonesia '10 Main Commodities and Potential' (a webpage of Ministry of Trade of Republic of Indonesia).</w:t>
      </w:r>
      <w:proofErr w:type="gramEnd"/>
      <w:r>
        <w:t xml:space="preserve"> Accessed December/10 2012 &lt;</w:t>
      </w:r>
      <w:hyperlink r:id="rId30" w:tgtFrame="_blank" w:history="1">
        <w:r>
          <w:rPr>
            <w:rStyle w:val="Hyperlink"/>
            <w:rFonts w:eastAsiaTheme="majorEastAsia"/>
          </w:rPr>
          <w:t>http://www.kemendag.go.id/</w:t>
        </w:r>
      </w:hyperlink>
      <w:r>
        <w:t xml:space="preserve">&gt;. </w:t>
      </w:r>
    </w:p>
    <w:p w:rsidR="00AB5E66" w:rsidRDefault="00AB5E66" w:rsidP="00AB5E66">
      <w:pPr>
        <w:pStyle w:val="NormalWeb"/>
      </w:pPr>
      <w:proofErr w:type="gramStart"/>
      <w:r>
        <w:t>Muller, A.L. (1998) 'The Indonesian Economy since 1966.</w:t>
      </w:r>
      <w:proofErr w:type="gramEnd"/>
      <w:r>
        <w:t xml:space="preserve"> Review Article'</w:t>
      </w:r>
      <w:r>
        <w:rPr>
          <w:i/>
          <w:iCs/>
        </w:rPr>
        <w:t xml:space="preserve">, </w:t>
      </w:r>
      <w:proofErr w:type="gramStart"/>
      <w:r>
        <w:rPr>
          <w:i/>
          <w:iCs/>
        </w:rPr>
        <w:t>The</w:t>
      </w:r>
      <w:proofErr w:type="gramEnd"/>
      <w:r>
        <w:rPr>
          <w:i/>
          <w:iCs/>
        </w:rPr>
        <w:t xml:space="preserve"> South African Journal of Economics </w:t>
      </w:r>
      <w:r>
        <w:t xml:space="preserve">66(1): 64-72. </w:t>
      </w:r>
    </w:p>
    <w:p w:rsidR="00AB5E66" w:rsidRDefault="00AB5E66" w:rsidP="00AB5E66">
      <w:pPr>
        <w:pStyle w:val="NormalWeb"/>
      </w:pPr>
      <w:r>
        <w:t xml:space="preserve">Newberry, D.M.G. (1986) 'Round-Table Discussion', in J.P. </w:t>
      </w:r>
      <w:proofErr w:type="spellStart"/>
      <w:r>
        <w:t>Neary</w:t>
      </w:r>
      <w:proofErr w:type="spellEnd"/>
      <w:r>
        <w:t xml:space="preserve"> and </w:t>
      </w:r>
      <w:proofErr w:type="spellStart"/>
      <w:r>
        <w:t>S.v</w:t>
      </w:r>
      <w:proofErr w:type="spellEnd"/>
      <w:r>
        <w:t xml:space="preserve">. </w:t>
      </w:r>
      <w:proofErr w:type="spellStart"/>
      <w:r>
        <w:t>Wijnbergen</w:t>
      </w:r>
      <w:proofErr w:type="spellEnd"/>
      <w:r>
        <w:t xml:space="preserve"> (</w:t>
      </w:r>
      <w:proofErr w:type="spellStart"/>
      <w:proofErr w:type="gramStart"/>
      <w:r>
        <w:t>eds</w:t>
      </w:r>
      <w:proofErr w:type="spellEnd"/>
      <w:proofErr w:type="gramEnd"/>
      <w:r>
        <w:t xml:space="preserve">) </w:t>
      </w:r>
      <w:r>
        <w:rPr>
          <w:i/>
          <w:iCs/>
        </w:rPr>
        <w:t xml:space="preserve">Natural Resources and the </w:t>
      </w:r>
      <w:proofErr w:type="spellStart"/>
      <w:r>
        <w:rPr>
          <w:i/>
          <w:iCs/>
        </w:rPr>
        <w:t>Macroeconomy</w:t>
      </w:r>
      <w:proofErr w:type="spellEnd"/>
      <w:r>
        <w:rPr>
          <w:i/>
          <w:iCs/>
        </w:rPr>
        <w:t xml:space="preserve">, </w:t>
      </w:r>
      <w:r>
        <w:t xml:space="preserve">pp. 13-45. Oxford: Basil </w:t>
      </w:r>
      <w:proofErr w:type="spellStart"/>
      <w:r>
        <w:t>Balckwell</w:t>
      </w:r>
      <w:proofErr w:type="spellEnd"/>
      <w:r>
        <w:t xml:space="preserve">. </w:t>
      </w:r>
    </w:p>
    <w:p w:rsidR="00AB5E66" w:rsidRDefault="00AB5E66" w:rsidP="00AB5E66">
      <w:pPr>
        <w:pStyle w:val="NormalWeb"/>
      </w:pPr>
      <w:proofErr w:type="spellStart"/>
      <w:r>
        <w:t>Piermartini</w:t>
      </w:r>
      <w:proofErr w:type="spellEnd"/>
      <w:r>
        <w:t>, R. (2004) 'The Role of Export Taxes in the Field of Primary Commodities'</w:t>
      </w:r>
      <w:r>
        <w:rPr>
          <w:i/>
          <w:iCs/>
        </w:rPr>
        <w:t xml:space="preserve">, World Trade Organization Discussion Paper </w:t>
      </w:r>
      <w:r>
        <w:t xml:space="preserve">4. </w:t>
      </w:r>
    </w:p>
    <w:p w:rsidR="00AB5E66" w:rsidRDefault="00AB5E66" w:rsidP="00AB5E66">
      <w:pPr>
        <w:pStyle w:val="NormalWeb"/>
      </w:pPr>
      <w:proofErr w:type="spellStart"/>
      <w:r>
        <w:t>Prebisch</w:t>
      </w:r>
      <w:proofErr w:type="spellEnd"/>
      <w:r>
        <w:t xml:space="preserve">, R. (1950) </w:t>
      </w:r>
      <w:proofErr w:type="gramStart"/>
      <w:r>
        <w:rPr>
          <w:i/>
          <w:iCs/>
        </w:rPr>
        <w:t>The</w:t>
      </w:r>
      <w:proofErr w:type="gramEnd"/>
      <w:r>
        <w:rPr>
          <w:i/>
          <w:iCs/>
        </w:rPr>
        <w:t xml:space="preserve"> Economic Development of Latin America and its Principal Problems: By Raul </w:t>
      </w:r>
      <w:proofErr w:type="spellStart"/>
      <w:r>
        <w:rPr>
          <w:i/>
          <w:iCs/>
        </w:rPr>
        <w:t>Prebisch</w:t>
      </w:r>
      <w:proofErr w:type="spellEnd"/>
      <w:r>
        <w:rPr>
          <w:i/>
          <w:iCs/>
        </w:rPr>
        <w:t xml:space="preserve">; Transl. from the Spanish. </w:t>
      </w:r>
      <w:proofErr w:type="gramStart"/>
      <w:r>
        <w:t>Vol. 1950, II, G, 2.</w:t>
      </w:r>
      <w:proofErr w:type="gramEnd"/>
      <w:r>
        <w:t xml:space="preserve"> Lake Success, N.Y: United Nations Department of Economic Affairs. </w:t>
      </w:r>
    </w:p>
    <w:p w:rsidR="00AB5E66" w:rsidRDefault="00AB5E66" w:rsidP="00AB5E66">
      <w:pPr>
        <w:pStyle w:val="NormalWeb"/>
      </w:pPr>
      <w:proofErr w:type="spellStart"/>
      <w:r>
        <w:t>Purnamasari</w:t>
      </w:r>
      <w:proofErr w:type="spellEnd"/>
      <w:r>
        <w:t xml:space="preserve">, R., M. </w:t>
      </w:r>
      <w:proofErr w:type="spellStart"/>
      <w:r>
        <w:t>Wai</w:t>
      </w:r>
      <w:proofErr w:type="spellEnd"/>
      <w:r>
        <w:t xml:space="preserve">-poi and J. Voss (2010) 'COUNTRY REPORT OF THE ASEAN ASSESSMENT ON THE SOCIAL IMPACT OF THE GLOBAL FINANCIAL CRISIS: INDONESIA', pp. 1-20Association of Southeast Asian Nations. </w:t>
      </w:r>
    </w:p>
    <w:p w:rsidR="00AB5E66" w:rsidRDefault="00AB5E66" w:rsidP="00AB5E66">
      <w:pPr>
        <w:pStyle w:val="NormalWeb"/>
      </w:pPr>
      <w:proofErr w:type="spellStart"/>
      <w:r>
        <w:lastRenderedPageBreak/>
        <w:t>Radelet</w:t>
      </w:r>
      <w:proofErr w:type="spellEnd"/>
      <w:r>
        <w:t>, S. (1999) 'Indonesia: Long Road to Recovery'</w:t>
      </w:r>
      <w:r>
        <w:rPr>
          <w:i/>
          <w:iCs/>
        </w:rPr>
        <w:t xml:space="preserve">, Unpublished Working Paper, Harvard Institute for International Development, Cambridge, </w:t>
      </w:r>
      <w:proofErr w:type="gramStart"/>
      <w:r>
        <w:rPr>
          <w:i/>
          <w:iCs/>
        </w:rPr>
        <w:t xml:space="preserve">MA </w:t>
      </w:r>
      <w:r>
        <w:t>.</w:t>
      </w:r>
      <w:proofErr w:type="gramEnd"/>
      <w:r>
        <w:t xml:space="preserve"> </w:t>
      </w:r>
    </w:p>
    <w:p w:rsidR="00AB5E66" w:rsidRDefault="00AB5E66" w:rsidP="00AB5E66">
      <w:pPr>
        <w:pStyle w:val="NormalWeb"/>
      </w:pPr>
      <w:r>
        <w:t xml:space="preserve">Robinson, J.A., R. </w:t>
      </w:r>
      <w:proofErr w:type="spellStart"/>
      <w:r>
        <w:t>Torvik</w:t>
      </w:r>
      <w:proofErr w:type="spellEnd"/>
      <w:r>
        <w:t xml:space="preserve"> and T. </w:t>
      </w:r>
      <w:proofErr w:type="spellStart"/>
      <w:r>
        <w:t>Verdier</w:t>
      </w:r>
      <w:proofErr w:type="spellEnd"/>
      <w:r>
        <w:t xml:space="preserve"> (2002) </w:t>
      </w:r>
      <w:r>
        <w:rPr>
          <w:i/>
          <w:iCs/>
        </w:rPr>
        <w:t xml:space="preserve">Political Foundations of the Resource Curse. </w:t>
      </w:r>
      <w:proofErr w:type="gramStart"/>
      <w:r>
        <w:t>Vol. no. 3422.</w:t>
      </w:r>
      <w:proofErr w:type="gramEnd"/>
      <w:r>
        <w:t xml:space="preserve"> London: Centre for Economic Policy Research. </w:t>
      </w:r>
    </w:p>
    <w:p w:rsidR="00AB5E66" w:rsidRDefault="00AB5E66" w:rsidP="00AB5E66">
      <w:pPr>
        <w:pStyle w:val="NormalWeb"/>
      </w:pPr>
      <w:r>
        <w:t xml:space="preserve">Robinson, J.A., R. </w:t>
      </w:r>
      <w:proofErr w:type="spellStart"/>
      <w:r>
        <w:t>Torvik</w:t>
      </w:r>
      <w:proofErr w:type="spellEnd"/>
      <w:r>
        <w:t xml:space="preserve"> and T. </w:t>
      </w:r>
      <w:proofErr w:type="spellStart"/>
      <w:r>
        <w:t>Verdier</w:t>
      </w:r>
      <w:proofErr w:type="spellEnd"/>
      <w:r>
        <w:t xml:space="preserve"> (2006) 'Political Foundations of the Resource Curse'</w:t>
      </w:r>
      <w:r>
        <w:rPr>
          <w:i/>
          <w:iCs/>
        </w:rPr>
        <w:t xml:space="preserve">, Journal of Development Economics </w:t>
      </w:r>
      <w:r>
        <w:t xml:space="preserve">79(2): 447-468. </w:t>
      </w:r>
    </w:p>
    <w:p w:rsidR="00AB5E66" w:rsidRDefault="00AB5E66" w:rsidP="00AB5E66">
      <w:pPr>
        <w:pStyle w:val="NormalWeb"/>
      </w:pPr>
      <w:r>
        <w:t>Sachs, J.D. and A.M. Warner (2001) 'The Curse of Natural Resources'</w:t>
      </w:r>
      <w:r>
        <w:rPr>
          <w:i/>
          <w:iCs/>
        </w:rPr>
        <w:t xml:space="preserve">, European Economic Review </w:t>
      </w:r>
      <w:r>
        <w:t xml:space="preserve">45(4): 827-838. </w:t>
      </w:r>
    </w:p>
    <w:p w:rsidR="00AB5E66" w:rsidRDefault="00AB5E66" w:rsidP="00AB5E66">
      <w:pPr>
        <w:pStyle w:val="NormalWeb"/>
      </w:pPr>
      <w:proofErr w:type="spellStart"/>
      <w:r>
        <w:t>Sadli</w:t>
      </w:r>
      <w:proofErr w:type="spellEnd"/>
      <w:r>
        <w:t xml:space="preserve">, M. (1972) 'Foreign Investment in Developing Countries: Indonesia', in P. </w:t>
      </w:r>
      <w:proofErr w:type="spellStart"/>
      <w:r>
        <w:t>Drysdale</w:t>
      </w:r>
      <w:proofErr w:type="spellEnd"/>
      <w:r>
        <w:t xml:space="preserve"> (ed.) </w:t>
      </w:r>
      <w:r>
        <w:rPr>
          <w:i/>
          <w:iCs/>
        </w:rPr>
        <w:t xml:space="preserve">Direct Foreign Investment in Asian and the Pacific, </w:t>
      </w:r>
      <w:r>
        <w:t xml:space="preserve">Vol. 25. pp. 201-225. Canberra: The Australia National University. </w:t>
      </w:r>
    </w:p>
    <w:p w:rsidR="00AB5E66" w:rsidRDefault="00AB5E66" w:rsidP="00AB5E66">
      <w:pPr>
        <w:pStyle w:val="NormalWeb"/>
      </w:pPr>
      <w:proofErr w:type="spellStart"/>
      <w:r>
        <w:t>Sadli</w:t>
      </w:r>
      <w:proofErr w:type="spellEnd"/>
      <w:r>
        <w:t>, M. (1998) 'The Indonesian Crisis'</w:t>
      </w:r>
      <w:r>
        <w:rPr>
          <w:i/>
          <w:iCs/>
        </w:rPr>
        <w:t xml:space="preserve">, ASEAN Economic Bulletin </w:t>
      </w:r>
      <w:r>
        <w:t xml:space="preserve">15(3): 272-280. </w:t>
      </w:r>
    </w:p>
    <w:p w:rsidR="00AB5E66" w:rsidRDefault="00AB5E66" w:rsidP="00AB5E66">
      <w:pPr>
        <w:pStyle w:val="NormalWeb"/>
      </w:pPr>
      <w:proofErr w:type="spellStart"/>
      <w:r>
        <w:t>Scherr</w:t>
      </w:r>
      <w:proofErr w:type="spellEnd"/>
      <w:r>
        <w:t>, S.J. (1989) 'Agriculture in an Export Boom Economy: A Comparative Analysis of Policy and Performance in Indonesia, Mexico and Nigeria'</w:t>
      </w:r>
      <w:r>
        <w:rPr>
          <w:i/>
          <w:iCs/>
        </w:rPr>
        <w:t xml:space="preserve">, World Development </w:t>
      </w:r>
      <w:r>
        <w:t xml:space="preserve">17(4): 543-560. </w:t>
      </w:r>
    </w:p>
    <w:p w:rsidR="00AB5E66" w:rsidRDefault="00AB5E66" w:rsidP="00AB5E66">
      <w:pPr>
        <w:pStyle w:val="NormalWeb"/>
      </w:pPr>
      <w:proofErr w:type="spellStart"/>
      <w:r>
        <w:t>Sindzingre</w:t>
      </w:r>
      <w:proofErr w:type="spellEnd"/>
      <w:r>
        <w:t>, A. (2009) 'The Impact of the Global Crisis on Commodity-Dependent Low-Income</w:t>
      </w:r>
      <w:r>
        <w:br/>
        <w:t>Countries: Confirming the Relevance of the Concept of Poverty Trap?</w:t>
      </w:r>
      <w:proofErr w:type="gramStart"/>
      <w:r>
        <w:t>'</w:t>
      </w:r>
      <w:r>
        <w:rPr>
          <w:i/>
          <w:iCs/>
        </w:rPr>
        <w:t>,</w:t>
      </w:r>
      <w:proofErr w:type="gramEnd"/>
      <w:r>
        <w:rPr>
          <w:i/>
          <w:iCs/>
        </w:rPr>
        <w:t xml:space="preserve"> University of Ulster, </w:t>
      </w:r>
      <w:proofErr w:type="spellStart"/>
      <w:r>
        <w:rPr>
          <w:i/>
          <w:iCs/>
        </w:rPr>
        <w:t>Coleraine</w:t>
      </w:r>
      <w:proofErr w:type="spellEnd"/>
      <w:r>
        <w:rPr>
          <w:i/>
          <w:iCs/>
        </w:rPr>
        <w:t xml:space="preserve"> Campus, Development Studies Association (DSA) Annual Conference </w:t>
      </w:r>
      <w:r>
        <w:t xml:space="preserve">: 1-32. </w:t>
      </w:r>
    </w:p>
    <w:p w:rsidR="00AB5E66" w:rsidRDefault="00AB5E66" w:rsidP="00AB5E66">
      <w:pPr>
        <w:pStyle w:val="NormalWeb"/>
      </w:pPr>
      <w:r>
        <w:t>Singer, H.W. (1950) 'The Distribution of Gains between Investing and Borrowing Countries'</w:t>
      </w:r>
      <w:r>
        <w:rPr>
          <w:i/>
          <w:iCs/>
        </w:rPr>
        <w:t xml:space="preserve">, </w:t>
      </w:r>
      <w:proofErr w:type="gramStart"/>
      <w:r>
        <w:rPr>
          <w:i/>
          <w:iCs/>
        </w:rPr>
        <w:t>The</w:t>
      </w:r>
      <w:proofErr w:type="gramEnd"/>
      <w:r>
        <w:rPr>
          <w:i/>
          <w:iCs/>
        </w:rPr>
        <w:t xml:space="preserve"> American Economic Review </w:t>
      </w:r>
      <w:r>
        <w:t xml:space="preserve">40(2): 473-485. </w:t>
      </w:r>
    </w:p>
    <w:p w:rsidR="00AB5E66" w:rsidRDefault="00AB5E66" w:rsidP="00AB5E66">
      <w:pPr>
        <w:pStyle w:val="NormalWeb"/>
      </w:pPr>
      <w:r>
        <w:t>South Center (2005) 'PROBLEMS AND POLICY CHALLENGES FACED BY COMMODITY-DEPENDENT DEVELOPING COUNTRIES (CDDCS)'</w:t>
      </w:r>
      <w:r>
        <w:rPr>
          <w:i/>
          <w:iCs/>
        </w:rPr>
        <w:t xml:space="preserve">, South Centre </w:t>
      </w:r>
      <w:r>
        <w:t xml:space="preserve">SC/TADP/TA/COM/1. </w:t>
      </w:r>
    </w:p>
    <w:p w:rsidR="00AB5E66" w:rsidRDefault="00AB5E66" w:rsidP="00AB5E66">
      <w:pPr>
        <w:pStyle w:val="NormalWeb"/>
      </w:pPr>
      <w:r>
        <w:t>Stevens, P. (2003) 'RESOURCE IMPACT - CURSE OR BLESSING?</w:t>
      </w:r>
      <w:proofErr w:type="gramStart"/>
      <w:r>
        <w:t>'</w:t>
      </w:r>
      <w:r>
        <w:rPr>
          <w:i/>
          <w:iCs/>
        </w:rPr>
        <w:t>,</w:t>
      </w:r>
      <w:proofErr w:type="gramEnd"/>
      <w:r>
        <w:rPr>
          <w:i/>
          <w:iCs/>
        </w:rPr>
        <w:t xml:space="preserve"> Centre for Energy, Petroleum and Mineral Law and Policy, University of Dundee </w:t>
      </w:r>
      <w:r>
        <w:t xml:space="preserve">: 2-25. </w:t>
      </w:r>
    </w:p>
    <w:p w:rsidR="00AB5E66" w:rsidRDefault="00AB5E66" w:rsidP="00AB5E66">
      <w:pPr>
        <w:pStyle w:val="NormalWeb"/>
      </w:pPr>
      <w:proofErr w:type="spellStart"/>
      <w:r>
        <w:t>Stiglitz</w:t>
      </w:r>
      <w:proofErr w:type="spellEnd"/>
      <w:r>
        <w:t xml:space="preserve">, J. (1979) 'A Neoclassical Analysis of the Economics of Natural Resources', in V.K. Smith (ed.) </w:t>
      </w:r>
      <w:proofErr w:type="spellStart"/>
      <w:r>
        <w:rPr>
          <w:i/>
          <w:iCs/>
        </w:rPr>
        <w:t>Sacrcity</w:t>
      </w:r>
      <w:proofErr w:type="spellEnd"/>
      <w:r>
        <w:rPr>
          <w:i/>
          <w:iCs/>
        </w:rPr>
        <w:t xml:space="preserve"> and Growth Reconsidered, </w:t>
      </w:r>
      <w:r>
        <w:t>pp. 36-66. Washington DC</w:t>
      </w:r>
      <w:proofErr w:type="gramStart"/>
      <w:r>
        <w:t>: .</w:t>
      </w:r>
      <w:proofErr w:type="gramEnd"/>
      <w:r>
        <w:t xml:space="preserve"> </w:t>
      </w:r>
    </w:p>
    <w:p w:rsidR="00AB5E66" w:rsidRDefault="00AB5E66" w:rsidP="00AB5E66">
      <w:pPr>
        <w:pStyle w:val="NormalWeb"/>
      </w:pPr>
      <w:proofErr w:type="spellStart"/>
      <w:r>
        <w:t>Swaray</w:t>
      </w:r>
      <w:proofErr w:type="spellEnd"/>
      <w:r>
        <w:t>, R. (2005) 'Primary Commodity Dependence and Debt Problems in Less Developed Countries'</w:t>
      </w:r>
      <w:r>
        <w:rPr>
          <w:i/>
          <w:iCs/>
        </w:rPr>
        <w:t xml:space="preserve">, Applied Econometrics and International Development </w:t>
      </w:r>
      <w:r>
        <w:t xml:space="preserve">5(4): 131-142. </w:t>
      </w:r>
    </w:p>
    <w:p w:rsidR="00AB5E66" w:rsidRDefault="00AB5E66" w:rsidP="00AB5E66">
      <w:pPr>
        <w:pStyle w:val="NormalWeb"/>
      </w:pPr>
      <w:proofErr w:type="spellStart"/>
      <w:r>
        <w:t>Tambunan</w:t>
      </w:r>
      <w:proofErr w:type="spellEnd"/>
      <w:r>
        <w:t>, T. (2010) 'Socio-Economic Impacts of the Global Economic Crisis: The Indonesian Story'</w:t>
      </w:r>
      <w:r>
        <w:rPr>
          <w:i/>
          <w:iCs/>
        </w:rPr>
        <w:t xml:space="preserve">, Afro Asian Journal of Social Sciences </w:t>
      </w:r>
      <w:r>
        <w:t xml:space="preserve">1(1): 1-19. </w:t>
      </w:r>
    </w:p>
    <w:p w:rsidR="00AB5E66" w:rsidRDefault="00AB5E66" w:rsidP="00AB5E66">
      <w:pPr>
        <w:pStyle w:val="NormalWeb"/>
      </w:pPr>
      <w:proofErr w:type="spellStart"/>
      <w:r>
        <w:t>Tambunan</w:t>
      </w:r>
      <w:proofErr w:type="spellEnd"/>
      <w:r>
        <w:t xml:space="preserve">, T. (2006) 'THE DEVELOPMENT OF INDUSTRY AND INDUSTRIALIZATION POLICY IN INDONESIA SINCE THE NEW </w:t>
      </w:r>
      <w:r>
        <w:lastRenderedPageBreak/>
        <w:t>GOVERNANCE ERA TO THE POST-CRISIS PERIOD'</w:t>
      </w:r>
      <w:r>
        <w:rPr>
          <w:i/>
          <w:iCs/>
        </w:rPr>
        <w:t xml:space="preserve">, </w:t>
      </w:r>
      <w:proofErr w:type="spellStart"/>
      <w:r>
        <w:rPr>
          <w:i/>
          <w:iCs/>
        </w:rPr>
        <w:t>Kadin</w:t>
      </w:r>
      <w:proofErr w:type="spellEnd"/>
      <w:r>
        <w:rPr>
          <w:i/>
          <w:iCs/>
        </w:rPr>
        <w:t xml:space="preserve"> Indonesia-</w:t>
      </w:r>
      <w:proofErr w:type="gramStart"/>
      <w:r>
        <w:rPr>
          <w:i/>
          <w:iCs/>
        </w:rPr>
        <w:t xml:space="preserve">JETRO </w:t>
      </w:r>
      <w:r>
        <w:t>:</w:t>
      </w:r>
      <w:proofErr w:type="gramEnd"/>
      <w:r>
        <w:t xml:space="preserve"> 1-55. </w:t>
      </w:r>
    </w:p>
    <w:p w:rsidR="00AB5E66" w:rsidRDefault="00AB5E66" w:rsidP="00AB5E66">
      <w:pPr>
        <w:pStyle w:val="NormalWeb"/>
      </w:pPr>
      <w:r>
        <w:t xml:space="preserve">Temple, J. (2001) </w:t>
      </w:r>
      <w:r>
        <w:rPr>
          <w:i/>
          <w:iCs/>
        </w:rPr>
        <w:t xml:space="preserve">Growing into Trouble: Indonesia </w:t>
      </w:r>
      <w:proofErr w:type="gramStart"/>
      <w:r>
        <w:rPr>
          <w:i/>
          <w:iCs/>
        </w:rPr>
        <w:t>After</w:t>
      </w:r>
      <w:proofErr w:type="gramEnd"/>
      <w:r>
        <w:rPr>
          <w:i/>
          <w:iCs/>
        </w:rPr>
        <w:t xml:space="preserve"> 1966: Jonathan Temple. </w:t>
      </w:r>
      <w:proofErr w:type="gramStart"/>
      <w:r>
        <w:t>Vol. no. 2932.</w:t>
      </w:r>
      <w:proofErr w:type="gramEnd"/>
      <w:r>
        <w:t xml:space="preserve"> London: Centre for Economic Policy Research. </w:t>
      </w:r>
    </w:p>
    <w:p w:rsidR="00AB5E66" w:rsidRDefault="00AB5E66" w:rsidP="00AB5E66">
      <w:pPr>
        <w:pStyle w:val="NormalWeb"/>
      </w:pPr>
      <w:r>
        <w:t>The Economist Intelligence Unit (Last updated 2012) 'Indonesia Trade: Trade Patterns and Regulations' (a webpage of The Economist Intelligence Unit). Accessed November/30 2012 &lt;</w:t>
      </w:r>
      <w:hyperlink r:id="rId31" w:tgtFrame="_blank" w:history="1">
        <w:r>
          <w:rPr>
            <w:rStyle w:val="Hyperlink"/>
            <w:rFonts w:eastAsiaTheme="majorEastAsia"/>
          </w:rPr>
          <w:t>http://www.eiu.com/index.asp?layout=ib3PrintArticle&amp;article_id=888785673&amp;printer=printer</w:t>
        </w:r>
      </w:hyperlink>
      <w:r>
        <w:t xml:space="preserve">&gt;. </w:t>
      </w:r>
    </w:p>
    <w:p w:rsidR="00AB5E66" w:rsidRDefault="00AB5E66" w:rsidP="00AB5E66">
      <w:pPr>
        <w:pStyle w:val="NormalWeb"/>
      </w:pPr>
      <w:proofErr w:type="spellStart"/>
      <w:r>
        <w:t>Thorbecke</w:t>
      </w:r>
      <w:proofErr w:type="spellEnd"/>
      <w:r>
        <w:t>, W. (1998) 'The Indonesian Economic Crisis: Social Costs and Policy Implications '</w:t>
      </w:r>
      <w:r>
        <w:rPr>
          <w:i/>
          <w:iCs/>
        </w:rPr>
        <w:t xml:space="preserve">, Office of Development Studies Working Paper No. 7 (New York: United Nations Development </w:t>
      </w:r>
      <w:proofErr w:type="spellStart"/>
      <w:r>
        <w:rPr>
          <w:i/>
          <w:iCs/>
        </w:rPr>
        <w:t>Programme</w:t>
      </w:r>
      <w:proofErr w:type="spellEnd"/>
      <w:proofErr w:type="gramStart"/>
      <w:r>
        <w:rPr>
          <w:i/>
          <w:iCs/>
        </w:rPr>
        <w:t xml:space="preserve">) </w:t>
      </w:r>
      <w:r>
        <w:t>.</w:t>
      </w:r>
      <w:proofErr w:type="gramEnd"/>
      <w:r>
        <w:t xml:space="preserve"> </w:t>
      </w:r>
    </w:p>
    <w:p w:rsidR="00AB5E66" w:rsidRDefault="00AB5E66" w:rsidP="00AB5E66">
      <w:pPr>
        <w:pStyle w:val="NormalWeb"/>
      </w:pPr>
      <w:proofErr w:type="spellStart"/>
      <w:r>
        <w:t>Thorbecke</w:t>
      </w:r>
      <w:proofErr w:type="spellEnd"/>
      <w:r>
        <w:t>, E. (1991) 'Adjustment, Growth and Income Distribution in Indonesia'</w:t>
      </w:r>
      <w:r>
        <w:rPr>
          <w:i/>
          <w:iCs/>
        </w:rPr>
        <w:t xml:space="preserve">, World Development </w:t>
      </w:r>
      <w:r>
        <w:t xml:space="preserve">19(11): 1595-1614. </w:t>
      </w:r>
    </w:p>
    <w:p w:rsidR="00AB5E66" w:rsidRDefault="00AB5E66" w:rsidP="00AB5E66">
      <w:pPr>
        <w:pStyle w:val="NormalWeb"/>
      </w:pPr>
      <w:proofErr w:type="spellStart"/>
      <w:r>
        <w:t>Timmer</w:t>
      </w:r>
      <w:proofErr w:type="spellEnd"/>
      <w:r>
        <w:t>, M. (1999) 'Indonesia's Ascent on the Technology Ladder: Capital Stock and Total Factor Productivity in Indonesian Manufacturing, 1975-95'</w:t>
      </w:r>
      <w:r>
        <w:rPr>
          <w:i/>
          <w:iCs/>
        </w:rPr>
        <w:t xml:space="preserve">, BULLETIN OF INDONESIAN ECONOMIC STUDIES </w:t>
      </w:r>
      <w:r>
        <w:t xml:space="preserve">35(1): 75-97. </w:t>
      </w:r>
    </w:p>
    <w:p w:rsidR="00AB5E66" w:rsidRDefault="00AB5E66" w:rsidP="00AB5E66">
      <w:pPr>
        <w:pStyle w:val="NormalWeb"/>
      </w:pPr>
      <w:proofErr w:type="spellStart"/>
      <w:r>
        <w:t>Tornell</w:t>
      </w:r>
      <w:proofErr w:type="spellEnd"/>
      <w:r>
        <w:t>, A. and P.R. Lane (1999) 'The Voracity Effect'</w:t>
      </w:r>
      <w:r>
        <w:rPr>
          <w:i/>
          <w:iCs/>
        </w:rPr>
        <w:t xml:space="preserve">, </w:t>
      </w:r>
      <w:proofErr w:type="gramStart"/>
      <w:r>
        <w:rPr>
          <w:i/>
          <w:iCs/>
        </w:rPr>
        <w:t>The</w:t>
      </w:r>
      <w:proofErr w:type="gramEnd"/>
      <w:r>
        <w:rPr>
          <w:i/>
          <w:iCs/>
        </w:rPr>
        <w:t xml:space="preserve"> American Economic Review </w:t>
      </w:r>
      <w:r>
        <w:t xml:space="preserve">89(1): 22-46. </w:t>
      </w:r>
    </w:p>
    <w:p w:rsidR="00AB5E66" w:rsidRDefault="00AB5E66" w:rsidP="00AB5E66">
      <w:pPr>
        <w:pStyle w:val="NormalWeb"/>
      </w:pPr>
      <w:proofErr w:type="spellStart"/>
      <w:r>
        <w:t>Torvik</w:t>
      </w:r>
      <w:proofErr w:type="spellEnd"/>
      <w:r>
        <w:t>, R. (2002) 'Natural Resources, Rent Seeking and Welfare'</w:t>
      </w:r>
      <w:r>
        <w:rPr>
          <w:i/>
          <w:iCs/>
        </w:rPr>
        <w:t xml:space="preserve">, Journal of Development Economics </w:t>
      </w:r>
      <w:r>
        <w:t xml:space="preserve">67(2): 455-470. </w:t>
      </w:r>
    </w:p>
    <w:p w:rsidR="00AB5E66" w:rsidRDefault="00AB5E66" w:rsidP="00AB5E66">
      <w:pPr>
        <w:pStyle w:val="NormalWeb"/>
      </w:pPr>
      <w:proofErr w:type="spellStart"/>
      <w:r>
        <w:t>Unwin</w:t>
      </w:r>
      <w:proofErr w:type="spellEnd"/>
      <w:r>
        <w:t>, A. (2010) 'Exploratory Data Analysis'</w:t>
      </w:r>
      <w:r>
        <w:rPr>
          <w:i/>
          <w:iCs/>
        </w:rPr>
        <w:t xml:space="preserve">, Elsevier </w:t>
      </w:r>
      <w:proofErr w:type="gramStart"/>
      <w:r>
        <w:rPr>
          <w:i/>
          <w:iCs/>
        </w:rPr>
        <w:t xml:space="preserve">Ltd </w:t>
      </w:r>
      <w:r>
        <w:t>:</w:t>
      </w:r>
      <w:proofErr w:type="gramEnd"/>
      <w:r>
        <w:t xml:space="preserve"> 156-161. </w:t>
      </w:r>
    </w:p>
    <w:p w:rsidR="00AB5E66" w:rsidRDefault="00AB5E66" w:rsidP="00AB5E66">
      <w:pPr>
        <w:pStyle w:val="NormalWeb"/>
      </w:pPr>
      <w:proofErr w:type="spellStart"/>
      <w:r>
        <w:t>Usui</w:t>
      </w:r>
      <w:proofErr w:type="spellEnd"/>
      <w:r>
        <w:t>, N. (1997) 'Dutch Disease and Policy Adjustments to the Oil Boom: A Comparative Study of Indonesia and Mexico'</w:t>
      </w:r>
      <w:r>
        <w:rPr>
          <w:i/>
          <w:iCs/>
        </w:rPr>
        <w:t xml:space="preserve">, Resources Policy </w:t>
      </w:r>
      <w:r>
        <w:t xml:space="preserve">23(4): 151-162. </w:t>
      </w:r>
    </w:p>
    <w:p w:rsidR="00AB5E66" w:rsidRDefault="00AB5E66" w:rsidP="00AB5E66">
      <w:pPr>
        <w:pStyle w:val="NormalWeb"/>
      </w:pPr>
      <w:proofErr w:type="spellStart"/>
      <w:r>
        <w:t>Usui</w:t>
      </w:r>
      <w:proofErr w:type="spellEnd"/>
      <w:r>
        <w:t>, N. (1996) 'Policy Adjustments to the Oil Boom and their Evaluation: The Dutch Disease in Indonesia'</w:t>
      </w:r>
      <w:r>
        <w:rPr>
          <w:i/>
          <w:iCs/>
        </w:rPr>
        <w:t xml:space="preserve">, World Development </w:t>
      </w:r>
      <w:r>
        <w:t xml:space="preserve">24(5): 887-900. </w:t>
      </w:r>
    </w:p>
    <w:p w:rsidR="00AB5E66" w:rsidRDefault="00AB5E66" w:rsidP="00AB5E66">
      <w:pPr>
        <w:pStyle w:val="NormalWeb"/>
      </w:pPr>
      <w:proofErr w:type="spellStart"/>
      <w:r>
        <w:t>Warr</w:t>
      </w:r>
      <w:proofErr w:type="spellEnd"/>
      <w:r>
        <w:t xml:space="preserve">, P.G. (1986) 'Indonesia's Other Dutch Disease: Economic Effects of the Petroleum Boom', 'Indonesia's Other Dutch Disease: Economic Effects of the Petroleum Boom', </w:t>
      </w:r>
      <w:r>
        <w:rPr>
          <w:i/>
          <w:iCs/>
        </w:rPr>
        <w:t xml:space="preserve">Natural Resources and the </w:t>
      </w:r>
      <w:proofErr w:type="spellStart"/>
      <w:r>
        <w:rPr>
          <w:i/>
          <w:iCs/>
        </w:rPr>
        <w:t>Macroeconomy</w:t>
      </w:r>
      <w:proofErr w:type="spellEnd"/>
      <w:r>
        <w:rPr>
          <w:i/>
          <w:iCs/>
        </w:rPr>
        <w:t xml:space="preserve"> </w:t>
      </w:r>
      <w:r>
        <w:t xml:space="preserve">(J. Peter </w:t>
      </w:r>
      <w:proofErr w:type="spellStart"/>
      <w:r>
        <w:t>Neary</w:t>
      </w:r>
      <w:proofErr w:type="spellEnd"/>
      <w:r>
        <w:t xml:space="preserve"> and </w:t>
      </w:r>
      <w:proofErr w:type="spellStart"/>
      <w:r>
        <w:t>Sweder</w:t>
      </w:r>
      <w:proofErr w:type="spellEnd"/>
      <w:r>
        <w:t xml:space="preserve"> van </w:t>
      </w:r>
      <w:proofErr w:type="spellStart"/>
      <w:r>
        <w:t>Wijnbergen</w:t>
      </w:r>
      <w:proofErr w:type="spellEnd"/>
      <w:r>
        <w:t xml:space="preserve"> </w:t>
      </w:r>
      <w:proofErr w:type="spellStart"/>
      <w:r>
        <w:t>edn</w:t>
      </w:r>
      <w:proofErr w:type="spellEnd"/>
      <w:r>
        <w:t xml:space="preserve">). Oxford: Basil Blackwell. </w:t>
      </w:r>
    </w:p>
    <w:p w:rsidR="00AB5E66" w:rsidRDefault="00AB5E66" w:rsidP="00AB5E66">
      <w:pPr>
        <w:pStyle w:val="NormalWeb"/>
      </w:pPr>
      <w:proofErr w:type="spellStart"/>
      <w:r>
        <w:t>Warr</w:t>
      </w:r>
      <w:proofErr w:type="spellEnd"/>
      <w:r>
        <w:t xml:space="preserve">, P. and E. </w:t>
      </w:r>
      <w:proofErr w:type="spellStart"/>
      <w:r>
        <w:t>Aldaz</w:t>
      </w:r>
      <w:proofErr w:type="spellEnd"/>
      <w:r>
        <w:t xml:space="preserve">-Carroll (2010) 'Impact of Commodity Prices on Indonesia's Economy', Boom, Bust and Up Again? Evolution, Drivers and Impact of Commodity Prices: Implications for Indonesia, No. 58831, pp. 73-88. Indonesia: The World Bank Office Jakarta. </w:t>
      </w:r>
    </w:p>
    <w:p w:rsidR="00AB5E66" w:rsidRDefault="00AB5E66" w:rsidP="00AB5E66">
      <w:pPr>
        <w:pStyle w:val="NormalWeb"/>
      </w:pPr>
      <w:proofErr w:type="spellStart"/>
      <w:r>
        <w:t>Warr</w:t>
      </w:r>
      <w:proofErr w:type="spellEnd"/>
      <w:r>
        <w:t>, P. (2005) 'Food Policy and Poverty in Indonesia: A General Equilibrium Analysis'</w:t>
      </w:r>
      <w:r>
        <w:rPr>
          <w:i/>
          <w:iCs/>
        </w:rPr>
        <w:t xml:space="preserve">, Australian Journal of Agricultural and Resource Economics </w:t>
      </w:r>
      <w:r>
        <w:t xml:space="preserve">49(4): 429-451. </w:t>
      </w:r>
    </w:p>
    <w:p w:rsidR="00AB5E66" w:rsidRDefault="00AB5E66" w:rsidP="00AB5E66">
      <w:pPr>
        <w:pStyle w:val="NormalWeb"/>
      </w:pPr>
      <w:proofErr w:type="spellStart"/>
      <w:r>
        <w:lastRenderedPageBreak/>
        <w:t>Wie</w:t>
      </w:r>
      <w:proofErr w:type="spellEnd"/>
      <w:r>
        <w:t>, T.K. (2010) 'Indonesia's Economic Crises and the Prospects for Rapid and Sustained Growth'</w:t>
      </w:r>
      <w:r>
        <w:rPr>
          <w:i/>
          <w:iCs/>
        </w:rPr>
        <w:t xml:space="preserve">, Review of Indonesian Economic and Business Studies </w:t>
      </w:r>
      <w:r>
        <w:t xml:space="preserve">1(1): 43-56. </w:t>
      </w:r>
    </w:p>
    <w:p w:rsidR="00AB5E66" w:rsidRDefault="00AB5E66" w:rsidP="00AB5E66">
      <w:pPr>
        <w:pStyle w:val="NormalWeb"/>
      </w:pPr>
      <w:proofErr w:type="spellStart"/>
      <w:r>
        <w:t>Wie</w:t>
      </w:r>
      <w:proofErr w:type="spellEnd"/>
      <w:r>
        <w:t xml:space="preserve">, T.K. (2006) </w:t>
      </w:r>
      <w:r>
        <w:rPr>
          <w:i/>
          <w:iCs/>
        </w:rPr>
        <w:t xml:space="preserve">Technology and Indonesia's Industrial Competitiveness: Thee </w:t>
      </w:r>
      <w:proofErr w:type="spellStart"/>
      <w:r>
        <w:rPr>
          <w:i/>
          <w:iCs/>
        </w:rPr>
        <w:t>Kian</w:t>
      </w:r>
      <w:proofErr w:type="spellEnd"/>
      <w:r>
        <w:rPr>
          <w:i/>
          <w:iCs/>
        </w:rPr>
        <w:t xml:space="preserve"> </w:t>
      </w:r>
      <w:proofErr w:type="spellStart"/>
      <w:r>
        <w:rPr>
          <w:i/>
          <w:iCs/>
        </w:rPr>
        <w:t>Wie</w:t>
      </w:r>
      <w:proofErr w:type="spellEnd"/>
      <w:r>
        <w:rPr>
          <w:i/>
          <w:iCs/>
        </w:rPr>
        <w:t xml:space="preserve">. </w:t>
      </w:r>
      <w:proofErr w:type="gramStart"/>
      <w:r>
        <w:t>Vol. 43.</w:t>
      </w:r>
      <w:proofErr w:type="gramEnd"/>
      <w:r>
        <w:t xml:space="preserve"> Tokyo: Asian Development Bank Institute. </w:t>
      </w:r>
    </w:p>
    <w:p w:rsidR="00AB5E66" w:rsidRDefault="00AB5E66" w:rsidP="00AB5E66">
      <w:pPr>
        <w:pStyle w:val="NormalWeb"/>
      </w:pPr>
      <w:proofErr w:type="spellStart"/>
      <w:proofErr w:type="gramStart"/>
      <w:r>
        <w:t>Wie</w:t>
      </w:r>
      <w:proofErr w:type="spellEnd"/>
      <w:r>
        <w:t>, T.K. (2000) 'THE IMPACT OF THE ECONOMIC CRISIS ON INDONESIA'S MANUFACTURING SECTOR'</w:t>
      </w:r>
      <w:r>
        <w:rPr>
          <w:i/>
          <w:iCs/>
        </w:rPr>
        <w:t xml:space="preserve">, The Developing Economies </w:t>
      </w:r>
      <w:r>
        <w:t>38(4): 420-453.</w:t>
      </w:r>
      <w:proofErr w:type="gramEnd"/>
      <w:r>
        <w:t xml:space="preserve"> </w:t>
      </w:r>
    </w:p>
    <w:p w:rsidR="00AB5E66" w:rsidRDefault="00AB5E66" w:rsidP="00AB5E66">
      <w:pPr>
        <w:pStyle w:val="NormalWeb"/>
      </w:pPr>
      <w:proofErr w:type="spellStart"/>
      <w:r>
        <w:t>Wie</w:t>
      </w:r>
      <w:proofErr w:type="spellEnd"/>
      <w:r>
        <w:t>, T.K. (1987) 'Industrial and Foreign Investment Policy in Indonesia since 1967 (</w:t>
      </w:r>
      <w:r>
        <w:rPr>
          <w:rFonts w:ascii="MS Mincho" w:eastAsia="MS Mincho" w:hAnsi="MS Mincho" w:cs="MS Mincho" w:hint="eastAsia"/>
        </w:rPr>
        <w:t>東南アジア経済・社会の変容</w:t>
      </w:r>
      <w:r>
        <w:t>)'</w:t>
      </w:r>
      <w:r>
        <w:rPr>
          <w:i/>
          <w:iCs/>
        </w:rPr>
        <w:t xml:space="preserve">, </w:t>
      </w:r>
      <w:r>
        <w:rPr>
          <w:rFonts w:ascii="MS Mincho" w:eastAsia="MS Mincho" w:hAnsi="MS Mincho" w:cs="MS Mincho" w:hint="eastAsia"/>
          <w:i/>
          <w:iCs/>
        </w:rPr>
        <w:t>東南アジア研究</w:t>
      </w:r>
      <w:r>
        <w:rPr>
          <w:i/>
          <w:iCs/>
        </w:rPr>
        <w:t xml:space="preserve"> </w:t>
      </w:r>
      <w:r>
        <w:t xml:space="preserve">25(3): 383-396. </w:t>
      </w:r>
    </w:p>
    <w:p w:rsidR="00AB5E66" w:rsidRDefault="00AB5E66" w:rsidP="00AB5E66"/>
    <w:p w:rsidR="00203151" w:rsidRPr="00203151" w:rsidRDefault="00203151" w:rsidP="00203151"/>
    <w:sectPr w:rsidR="00203151" w:rsidRPr="00203151" w:rsidSect="00CE5FBD">
      <w:pgSz w:w="11909" w:h="16834" w:code="9"/>
      <w:pgMar w:top="1699" w:right="2275" w:bottom="1138" w:left="2275" w:header="720" w:footer="720" w:gutter="0"/>
      <w:pgNumType w:start="1" w:chapStyle="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720" w:rsidRDefault="00EF4720" w:rsidP="008047C1">
      <w:r>
        <w:separator/>
      </w:r>
    </w:p>
  </w:endnote>
  <w:endnote w:type="continuationSeparator" w:id="0">
    <w:p w:rsidR="00EF4720" w:rsidRDefault="00EF4720" w:rsidP="008047C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dvP406F7">
    <w:panose1 w:val="00000000000000000000"/>
    <w:charset w:val="00"/>
    <w:family w:val="roman"/>
    <w:notTrueType/>
    <w:pitch w:val="default"/>
    <w:sig w:usb0="00000003" w:usb1="00000000" w:usb2="00000000" w:usb3="00000000" w:csb0="00000001" w:csb1="00000000"/>
  </w:font>
  <w:font w:name="MathPackOne">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AEF" w:usb1="C0007841"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Footer"/>
      <w:jc w:val="center"/>
    </w:pPr>
    <w:fldSimple w:instr=" PAGE   \* MERGEFORMAT ">
      <w:r w:rsidR="001A3342">
        <w:rPr>
          <w:noProof/>
        </w:rPr>
        <w:t>37</w:t>
      </w:r>
    </w:fldSimple>
  </w:p>
  <w:p w:rsidR="00295549" w:rsidRPr="005E5353" w:rsidRDefault="00295549" w:rsidP="00B8408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720" w:rsidRDefault="00EF4720" w:rsidP="008047C1">
      <w:r>
        <w:separator/>
      </w:r>
    </w:p>
  </w:footnote>
  <w:footnote w:type="continuationSeparator" w:id="0">
    <w:p w:rsidR="00EF4720" w:rsidRDefault="00EF4720" w:rsidP="008047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549" w:rsidRDefault="0029554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5E87"/>
    <w:multiLevelType w:val="hybridMultilevel"/>
    <w:tmpl w:val="7CD22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1F7291"/>
    <w:multiLevelType w:val="hybridMultilevel"/>
    <w:tmpl w:val="FAE81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78663B"/>
    <w:multiLevelType w:val="hybridMultilevel"/>
    <w:tmpl w:val="50C88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70156B"/>
    <w:multiLevelType w:val="hybridMultilevel"/>
    <w:tmpl w:val="BB589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2246F9"/>
    <w:multiLevelType w:val="hybridMultilevel"/>
    <w:tmpl w:val="FDBCC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235A79"/>
    <w:multiLevelType w:val="hybridMultilevel"/>
    <w:tmpl w:val="459A7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7BB5CF1"/>
    <w:multiLevelType w:val="hybridMultilevel"/>
    <w:tmpl w:val="B3067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B96A0E"/>
    <w:multiLevelType w:val="hybridMultilevel"/>
    <w:tmpl w:val="DE24A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36694F"/>
    <w:multiLevelType w:val="hybridMultilevel"/>
    <w:tmpl w:val="97EE3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B71C35"/>
    <w:multiLevelType w:val="hybridMultilevel"/>
    <w:tmpl w:val="93A6DE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CB2FC0"/>
    <w:multiLevelType w:val="multilevel"/>
    <w:tmpl w:val="27CE707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69122EF9"/>
    <w:multiLevelType w:val="hybridMultilevel"/>
    <w:tmpl w:val="AAFE6F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9"/>
  </w:num>
  <w:num w:numId="4">
    <w:abstractNumId w:val="5"/>
  </w:num>
  <w:num w:numId="5">
    <w:abstractNumId w:val="6"/>
  </w:num>
  <w:num w:numId="6">
    <w:abstractNumId w:val="8"/>
  </w:num>
  <w:num w:numId="7">
    <w:abstractNumId w:val="7"/>
  </w:num>
  <w:num w:numId="8">
    <w:abstractNumId w:val="10"/>
  </w:num>
  <w:num w:numId="9">
    <w:abstractNumId w:val="4"/>
  </w:num>
  <w:num w:numId="10">
    <w:abstractNumId w:val="2"/>
  </w:num>
  <w:num w:numId="11">
    <w:abstractNumId w:val="3"/>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1025E8"/>
    <w:rsid w:val="00003FB2"/>
    <w:rsid w:val="000123D9"/>
    <w:rsid w:val="00025F53"/>
    <w:rsid w:val="00040CAC"/>
    <w:rsid w:val="00053F85"/>
    <w:rsid w:val="00054F20"/>
    <w:rsid w:val="0006167C"/>
    <w:rsid w:val="000A3EDA"/>
    <w:rsid w:val="000A4D14"/>
    <w:rsid w:val="000C18DF"/>
    <w:rsid w:val="000C21CC"/>
    <w:rsid w:val="000D6DFA"/>
    <w:rsid w:val="000F1FE0"/>
    <w:rsid w:val="000F39F9"/>
    <w:rsid w:val="001025E8"/>
    <w:rsid w:val="00113107"/>
    <w:rsid w:val="00114D94"/>
    <w:rsid w:val="00122CCC"/>
    <w:rsid w:val="00154D79"/>
    <w:rsid w:val="001712C9"/>
    <w:rsid w:val="0017618A"/>
    <w:rsid w:val="00184B1A"/>
    <w:rsid w:val="001A04DE"/>
    <w:rsid w:val="001A3342"/>
    <w:rsid w:val="001B4F84"/>
    <w:rsid w:val="001C7EB8"/>
    <w:rsid w:val="001E51B5"/>
    <w:rsid w:val="00203151"/>
    <w:rsid w:val="00204EAC"/>
    <w:rsid w:val="00213176"/>
    <w:rsid w:val="002178FB"/>
    <w:rsid w:val="00226527"/>
    <w:rsid w:val="0023183A"/>
    <w:rsid w:val="00231D71"/>
    <w:rsid w:val="0025015B"/>
    <w:rsid w:val="002506F2"/>
    <w:rsid w:val="0025162D"/>
    <w:rsid w:val="0026354C"/>
    <w:rsid w:val="002773A5"/>
    <w:rsid w:val="00295549"/>
    <w:rsid w:val="00295A33"/>
    <w:rsid w:val="002B1847"/>
    <w:rsid w:val="002D1B68"/>
    <w:rsid w:val="002D620B"/>
    <w:rsid w:val="002F0282"/>
    <w:rsid w:val="002F6F29"/>
    <w:rsid w:val="0030749D"/>
    <w:rsid w:val="00324BFA"/>
    <w:rsid w:val="00380A21"/>
    <w:rsid w:val="00387429"/>
    <w:rsid w:val="003A4B8E"/>
    <w:rsid w:val="003A5AEA"/>
    <w:rsid w:val="003B1F06"/>
    <w:rsid w:val="003E5449"/>
    <w:rsid w:val="003F1F0A"/>
    <w:rsid w:val="003F505D"/>
    <w:rsid w:val="00415014"/>
    <w:rsid w:val="00424C96"/>
    <w:rsid w:val="004272BD"/>
    <w:rsid w:val="00444D3B"/>
    <w:rsid w:val="0045110E"/>
    <w:rsid w:val="00453CAF"/>
    <w:rsid w:val="00453F0F"/>
    <w:rsid w:val="004929D1"/>
    <w:rsid w:val="00496DD6"/>
    <w:rsid w:val="00496FE5"/>
    <w:rsid w:val="00497D12"/>
    <w:rsid w:val="004C5556"/>
    <w:rsid w:val="00503EFE"/>
    <w:rsid w:val="00542D89"/>
    <w:rsid w:val="00544087"/>
    <w:rsid w:val="00567573"/>
    <w:rsid w:val="00571762"/>
    <w:rsid w:val="00595AF9"/>
    <w:rsid w:val="005B06F4"/>
    <w:rsid w:val="005B32FF"/>
    <w:rsid w:val="005F571B"/>
    <w:rsid w:val="006101B8"/>
    <w:rsid w:val="00623DD7"/>
    <w:rsid w:val="00633724"/>
    <w:rsid w:val="006770FB"/>
    <w:rsid w:val="006C3239"/>
    <w:rsid w:val="006C54B9"/>
    <w:rsid w:val="006D3FA5"/>
    <w:rsid w:val="006E5F6D"/>
    <w:rsid w:val="0070329F"/>
    <w:rsid w:val="00712E4E"/>
    <w:rsid w:val="00712EC2"/>
    <w:rsid w:val="00713379"/>
    <w:rsid w:val="00721A12"/>
    <w:rsid w:val="00724F37"/>
    <w:rsid w:val="0073360C"/>
    <w:rsid w:val="00745F05"/>
    <w:rsid w:val="00760AB4"/>
    <w:rsid w:val="00765B49"/>
    <w:rsid w:val="00796372"/>
    <w:rsid w:val="007B1BE9"/>
    <w:rsid w:val="007B7672"/>
    <w:rsid w:val="007C423D"/>
    <w:rsid w:val="007D0416"/>
    <w:rsid w:val="007D4DD9"/>
    <w:rsid w:val="007E703C"/>
    <w:rsid w:val="007E705E"/>
    <w:rsid w:val="007F6E7C"/>
    <w:rsid w:val="00800828"/>
    <w:rsid w:val="008047C1"/>
    <w:rsid w:val="00805A7F"/>
    <w:rsid w:val="00806A6B"/>
    <w:rsid w:val="008118B6"/>
    <w:rsid w:val="00821F6D"/>
    <w:rsid w:val="008266FC"/>
    <w:rsid w:val="00834B9A"/>
    <w:rsid w:val="008373CC"/>
    <w:rsid w:val="00841570"/>
    <w:rsid w:val="00846EE5"/>
    <w:rsid w:val="00855391"/>
    <w:rsid w:val="0086197C"/>
    <w:rsid w:val="00881513"/>
    <w:rsid w:val="00884C69"/>
    <w:rsid w:val="0089343B"/>
    <w:rsid w:val="008A3CD9"/>
    <w:rsid w:val="008B66EA"/>
    <w:rsid w:val="008C66EC"/>
    <w:rsid w:val="008D2717"/>
    <w:rsid w:val="008D3248"/>
    <w:rsid w:val="008E34A1"/>
    <w:rsid w:val="0094164C"/>
    <w:rsid w:val="009470E7"/>
    <w:rsid w:val="00953411"/>
    <w:rsid w:val="00955B84"/>
    <w:rsid w:val="00962DD4"/>
    <w:rsid w:val="00993AEE"/>
    <w:rsid w:val="00996B40"/>
    <w:rsid w:val="009A71F8"/>
    <w:rsid w:val="009B1BA0"/>
    <w:rsid w:val="009B6233"/>
    <w:rsid w:val="00A03A96"/>
    <w:rsid w:val="00A30773"/>
    <w:rsid w:val="00A601B3"/>
    <w:rsid w:val="00A914F6"/>
    <w:rsid w:val="00AA466E"/>
    <w:rsid w:val="00AB5E66"/>
    <w:rsid w:val="00AE1D19"/>
    <w:rsid w:val="00AF0DCE"/>
    <w:rsid w:val="00AF1554"/>
    <w:rsid w:val="00B03797"/>
    <w:rsid w:val="00B26353"/>
    <w:rsid w:val="00B26503"/>
    <w:rsid w:val="00B41752"/>
    <w:rsid w:val="00B43796"/>
    <w:rsid w:val="00B61630"/>
    <w:rsid w:val="00B72EFD"/>
    <w:rsid w:val="00B8014A"/>
    <w:rsid w:val="00B8408F"/>
    <w:rsid w:val="00B86117"/>
    <w:rsid w:val="00B87F2B"/>
    <w:rsid w:val="00BA0294"/>
    <w:rsid w:val="00BA1005"/>
    <w:rsid w:val="00BF585C"/>
    <w:rsid w:val="00C14A4C"/>
    <w:rsid w:val="00C248CE"/>
    <w:rsid w:val="00C421DA"/>
    <w:rsid w:val="00C500F5"/>
    <w:rsid w:val="00C61395"/>
    <w:rsid w:val="00C628F6"/>
    <w:rsid w:val="00C63BFB"/>
    <w:rsid w:val="00C645BF"/>
    <w:rsid w:val="00C94A30"/>
    <w:rsid w:val="00CA2476"/>
    <w:rsid w:val="00CC5742"/>
    <w:rsid w:val="00CD02B3"/>
    <w:rsid w:val="00CD07F3"/>
    <w:rsid w:val="00CE5FBD"/>
    <w:rsid w:val="00CF6B74"/>
    <w:rsid w:val="00D17FCB"/>
    <w:rsid w:val="00D319B7"/>
    <w:rsid w:val="00D60AC9"/>
    <w:rsid w:val="00D60F49"/>
    <w:rsid w:val="00D627D3"/>
    <w:rsid w:val="00D75F14"/>
    <w:rsid w:val="00D8774F"/>
    <w:rsid w:val="00D90120"/>
    <w:rsid w:val="00D939DF"/>
    <w:rsid w:val="00DB06FF"/>
    <w:rsid w:val="00DC6D61"/>
    <w:rsid w:val="00DC7FFE"/>
    <w:rsid w:val="00DD6C9E"/>
    <w:rsid w:val="00E03D6B"/>
    <w:rsid w:val="00E13A4A"/>
    <w:rsid w:val="00E31D33"/>
    <w:rsid w:val="00E346B4"/>
    <w:rsid w:val="00E36E7D"/>
    <w:rsid w:val="00E3750D"/>
    <w:rsid w:val="00E57E38"/>
    <w:rsid w:val="00E701D1"/>
    <w:rsid w:val="00E934BB"/>
    <w:rsid w:val="00E96D89"/>
    <w:rsid w:val="00E975D9"/>
    <w:rsid w:val="00EA2217"/>
    <w:rsid w:val="00EC79C6"/>
    <w:rsid w:val="00ED08A1"/>
    <w:rsid w:val="00EF380A"/>
    <w:rsid w:val="00EF4720"/>
    <w:rsid w:val="00EF72F1"/>
    <w:rsid w:val="00F52C2D"/>
    <w:rsid w:val="00F54785"/>
    <w:rsid w:val="00F62CF2"/>
    <w:rsid w:val="00F72D1B"/>
    <w:rsid w:val="00F83C01"/>
    <w:rsid w:val="00F843C4"/>
    <w:rsid w:val="00FB14D1"/>
    <w:rsid w:val="00FB2B4A"/>
    <w:rsid w:val="00FC0797"/>
    <w:rsid w:val="00FC6C3C"/>
    <w:rsid w:val="00FF2A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7C1"/>
    <w:pPr>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1025E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025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025E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5E8"/>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1025E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025E8"/>
    <w:rPr>
      <w:rFonts w:asciiTheme="majorHAnsi" w:eastAsiaTheme="majorEastAsia" w:hAnsiTheme="majorHAnsi" w:cstheme="majorBidi"/>
      <w:b/>
      <w:bCs/>
      <w:color w:val="4F81BD" w:themeColor="accent1"/>
      <w:sz w:val="24"/>
      <w:szCs w:val="24"/>
    </w:rPr>
  </w:style>
  <w:style w:type="paragraph" w:styleId="ListParagraph">
    <w:name w:val="List Paragraph"/>
    <w:basedOn w:val="Normal"/>
    <w:uiPriority w:val="34"/>
    <w:qFormat/>
    <w:rsid w:val="001025E8"/>
    <w:pPr>
      <w:ind w:left="720"/>
      <w:contextualSpacing/>
    </w:pPr>
  </w:style>
  <w:style w:type="character" w:styleId="CommentReference">
    <w:name w:val="annotation reference"/>
    <w:basedOn w:val="DefaultParagraphFont"/>
    <w:uiPriority w:val="99"/>
    <w:semiHidden/>
    <w:unhideWhenUsed/>
    <w:rsid w:val="001025E8"/>
    <w:rPr>
      <w:sz w:val="16"/>
      <w:szCs w:val="16"/>
    </w:rPr>
  </w:style>
  <w:style w:type="paragraph" w:styleId="CommentText">
    <w:name w:val="annotation text"/>
    <w:basedOn w:val="Normal"/>
    <w:link w:val="CommentTextChar"/>
    <w:uiPriority w:val="99"/>
    <w:semiHidden/>
    <w:unhideWhenUsed/>
    <w:rsid w:val="001025E8"/>
    <w:rPr>
      <w:sz w:val="20"/>
      <w:szCs w:val="20"/>
    </w:rPr>
  </w:style>
  <w:style w:type="character" w:customStyle="1" w:styleId="CommentTextChar">
    <w:name w:val="Comment Text Char"/>
    <w:basedOn w:val="DefaultParagraphFont"/>
    <w:link w:val="CommentText"/>
    <w:uiPriority w:val="99"/>
    <w:semiHidden/>
    <w:rsid w:val="001025E8"/>
    <w:rPr>
      <w:rFonts w:ascii="Times New Roman" w:eastAsiaTheme="minorEastAsia" w:hAnsi="Times New Roman" w:cs="Times New Roman"/>
      <w:sz w:val="20"/>
      <w:szCs w:val="20"/>
    </w:rPr>
  </w:style>
  <w:style w:type="character" w:customStyle="1" w:styleId="CommentSubjectChar">
    <w:name w:val="Comment Subject Char"/>
    <w:basedOn w:val="CommentTextChar"/>
    <w:link w:val="CommentSubject"/>
    <w:uiPriority w:val="99"/>
    <w:semiHidden/>
    <w:rsid w:val="001025E8"/>
    <w:rPr>
      <w:b/>
      <w:bCs/>
    </w:rPr>
  </w:style>
  <w:style w:type="paragraph" w:styleId="CommentSubject">
    <w:name w:val="annotation subject"/>
    <w:basedOn w:val="CommentText"/>
    <w:next w:val="CommentText"/>
    <w:link w:val="CommentSubjectChar"/>
    <w:uiPriority w:val="99"/>
    <w:semiHidden/>
    <w:unhideWhenUsed/>
    <w:rsid w:val="001025E8"/>
    <w:rPr>
      <w:b/>
      <w:bCs/>
    </w:rPr>
  </w:style>
  <w:style w:type="paragraph" w:styleId="BalloonText">
    <w:name w:val="Balloon Text"/>
    <w:basedOn w:val="Normal"/>
    <w:link w:val="BalloonTextChar"/>
    <w:uiPriority w:val="99"/>
    <w:semiHidden/>
    <w:unhideWhenUsed/>
    <w:rsid w:val="001025E8"/>
    <w:rPr>
      <w:rFonts w:ascii="Tahoma" w:hAnsi="Tahoma" w:cs="Tahoma"/>
      <w:sz w:val="16"/>
      <w:szCs w:val="16"/>
    </w:rPr>
  </w:style>
  <w:style w:type="character" w:customStyle="1" w:styleId="BalloonTextChar">
    <w:name w:val="Balloon Text Char"/>
    <w:basedOn w:val="DefaultParagraphFont"/>
    <w:link w:val="BalloonText"/>
    <w:uiPriority w:val="99"/>
    <w:semiHidden/>
    <w:rsid w:val="001025E8"/>
    <w:rPr>
      <w:rFonts w:ascii="Tahoma" w:eastAsiaTheme="minorEastAsia" w:hAnsi="Tahoma" w:cs="Tahoma"/>
      <w:sz w:val="16"/>
      <w:szCs w:val="16"/>
    </w:rPr>
  </w:style>
  <w:style w:type="paragraph" w:styleId="NoSpacing">
    <w:name w:val="No Spacing"/>
    <w:uiPriority w:val="1"/>
    <w:qFormat/>
    <w:rsid w:val="001025E8"/>
    <w:pPr>
      <w:spacing w:after="0" w:line="240" w:lineRule="auto"/>
    </w:pPr>
    <w:rPr>
      <w:lang w:val="en-GB"/>
    </w:rPr>
  </w:style>
  <w:style w:type="paragraph" w:styleId="Footer">
    <w:name w:val="footer"/>
    <w:basedOn w:val="Normal"/>
    <w:link w:val="FooterChar"/>
    <w:uiPriority w:val="99"/>
    <w:unhideWhenUsed/>
    <w:rsid w:val="001025E8"/>
    <w:pPr>
      <w:tabs>
        <w:tab w:val="center" w:pos="4320"/>
        <w:tab w:val="right" w:pos="8640"/>
      </w:tabs>
    </w:pPr>
  </w:style>
  <w:style w:type="character" w:customStyle="1" w:styleId="FooterChar">
    <w:name w:val="Footer Char"/>
    <w:basedOn w:val="DefaultParagraphFont"/>
    <w:link w:val="Footer"/>
    <w:uiPriority w:val="99"/>
    <w:rsid w:val="001025E8"/>
    <w:rPr>
      <w:rFonts w:ascii="Times New Roman" w:eastAsiaTheme="minorEastAsia" w:hAnsi="Times New Roman" w:cs="Times New Roman"/>
      <w:sz w:val="24"/>
      <w:szCs w:val="24"/>
    </w:rPr>
  </w:style>
  <w:style w:type="paragraph" w:styleId="Index1">
    <w:name w:val="index 1"/>
    <w:basedOn w:val="Normal"/>
    <w:next w:val="Normal"/>
    <w:autoRedefine/>
    <w:uiPriority w:val="99"/>
    <w:unhideWhenUsed/>
    <w:rsid w:val="001025E8"/>
    <w:pPr>
      <w:ind w:left="240" w:hanging="240"/>
    </w:pPr>
  </w:style>
  <w:style w:type="paragraph" w:styleId="Index2">
    <w:name w:val="index 2"/>
    <w:basedOn w:val="Normal"/>
    <w:next w:val="Normal"/>
    <w:autoRedefine/>
    <w:uiPriority w:val="99"/>
    <w:unhideWhenUsed/>
    <w:rsid w:val="001025E8"/>
    <w:pPr>
      <w:ind w:left="480" w:hanging="240"/>
    </w:pPr>
  </w:style>
  <w:style w:type="paragraph" w:styleId="Index3">
    <w:name w:val="index 3"/>
    <w:basedOn w:val="Normal"/>
    <w:next w:val="Normal"/>
    <w:autoRedefine/>
    <w:uiPriority w:val="99"/>
    <w:unhideWhenUsed/>
    <w:rsid w:val="001025E8"/>
    <w:pPr>
      <w:ind w:left="720" w:hanging="240"/>
    </w:pPr>
  </w:style>
  <w:style w:type="paragraph" w:styleId="Index4">
    <w:name w:val="index 4"/>
    <w:basedOn w:val="Normal"/>
    <w:next w:val="Normal"/>
    <w:autoRedefine/>
    <w:uiPriority w:val="99"/>
    <w:unhideWhenUsed/>
    <w:rsid w:val="001025E8"/>
    <w:pPr>
      <w:ind w:left="960" w:hanging="240"/>
    </w:pPr>
  </w:style>
  <w:style w:type="paragraph" w:styleId="Index5">
    <w:name w:val="index 5"/>
    <w:basedOn w:val="Normal"/>
    <w:next w:val="Normal"/>
    <w:autoRedefine/>
    <w:uiPriority w:val="99"/>
    <w:unhideWhenUsed/>
    <w:rsid w:val="001025E8"/>
    <w:pPr>
      <w:ind w:left="1200" w:hanging="240"/>
    </w:pPr>
  </w:style>
  <w:style w:type="paragraph" w:styleId="Index6">
    <w:name w:val="index 6"/>
    <w:basedOn w:val="Normal"/>
    <w:next w:val="Normal"/>
    <w:autoRedefine/>
    <w:uiPriority w:val="99"/>
    <w:unhideWhenUsed/>
    <w:rsid w:val="001025E8"/>
    <w:pPr>
      <w:ind w:left="1440" w:hanging="240"/>
    </w:pPr>
  </w:style>
  <w:style w:type="paragraph" w:styleId="Index7">
    <w:name w:val="index 7"/>
    <w:basedOn w:val="Normal"/>
    <w:next w:val="Normal"/>
    <w:autoRedefine/>
    <w:uiPriority w:val="99"/>
    <w:unhideWhenUsed/>
    <w:rsid w:val="001025E8"/>
    <w:pPr>
      <w:ind w:left="1680" w:hanging="240"/>
    </w:pPr>
  </w:style>
  <w:style w:type="paragraph" w:styleId="Index8">
    <w:name w:val="index 8"/>
    <w:basedOn w:val="Normal"/>
    <w:next w:val="Normal"/>
    <w:autoRedefine/>
    <w:uiPriority w:val="99"/>
    <w:unhideWhenUsed/>
    <w:rsid w:val="001025E8"/>
    <w:pPr>
      <w:ind w:left="1920" w:hanging="240"/>
    </w:pPr>
  </w:style>
  <w:style w:type="paragraph" w:styleId="Index9">
    <w:name w:val="index 9"/>
    <w:basedOn w:val="Normal"/>
    <w:next w:val="Normal"/>
    <w:autoRedefine/>
    <w:uiPriority w:val="99"/>
    <w:unhideWhenUsed/>
    <w:rsid w:val="001025E8"/>
    <w:pPr>
      <w:ind w:left="2160" w:hanging="240"/>
    </w:pPr>
  </w:style>
  <w:style w:type="paragraph" w:styleId="IndexHeading">
    <w:name w:val="index heading"/>
    <w:basedOn w:val="Normal"/>
    <w:next w:val="Index1"/>
    <w:uiPriority w:val="99"/>
    <w:unhideWhenUsed/>
    <w:rsid w:val="001025E8"/>
  </w:style>
  <w:style w:type="paragraph" w:styleId="TOC1">
    <w:name w:val="toc 1"/>
    <w:basedOn w:val="Normal"/>
    <w:next w:val="Normal"/>
    <w:autoRedefine/>
    <w:uiPriority w:val="39"/>
    <w:unhideWhenUsed/>
    <w:rsid w:val="00AB5E66"/>
    <w:pPr>
      <w:tabs>
        <w:tab w:val="right" w:leader="dot" w:pos="7349"/>
      </w:tabs>
    </w:pPr>
    <w:rPr>
      <w:rFonts w:ascii="Garamond" w:hAnsi="Garamond"/>
      <w:b/>
    </w:rPr>
  </w:style>
  <w:style w:type="paragraph" w:styleId="TOC2">
    <w:name w:val="toc 2"/>
    <w:basedOn w:val="Normal"/>
    <w:next w:val="Normal"/>
    <w:autoRedefine/>
    <w:uiPriority w:val="39"/>
    <w:unhideWhenUsed/>
    <w:rsid w:val="001025E8"/>
    <w:pPr>
      <w:ind w:left="240"/>
    </w:pPr>
  </w:style>
  <w:style w:type="paragraph" w:styleId="TOC3">
    <w:name w:val="toc 3"/>
    <w:basedOn w:val="Normal"/>
    <w:next w:val="Normal"/>
    <w:autoRedefine/>
    <w:uiPriority w:val="39"/>
    <w:unhideWhenUsed/>
    <w:rsid w:val="001025E8"/>
    <w:pPr>
      <w:ind w:left="480"/>
    </w:pPr>
  </w:style>
  <w:style w:type="paragraph" w:styleId="TOC4">
    <w:name w:val="toc 4"/>
    <w:basedOn w:val="Normal"/>
    <w:next w:val="Normal"/>
    <w:autoRedefine/>
    <w:uiPriority w:val="39"/>
    <w:unhideWhenUsed/>
    <w:rsid w:val="001025E8"/>
    <w:pPr>
      <w:ind w:left="720"/>
    </w:pPr>
  </w:style>
  <w:style w:type="paragraph" w:styleId="TOC5">
    <w:name w:val="toc 5"/>
    <w:basedOn w:val="Normal"/>
    <w:next w:val="Normal"/>
    <w:autoRedefine/>
    <w:uiPriority w:val="39"/>
    <w:unhideWhenUsed/>
    <w:rsid w:val="001025E8"/>
    <w:pPr>
      <w:ind w:left="960"/>
    </w:pPr>
  </w:style>
  <w:style w:type="paragraph" w:styleId="TOC6">
    <w:name w:val="toc 6"/>
    <w:basedOn w:val="Normal"/>
    <w:next w:val="Normal"/>
    <w:autoRedefine/>
    <w:uiPriority w:val="39"/>
    <w:unhideWhenUsed/>
    <w:rsid w:val="001025E8"/>
    <w:pPr>
      <w:ind w:left="1200"/>
    </w:pPr>
  </w:style>
  <w:style w:type="paragraph" w:styleId="TOC7">
    <w:name w:val="toc 7"/>
    <w:basedOn w:val="Normal"/>
    <w:next w:val="Normal"/>
    <w:autoRedefine/>
    <w:uiPriority w:val="39"/>
    <w:unhideWhenUsed/>
    <w:rsid w:val="001025E8"/>
    <w:pPr>
      <w:ind w:left="1440"/>
    </w:pPr>
  </w:style>
  <w:style w:type="paragraph" w:styleId="TOC8">
    <w:name w:val="toc 8"/>
    <w:basedOn w:val="Normal"/>
    <w:next w:val="Normal"/>
    <w:autoRedefine/>
    <w:uiPriority w:val="39"/>
    <w:unhideWhenUsed/>
    <w:rsid w:val="001025E8"/>
    <w:pPr>
      <w:ind w:left="1680"/>
    </w:pPr>
  </w:style>
  <w:style w:type="paragraph" w:styleId="TOC9">
    <w:name w:val="toc 9"/>
    <w:basedOn w:val="Normal"/>
    <w:next w:val="Normal"/>
    <w:autoRedefine/>
    <w:uiPriority w:val="39"/>
    <w:unhideWhenUsed/>
    <w:rsid w:val="001025E8"/>
    <w:pPr>
      <w:ind w:left="1920"/>
    </w:pPr>
  </w:style>
  <w:style w:type="paragraph" w:customStyle="1" w:styleId="heading">
    <w:name w:val="heading"/>
    <w:basedOn w:val="Normal"/>
    <w:rsid w:val="001025E8"/>
    <w:rPr>
      <w:rFonts w:asciiTheme="majorHAnsi" w:hAnsiTheme="majorHAnsi"/>
      <w:b/>
    </w:rPr>
  </w:style>
  <w:style w:type="paragraph" w:customStyle="1" w:styleId="heaidng">
    <w:name w:val="heaidng"/>
    <w:basedOn w:val="Normal"/>
    <w:rsid w:val="001025E8"/>
    <w:rPr>
      <w:rFonts w:asciiTheme="majorHAnsi" w:hAnsiTheme="majorHAnsi"/>
      <w:b/>
    </w:rPr>
  </w:style>
  <w:style w:type="paragraph" w:customStyle="1" w:styleId="hea">
    <w:name w:val="hea"/>
    <w:basedOn w:val="Normal"/>
    <w:rsid w:val="001025E8"/>
    <w:rPr>
      <w:rFonts w:asciiTheme="majorHAnsi" w:hAnsiTheme="majorHAnsi"/>
      <w:b/>
    </w:rPr>
  </w:style>
  <w:style w:type="paragraph" w:customStyle="1" w:styleId="he">
    <w:name w:val="he"/>
    <w:basedOn w:val="Normal"/>
    <w:rsid w:val="001025E8"/>
    <w:pPr>
      <w:jc w:val="both"/>
    </w:pPr>
    <w:rPr>
      <w:rFonts w:asciiTheme="majorHAnsi" w:hAnsiTheme="majorHAnsi"/>
      <w:b/>
      <w:lang w:eastAsia="ja-JP"/>
    </w:rPr>
  </w:style>
  <w:style w:type="character" w:customStyle="1" w:styleId="HeaderChar">
    <w:name w:val="Header Char"/>
    <w:basedOn w:val="DefaultParagraphFont"/>
    <w:link w:val="Header"/>
    <w:uiPriority w:val="99"/>
    <w:rsid w:val="001025E8"/>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1025E8"/>
    <w:pPr>
      <w:tabs>
        <w:tab w:val="center" w:pos="4680"/>
        <w:tab w:val="right" w:pos="9360"/>
      </w:tabs>
    </w:pPr>
  </w:style>
  <w:style w:type="paragraph" w:styleId="NormalWeb">
    <w:name w:val="Normal (Web)"/>
    <w:basedOn w:val="Normal"/>
    <w:uiPriority w:val="99"/>
    <w:rsid w:val="002506F2"/>
    <w:pPr>
      <w:spacing w:before="280" w:after="280"/>
    </w:pPr>
    <w:rPr>
      <w:rFonts w:eastAsia="Times New Roman"/>
      <w:sz w:val="22"/>
      <w:lang w:eastAsia="ar-SA"/>
    </w:rPr>
  </w:style>
  <w:style w:type="paragraph" w:customStyle="1" w:styleId="disclaimer">
    <w:name w:val="disclaimer"/>
    <w:basedOn w:val="Normal"/>
    <w:rsid w:val="002506F2"/>
    <w:pPr>
      <w:suppressAutoHyphens/>
      <w:spacing w:before="400" w:after="200"/>
    </w:pPr>
    <w:rPr>
      <w:rFonts w:eastAsia="Times New Roman"/>
      <w:b/>
      <w:i/>
      <w:sz w:val="26"/>
      <w:lang w:val="en-GB" w:eastAsia="ar-SA"/>
    </w:rPr>
  </w:style>
  <w:style w:type="paragraph" w:customStyle="1" w:styleId="Normalfirstparagraph">
    <w:name w:val="Normal first paragraph"/>
    <w:basedOn w:val="Normal"/>
    <w:next w:val="Normal"/>
    <w:rsid w:val="002506F2"/>
    <w:pPr>
      <w:spacing w:after="60"/>
      <w:jc w:val="both"/>
    </w:pPr>
    <w:rPr>
      <w:rFonts w:ascii="Garamond" w:eastAsia="Times New Roman" w:hAnsi="Garamond"/>
      <w:lang w:val="en-GB" w:eastAsia="en-GB"/>
    </w:rPr>
  </w:style>
  <w:style w:type="character" w:customStyle="1" w:styleId="yiv889613263apple-style-span">
    <w:name w:val="yiv889613263apple-style-span"/>
    <w:basedOn w:val="DefaultParagraphFont"/>
    <w:rsid w:val="002506F2"/>
  </w:style>
  <w:style w:type="table" w:styleId="TableGrid">
    <w:name w:val="Table Grid"/>
    <w:basedOn w:val="TableNormal"/>
    <w:uiPriority w:val="59"/>
    <w:rsid w:val="002506F2"/>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ronyms">
    <w:name w:val="Acronyms"/>
    <w:basedOn w:val="Normal"/>
    <w:rsid w:val="00B8408F"/>
    <w:pPr>
      <w:spacing w:after="100"/>
      <w:ind w:left="1418" w:hanging="1418"/>
    </w:pPr>
    <w:rPr>
      <w:rFonts w:ascii="Garamond" w:eastAsia="Times New Roman" w:hAnsi="Garamond"/>
      <w:lang w:val="en-GB" w:eastAsia="en-GB"/>
    </w:rPr>
  </w:style>
  <w:style w:type="paragraph" w:styleId="EndnoteText">
    <w:name w:val="endnote text"/>
    <w:basedOn w:val="Normal"/>
    <w:link w:val="EndnoteTextChar"/>
    <w:uiPriority w:val="99"/>
    <w:semiHidden/>
    <w:unhideWhenUsed/>
    <w:rsid w:val="00154D79"/>
    <w:rPr>
      <w:sz w:val="20"/>
      <w:szCs w:val="20"/>
    </w:rPr>
  </w:style>
  <w:style w:type="character" w:customStyle="1" w:styleId="EndnoteTextChar">
    <w:name w:val="Endnote Text Char"/>
    <w:basedOn w:val="DefaultParagraphFont"/>
    <w:link w:val="EndnoteText"/>
    <w:uiPriority w:val="99"/>
    <w:semiHidden/>
    <w:rsid w:val="00154D79"/>
    <w:rPr>
      <w:rFonts w:ascii="Times New Roman" w:eastAsiaTheme="minorEastAsia" w:hAnsi="Times New Roman" w:cs="Times New Roman"/>
      <w:sz w:val="20"/>
      <w:szCs w:val="20"/>
    </w:rPr>
  </w:style>
  <w:style w:type="character" w:styleId="EndnoteReference">
    <w:name w:val="endnote reference"/>
    <w:basedOn w:val="DefaultParagraphFont"/>
    <w:uiPriority w:val="99"/>
    <w:semiHidden/>
    <w:unhideWhenUsed/>
    <w:rsid w:val="00154D79"/>
    <w:rPr>
      <w:vertAlign w:val="superscript"/>
    </w:rPr>
  </w:style>
  <w:style w:type="character" w:styleId="Hyperlink">
    <w:name w:val="Hyperlink"/>
    <w:basedOn w:val="DefaultParagraphFont"/>
    <w:uiPriority w:val="99"/>
    <w:unhideWhenUsed/>
    <w:rsid w:val="00AB5E6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13088199">
      <w:bodyDiv w:val="1"/>
      <w:marLeft w:val="0"/>
      <w:marRight w:val="0"/>
      <w:marTop w:val="0"/>
      <w:marBottom w:val="0"/>
      <w:divBdr>
        <w:top w:val="none" w:sz="0" w:space="0" w:color="auto"/>
        <w:left w:val="none" w:sz="0" w:space="0" w:color="auto"/>
        <w:bottom w:val="none" w:sz="0" w:space="0" w:color="auto"/>
        <w:right w:val="none" w:sz="0" w:space="0" w:color="auto"/>
      </w:divBdr>
    </w:div>
    <w:div w:id="1268928071">
      <w:bodyDiv w:val="1"/>
      <w:marLeft w:val="0"/>
      <w:marRight w:val="0"/>
      <w:marTop w:val="0"/>
      <w:marBottom w:val="0"/>
      <w:divBdr>
        <w:top w:val="none" w:sz="0" w:space="0" w:color="auto"/>
        <w:left w:val="none" w:sz="0" w:space="0" w:color="auto"/>
        <w:bottom w:val="none" w:sz="0" w:space="0" w:color="auto"/>
        <w:right w:val="none" w:sz="0" w:space="0" w:color="auto"/>
      </w:divBdr>
    </w:div>
    <w:div w:id="1557546018">
      <w:bodyDiv w:val="1"/>
      <w:marLeft w:val="0"/>
      <w:marRight w:val="0"/>
      <w:marTop w:val="0"/>
      <w:marBottom w:val="0"/>
      <w:divBdr>
        <w:top w:val="none" w:sz="0" w:space="0" w:color="auto"/>
        <w:left w:val="none" w:sz="0" w:space="0" w:color="auto"/>
        <w:bottom w:val="none" w:sz="0" w:space="0" w:color="auto"/>
        <w:right w:val="none" w:sz="0" w:space="0" w:color="auto"/>
      </w:divBdr>
    </w:div>
    <w:div w:id="1718120413">
      <w:bodyDiv w:val="1"/>
      <w:marLeft w:val="0"/>
      <w:marRight w:val="0"/>
      <w:marTop w:val="0"/>
      <w:marBottom w:val="0"/>
      <w:divBdr>
        <w:top w:val="none" w:sz="0" w:space="0" w:color="auto"/>
        <w:left w:val="none" w:sz="0" w:space="0" w:color="auto"/>
        <w:bottom w:val="none" w:sz="0" w:space="0" w:color="auto"/>
        <w:right w:val="none" w:sz="0" w:space="0" w:color="auto"/>
      </w:divBdr>
    </w:div>
    <w:div w:id="194360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chart" Target="charts/chart4.xml"/><Relationship Id="rId26" Type="http://schemas.openxmlformats.org/officeDocument/2006/relationships/chart" Target="charts/chart12.xml"/><Relationship Id="rId3" Type="http://schemas.openxmlformats.org/officeDocument/2006/relationships/styles" Target="styles.xml"/><Relationship Id="rId21" Type="http://schemas.openxmlformats.org/officeDocument/2006/relationships/chart" Target="charts/chart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hyperlink" Target="http://www.eia.gov/EMEU/cabs/Indonesia/pdf.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hart" Target="charts/chart10.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chart" Target="charts/chart14.xml"/><Relationship Id="rId10" Type="http://schemas.openxmlformats.org/officeDocument/2006/relationships/header" Target="header2.xml"/><Relationship Id="rId19" Type="http://schemas.openxmlformats.org/officeDocument/2006/relationships/chart" Target="charts/chart5.xml"/><Relationship Id="rId31" Type="http://schemas.openxmlformats.org/officeDocument/2006/relationships/hyperlink" Target="http://www.eiu.com/index.asp?layout=ib3PrintArticle&amp;article_id=888785673&amp;printer=printer"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8.xml"/><Relationship Id="rId27" Type="http://schemas.openxmlformats.org/officeDocument/2006/relationships/chart" Target="charts/chart13.xml"/><Relationship Id="rId30" Type="http://schemas.openxmlformats.org/officeDocument/2006/relationships/hyperlink" Target="http://www.kemendag.go.id/"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wendychandra:Downloads:commodity%20prices%20and%20growth.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owner\Downloads\GDP,%20Export%20volume%20and%20Import%20Volume.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owner\Downloads\GDP,%20Export%20volume%20and%20Import%20Volum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owner\Downloads\GDP,%20Export%20volume%20and%20Import%20Volum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owner\Downloads\commodity%20prices%20and%20growth%20(Autosaved).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owner\Downloads\Commodity%20Prices%20Compilation%20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8"/>
  <c:chart>
    <c:autoTitleDeleted val="1"/>
    <c:plotArea>
      <c:layout/>
      <c:areaChart>
        <c:grouping val="percentStacked"/>
        <c:ser>
          <c:idx val="0"/>
          <c:order val="0"/>
          <c:tx>
            <c:v>Primary Commodity Exports</c:v>
          </c:tx>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'%Exports'!$J$3:$J$43</c:f>
              <c:numCache>
                <c:formatCode>0.00%</c:formatCode>
                <c:ptCount val="41"/>
                <c:pt idx="0">
                  <c:v>0.99</c:v>
                </c:pt>
                <c:pt idx="1">
                  <c:v>0.98</c:v>
                </c:pt>
                <c:pt idx="2">
                  <c:v>0.98</c:v>
                </c:pt>
                <c:pt idx="3">
                  <c:v>0.98</c:v>
                </c:pt>
                <c:pt idx="4">
                  <c:v>0.99</c:v>
                </c:pt>
                <c:pt idx="5">
                  <c:v>0.99</c:v>
                </c:pt>
                <c:pt idx="6">
                  <c:v>0.98</c:v>
                </c:pt>
                <c:pt idx="7">
                  <c:v>0.98</c:v>
                </c:pt>
                <c:pt idx="8">
                  <c:v>0.98</c:v>
                </c:pt>
                <c:pt idx="9">
                  <c:v>0.97000000000000064</c:v>
                </c:pt>
                <c:pt idx="10">
                  <c:v>0.98</c:v>
                </c:pt>
                <c:pt idx="11">
                  <c:v>0.97000000000000064</c:v>
                </c:pt>
                <c:pt idx="12">
                  <c:v>0.96000000000000063</c:v>
                </c:pt>
                <c:pt idx="13">
                  <c:v>0.92</c:v>
                </c:pt>
                <c:pt idx="14">
                  <c:v>0.9</c:v>
                </c:pt>
                <c:pt idx="15">
                  <c:v>0.87000000000000843</c:v>
                </c:pt>
                <c:pt idx="16">
                  <c:v>0.82000000000000062</c:v>
                </c:pt>
                <c:pt idx="17">
                  <c:v>0.74000000000000365</c:v>
                </c:pt>
                <c:pt idx="18">
                  <c:v>0.71000000000000063</c:v>
                </c:pt>
                <c:pt idx="19">
                  <c:v>0.68000000000000593</c:v>
                </c:pt>
                <c:pt idx="20">
                  <c:v>0.64000000000000945</c:v>
                </c:pt>
                <c:pt idx="21">
                  <c:v>0.59000000000000052</c:v>
                </c:pt>
                <c:pt idx="22">
                  <c:v>0.52</c:v>
                </c:pt>
                <c:pt idx="23">
                  <c:v>0.47000000000000008</c:v>
                </c:pt>
                <c:pt idx="24">
                  <c:v>0.48000000000000032</c:v>
                </c:pt>
                <c:pt idx="25">
                  <c:v>0.49000000000000032</c:v>
                </c:pt>
                <c:pt idx="26">
                  <c:v>0.49000000000000032</c:v>
                </c:pt>
                <c:pt idx="27">
                  <c:v>0.46</c:v>
                </c:pt>
                <c:pt idx="28">
                  <c:v>0.39000000000000473</c:v>
                </c:pt>
                <c:pt idx="29">
                  <c:v>0.44000000000000195</c:v>
                </c:pt>
                <c:pt idx="30">
                  <c:v>0.43000000000000038</c:v>
                </c:pt>
                <c:pt idx="31">
                  <c:v>0.44000000000000195</c:v>
                </c:pt>
                <c:pt idx="32">
                  <c:v>0.45</c:v>
                </c:pt>
                <c:pt idx="33">
                  <c:v>0.48000000000000032</c:v>
                </c:pt>
                <c:pt idx="34">
                  <c:v>0.49000000000000032</c:v>
                </c:pt>
                <c:pt idx="35">
                  <c:v>0.53</c:v>
                </c:pt>
                <c:pt idx="36">
                  <c:v>0.55000000000000004</c:v>
                </c:pt>
                <c:pt idx="37">
                  <c:v>0.57000000000000062</c:v>
                </c:pt>
                <c:pt idx="38">
                  <c:v>0.61000000000000065</c:v>
                </c:pt>
                <c:pt idx="39">
                  <c:v>0.59000000000000052</c:v>
                </c:pt>
                <c:pt idx="40">
                  <c:v>0.63000000000000911</c:v>
                </c:pt>
              </c:numCache>
            </c:numRef>
          </c:val>
        </c:ser>
        <c:ser>
          <c:idx val="1"/>
          <c:order val="1"/>
          <c:tx>
            <c:v>Manufacturing Exports</c:v>
          </c:tx>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'%Exports'!$K$3:$K$43</c:f>
              <c:numCache>
                <c:formatCode>0.00%</c:formatCode>
                <c:ptCount val="41"/>
                <c:pt idx="0">
                  <c:v>1.0000000000000083E-2</c:v>
                </c:pt>
                <c:pt idx="1">
                  <c:v>1.0000000000000083E-2</c:v>
                </c:pt>
                <c:pt idx="2">
                  <c:v>2.0000000000000052E-2</c:v>
                </c:pt>
                <c:pt idx="3">
                  <c:v>2.0000000000000052E-2</c:v>
                </c:pt>
                <c:pt idx="4">
                  <c:v>1.0000000000000083E-2</c:v>
                </c:pt>
                <c:pt idx="5">
                  <c:v>1.0000000000000083E-2</c:v>
                </c:pt>
                <c:pt idx="6">
                  <c:v>1.0000000000000083E-2</c:v>
                </c:pt>
                <c:pt idx="7">
                  <c:v>2.0000000000000052E-2</c:v>
                </c:pt>
                <c:pt idx="8">
                  <c:v>2.0000000000000052E-2</c:v>
                </c:pt>
                <c:pt idx="9">
                  <c:v>3.0000000000000415E-2</c:v>
                </c:pt>
                <c:pt idx="10">
                  <c:v>2.0000000000000052E-2</c:v>
                </c:pt>
                <c:pt idx="11">
                  <c:v>3.0000000000000415E-2</c:v>
                </c:pt>
                <c:pt idx="12">
                  <c:v>4.0000000000000112E-2</c:v>
                </c:pt>
                <c:pt idx="13">
                  <c:v>7.0000000000000034E-2</c:v>
                </c:pt>
                <c:pt idx="14">
                  <c:v>0.1</c:v>
                </c:pt>
                <c:pt idx="15">
                  <c:v>0.13</c:v>
                </c:pt>
                <c:pt idx="16">
                  <c:v>0.19000000000000103</c:v>
                </c:pt>
                <c:pt idx="17">
                  <c:v>0.25</c:v>
                </c:pt>
                <c:pt idx="18">
                  <c:v>0.30000000000000032</c:v>
                </c:pt>
                <c:pt idx="19">
                  <c:v>0.32000000000000473</c:v>
                </c:pt>
                <c:pt idx="20">
                  <c:v>0.35000000000000031</c:v>
                </c:pt>
                <c:pt idx="21">
                  <c:v>0.41000000000000031</c:v>
                </c:pt>
                <c:pt idx="22">
                  <c:v>0.48000000000000032</c:v>
                </c:pt>
                <c:pt idx="23">
                  <c:v>0.53</c:v>
                </c:pt>
                <c:pt idx="24">
                  <c:v>0.52</c:v>
                </c:pt>
                <c:pt idx="25">
                  <c:v>0.51</c:v>
                </c:pt>
                <c:pt idx="26">
                  <c:v>0.51</c:v>
                </c:pt>
                <c:pt idx="27">
                  <c:v>0.42000000000000032</c:v>
                </c:pt>
                <c:pt idx="28">
                  <c:v>0.45</c:v>
                </c:pt>
                <c:pt idx="29">
                  <c:v>0.54</c:v>
                </c:pt>
                <c:pt idx="30">
                  <c:v>0.57000000000000062</c:v>
                </c:pt>
                <c:pt idx="31">
                  <c:v>0.56000000000000005</c:v>
                </c:pt>
                <c:pt idx="32">
                  <c:v>0.54</c:v>
                </c:pt>
                <c:pt idx="33">
                  <c:v>0.52</c:v>
                </c:pt>
                <c:pt idx="34">
                  <c:v>0.5</c:v>
                </c:pt>
                <c:pt idx="35">
                  <c:v>0.47000000000000008</c:v>
                </c:pt>
                <c:pt idx="36">
                  <c:v>0.45</c:v>
                </c:pt>
                <c:pt idx="37">
                  <c:v>0.43000000000000038</c:v>
                </c:pt>
                <c:pt idx="38">
                  <c:v>0.39000000000000473</c:v>
                </c:pt>
                <c:pt idx="39">
                  <c:v>0.41000000000000031</c:v>
                </c:pt>
                <c:pt idx="40">
                  <c:v>0.37000000000000038</c:v>
                </c:pt>
              </c:numCache>
            </c:numRef>
          </c:val>
        </c:ser>
        <c:axId val="588534912"/>
        <c:axId val="588536448"/>
      </c:areaChart>
      <c:catAx>
        <c:axId val="588534912"/>
        <c:scaling>
          <c:orientation val="minMax"/>
        </c:scaling>
        <c:axPos val="b"/>
        <c:numFmt formatCode="General" sourceLinked="1"/>
        <c:majorTickMark val="none"/>
        <c:tickLblPos val="nextTo"/>
        <c:crossAx val="588536448"/>
        <c:crosses val="autoZero"/>
        <c:auto val="1"/>
        <c:lblAlgn val="ctr"/>
        <c:lblOffset val="100"/>
        <c:tickLblSkip val="5"/>
      </c:catAx>
      <c:valAx>
        <c:axId val="588536448"/>
        <c:scaling>
          <c:orientation val="minMax"/>
        </c:scaling>
        <c:axPos val="l"/>
        <c:majorGridlines/>
        <c:numFmt formatCode="0%" sourceLinked="1"/>
        <c:majorTickMark val="none"/>
        <c:tickLblPos val="nextTo"/>
        <c:crossAx val="588534912"/>
        <c:crosses val="autoZero"/>
        <c:crossBetween val="midCat"/>
      </c:valAx>
    </c:plotArea>
    <c:legend>
      <c:legendPos val="b"/>
    </c:legend>
    <c:plotVisOnly val="1"/>
    <c:dispBlanksAs val="zero"/>
  </c:chart>
  <c:txPr>
    <a:bodyPr/>
    <a:lstStyle/>
    <a:p>
      <a:pPr>
        <a:defRPr sz="800"/>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Sheet3!$E$1</c:f>
              <c:strCache>
                <c:ptCount val="1"/>
                <c:pt idx="0">
                  <c:v>Manufacture Exports (% of merchandise exports)</c:v>
                </c:pt>
              </c:strCache>
            </c:strRef>
          </c:tx>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Sheet3!$E$2:$E$43</c:f>
              <c:numCache>
                <c:formatCode>0%</c:formatCode>
                <c:ptCount val="42"/>
                <c:pt idx="1">
                  <c:v>1.0000000000000007E-2</c:v>
                </c:pt>
                <c:pt idx="2">
                  <c:v>1.0000000000000007E-2</c:v>
                </c:pt>
                <c:pt idx="3">
                  <c:v>2.0000000000000014E-2</c:v>
                </c:pt>
                <c:pt idx="4">
                  <c:v>2.0000000000000014E-2</c:v>
                </c:pt>
                <c:pt idx="5">
                  <c:v>1.0000000000000007E-2</c:v>
                </c:pt>
                <c:pt idx="6">
                  <c:v>1.0000000000000007E-2</c:v>
                </c:pt>
                <c:pt idx="7">
                  <c:v>1.0000000000000007E-2</c:v>
                </c:pt>
                <c:pt idx="8">
                  <c:v>2.0000000000000014E-2</c:v>
                </c:pt>
                <c:pt idx="9">
                  <c:v>2.0000000000000014E-2</c:v>
                </c:pt>
                <c:pt idx="10">
                  <c:v>3.0000000000000016E-2</c:v>
                </c:pt>
                <c:pt idx="11">
                  <c:v>2.0000000000000014E-2</c:v>
                </c:pt>
                <c:pt idx="12">
                  <c:v>3.0000000000000016E-2</c:v>
                </c:pt>
                <c:pt idx="13">
                  <c:v>4.0000000000000029E-2</c:v>
                </c:pt>
                <c:pt idx="14">
                  <c:v>7.0000000000000034E-2</c:v>
                </c:pt>
                <c:pt idx="15">
                  <c:v>0.1</c:v>
                </c:pt>
                <c:pt idx="16">
                  <c:v>0.13</c:v>
                </c:pt>
                <c:pt idx="17">
                  <c:v>0.19000000000000003</c:v>
                </c:pt>
                <c:pt idx="18">
                  <c:v>0.25</c:v>
                </c:pt>
                <c:pt idx="19">
                  <c:v>0.30000000000000032</c:v>
                </c:pt>
                <c:pt idx="20">
                  <c:v>0.32000000000000062</c:v>
                </c:pt>
                <c:pt idx="21">
                  <c:v>0.35000000000000031</c:v>
                </c:pt>
                <c:pt idx="22">
                  <c:v>0.41000000000000031</c:v>
                </c:pt>
                <c:pt idx="23">
                  <c:v>0.48000000000000032</c:v>
                </c:pt>
                <c:pt idx="24">
                  <c:v>0.53</c:v>
                </c:pt>
                <c:pt idx="25">
                  <c:v>0.52</c:v>
                </c:pt>
                <c:pt idx="26">
                  <c:v>0.51</c:v>
                </c:pt>
                <c:pt idx="27">
                  <c:v>0.51</c:v>
                </c:pt>
                <c:pt idx="28">
                  <c:v>0.42000000000000032</c:v>
                </c:pt>
                <c:pt idx="29">
                  <c:v>0.45</c:v>
                </c:pt>
                <c:pt idx="30">
                  <c:v>0.54</c:v>
                </c:pt>
                <c:pt idx="31">
                  <c:v>0.56999999999999995</c:v>
                </c:pt>
                <c:pt idx="32">
                  <c:v>0.56000000000000005</c:v>
                </c:pt>
                <c:pt idx="33">
                  <c:v>0.54</c:v>
                </c:pt>
                <c:pt idx="34">
                  <c:v>0.52</c:v>
                </c:pt>
                <c:pt idx="35">
                  <c:v>0.5</c:v>
                </c:pt>
                <c:pt idx="36">
                  <c:v>0.47000000000000008</c:v>
                </c:pt>
                <c:pt idx="37">
                  <c:v>0.45</c:v>
                </c:pt>
                <c:pt idx="38">
                  <c:v>0.43000000000000038</c:v>
                </c:pt>
                <c:pt idx="39">
                  <c:v>0.39000000000000062</c:v>
                </c:pt>
                <c:pt idx="40">
                  <c:v>0.41000000000000031</c:v>
                </c:pt>
                <c:pt idx="41">
                  <c:v>0.37000000000000038</c:v>
                </c:pt>
              </c:numCache>
            </c:numRef>
          </c:val>
        </c:ser>
        <c:ser>
          <c:idx val="1"/>
          <c:order val="1"/>
          <c:tx>
            <c:strRef>
              <c:f>Sheet3!$F$1</c:f>
              <c:strCache>
                <c:ptCount val="1"/>
                <c:pt idx="0">
                  <c:v>Primary Commodity Exports (% of merchandise exports)</c:v>
                </c:pt>
              </c:strCache>
            </c:strRef>
          </c:tx>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Sheet3!$F$2:$F$43</c:f>
              <c:numCache>
                <c:formatCode>0%</c:formatCode>
                <c:ptCount val="42"/>
                <c:pt idx="1">
                  <c:v>0.99</c:v>
                </c:pt>
                <c:pt idx="2">
                  <c:v>0.98</c:v>
                </c:pt>
                <c:pt idx="3">
                  <c:v>0.98</c:v>
                </c:pt>
                <c:pt idx="4">
                  <c:v>0.98</c:v>
                </c:pt>
                <c:pt idx="5">
                  <c:v>0.99</c:v>
                </c:pt>
                <c:pt idx="6">
                  <c:v>0.99</c:v>
                </c:pt>
                <c:pt idx="7">
                  <c:v>0.98</c:v>
                </c:pt>
                <c:pt idx="8">
                  <c:v>0.98</c:v>
                </c:pt>
                <c:pt idx="9">
                  <c:v>0.98</c:v>
                </c:pt>
                <c:pt idx="10">
                  <c:v>0.97000000000000064</c:v>
                </c:pt>
                <c:pt idx="11">
                  <c:v>0.98</c:v>
                </c:pt>
                <c:pt idx="12">
                  <c:v>0.97000000000000064</c:v>
                </c:pt>
                <c:pt idx="13">
                  <c:v>0.96000000000000063</c:v>
                </c:pt>
                <c:pt idx="14">
                  <c:v>0.92</c:v>
                </c:pt>
                <c:pt idx="15">
                  <c:v>0.9</c:v>
                </c:pt>
                <c:pt idx="16">
                  <c:v>0.87000000000000122</c:v>
                </c:pt>
                <c:pt idx="17">
                  <c:v>0.82000000000000062</c:v>
                </c:pt>
                <c:pt idx="18">
                  <c:v>0.7400000000000011</c:v>
                </c:pt>
                <c:pt idx="19">
                  <c:v>0.71000000000000063</c:v>
                </c:pt>
                <c:pt idx="20">
                  <c:v>0.6800000000000006</c:v>
                </c:pt>
                <c:pt idx="21">
                  <c:v>0.64000000000000123</c:v>
                </c:pt>
                <c:pt idx="22">
                  <c:v>0.59000000000000019</c:v>
                </c:pt>
                <c:pt idx="23">
                  <c:v>0.52</c:v>
                </c:pt>
                <c:pt idx="24">
                  <c:v>0.47000000000000008</c:v>
                </c:pt>
                <c:pt idx="25">
                  <c:v>0.48000000000000032</c:v>
                </c:pt>
                <c:pt idx="26">
                  <c:v>0.49000000000000032</c:v>
                </c:pt>
                <c:pt idx="27">
                  <c:v>0.49000000000000032</c:v>
                </c:pt>
                <c:pt idx="28">
                  <c:v>0.46</c:v>
                </c:pt>
                <c:pt idx="29">
                  <c:v>0.39000000000000062</c:v>
                </c:pt>
                <c:pt idx="30">
                  <c:v>0.44000000000000006</c:v>
                </c:pt>
                <c:pt idx="31">
                  <c:v>0.43000000000000038</c:v>
                </c:pt>
                <c:pt idx="32">
                  <c:v>0.44000000000000006</c:v>
                </c:pt>
                <c:pt idx="33">
                  <c:v>0.45</c:v>
                </c:pt>
                <c:pt idx="34">
                  <c:v>0.48000000000000032</c:v>
                </c:pt>
                <c:pt idx="35">
                  <c:v>0.49000000000000032</c:v>
                </c:pt>
                <c:pt idx="36">
                  <c:v>0.53</c:v>
                </c:pt>
                <c:pt idx="37">
                  <c:v>0.55000000000000004</c:v>
                </c:pt>
                <c:pt idx="38">
                  <c:v>0.57000000000000062</c:v>
                </c:pt>
                <c:pt idx="39">
                  <c:v>0.61000000000000065</c:v>
                </c:pt>
                <c:pt idx="40">
                  <c:v>0.59000000000000019</c:v>
                </c:pt>
                <c:pt idx="41">
                  <c:v>0.63000000000000123</c:v>
                </c:pt>
              </c:numCache>
            </c:numRef>
          </c:val>
        </c:ser>
        <c:ser>
          <c:idx val="2"/>
          <c:order val="2"/>
          <c:tx>
            <c:strRef>
              <c:f>Sheet3!$G$1</c:f>
              <c:strCache>
                <c:ptCount val="1"/>
                <c:pt idx="0">
                  <c:v>Price index - All groups (in terms of current dollars)</c:v>
                </c:pt>
              </c:strCache>
            </c:strRef>
          </c:tx>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Sheet3!$G$2:$G$43</c:f>
            </c:numRef>
          </c:val>
        </c:ser>
        <c:gapWidth val="75"/>
        <c:overlap val="-25"/>
        <c:axId val="588578816"/>
        <c:axId val="588580352"/>
      </c:barChart>
      <c:lineChart>
        <c:grouping val="standard"/>
        <c:ser>
          <c:idx val="3"/>
          <c:order val="3"/>
          <c:tx>
            <c:strRef>
              <c:f>Sheet3!$H$1</c:f>
              <c:strCache>
                <c:ptCount val="1"/>
                <c:pt idx="0">
                  <c:v>Price index - All groups (in terms of current dollars)</c:v>
                </c:pt>
              </c:strCache>
            </c:strRef>
          </c:tx>
          <c:marker>
            <c:symbol val="none"/>
          </c:marker>
          <c:val>
            <c:numRef>
              <c:f>Sheet3!$H$2:$H$43</c:f>
              <c:numCache>
                <c:formatCode>0%</c:formatCode>
                <c:ptCount val="42"/>
                <c:pt idx="1">
                  <c:v>-4.0000000000000029E-2</c:v>
                </c:pt>
                <c:pt idx="2">
                  <c:v>-3.9579468150896586E-2</c:v>
                </c:pt>
                <c:pt idx="3">
                  <c:v>0.12604636188023197</c:v>
                </c:pt>
                <c:pt idx="4">
                  <c:v>0.71622587562544904</c:v>
                </c:pt>
                <c:pt idx="5">
                  <c:v>0.37942523948354867</c:v>
                </c:pt>
                <c:pt idx="6">
                  <c:v>-0.23611111111111091</c:v>
                </c:pt>
                <c:pt idx="7">
                  <c:v>-4.0869565217391879E-2</c:v>
                </c:pt>
                <c:pt idx="8">
                  <c:v>7.8051594824034079E-2</c:v>
                </c:pt>
                <c:pt idx="9">
                  <c:v>2.8363914373088963E-2</c:v>
                </c:pt>
                <c:pt idx="10">
                  <c:v>0.14980298862538041</c:v>
                </c:pt>
                <c:pt idx="11">
                  <c:v>0.23186344238975884</c:v>
                </c:pt>
                <c:pt idx="12">
                  <c:v>-0.13205962628595411</c:v>
                </c:pt>
                <c:pt idx="13">
                  <c:v>-0.21891630382196536</c:v>
                </c:pt>
                <c:pt idx="14">
                  <c:v>7.1848869619077785E-2</c:v>
                </c:pt>
                <c:pt idx="15">
                  <c:v>-4.6229413464317137E-2</c:v>
                </c:pt>
                <c:pt idx="16">
                  <c:v>-0.12556800969403173</c:v>
                </c:pt>
                <c:pt idx="17">
                  <c:v>4.7635544777411588E-3</c:v>
                </c:pt>
                <c:pt idx="18">
                  <c:v>5.723644513403979E-2</c:v>
                </c:pt>
                <c:pt idx="19">
                  <c:v>0.28283734203016775</c:v>
                </c:pt>
                <c:pt idx="20">
                  <c:v>9.2157111986776608E-3</c:v>
                </c:pt>
                <c:pt idx="21">
                  <c:v>-6.2724352918949483E-2</c:v>
                </c:pt>
                <c:pt idx="22">
                  <c:v>-5.630585231472128E-2</c:v>
                </c:pt>
                <c:pt idx="23">
                  <c:v>-2.7198291206834837E-2</c:v>
                </c:pt>
                <c:pt idx="24">
                  <c:v>-4.9183927395155813E-2</c:v>
                </c:pt>
                <c:pt idx="25">
                  <c:v>0.16857824647833144</c:v>
                </c:pt>
                <c:pt idx="26">
                  <c:v>8.7477768262960498E-2</c:v>
                </c:pt>
                <c:pt idx="27">
                  <c:v>-2.3441759040523362E-2</c:v>
                </c:pt>
                <c:pt idx="28">
                  <c:v>-1.9972708100731529E-2</c:v>
                </c:pt>
                <c:pt idx="29">
                  <c:v>-0.13113924050632991</c:v>
                </c:pt>
                <c:pt idx="30">
                  <c:v>-0.13913170163170166</c:v>
                </c:pt>
                <c:pt idx="31">
                  <c:v>1.5315620240311341E-2</c:v>
                </c:pt>
                <c:pt idx="32">
                  <c:v>-3.6169680806733835E-2</c:v>
                </c:pt>
                <c:pt idx="33">
                  <c:v>9.7708603545180548E-3</c:v>
                </c:pt>
                <c:pt idx="34">
                  <c:v>7.7496146600444904E-2</c:v>
                </c:pt>
                <c:pt idx="35">
                  <c:v>0.1995549550981493</c:v>
                </c:pt>
                <c:pt idx="36">
                  <c:v>0.11613886312441998</c:v>
                </c:pt>
                <c:pt idx="37">
                  <c:v>0.3022496586929419</c:v>
                </c:pt>
                <c:pt idx="38">
                  <c:v>0.12963216190345939</c:v>
                </c:pt>
                <c:pt idx="39">
                  <c:v>0.23972077633861924</c:v>
                </c:pt>
                <c:pt idx="40">
                  <c:v>-0.16908605650305966</c:v>
                </c:pt>
                <c:pt idx="41">
                  <c:v>0.18167574131379988</c:v>
                </c:pt>
              </c:numCache>
            </c:numRef>
          </c:val>
        </c:ser>
        <c:marker val="1"/>
        <c:axId val="588583680"/>
        <c:axId val="588581888"/>
      </c:lineChart>
      <c:catAx>
        <c:axId val="588578816"/>
        <c:scaling>
          <c:orientation val="minMax"/>
        </c:scaling>
        <c:axPos val="b"/>
        <c:numFmt formatCode="General" sourceLinked="1"/>
        <c:majorTickMark val="none"/>
        <c:tickLblPos val="nextTo"/>
        <c:crossAx val="588580352"/>
        <c:crosses val="autoZero"/>
        <c:auto val="1"/>
        <c:lblAlgn val="ctr"/>
        <c:lblOffset val="100"/>
        <c:tickLblSkip val="5"/>
      </c:catAx>
      <c:valAx>
        <c:axId val="588580352"/>
        <c:scaling>
          <c:orientation val="minMax"/>
        </c:scaling>
        <c:axPos val="l"/>
        <c:majorGridlines/>
        <c:numFmt formatCode="0%" sourceLinked="0"/>
        <c:majorTickMark val="none"/>
        <c:tickLblPos val="nextTo"/>
        <c:spPr>
          <a:ln w="9525">
            <a:noFill/>
          </a:ln>
        </c:spPr>
        <c:crossAx val="588578816"/>
        <c:crosses val="autoZero"/>
        <c:crossBetween val="between"/>
      </c:valAx>
      <c:valAx>
        <c:axId val="588581888"/>
        <c:scaling>
          <c:orientation val="minMax"/>
        </c:scaling>
        <c:axPos val="r"/>
        <c:numFmt formatCode="0%" sourceLinked="0"/>
        <c:tickLblPos val="nextTo"/>
        <c:crossAx val="588583680"/>
        <c:crosses val="max"/>
        <c:crossBetween val="between"/>
      </c:valAx>
      <c:catAx>
        <c:axId val="588583680"/>
        <c:scaling>
          <c:orientation val="minMax"/>
        </c:scaling>
        <c:delete val="1"/>
        <c:axPos val="b"/>
        <c:tickLblPos val="none"/>
        <c:crossAx val="588581888"/>
        <c:crosses val="autoZero"/>
        <c:auto val="1"/>
        <c:lblAlgn val="ctr"/>
        <c:lblOffset val="100"/>
      </c:catAx>
    </c:plotArea>
    <c:legend>
      <c:legendPos val="b"/>
    </c:legend>
    <c:plotVisOnly val="1"/>
    <c:dispBlanksAs val="gap"/>
  </c:chart>
  <c:spPr>
    <a:ln w="25400"/>
  </c:spPr>
  <c:txPr>
    <a:bodyPr/>
    <a:lstStyle/>
    <a:p>
      <a:pPr>
        <a:defRPr sz="800"/>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Sheet5!$C$45</c:f>
              <c:strCache>
                <c:ptCount val="1"/>
                <c:pt idx="0">
                  <c:v>Food Commodity Exports</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Sheet5!$C$46:$C$77</c:f>
              <c:numCache>
                <c:formatCode>0%</c:formatCode>
                <c:ptCount val="31"/>
                <c:pt idx="0">
                  <c:v>0.88625891666145062</c:v>
                </c:pt>
                <c:pt idx="1">
                  <c:v>-9.0566501269866831E-2</c:v>
                </c:pt>
                <c:pt idx="2">
                  <c:v>0.54952641806554769</c:v>
                </c:pt>
                <c:pt idx="3">
                  <c:v>-0.22628738490058548</c:v>
                </c:pt>
                <c:pt idx="4">
                  <c:v>-0.29144502245387643</c:v>
                </c:pt>
                <c:pt idx="5">
                  <c:v>0.1259807795199003</c:v>
                </c:pt>
                <c:pt idx="6">
                  <c:v>0.33776562938560639</c:v>
                </c:pt>
                <c:pt idx="7">
                  <c:v>0.55016778885224416</c:v>
                </c:pt>
                <c:pt idx="8">
                  <c:v>0.29351558823154333</c:v>
                </c:pt>
                <c:pt idx="9">
                  <c:v>0.61501484885723656</c:v>
                </c:pt>
                <c:pt idx="10">
                  <c:v>0.44254213693817773</c:v>
                </c:pt>
                <c:pt idx="11">
                  <c:v>0.40585227675392088</c:v>
                </c:pt>
                <c:pt idx="12">
                  <c:v>2.3092599286424213E-2</c:v>
                </c:pt>
                <c:pt idx="13">
                  <c:v>0.35471213168086796</c:v>
                </c:pt>
                <c:pt idx="14">
                  <c:v>-6.7769424387428622E-5</c:v>
                </c:pt>
                <c:pt idx="15">
                  <c:v>6.105524633696538E-2</c:v>
                </c:pt>
                <c:pt idx="16">
                  <c:v>5.9458650641688766E-2</c:v>
                </c:pt>
                <c:pt idx="17">
                  <c:v>5.6545081974015213E-2</c:v>
                </c:pt>
                <c:pt idx="18">
                  <c:v>1.71225539218832E-2</c:v>
                </c:pt>
                <c:pt idx="19">
                  <c:v>4.7014712296029833E-2</c:v>
                </c:pt>
                <c:pt idx="20">
                  <c:v>-0.30983065964203682</c:v>
                </c:pt>
                <c:pt idx="21">
                  <c:v>-0.1729324570854727</c:v>
                </c:pt>
                <c:pt idx="22">
                  <c:v>0.29001329678789045</c:v>
                </c:pt>
                <c:pt idx="23">
                  <c:v>0.76242484614795369</c:v>
                </c:pt>
                <c:pt idx="24">
                  <c:v>8.6353578580300197E-2</c:v>
                </c:pt>
                <c:pt idx="25">
                  <c:v>-0.1283100313190679</c:v>
                </c:pt>
                <c:pt idx="26">
                  <c:v>2.6418673100506142E-2</c:v>
                </c:pt>
                <c:pt idx="27">
                  <c:v>-0.12495154225944269</c:v>
                </c:pt>
                <c:pt idx="28">
                  <c:v>8.2311331435464111E-2</c:v>
                </c:pt>
                <c:pt idx="29">
                  <c:v>1.4044479454561415E-2</c:v>
                </c:pt>
                <c:pt idx="30">
                  <c:v>0.3188146649740326</c:v>
                </c:pt>
              </c:numCache>
            </c:numRef>
          </c:val>
        </c:ser>
        <c:gapWidth val="75"/>
        <c:overlap val="-25"/>
        <c:axId val="588616832"/>
        <c:axId val="588618368"/>
      </c:barChart>
      <c:lineChart>
        <c:grouping val="standard"/>
        <c:ser>
          <c:idx val="1"/>
          <c:order val="1"/>
          <c:tx>
            <c:strRef>
              <c:f>Sheet5!$D$45</c:f>
              <c:strCache>
                <c:ptCount val="1"/>
                <c:pt idx="0">
                  <c:v>Food Commodity Prices (in terms of current USD)</c:v>
                </c:pt>
              </c:strCache>
            </c:strRef>
          </c:tx>
          <c:marker>
            <c:symbol val="none"/>
          </c:marker>
          <c:val>
            <c:numRef>
              <c:f>Sheet5!$D$46:$D$77</c:f>
              <c:numCache>
                <c:formatCode>0%</c:formatCode>
                <c:ptCount val="31"/>
                <c:pt idx="0">
                  <c:v>0.45523178807947084</c:v>
                </c:pt>
                <c:pt idx="1">
                  <c:v>-0.12391917720942949</c:v>
                </c:pt>
                <c:pt idx="2">
                  <c:v>-0.29001090852423306</c:v>
                </c:pt>
                <c:pt idx="3">
                  <c:v>4.9751243781094787E-2</c:v>
                </c:pt>
                <c:pt idx="4">
                  <c:v>-0.13576805129634878</c:v>
                </c:pt>
                <c:pt idx="5">
                  <c:v>-0.13266129032258051</c:v>
                </c:pt>
                <c:pt idx="6">
                  <c:v>5.2719665271966483E-2</c:v>
                </c:pt>
                <c:pt idx="7">
                  <c:v>5.4054054054054314E-2</c:v>
                </c:pt>
                <c:pt idx="8">
                  <c:v>0.2967990615049439</c:v>
                </c:pt>
                <c:pt idx="9">
                  <c:v>4.742827604032071E-2</c:v>
                </c:pt>
                <c:pt idx="10">
                  <c:v>-7.1992597162245514E-2</c:v>
                </c:pt>
                <c:pt idx="11">
                  <c:v>-3.6428903809080176E-2</c:v>
                </c:pt>
                <c:pt idx="12">
                  <c:v>-2.6422904449810602E-2</c:v>
                </c:pt>
                <c:pt idx="13">
                  <c:v>-8.503401360544241E-3</c:v>
                </c:pt>
                <c:pt idx="14">
                  <c:v>0.10741852487135511</c:v>
                </c:pt>
                <c:pt idx="15">
                  <c:v>2.4524040012907755E-2</c:v>
                </c:pt>
                <c:pt idx="16">
                  <c:v>9.0141732283464407E-2</c:v>
                </c:pt>
                <c:pt idx="17">
                  <c:v>-5.4431988905581943E-2</c:v>
                </c:pt>
                <c:pt idx="18">
                  <c:v>-0.13627474945001192</c:v>
                </c:pt>
                <c:pt idx="19">
                  <c:v>-0.16831753219187859</c:v>
                </c:pt>
                <c:pt idx="20">
                  <c:v>2.0842194810718893E-2</c:v>
                </c:pt>
                <c:pt idx="21">
                  <c:v>2.7666666666666988E-2</c:v>
                </c:pt>
                <c:pt idx="22">
                  <c:v>-5.1897502432691114E-3</c:v>
                </c:pt>
                <c:pt idx="23">
                  <c:v>1.8584936419953287E-2</c:v>
                </c:pt>
                <c:pt idx="24">
                  <c:v>0.13876440460947548</c:v>
                </c:pt>
                <c:pt idx="25">
                  <c:v>7.2312016865776818E-2</c:v>
                </c:pt>
                <c:pt idx="26">
                  <c:v>0.19005177272429405</c:v>
                </c:pt>
                <c:pt idx="27">
                  <c:v>8.4641224737044843E-2</c:v>
                </c:pt>
                <c:pt idx="28">
                  <c:v>0.42511169780666214</c:v>
                </c:pt>
                <c:pt idx="29">
                  <c:v>-6.0066265274857956E-2</c:v>
                </c:pt>
                <c:pt idx="30">
                  <c:v>4.4460448015767234E-2</c:v>
                </c:pt>
              </c:numCache>
            </c:numRef>
          </c:val>
        </c:ser>
        <c:marker val="1"/>
        <c:axId val="588616832"/>
        <c:axId val="588618368"/>
      </c:lineChart>
      <c:catAx>
        <c:axId val="588616832"/>
        <c:scaling>
          <c:orientation val="minMax"/>
        </c:scaling>
        <c:axPos val="b"/>
        <c:numFmt formatCode="General" sourceLinked="1"/>
        <c:majorTickMark val="none"/>
        <c:tickLblPos val="nextTo"/>
        <c:crossAx val="588618368"/>
        <c:crosses val="autoZero"/>
        <c:auto val="1"/>
        <c:lblAlgn val="ctr"/>
        <c:lblOffset val="100"/>
        <c:tickLblSkip val="5"/>
      </c:catAx>
      <c:valAx>
        <c:axId val="588618368"/>
        <c:scaling>
          <c:orientation val="minMax"/>
        </c:scaling>
        <c:axPos val="l"/>
        <c:majorGridlines/>
        <c:numFmt formatCode="0%" sourceLinked="0"/>
        <c:majorTickMark val="none"/>
        <c:tickLblPos val="nextTo"/>
        <c:spPr>
          <a:ln w="9525">
            <a:noFill/>
          </a:ln>
        </c:spPr>
        <c:crossAx val="588616832"/>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Sheet5!$G$45</c:f>
              <c:strCache>
                <c:ptCount val="1"/>
                <c:pt idx="0">
                  <c:v>Tropical Baverages Exports</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Sheet5!$G$46:$G$77</c:f>
              <c:numCache>
                <c:formatCode>0%</c:formatCode>
                <c:ptCount val="31"/>
                <c:pt idx="0">
                  <c:v>0.14280575539568338</c:v>
                </c:pt>
                <c:pt idx="1">
                  <c:v>-9.1595845136921872E-2</c:v>
                </c:pt>
                <c:pt idx="2">
                  <c:v>4.6431046431046404E-2</c:v>
                </c:pt>
                <c:pt idx="3">
                  <c:v>8.0132450331125732E-2</c:v>
                </c:pt>
                <c:pt idx="4">
                  <c:v>0.24003678724708771</c:v>
                </c:pt>
                <c:pt idx="5">
                  <c:v>3.2138442521630608E-3</c:v>
                </c:pt>
                <c:pt idx="6">
                  <c:v>1.1335633316904939E-2</c:v>
                </c:pt>
                <c:pt idx="7">
                  <c:v>8.5282651072124491E-3</c:v>
                </c:pt>
                <c:pt idx="8">
                  <c:v>8.5044696786663737E-2</c:v>
                </c:pt>
                <c:pt idx="9">
                  <c:v>0.20195947450456522</c:v>
                </c:pt>
                <c:pt idx="10">
                  <c:v>0.18062245276028141</c:v>
                </c:pt>
                <c:pt idx="11">
                  <c:v>-3.0284010670014152E-2</c:v>
                </c:pt>
                <c:pt idx="12">
                  <c:v>-0.1176375404530747</c:v>
                </c:pt>
                <c:pt idx="13">
                  <c:v>0.23583348615441097</c:v>
                </c:pt>
                <c:pt idx="14">
                  <c:v>-0.14497699955483043</c:v>
                </c:pt>
                <c:pt idx="15">
                  <c:v>-0.12009718847622386</c:v>
                </c:pt>
                <c:pt idx="16">
                  <c:v>0.46785009861932947</c:v>
                </c:pt>
                <c:pt idx="17">
                  <c:v>-0.19000268744961038</c:v>
                </c:pt>
                <c:pt idx="18">
                  <c:v>0.17501658925016639</c:v>
                </c:pt>
                <c:pt idx="19">
                  <c:v>0.11464068897359866</c:v>
                </c:pt>
                <c:pt idx="20">
                  <c:v>-5.9531348955034081E-3</c:v>
                </c:pt>
                <c:pt idx="21">
                  <c:v>-0.16272935779816541</c:v>
                </c:pt>
                <c:pt idx="22">
                  <c:v>0.21124960051134636</c:v>
                </c:pt>
                <c:pt idx="23">
                  <c:v>-0.14273149893202719</c:v>
                </c:pt>
                <c:pt idx="24">
                  <c:v>5.8771801260442479E-2</c:v>
                </c:pt>
                <c:pt idx="25">
                  <c:v>0.27990033222591382</c:v>
                </c:pt>
                <c:pt idx="26">
                  <c:v>9.0309322950465162E-2</c:v>
                </c:pt>
                <c:pt idx="27">
                  <c:v>-0.20841186390239094</c:v>
                </c:pt>
                <c:pt idx="28">
                  <c:v>0.21328320802005021</c:v>
                </c:pt>
                <c:pt idx="29">
                  <c:v>0.1054534187151414</c:v>
                </c:pt>
                <c:pt idx="30">
                  <c:v>-6.1104363262636623E-2</c:v>
                </c:pt>
              </c:numCache>
            </c:numRef>
          </c:val>
        </c:ser>
        <c:gapWidth val="75"/>
        <c:overlap val="-25"/>
        <c:axId val="588639232"/>
        <c:axId val="588710656"/>
      </c:barChart>
      <c:lineChart>
        <c:grouping val="standard"/>
        <c:ser>
          <c:idx val="1"/>
          <c:order val="1"/>
          <c:tx>
            <c:strRef>
              <c:f>Sheet5!$H$45</c:f>
              <c:strCache>
                <c:ptCount val="1"/>
                <c:pt idx="0">
                  <c:v>Tropical Baverages Commodity Prices (in terms of current USD)</c:v>
                </c:pt>
              </c:strCache>
            </c:strRef>
          </c:tx>
          <c:marker>
            <c:symbol val="none"/>
          </c:marker>
          <c:val>
            <c:numRef>
              <c:f>Sheet5!$H$46:$H$77</c:f>
              <c:numCache>
                <c:formatCode>0%</c:formatCode>
                <c:ptCount val="31"/>
                <c:pt idx="0">
                  <c:v>-7.1156940178440597E-2</c:v>
                </c:pt>
                <c:pt idx="1">
                  <c:v>-0.18522163609164671</c:v>
                </c:pt>
                <c:pt idx="2">
                  <c:v>-5.5998453882204993E-2</c:v>
                </c:pt>
                <c:pt idx="3">
                  <c:v>6.5155082403521303E-2</c:v>
                </c:pt>
                <c:pt idx="4">
                  <c:v>0.14146364903176201</c:v>
                </c:pt>
                <c:pt idx="5">
                  <c:v>-9.543254051778581E-2</c:v>
                </c:pt>
                <c:pt idx="6">
                  <c:v>0.2233339538346992</c:v>
                </c:pt>
                <c:pt idx="7">
                  <c:v>-0.33780956366264925</c:v>
                </c:pt>
                <c:pt idx="8">
                  <c:v>2.4128224277589067E-3</c:v>
                </c:pt>
                <c:pt idx="9">
                  <c:v>-0.15513783024815161</c:v>
                </c:pt>
                <c:pt idx="10">
                  <c:v>-0.12406729073395679</c:v>
                </c:pt>
                <c:pt idx="11">
                  <c:v>-7.7673662200883453E-2</c:v>
                </c:pt>
                <c:pt idx="12">
                  <c:v>-0.1374475230898404</c:v>
                </c:pt>
                <c:pt idx="13">
                  <c:v>8.167039813102335E-2</c:v>
                </c:pt>
                <c:pt idx="14">
                  <c:v>0.7427105831533477</c:v>
                </c:pt>
                <c:pt idx="15">
                  <c:v>1.1722179189259285E-2</c:v>
                </c:pt>
                <c:pt idx="16">
                  <c:v>-0.16639444671294473</c:v>
                </c:pt>
                <c:pt idx="17">
                  <c:v>0.29849375459221161</c:v>
                </c:pt>
                <c:pt idx="18">
                  <c:v>-0.15376998160984601</c:v>
                </c:pt>
                <c:pt idx="19">
                  <c:v>-0.20996322300234088</c:v>
                </c:pt>
                <c:pt idx="20">
                  <c:v>-0.15368881365495837</c:v>
                </c:pt>
                <c:pt idx="21">
                  <c:v>-0.20610050837569788</c:v>
                </c:pt>
                <c:pt idx="22">
                  <c:v>0.116838127230737</c:v>
                </c:pt>
                <c:pt idx="23">
                  <c:v>6.1659930444590505E-2</c:v>
                </c:pt>
                <c:pt idx="24">
                  <c:v>6.4099158919875734E-2</c:v>
                </c:pt>
                <c:pt idx="25">
                  <c:v>0.25476329145519566</c:v>
                </c:pt>
                <c:pt idx="26">
                  <c:v>6.7104303428154322E-2</c:v>
                </c:pt>
                <c:pt idx="27">
                  <c:v>0.10383396507798442</c:v>
                </c:pt>
                <c:pt idx="28">
                  <c:v>0.20237559108308967</c:v>
                </c:pt>
                <c:pt idx="29">
                  <c:v>1.9429748583734925E-2</c:v>
                </c:pt>
                <c:pt idx="30">
                  <c:v>0.17470377514466806</c:v>
                </c:pt>
              </c:numCache>
            </c:numRef>
          </c:val>
        </c:ser>
        <c:marker val="1"/>
        <c:axId val="588639232"/>
        <c:axId val="588710656"/>
      </c:lineChart>
      <c:catAx>
        <c:axId val="588639232"/>
        <c:scaling>
          <c:orientation val="minMax"/>
        </c:scaling>
        <c:axPos val="b"/>
        <c:numFmt formatCode="General" sourceLinked="1"/>
        <c:majorTickMark val="none"/>
        <c:tickLblPos val="nextTo"/>
        <c:crossAx val="588710656"/>
        <c:crosses val="autoZero"/>
        <c:auto val="1"/>
        <c:lblAlgn val="ctr"/>
        <c:lblOffset val="100"/>
        <c:tickLblSkip val="5"/>
      </c:catAx>
      <c:valAx>
        <c:axId val="588710656"/>
        <c:scaling>
          <c:orientation val="minMax"/>
        </c:scaling>
        <c:axPos val="l"/>
        <c:majorGridlines/>
        <c:numFmt formatCode="0%" sourceLinked="1"/>
        <c:majorTickMark val="none"/>
        <c:tickLblPos val="nextTo"/>
        <c:spPr>
          <a:ln w="9525">
            <a:noFill/>
          </a:ln>
        </c:spPr>
        <c:crossAx val="588639232"/>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Sheet5!$K$45</c:f>
              <c:strCache>
                <c:ptCount val="1"/>
                <c:pt idx="0">
                  <c:v>Vegetables Oils and Oilseeds Exports</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Sheet5!$K$46:$K$77</c:f>
              <c:numCache>
                <c:formatCode>0%</c:formatCode>
                <c:ptCount val="31"/>
                <c:pt idx="0">
                  <c:v>0.48823529411764732</c:v>
                </c:pt>
                <c:pt idx="1">
                  <c:v>-0.61372619475386281</c:v>
                </c:pt>
                <c:pt idx="2">
                  <c:v>0.41860465116279127</c:v>
                </c:pt>
                <c:pt idx="3">
                  <c:v>0.37049180327868936</c:v>
                </c:pt>
                <c:pt idx="4">
                  <c:v>-0.22488038277511971</c:v>
                </c:pt>
                <c:pt idx="5">
                  <c:v>1.9074074074074074</c:v>
                </c:pt>
                <c:pt idx="6">
                  <c:v>-0.22367303609341832</c:v>
                </c:pt>
                <c:pt idx="7">
                  <c:v>0.23670176398195014</c:v>
                </c:pt>
                <c:pt idx="8">
                  <c:v>0.34210526315789536</c:v>
                </c:pt>
                <c:pt idx="9">
                  <c:v>2.1585104630087372E-2</c:v>
                </c:pt>
                <c:pt idx="10">
                  <c:v>0.16854838709677475</c:v>
                </c:pt>
                <c:pt idx="11">
                  <c:v>0.22118702553485162</c:v>
                </c:pt>
                <c:pt idx="12">
                  <c:v>4.2384854478666294E-2</c:v>
                </c:pt>
                <c:pt idx="13">
                  <c:v>0.21241528869612455</c:v>
                </c:pt>
                <c:pt idx="14">
                  <c:v>5.7268702767964745E-2</c:v>
                </c:pt>
                <c:pt idx="15">
                  <c:v>-0.27054564217952343</c:v>
                </c:pt>
                <c:pt idx="16">
                  <c:v>0.38696584913318288</c:v>
                </c:pt>
                <c:pt idx="17">
                  <c:v>0.7202040048492957</c:v>
                </c:pt>
                <c:pt idx="18">
                  <c:v>-0.46560062212933478</c:v>
                </c:pt>
                <c:pt idx="19">
                  <c:v>0.93105957253296934</c:v>
                </c:pt>
                <c:pt idx="20">
                  <c:v>0.27717596081386664</c:v>
                </c:pt>
                <c:pt idx="21">
                  <c:v>8.4172290445108239E-2</c:v>
                </c:pt>
                <c:pt idx="22">
                  <c:v>0.27854215207741634</c:v>
                </c:pt>
                <c:pt idx="23">
                  <c:v>-1.4234406799952021E-2</c:v>
                </c:pt>
                <c:pt idx="24">
                  <c:v>0.35107796979768535</c:v>
                </c:pt>
                <c:pt idx="25">
                  <c:v>0.2156102121165514</c:v>
                </c:pt>
                <c:pt idx="26">
                  <c:v>0.14162120415406854</c:v>
                </c:pt>
                <c:pt idx="27">
                  <c:v>3.9582868534498274E-3</c:v>
                </c:pt>
                <c:pt idx="28">
                  <c:v>0.16820192259442754</c:v>
                </c:pt>
                <c:pt idx="29">
                  <c:v>0.17223848358216387</c:v>
                </c:pt>
                <c:pt idx="30">
                  <c:v>-3.5159646445743445E-2</c:v>
                </c:pt>
              </c:numCache>
            </c:numRef>
          </c:val>
        </c:ser>
        <c:gapWidth val="75"/>
        <c:overlap val="-25"/>
        <c:axId val="588727424"/>
        <c:axId val="588728960"/>
      </c:barChart>
      <c:lineChart>
        <c:grouping val="standard"/>
        <c:ser>
          <c:idx val="1"/>
          <c:order val="1"/>
          <c:tx>
            <c:strRef>
              <c:f>Sheet5!$L$45</c:f>
              <c:strCache>
                <c:ptCount val="1"/>
                <c:pt idx="0">
                  <c:v>Vegetables Oils and Oilseeds Commodity Prices (in terms of current USD)</c:v>
                </c:pt>
              </c:strCache>
            </c:strRef>
          </c:tx>
          <c:marker>
            <c:symbol val="none"/>
          </c:marker>
          <c:val>
            <c:numRef>
              <c:f>Sheet5!$L$46:$L$77</c:f>
              <c:numCache>
                <c:formatCode>0%</c:formatCode>
                <c:ptCount val="31"/>
                <c:pt idx="0">
                  <c:v>-0.1116127301984621</c:v>
                </c:pt>
                <c:pt idx="1">
                  <c:v>-5.6955974842767154E-2</c:v>
                </c:pt>
                <c:pt idx="2">
                  <c:v>-0.18428213199594581</c:v>
                </c:pt>
                <c:pt idx="3">
                  <c:v>0.17712080580809755</c:v>
                </c:pt>
                <c:pt idx="4">
                  <c:v>0.32038673112185545</c:v>
                </c:pt>
                <c:pt idx="5">
                  <c:v>-0.2871270462483691</c:v>
                </c:pt>
                <c:pt idx="6">
                  <c:v>-0.36782762691853632</c:v>
                </c:pt>
                <c:pt idx="7">
                  <c:v>0.15407601083201103</c:v>
                </c:pt>
                <c:pt idx="8">
                  <c:v>0.33368395501254172</c:v>
                </c:pt>
                <c:pt idx="9">
                  <c:v>-0.12066978098647121</c:v>
                </c:pt>
                <c:pt idx="10">
                  <c:v>-0.11390920380847221</c:v>
                </c:pt>
                <c:pt idx="11">
                  <c:v>6.2991512886397483E-2</c:v>
                </c:pt>
                <c:pt idx="12">
                  <c:v>6.3726926457662009E-2</c:v>
                </c:pt>
                <c:pt idx="13">
                  <c:v>1.4667401184409904E-2</c:v>
                </c:pt>
                <c:pt idx="14">
                  <c:v>0.23841194435018612</c:v>
                </c:pt>
                <c:pt idx="15">
                  <c:v>9.8750548005261354E-2</c:v>
                </c:pt>
                <c:pt idx="16">
                  <c:v>-4.897755610972538E-2</c:v>
                </c:pt>
                <c:pt idx="17">
                  <c:v>-5.1395007342147402E-3</c:v>
                </c:pt>
                <c:pt idx="18">
                  <c:v>7.4749604638904024E-2</c:v>
                </c:pt>
                <c:pt idx="19">
                  <c:v>-0.26182067883068555</c:v>
                </c:pt>
                <c:pt idx="20">
                  <c:v>-0.20265780730897032</c:v>
                </c:pt>
                <c:pt idx="21">
                  <c:v>-6.4249999999999974E-2</c:v>
                </c:pt>
                <c:pt idx="22">
                  <c:v>0.24873096446700546</c:v>
                </c:pt>
                <c:pt idx="23">
                  <c:v>0.17401226643845374</c:v>
                </c:pt>
                <c:pt idx="24">
                  <c:v>0.13236544769772896</c:v>
                </c:pt>
                <c:pt idx="25">
                  <c:v>-9.4898342363607752E-2</c:v>
                </c:pt>
                <c:pt idx="26">
                  <c:v>5.0142247510668654E-2</c:v>
                </c:pt>
                <c:pt idx="27">
                  <c:v>0.52855852805057013</c:v>
                </c:pt>
                <c:pt idx="28">
                  <c:v>0.3194623933833044</c:v>
                </c:pt>
                <c:pt idx="29">
                  <c:v>-0.28364348677766932</c:v>
                </c:pt>
                <c:pt idx="30">
                  <c:v>0.22668854252119236</c:v>
                </c:pt>
              </c:numCache>
            </c:numRef>
          </c:val>
        </c:ser>
        <c:marker val="1"/>
        <c:axId val="588727424"/>
        <c:axId val="588728960"/>
      </c:lineChart>
      <c:catAx>
        <c:axId val="588727424"/>
        <c:scaling>
          <c:orientation val="minMax"/>
        </c:scaling>
        <c:axPos val="b"/>
        <c:numFmt formatCode="General" sourceLinked="1"/>
        <c:majorTickMark val="none"/>
        <c:tickLblPos val="nextTo"/>
        <c:crossAx val="588728960"/>
        <c:crosses val="autoZero"/>
        <c:auto val="1"/>
        <c:lblAlgn val="ctr"/>
        <c:lblOffset val="100"/>
        <c:tickLblSkip val="5"/>
      </c:catAx>
      <c:valAx>
        <c:axId val="588728960"/>
        <c:scaling>
          <c:orientation val="minMax"/>
        </c:scaling>
        <c:axPos val="l"/>
        <c:majorGridlines/>
        <c:numFmt formatCode="0%" sourceLinked="1"/>
        <c:majorTickMark val="none"/>
        <c:tickLblPos val="nextTo"/>
        <c:spPr>
          <a:ln w="9525">
            <a:noFill/>
          </a:ln>
        </c:spPr>
        <c:crossAx val="588727424"/>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Sheet5!$O$45</c:f>
              <c:strCache>
                <c:ptCount val="1"/>
                <c:pt idx="0">
                  <c:v>Agriculture Raw Materials Exports</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Sheet5!$O$46:$O$77</c:f>
              <c:numCache>
                <c:formatCode>0%</c:formatCode>
                <c:ptCount val="31"/>
                <c:pt idx="0">
                  <c:v>8.2378624472890186E-3</c:v>
                </c:pt>
                <c:pt idx="1">
                  <c:v>-7.1328108373199056E-2</c:v>
                </c:pt>
                <c:pt idx="2">
                  <c:v>4.1663968115581082E-2</c:v>
                </c:pt>
                <c:pt idx="3">
                  <c:v>-0.29748718243036432</c:v>
                </c:pt>
                <c:pt idx="4">
                  <c:v>0.41983974075309599</c:v>
                </c:pt>
                <c:pt idx="5">
                  <c:v>0.10839774449068867</c:v>
                </c:pt>
                <c:pt idx="6">
                  <c:v>4.8744825080138186E-2</c:v>
                </c:pt>
                <c:pt idx="7">
                  <c:v>0.19801923021395776</c:v>
                </c:pt>
                <c:pt idx="8">
                  <c:v>0.16849781536099095</c:v>
                </c:pt>
                <c:pt idx="9">
                  <c:v>0.13410828729281771</c:v>
                </c:pt>
                <c:pt idx="10">
                  <c:v>-0.48535677911496494</c:v>
                </c:pt>
                <c:pt idx="11">
                  <c:v>0.10788570274636509</c:v>
                </c:pt>
                <c:pt idx="12">
                  <c:v>-5.3087263613579405E-2</c:v>
                </c:pt>
                <c:pt idx="13">
                  <c:v>-1.3084696823869131E-2</c:v>
                </c:pt>
                <c:pt idx="14">
                  <c:v>-8.1021645106080301E-2</c:v>
                </c:pt>
                <c:pt idx="15">
                  <c:v>-1.6772344997745006E-2</c:v>
                </c:pt>
                <c:pt idx="16">
                  <c:v>8.0786167594871575E-3</c:v>
                </c:pt>
                <c:pt idx="17">
                  <c:v>-7.6535992848004039E-2</c:v>
                </c:pt>
                <c:pt idx="18">
                  <c:v>8.5887863469832876E-2</c:v>
                </c:pt>
                <c:pt idx="19">
                  <c:v>0.10040572282724756</c:v>
                </c:pt>
                <c:pt idx="20">
                  <c:v>-1.8245944267639605E-2</c:v>
                </c:pt>
                <c:pt idx="21">
                  <c:v>0.1000311315580111</c:v>
                </c:pt>
                <c:pt idx="22">
                  <c:v>0.1758546336642558</c:v>
                </c:pt>
                <c:pt idx="23">
                  <c:v>6.0880893347647187E-2</c:v>
                </c:pt>
                <c:pt idx="24">
                  <c:v>7.3815328438239181E-2</c:v>
                </c:pt>
                <c:pt idx="25">
                  <c:v>-3.1590490658672042E-3</c:v>
                </c:pt>
                <c:pt idx="26">
                  <c:v>0.11742243035300394</c:v>
                </c:pt>
                <c:pt idx="27">
                  <c:v>1.7110503693030403E-2</c:v>
                </c:pt>
                <c:pt idx="28">
                  <c:v>-0.16225624267396024</c:v>
                </c:pt>
                <c:pt idx="29">
                  <c:v>-2.4648434739594268E-2</c:v>
                </c:pt>
                <c:pt idx="30">
                  <c:v>0.33794612453087247</c:v>
                </c:pt>
              </c:numCache>
            </c:numRef>
          </c:val>
        </c:ser>
        <c:gapWidth val="75"/>
        <c:overlap val="-25"/>
        <c:axId val="588753920"/>
        <c:axId val="588768000"/>
      </c:barChart>
      <c:lineChart>
        <c:grouping val="standard"/>
        <c:ser>
          <c:idx val="1"/>
          <c:order val="1"/>
          <c:tx>
            <c:strRef>
              <c:f>Sheet5!$P$45</c:f>
              <c:strCache>
                <c:ptCount val="1"/>
                <c:pt idx="0">
                  <c:v>Agriculture Raw Materials Commodity Prices (in terms of current USD)</c:v>
                </c:pt>
              </c:strCache>
            </c:strRef>
          </c:tx>
          <c:marker>
            <c:symbol val="none"/>
          </c:marker>
          <c:val>
            <c:numRef>
              <c:f>Sheet5!$P$46:$P$77</c:f>
              <c:numCache>
                <c:formatCode>0%</c:formatCode>
                <c:ptCount val="31"/>
                <c:pt idx="0">
                  <c:v>0.10967696431090397</c:v>
                </c:pt>
                <c:pt idx="1">
                  <c:v>-0.14180385177652041</c:v>
                </c:pt>
                <c:pt idx="2">
                  <c:v>-0.14657087838838687</c:v>
                </c:pt>
                <c:pt idx="3">
                  <c:v>8.9646793369781708E-2</c:v>
                </c:pt>
                <c:pt idx="4">
                  <c:v>2.4689391525969857E-3</c:v>
                </c:pt>
                <c:pt idx="5">
                  <c:v>-0.1040756335902127</c:v>
                </c:pt>
                <c:pt idx="6">
                  <c:v>1.4897579143389445E-2</c:v>
                </c:pt>
                <c:pt idx="7">
                  <c:v>0.17221494102228094</c:v>
                </c:pt>
                <c:pt idx="8">
                  <c:v>5.2251043530113568E-2</c:v>
                </c:pt>
                <c:pt idx="9">
                  <c:v>5.6669264007928113E-3</c:v>
                </c:pt>
                <c:pt idx="10">
                  <c:v>8.3468338381348567E-2</c:v>
                </c:pt>
                <c:pt idx="11">
                  <c:v>-3.7576387985957228E-2</c:v>
                </c:pt>
                <c:pt idx="12">
                  <c:v>-3.4652796541475316E-2</c:v>
                </c:pt>
                <c:pt idx="13">
                  <c:v>-7.011405779861446E-2</c:v>
                </c:pt>
                <c:pt idx="14">
                  <c:v>0.18692151403416343</c:v>
                </c:pt>
                <c:pt idx="15">
                  <c:v>0.14391681988207694</c:v>
                </c:pt>
                <c:pt idx="16">
                  <c:v>-0.11151138945851539</c:v>
                </c:pt>
                <c:pt idx="17">
                  <c:v>-8.2402844488803403E-2</c:v>
                </c:pt>
                <c:pt idx="18">
                  <c:v>-0.11957851801495555</c:v>
                </c:pt>
                <c:pt idx="19">
                  <c:v>-9.2579723573469247E-2</c:v>
                </c:pt>
                <c:pt idx="20">
                  <c:v>2.1017699115044152E-2</c:v>
                </c:pt>
                <c:pt idx="21">
                  <c:v>-4.1836819734977805E-2</c:v>
                </c:pt>
                <c:pt idx="22">
                  <c:v>-1.3655736279029353E-2</c:v>
                </c:pt>
                <c:pt idx="23">
                  <c:v>0.17037037037037031</c:v>
                </c:pt>
                <c:pt idx="24">
                  <c:v>0.13351416515973524</c:v>
                </c:pt>
                <c:pt idx="25">
                  <c:v>3.2305237968625562E-2</c:v>
                </c:pt>
                <c:pt idx="26">
                  <c:v>0.13251770766258766</c:v>
                </c:pt>
                <c:pt idx="27">
                  <c:v>0.120195587900842</c:v>
                </c:pt>
                <c:pt idx="28">
                  <c:v>0.20541061821134909</c:v>
                </c:pt>
                <c:pt idx="29">
                  <c:v>-0.17512316308055062</c:v>
                </c:pt>
                <c:pt idx="30">
                  <c:v>0.3826952526799387</c:v>
                </c:pt>
              </c:numCache>
            </c:numRef>
          </c:val>
        </c:ser>
        <c:marker val="1"/>
        <c:axId val="588753920"/>
        <c:axId val="588768000"/>
      </c:lineChart>
      <c:catAx>
        <c:axId val="588753920"/>
        <c:scaling>
          <c:orientation val="minMax"/>
        </c:scaling>
        <c:axPos val="b"/>
        <c:numFmt formatCode="General" sourceLinked="1"/>
        <c:majorTickMark val="none"/>
        <c:tickLblPos val="nextTo"/>
        <c:crossAx val="588768000"/>
        <c:crosses val="autoZero"/>
        <c:auto val="1"/>
        <c:lblAlgn val="ctr"/>
        <c:lblOffset val="100"/>
        <c:tickLblSkip val="5"/>
      </c:catAx>
      <c:valAx>
        <c:axId val="588768000"/>
        <c:scaling>
          <c:orientation val="minMax"/>
        </c:scaling>
        <c:axPos val="l"/>
        <c:majorGridlines/>
        <c:numFmt formatCode="0%" sourceLinked="1"/>
        <c:majorTickMark val="none"/>
        <c:tickLblPos val="nextTo"/>
        <c:spPr>
          <a:ln w="9525">
            <a:noFill/>
          </a:ln>
        </c:spPr>
        <c:crossAx val="588753920"/>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Sheet5!$S$45</c:f>
              <c:strCache>
                <c:ptCount val="1"/>
                <c:pt idx="0">
                  <c:v>Minerals, Ores and Metals Exports</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Sheet5!$S$46:$S$77</c:f>
              <c:numCache>
                <c:formatCode>0%</c:formatCode>
                <c:ptCount val="31"/>
                <c:pt idx="0">
                  <c:v>6.5596967108073514E-2</c:v>
                </c:pt>
                <c:pt idx="1">
                  <c:v>-0.52095808383233422</c:v>
                </c:pt>
                <c:pt idx="2">
                  <c:v>-0.2188284518828458</c:v>
                </c:pt>
                <c:pt idx="3">
                  <c:v>0.7423674343867166</c:v>
                </c:pt>
                <c:pt idx="4">
                  <c:v>0.10989855517983418</c:v>
                </c:pt>
                <c:pt idx="5">
                  <c:v>1.2948345104556187E-2</c:v>
                </c:pt>
                <c:pt idx="6">
                  <c:v>0.22195638799644568</c:v>
                </c:pt>
                <c:pt idx="7">
                  <c:v>2.2320429626314666E-2</c:v>
                </c:pt>
                <c:pt idx="8">
                  <c:v>0.10517099863201086</c:v>
                </c:pt>
                <c:pt idx="9">
                  <c:v>0.31276922315195332</c:v>
                </c:pt>
                <c:pt idx="10">
                  <c:v>-2.7909783510598182E-2</c:v>
                </c:pt>
                <c:pt idx="11">
                  <c:v>0.30934274850624682</c:v>
                </c:pt>
                <c:pt idx="12">
                  <c:v>-9.4378759593445355E-2</c:v>
                </c:pt>
                <c:pt idx="13">
                  <c:v>0.20401151757083971</c:v>
                </c:pt>
                <c:pt idx="14">
                  <c:v>-2.0844090550860082E-2</c:v>
                </c:pt>
                <c:pt idx="15">
                  <c:v>9.4643352761587765E-2</c:v>
                </c:pt>
                <c:pt idx="16">
                  <c:v>0.1037525354969575</c:v>
                </c:pt>
                <c:pt idx="17">
                  <c:v>-5.0996967747863392E-3</c:v>
                </c:pt>
                <c:pt idx="18">
                  <c:v>0.1475178942507504</c:v>
                </c:pt>
                <c:pt idx="19">
                  <c:v>-0.10613895651824004</c:v>
                </c:pt>
                <c:pt idx="20">
                  <c:v>0.10381775616783738</c:v>
                </c:pt>
                <c:pt idx="21">
                  <c:v>0.14856432009136203</c:v>
                </c:pt>
                <c:pt idx="22">
                  <c:v>0.16558654853429441</c:v>
                </c:pt>
                <c:pt idx="23">
                  <c:v>-9.9029658628726328E-2</c:v>
                </c:pt>
                <c:pt idx="24">
                  <c:v>4.4652216548879013E-2</c:v>
                </c:pt>
                <c:pt idx="25">
                  <c:v>0.3900982407302514</c:v>
                </c:pt>
                <c:pt idx="26">
                  <c:v>0.6293864244964491</c:v>
                </c:pt>
                <c:pt idx="27">
                  <c:v>0.60176637036613601</c:v>
                </c:pt>
                <c:pt idx="28">
                  <c:v>0.29414625006691525</c:v>
                </c:pt>
                <c:pt idx="29">
                  <c:v>-5.2492063109055187E-2</c:v>
                </c:pt>
                <c:pt idx="30">
                  <c:v>0.73236731144928724</c:v>
                </c:pt>
              </c:numCache>
            </c:numRef>
          </c:val>
        </c:ser>
        <c:gapWidth val="75"/>
        <c:overlap val="-25"/>
        <c:axId val="588801152"/>
        <c:axId val="588802688"/>
      </c:barChart>
      <c:lineChart>
        <c:grouping val="standard"/>
        <c:ser>
          <c:idx val="1"/>
          <c:order val="1"/>
          <c:tx>
            <c:strRef>
              <c:f>Sheet5!$T$45</c:f>
              <c:strCache>
                <c:ptCount val="1"/>
                <c:pt idx="0">
                  <c:v>Minerals, Ores and Metals Commodity Prices (in terms of current USD)</c:v>
                </c:pt>
              </c:strCache>
            </c:strRef>
          </c:tx>
          <c:marker>
            <c:symbol val="none"/>
          </c:marker>
          <c:val>
            <c:numRef>
              <c:f>Sheet5!$T$46:$T$77</c:f>
              <c:numCache>
                <c:formatCode>0%</c:formatCode>
                <c:ptCount val="31"/>
                <c:pt idx="0">
                  <c:v>9.9810036409687844E-2</c:v>
                </c:pt>
                <c:pt idx="1">
                  <c:v>-0.15573947463116242</c:v>
                </c:pt>
                <c:pt idx="2">
                  <c:v>-0.12215497400051165</c:v>
                </c:pt>
                <c:pt idx="3">
                  <c:v>7.9141580889493163E-2</c:v>
                </c:pt>
                <c:pt idx="4">
                  <c:v>-8.1256186448303833E-2</c:v>
                </c:pt>
                <c:pt idx="5">
                  <c:v>-4.6229187071498375E-2</c:v>
                </c:pt>
                <c:pt idx="6">
                  <c:v>-4.0562743889915903E-2</c:v>
                </c:pt>
                <c:pt idx="7">
                  <c:v>0.19565450069570767</c:v>
                </c:pt>
                <c:pt idx="8">
                  <c:v>0.47694924357711993</c:v>
                </c:pt>
                <c:pt idx="9">
                  <c:v>1.3637190132735321E-2</c:v>
                </c:pt>
                <c:pt idx="10">
                  <c:v>-8.861516383640311E-2</c:v>
                </c:pt>
                <c:pt idx="11">
                  <c:v>-0.12222805406114697</c:v>
                </c:pt>
                <c:pt idx="12">
                  <c:v>-2.6907840645788196E-2</c:v>
                </c:pt>
                <c:pt idx="13">
                  <c:v>-0.15684768415392958</c:v>
                </c:pt>
                <c:pt idx="14">
                  <c:v>0.15505147125808466</c:v>
                </c:pt>
                <c:pt idx="15">
                  <c:v>0.21231958356337363</c:v>
                </c:pt>
                <c:pt idx="16">
                  <c:v>-0.13844252163164364</c:v>
                </c:pt>
                <c:pt idx="17">
                  <c:v>1.3969644340405664E-2</c:v>
                </c:pt>
                <c:pt idx="18">
                  <c:v>-0.18967828418230631</c:v>
                </c:pt>
                <c:pt idx="19">
                  <c:v>-1.8380663541953921E-2</c:v>
                </c:pt>
                <c:pt idx="20">
                  <c:v>0.12367755828106022</c:v>
                </c:pt>
                <c:pt idx="21">
                  <c:v>-0.10773204465922401</c:v>
                </c:pt>
                <c:pt idx="22">
                  <c:v>-2.7360164347744829E-2</c:v>
                </c:pt>
                <c:pt idx="23">
                  <c:v>0.12423195084485412</c:v>
                </c:pt>
                <c:pt idx="24">
                  <c:v>0.40691716481639678</c:v>
                </c:pt>
                <c:pt idx="25">
                  <c:v>0.26166919575113773</c:v>
                </c:pt>
                <c:pt idx="26">
                  <c:v>0.60309823919946193</c:v>
                </c:pt>
                <c:pt idx="27">
                  <c:v>0.12784346677870478</c:v>
                </c:pt>
                <c:pt idx="28">
                  <c:v>6.1518812197328673E-2</c:v>
                </c:pt>
                <c:pt idx="29">
                  <c:v>-0.30330375495061962</c:v>
                </c:pt>
                <c:pt idx="30">
                  <c:v>0.33723105706267531</c:v>
                </c:pt>
              </c:numCache>
            </c:numRef>
          </c:val>
        </c:ser>
        <c:marker val="1"/>
        <c:axId val="588801152"/>
        <c:axId val="588802688"/>
      </c:lineChart>
      <c:catAx>
        <c:axId val="588801152"/>
        <c:scaling>
          <c:orientation val="minMax"/>
        </c:scaling>
        <c:axPos val="b"/>
        <c:numFmt formatCode="General" sourceLinked="1"/>
        <c:majorTickMark val="none"/>
        <c:tickLblPos val="nextTo"/>
        <c:crossAx val="588802688"/>
        <c:crosses val="autoZero"/>
        <c:auto val="1"/>
        <c:lblAlgn val="ctr"/>
        <c:lblOffset val="100"/>
        <c:tickLblSkip val="5"/>
      </c:catAx>
      <c:valAx>
        <c:axId val="588802688"/>
        <c:scaling>
          <c:orientation val="minMax"/>
        </c:scaling>
        <c:axPos val="l"/>
        <c:majorGridlines/>
        <c:numFmt formatCode="0%" sourceLinked="1"/>
        <c:majorTickMark val="none"/>
        <c:tickLblPos val="nextTo"/>
        <c:spPr>
          <a:ln w="9525">
            <a:noFill/>
          </a:ln>
        </c:spPr>
        <c:crossAx val="588801152"/>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'Principal Com Im Vol'!$F$2</c:f>
              <c:strCache>
                <c:ptCount val="1"/>
                <c:pt idx="0">
                  <c:v>Sugar &amp; Honey Imports Volume (% Change)</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'Principal Com Im Vol'!$F$3:$F$34</c:f>
              <c:numCache>
                <c:formatCode>0%</c:formatCode>
                <c:ptCount val="31"/>
                <c:pt idx="0">
                  <c:v>0.35694175909908082</c:v>
                </c:pt>
                <c:pt idx="1">
                  <c:v>0.80649435056494334</c:v>
                </c:pt>
                <c:pt idx="2">
                  <c:v>-4.6909377724272373E-2</c:v>
                </c:pt>
                <c:pt idx="3">
                  <c:v>-0.7554481176590172</c:v>
                </c:pt>
                <c:pt idx="4">
                  <c:v>-0.98100213725955832</c:v>
                </c:pt>
                <c:pt idx="5">
                  <c:v>0.79687499999999989</c:v>
                </c:pt>
                <c:pt idx="6">
                  <c:v>9.9130434782608692</c:v>
                </c:pt>
                <c:pt idx="7">
                  <c:v>1.1788047808764939</c:v>
                </c:pt>
                <c:pt idx="8">
                  <c:v>-1.0239906377997818E-3</c:v>
                </c:pt>
                <c:pt idx="9">
                  <c:v>1.4290525699223917</c:v>
                </c:pt>
                <c:pt idx="10">
                  <c:v>-0.13087774294670837</c:v>
                </c:pt>
                <c:pt idx="11">
                  <c:v>0.10633280155372139</c:v>
                </c:pt>
                <c:pt idx="12">
                  <c:v>0.1145454545454546</c:v>
                </c:pt>
                <c:pt idx="13">
                  <c:v>-0.29999437475389612</c:v>
                </c:pt>
                <c:pt idx="14">
                  <c:v>-0.39131308261009384</c:v>
                </c:pt>
                <c:pt idx="15">
                  <c:v>3.0382203445771996</c:v>
                </c:pt>
                <c:pt idx="16">
                  <c:v>1.14365345320801</c:v>
                </c:pt>
                <c:pt idx="17">
                  <c:v>-9.9742256249143301E-3</c:v>
                </c:pt>
                <c:pt idx="18">
                  <c:v>-0.14790880382038096</c:v>
                </c:pt>
                <c:pt idx="19">
                  <c:v>1.1656919196941058</c:v>
                </c:pt>
                <c:pt idx="20">
                  <c:v>-0.28424686122612536</c:v>
                </c:pt>
                <c:pt idx="21">
                  <c:v>-0.13180898398091939</c:v>
                </c:pt>
                <c:pt idx="22">
                  <c:v>-0.23804406233207975</c:v>
                </c:pt>
                <c:pt idx="23">
                  <c:v>0.40642630465444407</c:v>
                </c:pt>
                <c:pt idx="24">
                  <c:v>-0.22923313171832446</c:v>
                </c:pt>
                <c:pt idx="25">
                  <c:v>0.72478287740298664</c:v>
                </c:pt>
                <c:pt idx="26">
                  <c:v>-0.24085337105139124</c:v>
                </c:pt>
                <c:pt idx="27">
                  <c:v>0.91823743129522051</c:v>
                </c:pt>
                <c:pt idx="28">
                  <c:v>-0.62619267317436544</c:v>
                </c:pt>
                <c:pt idx="29">
                  <c:v>0.44470620842572023</c:v>
                </c:pt>
                <c:pt idx="30">
                  <c:v>0.22103117505995207</c:v>
                </c:pt>
              </c:numCache>
            </c:numRef>
          </c:val>
        </c:ser>
        <c:gapWidth val="75"/>
        <c:axId val="588910592"/>
        <c:axId val="588912128"/>
      </c:barChart>
      <c:lineChart>
        <c:grouping val="standard"/>
        <c:ser>
          <c:idx val="1"/>
          <c:order val="1"/>
          <c:tx>
            <c:strRef>
              <c:f>'Principal Com Im Vol'!$G$2</c:f>
              <c:strCache>
                <c:ptCount val="1"/>
                <c:pt idx="0">
                  <c:v>Food Commodity Prices (in terms of current USD)</c:v>
                </c:pt>
              </c:strCache>
            </c:strRef>
          </c:tx>
          <c:marker>
            <c:symbol val="none"/>
          </c:marker>
          <c:val>
            <c:numRef>
              <c:f>'Principal Com Im Vol'!$G$3:$G$34</c:f>
              <c:numCache>
                <c:formatCode>0%</c:formatCode>
                <c:ptCount val="31"/>
                <c:pt idx="0">
                  <c:v>0.45523178807947084</c:v>
                </c:pt>
                <c:pt idx="1">
                  <c:v>-0.12391917720942949</c:v>
                </c:pt>
                <c:pt idx="2">
                  <c:v>-0.29001090852423306</c:v>
                </c:pt>
                <c:pt idx="3">
                  <c:v>4.9751243781094787E-2</c:v>
                </c:pt>
                <c:pt idx="4">
                  <c:v>-0.13576805129634878</c:v>
                </c:pt>
                <c:pt idx="5">
                  <c:v>-0.13266129032258051</c:v>
                </c:pt>
                <c:pt idx="6">
                  <c:v>5.2719665271966483E-2</c:v>
                </c:pt>
                <c:pt idx="7">
                  <c:v>5.4054054054054314E-2</c:v>
                </c:pt>
                <c:pt idx="8">
                  <c:v>0.2967990615049439</c:v>
                </c:pt>
                <c:pt idx="9">
                  <c:v>4.742827604032071E-2</c:v>
                </c:pt>
                <c:pt idx="10">
                  <c:v>-7.1992597162245514E-2</c:v>
                </c:pt>
                <c:pt idx="11">
                  <c:v>-3.6428903809080176E-2</c:v>
                </c:pt>
                <c:pt idx="12">
                  <c:v>-2.6422904449810602E-2</c:v>
                </c:pt>
                <c:pt idx="13">
                  <c:v>-8.503401360544241E-3</c:v>
                </c:pt>
                <c:pt idx="14">
                  <c:v>0.10741852487135511</c:v>
                </c:pt>
                <c:pt idx="15">
                  <c:v>2.4524040012907755E-2</c:v>
                </c:pt>
                <c:pt idx="16">
                  <c:v>9.0141732283464407E-2</c:v>
                </c:pt>
                <c:pt idx="17">
                  <c:v>-5.4431988905581943E-2</c:v>
                </c:pt>
                <c:pt idx="18">
                  <c:v>-0.13627474945001192</c:v>
                </c:pt>
                <c:pt idx="19">
                  <c:v>-0.16831753219187859</c:v>
                </c:pt>
                <c:pt idx="20">
                  <c:v>2.0842194810718893E-2</c:v>
                </c:pt>
                <c:pt idx="21">
                  <c:v>2.7666666666666988E-2</c:v>
                </c:pt>
                <c:pt idx="22">
                  <c:v>-5.1897502432691114E-3</c:v>
                </c:pt>
                <c:pt idx="23">
                  <c:v>1.8584936419953287E-2</c:v>
                </c:pt>
                <c:pt idx="24">
                  <c:v>0.13876440460947548</c:v>
                </c:pt>
                <c:pt idx="25">
                  <c:v>7.2312016865776818E-2</c:v>
                </c:pt>
                <c:pt idx="26">
                  <c:v>0.19005177272429405</c:v>
                </c:pt>
                <c:pt idx="27">
                  <c:v>8.4641224737044843E-2</c:v>
                </c:pt>
                <c:pt idx="28">
                  <c:v>0.42511169780666214</c:v>
                </c:pt>
                <c:pt idx="29">
                  <c:v>-6.0066265274857956E-2</c:v>
                </c:pt>
                <c:pt idx="30">
                  <c:v>4.4460448015767234E-2</c:v>
                </c:pt>
              </c:numCache>
            </c:numRef>
          </c:val>
        </c:ser>
        <c:marker val="1"/>
        <c:axId val="588915456"/>
        <c:axId val="588913664"/>
      </c:lineChart>
      <c:catAx>
        <c:axId val="588910592"/>
        <c:scaling>
          <c:orientation val="minMax"/>
        </c:scaling>
        <c:axPos val="b"/>
        <c:numFmt formatCode="General" sourceLinked="1"/>
        <c:majorTickMark val="none"/>
        <c:tickLblPos val="nextTo"/>
        <c:crossAx val="588912128"/>
        <c:crosses val="autoZero"/>
        <c:auto val="1"/>
        <c:lblAlgn val="ctr"/>
        <c:lblOffset val="100"/>
        <c:tickLblSkip val="5"/>
      </c:catAx>
      <c:valAx>
        <c:axId val="588912128"/>
        <c:scaling>
          <c:orientation val="minMax"/>
        </c:scaling>
        <c:axPos val="l"/>
        <c:majorGridlines/>
        <c:numFmt formatCode="0%" sourceLinked="0"/>
        <c:majorTickMark val="none"/>
        <c:tickLblPos val="nextTo"/>
        <c:spPr>
          <a:ln w="9525">
            <a:noFill/>
          </a:ln>
        </c:spPr>
        <c:crossAx val="588910592"/>
        <c:crosses val="autoZero"/>
        <c:crossBetween val="between"/>
      </c:valAx>
      <c:valAx>
        <c:axId val="588913664"/>
        <c:scaling>
          <c:orientation val="minMax"/>
        </c:scaling>
        <c:axPos val="r"/>
        <c:numFmt formatCode="0%" sourceLinked="0"/>
        <c:tickLblPos val="nextTo"/>
        <c:crossAx val="588915456"/>
        <c:crosses val="max"/>
        <c:crossBetween val="between"/>
      </c:valAx>
      <c:catAx>
        <c:axId val="588915456"/>
        <c:scaling>
          <c:orientation val="minMax"/>
        </c:scaling>
        <c:delete val="1"/>
        <c:axPos val="b"/>
        <c:tickLblPos val="none"/>
        <c:crossAx val="588913664"/>
        <c:crosses val="autoZero"/>
        <c:auto val="1"/>
        <c:lblAlgn val="ctr"/>
        <c:lblOffset val="100"/>
      </c:catAx>
    </c:plotArea>
    <c:legend>
      <c:legendPos val="b"/>
    </c:legend>
    <c:plotVisOnly val="1"/>
    <c:dispBlanksAs val="gap"/>
  </c:chart>
  <c:spPr>
    <a:ln w="25400"/>
  </c:spPr>
  <c:txPr>
    <a:bodyPr/>
    <a:lstStyle/>
    <a:p>
      <a:pPr>
        <a:defRPr sz="800"/>
      </a:pPr>
      <a:endParaRPr lang="en-US"/>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'Principal Com Im Vol'!$C$2</c:f>
              <c:strCache>
                <c:ptCount val="1"/>
                <c:pt idx="0">
                  <c:v>Raw Cotton Imports Volume (% Change)</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'Principal Com Im Vol'!$C$3:$C$34</c:f>
              <c:numCache>
                <c:formatCode>0%</c:formatCode>
                <c:ptCount val="31"/>
                <c:pt idx="0">
                  <c:v>-0.22273936170212807</c:v>
                </c:pt>
                <c:pt idx="1">
                  <c:v>-0.15739948674080476</c:v>
                </c:pt>
                <c:pt idx="2">
                  <c:v>0.14213197969543148</c:v>
                </c:pt>
                <c:pt idx="3">
                  <c:v>2.7555555555555555E-2</c:v>
                </c:pt>
                <c:pt idx="4">
                  <c:v>8.3910034602076147E-2</c:v>
                </c:pt>
                <c:pt idx="5">
                  <c:v>2.6815642458100659E-2</c:v>
                </c:pt>
                <c:pt idx="6">
                  <c:v>0.33343696564589009</c:v>
                </c:pt>
                <c:pt idx="7">
                  <c:v>0.2326882723245508</c:v>
                </c:pt>
                <c:pt idx="8">
                  <c:v>-7.7075846415736629E-2</c:v>
                </c:pt>
                <c:pt idx="9">
                  <c:v>0.34368275438057222</c:v>
                </c:pt>
                <c:pt idx="10">
                  <c:v>0.2659193167086098</c:v>
                </c:pt>
                <c:pt idx="11">
                  <c:v>6.0240963855421832E-2</c:v>
                </c:pt>
                <c:pt idx="12">
                  <c:v>0.23039772727272734</c:v>
                </c:pt>
                <c:pt idx="13">
                  <c:v>-4.0152389748326134E-2</c:v>
                </c:pt>
                <c:pt idx="14">
                  <c:v>6.0162132255659112E-2</c:v>
                </c:pt>
                <c:pt idx="15">
                  <c:v>4.0184243964421822E-2</c:v>
                </c:pt>
                <c:pt idx="16">
                  <c:v>7.357720917042955E-2</c:v>
                </c:pt>
                <c:pt idx="17">
                  <c:v>-5.4352243172951904E-2</c:v>
                </c:pt>
                <c:pt idx="18">
                  <c:v>-2.6020068326851626E-2</c:v>
                </c:pt>
                <c:pt idx="19">
                  <c:v>5.7357158614603334E-3</c:v>
                </c:pt>
                <c:pt idx="20">
                  <c:v>0.22976529940776538</c:v>
                </c:pt>
                <c:pt idx="21">
                  <c:v>0.35128868277891806</c:v>
                </c:pt>
                <c:pt idx="22">
                  <c:v>-0.17482840549102477</c:v>
                </c:pt>
                <c:pt idx="23">
                  <c:v>-0.16320882988082874</c:v>
                </c:pt>
                <c:pt idx="24">
                  <c:v>-0.14228092980578072</c:v>
                </c:pt>
                <c:pt idx="25">
                  <c:v>1.4910071541598881E-2</c:v>
                </c:pt>
                <c:pt idx="26">
                  <c:v>1.717247134261498E-2</c:v>
                </c:pt>
                <c:pt idx="27">
                  <c:v>0.25960708117443881</c:v>
                </c:pt>
                <c:pt idx="28">
                  <c:v>0.23542720027423097</c:v>
                </c:pt>
                <c:pt idx="29">
                  <c:v>-0.20797436217588544</c:v>
                </c:pt>
                <c:pt idx="30">
                  <c:v>7.3795761078998184E-2</c:v>
                </c:pt>
              </c:numCache>
            </c:numRef>
          </c:val>
        </c:ser>
        <c:gapWidth val="75"/>
        <c:overlap val="-25"/>
        <c:axId val="588948608"/>
        <c:axId val="588950144"/>
      </c:barChart>
      <c:lineChart>
        <c:grouping val="standard"/>
        <c:ser>
          <c:idx val="1"/>
          <c:order val="1"/>
          <c:tx>
            <c:strRef>
              <c:f>'Principal Com Im Vol'!$D$2</c:f>
              <c:strCache>
                <c:ptCount val="1"/>
                <c:pt idx="0">
                  <c:v>Agriculture Raw Materials Commodity Prices (in terms of current USD)</c:v>
                </c:pt>
              </c:strCache>
            </c:strRef>
          </c:tx>
          <c:marker>
            <c:symbol val="none"/>
          </c:marker>
          <c:val>
            <c:numRef>
              <c:f>'Principal Com Im Vol'!$D$3:$D$34</c:f>
              <c:numCache>
                <c:formatCode>0%</c:formatCode>
                <c:ptCount val="31"/>
                <c:pt idx="0">
                  <c:v>0.10967696431090397</c:v>
                </c:pt>
                <c:pt idx="1">
                  <c:v>-0.14180385177652041</c:v>
                </c:pt>
                <c:pt idx="2">
                  <c:v>-0.14657087838838687</c:v>
                </c:pt>
                <c:pt idx="3">
                  <c:v>8.9646793369781708E-2</c:v>
                </c:pt>
                <c:pt idx="4">
                  <c:v>2.4689391525969857E-3</c:v>
                </c:pt>
                <c:pt idx="5">
                  <c:v>-0.1040756335902127</c:v>
                </c:pt>
                <c:pt idx="6">
                  <c:v>1.4897579143389445E-2</c:v>
                </c:pt>
                <c:pt idx="7">
                  <c:v>0.17221494102228094</c:v>
                </c:pt>
                <c:pt idx="8">
                  <c:v>5.2251043530113568E-2</c:v>
                </c:pt>
                <c:pt idx="9">
                  <c:v>5.6669264007928113E-3</c:v>
                </c:pt>
                <c:pt idx="10">
                  <c:v>8.3468338381348567E-2</c:v>
                </c:pt>
                <c:pt idx="11">
                  <c:v>-3.7576387985957228E-2</c:v>
                </c:pt>
                <c:pt idx="12">
                  <c:v>-3.4652796541475316E-2</c:v>
                </c:pt>
                <c:pt idx="13">
                  <c:v>-7.011405779861446E-2</c:v>
                </c:pt>
                <c:pt idx="14">
                  <c:v>0.18692151403416343</c:v>
                </c:pt>
                <c:pt idx="15">
                  <c:v>0.14391681988207694</c:v>
                </c:pt>
                <c:pt idx="16">
                  <c:v>-0.11151138945851539</c:v>
                </c:pt>
                <c:pt idx="17">
                  <c:v>-8.2402844488803403E-2</c:v>
                </c:pt>
                <c:pt idx="18">
                  <c:v>-0.11957851801495555</c:v>
                </c:pt>
                <c:pt idx="19">
                  <c:v>-9.2579723573469247E-2</c:v>
                </c:pt>
                <c:pt idx="20">
                  <c:v>2.1017699115044152E-2</c:v>
                </c:pt>
                <c:pt idx="21">
                  <c:v>-4.1836819734977805E-2</c:v>
                </c:pt>
                <c:pt idx="22">
                  <c:v>-1.3655736279029353E-2</c:v>
                </c:pt>
                <c:pt idx="23">
                  <c:v>0.17037037037037031</c:v>
                </c:pt>
                <c:pt idx="24">
                  <c:v>0.13351416515973524</c:v>
                </c:pt>
                <c:pt idx="25">
                  <c:v>3.2305237968625562E-2</c:v>
                </c:pt>
                <c:pt idx="26">
                  <c:v>0.13251770766258766</c:v>
                </c:pt>
                <c:pt idx="27">
                  <c:v>0.120195587900842</c:v>
                </c:pt>
                <c:pt idx="28">
                  <c:v>0.20541061821134909</c:v>
                </c:pt>
                <c:pt idx="29">
                  <c:v>-0.17512316308055062</c:v>
                </c:pt>
                <c:pt idx="30">
                  <c:v>0.3826952526799387</c:v>
                </c:pt>
              </c:numCache>
            </c:numRef>
          </c:val>
        </c:ser>
        <c:marker val="1"/>
        <c:axId val="588948608"/>
        <c:axId val="588950144"/>
      </c:lineChart>
      <c:catAx>
        <c:axId val="588948608"/>
        <c:scaling>
          <c:orientation val="minMax"/>
        </c:scaling>
        <c:axPos val="b"/>
        <c:numFmt formatCode="General" sourceLinked="1"/>
        <c:majorTickMark val="none"/>
        <c:tickLblPos val="nextTo"/>
        <c:crossAx val="588950144"/>
        <c:crosses val="autoZero"/>
        <c:auto val="1"/>
        <c:lblAlgn val="ctr"/>
        <c:lblOffset val="100"/>
        <c:tickLblSkip val="5"/>
      </c:catAx>
      <c:valAx>
        <c:axId val="588950144"/>
        <c:scaling>
          <c:orientation val="minMax"/>
        </c:scaling>
        <c:axPos val="l"/>
        <c:majorGridlines/>
        <c:numFmt formatCode="0%" sourceLinked="0"/>
        <c:majorTickMark val="none"/>
        <c:tickLblPos val="nextTo"/>
        <c:spPr>
          <a:ln w="9525">
            <a:noFill/>
          </a:ln>
        </c:spPr>
        <c:crossAx val="588948608"/>
        <c:crosses val="autoZero"/>
        <c:crossBetween val="between"/>
      </c:valAx>
    </c:plotArea>
    <c:legend>
      <c:legendPos val="b"/>
    </c:legend>
    <c:plotVisOnly val="1"/>
    <c:dispBlanksAs val="gap"/>
  </c:chart>
  <c:spPr>
    <a:ln w="25400"/>
  </c:spPr>
  <c:txPr>
    <a:bodyPr/>
    <a:lstStyle/>
    <a:p>
      <a:pPr>
        <a:defRPr sz="800"/>
      </a:pPr>
      <a:endParaRPr lang="en-US"/>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'Principal Com Im Vol'!$I$2</c:f>
              <c:strCache>
                <c:ptCount val="1"/>
                <c:pt idx="0">
                  <c:v>Volume of oil imports (% Change)</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'Principal Com Im Vol'!$I$3:$I$34</c:f>
              <c:numCache>
                <c:formatCode>0%</c:formatCode>
                <c:ptCount val="31"/>
                <c:pt idx="0">
                  <c:v>0.59717245423154597</c:v>
                </c:pt>
                <c:pt idx="1">
                  <c:v>-0.4356516418519274</c:v>
                </c:pt>
                <c:pt idx="2">
                  <c:v>0.51174557282255162</c:v>
                </c:pt>
                <c:pt idx="3">
                  <c:v>-0.23236911307673921</c:v>
                </c:pt>
                <c:pt idx="4">
                  <c:v>0.72332606664590482</c:v>
                </c:pt>
                <c:pt idx="5">
                  <c:v>-0.33956194882174418</c:v>
                </c:pt>
                <c:pt idx="6">
                  <c:v>3.8006895419471456E-2</c:v>
                </c:pt>
                <c:pt idx="7">
                  <c:v>3.5402662448925919E-2</c:v>
                </c:pt>
                <c:pt idx="8">
                  <c:v>4.8373135088344621E-2</c:v>
                </c:pt>
                <c:pt idx="9">
                  <c:v>0.12751954927388387</c:v>
                </c:pt>
                <c:pt idx="10">
                  <c:v>0.41469771048267262</c:v>
                </c:pt>
                <c:pt idx="11">
                  <c:v>0.11570117077478215</c:v>
                </c:pt>
                <c:pt idx="12">
                  <c:v>-6.827814515314691E-2</c:v>
                </c:pt>
                <c:pt idx="13">
                  <c:v>-6.2273905593227763E-2</c:v>
                </c:pt>
                <c:pt idx="14">
                  <c:v>0.47953207240695334</c:v>
                </c:pt>
                <c:pt idx="15">
                  <c:v>-2.2379394067349394E-2</c:v>
                </c:pt>
                <c:pt idx="16">
                  <c:v>9.5950761256884589E-3</c:v>
                </c:pt>
                <c:pt idx="17">
                  <c:v>-2.3991803085821602E-2</c:v>
                </c:pt>
                <c:pt idx="18">
                  <c:v>0.14769098595809121</c:v>
                </c:pt>
                <c:pt idx="19">
                  <c:v>9.7781978936915814E-2</c:v>
                </c:pt>
                <c:pt idx="20">
                  <c:v>-2.0804703672134685E-3</c:v>
                </c:pt>
                <c:pt idx="21">
                  <c:v>0.23544556664586541</c:v>
                </c:pt>
                <c:pt idx="22">
                  <c:v>0.1202932515735608</c:v>
                </c:pt>
                <c:pt idx="23">
                  <c:v>5.9019521410579416E-2</c:v>
                </c:pt>
                <c:pt idx="24">
                  <c:v>0.12565743585596467</c:v>
                </c:pt>
                <c:pt idx="25">
                  <c:v>-0.1733076463093304</c:v>
                </c:pt>
                <c:pt idx="26">
                  <c:v>-6.4359139022278494E-2</c:v>
                </c:pt>
                <c:pt idx="27">
                  <c:v>3.4434669821693846E-2</c:v>
                </c:pt>
                <c:pt idx="28">
                  <c:v>-0.15829628446139379</c:v>
                </c:pt>
                <c:pt idx="29">
                  <c:v>0.20038434387010784</c:v>
                </c:pt>
                <c:pt idx="30">
                  <c:v>-6.8878767879663114E-2</c:v>
                </c:pt>
              </c:numCache>
            </c:numRef>
          </c:val>
        </c:ser>
        <c:ser>
          <c:idx val="1"/>
          <c:order val="1"/>
          <c:tx>
            <c:strRef>
              <c:f>'Principal Com Im Vol'!$J$2</c:f>
              <c:strCache>
                <c:ptCount val="1"/>
                <c:pt idx="0">
                  <c:v>Crude petroleum, average of UK Brent (light)/Dubai (medium)/Texas (heavy) equally weighted ($/barrel)</c:v>
                </c:pt>
              </c:strCache>
            </c:strRef>
          </c:tx>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'Principal Com Im Vol'!$J$3:$J$34</c:f>
            </c:numRef>
          </c:val>
        </c:ser>
        <c:gapWidth val="75"/>
        <c:overlap val="-25"/>
        <c:axId val="589041664"/>
        <c:axId val="589043200"/>
      </c:barChart>
      <c:lineChart>
        <c:grouping val="standard"/>
        <c:ser>
          <c:idx val="2"/>
          <c:order val="2"/>
          <c:tx>
            <c:strRef>
              <c:f>'Principal Com Im Vol'!$K$2</c:f>
              <c:strCache>
                <c:ptCount val="1"/>
                <c:pt idx="0">
                  <c:v>Crude petroleum, average of UK Brent (light)/Dubai (medium)/Texas (heavy) equally weighted ($/barrel)</c:v>
                </c:pt>
              </c:strCache>
            </c:strRef>
          </c:tx>
          <c:marker>
            <c:symbol val="none"/>
          </c:marker>
          <c:val>
            <c:numRef>
              <c:f>'Principal Com Im Vol'!$K$3:$K$34</c:f>
              <c:numCache>
                <c:formatCode>0%</c:formatCode>
                <c:ptCount val="31"/>
                <c:pt idx="0">
                  <c:v>0.2138926117083467</c:v>
                </c:pt>
                <c:pt idx="1">
                  <c:v>-3.8289875499177929E-2</c:v>
                </c:pt>
                <c:pt idx="2">
                  <c:v>-8.0141670737664927E-2</c:v>
                </c:pt>
                <c:pt idx="3">
                  <c:v>-9.6046097878329045E-2</c:v>
                </c:pt>
                <c:pt idx="4">
                  <c:v>-4.1125668292111145E-3</c:v>
                </c:pt>
                <c:pt idx="5">
                  <c:v>-4.5130080821190514E-2</c:v>
                </c:pt>
                <c:pt idx="6">
                  <c:v>-0.48770542444087489</c:v>
                </c:pt>
                <c:pt idx="7">
                  <c:v>0.28804872165943113</c:v>
                </c:pt>
                <c:pt idx="8">
                  <c:v>-0.20504658021628178</c:v>
                </c:pt>
                <c:pt idx="9">
                  <c:v>0.21412166539073066</c:v>
                </c:pt>
                <c:pt idx="10">
                  <c:v>0.28311587524858151</c:v>
                </c:pt>
                <c:pt idx="11">
                  <c:v>-0.17059801920314488</c:v>
                </c:pt>
                <c:pt idx="12">
                  <c:v>-3.7828722483025296E-3</c:v>
                </c:pt>
                <c:pt idx="13">
                  <c:v>-0.11442034952877674</c:v>
                </c:pt>
                <c:pt idx="14">
                  <c:v>-4.1173735599524378E-2</c:v>
                </c:pt>
                <c:pt idx="15">
                  <c:v>9.3426724137930947E-2</c:v>
                </c:pt>
                <c:pt idx="16">
                  <c:v>0.20720409973391171</c:v>
                </c:pt>
                <c:pt idx="17">
                  <c:v>-6.0165721049839145E-2</c:v>
                </c:pt>
                <c:pt idx="18">
                  <c:v>-0.31847991313789487</c:v>
                </c:pt>
                <c:pt idx="19">
                  <c:v>0.38707621718072927</c:v>
                </c:pt>
                <c:pt idx="20">
                  <c:v>0.55586694845171436</c:v>
                </c:pt>
                <c:pt idx="21">
                  <c:v>-0.13311678724346671</c:v>
                </c:pt>
                <c:pt idx="22">
                  <c:v>1.9722723711550885E-2</c:v>
                </c:pt>
                <c:pt idx="23">
                  <c:v>0.15830438268305691</c:v>
                </c:pt>
                <c:pt idx="24">
                  <c:v>0.30679163662581121</c:v>
                </c:pt>
                <c:pt idx="25">
                  <c:v>0.41328095689978661</c:v>
                </c:pt>
                <c:pt idx="26">
                  <c:v>0.20440349781386688</c:v>
                </c:pt>
                <c:pt idx="27">
                  <c:v>0.10670296901335392</c:v>
                </c:pt>
                <c:pt idx="28">
                  <c:v>0.36387066541705892</c:v>
                </c:pt>
                <c:pt idx="29">
                  <c:v>-0.36308194468304478</c:v>
                </c:pt>
                <c:pt idx="30">
                  <c:v>0.27986608226567916</c:v>
                </c:pt>
              </c:numCache>
            </c:numRef>
          </c:val>
        </c:ser>
        <c:marker val="1"/>
        <c:axId val="589041664"/>
        <c:axId val="589043200"/>
      </c:lineChart>
      <c:catAx>
        <c:axId val="589041664"/>
        <c:scaling>
          <c:orientation val="minMax"/>
        </c:scaling>
        <c:axPos val="b"/>
        <c:numFmt formatCode="General" sourceLinked="1"/>
        <c:majorTickMark val="none"/>
        <c:tickLblPos val="nextTo"/>
        <c:crossAx val="589043200"/>
        <c:crosses val="autoZero"/>
        <c:auto val="1"/>
        <c:lblAlgn val="ctr"/>
        <c:lblOffset val="100"/>
        <c:tickLblSkip val="5"/>
      </c:catAx>
      <c:valAx>
        <c:axId val="589043200"/>
        <c:scaling>
          <c:orientation val="minMax"/>
        </c:scaling>
        <c:axPos val="l"/>
        <c:majorGridlines/>
        <c:numFmt formatCode="0%" sourceLinked="1"/>
        <c:majorTickMark val="none"/>
        <c:tickLblPos val="nextTo"/>
        <c:spPr>
          <a:ln w="9525">
            <a:noFill/>
          </a:ln>
        </c:spPr>
        <c:crossAx val="589041664"/>
        <c:crosses val="autoZero"/>
        <c:crossBetween val="between"/>
      </c:valAx>
    </c:plotArea>
    <c:legend>
      <c:legendPos val="b"/>
      <c:layout>
        <c:manualLayout>
          <c:xMode val="edge"/>
          <c:yMode val="edge"/>
          <c:x val="1.0444568095061543E-2"/>
          <c:y val="0.77238954806732452"/>
          <c:w val="0.96669958900319275"/>
          <c:h val="0.20172049309159457"/>
        </c:manualLayout>
      </c:layout>
    </c:legend>
    <c:plotVisOnly val="1"/>
    <c:dispBlanksAs val="gap"/>
  </c:chart>
  <c:txPr>
    <a:bodyPr/>
    <a:lstStyle/>
    <a:p>
      <a:pPr>
        <a:defRPr sz="800"/>
      </a:pPr>
      <a:endParaRPr lang="en-US"/>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strRef>
              <c:f>TOT!$C$8</c:f>
              <c:strCache>
                <c:ptCount val="1"/>
                <c:pt idx="0">
                  <c:v>Net barter terms of trade index % Change</c:v>
                </c:pt>
              </c:strCache>
            </c:strRef>
          </c:tx>
          <c:marker>
            <c:symbol val="none"/>
          </c:marker>
          <c:trendline>
            <c:trendlineType val="linear"/>
          </c:trendline>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TOT!$C$9:$C$39</c:f>
              <c:numCache>
                <c:formatCode>0.0%</c:formatCode>
                <c:ptCount val="31"/>
                <c:pt idx="0">
                  <c:v>-2.0000000000000035E-3</c:v>
                </c:pt>
                <c:pt idx="1">
                  <c:v>-2.0000000000000035E-3</c:v>
                </c:pt>
                <c:pt idx="2">
                  <c:v>-2.2747952682800306E-3</c:v>
                </c:pt>
                <c:pt idx="3">
                  <c:v>-5.4852320675202834E-2</c:v>
                </c:pt>
                <c:pt idx="4">
                  <c:v>5.3733031671537078E-3</c:v>
                </c:pt>
                <c:pt idx="5">
                  <c:v>-9.4294294293923664E-2</c:v>
                </c:pt>
                <c:pt idx="6">
                  <c:v>-0.30815930063125985</c:v>
                </c:pt>
                <c:pt idx="7">
                  <c:v>-0.11293769521628778</c:v>
                </c:pt>
                <c:pt idx="8">
                  <c:v>-0.14952153110055805</c:v>
                </c:pt>
                <c:pt idx="9">
                  <c:v>-1.1947431307776327E-3</c:v>
                </c:pt>
                <c:pt idx="10">
                  <c:v>0.16125134264302676</c:v>
                </c:pt>
                <c:pt idx="11">
                  <c:v>-3.8312976302913936E-2</c:v>
                </c:pt>
                <c:pt idx="12">
                  <c:v>-2.9483282674765098E-2</c:v>
                </c:pt>
                <c:pt idx="13">
                  <c:v>-2.5054807388718266E-3</c:v>
                </c:pt>
                <c:pt idx="14">
                  <c:v>-3.8979888035948103E-2</c:v>
                </c:pt>
                <c:pt idx="15">
                  <c:v>6.413255360592432E-2</c:v>
                </c:pt>
                <c:pt idx="16">
                  <c:v>7.7149791955092001E-2</c:v>
                </c:pt>
                <c:pt idx="17">
                  <c:v>1.773700305820692E-2</c:v>
                </c:pt>
                <c:pt idx="18">
                  <c:v>-0.17395104895070646</c:v>
                </c:pt>
                <c:pt idx="19">
                  <c:v>-0.18934240362884691</c:v>
                </c:pt>
                <c:pt idx="20">
                  <c:v>0.50769230769332863</c:v>
                </c:pt>
                <c:pt idx="21">
                  <c:v>8.5720521650000728E-3</c:v>
                </c:pt>
                <c:pt idx="22">
                  <c:v>-2.6593801248432788E-3</c:v>
                </c:pt>
                <c:pt idx="23">
                  <c:v>2.2272570354205611E-2</c:v>
                </c:pt>
                <c:pt idx="24">
                  <c:v>1.9196428985533465E-2</c:v>
                </c:pt>
                <c:pt idx="25">
                  <c:v>1.9480119760764775E-2</c:v>
                </c:pt>
                <c:pt idx="26">
                  <c:v>5.7754457813905001E-2</c:v>
                </c:pt>
                <c:pt idx="27">
                  <c:v>2.9739779284928217E-2</c:v>
                </c:pt>
                <c:pt idx="28">
                  <c:v>6.2841251174068441E-2</c:v>
                </c:pt>
                <c:pt idx="29">
                  <c:v>-3.1544298238037317E-2</c:v>
                </c:pt>
                <c:pt idx="30">
                  <c:v>5.9775844004635884E-2</c:v>
                </c:pt>
              </c:numCache>
            </c:numRef>
          </c:val>
        </c:ser>
        <c:marker val="1"/>
        <c:axId val="589086080"/>
        <c:axId val="589108352"/>
      </c:lineChart>
      <c:lineChart>
        <c:grouping val="standard"/>
        <c:ser>
          <c:idx val="1"/>
          <c:order val="1"/>
          <c:tx>
            <c:strRef>
              <c:f>TOT!$D$8</c:f>
              <c:strCache>
                <c:ptCount val="1"/>
                <c:pt idx="0">
                  <c:v>Annual GDP Growth % Change (constant 2000 US$) in Million</c:v>
                </c:pt>
              </c:strCache>
            </c:strRef>
          </c:tx>
          <c:marker>
            <c:symbol val="none"/>
          </c:marker>
          <c:val>
            <c:numRef>
              <c:f>TOT!$D$9:$D$39</c:f>
              <c:numCache>
                <c:formatCode>0%</c:formatCode>
                <c:ptCount val="31"/>
                <c:pt idx="0">
                  <c:v>8.7244228387645326E-2</c:v>
                </c:pt>
                <c:pt idx="1">
                  <c:v>8.1484503833664831E-2</c:v>
                </c:pt>
                <c:pt idx="2">
                  <c:v>1.1035306693495143E-2</c:v>
                </c:pt>
                <c:pt idx="3">
                  <c:v>8.450463337272246E-2</c:v>
                </c:pt>
                <c:pt idx="4">
                  <c:v>7.1726570228383829E-2</c:v>
                </c:pt>
                <c:pt idx="5">
                  <c:v>3.4767370307943392E-2</c:v>
                </c:pt>
                <c:pt idx="6">
                  <c:v>5.9648623841350785E-2</c:v>
                </c:pt>
                <c:pt idx="7">
                  <c:v>5.2996937792038429E-2</c:v>
                </c:pt>
                <c:pt idx="8">
                  <c:v>6.356084392487632E-2</c:v>
                </c:pt>
                <c:pt idx="9">
                  <c:v>9.0852642243210741E-2</c:v>
                </c:pt>
                <c:pt idx="10">
                  <c:v>9.0016677152301314E-2</c:v>
                </c:pt>
                <c:pt idx="11">
                  <c:v>8.9270826652985344E-2</c:v>
                </c:pt>
                <c:pt idx="12">
                  <c:v>7.2206568821228834E-2</c:v>
                </c:pt>
                <c:pt idx="13">
                  <c:v>7.254471289614059E-2</c:v>
                </c:pt>
                <c:pt idx="14">
                  <c:v>7.5397870224094554E-2</c:v>
                </c:pt>
                <c:pt idx="15">
                  <c:v>8.3965260444650261E-2</c:v>
                </c:pt>
                <c:pt idx="16">
                  <c:v>7.6425967637702888E-2</c:v>
                </c:pt>
                <c:pt idx="17">
                  <c:v>4.6997039005852052E-2</c:v>
                </c:pt>
                <c:pt idx="18">
                  <c:v>-0.13126645771515424</c:v>
                </c:pt>
                <c:pt idx="19">
                  <c:v>7.9142315185071303E-3</c:v>
                </c:pt>
                <c:pt idx="20">
                  <c:v>4.9197942562133223E-2</c:v>
                </c:pt>
                <c:pt idx="21">
                  <c:v>3.6431726871125593E-2</c:v>
                </c:pt>
                <c:pt idx="22">
                  <c:v>4.4997164289932431E-2</c:v>
                </c:pt>
                <c:pt idx="23">
                  <c:v>4.7804217558426607E-2</c:v>
                </c:pt>
                <c:pt idx="24">
                  <c:v>5.0306237418100988E-2</c:v>
                </c:pt>
                <c:pt idx="25">
                  <c:v>5.6925986557800443E-2</c:v>
                </c:pt>
                <c:pt idx="26">
                  <c:v>5.5009596375023471E-2</c:v>
                </c:pt>
                <c:pt idx="27">
                  <c:v>6.3453200016413913E-2</c:v>
                </c:pt>
                <c:pt idx="28">
                  <c:v>6.0134451475707854E-2</c:v>
                </c:pt>
                <c:pt idx="29">
                  <c:v>4.6289481133983103E-2</c:v>
                </c:pt>
                <c:pt idx="30">
                  <c:v>6.1955967160902299E-2</c:v>
                </c:pt>
              </c:numCache>
            </c:numRef>
          </c:val>
        </c:ser>
        <c:marker val="1"/>
        <c:axId val="589128064"/>
        <c:axId val="589109888"/>
      </c:lineChart>
      <c:catAx>
        <c:axId val="589086080"/>
        <c:scaling>
          <c:orientation val="minMax"/>
        </c:scaling>
        <c:axPos val="b"/>
        <c:numFmt formatCode="General" sourceLinked="1"/>
        <c:majorTickMark val="none"/>
        <c:tickLblPos val="nextTo"/>
        <c:crossAx val="589108352"/>
        <c:crosses val="autoZero"/>
        <c:auto val="1"/>
        <c:lblAlgn val="ctr"/>
        <c:lblOffset val="100"/>
        <c:tickLblSkip val="5"/>
      </c:catAx>
      <c:valAx>
        <c:axId val="589108352"/>
        <c:scaling>
          <c:orientation val="minMax"/>
        </c:scaling>
        <c:axPos val="l"/>
        <c:majorGridlines/>
        <c:numFmt formatCode="0.0%" sourceLinked="1"/>
        <c:majorTickMark val="none"/>
        <c:tickLblPos val="nextTo"/>
        <c:spPr>
          <a:ln w="9525">
            <a:noFill/>
          </a:ln>
        </c:spPr>
        <c:crossAx val="589086080"/>
        <c:crosses val="autoZero"/>
        <c:crossBetween val="between"/>
      </c:valAx>
      <c:valAx>
        <c:axId val="589109888"/>
        <c:scaling>
          <c:orientation val="minMax"/>
        </c:scaling>
        <c:axPos val="r"/>
        <c:numFmt formatCode="0%" sourceLinked="1"/>
        <c:tickLblPos val="nextTo"/>
        <c:crossAx val="589128064"/>
        <c:crosses val="max"/>
        <c:crossBetween val="between"/>
      </c:valAx>
      <c:catAx>
        <c:axId val="589128064"/>
        <c:scaling>
          <c:orientation val="minMax"/>
        </c:scaling>
        <c:delete val="1"/>
        <c:axPos val="b"/>
        <c:tickLblPos val="none"/>
        <c:crossAx val="589109888"/>
        <c:crosses val="autoZero"/>
        <c:auto val="1"/>
        <c:lblAlgn val="ctr"/>
        <c:lblOffset val="100"/>
      </c:catAx>
    </c:plotArea>
    <c:legend>
      <c:legendPos val="b"/>
    </c:legend>
    <c:plotVisOnly val="1"/>
  </c:chart>
  <c:spPr>
    <a:ln w="25400"/>
  </c:spPr>
  <c:txPr>
    <a:bodyPr/>
    <a:lstStyle/>
    <a:p>
      <a:pPr>
        <a:defRPr sz="800"/>
      </a:pPr>
      <a:endParaRPr lang="en-US"/>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strRef>
              <c:f>'%Exports'!$H$1</c:f>
              <c:strCache>
                <c:ptCount val="1"/>
                <c:pt idx="0">
                  <c:v>Total  Exports Value % Growth (current US$)</c:v>
                </c:pt>
              </c:strCache>
            </c:strRef>
          </c:tx>
          <c:marker>
            <c:symbol val="none"/>
          </c:marker>
          <c:cat>
            <c:numLit>
              <c:formatCode>General</c:formatCode>
              <c:ptCount val="4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numLit>
          </c:cat>
          <c:val>
            <c:numRef>
              <c:f>'%Exports'!$H$2:$H$43</c:f>
              <c:numCache>
                <c:formatCode>0%</c:formatCode>
                <c:ptCount val="42"/>
                <c:pt idx="1">
                  <c:v>0.11</c:v>
                </c:pt>
                <c:pt idx="2">
                  <c:v>0.11371841155234642</c:v>
                </c:pt>
                <c:pt idx="3">
                  <c:v>0.44003241491085898</c:v>
                </c:pt>
                <c:pt idx="4">
                  <c:v>0.80697805289814428</c:v>
                </c:pt>
                <c:pt idx="5">
                  <c:v>1.3126751790719422</c:v>
                </c:pt>
                <c:pt idx="6">
                  <c:v>-4.3630487476434152E-2</c:v>
                </c:pt>
                <c:pt idx="7">
                  <c:v>0.20346381301041971</c:v>
                </c:pt>
                <c:pt idx="8">
                  <c:v>0.26980226980227079</c:v>
                </c:pt>
                <c:pt idx="9">
                  <c:v>7.2790933382474929E-2</c:v>
                </c:pt>
                <c:pt idx="10">
                  <c:v>0.33908786395259083</c:v>
                </c:pt>
                <c:pt idx="11">
                  <c:v>0.40523378872426402</c:v>
                </c:pt>
                <c:pt idx="12">
                  <c:v>1.6020813364370834E-2</c:v>
                </c:pt>
                <c:pt idx="13">
                  <c:v>1.4824797843665792E-3</c:v>
                </c:pt>
                <c:pt idx="14">
                  <c:v>-5.1181985376575534E-2</c:v>
                </c:pt>
                <c:pt idx="15">
                  <c:v>3.5457639939485627E-2</c:v>
                </c:pt>
                <c:pt idx="16">
                  <c:v>-0.15121906675189531</c:v>
                </c:pt>
                <c:pt idx="17">
                  <c:v>-0.13528778913394299</c:v>
                </c:pt>
                <c:pt idx="18">
                  <c:v>6.594090202177294E-2</c:v>
                </c:pt>
                <c:pt idx="19">
                  <c:v>0.13597899037058653</c:v>
                </c:pt>
                <c:pt idx="20">
                  <c:v>0.13845363472900091</c:v>
                </c:pt>
                <c:pt idx="21">
                  <c:v>0.15861913357400767</c:v>
                </c:pt>
                <c:pt idx="22">
                  <c:v>0.13503407984420643</c:v>
                </c:pt>
                <c:pt idx="23">
                  <c:v>0.16556859515475938</c:v>
                </c:pt>
                <c:pt idx="24">
                  <c:v>8.408160862013131E-2</c:v>
                </c:pt>
                <c:pt idx="25">
                  <c:v>8.7771229937810627E-2</c:v>
                </c:pt>
                <c:pt idx="26">
                  <c:v>0.13386593434028221</c:v>
                </c:pt>
                <c:pt idx="27">
                  <c:v>9.681396833784725E-2</c:v>
                </c:pt>
                <c:pt idx="28">
                  <c:v>0.13016421086441571</c:v>
                </c:pt>
                <c:pt idx="29">
                  <c:v>-0.10529681338591092</c:v>
                </c:pt>
                <c:pt idx="30">
                  <c:v>1.7331745086360931E-2</c:v>
                </c:pt>
                <c:pt idx="31">
                  <c:v>0.27633042561910898</c:v>
                </c:pt>
                <c:pt idx="32">
                  <c:v>-0.12296072045624845</c:v>
                </c:pt>
                <c:pt idx="33">
                  <c:v>3.1467373302418042E-2</c:v>
                </c:pt>
                <c:pt idx="34">
                  <c:v>8.352770172058302E-2</c:v>
                </c:pt>
                <c:pt idx="35">
                  <c:v>0.10387159168902466</c:v>
                </c:pt>
                <c:pt idx="36">
                  <c:v>0.22933005496912404</c:v>
                </c:pt>
                <c:pt idx="37">
                  <c:v>0.19002023081520991</c:v>
                </c:pt>
                <c:pt idx="38">
                  <c:v>0.13992485052208628</c:v>
                </c:pt>
                <c:pt idx="39">
                  <c:v>0.1829713675612013</c:v>
                </c:pt>
                <c:pt idx="40">
                  <c:v>-0.14297379768777846</c:v>
                </c:pt>
                <c:pt idx="41">
                  <c:v>0.32118081674272497</c:v>
                </c:pt>
              </c:numCache>
            </c:numRef>
          </c:val>
        </c:ser>
        <c:marker val="1"/>
        <c:axId val="589154944"/>
        <c:axId val="589156736"/>
      </c:lineChart>
      <c:lineChart>
        <c:grouping val="standard"/>
        <c:ser>
          <c:idx val="1"/>
          <c:order val="1"/>
          <c:tx>
            <c:strRef>
              <c:f>'%Exports'!$I$1</c:f>
              <c:strCache>
                <c:ptCount val="1"/>
                <c:pt idx="0">
                  <c:v>Annual GDP Growth % (constant 2000 US$) in Million</c:v>
                </c:pt>
              </c:strCache>
            </c:strRef>
          </c:tx>
          <c:marker>
            <c:symbol val="none"/>
          </c:marker>
          <c:val>
            <c:numRef>
              <c:f>'%Exports'!$I$2:$I$43</c:f>
              <c:numCache>
                <c:formatCode>0%</c:formatCode>
                <c:ptCount val="42"/>
                <c:pt idx="1">
                  <c:v>7.0000000000000021E-2</c:v>
                </c:pt>
                <c:pt idx="2">
                  <c:v>6.9973170908563573E-2</c:v>
                </c:pt>
                <c:pt idx="3">
                  <c:v>7.8815397126592593E-2</c:v>
                </c:pt>
                <c:pt idx="4">
                  <c:v>9.777624222627064E-2</c:v>
                </c:pt>
                <c:pt idx="5">
                  <c:v>8.2572744699722464E-2</c:v>
                </c:pt>
                <c:pt idx="6">
                  <c:v>6.181779739408523E-2</c:v>
                </c:pt>
                <c:pt idx="7">
                  <c:v>5.9886499402628593E-2</c:v>
                </c:pt>
                <c:pt idx="8">
                  <c:v>8.6351040345686234E-2</c:v>
                </c:pt>
                <c:pt idx="9">
                  <c:v>9.2068570440346734E-2</c:v>
                </c:pt>
                <c:pt idx="10">
                  <c:v>7.0925214774931702E-2</c:v>
                </c:pt>
                <c:pt idx="11">
                  <c:v>8.7244228387645326E-2</c:v>
                </c:pt>
                <c:pt idx="12">
                  <c:v>8.1484503833664831E-2</c:v>
                </c:pt>
                <c:pt idx="13">
                  <c:v>1.1035306693495143E-2</c:v>
                </c:pt>
                <c:pt idx="14">
                  <c:v>8.450463337272246E-2</c:v>
                </c:pt>
                <c:pt idx="15">
                  <c:v>7.1726570228383829E-2</c:v>
                </c:pt>
                <c:pt idx="16">
                  <c:v>3.4767370307943392E-2</c:v>
                </c:pt>
                <c:pt idx="17">
                  <c:v>5.9648623841350785E-2</c:v>
                </c:pt>
                <c:pt idx="18">
                  <c:v>5.2996937792038429E-2</c:v>
                </c:pt>
                <c:pt idx="19">
                  <c:v>6.356084392487632E-2</c:v>
                </c:pt>
                <c:pt idx="20">
                  <c:v>9.0852642243210741E-2</c:v>
                </c:pt>
                <c:pt idx="21">
                  <c:v>9.0016677152301314E-2</c:v>
                </c:pt>
                <c:pt idx="22">
                  <c:v>8.9270826652985344E-2</c:v>
                </c:pt>
                <c:pt idx="23">
                  <c:v>7.2206568821228834E-2</c:v>
                </c:pt>
                <c:pt idx="24">
                  <c:v>7.254471289614059E-2</c:v>
                </c:pt>
                <c:pt idx="25">
                  <c:v>7.5397870224094554E-2</c:v>
                </c:pt>
                <c:pt idx="26">
                  <c:v>8.3965260444650261E-2</c:v>
                </c:pt>
                <c:pt idx="27">
                  <c:v>7.6425967637702888E-2</c:v>
                </c:pt>
                <c:pt idx="28">
                  <c:v>4.6997039005852052E-2</c:v>
                </c:pt>
                <c:pt idx="29">
                  <c:v>-0.13126645771515424</c:v>
                </c:pt>
                <c:pt idx="30">
                  <c:v>7.9142315185071303E-3</c:v>
                </c:pt>
                <c:pt idx="31">
                  <c:v>4.9197942562133223E-2</c:v>
                </c:pt>
                <c:pt idx="32">
                  <c:v>3.6431726871125593E-2</c:v>
                </c:pt>
                <c:pt idx="33">
                  <c:v>4.4997164289932431E-2</c:v>
                </c:pt>
                <c:pt idx="34">
                  <c:v>4.7804217558426607E-2</c:v>
                </c:pt>
                <c:pt idx="35">
                  <c:v>5.0306237418100988E-2</c:v>
                </c:pt>
                <c:pt idx="36">
                  <c:v>5.6925986557800443E-2</c:v>
                </c:pt>
                <c:pt idx="37">
                  <c:v>5.5009596375023471E-2</c:v>
                </c:pt>
                <c:pt idx="38">
                  <c:v>6.3453200016413913E-2</c:v>
                </c:pt>
                <c:pt idx="39">
                  <c:v>6.0134451475707854E-2</c:v>
                </c:pt>
                <c:pt idx="40">
                  <c:v>4.6289481133983103E-2</c:v>
                </c:pt>
                <c:pt idx="41">
                  <c:v>6.1955967160902299E-2</c:v>
                </c:pt>
              </c:numCache>
            </c:numRef>
          </c:val>
        </c:ser>
        <c:marker val="1"/>
        <c:axId val="589159808"/>
        <c:axId val="589158272"/>
      </c:lineChart>
      <c:catAx>
        <c:axId val="589154944"/>
        <c:scaling>
          <c:orientation val="minMax"/>
        </c:scaling>
        <c:axPos val="b"/>
        <c:numFmt formatCode="General" sourceLinked="1"/>
        <c:majorTickMark val="none"/>
        <c:tickLblPos val="nextTo"/>
        <c:crossAx val="589156736"/>
        <c:crosses val="autoZero"/>
        <c:auto val="1"/>
        <c:lblAlgn val="ctr"/>
        <c:lblOffset val="100"/>
        <c:tickLblSkip val="5"/>
      </c:catAx>
      <c:valAx>
        <c:axId val="589156736"/>
        <c:scaling>
          <c:orientation val="minMax"/>
        </c:scaling>
        <c:axPos val="l"/>
        <c:majorGridlines/>
        <c:numFmt formatCode="0%" sourceLinked="0"/>
        <c:majorTickMark val="none"/>
        <c:tickLblPos val="nextTo"/>
        <c:spPr>
          <a:ln w="9525">
            <a:noFill/>
          </a:ln>
        </c:spPr>
        <c:crossAx val="589154944"/>
        <c:crosses val="autoZero"/>
        <c:crossBetween val="between"/>
      </c:valAx>
      <c:valAx>
        <c:axId val="589158272"/>
        <c:scaling>
          <c:orientation val="minMax"/>
        </c:scaling>
        <c:axPos val="r"/>
        <c:numFmt formatCode="General" sourceLinked="1"/>
        <c:tickLblPos val="nextTo"/>
        <c:crossAx val="589159808"/>
        <c:crosses val="max"/>
        <c:crossBetween val="between"/>
      </c:valAx>
      <c:catAx>
        <c:axId val="589159808"/>
        <c:scaling>
          <c:orientation val="minMax"/>
        </c:scaling>
        <c:delete val="1"/>
        <c:axPos val="b"/>
        <c:tickLblPos val="none"/>
        <c:crossAx val="589158272"/>
        <c:crosses val="autoZero"/>
        <c:auto val="1"/>
        <c:lblAlgn val="ctr"/>
        <c:lblOffset val="100"/>
      </c:catAx>
    </c:plotArea>
    <c:legend>
      <c:legendPos val="b"/>
    </c:legend>
    <c:plotVisOnly val="1"/>
  </c:chart>
  <c:spPr>
    <a:ln w="25400"/>
  </c:spPr>
  <c:txPr>
    <a:bodyPr/>
    <a:lstStyle/>
    <a:p>
      <a:pPr>
        <a:defRPr sz="800"/>
      </a:pPr>
      <a:endParaRPr lang="en-US"/>
    </a:p>
  </c:tx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1"/>
          <c:order val="0"/>
          <c:tx>
            <c:strRef>
              <c:f>TOT!$D$8</c:f>
              <c:strCache>
                <c:ptCount val="1"/>
                <c:pt idx="0">
                  <c:v>Annual GDP Growth % Change (constant 2000 US$) in Million</c:v>
                </c:pt>
              </c:strCache>
            </c:strRef>
          </c:tx>
          <c:marker>
            <c:symbol val="none"/>
          </c:marker>
          <c:cat>
            <c:numLit>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Lit>
          </c:cat>
          <c:val>
            <c:numRef>
              <c:f>TOT!$D$9:$D$39</c:f>
              <c:numCache>
                <c:formatCode>0%</c:formatCode>
                <c:ptCount val="31"/>
                <c:pt idx="0">
                  <c:v>8.7244228387645326E-2</c:v>
                </c:pt>
                <c:pt idx="1">
                  <c:v>8.1484503833664831E-2</c:v>
                </c:pt>
                <c:pt idx="2">
                  <c:v>1.1035306693495143E-2</c:v>
                </c:pt>
                <c:pt idx="3">
                  <c:v>8.450463337272246E-2</c:v>
                </c:pt>
                <c:pt idx="4">
                  <c:v>7.1726570228383829E-2</c:v>
                </c:pt>
                <c:pt idx="5">
                  <c:v>3.4767370307943392E-2</c:v>
                </c:pt>
                <c:pt idx="6">
                  <c:v>5.9648623841350785E-2</c:v>
                </c:pt>
                <c:pt idx="7">
                  <c:v>5.2996937792038429E-2</c:v>
                </c:pt>
                <c:pt idx="8">
                  <c:v>6.356084392487632E-2</c:v>
                </c:pt>
                <c:pt idx="9">
                  <c:v>9.0852642243210741E-2</c:v>
                </c:pt>
                <c:pt idx="10">
                  <c:v>9.0016677152301314E-2</c:v>
                </c:pt>
                <c:pt idx="11">
                  <c:v>8.9270826652985344E-2</c:v>
                </c:pt>
                <c:pt idx="12">
                  <c:v>7.2206568821228834E-2</c:v>
                </c:pt>
                <c:pt idx="13">
                  <c:v>7.254471289614059E-2</c:v>
                </c:pt>
                <c:pt idx="14">
                  <c:v>7.5397870224094554E-2</c:v>
                </c:pt>
                <c:pt idx="15">
                  <c:v>8.3965260444650261E-2</c:v>
                </c:pt>
                <c:pt idx="16">
                  <c:v>7.6425967637702888E-2</c:v>
                </c:pt>
                <c:pt idx="17">
                  <c:v>4.6997039005852052E-2</c:v>
                </c:pt>
                <c:pt idx="18">
                  <c:v>-0.13126645771515424</c:v>
                </c:pt>
                <c:pt idx="19">
                  <c:v>7.9142315185071303E-3</c:v>
                </c:pt>
                <c:pt idx="20">
                  <c:v>4.9197942562133223E-2</c:v>
                </c:pt>
                <c:pt idx="21">
                  <c:v>3.6431726871125593E-2</c:v>
                </c:pt>
                <c:pt idx="22">
                  <c:v>4.4997164289932431E-2</c:v>
                </c:pt>
                <c:pt idx="23">
                  <c:v>4.7804217558426607E-2</c:v>
                </c:pt>
                <c:pt idx="24">
                  <c:v>5.0306237418100988E-2</c:v>
                </c:pt>
                <c:pt idx="25">
                  <c:v>5.6925986557800443E-2</c:v>
                </c:pt>
                <c:pt idx="26">
                  <c:v>5.5009596375023471E-2</c:v>
                </c:pt>
                <c:pt idx="27">
                  <c:v>6.3453200016413913E-2</c:v>
                </c:pt>
                <c:pt idx="28">
                  <c:v>6.0134451475707854E-2</c:v>
                </c:pt>
                <c:pt idx="29">
                  <c:v>4.6289481133983103E-2</c:v>
                </c:pt>
                <c:pt idx="30">
                  <c:v>6.1955967160902299E-2</c:v>
                </c:pt>
              </c:numCache>
            </c:numRef>
          </c:val>
        </c:ser>
        <c:marker val="1"/>
        <c:axId val="589206272"/>
        <c:axId val="589207808"/>
      </c:lineChart>
      <c:lineChart>
        <c:grouping val="standard"/>
        <c:ser>
          <c:idx val="2"/>
          <c:order val="1"/>
          <c:tx>
            <c:strRef>
              <c:f>TOT!$E$8</c:f>
              <c:strCache>
                <c:ptCount val="1"/>
                <c:pt idx="0">
                  <c:v>Commodity price index - All groups (in terms of current USD) % Change</c:v>
                </c:pt>
              </c:strCache>
            </c:strRef>
          </c:tx>
          <c:marker>
            <c:symbol val="none"/>
          </c:marker>
          <c:val>
            <c:numRef>
              <c:f>TOT!$E$9:$E$39</c:f>
              <c:numCache>
                <c:formatCode>0%</c:formatCode>
                <c:ptCount val="31"/>
                <c:pt idx="0">
                  <c:v>0.23186344238975884</c:v>
                </c:pt>
                <c:pt idx="1">
                  <c:v>-0.13205962628595416</c:v>
                </c:pt>
                <c:pt idx="2">
                  <c:v>-0.2189163038219652</c:v>
                </c:pt>
                <c:pt idx="3">
                  <c:v>7.1848869619077785E-2</c:v>
                </c:pt>
                <c:pt idx="4">
                  <c:v>-4.6229413464317151E-2</c:v>
                </c:pt>
                <c:pt idx="5">
                  <c:v>-0.12556800969403173</c:v>
                </c:pt>
                <c:pt idx="6">
                  <c:v>4.7635544777411588E-3</c:v>
                </c:pt>
                <c:pt idx="7">
                  <c:v>5.7236445134039714E-2</c:v>
                </c:pt>
                <c:pt idx="8">
                  <c:v>0.28283734203016775</c:v>
                </c:pt>
                <c:pt idx="9">
                  <c:v>9.2157111986776591E-3</c:v>
                </c:pt>
                <c:pt idx="10">
                  <c:v>-6.2724352918949428E-2</c:v>
                </c:pt>
                <c:pt idx="11">
                  <c:v>-5.6305852314721273E-2</c:v>
                </c:pt>
                <c:pt idx="12">
                  <c:v>-2.7198291206834833E-2</c:v>
                </c:pt>
                <c:pt idx="13">
                  <c:v>-4.9183927395155799E-2</c:v>
                </c:pt>
                <c:pt idx="14">
                  <c:v>0.16857824647833142</c:v>
                </c:pt>
                <c:pt idx="15">
                  <c:v>8.7477768262960498E-2</c:v>
                </c:pt>
                <c:pt idx="16">
                  <c:v>-2.3441759040523355E-2</c:v>
                </c:pt>
                <c:pt idx="17">
                  <c:v>-1.9972708100731529E-2</c:v>
                </c:pt>
                <c:pt idx="18">
                  <c:v>-0.1311392405063298</c:v>
                </c:pt>
                <c:pt idx="19">
                  <c:v>-0.13913170163170166</c:v>
                </c:pt>
                <c:pt idx="20">
                  <c:v>1.5315620240311321E-2</c:v>
                </c:pt>
                <c:pt idx="21">
                  <c:v>-3.6169680806733828E-2</c:v>
                </c:pt>
                <c:pt idx="22">
                  <c:v>9.7708603545180548E-3</c:v>
                </c:pt>
                <c:pt idx="23">
                  <c:v>7.749614660044489E-2</c:v>
                </c:pt>
                <c:pt idx="24">
                  <c:v>0.19955495509814927</c:v>
                </c:pt>
                <c:pt idx="25">
                  <c:v>0.11613886312441998</c:v>
                </c:pt>
                <c:pt idx="26">
                  <c:v>0.3022496586929419</c:v>
                </c:pt>
                <c:pt idx="27">
                  <c:v>0.12963216190345947</c:v>
                </c:pt>
                <c:pt idx="28">
                  <c:v>0.2397207763386193</c:v>
                </c:pt>
                <c:pt idx="29">
                  <c:v>-0.16908605650305963</c:v>
                </c:pt>
                <c:pt idx="30">
                  <c:v>0.18167574131379988</c:v>
                </c:pt>
              </c:numCache>
            </c:numRef>
          </c:val>
        </c:ser>
        <c:marker val="1"/>
        <c:axId val="589211136"/>
        <c:axId val="589209600"/>
      </c:lineChart>
      <c:catAx>
        <c:axId val="589206272"/>
        <c:scaling>
          <c:orientation val="minMax"/>
        </c:scaling>
        <c:axPos val="b"/>
        <c:numFmt formatCode="General" sourceLinked="1"/>
        <c:majorTickMark val="none"/>
        <c:tickLblPos val="nextTo"/>
        <c:crossAx val="589207808"/>
        <c:crosses val="autoZero"/>
        <c:auto val="1"/>
        <c:lblAlgn val="ctr"/>
        <c:lblOffset val="100"/>
        <c:tickLblSkip val="5"/>
      </c:catAx>
      <c:valAx>
        <c:axId val="589207808"/>
        <c:scaling>
          <c:orientation val="minMax"/>
        </c:scaling>
        <c:axPos val="l"/>
        <c:majorGridlines/>
        <c:numFmt formatCode="0%" sourceLinked="1"/>
        <c:majorTickMark val="none"/>
        <c:tickLblPos val="nextTo"/>
        <c:spPr>
          <a:ln w="9525">
            <a:noFill/>
          </a:ln>
        </c:spPr>
        <c:crossAx val="589206272"/>
        <c:crosses val="autoZero"/>
        <c:crossBetween val="between"/>
      </c:valAx>
      <c:valAx>
        <c:axId val="589209600"/>
        <c:scaling>
          <c:orientation val="minMax"/>
        </c:scaling>
        <c:axPos val="r"/>
        <c:numFmt formatCode="0%" sourceLinked="1"/>
        <c:tickLblPos val="nextTo"/>
        <c:crossAx val="589211136"/>
        <c:crosses val="max"/>
        <c:crossBetween val="between"/>
      </c:valAx>
      <c:catAx>
        <c:axId val="589211136"/>
        <c:scaling>
          <c:orientation val="minMax"/>
        </c:scaling>
        <c:delete val="1"/>
        <c:axPos val="b"/>
        <c:tickLblPos val="none"/>
        <c:crossAx val="589209600"/>
        <c:crosses val="autoZero"/>
        <c:auto val="1"/>
        <c:lblAlgn val="ctr"/>
        <c:lblOffset val="100"/>
      </c:catAx>
    </c:plotArea>
    <c:legend>
      <c:legendPos val="b"/>
    </c:legend>
    <c:plotVisOnly val="1"/>
  </c:chart>
  <c:spPr>
    <a:ln w="25400"/>
  </c:spPr>
  <c:txPr>
    <a:bodyPr/>
    <a:lstStyle/>
    <a:p>
      <a:pPr>
        <a:defRPr sz="800"/>
      </a:pPr>
      <a:endParaRPr lang="en-US"/>
    </a:p>
  </c:tx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strRef>
              <c:f>Sheet3!$B$1</c:f>
              <c:strCache>
                <c:ptCount val="1"/>
                <c:pt idx="0">
                  <c:v>Agriculture, Livestock, Forestry, and Fishery % Growth</c:v>
                </c:pt>
              </c:strCache>
            </c:strRef>
          </c:tx>
          <c:marker>
            <c:symbol val="none"/>
          </c:marker>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Sheet3!$B$2:$B$22</c:f>
              <c:numCache>
                <c:formatCode>0%</c:formatCode>
                <c:ptCount val="21"/>
                <c:pt idx="0">
                  <c:v>3.0000000000000002E-2</c:v>
                </c:pt>
                <c:pt idx="1">
                  <c:v>3.1891175526572849E-2</c:v>
                </c:pt>
                <c:pt idx="2">
                  <c:v>5.1455754873744985E-2</c:v>
                </c:pt>
                <c:pt idx="3">
                  <c:v>7.0690753862939312E-2</c:v>
                </c:pt>
                <c:pt idx="4">
                  <c:v>1.211329575821732E-2</c:v>
                </c:pt>
                <c:pt idx="5">
                  <c:v>4.7773478606089985E-2</c:v>
                </c:pt>
                <c:pt idx="6">
                  <c:v>3.0540011159281181E-2</c:v>
                </c:pt>
                <c:pt idx="7">
                  <c:v>8.0616259266022821E-3</c:v>
                </c:pt>
                <c:pt idx="8">
                  <c:v>-2.9644265221698291E-2</c:v>
                </c:pt>
                <c:pt idx="9">
                  <c:v>1.0462444880868525E-2</c:v>
                </c:pt>
                <c:pt idx="10">
                  <c:v>-6.0658761576641443E-3</c:v>
                </c:pt>
                <c:pt idx="11">
                  <c:v>3.2559844856489946E-2</c:v>
                </c:pt>
                <c:pt idx="12">
                  <c:v>3.4489920340879401E-2</c:v>
                </c:pt>
                <c:pt idx="13">
                  <c:v>3.788121158740753E-2</c:v>
                </c:pt>
                <c:pt idx="14">
                  <c:v>2.8189093184207394E-2</c:v>
                </c:pt>
                <c:pt idx="15">
                  <c:v>2.7180782283475462E-2</c:v>
                </c:pt>
                <c:pt idx="16">
                  <c:v>3.3563269822125742E-2</c:v>
                </c:pt>
                <c:pt idx="17">
                  <c:v>3.4704279070193092E-2</c:v>
                </c:pt>
                <c:pt idx="18">
                  <c:v>4.8284902211452686E-2</c:v>
                </c:pt>
                <c:pt idx="19">
                  <c:v>3.9753481055909166E-2</c:v>
                </c:pt>
                <c:pt idx="20">
                  <c:v>2.862972348198263E-2</c:v>
                </c:pt>
              </c:numCache>
            </c:numRef>
          </c:val>
        </c:ser>
        <c:ser>
          <c:idx val="1"/>
          <c:order val="1"/>
          <c:tx>
            <c:strRef>
              <c:f>Sheet3!$C$1</c:f>
              <c:strCache>
                <c:ptCount val="1"/>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Sheet3!$C$2:$C$22</c:f>
            </c:numRef>
          </c:val>
        </c:ser>
        <c:ser>
          <c:idx val="2"/>
          <c:order val="2"/>
          <c:tx>
            <c:strRef>
              <c:f>Sheet3!$D$1</c:f>
              <c:strCache>
                <c:ptCount val="1"/>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Sheet3!$D$2:$D$22</c:f>
            </c:numRef>
          </c:val>
        </c:ser>
        <c:ser>
          <c:idx val="3"/>
          <c:order val="3"/>
          <c:tx>
            <c:strRef>
              <c:f>Sheet3!$E$1</c:f>
              <c:strCache>
                <c:ptCount val="1"/>
                <c:pt idx="0">
                  <c:v>Mining and Quarrying % Growth</c:v>
                </c:pt>
              </c:strCache>
            </c:strRef>
          </c:tx>
          <c:marker>
            <c:symbol val="none"/>
          </c:marker>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Sheet3!$E$2:$E$22</c:f>
              <c:numCache>
                <c:formatCode>0%</c:formatCode>
                <c:ptCount val="21"/>
                <c:pt idx="0">
                  <c:v>0.11</c:v>
                </c:pt>
                <c:pt idx="1">
                  <c:v>0.10575462117549148</c:v>
                </c:pt>
                <c:pt idx="2">
                  <c:v>-1.2167207832410125E-2</c:v>
                </c:pt>
                <c:pt idx="3">
                  <c:v>2.6753603402594861E-2</c:v>
                </c:pt>
                <c:pt idx="4">
                  <c:v>4.9828317737058828E-2</c:v>
                </c:pt>
                <c:pt idx="5">
                  <c:v>4.5595389427393024E-2</c:v>
                </c:pt>
                <c:pt idx="6">
                  <c:v>4.7331911878259122E-2</c:v>
                </c:pt>
                <c:pt idx="7">
                  <c:v>1.1366629004442921E-2</c:v>
                </c:pt>
                <c:pt idx="8">
                  <c:v>-1.67557241374344E-2</c:v>
                </c:pt>
                <c:pt idx="9">
                  <c:v>-2.2212160579745975E-2</c:v>
                </c:pt>
                <c:pt idx="10">
                  <c:v>4.6515633561451518E-2</c:v>
                </c:pt>
                <c:pt idx="11">
                  <c:v>3.2929378945471734E-3</c:v>
                </c:pt>
                <c:pt idx="12">
                  <c:v>1.0030645893711802E-2</c:v>
                </c:pt>
                <c:pt idx="13">
                  <c:v>-1.3700774427418133E-2</c:v>
                </c:pt>
                <c:pt idx="14">
                  <c:v>-4.4768078050736439E-2</c:v>
                </c:pt>
                <c:pt idx="15">
                  <c:v>3.1993029378421751E-2</c:v>
                </c:pt>
                <c:pt idx="16">
                  <c:v>1.70019113607945E-2</c:v>
                </c:pt>
                <c:pt idx="17">
                  <c:v>1.9321949370267558E-2</c:v>
                </c:pt>
                <c:pt idx="18">
                  <c:v>7.1106455922054094E-3</c:v>
                </c:pt>
                <c:pt idx="19">
                  <c:v>4.4422402103697432E-2</c:v>
                </c:pt>
                <c:pt idx="20">
                  <c:v>3.4838115220444353E-2</c:v>
                </c:pt>
              </c:numCache>
            </c:numRef>
          </c:val>
        </c:ser>
        <c:ser>
          <c:idx val="4"/>
          <c:order val="4"/>
          <c:tx>
            <c:strRef>
              <c:f>Sheet3!$F$1</c:f>
              <c:strCache>
                <c:ptCount val="1"/>
                <c:pt idx="0">
                  <c:v>Energy Price Indicies</c:v>
                </c:pt>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Sheet3!$F$2:$F$22</c:f>
            </c:numRef>
          </c:val>
        </c:ser>
        <c:ser>
          <c:idx val="5"/>
          <c:order val="5"/>
          <c:tx>
            <c:strRef>
              <c:f>Sheet3!$G$1</c:f>
              <c:strCache>
                <c:ptCount val="1"/>
                <c:pt idx="0">
                  <c:v>Energy Price Indicies % Change</c:v>
                </c:pt>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Sheet3!$G$2:$G$22</c:f>
            </c:numRef>
          </c:val>
        </c:ser>
        <c:ser>
          <c:idx val="6"/>
          <c:order val="6"/>
          <c:tx>
            <c:strRef>
              <c:f>Sheet3!$H$1</c:f>
              <c:strCache>
                <c:ptCount val="1"/>
                <c:pt idx="0">
                  <c:v>Metals and Minerals Price Indicies</c:v>
                </c:pt>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Sheet3!$H$2:$H$22</c:f>
            </c:numRef>
          </c:val>
        </c:ser>
        <c:ser>
          <c:idx val="7"/>
          <c:order val="7"/>
          <c:tx>
            <c:strRef>
              <c:f>Sheet3!$I$1</c:f>
              <c:strCache>
                <c:ptCount val="1"/>
                <c:pt idx="0">
                  <c:v>Metals and Minerals Price Indicies % Change</c:v>
                </c:pt>
              </c:strCache>
            </c:strRef>
          </c:tx>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Sheet3!$I$2:$I$22</c:f>
            </c:numRef>
          </c:val>
        </c:ser>
        <c:ser>
          <c:idx val="8"/>
          <c:order val="8"/>
          <c:tx>
            <c:strRef>
              <c:f>Sheet3!$J$1</c:f>
              <c:strCache>
                <c:ptCount val="1"/>
                <c:pt idx="0">
                  <c:v>Manufacturing Industries % Growth</c:v>
                </c:pt>
              </c:strCache>
            </c:strRef>
          </c:tx>
          <c:marker>
            <c:symbol val="none"/>
          </c:marker>
          <c:cat>
            <c:numLit>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Lit>
          </c:cat>
          <c:val>
            <c:numRef>
              <c:f>Sheet3!$J$2:$J$22</c:f>
              <c:numCache>
                <c:formatCode>0%</c:formatCode>
                <c:ptCount val="21"/>
                <c:pt idx="0">
                  <c:v>0.1</c:v>
                </c:pt>
                <c:pt idx="1">
                  <c:v>9.9829841158514912E-2</c:v>
                </c:pt>
                <c:pt idx="2">
                  <c:v>9.8741455867620231E-2</c:v>
                </c:pt>
                <c:pt idx="3">
                  <c:v>7.1995132656543989E-2</c:v>
                </c:pt>
                <c:pt idx="4">
                  <c:v>0.108676787118895</c:v>
                </c:pt>
                <c:pt idx="5">
                  <c:v>8.5819024705741681E-2</c:v>
                </c:pt>
                <c:pt idx="6">
                  <c:v>8.7659498568748551E-2</c:v>
                </c:pt>
                <c:pt idx="7">
                  <c:v>2.4081612611217936E-2</c:v>
                </c:pt>
                <c:pt idx="8">
                  <c:v>-0.20526522504979491</c:v>
                </c:pt>
                <c:pt idx="9">
                  <c:v>2.2574809384409898E-2</c:v>
                </c:pt>
                <c:pt idx="10">
                  <c:v>8.8529613191605586E-2</c:v>
                </c:pt>
                <c:pt idx="11">
                  <c:v>3.3003032433527216E-2</c:v>
                </c:pt>
                <c:pt idx="12">
                  <c:v>5.2881600346250973E-2</c:v>
                </c:pt>
                <c:pt idx="13">
                  <c:v>5.3332738815959922E-2</c:v>
                </c:pt>
                <c:pt idx="14">
                  <c:v>6.3830644549726687E-2</c:v>
                </c:pt>
                <c:pt idx="15">
                  <c:v>4.5981252569409048E-2</c:v>
                </c:pt>
                <c:pt idx="16">
                  <c:v>4.5851647423902624E-2</c:v>
                </c:pt>
                <c:pt idx="17">
                  <c:v>4.6652958576371091E-2</c:v>
                </c:pt>
                <c:pt idx="18">
                  <c:v>3.6573802706860767E-2</c:v>
                </c:pt>
                <c:pt idx="19">
                  <c:v>2.1551214096848272E-2</c:v>
                </c:pt>
                <c:pt idx="20">
                  <c:v>4.4803223111037196E-2</c:v>
                </c:pt>
              </c:numCache>
            </c:numRef>
          </c:val>
        </c:ser>
        <c:marker val="1"/>
        <c:axId val="589275136"/>
        <c:axId val="589276672"/>
      </c:lineChart>
      <c:catAx>
        <c:axId val="589275136"/>
        <c:scaling>
          <c:orientation val="minMax"/>
        </c:scaling>
        <c:axPos val="b"/>
        <c:numFmt formatCode="General" sourceLinked="1"/>
        <c:majorTickMark val="none"/>
        <c:tickLblPos val="nextTo"/>
        <c:crossAx val="589276672"/>
        <c:crosses val="autoZero"/>
        <c:auto val="1"/>
        <c:lblAlgn val="ctr"/>
        <c:lblOffset val="100"/>
        <c:tickLblSkip val="2"/>
      </c:catAx>
      <c:valAx>
        <c:axId val="589276672"/>
        <c:scaling>
          <c:orientation val="minMax"/>
        </c:scaling>
        <c:axPos val="l"/>
        <c:majorGridlines/>
        <c:numFmt formatCode="0%" sourceLinked="1"/>
        <c:majorTickMark val="none"/>
        <c:tickLblPos val="nextTo"/>
        <c:spPr>
          <a:ln w="9525">
            <a:noFill/>
          </a:ln>
        </c:spPr>
        <c:crossAx val="589275136"/>
        <c:crosses val="autoZero"/>
        <c:crossBetween val="between"/>
      </c:valAx>
    </c:plotArea>
    <c:legend>
      <c:legendPos val="b"/>
    </c:legend>
    <c:plotVisOnly val="1"/>
  </c:chart>
  <c:spPr>
    <a:ln w="25400"/>
  </c:spPr>
  <c:txPr>
    <a:bodyPr/>
    <a:lstStyle/>
    <a:p>
      <a:pPr>
        <a:defRPr sz="800"/>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E0AB250F-33BB-43E4-992D-CBBF4293C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53</Pages>
  <Words>19565</Words>
  <Characters>111523</Characters>
  <Application>Microsoft Office Word</Application>
  <DocSecurity>0</DocSecurity>
  <Lines>929</Lines>
  <Paragraphs>261</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130827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owner</dc:creator>
  <cp:lastModifiedBy>owner</cp:lastModifiedBy>
  <cp:revision>5</cp:revision>
  <cp:lastPrinted>2012-12-04T09:57:00Z</cp:lastPrinted>
  <dcterms:created xsi:type="dcterms:W3CDTF">2012-12-11T10:19:00Z</dcterms:created>
  <dcterms:modified xsi:type="dcterms:W3CDTF">2012-12-12T03:37:00Z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3607</vt:lpwstr>
  </property>
  <property fmtid="{D5CDD505-2E9C-101B-9397-08002B2CF9AE}" pid="3" name="WnCSubscriberId">
    <vt:lpwstr>4046</vt:lpwstr>
  </property>
  <property fmtid="{D5CDD505-2E9C-101B-9397-08002B2CF9AE}" pid="4" name="WnCOutputStyleId">
    <vt:lpwstr>10322</vt:lpwstr>
  </property>
  <property fmtid="{D5CDD505-2E9C-101B-9397-08002B2CF9AE}" pid="5" name="WnC4Folder">
    <vt:lpwstr>Documents///Final RP Ch 4</vt:lpwstr>
  </property>
</Properties>
</file>